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color w:val="auto"/>
          <w:sz w:val="28"/>
          <w:szCs w:val="18"/>
        </w:rPr>
      </w:pPr>
    </w:p>
    <w:p>
      <w:pPr>
        <w:spacing w:line="360" w:lineRule="auto"/>
        <w:jc w:val="center"/>
        <w:rPr>
          <w:rFonts w:ascii="华文中宋" w:hAnsi="华文中宋" w:eastAsia="华文中宋"/>
          <w:color w:val="auto"/>
          <w:sz w:val="24"/>
        </w:rPr>
      </w:pPr>
      <w:r>
        <w:rPr>
          <w:rFonts w:hint="eastAsia" w:ascii="华文中宋" w:hAnsi="华文中宋" w:eastAsia="华文中宋"/>
          <w:color w:val="auto"/>
          <w:spacing w:val="42"/>
          <w:sz w:val="130"/>
          <w:szCs w:val="130"/>
        </w:rPr>
        <w:t>招 标 文 件</w:t>
      </w:r>
    </w:p>
    <w:p>
      <w:pPr>
        <w:tabs>
          <w:tab w:val="left" w:pos="2552"/>
        </w:tabs>
        <w:spacing w:line="360" w:lineRule="auto"/>
        <w:ind w:left="1747" w:leftChars="269" w:hanging="1177" w:hangingChars="487"/>
        <w:rPr>
          <w:rFonts w:ascii="华文中宋" w:hAnsi="华文中宋" w:eastAsia="华文中宋"/>
          <w:color w:val="auto"/>
          <w:sz w:val="24"/>
        </w:rPr>
      </w:pPr>
    </w:p>
    <w:p>
      <w:pPr>
        <w:tabs>
          <w:tab w:val="left" w:pos="2552"/>
        </w:tabs>
        <w:spacing w:line="360" w:lineRule="auto"/>
        <w:rPr>
          <w:rFonts w:hint="eastAsia" w:ascii="华文中宋" w:hAnsi="华文中宋" w:eastAsia="华文中宋"/>
          <w:color w:val="auto"/>
          <w:sz w:val="24"/>
        </w:rPr>
      </w:pPr>
    </w:p>
    <w:p>
      <w:pPr>
        <w:tabs>
          <w:tab w:val="left" w:pos="2552"/>
        </w:tabs>
        <w:spacing w:line="360" w:lineRule="auto"/>
        <w:rPr>
          <w:rFonts w:ascii="华文中宋" w:hAnsi="华文中宋" w:eastAsia="华文中宋"/>
          <w:color w:val="auto"/>
          <w:sz w:val="32"/>
          <w:szCs w:val="32"/>
        </w:rPr>
      </w:pPr>
      <w:r>
        <w:rPr>
          <w:rFonts w:hint="eastAsia" w:ascii="华文中宋" w:hAnsi="华文中宋" w:eastAsia="华文中宋"/>
          <w:color w:val="auto"/>
          <w:sz w:val="32"/>
          <w:szCs w:val="32"/>
        </w:rPr>
        <w:t>项目名称：</w:t>
      </w:r>
      <w:r>
        <w:rPr>
          <w:rFonts w:hint="eastAsia" w:ascii="华文中宋" w:hAnsi="华文中宋" w:eastAsia="华文中宋"/>
          <w:color w:val="auto"/>
          <w:sz w:val="32"/>
          <w:szCs w:val="32"/>
          <w:lang w:val="zh-CN"/>
        </w:rPr>
        <w:t>都江堰市机关事务中心物业管理服务采购项目</w:t>
      </w:r>
    </w:p>
    <w:p>
      <w:pPr>
        <w:spacing w:line="360" w:lineRule="auto"/>
        <w:rPr>
          <w:rFonts w:ascii="华文中宋" w:hAnsi="华文中宋" w:eastAsia="华文中宋"/>
          <w:color w:val="auto"/>
          <w:sz w:val="32"/>
          <w:szCs w:val="32"/>
        </w:rPr>
      </w:pPr>
      <w:r>
        <w:rPr>
          <w:rFonts w:hint="eastAsia" w:ascii="华文中宋" w:hAnsi="华文中宋" w:eastAsia="华文中宋"/>
          <w:color w:val="auto"/>
          <w:sz w:val="32"/>
          <w:szCs w:val="32"/>
        </w:rPr>
        <w:t>项目编号：</w:t>
      </w:r>
      <w:r>
        <w:rPr>
          <w:rFonts w:hint="eastAsia" w:ascii="华文中宋" w:hAnsi="华文中宋" w:eastAsia="华文中宋"/>
          <w:color w:val="auto"/>
          <w:sz w:val="32"/>
          <w:szCs w:val="32"/>
          <w:lang w:val="en-US" w:eastAsia="zh-CN"/>
        </w:rPr>
        <w:t>JY320210052</w:t>
      </w:r>
      <w:r>
        <w:rPr>
          <w:rFonts w:hint="eastAsia" w:ascii="华文中宋" w:hAnsi="华文中宋" w:eastAsia="华文中宋"/>
          <w:color w:val="auto"/>
          <w:sz w:val="32"/>
          <w:szCs w:val="32"/>
        </w:rPr>
        <w:t>号</w:t>
      </w:r>
    </w:p>
    <w:p>
      <w:pPr>
        <w:spacing w:line="360" w:lineRule="auto"/>
        <w:rPr>
          <w:rFonts w:ascii="华文中宋" w:hAnsi="华文中宋" w:eastAsia="华文中宋"/>
          <w:color w:val="auto"/>
          <w:kern w:val="24"/>
          <w:sz w:val="32"/>
          <w:szCs w:val="32"/>
        </w:rPr>
      </w:pPr>
    </w:p>
    <w:p>
      <w:pPr>
        <w:pStyle w:val="2"/>
        <w:rPr>
          <w:rFonts w:ascii="华文中宋" w:hAnsi="华文中宋" w:eastAsia="华文中宋"/>
          <w:color w:val="auto"/>
          <w:kern w:val="24"/>
          <w:sz w:val="32"/>
          <w:szCs w:val="32"/>
        </w:rPr>
      </w:pPr>
    </w:p>
    <w:p>
      <w:pPr>
        <w:pStyle w:val="2"/>
        <w:rPr>
          <w:rFonts w:ascii="华文中宋" w:hAnsi="华文中宋" w:eastAsia="华文中宋"/>
          <w:color w:val="auto"/>
          <w:kern w:val="24"/>
          <w:sz w:val="32"/>
          <w:szCs w:val="32"/>
        </w:rPr>
      </w:pPr>
    </w:p>
    <w:p>
      <w:pPr>
        <w:pStyle w:val="2"/>
        <w:rPr>
          <w:rFonts w:ascii="华文中宋" w:hAnsi="华文中宋" w:eastAsia="华文中宋"/>
          <w:color w:val="auto"/>
          <w:kern w:val="24"/>
          <w:sz w:val="32"/>
          <w:szCs w:val="32"/>
        </w:rPr>
      </w:pPr>
    </w:p>
    <w:p>
      <w:pPr>
        <w:spacing w:line="360" w:lineRule="auto"/>
        <w:jc w:val="center"/>
        <w:rPr>
          <w:rFonts w:ascii="华文中宋" w:hAnsi="华文中宋" w:eastAsia="华文中宋"/>
          <w:color w:val="auto"/>
          <w:sz w:val="32"/>
          <w:szCs w:val="32"/>
        </w:rPr>
      </w:pPr>
      <w:r>
        <w:rPr>
          <w:rFonts w:hint="eastAsia" w:ascii="华文中宋" w:hAnsi="华文中宋" w:eastAsia="华文中宋"/>
          <w:color w:val="auto"/>
          <w:sz w:val="32"/>
          <w:szCs w:val="32"/>
          <w:lang w:val="zh-CN"/>
        </w:rPr>
        <w:t>都江堰市机关事务中心</w:t>
      </w:r>
      <w:r>
        <w:rPr>
          <w:rFonts w:hint="eastAsia" w:ascii="华文中宋" w:hAnsi="华文中宋" w:eastAsia="华文中宋"/>
          <w:color w:val="auto"/>
          <w:sz w:val="32"/>
          <w:szCs w:val="32"/>
        </w:rPr>
        <w:t>、</w:t>
      </w:r>
    </w:p>
    <w:p>
      <w:pPr>
        <w:spacing w:line="360" w:lineRule="auto"/>
        <w:jc w:val="center"/>
        <w:rPr>
          <w:rFonts w:ascii="华文中宋" w:hAnsi="华文中宋" w:eastAsia="华文中宋"/>
          <w:color w:val="auto"/>
          <w:sz w:val="32"/>
          <w:szCs w:val="32"/>
        </w:rPr>
      </w:pPr>
      <w:r>
        <w:rPr>
          <w:rFonts w:hint="eastAsia" w:ascii="华文中宋" w:hAnsi="华文中宋" w:eastAsia="华文中宋"/>
          <w:color w:val="auto"/>
          <w:sz w:val="32"/>
          <w:szCs w:val="32"/>
          <w:lang w:eastAsia="zh-CN"/>
        </w:rPr>
        <w:t>都江堰市公共资源交易服务中心</w:t>
      </w:r>
      <w:r>
        <w:rPr>
          <w:rFonts w:hint="eastAsia" w:ascii="华文中宋" w:hAnsi="华文中宋" w:eastAsia="华文中宋"/>
          <w:color w:val="auto"/>
          <w:sz w:val="32"/>
          <w:szCs w:val="32"/>
        </w:rPr>
        <w:t>共同编制</w:t>
      </w:r>
    </w:p>
    <w:p>
      <w:pPr>
        <w:spacing w:line="360" w:lineRule="auto"/>
        <w:jc w:val="center"/>
        <w:rPr>
          <w:rFonts w:ascii="华文中宋" w:hAnsi="华文中宋" w:eastAsia="华文中宋"/>
          <w:color w:val="auto"/>
          <w:sz w:val="32"/>
          <w:szCs w:val="32"/>
        </w:rPr>
      </w:pPr>
      <w:r>
        <w:rPr>
          <w:rFonts w:hint="eastAsia" w:ascii="华文中宋" w:hAnsi="华文中宋" w:eastAsia="华文中宋"/>
          <w:color w:val="auto"/>
          <w:sz w:val="32"/>
          <w:szCs w:val="32"/>
        </w:rPr>
        <w:t>二〇二</w:t>
      </w:r>
      <w:r>
        <w:rPr>
          <w:rFonts w:hint="eastAsia" w:ascii="华文中宋" w:hAnsi="华文中宋" w:eastAsia="华文中宋"/>
          <w:color w:val="auto"/>
          <w:sz w:val="32"/>
          <w:szCs w:val="32"/>
          <w:lang w:eastAsia="zh-CN"/>
        </w:rPr>
        <w:t>一</w:t>
      </w:r>
      <w:r>
        <w:rPr>
          <w:rFonts w:hint="eastAsia" w:ascii="华文中宋" w:hAnsi="华文中宋" w:eastAsia="华文中宋"/>
          <w:color w:val="auto"/>
          <w:sz w:val="32"/>
          <w:szCs w:val="32"/>
        </w:rPr>
        <w:t>年</w:t>
      </w:r>
      <w:r>
        <w:rPr>
          <w:rFonts w:hint="eastAsia" w:ascii="华文中宋" w:hAnsi="华文中宋" w:eastAsia="华文中宋"/>
          <w:color w:val="auto"/>
          <w:sz w:val="32"/>
          <w:szCs w:val="32"/>
          <w:lang w:eastAsia="zh-CN"/>
        </w:rPr>
        <w:t>八</w:t>
      </w:r>
      <w:r>
        <w:rPr>
          <w:rFonts w:hint="eastAsia" w:ascii="华文中宋" w:hAnsi="华文中宋" w:eastAsia="华文中宋"/>
          <w:color w:val="auto"/>
          <w:sz w:val="32"/>
          <w:szCs w:val="32"/>
        </w:rPr>
        <w:t>月</w:t>
      </w:r>
    </w:p>
    <w:p>
      <w:pPr>
        <w:spacing w:line="400" w:lineRule="exact"/>
        <w:ind w:firstLine="564" w:firstLineChars="200"/>
        <w:rPr>
          <w:rFonts w:hint="eastAsia" w:ascii="仿宋_GB2312" w:hAnsi="宋体" w:eastAsia="仿宋_GB2312"/>
          <w:b/>
          <w:color w:val="auto"/>
          <w:sz w:val="28"/>
          <w:szCs w:val="28"/>
        </w:rPr>
      </w:pPr>
    </w:p>
    <w:p>
      <w:pPr>
        <w:spacing w:line="360" w:lineRule="auto"/>
        <w:jc w:val="center"/>
        <w:rPr>
          <w:rFonts w:ascii="宋体" w:hAnsi="宋体"/>
          <w:b/>
          <w:color w:val="auto"/>
          <w:sz w:val="32"/>
        </w:rPr>
      </w:pPr>
      <w:r>
        <w:rPr>
          <w:rFonts w:hint="eastAsia" w:ascii="宋体" w:hAnsi="宋体"/>
          <w:color w:val="auto"/>
          <w:kern w:val="0"/>
        </w:rPr>
        <w:br w:type="page"/>
      </w:r>
      <w:bookmarkStart w:id="0" w:name="_Toc148505181"/>
      <w:bookmarkStart w:id="1" w:name="_Toc101328520"/>
      <w:bookmarkStart w:id="2" w:name="_Toc101247312"/>
      <w:bookmarkStart w:id="3" w:name="_Toc101234248"/>
      <w:r>
        <w:rPr>
          <w:rFonts w:hint="eastAsia" w:ascii="宋体" w:hAnsi="宋体"/>
          <w:b/>
          <w:color w:val="auto"/>
          <w:sz w:val="28"/>
          <w:szCs w:val="32"/>
        </w:rPr>
        <w:t>目 录</w:t>
      </w:r>
    </w:p>
    <w:sdt>
      <w:sdtPr>
        <w:rPr>
          <w:rFonts w:ascii="宋体" w:hAnsi="宋体" w:eastAsia="华文中宋"/>
          <w:smallCaps/>
          <w:color w:val="auto"/>
          <w:sz w:val="20"/>
          <w:szCs w:val="20"/>
        </w:rPr>
        <w:id w:val="147456339"/>
      </w:sdtPr>
      <w:sdtEndPr>
        <w:rPr>
          <w:rFonts w:ascii="宋体" w:hAnsi="宋体" w:eastAsia="华文中宋"/>
          <w:smallCaps/>
          <w:color w:val="auto"/>
          <w:sz w:val="20"/>
          <w:szCs w:val="20"/>
        </w:rPr>
      </w:sdtEndPr>
      <w:sdtContent>
        <w:p>
          <w:pPr>
            <w:rPr>
              <w:color w:val="auto"/>
            </w:rPr>
          </w:pPr>
        </w:p>
        <w:p>
          <w:pPr>
            <w:pStyle w:val="31"/>
            <w:rPr>
              <w:rFonts w:asciiTheme="minorHAnsi" w:hAnsiTheme="minorHAnsi" w:eastAsiaTheme="minorEastAsia" w:cstheme="minorBidi"/>
              <w:bCs w:val="0"/>
              <w:caps w:val="0"/>
              <w:color w:val="auto"/>
              <w:sz w:val="21"/>
              <w:szCs w:val="22"/>
            </w:rPr>
          </w:pPr>
          <w:r>
            <w:rPr>
              <w:rFonts w:hint="eastAsia"/>
              <w:color w:val="auto"/>
            </w:rPr>
            <w:fldChar w:fldCharType="begin"/>
          </w:r>
          <w:r>
            <w:rPr>
              <w:rFonts w:hint="eastAsia"/>
              <w:color w:val="auto"/>
            </w:rPr>
            <w:instrText xml:space="preserve">TOC \o "1-2" \h \u </w:instrText>
          </w:r>
          <w:r>
            <w:rPr>
              <w:rFonts w:hint="eastAsia"/>
              <w:color w:val="auto"/>
            </w:rPr>
            <w:fldChar w:fldCharType="separate"/>
          </w:r>
          <w:r>
            <w:rPr>
              <w:color w:val="auto"/>
            </w:rPr>
            <w:fldChar w:fldCharType="begin"/>
          </w:r>
          <w:r>
            <w:rPr>
              <w:color w:val="auto"/>
            </w:rPr>
            <w:instrText xml:space="preserve"> HYPERLINK \l "_Toc65573684" </w:instrText>
          </w:r>
          <w:r>
            <w:rPr>
              <w:color w:val="auto"/>
            </w:rPr>
            <w:fldChar w:fldCharType="separate"/>
          </w:r>
          <w:r>
            <w:rPr>
              <w:rStyle w:val="46"/>
              <w:rFonts w:hint="eastAsia" w:ascii="Times New Roman" w:hAnsi="Times New Roman"/>
              <w:color w:val="auto"/>
            </w:rPr>
            <w:t>第1章</w:t>
          </w:r>
          <w:r>
            <w:rPr>
              <w:rFonts w:asciiTheme="minorHAnsi" w:hAnsiTheme="minorHAnsi" w:eastAsiaTheme="minorEastAsia" w:cstheme="minorBidi"/>
              <w:bCs w:val="0"/>
              <w:caps w:val="0"/>
              <w:color w:val="auto"/>
              <w:sz w:val="21"/>
              <w:szCs w:val="22"/>
            </w:rPr>
            <w:tab/>
          </w:r>
          <w:r>
            <w:rPr>
              <w:rStyle w:val="46"/>
              <w:rFonts w:hint="eastAsia"/>
              <w:color w:val="auto"/>
            </w:rPr>
            <w:t>投标邀请</w:t>
          </w:r>
          <w:r>
            <w:rPr>
              <w:color w:val="auto"/>
            </w:rPr>
            <w:tab/>
          </w:r>
          <w:r>
            <w:rPr>
              <w:color w:val="auto"/>
            </w:rPr>
            <w:fldChar w:fldCharType="begin"/>
          </w:r>
          <w:r>
            <w:rPr>
              <w:color w:val="auto"/>
            </w:rPr>
            <w:instrText xml:space="preserve"> PAGEREF _Toc65573684 \h </w:instrText>
          </w:r>
          <w:r>
            <w:rPr>
              <w:color w:val="auto"/>
            </w:rPr>
            <w:fldChar w:fldCharType="separate"/>
          </w:r>
          <w:r>
            <w:rPr>
              <w:color w:val="auto"/>
            </w:rPr>
            <w:t>3</w:t>
          </w:r>
          <w:r>
            <w:rPr>
              <w:color w:val="auto"/>
            </w:rPr>
            <w:fldChar w:fldCharType="end"/>
          </w:r>
          <w:r>
            <w:rPr>
              <w:color w:val="auto"/>
            </w:rPr>
            <w:fldChar w:fldCharType="end"/>
          </w:r>
        </w:p>
        <w:p>
          <w:pPr>
            <w:pStyle w:val="31"/>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"_Toc65573685" </w:instrText>
          </w:r>
          <w:r>
            <w:rPr>
              <w:color w:val="auto"/>
            </w:rPr>
            <w:fldChar w:fldCharType="separate"/>
          </w:r>
          <w:r>
            <w:rPr>
              <w:rStyle w:val="46"/>
              <w:rFonts w:hint="eastAsia" w:ascii="Times New Roman" w:hAnsi="Times New Roman"/>
              <w:color w:val="auto"/>
            </w:rPr>
            <w:t>第2章</w:t>
          </w:r>
          <w:r>
            <w:rPr>
              <w:rFonts w:asciiTheme="minorHAnsi" w:hAnsiTheme="minorHAnsi" w:eastAsiaTheme="minorEastAsia" w:cstheme="minorBidi"/>
              <w:bCs w:val="0"/>
              <w:caps w:val="0"/>
              <w:color w:val="auto"/>
              <w:sz w:val="21"/>
              <w:szCs w:val="22"/>
            </w:rPr>
            <w:tab/>
          </w:r>
          <w:r>
            <w:rPr>
              <w:rStyle w:val="46"/>
              <w:rFonts w:hint="eastAsia"/>
              <w:color w:val="auto"/>
            </w:rPr>
            <w:t>投标人须知</w:t>
          </w:r>
          <w:r>
            <w:rPr>
              <w:color w:val="auto"/>
            </w:rPr>
            <w:tab/>
          </w:r>
          <w:r>
            <w:rPr>
              <w:color w:val="auto"/>
            </w:rPr>
            <w:fldChar w:fldCharType="begin"/>
          </w:r>
          <w:r>
            <w:rPr>
              <w:color w:val="auto"/>
            </w:rPr>
            <w:instrText xml:space="preserve"> PAGEREF _Toc65573685 \h </w:instrText>
          </w:r>
          <w:r>
            <w:rPr>
              <w:color w:val="auto"/>
            </w:rPr>
            <w:fldChar w:fldCharType="separate"/>
          </w:r>
          <w:r>
            <w:rPr>
              <w:color w:val="auto"/>
            </w:rPr>
            <w:t>6</w:t>
          </w:r>
          <w:r>
            <w:rPr>
              <w:color w:val="auto"/>
            </w:rPr>
            <w:fldChar w:fldCharType="end"/>
          </w:r>
          <w:r>
            <w:rPr>
              <w:color w:val="auto"/>
            </w:rPr>
            <w:fldChar w:fldCharType="end"/>
          </w:r>
        </w:p>
        <w:p>
          <w:pPr>
            <w:pStyle w:val="31"/>
            <w:rPr>
              <w:rFonts w:asciiTheme="minorHAnsi" w:hAnsiTheme="minorHAnsi" w:eastAsiaTheme="minorEastAsia" w:cstheme="minorBidi"/>
              <w:smallCaps w:val="0"/>
              <w:color w:val="auto"/>
              <w:sz w:val="21"/>
              <w:szCs w:val="22"/>
            </w:rPr>
          </w:pPr>
          <w:r>
            <w:rPr>
              <w:color w:val="auto"/>
            </w:rPr>
            <w:fldChar w:fldCharType="begin"/>
          </w:r>
          <w:r>
            <w:rPr>
              <w:color w:val="auto"/>
            </w:rPr>
            <w:instrText xml:space="preserve"> HYPERLINK \l "_Toc65573695" </w:instrText>
          </w:r>
          <w:r>
            <w:rPr>
              <w:color w:val="auto"/>
            </w:rPr>
            <w:fldChar w:fldCharType="separate"/>
          </w:r>
          <w:r>
            <w:rPr>
              <w:rStyle w:val="46"/>
              <w:rFonts w:hint="eastAsia" w:ascii="Times New Roman" w:hAnsi="Times New Roman"/>
              <w:color w:val="auto"/>
            </w:rPr>
            <w:t>第3章</w:t>
          </w:r>
          <w:r>
            <w:rPr>
              <w:rFonts w:asciiTheme="minorHAnsi" w:hAnsiTheme="minorHAnsi" w:eastAsiaTheme="minorEastAsia" w:cstheme="minorBidi"/>
              <w:bCs w:val="0"/>
              <w:caps w:val="0"/>
              <w:color w:val="auto"/>
              <w:sz w:val="21"/>
              <w:szCs w:val="22"/>
            </w:rPr>
            <w:tab/>
          </w:r>
          <w:r>
            <w:rPr>
              <w:rStyle w:val="46"/>
              <w:rFonts w:hint="eastAsia"/>
              <w:color w:val="auto"/>
            </w:rPr>
            <w:t>投标文件格式</w:t>
          </w:r>
          <w:r>
            <w:rPr>
              <w:color w:val="auto"/>
            </w:rPr>
            <w:tab/>
          </w:r>
          <w:r>
            <w:rPr>
              <w:color w:val="auto"/>
            </w:rPr>
            <w:fldChar w:fldCharType="begin"/>
          </w:r>
          <w:r>
            <w:rPr>
              <w:color w:val="auto"/>
            </w:rPr>
            <w:instrText xml:space="preserve"> PAGEREF _Toc65573695 \h </w:instrText>
          </w:r>
          <w:r>
            <w:rPr>
              <w:color w:val="auto"/>
            </w:rPr>
            <w:fldChar w:fldCharType="separate"/>
          </w:r>
          <w:r>
            <w:rPr>
              <w:color w:val="auto"/>
            </w:rPr>
            <w:t>30</w:t>
          </w:r>
          <w:r>
            <w:rPr>
              <w:color w:val="auto"/>
            </w:rPr>
            <w:fldChar w:fldCharType="end"/>
          </w:r>
          <w:r>
            <w:rPr>
              <w:color w:val="auto"/>
            </w:rPr>
            <w:fldChar w:fldCharType="end"/>
          </w:r>
        </w:p>
        <w:p>
          <w:pPr>
            <w:pStyle w:val="31"/>
            <w:rPr>
              <w:rFonts w:asciiTheme="minorHAnsi" w:hAnsiTheme="minorHAnsi" w:eastAsiaTheme="minorEastAsia" w:cstheme="minorBidi"/>
              <w:bCs w:val="0"/>
              <w:caps w:val="0"/>
              <w:color w:val="auto"/>
              <w:sz w:val="21"/>
              <w:szCs w:val="22"/>
            </w:rPr>
          </w:pPr>
          <w:r>
            <w:rPr>
              <w:color w:val="auto"/>
            </w:rPr>
            <w:fldChar w:fldCharType="begin"/>
          </w:r>
          <w:r>
            <w:rPr>
              <w:color w:val="auto"/>
            </w:rPr>
            <w:instrText xml:space="preserve"> HYPERLINK \l "_Toc65573699" </w:instrText>
          </w:r>
          <w:r>
            <w:rPr>
              <w:color w:val="auto"/>
            </w:rPr>
            <w:fldChar w:fldCharType="separate"/>
          </w:r>
          <w:r>
            <w:rPr>
              <w:rStyle w:val="46"/>
              <w:rFonts w:hint="eastAsia" w:ascii="Times New Roman" w:hAnsi="Times New Roman"/>
              <w:color w:val="auto"/>
            </w:rPr>
            <w:t>第4章</w:t>
          </w:r>
          <w:r>
            <w:rPr>
              <w:rFonts w:asciiTheme="minorHAnsi" w:hAnsiTheme="minorHAnsi" w:eastAsiaTheme="minorEastAsia" w:cstheme="minorBidi"/>
              <w:bCs w:val="0"/>
              <w:caps w:val="0"/>
              <w:color w:val="auto"/>
              <w:sz w:val="21"/>
              <w:szCs w:val="22"/>
            </w:rPr>
            <w:tab/>
          </w:r>
          <w:r>
            <w:rPr>
              <w:rStyle w:val="46"/>
              <w:rFonts w:hint="eastAsia"/>
              <w:color w:val="auto"/>
            </w:rPr>
            <w:t>招标项目服务、商务及其他要求</w:t>
          </w:r>
          <w:r>
            <w:rPr>
              <w:color w:val="auto"/>
            </w:rPr>
            <w:tab/>
          </w:r>
          <w:r>
            <w:rPr>
              <w:color w:val="auto"/>
            </w:rPr>
            <w:fldChar w:fldCharType="begin"/>
          </w:r>
          <w:r>
            <w:rPr>
              <w:color w:val="auto"/>
            </w:rPr>
            <w:instrText xml:space="preserve"> PAGEREF _Toc65573699 \h </w:instrText>
          </w:r>
          <w:r>
            <w:rPr>
              <w:color w:val="auto"/>
            </w:rPr>
            <w:fldChar w:fldCharType="separate"/>
          </w:r>
          <w:r>
            <w:rPr>
              <w:color w:val="auto"/>
            </w:rPr>
            <w:t>45</w:t>
          </w:r>
          <w:r>
            <w:rPr>
              <w:color w:val="auto"/>
            </w:rPr>
            <w:fldChar w:fldCharType="end"/>
          </w:r>
          <w:r>
            <w:rPr>
              <w:color w:val="auto"/>
            </w:rPr>
            <w:fldChar w:fldCharType="end"/>
          </w:r>
        </w:p>
        <w:p>
          <w:pPr>
            <w:pStyle w:val="31"/>
            <w:rPr>
              <w:rFonts w:asciiTheme="minorHAnsi" w:hAnsiTheme="minorHAnsi" w:eastAsiaTheme="minorEastAsia" w:cstheme="minorBidi"/>
              <w:bCs w:val="0"/>
              <w:caps w:val="0"/>
              <w:color w:val="auto"/>
              <w:sz w:val="21"/>
              <w:szCs w:val="22"/>
            </w:rPr>
          </w:pPr>
          <w:r>
            <w:rPr>
              <w:color w:val="auto"/>
            </w:rPr>
            <w:fldChar w:fldCharType="begin"/>
          </w:r>
          <w:r>
            <w:rPr>
              <w:color w:val="auto"/>
            </w:rPr>
            <w:instrText xml:space="preserve"> HYPERLINK \l "_Toc65573703" </w:instrText>
          </w:r>
          <w:r>
            <w:rPr>
              <w:color w:val="auto"/>
            </w:rPr>
            <w:fldChar w:fldCharType="separate"/>
          </w:r>
          <w:r>
            <w:rPr>
              <w:rStyle w:val="46"/>
              <w:rFonts w:hint="eastAsia" w:ascii="Times New Roman" w:hAnsi="Times New Roman"/>
              <w:color w:val="auto"/>
            </w:rPr>
            <w:t>第5章</w:t>
          </w:r>
          <w:r>
            <w:rPr>
              <w:rFonts w:asciiTheme="minorHAnsi" w:hAnsiTheme="minorHAnsi" w:eastAsiaTheme="minorEastAsia" w:cstheme="minorBidi"/>
              <w:bCs w:val="0"/>
              <w:caps w:val="0"/>
              <w:color w:val="auto"/>
              <w:sz w:val="21"/>
              <w:szCs w:val="22"/>
            </w:rPr>
            <w:tab/>
          </w:r>
          <w:r>
            <w:rPr>
              <w:rStyle w:val="46"/>
              <w:rFonts w:hint="eastAsia"/>
              <w:color w:val="auto"/>
            </w:rPr>
            <w:t>资格性审查</w:t>
          </w:r>
          <w:r>
            <w:rPr>
              <w:color w:val="auto"/>
            </w:rPr>
            <w:tab/>
          </w:r>
          <w:r>
            <w:rPr>
              <w:color w:val="auto"/>
            </w:rPr>
            <w:fldChar w:fldCharType="begin"/>
          </w:r>
          <w:r>
            <w:rPr>
              <w:color w:val="auto"/>
            </w:rPr>
            <w:instrText xml:space="preserve"> PAGEREF _Toc65573703 \h </w:instrText>
          </w:r>
          <w:r>
            <w:rPr>
              <w:color w:val="auto"/>
            </w:rPr>
            <w:fldChar w:fldCharType="separate"/>
          </w:r>
          <w:r>
            <w:rPr>
              <w:color w:val="auto"/>
            </w:rPr>
            <w:t>47</w:t>
          </w:r>
          <w:r>
            <w:rPr>
              <w:color w:val="auto"/>
            </w:rPr>
            <w:fldChar w:fldCharType="end"/>
          </w:r>
          <w:r>
            <w:rPr>
              <w:color w:val="auto"/>
            </w:rPr>
            <w:fldChar w:fldCharType="end"/>
          </w:r>
        </w:p>
        <w:p>
          <w:pPr>
            <w:pStyle w:val="31"/>
            <w:rPr>
              <w:rFonts w:asciiTheme="minorHAnsi" w:hAnsiTheme="minorHAnsi" w:eastAsiaTheme="minorEastAsia" w:cstheme="minorBidi"/>
              <w:bCs w:val="0"/>
              <w:caps w:val="0"/>
              <w:color w:val="auto"/>
              <w:sz w:val="21"/>
              <w:szCs w:val="22"/>
            </w:rPr>
          </w:pPr>
          <w:r>
            <w:rPr>
              <w:color w:val="auto"/>
            </w:rPr>
            <w:fldChar w:fldCharType="begin"/>
          </w:r>
          <w:r>
            <w:rPr>
              <w:color w:val="auto"/>
            </w:rPr>
            <w:instrText xml:space="preserve"> HYPERLINK \l "_Toc65573704" </w:instrText>
          </w:r>
          <w:r>
            <w:rPr>
              <w:color w:val="auto"/>
            </w:rPr>
            <w:fldChar w:fldCharType="separate"/>
          </w:r>
          <w:r>
            <w:rPr>
              <w:rStyle w:val="46"/>
              <w:rFonts w:hint="eastAsia" w:ascii="Times New Roman" w:hAnsi="Times New Roman"/>
              <w:color w:val="auto"/>
            </w:rPr>
            <w:t>第6章</w:t>
          </w:r>
          <w:r>
            <w:rPr>
              <w:rFonts w:asciiTheme="minorHAnsi" w:hAnsiTheme="minorHAnsi" w:eastAsiaTheme="minorEastAsia" w:cstheme="minorBidi"/>
              <w:bCs w:val="0"/>
              <w:caps w:val="0"/>
              <w:color w:val="auto"/>
              <w:sz w:val="21"/>
              <w:szCs w:val="22"/>
            </w:rPr>
            <w:tab/>
          </w:r>
          <w:r>
            <w:rPr>
              <w:rStyle w:val="46"/>
              <w:rFonts w:hint="eastAsia"/>
              <w:color w:val="auto"/>
            </w:rPr>
            <w:t>评标办法</w:t>
          </w:r>
          <w:r>
            <w:rPr>
              <w:color w:val="auto"/>
            </w:rPr>
            <w:tab/>
          </w:r>
          <w:r>
            <w:rPr>
              <w:color w:val="auto"/>
            </w:rPr>
            <w:fldChar w:fldCharType="begin"/>
          </w:r>
          <w:r>
            <w:rPr>
              <w:color w:val="auto"/>
            </w:rPr>
            <w:instrText xml:space="preserve"> PAGEREF _Toc65573704 \h </w:instrText>
          </w:r>
          <w:r>
            <w:rPr>
              <w:color w:val="auto"/>
            </w:rPr>
            <w:fldChar w:fldCharType="separate"/>
          </w:r>
          <w:r>
            <w:rPr>
              <w:color w:val="auto"/>
            </w:rPr>
            <w:t>53</w:t>
          </w:r>
          <w:r>
            <w:rPr>
              <w:color w:val="auto"/>
            </w:rPr>
            <w:fldChar w:fldCharType="end"/>
          </w:r>
          <w:r>
            <w:rPr>
              <w:color w:val="auto"/>
            </w:rPr>
            <w:fldChar w:fldCharType="end"/>
          </w:r>
        </w:p>
        <w:p>
          <w:pPr>
            <w:pStyle w:val="31"/>
            <w:rPr>
              <w:rFonts w:asciiTheme="minorHAnsi" w:hAnsiTheme="minorHAnsi" w:eastAsiaTheme="minorEastAsia" w:cstheme="minorBidi"/>
              <w:bCs w:val="0"/>
              <w:caps w:val="0"/>
              <w:color w:val="auto"/>
              <w:sz w:val="21"/>
              <w:szCs w:val="22"/>
            </w:rPr>
          </w:pPr>
          <w:r>
            <w:rPr>
              <w:color w:val="auto"/>
            </w:rPr>
            <w:fldChar w:fldCharType="begin"/>
          </w:r>
          <w:r>
            <w:rPr>
              <w:color w:val="auto"/>
            </w:rPr>
            <w:instrText xml:space="preserve"> HYPERLINK \l "_Toc65573715" </w:instrText>
          </w:r>
          <w:r>
            <w:rPr>
              <w:color w:val="auto"/>
            </w:rPr>
            <w:fldChar w:fldCharType="separate"/>
          </w:r>
          <w:r>
            <w:rPr>
              <w:rStyle w:val="46"/>
              <w:rFonts w:hint="eastAsia" w:ascii="Times New Roman" w:hAnsi="Times New Roman"/>
              <w:color w:val="auto"/>
            </w:rPr>
            <w:t>第7章</w:t>
          </w:r>
          <w:r>
            <w:rPr>
              <w:rFonts w:asciiTheme="minorHAnsi" w:hAnsiTheme="minorHAnsi" w:eastAsiaTheme="minorEastAsia" w:cstheme="minorBidi"/>
              <w:bCs w:val="0"/>
              <w:caps w:val="0"/>
              <w:color w:val="auto"/>
              <w:sz w:val="21"/>
              <w:szCs w:val="22"/>
            </w:rPr>
            <w:tab/>
          </w:r>
          <w:r>
            <w:rPr>
              <w:rStyle w:val="46"/>
              <w:rFonts w:hint="eastAsia"/>
              <w:color w:val="auto"/>
            </w:rPr>
            <w:t>拟签订合同文本</w:t>
          </w:r>
          <w:r>
            <w:rPr>
              <w:color w:val="auto"/>
            </w:rPr>
            <w:tab/>
          </w:r>
          <w:r>
            <w:rPr>
              <w:color w:val="auto"/>
            </w:rPr>
            <w:fldChar w:fldCharType="begin"/>
          </w:r>
          <w:r>
            <w:rPr>
              <w:color w:val="auto"/>
            </w:rPr>
            <w:instrText xml:space="preserve"> PAGEREF _Toc65573715 \h </w:instrText>
          </w:r>
          <w:r>
            <w:rPr>
              <w:color w:val="auto"/>
            </w:rPr>
            <w:fldChar w:fldCharType="separate"/>
          </w:r>
          <w:r>
            <w:rPr>
              <w:color w:val="auto"/>
            </w:rPr>
            <w:t>69</w:t>
          </w:r>
          <w:r>
            <w:rPr>
              <w:color w:val="auto"/>
            </w:rPr>
            <w:fldChar w:fldCharType="end"/>
          </w:r>
          <w:r>
            <w:rPr>
              <w:color w:val="auto"/>
            </w:rPr>
            <w:fldChar w:fldCharType="end"/>
          </w:r>
        </w:p>
        <w:p>
          <w:pPr>
            <w:pStyle w:val="37"/>
            <w:tabs>
              <w:tab w:val="right" w:leader="dot" w:pos="8647"/>
              <w:tab w:val="clear" w:pos="8364"/>
            </w:tabs>
            <w:ind w:left="0"/>
            <w:rPr>
              <w:color w:val="auto"/>
            </w:rPr>
          </w:pPr>
          <w:r>
            <w:rPr>
              <w:rFonts w:hint="eastAsia"/>
              <w:color w:val="auto"/>
            </w:rPr>
            <w:fldChar w:fldCharType="end"/>
          </w:r>
        </w:p>
      </w:sdtContent>
    </w:sdt>
    <w:p>
      <w:pPr>
        <w:rPr>
          <w:color w:val="auto"/>
        </w:rPr>
      </w:pPr>
    </w:p>
    <w:p>
      <w:pPr>
        <w:rPr>
          <w:color w:val="auto"/>
        </w:rPr>
      </w:pPr>
      <w:r>
        <w:rPr>
          <w:color w:val="auto"/>
        </w:rPr>
        <w:br w:type="page"/>
      </w:r>
    </w:p>
    <w:p>
      <w:pPr>
        <w:rPr>
          <w:color w:val="auto"/>
        </w:rPr>
      </w:pPr>
    </w:p>
    <w:p>
      <w:pPr>
        <w:pStyle w:val="2"/>
        <w:rPr>
          <w:color w:val="auto"/>
        </w:rPr>
      </w:pPr>
    </w:p>
    <w:p>
      <w:pPr>
        <w:pStyle w:val="3"/>
        <w:numPr>
          <w:ilvl w:val="0"/>
          <w:numId w:val="4"/>
        </w:numPr>
        <w:spacing w:before="0" w:after="0" w:line="560" w:lineRule="exact"/>
        <w:ind w:left="0" w:firstLine="0"/>
        <w:rPr>
          <w:color w:val="auto"/>
        </w:rPr>
      </w:pPr>
      <w:bookmarkStart w:id="4" w:name="_Toc22017"/>
      <w:bookmarkStart w:id="5" w:name="_Toc26321"/>
      <w:bookmarkStart w:id="6" w:name="_Toc204575871"/>
      <w:bookmarkStart w:id="7" w:name="_Toc20241"/>
      <w:bookmarkStart w:id="8" w:name="_Toc181591102"/>
      <w:bookmarkStart w:id="9" w:name="_Toc65573684"/>
      <w:bookmarkStart w:id="10" w:name="_Toc25954"/>
      <w:bookmarkStart w:id="11" w:name="_Toc181610856"/>
      <w:r>
        <w:rPr>
          <w:rFonts w:hint="eastAsia"/>
          <w:color w:val="auto"/>
        </w:rPr>
        <w:t>投标邀请</w:t>
      </w:r>
      <w:bookmarkEnd w:id="4"/>
      <w:bookmarkEnd w:id="5"/>
      <w:bookmarkEnd w:id="6"/>
      <w:bookmarkEnd w:id="7"/>
      <w:bookmarkEnd w:id="8"/>
      <w:bookmarkEnd w:id="9"/>
      <w:bookmarkEnd w:id="10"/>
      <w:bookmarkEnd w:id="11"/>
    </w:p>
    <w:p>
      <w:pPr>
        <w:tabs>
          <w:tab w:val="left" w:pos="2552"/>
        </w:tabs>
        <w:spacing w:line="560" w:lineRule="exact"/>
        <w:ind w:left="1" w:firstLine="566" w:firstLineChars="201"/>
        <w:rPr>
          <w:rFonts w:ascii="宋体" w:hAnsi="宋体"/>
          <w:color w:val="auto"/>
          <w:sz w:val="28"/>
          <w:szCs w:val="28"/>
        </w:rPr>
      </w:pPr>
      <w:r>
        <w:rPr>
          <w:rFonts w:hint="eastAsia" w:ascii="宋体" w:hAnsi="宋体"/>
          <w:color w:val="auto"/>
          <w:sz w:val="28"/>
          <w:szCs w:val="28"/>
          <w:lang w:eastAsia="zh-CN"/>
        </w:rPr>
        <w:t>都江堰市公共资源交易服务中心(以下简称“市公资交易中心”)受</w:t>
      </w:r>
      <w:r>
        <w:rPr>
          <w:rFonts w:hint="eastAsia" w:ascii="宋体" w:hAnsi="宋体"/>
          <w:color w:val="auto"/>
          <w:sz w:val="28"/>
          <w:szCs w:val="28"/>
          <w:lang w:val="zh-CN" w:eastAsia="zh-CN"/>
        </w:rPr>
        <w:t>都江堰市机关事务中心</w:t>
      </w:r>
      <w:r>
        <w:rPr>
          <w:rFonts w:hint="eastAsia" w:ascii="宋体" w:hAnsi="宋体"/>
          <w:color w:val="auto"/>
          <w:sz w:val="28"/>
          <w:szCs w:val="28"/>
          <w:lang w:eastAsia="zh-CN"/>
        </w:rPr>
        <w:t>委托拟对</w:t>
      </w:r>
      <w:r>
        <w:rPr>
          <w:rFonts w:hint="eastAsia" w:ascii="宋体" w:hAnsi="宋体"/>
          <w:color w:val="auto"/>
          <w:sz w:val="28"/>
          <w:szCs w:val="28"/>
          <w:lang w:val="zh-CN" w:eastAsia="zh-CN"/>
        </w:rPr>
        <w:t>都江堰市机关事务中心物业管理服务采购项目</w:t>
      </w:r>
      <w:r>
        <w:rPr>
          <w:rFonts w:hint="eastAsia" w:ascii="宋体" w:hAnsi="宋体"/>
          <w:color w:val="auto"/>
          <w:sz w:val="28"/>
          <w:szCs w:val="28"/>
          <w:lang w:eastAsia="zh-CN"/>
        </w:rPr>
        <w:t>进行国内公开招标，兹邀请符合本次招标要求的供应商参加投标。</w:t>
      </w:r>
    </w:p>
    <w:p>
      <w:pPr>
        <w:numPr>
          <w:ilvl w:val="0"/>
          <w:numId w:val="5"/>
        </w:numPr>
        <w:spacing w:after="200" w:line="560" w:lineRule="exact"/>
        <w:ind w:left="0" w:firstLine="567"/>
        <w:rPr>
          <w:rFonts w:ascii="宋体" w:hAnsi="宋体"/>
          <w:b/>
          <w:color w:val="auto"/>
          <w:sz w:val="28"/>
          <w:szCs w:val="28"/>
        </w:rPr>
      </w:pPr>
      <w:r>
        <w:rPr>
          <w:rFonts w:hint="eastAsia" w:ascii="宋体" w:hAnsi="宋体"/>
          <w:b/>
          <w:color w:val="auto"/>
          <w:sz w:val="28"/>
          <w:szCs w:val="28"/>
        </w:rPr>
        <w:t>项目编号：</w:t>
      </w:r>
      <w:r>
        <w:rPr>
          <w:rFonts w:hint="eastAsia" w:ascii="宋体" w:hAnsi="宋体"/>
          <w:b/>
          <w:color w:val="auto"/>
          <w:sz w:val="28"/>
          <w:szCs w:val="28"/>
          <w:lang w:val="en-US" w:eastAsia="zh-CN"/>
        </w:rPr>
        <w:t>JY3202</w:t>
      </w:r>
      <w:r>
        <w:rPr>
          <w:rFonts w:hint="eastAsia" w:ascii="宋体" w:hAnsi="宋体"/>
          <w:b/>
          <w:color w:val="auto"/>
          <w:sz w:val="28"/>
          <w:szCs w:val="28"/>
          <w:u w:val="single"/>
          <w:lang w:val="en-US" w:eastAsia="zh-CN"/>
        </w:rPr>
        <w:t>10052</w:t>
      </w:r>
      <w:r>
        <w:rPr>
          <w:rFonts w:hint="eastAsia" w:ascii="宋体" w:hAnsi="宋体"/>
          <w:b/>
          <w:color w:val="auto"/>
          <w:sz w:val="28"/>
          <w:szCs w:val="28"/>
        </w:rPr>
        <w:t>号</w:t>
      </w:r>
    </w:p>
    <w:p>
      <w:pPr>
        <w:numPr>
          <w:ilvl w:val="0"/>
          <w:numId w:val="5"/>
        </w:numPr>
        <w:spacing w:after="200" w:line="560" w:lineRule="exact"/>
        <w:ind w:left="0" w:firstLine="567"/>
        <w:rPr>
          <w:rFonts w:ascii="宋体" w:hAnsi="宋体"/>
          <w:b/>
          <w:color w:val="auto"/>
          <w:sz w:val="28"/>
          <w:szCs w:val="28"/>
        </w:rPr>
      </w:pPr>
      <w:r>
        <w:rPr>
          <w:rFonts w:hint="eastAsia" w:ascii="宋体" w:hAnsi="宋体"/>
          <w:b/>
          <w:color w:val="auto"/>
          <w:sz w:val="28"/>
          <w:szCs w:val="28"/>
        </w:rPr>
        <w:t>项目名称：</w:t>
      </w:r>
      <w:r>
        <w:rPr>
          <w:rFonts w:hint="eastAsia" w:ascii="宋体" w:hAnsi="宋体"/>
          <w:color w:val="auto"/>
          <w:sz w:val="28"/>
          <w:szCs w:val="28"/>
          <w:lang w:val="zh-CN" w:eastAsia="zh-CN"/>
        </w:rPr>
        <w:t>都江堰市机关事务中心物业管理服务采购项目</w:t>
      </w:r>
    </w:p>
    <w:p>
      <w:pPr>
        <w:numPr>
          <w:ilvl w:val="0"/>
          <w:numId w:val="5"/>
        </w:numPr>
        <w:spacing w:after="200" w:line="560" w:lineRule="exact"/>
        <w:ind w:left="0" w:firstLine="567"/>
        <w:rPr>
          <w:rFonts w:ascii="宋体" w:hAnsi="宋体"/>
          <w:b/>
          <w:color w:val="auto"/>
          <w:sz w:val="28"/>
          <w:szCs w:val="28"/>
        </w:rPr>
      </w:pPr>
      <w:r>
        <w:rPr>
          <w:rFonts w:hint="eastAsia" w:ascii="宋体" w:hAnsi="宋体"/>
          <w:b/>
          <w:color w:val="auto"/>
          <w:sz w:val="28"/>
          <w:szCs w:val="28"/>
        </w:rPr>
        <w:t>资金来源、预算金额及最高限价：</w:t>
      </w:r>
      <w:r>
        <w:rPr>
          <w:rFonts w:hint="eastAsia" w:ascii="宋体" w:hAnsi="宋体"/>
          <w:color w:val="auto"/>
          <w:sz w:val="28"/>
          <w:szCs w:val="28"/>
        </w:rPr>
        <w:t>财政性资金，政府采购实施计划备案表号：</w:t>
      </w:r>
      <w:r>
        <w:rPr>
          <w:rFonts w:hint="eastAsia" w:ascii="宋体" w:hAnsi="宋体"/>
          <w:color w:val="auto"/>
          <w:sz w:val="28"/>
          <w:szCs w:val="28"/>
          <w:lang w:val="en-US" w:eastAsia="zh-CN"/>
        </w:rPr>
        <w:t>510181-2021</w:t>
      </w:r>
      <w:r>
        <w:rPr>
          <w:rFonts w:hint="eastAsia" w:ascii="宋体" w:hAnsi="宋体"/>
          <w:color w:val="auto"/>
          <w:sz w:val="28"/>
          <w:szCs w:val="28"/>
        </w:rPr>
        <w:t>（202</w:t>
      </w:r>
      <w:r>
        <w:rPr>
          <w:rFonts w:hint="eastAsia" w:ascii="宋体" w:hAnsi="宋体"/>
          <w:color w:val="auto"/>
          <w:sz w:val="28"/>
          <w:szCs w:val="28"/>
          <w:lang w:val="en-US" w:eastAsia="zh-CN"/>
        </w:rPr>
        <w:t>1</w:t>
      </w:r>
      <w:r>
        <w:rPr>
          <w:rFonts w:hint="eastAsia" w:ascii="宋体" w:hAnsi="宋体"/>
          <w:color w:val="auto"/>
          <w:sz w:val="28"/>
          <w:szCs w:val="28"/>
        </w:rPr>
        <w:t>）</w:t>
      </w:r>
      <w:r>
        <w:rPr>
          <w:rFonts w:hint="eastAsia" w:ascii="宋体" w:hAnsi="宋体"/>
          <w:color w:val="auto"/>
          <w:sz w:val="28"/>
          <w:szCs w:val="28"/>
          <w:lang w:val="en-US" w:eastAsia="zh-CN"/>
        </w:rPr>
        <w:t>196</w:t>
      </w:r>
      <w:r>
        <w:rPr>
          <w:rFonts w:hint="eastAsia" w:ascii="宋体" w:hAnsi="宋体"/>
          <w:color w:val="auto"/>
          <w:sz w:val="28"/>
          <w:szCs w:val="28"/>
        </w:rPr>
        <w:t>号。预算品目：C</w:t>
      </w:r>
      <w:r>
        <w:rPr>
          <w:rFonts w:hint="eastAsia" w:ascii="宋体" w:hAnsi="宋体"/>
          <w:color w:val="auto"/>
          <w:sz w:val="28"/>
          <w:szCs w:val="28"/>
          <w:lang w:val="en-US" w:eastAsia="zh-CN"/>
        </w:rPr>
        <w:t xml:space="preserve">1204 </w:t>
      </w:r>
      <w:r>
        <w:rPr>
          <w:rFonts w:hint="eastAsia" w:ascii="宋体" w:hAnsi="宋体"/>
          <w:color w:val="auto"/>
          <w:sz w:val="28"/>
          <w:szCs w:val="28"/>
          <w:lang w:eastAsia="zh-CN"/>
        </w:rPr>
        <w:t>物业管理</w:t>
      </w:r>
      <w:r>
        <w:rPr>
          <w:rFonts w:hint="eastAsia" w:ascii="宋体" w:hAnsi="宋体"/>
          <w:color w:val="auto"/>
          <w:sz w:val="28"/>
          <w:szCs w:val="28"/>
        </w:rPr>
        <w:t>服务；预算金额：</w:t>
      </w:r>
      <w:r>
        <w:rPr>
          <w:rFonts w:hint="eastAsia" w:ascii="宋体" w:hAnsi="宋体"/>
          <w:color w:val="auto"/>
          <w:sz w:val="28"/>
          <w:szCs w:val="28"/>
          <w:lang w:val="en-US" w:eastAsia="zh-CN"/>
        </w:rPr>
        <w:t>4668880</w:t>
      </w:r>
      <w:r>
        <w:rPr>
          <w:rFonts w:hint="eastAsia" w:ascii="宋体" w:hAnsi="宋体"/>
          <w:color w:val="auto"/>
          <w:sz w:val="28"/>
          <w:szCs w:val="28"/>
        </w:rPr>
        <w:t>元</w:t>
      </w:r>
      <w:r>
        <w:rPr>
          <w:rFonts w:hint="eastAsia" w:ascii="宋体" w:hAnsi="宋体"/>
          <w:color w:val="auto"/>
          <w:sz w:val="28"/>
          <w:szCs w:val="28"/>
          <w:lang w:val="en-US" w:eastAsia="zh-CN"/>
        </w:rPr>
        <w:t>/年</w:t>
      </w:r>
      <w:r>
        <w:rPr>
          <w:rFonts w:hint="eastAsia" w:ascii="宋体" w:hAnsi="宋体"/>
          <w:color w:val="auto"/>
          <w:sz w:val="28"/>
          <w:szCs w:val="28"/>
        </w:rPr>
        <w:t>；最高限价：</w:t>
      </w:r>
      <w:r>
        <w:rPr>
          <w:rFonts w:hint="eastAsia" w:ascii="宋体" w:hAnsi="宋体"/>
          <w:color w:val="auto"/>
          <w:sz w:val="28"/>
          <w:szCs w:val="28"/>
          <w:lang w:val="en-US" w:eastAsia="zh-CN"/>
        </w:rPr>
        <w:t>4668880</w:t>
      </w:r>
      <w:r>
        <w:rPr>
          <w:rFonts w:hint="eastAsia" w:ascii="宋体" w:hAnsi="宋体"/>
          <w:color w:val="auto"/>
          <w:sz w:val="28"/>
          <w:szCs w:val="28"/>
        </w:rPr>
        <w:t>元</w:t>
      </w:r>
      <w:r>
        <w:rPr>
          <w:rFonts w:hint="eastAsia" w:ascii="宋体" w:hAnsi="宋体"/>
          <w:color w:val="auto"/>
          <w:sz w:val="28"/>
          <w:szCs w:val="28"/>
          <w:lang w:val="en-US" w:eastAsia="zh-CN"/>
        </w:rPr>
        <w:t>/年</w:t>
      </w:r>
      <w:r>
        <w:rPr>
          <w:rFonts w:hint="eastAsia" w:ascii="宋体" w:hAnsi="宋体"/>
          <w:color w:val="auto"/>
          <w:sz w:val="28"/>
          <w:szCs w:val="28"/>
        </w:rPr>
        <w:t>；采购标的：</w:t>
      </w:r>
      <w:r>
        <w:rPr>
          <w:rFonts w:hint="eastAsia" w:ascii="宋体" w:hAnsi="宋体"/>
          <w:color w:val="auto"/>
          <w:sz w:val="28"/>
          <w:szCs w:val="28"/>
          <w:lang w:eastAsia="zh-CN"/>
        </w:rPr>
        <w:t>物业管理服务</w:t>
      </w:r>
      <w:r>
        <w:rPr>
          <w:rFonts w:hint="eastAsia" w:ascii="宋体" w:hAnsi="宋体"/>
          <w:color w:val="auto"/>
          <w:sz w:val="28"/>
          <w:szCs w:val="28"/>
        </w:rPr>
        <w:t>；所属行业：</w:t>
      </w:r>
      <w:r>
        <w:rPr>
          <w:rFonts w:hint="eastAsia" w:ascii="宋体" w:hAnsi="宋体"/>
          <w:color w:val="auto"/>
          <w:sz w:val="28"/>
          <w:szCs w:val="28"/>
          <w:lang w:eastAsia="zh-CN"/>
        </w:rPr>
        <w:t>物业管理</w:t>
      </w:r>
      <w:r>
        <w:rPr>
          <w:rFonts w:hint="eastAsia" w:ascii="宋体" w:hAnsi="宋体"/>
          <w:color w:val="auto"/>
          <w:sz w:val="28"/>
          <w:szCs w:val="28"/>
        </w:rPr>
        <w:t>。</w:t>
      </w:r>
    </w:p>
    <w:p>
      <w:pPr>
        <w:numPr>
          <w:ilvl w:val="0"/>
          <w:numId w:val="0"/>
        </w:numPr>
        <w:spacing w:after="200" w:line="560" w:lineRule="exact"/>
        <w:ind w:firstLine="564" w:firstLineChars="200"/>
        <w:rPr>
          <w:rFonts w:ascii="宋体" w:hAnsi="宋体"/>
          <w:b/>
          <w:color w:val="auto"/>
          <w:sz w:val="28"/>
          <w:szCs w:val="28"/>
        </w:rPr>
      </w:pPr>
      <w:r>
        <w:rPr>
          <w:rFonts w:hint="eastAsia" w:ascii="宋体" w:hAnsi="宋体"/>
          <w:b/>
          <w:color w:val="auto"/>
          <w:sz w:val="28"/>
          <w:szCs w:val="28"/>
          <w:lang w:eastAsia="zh-CN"/>
        </w:rPr>
        <w:t>四、</w:t>
      </w:r>
      <w:r>
        <w:rPr>
          <w:rFonts w:hint="eastAsia" w:ascii="宋体" w:hAnsi="宋体"/>
          <w:b/>
          <w:color w:val="auto"/>
          <w:sz w:val="28"/>
          <w:szCs w:val="28"/>
        </w:rPr>
        <w:t>招标项目简介</w:t>
      </w:r>
    </w:p>
    <w:p>
      <w:pPr>
        <w:spacing w:line="600" w:lineRule="exact"/>
        <w:ind w:firstLine="564" w:firstLineChars="200"/>
        <w:rPr>
          <w:rFonts w:ascii="宋体" w:hAnsi="宋体"/>
          <w:color w:val="auto"/>
          <w:sz w:val="28"/>
          <w:szCs w:val="28"/>
        </w:rPr>
      </w:pPr>
      <w:r>
        <w:rPr>
          <w:rFonts w:hint="eastAsia" w:ascii="宋体" w:hAnsi="宋体"/>
          <w:color w:val="auto"/>
          <w:sz w:val="28"/>
          <w:szCs w:val="28"/>
        </w:rPr>
        <w:t>本次采购服务内容为都江堰市市委机关办公区、市政府机关办公区（含武装部部分办公区）、市人大</w:t>
      </w:r>
      <w:r>
        <w:rPr>
          <w:rFonts w:hint="eastAsia" w:ascii="宋体" w:hAnsi="宋体"/>
          <w:color w:val="auto"/>
          <w:sz w:val="28"/>
          <w:szCs w:val="28"/>
          <w:lang w:val="en-US" w:eastAsia="zh-CN"/>
        </w:rPr>
        <w:t>机关</w:t>
      </w:r>
      <w:r>
        <w:rPr>
          <w:rFonts w:hint="eastAsia" w:ascii="宋体" w:hAnsi="宋体"/>
          <w:color w:val="auto"/>
          <w:sz w:val="28"/>
          <w:szCs w:val="28"/>
        </w:rPr>
        <w:t>办公区和市政协机关办公区</w:t>
      </w:r>
      <w:r>
        <w:rPr>
          <w:rFonts w:hint="eastAsia" w:ascii="宋体" w:hAnsi="宋体"/>
          <w:color w:val="auto"/>
          <w:sz w:val="28"/>
          <w:szCs w:val="28"/>
          <w:lang w:val="en-US" w:eastAsia="zh-CN"/>
        </w:rPr>
        <w:t>及</w:t>
      </w:r>
      <w:r>
        <w:rPr>
          <w:rFonts w:hint="eastAsia" w:ascii="宋体" w:hAnsi="宋体"/>
          <w:color w:val="auto"/>
          <w:sz w:val="28"/>
          <w:szCs w:val="28"/>
        </w:rPr>
        <w:t>周转房物业管理服务</w:t>
      </w:r>
      <w:r>
        <w:rPr>
          <w:rFonts w:hint="eastAsia" w:ascii="宋体" w:hAnsi="宋体"/>
          <w:color w:val="auto"/>
          <w:sz w:val="28"/>
          <w:szCs w:val="28"/>
          <w:lang w:eastAsia="zh-CN"/>
        </w:rPr>
        <w:t>，服务期为两年，合同一年一签。</w:t>
      </w:r>
    </w:p>
    <w:p>
      <w:pPr>
        <w:pStyle w:val="2"/>
        <w:ind w:firstLine="564" w:firstLineChars="200"/>
        <w:rPr>
          <w:b/>
          <w:color w:val="auto"/>
        </w:rPr>
      </w:pPr>
      <w:r>
        <w:rPr>
          <w:rFonts w:hint="eastAsia" w:ascii="宋体" w:hAnsi="宋体"/>
          <w:color w:val="auto"/>
          <w:sz w:val="28"/>
          <w:szCs w:val="28"/>
        </w:rPr>
        <w:t>详细的服务、商务及其他要求见招标文件第4章。</w:t>
      </w:r>
    </w:p>
    <w:p>
      <w:pPr>
        <w:numPr>
          <w:ilvl w:val="0"/>
          <w:numId w:val="0"/>
        </w:numPr>
        <w:spacing w:after="200" w:line="560" w:lineRule="exact"/>
        <w:ind w:firstLine="564" w:firstLineChars="200"/>
        <w:rPr>
          <w:rFonts w:ascii="宋体" w:hAnsi="宋体"/>
          <w:b/>
          <w:color w:val="auto"/>
          <w:sz w:val="28"/>
          <w:szCs w:val="28"/>
        </w:rPr>
      </w:pPr>
      <w:r>
        <w:rPr>
          <w:rFonts w:hint="eastAsia" w:ascii="宋体" w:hAnsi="宋体"/>
          <w:b/>
          <w:color w:val="auto"/>
          <w:sz w:val="28"/>
          <w:szCs w:val="28"/>
          <w:lang w:eastAsia="zh-CN"/>
        </w:rPr>
        <w:t>五、</w:t>
      </w:r>
      <w:r>
        <w:rPr>
          <w:rFonts w:hint="eastAsia" w:ascii="宋体" w:hAnsi="宋体"/>
          <w:b/>
          <w:color w:val="auto"/>
          <w:sz w:val="28"/>
          <w:szCs w:val="28"/>
        </w:rPr>
        <w:t>供应商参加本次政府采购活动应具备的条件</w:t>
      </w:r>
    </w:p>
    <w:p>
      <w:pPr>
        <w:spacing w:line="560" w:lineRule="exact"/>
        <w:ind w:firstLine="569" w:firstLineChars="202"/>
        <w:rPr>
          <w:rFonts w:ascii="宋体" w:hAnsi="宋体"/>
          <w:color w:val="auto"/>
          <w:sz w:val="28"/>
          <w:szCs w:val="28"/>
        </w:rPr>
      </w:pPr>
      <w:r>
        <w:rPr>
          <w:rFonts w:hint="eastAsia" w:ascii="宋体" w:hAnsi="宋体"/>
          <w:color w:val="auto"/>
          <w:sz w:val="28"/>
          <w:szCs w:val="28"/>
        </w:rPr>
        <w:t>（一）符合《政府采购法》第二十二条第一款规定的条件；</w:t>
      </w:r>
    </w:p>
    <w:p>
      <w:pPr>
        <w:tabs>
          <w:tab w:val="left" w:pos="1134"/>
        </w:tabs>
        <w:spacing w:line="560" w:lineRule="exact"/>
        <w:ind w:left="7" w:firstLine="564" w:firstLineChars="200"/>
        <w:rPr>
          <w:color w:val="auto"/>
        </w:rPr>
      </w:pPr>
      <w:r>
        <w:rPr>
          <w:rFonts w:hint="eastAsia" w:ascii="宋体" w:hAnsi="宋体"/>
          <w:color w:val="auto"/>
          <w:sz w:val="28"/>
          <w:szCs w:val="28"/>
        </w:rPr>
        <w:t>（二）在中华人民共和国境内依法登记注册，并有效存续具有独立法人资格的供应商；</w:t>
      </w:r>
    </w:p>
    <w:p>
      <w:pPr>
        <w:tabs>
          <w:tab w:val="left" w:pos="1134"/>
        </w:tabs>
        <w:spacing w:line="560" w:lineRule="exact"/>
        <w:ind w:left="7" w:firstLine="564" w:firstLineChars="200"/>
        <w:rPr>
          <w:rFonts w:ascii="宋体" w:hAnsi="宋体"/>
          <w:color w:val="auto"/>
          <w:sz w:val="28"/>
          <w:szCs w:val="28"/>
        </w:rPr>
      </w:pPr>
      <w:r>
        <w:rPr>
          <w:rFonts w:hint="eastAsia" w:ascii="宋体" w:hAnsi="宋体"/>
          <w:color w:val="auto"/>
          <w:sz w:val="28"/>
          <w:szCs w:val="28"/>
        </w:rPr>
        <w:t xml:space="preserve">（三）未被列入失信被执行人、重大税收违法案件当事人名单、政府采购严重违法失信行为记录名单； </w:t>
      </w:r>
    </w:p>
    <w:p>
      <w:pPr>
        <w:tabs>
          <w:tab w:val="left" w:pos="1134"/>
        </w:tabs>
        <w:spacing w:line="560" w:lineRule="exact"/>
        <w:ind w:left="7" w:firstLine="564" w:firstLineChars="200"/>
        <w:rPr>
          <w:rFonts w:ascii="宋体" w:hAnsi="宋体"/>
          <w:color w:val="auto"/>
          <w:sz w:val="28"/>
          <w:szCs w:val="28"/>
        </w:rPr>
      </w:pPr>
      <w:r>
        <w:rPr>
          <w:rFonts w:hint="eastAsia" w:ascii="宋体" w:hAnsi="宋体"/>
          <w:color w:val="auto"/>
          <w:sz w:val="28"/>
          <w:szCs w:val="28"/>
        </w:rPr>
        <w:t>（四）在行贿犯罪信息查询期限内，投标人及其现任法定代表人、主要负责人没有行贿犯罪记录；</w:t>
      </w:r>
    </w:p>
    <w:p>
      <w:pPr>
        <w:pStyle w:val="2"/>
        <w:ind w:firstLine="564" w:firstLineChars="200"/>
        <w:rPr>
          <w:color w:val="auto"/>
        </w:rPr>
      </w:pPr>
      <w:r>
        <w:rPr>
          <w:rFonts w:hint="eastAsia" w:ascii="宋体" w:hAnsi="宋体"/>
          <w:color w:val="auto"/>
          <w:sz w:val="28"/>
          <w:szCs w:val="28"/>
        </w:rPr>
        <w:t>（五）未处于被行政部门禁止参与政府采购活动的期限内；</w:t>
      </w:r>
    </w:p>
    <w:p>
      <w:pPr>
        <w:tabs>
          <w:tab w:val="left" w:pos="1134"/>
        </w:tabs>
        <w:spacing w:line="560" w:lineRule="exact"/>
        <w:ind w:left="7" w:firstLine="564" w:firstLineChars="200"/>
        <w:rPr>
          <w:rFonts w:ascii="宋体" w:hAnsi="宋体"/>
          <w:color w:val="auto"/>
          <w:sz w:val="28"/>
          <w:szCs w:val="28"/>
        </w:rPr>
      </w:pPr>
      <w:r>
        <w:rPr>
          <w:rFonts w:hint="eastAsia" w:ascii="宋体" w:hAnsi="宋体"/>
          <w:color w:val="auto"/>
          <w:sz w:val="28"/>
          <w:szCs w:val="28"/>
        </w:rPr>
        <w:t>（六）不属于其他国家相关法律法规规定的禁止参加投标的供应商；</w:t>
      </w:r>
    </w:p>
    <w:p>
      <w:pPr>
        <w:pStyle w:val="153"/>
        <w:tabs>
          <w:tab w:val="left" w:pos="0"/>
          <w:tab w:val="left" w:pos="993"/>
          <w:tab w:val="left" w:pos="1418"/>
          <w:tab w:val="left" w:pos="1560"/>
        </w:tabs>
        <w:spacing w:line="560" w:lineRule="exact"/>
        <w:ind w:left="7" w:firstLine="560"/>
        <w:rPr>
          <w:rFonts w:hint="eastAsia" w:ascii="宋体" w:hAnsi="宋体"/>
          <w:color w:val="auto"/>
          <w:sz w:val="28"/>
          <w:szCs w:val="28"/>
        </w:rPr>
      </w:pPr>
      <w:r>
        <w:rPr>
          <w:rFonts w:hint="eastAsia" w:ascii="宋体" w:hAnsi="宋体"/>
          <w:color w:val="auto"/>
          <w:sz w:val="28"/>
          <w:szCs w:val="28"/>
        </w:rPr>
        <w:t>（七）本项目</w:t>
      </w:r>
      <w:r>
        <w:rPr>
          <w:rFonts w:hint="eastAsia" w:ascii="宋体" w:hAnsi="宋体"/>
          <w:b/>
          <w:bCs/>
          <w:color w:val="auto"/>
          <w:sz w:val="28"/>
          <w:szCs w:val="28"/>
        </w:rPr>
        <w:t>不接受</w:t>
      </w:r>
      <w:r>
        <w:rPr>
          <w:rFonts w:hint="eastAsia" w:ascii="宋体" w:hAnsi="宋体"/>
          <w:color w:val="auto"/>
          <w:sz w:val="28"/>
          <w:szCs w:val="28"/>
        </w:rPr>
        <w:t>联合体投标。</w:t>
      </w:r>
    </w:p>
    <w:p>
      <w:pPr>
        <w:pStyle w:val="153"/>
        <w:tabs>
          <w:tab w:val="left" w:pos="0"/>
          <w:tab w:val="left" w:pos="993"/>
          <w:tab w:val="left" w:pos="1418"/>
          <w:tab w:val="left" w:pos="1560"/>
        </w:tabs>
        <w:spacing w:line="560" w:lineRule="exact"/>
        <w:ind w:left="7" w:firstLine="560"/>
        <w:rPr>
          <w:rFonts w:hint="eastAsia" w:ascii="宋体" w:hAnsi="宋体"/>
          <w:color w:val="auto"/>
          <w:sz w:val="28"/>
          <w:szCs w:val="28"/>
          <w:lang w:val="en-US" w:eastAsia="zh-CN"/>
        </w:rPr>
      </w:pPr>
      <w:r>
        <w:rPr>
          <w:rFonts w:hint="eastAsia" w:ascii="宋体" w:hAnsi="宋体"/>
          <w:color w:val="auto"/>
          <w:sz w:val="28"/>
          <w:szCs w:val="28"/>
          <w:lang w:val="en-US" w:eastAsia="zh-CN"/>
        </w:rPr>
        <w:t>（八）根据采购项目提出的特殊资格条件：</w:t>
      </w:r>
    </w:p>
    <w:p>
      <w:pPr>
        <w:pStyle w:val="2"/>
        <w:jc w:val="center"/>
        <w:rPr>
          <w:rFonts w:hint="default" w:ascii="仿宋" w:hAnsi="仿宋" w:eastAsia="仿宋"/>
          <w:color w:val="FF0000"/>
          <w:kern w:val="2"/>
          <w:sz w:val="32"/>
          <w:szCs w:val="32"/>
          <w:shd w:val="clear" w:color="auto" w:fill="auto"/>
          <w:lang w:val="en-US" w:eastAsia="zh-CN" w:bidi="ar-SA"/>
        </w:rPr>
      </w:pPr>
      <w:r>
        <w:rPr>
          <w:rFonts w:hint="eastAsia" w:ascii="仿宋" w:hAnsi="仿宋" w:eastAsia="仿宋"/>
          <w:color w:val="FF0000"/>
          <w:sz w:val="32"/>
          <w:szCs w:val="32"/>
          <w:shd w:val="clear" w:color="auto" w:fill="auto"/>
          <w:lang w:val="en-US" w:eastAsia="zh-CN"/>
        </w:rPr>
        <w:t>无</w:t>
      </w:r>
    </w:p>
    <w:p>
      <w:pPr>
        <w:numPr>
          <w:ilvl w:val="0"/>
          <w:numId w:val="0"/>
        </w:numPr>
        <w:spacing w:after="200" w:line="560" w:lineRule="exact"/>
        <w:ind w:left="567" w:leftChars="0" w:firstLine="282" w:firstLineChars="100"/>
        <w:rPr>
          <w:rFonts w:ascii="宋体" w:hAnsi="宋体"/>
          <w:b/>
          <w:color w:val="auto"/>
          <w:sz w:val="28"/>
          <w:szCs w:val="28"/>
        </w:rPr>
      </w:pPr>
      <w:r>
        <w:rPr>
          <w:rFonts w:hint="eastAsia" w:ascii="宋体" w:hAnsi="宋体"/>
          <w:b/>
          <w:color w:val="auto"/>
          <w:sz w:val="28"/>
          <w:szCs w:val="28"/>
          <w:lang w:eastAsia="zh-CN"/>
        </w:rPr>
        <w:t>六、</w:t>
      </w:r>
      <w:r>
        <w:rPr>
          <w:rFonts w:hint="eastAsia" w:ascii="宋体" w:hAnsi="宋体"/>
          <w:b/>
          <w:color w:val="auto"/>
          <w:sz w:val="28"/>
          <w:szCs w:val="28"/>
        </w:rPr>
        <w:t>招标文件获取时间</w:t>
      </w:r>
    </w:p>
    <w:p>
      <w:pPr>
        <w:numPr>
          <w:ilvl w:val="0"/>
          <w:numId w:val="6"/>
        </w:numPr>
        <w:spacing w:line="360" w:lineRule="auto"/>
        <w:ind w:left="0" w:firstLine="567"/>
        <w:rPr>
          <w:rFonts w:ascii="宋体" w:hAnsi="宋体"/>
          <w:b/>
          <w:color w:val="auto"/>
          <w:sz w:val="28"/>
        </w:rPr>
      </w:pPr>
      <w:r>
        <w:rPr>
          <w:rFonts w:hint="eastAsia" w:ascii="宋体" w:hAnsi="宋体"/>
          <w:b/>
          <w:color w:val="auto"/>
          <w:sz w:val="28"/>
          <w:szCs w:val="28"/>
        </w:rPr>
        <w:t>招标文件获取时间：2021年</w:t>
      </w:r>
      <w:r>
        <w:rPr>
          <w:rFonts w:hint="eastAsia" w:ascii="宋体" w:hAnsi="宋体"/>
          <w:b/>
          <w:color w:val="auto"/>
          <w:sz w:val="28"/>
          <w:szCs w:val="28"/>
          <w:lang w:val="en-US" w:eastAsia="zh-CN"/>
        </w:rPr>
        <w:t>8</w:t>
      </w:r>
      <w:r>
        <w:rPr>
          <w:rFonts w:hint="eastAsia" w:ascii="宋体" w:hAnsi="宋体"/>
          <w:b/>
          <w:color w:val="auto"/>
          <w:sz w:val="28"/>
          <w:szCs w:val="28"/>
        </w:rPr>
        <w:t>月</w:t>
      </w:r>
      <w:r>
        <w:rPr>
          <w:rFonts w:hint="eastAsia" w:ascii="宋体" w:hAnsi="宋体"/>
          <w:b/>
          <w:color w:val="auto"/>
          <w:sz w:val="28"/>
          <w:szCs w:val="28"/>
          <w:lang w:val="en-US" w:eastAsia="zh-CN"/>
        </w:rPr>
        <w:t>24</w:t>
      </w:r>
      <w:r>
        <w:rPr>
          <w:rFonts w:hint="eastAsia" w:ascii="宋体" w:hAnsi="宋体"/>
          <w:b/>
          <w:color w:val="auto"/>
          <w:sz w:val="28"/>
          <w:szCs w:val="28"/>
        </w:rPr>
        <w:t>日至</w:t>
      </w:r>
      <w:r>
        <w:rPr>
          <w:rFonts w:hint="eastAsia" w:ascii="宋体" w:hAnsi="宋体"/>
          <w:b/>
          <w:color w:val="auto"/>
          <w:sz w:val="28"/>
          <w:szCs w:val="28"/>
          <w:lang w:val="en-US" w:eastAsia="zh-CN"/>
        </w:rPr>
        <w:t>9</w:t>
      </w:r>
      <w:r>
        <w:rPr>
          <w:rFonts w:hint="eastAsia" w:ascii="宋体" w:hAnsi="宋体"/>
          <w:b/>
          <w:color w:val="auto"/>
          <w:sz w:val="28"/>
          <w:szCs w:val="28"/>
        </w:rPr>
        <w:t>月</w:t>
      </w:r>
      <w:r>
        <w:rPr>
          <w:rFonts w:hint="eastAsia" w:ascii="宋体" w:hAnsi="宋体"/>
          <w:b/>
          <w:color w:val="auto"/>
          <w:sz w:val="28"/>
          <w:szCs w:val="28"/>
          <w:lang w:val="en-US" w:eastAsia="zh-CN"/>
        </w:rPr>
        <w:t>14</w:t>
      </w:r>
      <w:r>
        <w:rPr>
          <w:rFonts w:hint="eastAsia" w:ascii="宋体" w:hAnsi="宋体"/>
          <w:b/>
          <w:color w:val="auto"/>
          <w:sz w:val="28"/>
          <w:szCs w:val="28"/>
        </w:rPr>
        <w:t>日。</w:t>
      </w:r>
    </w:p>
    <w:p>
      <w:pPr>
        <w:numPr>
          <w:ilvl w:val="0"/>
          <w:numId w:val="6"/>
        </w:numPr>
        <w:spacing w:line="360" w:lineRule="auto"/>
        <w:ind w:left="0" w:firstLine="567"/>
        <w:rPr>
          <w:rFonts w:ascii="宋体" w:hAnsi="宋体"/>
          <w:b/>
          <w:color w:val="auto"/>
          <w:sz w:val="28"/>
        </w:rPr>
      </w:pPr>
      <w:r>
        <w:rPr>
          <w:rFonts w:hint="eastAsia" w:ascii="宋体" w:hAnsi="宋体"/>
          <w:b/>
          <w:color w:val="auto"/>
          <w:sz w:val="28"/>
          <w:szCs w:val="28"/>
        </w:rPr>
        <w:t>公告期限：2021年</w:t>
      </w:r>
      <w:r>
        <w:rPr>
          <w:rFonts w:hint="eastAsia" w:ascii="宋体" w:hAnsi="宋体"/>
          <w:b/>
          <w:color w:val="auto"/>
          <w:sz w:val="28"/>
          <w:szCs w:val="28"/>
          <w:lang w:val="en-US" w:eastAsia="zh-CN"/>
        </w:rPr>
        <w:t>8</w:t>
      </w:r>
      <w:r>
        <w:rPr>
          <w:rFonts w:hint="eastAsia" w:ascii="宋体" w:hAnsi="宋体"/>
          <w:b/>
          <w:color w:val="auto"/>
          <w:sz w:val="28"/>
          <w:szCs w:val="28"/>
        </w:rPr>
        <w:t>月</w:t>
      </w:r>
      <w:r>
        <w:rPr>
          <w:rFonts w:hint="eastAsia" w:ascii="宋体" w:hAnsi="宋体"/>
          <w:b/>
          <w:color w:val="auto"/>
          <w:sz w:val="28"/>
          <w:szCs w:val="28"/>
          <w:lang w:val="en-US" w:eastAsia="zh-CN"/>
        </w:rPr>
        <w:t>24</w:t>
      </w:r>
      <w:r>
        <w:rPr>
          <w:rFonts w:hint="eastAsia" w:ascii="宋体" w:hAnsi="宋体"/>
          <w:b/>
          <w:color w:val="auto"/>
          <w:sz w:val="28"/>
          <w:szCs w:val="28"/>
        </w:rPr>
        <w:t>日至</w:t>
      </w:r>
      <w:r>
        <w:rPr>
          <w:rFonts w:hint="eastAsia" w:ascii="宋体" w:hAnsi="宋体"/>
          <w:b/>
          <w:color w:val="auto"/>
          <w:sz w:val="28"/>
          <w:szCs w:val="28"/>
          <w:lang w:val="en-US" w:eastAsia="zh-CN"/>
        </w:rPr>
        <w:t>8</w:t>
      </w:r>
      <w:r>
        <w:rPr>
          <w:rFonts w:hint="eastAsia" w:ascii="宋体" w:hAnsi="宋体"/>
          <w:b/>
          <w:color w:val="auto"/>
          <w:sz w:val="28"/>
          <w:szCs w:val="28"/>
        </w:rPr>
        <w:t>月</w:t>
      </w:r>
      <w:r>
        <w:rPr>
          <w:rFonts w:hint="eastAsia" w:ascii="宋体" w:hAnsi="宋体"/>
          <w:b/>
          <w:color w:val="auto"/>
          <w:sz w:val="28"/>
          <w:szCs w:val="28"/>
          <w:lang w:val="en-US" w:eastAsia="zh-CN"/>
        </w:rPr>
        <w:t>31</w:t>
      </w:r>
      <w:r>
        <w:rPr>
          <w:rFonts w:hint="eastAsia" w:ascii="宋体" w:hAnsi="宋体"/>
          <w:b/>
          <w:color w:val="auto"/>
          <w:sz w:val="28"/>
          <w:szCs w:val="28"/>
        </w:rPr>
        <w:t>日。</w:t>
      </w:r>
    </w:p>
    <w:p>
      <w:pPr>
        <w:spacing w:line="580" w:lineRule="exact"/>
        <w:ind w:firstLine="564" w:firstLineChars="200"/>
        <w:rPr>
          <w:color w:val="auto"/>
        </w:rPr>
      </w:pPr>
      <w:r>
        <w:rPr>
          <w:rFonts w:hint="eastAsia" w:ascii="宋体" w:hAnsi="宋体"/>
          <w:color w:val="auto"/>
          <w:sz w:val="28"/>
          <w:szCs w:val="28"/>
          <w:lang w:eastAsia="zh-CN"/>
        </w:rPr>
        <w:t>（三）</w:t>
      </w:r>
      <w:r>
        <w:rPr>
          <w:rFonts w:hint="eastAsia" w:ascii="宋体" w:hAnsi="宋体"/>
          <w:color w:val="auto"/>
          <w:sz w:val="28"/>
          <w:szCs w:val="28"/>
        </w:rPr>
        <w:t>供应商如对</w:t>
      </w:r>
      <w:r>
        <w:rPr>
          <w:rFonts w:hint="eastAsia" w:ascii="宋体" w:hAnsi="宋体"/>
          <w:color w:val="auto"/>
          <w:sz w:val="28"/>
          <w:szCs w:val="28"/>
          <w:lang w:eastAsia="zh-CN"/>
        </w:rPr>
        <w:t>招标</w:t>
      </w:r>
      <w:r>
        <w:rPr>
          <w:rFonts w:hint="eastAsia" w:ascii="宋体" w:hAnsi="宋体"/>
          <w:color w:val="auto"/>
          <w:sz w:val="28"/>
          <w:szCs w:val="28"/>
        </w:rPr>
        <w:t>文件有质疑的，应于公告期限届满之日起七个工作日内以书面形式提出。</w:t>
      </w:r>
    </w:p>
    <w:p>
      <w:pPr>
        <w:numPr>
          <w:ilvl w:val="0"/>
          <w:numId w:val="0"/>
        </w:numPr>
        <w:spacing w:after="200" w:line="560" w:lineRule="exact"/>
        <w:ind w:left="567" w:leftChars="0" w:firstLine="282" w:firstLineChars="100"/>
        <w:rPr>
          <w:rFonts w:ascii="宋体" w:hAnsi="宋体"/>
          <w:b/>
          <w:color w:val="auto"/>
          <w:sz w:val="28"/>
          <w:szCs w:val="28"/>
        </w:rPr>
      </w:pPr>
      <w:r>
        <w:rPr>
          <w:rFonts w:hint="eastAsia" w:ascii="宋体" w:hAnsi="宋体"/>
          <w:b/>
          <w:color w:val="auto"/>
          <w:sz w:val="28"/>
          <w:szCs w:val="28"/>
          <w:lang w:eastAsia="zh-CN"/>
        </w:rPr>
        <w:t>七、</w:t>
      </w:r>
      <w:r>
        <w:rPr>
          <w:rFonts w:hint="eastAsia" w:ascii="宋体" w:hAnsi="宋体"/>
          <w:b/>
          <w:color w:val="auto"/>
          <w:sz w:val="28"/>
          <w:szCs w:val="28"/>
        </w:rPr>
        <w:t>招标文件获取方式</w:t>
      </w:r>
    </w:p>
    <w:p>
      <w:pPr>
        <w:spacing w:line="360" w:lineRule="auto"/>
        <w:ind w:firstLine="569" w:firstLineChars="202"/>
        <w:rPr>
          <w:rFonts w:ascii="宋体" w:hAnsi="宋体"/>
          <w:color w:val="auto"/>
          <w:sz w:val="28"/>
          <w:szCs w:val="28"/>
          <w:highlight w:val="yellow"/>
        </w:rPr>
      </w:pPr>
      <w:r>
        <w:rPr>
          <w:rFonts w:hint="eastAsia" w:ascii="宋体" w:hAnsi="宋体"/>
          <w:color w:val="auto"/>
          <w:sz w:val="28"/>
          <w:szCs w:val="28"/>
        </w:rPr>
        <w:t>投标人要参加投标，应在</w:t>
      </w:r>
      <w:r>
        <w:rPr>
          <w:rFonts w:hint="eastAsia" w:ascii="宋体" w:hAnsi="宋体"/>
          <w:color w:val="auto"/>
          <w:sz w:val="28"/>
          <w:szCs w:val="28"/>
          <w:lang w:eastAsia="zh-CN"/>
        </w:rPr>
        <w:t>成都市公共资源交易服务中心</w:t>
      </w:r>
      <w:r>
        <w:rPr>
          <w:rFonts w:hint="eastAsia" w:ascii="宋体" w:hAnsi="宋体"/>
          <w:color w:val="auto"/>
          <w:sz w:val="28"/>
          <w:szCs w:val="28"/>
        </w:rPr>
        <w:t>“政府采购云平台”获取采购文件。登录</w:t>
      </w:r>
      <w:r>
        <w:rPr>
          <w:rFonts w:hint="eastAsia" w:ascii="宋体" w:hAnsi="宋体"/>
          <w:color w:val="auto"/>
          <w:sz w:val="28"/>
          <w:szCs w:val="28"/>
          <w:lang w:eastAsia="zh-CN"/>
        </w:rPr>
        <w:t>成都市公共资源交易服务中心</w:t>
      </w:r>
      <w:r>
        <w:rPr>
          <w:rFonts w:hint="eastAsia" w:ascii="宋体" w:hAnsi="宋体"/>
          <w:color w:val="auto"/>
          <w:sz w:val="28"/>
          <w:szCs w:val="28"/>
        </w:rPr>
        <w:t>门户网站（https://www.cdggzy.com/）—用户中心—政府采购云平台—项目采购—获取采购文件—申请获取采购文件。</w:t>
      </w:r>
    </w:p>
    <w:p>
      <w:pPr>
        <w:spacing w:line="360" w:lineRule="auto"/>
        <w:ind w:firstLine="569" w:firstLineChars="202"/>
        <w:rPr>
          <w:rFonts w:ascii="宋体" w:hAnsi="宋体"/>
          <w:color w:val="auto"/>
          <w:sz w:val="28"/>
          <w:szCs w:val="28"/>
        </w:rPr>
      </w:pPr>
      <w:r>
        <w:rPr>
          <w:rFonts w:hint="eastAsia" w:ascii="宋体" w:hAnsi="宋体"/>
          <w:color w:val="auto"/>
          <w:sz w:val="28"/>
          <w:szCs w:val="28"/>
        </w:rPr>
        <w:t>提示：</w:t>
      </w:r>
    </w:p>
    <w:p>
      <w:pPr>
        <w:spacing w:line="360" w:lineRule="auto"/>
        <w:ind w:firstLine="569" w:firstLineChars="202"/>
        <w:rPr>
          <w:rFonts w:ascii="宋体" w:hAnsi="宋体"/>
          <w:color w:val="auto"/>
          <w:sz w:val="28"/>
          <w:szCs w:val="28"/>
        </w:rPr>
      </w:pPr>
      <w:r>
        <w:rPr>
          <w:rFonts w:hint="eastAsia" w:ascii="宋体" w:hAnsi="宋体"/>
          <w:color w:val="auto"/>
          <w:sz w:val="28"/>
          <w:szCs w:val="28"/>
        </w:rPr>
        <w:t>（1）本项目采购文件免费获取。</w:t>
      </w:r>
    </w:p>
    <w:p>
      <w:pPr>
        <w:spacing w:line="360" w:lineRule="auto"/>
        <w:ind w:firstLine="569" w:firstLineChars="202"/>
        <w:rPr>
          <w:rFonts w:ascii="宋体" w:hAnsi="宋体"/>
          <w:color w:val="auto"/>
          <w:sz w:val="28"/>
          <w:szCs w:val="28"/>
        </w:rPr>
      </w:pPr>
      <w:r>
        <w:rPr>
          <w:rFonts w:hint="eastAsia" w:ascii="宋体" w:hAnsi="宋体"/>
          <w:color w:val="auto"/>
          <w:sz w:val="28"/>
          <w:szCs w:val="28"/>
        </w:rPr>
        <w:t>（2）</w:t>
      </w:r>
      <w:r>
        <w:rPr>
          <w:rFonts w:hint="eastAsia" w:ascii="宋体" w:hAnsi="宋体"/>
          <w:color w:val="auto"/>
          <w:sz w:val="28"/>
          <w:szCs w:val="28"/>
          <w:lang w:eastAsia="zh-CN"/>
        </w:rPr>
        <w:t>成都市公共资源交易服务中心</w:t>
      </w:r>
      <w:r>
        <w:rPr>
          <w:rFonts w:hint="eastAsia" w:ascii="宋体" w:hAnsi="宋体"/>
          <w:color w:val="auto"/>
          <w:sz w:val="28"/>
          <w:szCs w:val="28"/>
        </w:rPr>
        <w:t>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spacing w:line="360" w:lineRule="auto"/>
        <w:ind w:firstLine="569" w:firstLineChars="202"/>
        <w:rPr>
          <w:rFonts w:ascii="宋体" w:hAnsi="宋体"/>
          <w:color w:val="auto"/>
          <w:sz w:val="28"/>
          <w:szCs w:val="28"/>
        </w:rPr>
      </w:pPr>
      <w:r>
        <w:rPr>
          <w:rFonts w:hint="eastAsia" w:ascii="宋体" w:hAnsi="宋体"/>
          <w:color w:val="auto"/>
          <w:sz w:val="28"/>
          <w:szCs w:val="28"/>
        </w:rPr>
        <w:t>（3）首次登录</w:t>
      </w:r>
      <w:r>
        <w:rPr>
          <w:rFonts w:hint="eastAsia" w:ascii="宋体" w:hAnsi="宋体"/>
          <w:color w:val="auto"/>
          <w:sz w:val="28"/>
          <w:szCs w:val="28"/>
          <w:lang w:eastAsia="zh-CN"/>
        </w:rPr>
        <w:t>成都市公共资源交易服务中心</w:t>
      </w:r>
      <w:r>
        <w:rPr>
          <w:rFonts w:hint="eastAsia" w:ascii="宋体" w:hAnsi="宋体"/>
          <w:color w:val="auto"/>
          <w:sz w:val="28"/>
          <w:szCs w:val="28"/>
        </w:rPr>
        <w:t>门户网站的新用户应先点击“注册新用户”，注册成功后再登录。</w:t>
      </w:r>
    </w:p>
    <w:p>
      <w:pPr>
        <w:spacing w:line="360" w:lineRule="auto"/>
        <w:ind w:firstLine="569" w:firstLineChars="202"/>
        <w:rPr>
          <w:rFonts w:ascii="宋体" w:hAnsi="宋体"/>
          <w:color w:val="auto"/>
          <w:sz w:val="28"/>
          <w:szCs w:val="28"/>
        </w:rPr>
      </w:pPr>
      <w:r>
        <w:rPr>
          <w:rFonts w:hint="eastAsia" w:ascii="宋体" w:hAnsi="宋体"/>
          <w:color w:val="auto"/>
          <w:sz w:val="28"/>
          <w:szCs w:val="28"/>
        </w:rPr>
        <w:t>（4）本项目为电子招标投标项目，投标人参与本项目全过程中凡涉及系统操作请详见《成都市全流程电子化采购系统操作指南——供应商版》。</w:t>
      </w:r>
      <w:bookmarkStart w:id="12" w:name="_Toc184013605"/>
      <w:bookmarkStart w:id="13" w:name="_Toc180051012"/>
      <w:bookmarkStart w:id="14" w:name="_Toc186274101"/>
      <w:bookmarkStart w:id="15" w:name="_Toc184023104"/>
      <w:bookmarkStart w:id="16" w:name="_Toc174185149"/>
      <w:r>
        <w:rPr>
          <w:rFonts w:hint="eastAsia" w:ascii="宋体" w:hAnsi="宋体"/>
          <w:color w:val="auto"/>
          <w:sz w:val="28"/>
          <w:szCs w:val="28"/>
        </w:rPr>
        <w:t>（操作指南请登录政府采购云平台后，点击“前台大厅</w:t>
      </w:r>
      <w:r>
        <w:rPr>
          <w:rFonts w:ascii="宋体" w:hAnsi="宋体"/>
          <w:color w:val="auto"/>
          <w:sz w:val="28"/>
          <w:szCs w:val="28"/>
        </w:rPr>
        <w:t>—</w:t>
      </w:r>
      <w:r>
        <w:rPr>
          <w:rFonts w:hint="eastAsia" w:ascii="宋体" w:hAnsi="宋体"/>
          <w:color w:val="auto"/>
          <w:sz w:val="28"/>
          <w:szCs w:val="28"/>
        </w:rPr>
        <w:t>操作指南</w:t>
      </w:r>
      <w:r>
        <w:rPr>
          <w:rFonts w:ascii="宋体" w:hAnsi="宋体"/>
          <w:color w:val="auto"/>
          <w:sz w:val="28"/>
          <w:szCs w:val="28"/>
        </w:rPr>
        <w:t>—</w:t>
      </w:r>
      <w:r>
        <w:rPr>
          <w:rFonts w:hint="eastAsia" w:ascii="宋体" w:hAnsi="宋体"/>
          <w:color w:val="auto"/>
          <w:sz w:val="28"/>
          <w:szCs w:val="28"/>
        </w:rPr>
        <w:t>供应商”处下载查看）。</w:t>
      </w:r>
    </w:p>
    <w:p>
      <w:pPr>
        <w:numPr>
          <w:ilvl w:val="0"/>
          <w:numId w:val="0"/>
        </w:numPr>
        <w:spacing w:after="200" w:line="560" w:lineRule="exact"/>
        <w:ind w:left="567" w:leftChars="0"/>
        <w:rPr>
          <w:rFonts w:ascii="宋体" w:hAnsi="宋体"/>
          <w:b/>
          <w:color w:val="auto"/>
          <w:sz w:val="28"/>
          <w:szCs w:val="28"/>
        </w:rPr>
      </w:pPr>
      <w:r>
        <w:rPr>
          <w:rFonts w:hint="eastAsia" w:ascii="宋体" w:hAnsi="宋体"/>
          <w:b/>
          <w:color w:val="auto"/>
          <w:sz w:val="28"/>
          <w:szCs w:val="28"/>
          <w:lang w:eastAsia="zh-CN"/>
        </w:rPr>
        <w:t>八、</w:t>
      </w:r>
      <w:r>
        <w:rPr>
          <w:rFonts w:hint="eastAsia" w:ascii="宋体" w:hAnsi="宋体"/>
          <w:b/>
          <w:color w:val="auto"/>
          <w:sz w:val="28"/>
          <w:szCs w:val="28"/>
        </w:rPr>
        <w:t>招标文件获取地点</w:t>
      </w:r>
    </w:p>
    <w:p>
      <w:pPr>
        <w:spacing w:line="360" w:lineRule="auto"/>
        <w:ind w:firstLine="569" w:firstLineChars="202"/>
        <w:rPr>
          <w:rFonts w:ascii="宋体" w:hAnsi="宋体"/>
          <w:color w:val="auto"/>
          <w:sz w:val="28"/>
          <w:szCs w:val="28"/>
        </w:rPr>
      </w:pPr>
      <w:r>
        <w:rPr>
          <w:rFonts w:hint="eastAsia" w:ascii="宋体" w:hAnsi="宋体"/>
          <w:color w:val="auto"/>
          <w:sz w:val="28"/>
          <w:szCs w:val="28"/>
        </w:rPr>
        <w:t>登录</w:t>
      </w:r>
      <w:r>
        <w:rPr>
          <w:rFonts w:hint="eastAsia" w:ascii="宋体" w:hAnsi="宋体"/>
          <w:color w:val="auto"/>
          <w:sz w:val="28"/>
          <w:szCs w:val="28"/>
          <w:lang w:eastAsia="zh-CN"/>
        </w:rPr>
        <w:t>成都市公共资源交易服务中心</w:t>
      </w:r>
      <w:r>
        <w:rPr>
          <w:rFonts w:hint="eastAsia" w:ascii="宋体" w:hAnsi="宋体"/>
          <w:color w:val="auto"/>
          <w:sz w:val="28"/>
          <w:szCs w:val="28"/>
        </w:rPr>
        <w:t>门户网站（https://www.cdggzy.com/）—用户中心—政府采购云平台获取</w:t>
      </w:r>
      <w:r>
        <w:rPr>
          <w:rFonts w:hint="eastAsia" w:ascii="宋体" w:hAnsi="宋体"/>
          <w:color w:val="auto"/>
          <w:sz w:val="28"/>
        </w:rPr>
        <w:t>。</w:t>
      </w:r>
    </w:p>
    <w:p>
      <w:pPr>
        <w:numPr>
          <w:ilvl w:val="0"/>
          <w:numId w:val="0"/>
        </w:numPr>
        <w:spacing w:after="200" w:line="560" w:lineRule="exact"/>
        <w:ind w:left="567" w:leftChars="0"/>
        <w:rPr>
          <w:rFonts w:ascii="宋体" w:hAnsi="宋体"/>
          <w:b/>
          <w:color w:val="auto"/>
          <w:sz w:val="28"/>
          <w:szCs w:val="28"/>
        </w:rPr>
      </w:pPr>
      <w:r>
        <w:rPr>
          <w:rFonts w:hint="eastAsia" w:ascii="宋体" w:hAnsi="宋体"/>
          <w:b/>
          <w:color w:val="auto"/>
          <w:sz w:val="28"/>
          <w:szCs w:val="28"/>
          <w:lang w:eastAsia="zh-CN"/>
        </w:rPr>
        <w:t>九、</w:t>
      </w:r>
      <w:r>
        <w:rPr>
          <w:rFonts w:hint="eastAsia" w:ascii="宋体" w:hAnsi="宋体"/>
          <w:b/>
          <w:color w:val="auto"/>
          <w:sz w:val="28"/>
          <w:szCs w:val="28"/>
        </w:rPr>
        <w:t>投标文件递交截止时间及开标时间</w:t>
      </w:r>
      <w:bookmarkEnd w:id="12"/>
      <w:bookmarkEnd w:id="13"/>
      <w:bookmarkEnd w:id="14"/>
      <w:bookmarkEnd w:id="15"/>
      <w:bookmarkEnd w:id="16"/>
      <w:r>
        <w:rPr>
          <w:rFonts w:hint="eastAsia" w:ascii="宋体" w:hAnsi="宋体"/>
          <w:b/>
          <w:color w:val="auto"/>
          <w:sz w:val="28"/>
          <w:szCs w:val="28"/>
        </w:rPr>
        <w:t>(北京时间)、地点、方式</w:t>
      </w:r>
    </w:p>
    <w:p>
      <w:pPr>
        <w:spacing w:line="560" w:lineRule="exact"/>
        <w:ind w:firstLine="564" w:firstLineChars="200"/>
        <w:rPr>
          <w:rFonts w:ascii="宋体" w:hAnsi="宋体"/>
          <w:b/>
          <w:color w:val="auto"/>
          <w:sz w:val="28"/>
          <w:szCs w:val="28"/>
        </w:rPr>
      </w:pPr>
      <w:r>
        <w:rPr>
          <w:rFonts w:hint="eastAsia" w:ascii="宋体" w:hAnsi="宋体"/>
          <w:color w:val="auto"/>
          <w:sz w:val="28"/>
          <w:szCs w:val="28"/>
        </w:rPr>
        <w:t>（一）投标文件递交截止时间及开标时间：</w:t>
      </w:r>
      <w:r>
        <w:rPr>
          <w:rFonts w:hint="eastAsia" w:ascii="宋体" w:hAnsi="宋体"/>
          <w:b/>
          <w:color w:val="auto"/>
          <w:sz w:val="28"/>
          <w:szCs w:val="28"/>
        </w:rPr>
        <w:t>202</w:t>
      </w:r>
      <w:r>
        <w:rPr>
          <w:rFonts w:hint="eastAsia" w:ascii="宋体" w:hAnsi="宋体"/>
          <w:b/>
          <w:color w:val="auto"/>
          <w:sz w:val="28"/>
          <w:szCs w:val="28"/>
          <w:lang w:val="en-US" w:eastAsia="zh-CN"/>
        </w:rPr>
        <w:t>1</w:t>
      </w:r>
      <w:r>
        <w:rPr>
          <w:rFonts w:hint="eastAsia" w:ascii="宋体" w:hAnsi="宋体"/>
          <w:b/>
          <w:color w:val="auto"/>
          <w:sz w:val="28"/>
          <w:szCs w:val="28"/>
        </w:rPr>
        <w:t>年</w:t>
      </w:r>
      <w:r>
        <w:rPr>
          <w:rFonts w:hint="eastAsia" w:ascii="宋体" w:hAnsi="宋体"/>
          <w:b/>
          <w:color w:val="auto"/>
          <w:sz w:val="28"/>
          <w:szCs w:val="28"/>
          <w:lang w:val="en-US" w:eastAsia="zh-CN"/>
        </w:rPr>
        <w:t>9</w:t>
      </w:r>
      <w:r>
        <w:rPr>
          <w:rFonts w:hint="eastAsia" w:ascii="宋体" w:hAnsi="宋体"/>
          <w:b/>
          <w:color w:val="auto"/>
          <w:sz w:val="28"/>
          <w:szCs w:val="28"/>
        </w:rPr>
        <w:t>月</w:t>
      </w:r>
      <w:r>
        <w:rPr>
          <w:rFonts w:hint="eastAsia" w:ascii="宋体" w:hAnsi="宋体"/>
          <w:b/>
          <w:color w:val="auto"/>
          <w:sz w:val="28"/>
          <w:szCs w:val="28"/>
          <w:lang w:val="en-US" w:eastAsia="zh-CN"/>
        </w:rPr>
        <w:t>15</w:t>
      </w:r>
      <w:r>
        <w:rPr>
          <w:rFonts w:hint="eastAsia" w:ascii="宋体" w:hAnsi="宋体"/>
          <w:b/>
          <w:color w:val="auto"/>
          <w:sz w:val="28"/>
          <w:szCs w:val="28"/>
        </w:rPr>
        <w:t>日上午09:30。</w:t>
      </w:r>
    </w:p>
    <w:p>
      <w:pPr>
        <w:spacing w:line="560" w:lineRule="exact"/>
        <w:ind w:firstLine="564" w:firstLineChars="200"/>
        <w:rPr>
          <w:rFonts w:ascii="宋体" w:hAnsi="宋体"/>
          <w:b/>
          <w:color w:val="auto"/>
          <w:sz w:val="28"/>
          <w:szCs w:val="28"/>
        </w:rPr>
      </w:pPr>
      <w:r>
        <w:rPr>
          <w:rFonts w:hint="eastAsia" w:ascii="宋体" w:hAnsi="宋体"/>
          <w:color w:val="auto"/>
          <w:sz w:val="28"/>
          <w:szCs w:val="28"/>
        </w:rPr>
        <w:t>（二）投标文件递交方式、地点：投标截止时间前，投标人应将加密的电子投标文件递交至“政府采购云平台”对应项目（包件）。</w:t>
      </w:r>
    </w:p>
    <w:p>
      <w:pPr>
        <w:numPr>
          <w:ilvl w:val="0"/>
          <w:numId w:val="0"/>
        </w:numPr>
        <w:spacing w:after="200" w:line="560" w:lineRule="exact"/>
        <w:ind w:left="567" w:leftChars="0"/>
        <w:rPr>
          <w:rFonts w:ascii="宋体" w:hAnsi="宋体"/>
          <w:b/>
          <w:color w:val="auto"/>
          <w:sz w:val="28"/>
          <w:szCs w:val="28"/>
        </w:rPr>
      </w:pPr>
      <w:r>
        <w:rPr>
          <w:rFonts w:hint="eastAsia" w:ascii="宋体" w:hAnsi="宋体"/>
          <w:b/>
          <w:color w:val="auto"/>
          <w:sz w:val="28"/>
          <w:szCs w:val="28"/>
          <w:lang w:eastAsia="zh-CN"/>
        </w:rPr>
        <w:t>十、</w:t>
      </w:r>
      <w:r>
        <w:rPr>
          <w:rFonts w:hint="eastAsia" w:ascii="宋体" w:hAnsi="宋体"/>
          <w:b/>
          <w:color w:val="auto"/>
          <w:sz w:val="28"/>
          <w:szCs w:val="28"/>
        </w:rPr>
        <w:t>开标地点</w:t>
      </w:r>
    </w:p>
    <w:p>
      <w:pPr>
        <w:spacing w:line="360" w:lineRule="auto"/>
        <w:ind w:firstLine="423" w:firstLineChars="150"/>
        <w:jc w:val="left"/>
        <w:rPr>
          <w:rFonts w:ascii="宋体" w:hAnsi="宋体"/>
          <w:color w:val="auto"/>
          <w:sz w:val="28"/>
          <w:szCs w:val="28"/>
        </w:rPr>
      </w:pPr>
      <w:r>
        <w:rPr>
          <w:rFonts w:hint="eastAsia" w:ascii="宋体" w:hAnsi="宋体"/>
          <w:color w:val="auto"/>
          <w:sz w:val="28"/>
          <w:szCs w:val="28"/>
        </w:rPr>
        <w:t>本项目为不见面开标项目。</w:t>
      </w:r>
    </w:p>
    <w:p>
      <w:pPr>
        <w:spacing w:line="360" w:lineRule="auto"/>
        <w:ind w:firstLine="423" w:firstLineChars="150"/>
        <w:jc w:val="left"/>
        <w:rPr>
          <w:rFonts w:ascii="宋体" w:hAnsi="宋体"/>
          <w:color w:val="auto"/>
          <w:sz w:val="28"/>
          <w:szCs w:val="28"/>
        </w:rPr>
      </w:pPr>
      <w:r>
        <w:rPr>
          <w:rFonts w:hint="eastAsia" w:ascii="宋体" w:hAnsi="宋体"/>
          <w:color w:val="auto"/>
          <w:sz w:val="28"/>
          <w:szCs w:val="28"/>
        </w:rPr>
        <w:t>开标地点为：</w:t>
      </w:r>
      <w:r>
        <w:rPr>
          <w:rFonts w:hint="eastAsia" w:ascii="宋体" w:hAnsi="宋体"/>
          <w:color w:val="auto"/>
          <w:sz w:val="28"/>
          <w:szCs w:val="28"/>
          <w:lang w:eastAsia="zh-CN"/>
        </w:rPr>
        <w:t>成都市公共资源交易服务中心</w:t>
      </w:r>
      <w:r>
        <w:rPr>
          <w:rFonts w:hint="eastAsia" w:ascii="宋体" w:hAnsi="宋体"/>
          <w:color w:val="auto"/>
          <w:sz w:val="28"/>
          <w:szCs w:val="28"/>
        </w:rPr>
        <w:t>“政府采购云平台”。登录</w:t>
      </w:r>
      <w:r>
        <w:rPr>
          <w:rFonts w:hint="eastAsia" w:ascii="宋体" w:hAnsi="宋体"/>
          <w:color w:val="auto"/>
          <w:sz w:val="28"/>
          <w:szCs w:val="28"/>
          <w:lang w:eastAsia="zh-CN"/>
        </w:rPr>
        <w:t>成都市公共资源交易服务中心</w:t>
      </w:r>
      <w:r>
        <w:rPr>
          <w:rFonts w:hint="eastAsia" w:ascii="宋体" w:hAnsi="宋体"/>
          <w:color w:val="auto"/>
          <w:sz w:val="28"/>
          <w:szCs w:val="28"/>
        </w:rPr>
        <w:t>门户网站（https://www.cdggzy.com）—用户中心—政府采购云平台。</w:t>
      </w:r>
    </w:p>
    <w:p>
      <w:pPr>
        <w:spacing w:line="360" w:lineRule="auto"/>
        <w:ind w:firstLine="423" w:firstLineChars="150"/>
        <w:jc w:val="left"/>
        <w:rPr>
          <w:rFonts w:ascii="宋体" w:hAnsi="宋体"/>
          <w:color w:val="auto"/>
          <w:sz w:val="28"/>
          <w:szCs w:val="28"/>
        </w:rPr>
      </w:pPr>
      <w:r>
        <w:rPr>
          <w:rFonts w:hint="eastAsia" w:ascii="宋体" w:hAnsi="宋体"/>
          <w:color w:val="auto"/>
          <w:sz w:val="28"/>
          <w:szCs w:val="28"/>
        </w:rPr>
        <w:t>本项目只接受投标人加密并递交至“政府采购云平台”的投标文件。</w:t>
      </w:r>
    </w:p>
    <w:p>
      <w:pPr>
        <w:numPr>
          <w:ilvl w:val="0"/>
          <w:numId w:val="0"/>
        </w:numPr>
        <w:spacing w:after="200" w:line="560" w:lineRule="exact"/>
        <w:ind w:left="567" w:leftChars="0"/>
        <w:rPr>
          <w:rFonts w:ascii="宋体" w:hAnsi="宋体"/>
          <w:b/>
          <w:color w:val="auto"/>
          <w:sz w:val="28"/>
          <w:szCs w:val="28"/>
        </w:rPr>
      </w:pPr>
      <w:r>
        <w:rPr>
          <w:rFonts w:hint="eastAsia" w:ascii="宋体" w:hAnsi="宋体"/>
          <w:b/>
          <w:color w:val="auto"/>
          <w:sz w:val="28"/>
          <w:szCs w:val="28"/>
          <w:lang w:eastAsia="zh-CN"/>
        </w:rPr>
        <w:t>十一、</w:t>
      </w:r>
      <w:r>
        <w:rPr>
          <w:rFonts w:hint="eastAsia" w:ascii="宋体" w:hAnsi="宋体"/>
          <w:b/>
          <w:color w:val="auto"/>
          <w:sz w:val="28"/>
          <w:szCs w:val="28"/>
        </w:rPr>
        <w:t>政采中小企业政府采购信用担保融资</w:t>
      </w:r>
    </w:p>
    <w:p>
      <w:pPr>
        <w:spacing w:line="560" w:lineRule="exact"/>
        <w:ind w:firstLine="569" w:firstLineChars="202"/>
        <w:rPr>
          <w:rFonts w:ascii="宋体" w:hAnsi="宋体"/>
          <w:color w:val="auto"/>
          <w:sz w:val="28"/>
          <w:szCs w:val="28"/>
        </w:rPr>
      </w:pPr>
      <w:r>
        <w:rPr>
          <w:rFonts w:hint="eastAsia" w:ascii="宋体" w:hAnsi="宋体"/>
          <w:color w:val="auto"/>
          <w:sz w:val="28"/>
          <w:szCs w:val="28"/>
        </w:rPr>
        <w:t>参加本次招标活动的中小企业供应商无需提供财产抵押或第三方担保，凭借政府采购合同可向融资机构申请融资。具体内容详见成都市公共资源交易服务中心网（http://www.cdggzy.com/）</w:t>
      </w:r>
      <w:r>
        <w:rPr>
          <w:rFonts w:hint="eastAsia" w:ascii="宋体" w:hAnsi="宋体"/>
          <w:color w:val="auto"/>
          <w:sz w:val="28"/>
          <w:szCs w:val="28"/>
          <w:lang w:eastAsia="zh-CN"/>
        </w:rPr>
        <w:t>都江堰市分中心“通知公告”栏《都江堰市财政局</w:t>
      </w:r>
      <w:r>
        <w:rPr>
          <w:rFonts w:hint="eastAsia" w:ascii="宋体" w:hAnsi="宋体"/>
          <w:color w:val="auto"/>
          <w:sz w:val="28"/>
          <w:szCs w:val="28"/>
          <w:lang w:val="en-US" w:eastAsia="zh-CN"/>
        </w:rPr>
        <w:t xml:space="preserve"> 中国人民银行都江堰市支行关于转发</w:t>
      </w:r>
      <w:r>
        <w:rPr>
          <w:rFonts w:hint="eastAsia" w:ascii="宋体" w:hAnsi="宋体"/>
          <w:color w:val="auto"/>
          <w:sz w:val="28"/>
          <w:szCs w:val="28"/>
        </w:rPr>
        <w:t>〈成都市</w:t>
      </w:r>
      <w:r>
        <w:rPr>
          <w:rFonts w:hint="eastAsia" w:ascii="宋体" w:hAnsi="宋体"/>
          <w:color w:val="auto"/>
          <w:sz w:val="28"/>
          <w:szCs w:val="28"/>
          <w:lang w:eastAsia="zh-CN"/>
        </w:rPr>
        <w:t>中小企业政府采购信用融资暂行办法</w:t>
      </w:r>
      <w:r>
        <w:rPr>
          <w:rFonts w:hint="eastAsia" w:ascii="宋体" w:hAnsi="宋体"/>
          <w:color w:val="auto"/>
          <w:sz w:val="28"/>
          <w:szCs w:val="28"/>
        </w:rPr>
        <w:t>〉</w:t>
      </w:r>
      <w:r>
        <w:rPr>
          <w:rFonts w:hint="eastAsia" w:ascii="宋体" w:hAnsi="宋体"/>
          <w:color w:val="auto"/>
          <w:sz w:val="28"/>
          <w:szCs w:val="28"/>
          <w:lang w:eastAsia="zh-CN"/>
        </w:rPr>
        <w:t>的通知》（都</w:t>
      </w:r>
      <w:r>
        <w:rPr>
          <w:rFonts w:hint="eastAsia" w:ascii="宋体" w:hAnsi="宋体"/>
          <w:color w:val="auto"/>
          <w:sz w:val="28"/>
          <w:szCs w:val="28"/>
        </w:rPr>
        <w:t>财</w:t>
      </w:r>
      <w:r>
        <w:rPr>
          <w:rFonts w:hint="eastAsia" w:ascii="宋体" w:hAnsi="宋体"/>
          <w:color w:val="auto"/>
          <w:sz w:val="28"/>
          <w:szCs w:val="28"/>
          <w:lang w:eastAsia="zh-CN"/>
        </w:rPr>
        <w:t>发</w:t>
      </w:r>
      <w:r>
        <w:rPr>
          <w:rFonts w:hint="eastAsia" w:ascii="宋体" w:hAnsi="宋体"/>
          <w:color w:val="auto"/>
          <w:sz w:val="28"/>
          <w:szCs w:val="28"/>
        </w:rPr>
        <w:t>[2019]</w:t>
      </w:r>
      <w:r>
        <w:rPr>
          <w:rFonts w:hint="eastAsia" w:ascii="宋体" w:hAnsi="宋体"/>
          <w:color w:val="auto"/>
          <w:sz w:val="28"/>
          <w:szCs w:val="28"/>
          <w:lang w:val="en-US" w:eastAsia="zh-CN"/>
        </w:rPr>
        <w:t>88</w:t>
      </w:r>
      <w:r>
        <w:rPr>
          <w:rFonts w:hint="eastAsia" w:ascii="宋体" w:hAnsi="宋体"/>
          <w:color w:val="auto"/>
          <w:sz w:val="28"/>
          <w:szCs w:val="28"/>
        </w:rPr>
        <w:t>号）</w:t>
      </w:r>
      <w:r>
        <w:rPr>
          <w:rFonts w:hint="eastAsia" w:ascii="宋体" w:hAnsi="宋体"/>
          <w:color w:val="auto"/>
          <w:sz w:val="28"/>
          <w:szCs w:val="28"/>
          <w:lang w:eastAsia="zh-CN"/>
        </w:rPr>
        <w:t>和《都江堰市财政局</w:t>
      </w:r>
      <w:r>
        <w:rPr>
          <w:rFonts w:hint="eastAsia" w:ascii="宋体" w:hAnsi="宋体"/>
          <w:color w:val="auto"/>
          <w:sz w:val="28"/>
          <w:szCs w:val="28"/>
          <w:lang w:val="en-US" w:eastAsia="zh-CN"/>
        </w:rPr>
        <w:t xml:space="preserve"> 中国人民银行都江堰市支行关于转发</w:t>
      </w:r>
      <w:r>
        <w:rPr>
          <w:rFonts w:hint="eastAsia" w:ascii="宋体" w:hAnsi="宋体"/>
          <w:color w:val="auto"/>
          <w:sz w:val="28"/>
          <w:szCs w:val="28"/>
        </w:rPr>
        <w:t>〈</w:t>
      </w:r>
      <w:r>
        <w:rPr>
          <w:rFonts w:hint="eastAsia" w:ascii="宋体" w:hAnsi="宋体"/>
          <w:color w:val="auto"/>
          <w:sz w:val="28"/>
          <w:szCs w:val="28"/>
          <w:lang w:eastAsia="zh-CN"/>
        </w:rPr>
        <w:t>都江堰市支持中小企业政府采购信用融资实施方案</w:t>
      </w:r>
      <w:r>
        <w:rPr>
          <w:rFonts w:hint="eastAsia" w:ascii="宋体" w:hAnsi="宋体"/>
          <w:color w:val="auto"/>
          <w:sz w:val="28"/>
          <w:szCs w:val="28"/>
        </w:rPr>
        <w:t>〉</w:t>
      </w:r>
      <w:r>
        <w:rPr>
          <w:rFonts w:hint="eastAsia" w:ascii="宋体" w:hAnsi="宋体"/>
          <w:color w:val="auto"/>
          <w:sz w:val="28"/>
          <w:szCs w:val="28"/>
          <w:lang w:eastAsia="zh-CN"/>
        </w:rPr>
        <w:t>的通知》（都</w:t>
      </w:r>
      <w:r>
        <w:rPr>
          <w:rFonts w:hint="eastAsia" w:ascii="宋体" w:hAnsi="宋体"/>
          <w:color w:val="auto"/>
          <w:sz w:val="28"/>
          <w:szCs w:val="28"/>
        </w:rPr>
        <w:t>财</w:t>
      </w:r>
      <w:r>
        <w:rPr>
          <w:rFonts w:hint="eastAsia" w:ascii="宋体" w:hAnsi="宋体"/>
          <w:color w:val="auto"/>
          <w:sz w:val="28"/>
          <w:szCs w:val="28"/>
          <w:lang w:eastAsia="zh-CN"/>
        </w:rPr>
        <w:t>发</w:t>
      </w:r>
      <w:r>
        <w:rPr>
          <w:rFonts w:hint="eastAsia" w:ascii="宋体" w:hAnsi="宋体"/>
          <w:color w:val="auto"/>
          <w:sz w:val="28"/>
          <w:szCs w:val="28"/>
        </w:rPr>
        <w:t>[2019]</w:t>
      </w:r>
      <w:r>
        <w:rPr>
          <w:rFonts w:hint="eastAsia" w:ascii="宋体" w:hAnsi="宋体"/>
          <w:color w:val="auto"/>
          <w:sz w:val="28"/>
          <w:szCs w:val="28"/>
          <w:lang w:val="en-US" w:eastAsia="zh-CN"/>
        </w:rPr>
        <w:t>92</w:t>
      </w:r>
      <w:r>
        <w:rPr>
          <w:rFonts w:hint="eastAsia" w:ascii="宋体" w:hAnsi="宋体"/>
          <w:color w:val="auto"/>
          <w:sz w:val="28"/>
          <w:szCs w:val="28"/>
        </w:rPr>
        <w:t>号）</w:t>
      </w:r>
      <w:r>
        <w:rPr>
          <w:rFonts w:hint="eastAsia" w:ascii="宋体" w:hAnsi="宋体"/>
          <w:color w:val="auto"/>
          <w:sz w:val="28"/>
          <w:szCs w:val="28"/>
          <w:lang w:eastAsia="zh-CN"/>
        </w:rPr>
        <w:t>”。</w:t>
      </w:r>
    </w:p>
    <w:p>
      <w:pPr>
        <w:numPr>
          <w:ilvl w:val="0"/>
          <w:numId w:val="0"/>
        </w:numPr>
        <w:spacing w:after="200" w:line="560" w:lineRule="exact"/>
        <w:ind w:left="567" w:leftChars="0"/>
        <w:rPr>
          <w:rFonts w:ascii="宋体" w:hAnsi="宋体"/>
          <w:b/>
          <w:color w:val="auto"/>
          <w:sz w:val="28"/>
          <w:szCs w:val="28"/>
        </w:rPr>
      </w:pPr>
      <w:r>
        <w:rPr>
          <w:rFonts w:hint="eastAsia" w:ascii="宋体" w:hAnsi="宋体"/>
          <w:b/>
          <w:color w:val="auto"/>
          <w:sz w:val="28"/>
          <w:szCs w:val="28"/>
          <w:lang w:eastAsia="zh-CN"/>
        </w:rPr>
        <w:t>十二、</w:t>
      </w:r>
      <w:r>
        <w:rPr>
          <w:rFonts w:hint="eastAsia" w:ascii="宋体" w:hAnsi="宋体"/>
          <w:b/>
          <w:color w:val="auto"/>
          <w:sz w:val="28"/>
          <w:szCs w:val="28"/>
        </w:rPr>
        <w:t>本投标邀请在“四川政府采购网”和“</w:t>
      </w:r>
      <w:r>
        <w:rPr>
          <w:rFonts w:hint="eastAsia" w:ascii="宋体" w:hAnsi="宋体"/>
          <w:b/>
          <w:color w:val="auto"/>
          <w:sz w:val="28"/>
          <w:szCs w:val="28"/>
          <w:lang w:eastAsia="zh-CN"/>
        </w:rPr>
        <w:t>成都市公共资源交易服务中心</w:t>
      </w:r>
      <w:r>
        <w:rPr>
          <w:rFonts w:hint="eastAsia" w:ascii="宋体" w:hAnsi="宋体"/>
          <w:b/>
          <w:color w:val="auto"/>
          <w:sz w:val="28"/>
          <w:szCs w:val="28"/>
        </w:rPr>
        <w:t>”网站上以公告形式发布</w:t>
      </w:r>
    </w:p>
    <w:p>
      <w:pPr>
        <w:numPr>
          <w:ilvl w:val="0"/>
          <w:numId w:val="0"/>
        </w:numPr>
        <w:spacing w:after="200" w:line="560" w:lineRule="exact"/>
        <w:ind w:left="567" w:leftChars="0"/>
        <w:rPr>
          <w:rFonts w:ascii="宋体" w:hAnsi="宋体"/>
          <w:b/>
          <w:color w:val="auto"/>
          <w:sz w:val="28"/>
          <w:szCs w:val="28"/>
        </w:rPr>
      </w:pPr>
      <w:r>
        <w:rPr>
          <w:rFonts w:hint="eastAsia" w:ascii="宋体" w:hAnsi="宋体"/>
          <w:b/>
          <w:color w:val="auto"/>
          <w:sz w:val="28"/>
          <w:szCs w:val="28"/>
          <w:lang w:eastAsia="zh-CN"/>
        </w:rPr>
        <w:t>十三、</w:t>
      </w:r>
      <w:r>
        <w:rPr>
          <w:rFonts w:hint="eastAsia" w:ascii="宋体" w:hAnsi="宋体"/>
          <w:b/>
          <w:color w:val="auto"/>
          <w:sz w:val="28"/>
          <w:szCs w:val="28"/>
        </w:rPr>
        <w:t>联系方式</w:t>
      </w:r>
    </w:p>
    <w:p>
      <w:pPr>
        <w:spacing w:line="590" w:lineRule="exact"/>
        <w:ind w:firstLine="564" w:firstLineChars="200"/>
        <w:rPr>
          <w:rFonts w:ascii="仿宋" w:hAnsi="仿宋" w:eastAsia="仿宋"/>
          <w:color w:val="auto"/>
          <w:sz w:val="32"/>
          <w:szCs w:val="32"/>
        </w:rPr>
      </w:pPr>
      <w:r>
        <w:rPr>
          <w:rFonts w:hint="eastAsia" w:ascii="宋体" w:hAnsi="宋体"/>
          <w:b/>
          <w:color w:val="auto"/>
          <w:kern w:val="0"/>
          <w:sz w:val="28"/>
          <w:szCs w:val="22"/>
        </w:rPr>
        <w:t>采购人：都江堰市机关事务中心</w:t>
      </w:r>
    </w:p>
    <w:p>
      <w:pPr>
        <w:pStyle w:val="153"/>
        <w:spacing w:line="480" w:lineRule="exact"/>
        <w:ind w:left="0" w:leftChars="0" w:firstLine="564" w:firstLineChars="200"/>
        <w:rPr>
          <w:rFonts w:ascii="宋体" w:hAnsi="宋体"/>
          <w:color w:val="auto"/>
          <w:kern w:val="0"/>
          <w:sz w:val="28"/>
          <w:szCs w:val="22"/>
        </w:rPr>
      </w:pPr>
      <w:r>
        <w:rPr>
          <w:rFonts w:hint="eastAsia" w:ascii="宋体" w:hAnsi="宋体"/>
          <w:color w:val="auto"/>
          <w:kern w:val="0"/>
          <w:sz w:val="28"/>
          <w:szCs w:val="22"/>
        </w:rPr>
        <w:t>地  址：</w:t>
      </w:r>
      <w:r>
        <w:rPr>
          <w:rFonts w:ascii="仿宋" w:hAnsi="仿宋" w:eastAsia="仿宋"/>
          <w:color w:val="auto"/>
          <w:sz w:val="32"/>
          <w:szCs w:val="32"/>
        </w:rPr>
        <w:t>都江堰市幸福大道215号</w:t>
      </w:r>
    </w:p>
    <w:p>
      <w:pPr>
        <w:pStyle w:val="153"/>
        <w:spacing w:line="480" w:lineRule="exact"/>
        <w:ind w:firstLine="560"/>
        <w:rPr>
          <w:rFonts w:ascii="宋体" w:hAnsi="宋体"/>
          <w:color w:val="auto"/>
          <w:kern w:val="0"/>
          <w:sz w:val="28"/>
          <w:szCs w:val="22"/>
        </w:rPr>
      </w:pPr>
      <w:r>
        <w:rPr>
          <w:rFonts w:hint="eastAsia" w:ascii="宋体" w:hAnsi="宋体"/>
          <w:color w:val="auto"/>
          <w:kern w:val="0"/>
          <w:sz w:val="28"/>
          <w:szCs w:val="22"/>
        </w:rPr>
        <w:t>邮  编：</w:t>
      </w:r>
      <w:r>
        <w:rPr>
          <w:rFonts w:hint="eastAsia" w:ascii="宋体" w:hAnsi="宋体"/>
          <w:color w:val="auto"/>
          <w:kern w:val="0"/>
          <w:sz w:val="28"/>
          <w:lang w:val="en-US" w:eastAsia="zh-CN"/>
        </w:rPr>
        <w:t>611830</w:t>
      </w:r>
    </w:p>
    <w:p>
      <w:pPr>
        <w:pStyle w:val="153"/>
        <w:spacing w:line="480" w:lineRule="exact"/>
        <w:ind w:firstLine="560"/>
        <w:rPr>
          <w:rFonts w:ascii="宋体" w:hAnsi="宋体"/>
          <w:color w:val="auto"/>
          <w:kern w:val="0"/>
          <w:sz w:val="28"/>
          <w:szCs w:val="22"/>
        </w:rPr>
      </w:pPr>
      <w:r>
        <w:rPr>
          <w:rFonts w:hint="eastAsia" w:ascii="宋体" w:hAnsi="宋体"/>
          <w:color w:val="auto"/>
          <w:kern w:val="0"/>
          <w:sz w:val="28"/>
          <w:szCs w:val="22"/>
        </w:rPr>
        <w:t>联系人：</w:t>
      </w:r>
      <w:r>
        <w:rPr>
          <w:rFonts w:hint="eastAsia" w:ascii="仿宋" w:hAnsi="仿宋" w:eastAsia="仿宋"/>
          <w:color w:val="auto"/>
          <w:sz w:val="32"/>
          <w:szCs w:val="32"/>
          <w:lang w:val="en-US" w:eastAsia="zh-CN"/>
        </w:rPr>
        <w:t>刘胤</w:t>
      </w:r>
    </w:p>
    <w:p>
      <w:pPr>
        <w:pStyle w:val="153"/>
        <w:spacing w:line="480" w:lineRule="exact"/>
        <w:ind w:firstLine="560"/>
        <w:rPr>
          <w:rFonts w:ascii="宋体" w:hAnsi="宋体"/>
          <w:color w:val="auto"/>
          <w:kern w:val="0"/>
          <w:sz w:val="28"/>
          <w:szCs w:val="22"/>
        </w:rPr>
      </w:pPr>
      <w:r>
        <w:rPr>
          <w:rFonts w:hint="eastAsia" w:ascii="宋体" w:hAnsi="宋体"/>
          <w:color w:val="auto"/>
          <w:kern w:val="0"/>
          <w:sz w:val="28"/>
          <w:szCs w:val="22"/>
        </w:rPr>
        <w:t>联系电话：</w:t>
      </w:r>
      <w:r>
        <w:rPr>
          <w:rFonts w:ascii="宋体" w:hAnsi="宋体"/>
          <w:color w:val="auto"/>
          <w:kern w:val="0"/>
          <w:sz w:val="28"/>
          <w:szCs w:val="22"/>
        </w:rPr>
        <w:t>028-</w:t>
      </w:r>
      <w:r>
        <w:rPr>
          <w:rFonts w:hint="eastAsia" w:ascii="仿宋" w:hAnsi="仿宋" w:eastAsia="仿宋"/>
          <w:color w:val="auto"/>
          <w:sz w:val="32"/>
          <w:szCs w:val="32"/>
          <w:lang w:val="en-US" w:eastAsia="zh-CN"/>
        </w:rPr>
        <w:t>87292681</w:t>
      </w:r>
    </w:p>
    <w:p>
      <w:pPr>
        <w:pStyle w:val="153"/>
        <w:spacing w:line="560" w:lineRule="exact"/>
        <w:ind w:firstLine="562"/>
        <w:rPr>
          <w:rFonts w:hint="eastAsia" w:ascii="宋体" w:hAnsi="宋体" w:eastAsia="宋体"/>
          <w:b/>
          <w:color w:val="auto"/>
          <w:kern w:val="0"/>
          <w:sz w:val="28"/>
          <w:szCs w:val="22"/>
          <w:lang w:eastAsia="zh-CN"/>
        </w:rPr>
      </w:pPr>
      <w:r>
        <w:rPr>
          <w:rFonts w:hint="eastAsia" w:ascii="宋体" w:hAnsi="宋体"/>
          <w:b/>
          <w:color w:val="auto"/>
          <w:sz w:val="28"/>
          <w:szCs w:val="28"/>
          <w:lang w:eastAsia="zh-CN"/>
        </w:rPr>
        <w:t>都江堰市公共资源交易服务中心</w:t>
      </w:r>
    </w:p>
    <w:p>
      <w:pPr>
        <w:spacing w:line="520" w:lineRule="exact"/>
        <w:ind w:left="572" w:leftChars="270"/>
        <w:rPr>
          <w:rFonts w:ascii="宋体" w:hAnsi="宋体"/>
          <w:color w:val="auto"/>
          <w:sz w:val="28"/>
          <w:szCs w:val="28"/>
        </w:rPr>
      </w:pPr>
      <w:r>
        <w:rPr>
          <w:rFonts w:hint="eastAsia" w:ascii="宋体" w:hAnsi="宋体"/>
          <w:color w:val="auto"/>
          <w:sz w:val="28"/>
          <w:szCs w:val="28"/>
        </w:rPr>
        <w:t>地址：</w:t>
      </w:r>
      <w:r>
        <w:rPr>
          <w:rFonts w:hint="eastAsia"/>
          <w:color w:val="auto"/>
          <w:sz w:val="28"/>
          <w:szCs w:val="28"/>
        </w:rPr>
        <w:t>都江堰市江安河东路下段25号2楼</w:t>
      </w:r>
    </w:p>
    <w:p>
      <w:pPr>
        <w:tabs>
          <w:tab w:val="left" w:pos="3885"/>
        </w:tabs>
        <w:spacing w:line="520" w:lineRule="exact"/>
        <w:ind w:left="572" w:leftChars="270"/>
        <w:rPr>
          <w:rFonts w:ascii="宋体" w:hAnsi="宋体"/>
          <w:color w:val="auto"/>
          <w:sz w:val="28"/>
          <w:szCs w:val="28"/>
        </w:rPr>
      </w:pPr>
      <w:r>
        <w:rPr>
          <w:rFonts w:hint="eastAsia" w:ascii="宋体" w:hAnsi="宋体"/>
          <w:color w:val="auto"/>
          <w:sz w:val="28"/>
          <w:szCs w:val="28"/>
        </w:rPr>
        <w:t>联系人：</w:t>
      </w:r>
      <w:r>
        <w:rPr>
          <w:rFonts w:hint="eastAsia" w:ascii="宋体" w:hAnsi="宋体"/>
          <w:color w:val="auto"/>
          <w:sz w:val="28"/>
          <w:szCs w:val="28"/>
          <w:u w:val="single"/>
        </w:rPr>
        <w:t xml:space="preserve"> </w:t>
      </w:r>
      <w:r>
        <w:rPr>
          <w:rFonts w:hint="eastAsia" w:ascii="宋体" w:hAnsi="宋体"/>
          <w:color w:val="auto"/>
          <w:sz w:val="28"/>
          <w:szCs w:val="28"/>
          <w:u w:val="single"/>
          <w:lang w:eastAsia="zh-CN"/>
        </w:rPr>
        <w:t>康鹏</w:t>
      </w:r>
    </w:p>
    <w:p>
      <w:pPr>
        <w:spacing w:line="520" w:lineRule="exact"/>
        <w:ind w:firstLine="564" w:firstLineChars="200"/>
        <w:rPr>
          <w:rFonts w:hint="eastAsia" w:ascii="宋体" w:hAnsi="宋体"/>
          <w:color w:val="auto"/>
          <w:sz w:val="28"/>
          <w:szCs w:val="28"/>
        </w:rPr>
      </w:pPr>
      <w:r>
        <w:rPr>
          <w:rFonts w:hint="eastAsia" w:ascii="宋体" w:hAnsi="宋体"/>
          <w:color w:val="auto"/>
          <w:sz w:val="28"/>
          <w:szCs w:val="28"/>
        </w:rPr>
        <w:t>联系电话（传真）：028－8974</w:t>
      </w:r>
      <w:r>
        <w:rPr>
          <w:rFonts w:hint="eastAsia" w:ascii="宋体" w:hAnsi="宋体"/>
          <w:color w:val="auto"/>
          <w:sz w:val="28"/>
          <w:szCs w:val="28"/>
          <w:lang w:val="en-US" w:eastAsia="zh-CN"/>
        </w:rPr>
        <w:t>1082</w:t>
      </w:r>
    </w:p>
    <w:p>
      <w:pPr>
        <w:pStyle w:val="153"/>
        <w:spacing w:line="560" w:lineRule="exact"/>
        <w:ind w:firstLine="560"/>
        <w:rPr>
          <w:rFonts w:hint="default" w:ascii="宋体" w:hAnsi="宋体" w:eastAsia="宋体"/>
          <w:color w:val="auto"/>
          <w:kern w:val="0"/>
          <w:sz w:val="28"/>
          <w:lang w:val="en-US" w:eastAsia="zh-CN"/>
        </w:rPr>
      </w:pPr>
      <w:r>
        <w:rPr>
          <w:rFonts w:hint="eastAsia" w:ascii="宋体" w:hAnsi="宋体"/>
          <w:color w:val="auto"/>
          <w:kern w:val="0"/>
          <w:sz w:val="28"/>
          <w:lang w:eastAsia="zh-CN"/>
        </w:rPr>
        <w:t>邮编：</w:t>
      </w:r>
      <w:r>
        <w:rPr>
          <w:rFonts w:hint="eastAsia" w:ascii="宋体" w:hAnsi="宋体"/>
          <w:color w:val="auto"/>
          <w:kern w:val="0"/>
          <w:sz w:val="28"/>
          <w:lang w:val="en-US" w:eastAsia="zh-CN"/>
        </w:rPr>
        <w:t>611830</w:t>
      </w:r>
    </w:p>
    <w:p>
      <w:pPr>
        <w:pStyle w:val="153"/>
        <w:spacing w:line="560" w:lineRule="exact"/>
        <w:ind w:firstLine="560"/>
        <w:rPr>
          <w:rFonts w:ascii="宋体" w:hAnsi="宋体"/>
          <w:color w:val="auto"/>
          <w:kern w:val="0"/>
          <w:sz w:val="28"/>
        </w:rPr>
      </w:pPr>
      <w:r>
        <w:rPr>
          <w:rFonts w:hint="eastAsia" w:ascii="宋体" w:hAnsi="宋体"/>
          <w:b/>
          <w:bCs/>
          <w:color w:val="auto"/>
          <w:kern w:val="0"/>
          <w:sz w:val="28"/>
        </w:rPr>
        <w:t>技术支持</w:t>
      </w:r>
      <w:r>
        <w:rPr>
          <w:rFonts w:ascii="宋体" w:hAnsi="宋体"/>
          <w:b/>
          <w:bCs/>
          <w:color w:val="auto"/>
          <w:kern w:val="0"/>
          <w:sz w:val="28"/>
        </w:rPr>
        <w:t>联系电话</w:t>
      </w:r>
      <w:r>
        <w:rPr>
          <w:rFonts w:ascii="宋体" w:hAnsi="宋体"/>
          <w:color w:val="auto"/>
          <w:kern w:val="0"/>
          <w:sz w:val="28"/>
        </w:rPr>
        <w:t>：</w:t>
      </w:r>
      <w:r>
        <w:rPr>
          <w:rFonts w:hint="eastAsia" w:ascii="宋体" w:hAnsi="宋体"/>
          <w:color w:val="auto"/>
          <w:sz w:val="28"/>
          <w:szCs w:val="28"/>
        </w:rPr>
        <w:t>400-881-7190</w:t>
      </w:r>
    </w:p>
    <w:p>
      <w:pPr>
        <w:pStyle w:val="130"/>
        <w:tabs>
          <w:tab w:val="left" w:pos="900"/>
        </w:tabs>
        <w:spacing w:line="560" w:lineRule="exact"/>
        <w:ind w:firstLine="562"/>
        <w:jc w:val="left"/>
        <w:rPr>
          <w:rFonts w:ascii="宋体" w:hAnsi="宋体" w:cs="Times New Roman"/>
          <w:b/>
          <w:color w:val="auto"/>
          <w:kern w:val="0"/>
          <w:sz w:val="28"/>
        </w:rPr>
      </w:pPr>
      <w:r>
        <w:rPr>
          <w:rFonts w:hint="eastAsia" w:ascii="宋体" w:hAnsi="宋体" w:cs="Times New Roman"/>
          <w:b/>
          <w:color w:val="auto"/>
          <w:sz w:val="28"/>
        </w:rPr>
        <w:t>集中采购监督机构：</w:t>
      </w:r>
      <w:r>
        <w:rPr>
          <w:rFonts w:hint="eastAsia" w:ascii="宋体" w:hAnsi="宋体" w:cs="Times New Roman"/>
          <w:b/>
          <w:color w:val="auto"/>
          <w:sz w:val="28"/>
          <w:lang w:eastAsia="zh-CN"/>
        </w:rPr>
        <w:t>都江堰</w:t>
      </w:r>
      <w:r>
        <w:rPr>
          <w:rFonts w:hint="eastAsia" w:ascii="宋体" w:hAnsi="宋体" w:cs="Times New Roman"/>
          <w:b/>
          <w:color w:val="auto"/>
          <w:sz w:val="28"/>
        </w:rPr>
        <w:t>市财政局</w:t>
      </w:r>
    </w:p>
    <w:p>
      <w:pPr>
        <w:pStyle w:val="130"/>
        <w:tabs>
          <w:tab w:val="left" w:pos="900"/>
        </w:tabs>
        <w:spacing w:line="560" w:lineRule="exact"/>
        <w:ind w:firstLine="560"/>
        <w:jc w:val="left"/>
        <w:rPr>
          <w:rFonts w:hint="eastAsia" w:ascii="宋体" w:hAnsi="宋体" w:cs="Times New Roman"/>
          <w:color w:val="auto"/>
          <w:sz w:val="28"/>
        </w:rPr>
      </w:pPr>
      <w:r>
        <w:rPr>
          <w:rFonts w:hint="eastAsia" w:ascii="宋体" w:hAnsi="宋体" w:cs="Times New Roman"/>
          <w:color w:val="auto"/>
          <w:sz w:val="28"/>
        </w:rPr>
        <w:t>地 址：</w:t>
      </w:r>
      <w:r>
        <w:rPr>
          <w:rFonts w:hint="eastAsia" w:ascii="宋体" w:hAnsi="宋体" w:cs="Times New Roman"/>
          <w:color w:val="auto"/>
          <w:sz w:val="28"/>
          <w:lang w:val="zh-CN"/>
        </w:rPr>
        <w:t>都江堰市善政路607号</w:t>
      </w:r>
    </w:p>
    <w:p>
      <w:pPr>
        <w:pStyle w:val="130"/>
        <w:tabs>
          <w:tab w:val="left" w:pos="900"/>
        </w:tabs>
        <w:spacing w:line="560" w:lineRule="exact"/>
        <w:ind w:firstLine="560"/>
        <w:jc w:val="left"/>
        <w:rPr>
          <w:rFonts w:hint="eastAsia" w:ascii="宋体" w:hAnsi="宋体" w:cs="Times New Roman"/>
          <w:color w:val="auto"/>
          <w:sz w:val="28"/>
        </w:rPr>
      </w:pPr>
      <w:r>
        <w:rPr>
          <w:rFonts w:hint="eastAsia" w:ascii="宋体" w:hAnsi="宋体" w:cs="Times New Roman"/>
          <w:color w:val="auto"/>
          <w:sz w:val="28"/>
        </w:rPr>
        <w:t>联系电话：</w:t>
      </w:r>
      <w:r>
        <w:rPr>
          <w:rFonts w:hint="eastAsia" w:ascii="宋体" w:hAnsi="宋体" w:cs="Times New Roman"/>
          <w:color w:val="auto"/>
          <w:sz w:val="28"/>
          <w:lang w:val="zh-CN"/>
        </w:rPr>
        <w:t>028-89747932</w:t>
      </w:r>
    </w:p>
    <w:p>
      <w:pPr>
        <w:pStyle w:val="130"/>
        <w:tabs>
          <w:tab w:val="left" w:pos="900"/>
        </w:tabs>
        <w:ind w:firstLine="560"/>
        <w:jc w:val="left"/>
        <w:rPr>
          <w:rFonts w:ascii="宋体" w:hAnsi="宋体"/>
          <w:color w:val="auto"/>
          <w:sz w:val="28"/>
          <w:szCs w:val="28"/>
        </w:rPr>
      </w:pPr>
    </w:p>
    <w:p>
      <w:pPr>
        <w:pStyle w:val="130"/>
        <w:tabs>
          <w:tab w:val="left" w:pos="900"/>
        </w:tabs>
        <w:ind w:firstLine="560"/>
        <w:jc w:val="left"/>
        <w:rPr>
          <w:rFonts w:ascii="宋体" w:hAnsi="宋体"/>
          <w:color w:val="auto"/>
          <w:sz w:val="28"/>
          <w:szCs w:val="28"/>
        </w:rPr>
      </w:pPr>
    </w:p>
    <w:p>
      <w:pPr>
        <w:pStyle w:val="130"/>
        <w:tabs>
          <w:tab w:val="left" w:pos="900"/>
        </w:tabs>
        <w:ind w:firstLine="560"/>
        <w:jc w:val="left"/>
        <w:rPr>
          <w:rFonts w:ascii="宋体" w:hAnsi="宋体"/>
          <w:color w:val="auto"/>
          <w:sz w:val="28"/>
          <w:szCs w:val="28"/>
        </w:rPr>
      </w:pPr>
    </w:p>
    <w:p>
      <w:pPr>
        <w:pStyle w:val="130"/>
        <w:tabs>
          <w:tab w:val="left" w:pos="900"/>
        </w:tabs>
        <w:ind w:firstLine="560"/>
        <w:jc w:val="left"/>
        <w:rPr>
          <w:rFonts w:ascii="宋体" w:hAnsi="宋体"/>
          <w:color w:val="auto"/>
          <w:sz w:val="28"/>
          <w:szCs w:val="28"/>
        </w:rPr>
      </w:pPr>
    </w:p>
    <w:p>
      <w:pPr>
        <w:pStyle w:val="130"/>
        <w:tabs>
          <w:tab w:val="left" w:pos="900"/>
        </w:tabs>
        <w:ind w:firstLine="560"/>
        <w:jc w:val="left"/>
        <w:rPr>
          <w:rFonts w:ascii="宋体" w:hAnsi="宋体"/>
          <w:color w:val="auto"/>
          <w:sz w:val="28"/>
          <w:szCs w:val="28"/>
        </w:rPr>
      </w:pPr>
    </w:p>
    <w:p>
      <w:pPr>
        <w:pStyle w:val="130"/>
        <w:tabs>
          <w:tab w:val="left" w:pos="900"/>
        </w:tabs>
        <w:ind w:firstLine="560"/>
        <w:jc w:val="left"/>
        <w:rPr>
          <w:rFonts w:ascii="宋体" w:hAnsi="宋体"/>
          <w:color w:val="auto"/>
          <w:sz w:val="28"/>
          <w:szCs w:val="28"/>
        </w:rPr>
      </w:pPr>
    </w:p>
    <w:p>
      <w:pPr>
        <w:pStyle w:val="130"/>
        <w:tabs>
          <w:tab w:val="left" w:pos="900"/>
        </w:tabs>
        <w:ind w:firstLine="560"/>
        <w:jc w:val="left"/>
        <w:rPr>
          <w:rFonts w:ascii="宋体" w:hAnsi="宋体"/>
          <w:color w:val="auto"/>
          <w:sz w:val="28"/>
          <w:szCs w:val="28"/>
        </w:rPr>
      </w:pPr>
    </w:p>
    <w:p>
      <w:pPr>
        <w:pStyle w:val="130"/>
        <w:tabs>
          <w:tab w:val="left" w:pos="900"/>
        </w:tabs>
        <w:ind w:firstLine="560"/>
        <w:jc w:val="left"/>
        <w:rPr>
          <w:rFonts w:ascii="宋体" w:hAnsi="宋体"/>
          <w:color w:val="auto"/>
          <w:sz w:val="28"/>
          <w:szCs w:val="28"/>
        </w:rPr>
      </w:pPr>
    </w:p>
    <w:p>
      <w:pPr>
        <w:pStyle w:val="130"/>
        <w:tabs>
          <w:tab w:val="left" w:pos="900"/>
        </w:tabs>
        <w:ind w:firstLine="560"/>
        <w:jc w:val="left"/>
        <w:rPr>
          <w:rFonts w:ascii="宋体" w:hAnsi="宋体"/>
          <w:color w:val="auto"/>
          <w:sz w:val="28"/>
          <w:szCs w:val="28"/>
        </w:rPr>
      </w:pPr>
    </w:p>
    <w:p>
      <w:pPr>
        <w:pStyle w:val="130"/>
        <w:tabs>
          <w:tab w:val="left" w:pos="900"/>
        </w:tabs>
        <w:ind w:firstLine="560"/>
        <w:jc w:val="left"/>
        <w:rPr>
          <w:rFonts w:ascii="宋体" w:hAnsi="宋体"/>
          <w:color w:val="auto"/>
          <w:sz w:val="28"/>
          <w:szCs w:val="28"/>
        </w:rPr>
      </w:pPr>
    </w:p>
    <w:p>
      <w:pPr>
        <w:pStyle w:val="130"/>
        <w:tabs>
          <w:tab w:val="left" w:pos="900"/>
        </w:tabs>
        <w:ind w:firstLine="560"/>
        <w:jc w:val="left"/>
        <w:rPr>
          <w:rFonts w:ascii="宋体" w:hAnsi="宋体"/>
          <w:color w:val="auto"/>
          <w:sz w:val="28"/>
          <w:szCs w:val="28"/>
        </w:rPr>
      </w:pPr>
    </w:p>
    <w:p>
      <w:pPr>
        <w:pStyle w:val="130"/>
        <w:tabs>
          <w:tab w:val="left" w:pos="900"/>
        </w:tabs>
        <w:ind w:firstLine="560"/>
        <w:jc w:val="left"/>
        <w:rPr>
          <w:rFonts w:ascii="宋体" w:hAnsi="宋体"/>
          <w:color w:val="auto"/>
          <w:sz w:val="28"/>
          <w:szCs w:val="28"/>
        </w:rPr>
      </w:pPr>
    </w:p>
    <w:p>
      <w:pPr>
        <w:pStyle w:val="130"/>
        <w:tabs>
          <w:tab w:val="left" w:pos="900"/>
        </w:tabs>
        <w:ind w:firstLine="560"/>
        <w:jc w:val="left"/>
        <w:rPr>
          <w:rFonts w:ascii="宋体" w:hAnsi="宋体"/>
          <w:color w:val="auto"/>
          <w:sz w:val="28"/>
          <w:szCs w:val="28"/>
        </w:rPr>
      </w:pPr>
    </w:p>
    <w:p>
      <w:pPr>
        <w:pStyle w:val="3"/>
        <w:numPr>
          <w:ilvl w:val="0"/>
          <w:numId w:val="4"/>
        </w:numPr>
        <w:spacing w:before="0" w:after="0" w:line="240" w:lineRule="auto"/>
        <w:ind w:left="0" w:firstLine="0"/>
        <w:rPr>
          <w:color w:val="auto"/>
        </w:rPr>
      </w:pPr>
      <w:bookmarkStart w:id="17" w:name="_Toc11280"/>
      <w:bookmarkStart w:id="18" w:name="_Toc23978"/>
      <w:bookmarkStart w:id="19" w:name="_Toc22501"/>
      <w:bookmarkStart w:id="20" w:name="_Toc16071"/>
      <w:bookmarkStart w:id="21" w:name="_Toc65573685"/>
      <w:r>
        <w:rPr>
          <w:rFonts w:hint="eastAsia"/>
          <w:color w:val="auto"/>
        </w:rPr>
        <w:t>投标人须知</w:t>
      </w:r>
      <w:bookmarkEnd w:id="17"/>
      <w:bookmarkEnd w:id="18"/>
      <w:bookmarkEnd w:id="19"/>
      <w:bookmarkEnd w:id="20"/>
      <w:bookmarkEnd w:id="21"/>
    </w:p>
    <w:p>
      <w:pPr>
        <w:pStyle w:val="4"/>
        <w:numPr>
          <w:ilvl w:val="1"/>
          <w:numId w:val="4"/>
        </w:numPr>
        <w:spacing w:before="0" w:after="0" w:line="240" w:lineRule="auto"/>
        <w:ind w:left="2269" w:hanging="2127"/>
        <w:rPr>
          <w:color w:val="auto"/>
        </w:rPr>
      </w:pPr>
      <w:bookmarkStart w:id="22" w:name="_Toc32366"/>
      <w:bookmarkStart w:id="23" w:name="_Toc15505"/>
      <w:bookmarkStart w:id="24" w:name="_Toc189727030"/>
      <w:bookmarkStart w:id="25" w:name="_Toc1773"/>
      <w:bookmarkStart w:id="26" w:name="_Toc217446032"/>
      <w:bookmarkStart w:id="27" w:name="_Toc213396760"/>
      <w:bookmarkStart w:id="28" w:name="_Toc213396946"/>
      <w:bookmarkStart w:id="29" w:name="_Toc65573686"/>
      <w:bookmarkStart w:id="30" w:name="_Toc316462344"/>
      <w:bookmarkStart w:id="31" w:name="_Toc213496268"/>
      <w:bookmarkStart w:id="32" w:name="_Toc213397010"/>
      <w:bookmarkStart w:id="33" w:name="_Toc14528"/>
      <w:r>
        <w:rPr>
          <w:rFonts w:hint="eastAsia"/>
          <w:color w:val="auto"/>
        </w:rPr>
        <w:t>投标人须知前附表</w:t>
      </w:r>
      <w:bookmarkEnd w:id="22"/>
      <w:bookmarkEnd w:id="23"/>
      <w:bookmarkEnd w:id="24"/>
      <w:bookmarkEnd w:id="25"/>
      <w:bookmarkEnd w:id="26"/>
      <w:bookmarkEnd w:id="27"/>
      <w:bookmarkEnd w:id="28"/>
      <w:bookmarkEnd w:id="29"/>
      <w:bookmarkEnd w:id="30"/>
      <w:bookmarkEnd w:id="31"/>
      <w:bookmarkEnd w:id="32"/>
      <w:bookmarkEnd w:id="33"/>
    </w:p>
    <w:tbl>
      <w:tblPr>
        <w:tblStyle w:val="49"/>
        <w:tblW w:w="9312"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89"/>
        <w:gridCol w:w="1942"/>
        <w:gridCol w:w="668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1" w:hRule="exact"/>
          <w:jc w:val="center"/>
        </w:trPr>
        <w:tc>
          <w:tcPr>
            <w:tcW w:w="689"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b/>
                <w:color w:val="auto"/>
                <w:sz w:val="24"/>
              </w:rPr>
            </w:pPr>
            <w:r>
              <w:rPr>
                <w:rFonts w:hint="eastAsia" w:ascii="宋体" w:hAnsi="宋体"/>
                <w:b/>
                <w:color w:val="auto"/>
                <w:sz w:val="28"/>
                <w:szCs w:val="28"/>
                <w:lang w:val="zh-CN"/>
              </w:rPr>
              <w:t>序号</w:t>
            </w:r>
          </w:p>
        </w:tc>
        <w:tc>
          <w:tcPr>
            <w:tcW w:w="1942" w:type="dxa"/>
            <w:tcBorders>
              <w:top w:val="single" w:color="auto" w:sz="18" w:space="0"/>
              <w:left w:val="single" w:color="auto" w:sz="8" w:space="0"/>
              <w:bottom w:val="single" w:color="auto" w:sz="8" w:space="0"/>
              <w:right w:val="single" w:color="auto" w:sz="8" w:space="0"/>
            </w:tcBorders>
            <w:vAlign w:val="center"/>
          </w:tcPr>
          <w:p>
            <w:pPr>
              <w:pStyle w:val="122"/>
              <w:ind w:left="38"/>
              <w:jc w:val="center"/>
              <w:rPr>
                <w:b/>
                <w:color w:val="auto"/>
                <w:kern w:val="2"/>
                <w:lang w:val="zh-CN"/>
              </w:rPr>
            </w:pPr>
            <w:r>
              <w:rPr>
                <w:rFonts w:hint="eastAsia"/>
                <w:b/>
                <w:color w:val="auto"/>
                <w:kern w:val="2"/>
                <w:sz w:val="28"/>
                <w:szCs w:val="28"/>
                <w:lang w:val="zh-CN"/>
              </w:rPr>
              <w:t>应知事项</w:t>
            </w:r>
          </w:p>
        </w:tc>
        <w:tc>
          <w:tcPr>
            <w:tcW w:w="6681" w:type="dxa"/>
            <w:tcBorders>
              <w:top w:val="single" w:color="auto" w:sz="18" w:space="0"/>
              <w:left w:val="single" w:color="auto" w:sz="8" w:space="0"/>
              <w:bottom w:val="single" w:color="auto" w:sz="8" w:space="0"/>
              <w:right w:val="single" w:color="auto" w:sz="18" w:space="0"/>
            </w:tcBorders>
            <w:vAlign w:val="center"/>
          </w:tcPr>
          <w:p>
            <w:pPr>
              <w:pStyle w:val="122"/>
              <w:jc w:val="center"/>
              <w:rPr>
                <w:b/>
                <w:color w:val="auto"/>
                <w:kern w:val="2"/>
                <w:lang w:val="zh-CN"/>
              </w:rPr>
            </w:pPr>
            <w:r>
              <w:rPr>
                <w:rFonts w:hint="eastAsia"/>
                <w:b/>
                <w:color w:val="auto"/>
                <w:kern w:val="2"/>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42" w:hRule="exac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b/>
                <w:color w:val="auto"/>
                <w:sz w:val="28"/>
                <w:szCs w:val="28"/>
                <w:lang w:val="zh-CN"/>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122"/>
              <w:ind w:left="38"/>
              <w:rPr>
                <w:color w:val="auto"/>
                <w:kern w:val="2"/>
                <w:lang w:val="zh-CN"/>
              </w:rPr>
            </w:pPr>
            <w:r>
              <w:rPr>
                <w:rFonts w:hint="eastAsia"/>
                <w:color w:val="auto"/>
                <w:kern w:val="2"/>
                <w:lang w:val="zh-CN"/>
              </w:rPr>
              <w:t>采购预算</w:t>
            </w:r>
          </w:p>
        </w:tc>
        <w:tc>
          <w:tcPr>
            <w:tcW w:w="6681" w:type="dxa"/>
            <w:tcBorders>
              <w:top w:val="single" w:color="auto" w:sz="8" w:space="0"/>
              <w:left w:val="single" w:color="auto" w:sz="8" w:space="0"/>
              <w:bottom w:val="single" w:color="auto" w:sz="8" w:space="0"/>
              <w:right w:val="single" w:color="auto" w:sz="18" w:space="0"/>
            </w:tcBorders>
            <w:vAlign w:val="center"/>
          </w:tcPr>
          <w:p>
            <w:pPr>
              <w:pStyle w:val="122"/>
              <w:rPr>
                <w:b/>
                <w:color w:val="auto"/>
                <w:kern w:val="2"/>
                <w:lang w:val="zh-CN"/>
              </w:rPr>
            </w:pPr>
            <w:r>
              <w:rPr>
                <w:rFonts w:hint="eastAsia"/>
                <w:b/>
                <w:color w:val="auto"/>
                <w:kern w:val="2"/>
                <w:lang w:val="zh-CN"/>
              </w:rPr>
              <w:t>人民币</w:t>
            </w:r>
            <w:r>
              <w:rPr>
                <w:rFonts w:hint="eastAsia"/>
                <w:b/>
                <w:color w:val="auto"/>
                <w:kern w:val="2"/>
                <w:lang w:val="en-US" w:eastAsia="zh-CN"/>
              </w:rPr>
              <w:t>4668880</w:t>
            </w:r>
            <w:r>
              <w:rPr>
                <w:rFonts w:hint="eastAsia"/>
                <w:b/>
                <w:color w:val="auto"/>
                <w:kern w:val="2"/>
                <w:lang w:val="zh-CN"/>
              </w:rPr>
              <w:t>元</w:t>
            </w:r>
            <w:r>
              <w:rPr>
                <w:rFonts w:hint="eastAsia"/>
                <w:b/>
                <w:color w:val="auto"/>
                <w:kern w:val="2"/>
                <w:lang w:val="en-US" w:eastAsia="zh-CN"/>
              </w:rPr>
              <w:t>/年</w:t>
            </w:r>
            <w:r>
              <w:rPr>
                <w:rFonts w:hint="eastAsia"/>
                <w:b/>
                <w:color w:val="auto"/>
                <w:kern w:val="2"/>
                <w:lang w:val="zh-CN"/>
              </w:rPr>
              <w:t>。</w:t>
            </w:r>
            <w:r>
              <w:rPr>
                <w:rFonts w:hint="eastAsia"/>
                <w:b/>
                <w:color w:val="auto"/>
                <w:kern w:val="2"/>
                <w:lang w:val="en-US" w:eastAsia="zh-CN"/>
              </w:rPr>
              <w:t>服务年限为2年</w:t>
            </w:r>
            <w:r>
              <w:rPr>
                <w:rFonts w:hint="eastAsia"/>
                <w:b/>
                <w:color w:val="auto"/>
                <w:kern w:val="2"/>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20" w:hRule="exac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b/>
                <w:color w:val="auto"/>
                <w:sz w:val="28"/>
                <w:szCs w:val="28"/>
                <w:lang w:val="zh-CN"/>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122"/>
              <w:ind w:left="38"/>
              <w:rPr>
                <w:color w:val="auto"/>
                <w:kern w:val="2"/>
                <w:lang w:val="zh-CN"/>
              </w:rPr>
            </w:pPr>
            <w:r>
              <w:rPr>
                <w:rFonts w:hint="eastAsia"/>
                <w:color w:val="auto"/>
                <w:kern w:val="2"/>
                <w:lang w:val="zh-CN"/>
              </w:rPr>
              <w:t>最高限价</w:t>
            </w:r>
          </w:p>
        </w:tc>
        <w:tc>
          <w:tcPr>
            <w:tcW w:w="6681" w:type="dxa"/>
            <w:tcBorders>
              <w:top w:val="single" w:color="auto" w:sz="8" w:space="0"/>
              <w:left w:val="single" w:color="auto" w:sz="8" w:space="0"/>
              <w:bottom w:val="single" w:color="auto" w:sz="8" w:space="0"/>
              <w:right w:val="single" w:color="auto" w:sz="18" w:space="0"/>
            </w:tcBorders>
            <w:vAlign w:val="center"/>
          </w:tcPr>
          <w:p>
            <w:pPr>
              <w:pStyle w:val="122"/>
              <w:ind w:left="38" w:leftChars="0"/>
              <w:rPr>
                <w:b/>
                <w:color w:val="auto"/>
                <w:kern w:val="2"/>
                <w:lang w:val="zh-CN"/>
              </w:rPr>
            </w:pPr>
            <w:r>
              <w:rPr>
                <w:rFonts w:hint="eastAsia"/>
                <w:b/>
                <w:color w:val="auto"/>
                <w:kern w:val="2"/>
                <w:lang w:val="zh-CN"/>
              </w:rPr>
              <w:t>本项目最高限价为人民币</w:t>
            </w:r>
            <w:r>
              <w:rPr>
                <w:rFonts w:hint="eastAsia"/>
                <w:b/>
                <w:color w:val="auto"/>
                <w:kern w:val="2"/>
                <w:lang w:val="en-US" w:eastAsia="zh-CN"/>
              </w:rPr>
              <w:t>4668880</w:t>
            </w:r>
            <w:r>
              <w:rPr>
                <w:rFonts w:hint="eastAsia"/>
                <w:b/>
                <w:color w:val="auto"/>
                <w:kern w:val="2"/>
                <w:lang w:val="zh-CN"/>
              </w:rPr>
              <w:t>元</w:t>
            </w:r>
            <w:r>
              <w:rPr>
                <w:rFonts w:hint="eastAsia"/>
                <w:b/>
                <w:color w:val="auto"/>
                <w:kern w:val="2"/>
                <w:lang w:val="en-US" w:eastAsia="zh-CN"/>
              </w:rPr>
              <w:t>/年</w:t>
            </w:r>
            <w:r>
              <w:rPr>
                <w:rFonts w:hint="eastAsia"/>
                <w:b/>
                <w:color w:val="auto"/>
                <w:kern w:val="2"/>
                <w:lang w:val="zh-CN"/>
              </w:rPr>
              <w:t>。投标人投标报价高于最高限价的则其投标文件将按无效投标文件处理。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60" w:hRule="exac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auto"/>
                <w:sz w:val="24"/>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122"/>
              <w:ind w:left="38"/>
              <w:rPr>
                <w:color w:val="auto"/>
                <w:kern w:val="2"/>
                <w:lang w:val="zh-CN"/>
              </w:rPr>
            </w:pPr>
            <w:r>
              <w:rPr>
                <w:rFonts w:hint="eastAsia"/>
                <w:color w:val="auto"/>
                <w:kern w:val="2"/>
                <w:lang w:val="zh-CN"/>
              </w:rPr>
              <w:t>采购方式</w:t>
            </w:r>
          </w:p>
        </w:tc>
        <w:tc>
          <w:tcPr>
            <w:tcW w:w="6681" w:type="dxa"/>
            <w:tcBorders>
              <w:top w:val="single" w:color="auto" w:sz="8" w:space="0"/>
              <w:left w:val="single" w:color="auto" w:sz="8" w:space="0"/>
              <w:bottom w:val="single" w:color="auto" w:sz="8" w:space="0"/>
              <w:right w:val="single" w:color="auto" w:sz="18" w:space="0"/>
            </w:tcBorders>
            <w:vAlign w:val="center"/>
          </w:tcPr>
          <w:p>
            <w:pPr>
              <w:pStyle w:val="122"/>
              <w:jc w:val="both"/>
              <w:rPr>
                <w:color w:val="auto"/>
                <w:kern w:val="2"/>
                <w:lang w:val="zh-CN"/>
              </w:rPr>
            </w:pPr>
            <w:r>
              <w:rPr>
                <w:rFonts w:hint="eastAsia"/>
                <w:color w:val="auto"/>
                <w:kern w:val="2"/>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14"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auto"/>
                <w:sz w:val="24"/>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122"/>
              <w:ind w:left="96"/>
              <w:rPr>
                <w:color w:val="auto"/>
                <w:kern w:val="2"/>
                <w:lang w:val="zh-CN"/>
              </w:rPr>
            </w:pPr>
            <w:r>
              <w:rPr>
                <w:rFonts w:hint="eastAsia"/>
                <w:color w:val="auto"/>
                <w:kern w:val="2"/>
                <w:lang w:val="zh-CN"/>
              </w:rPr>
              <w:t>评标方法</w:t>
            </w:r>
          </w:p>
        </w:tc>
        <w:tc>
          <w:tcPr>
            <w:tcW w:w="6681" w:type="dxa"/>
            <w:tcBorders>
              <w:top w:val="single" w:color="auto" w:sz="8" w:space="0"/>
              <w:left w:val="single" w:color="auto" w:sz="8" w:space="0"/>
              <w:bottom w:val="single" w:color="auto" w:sz="8" w:space="0"/>
              <w:right w:val="single" w:color="auto" w:sz="18" w:space="0"/>
            </w:tcBorders>
            <w:vAlign w:val="center"/>
          </w:tcPr>
          <w:p>
            <w:pPr>
              <w:pStyle w:val="122"/>
              <w:rPr>
                <w:color w:val="auto"/>
                <w:kern w:val="2"/>
                <w:lang w:val="zh-CN"/>
              </w:rPr>
            </w:pPr>
            <w:r>
              <w:rPr>
                <w:rFonts w:hint="eastAsia"/>
                <w:color w:val="auto"/>
                <w:kern w:val="2"/>
                <w:lang w:val="zh-CN"/>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9"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auto"/>
                <w:sz w:val="24"/>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122"/>
              <w:ind w:left="96"/>
              <w:rPr>
                <w:color w:val="auto"/>
                <w:kern w:val="2"/>
                <w:lang w:val="zh-CN"/>
              </w:rPr>
            </w:pPr>
            <w:r>
              <w:rPr>
                <w:rFonts w:hint="eastAsia"/>
                <w:color w:val="auto"/>
                <w:kern w:val="2"/>
                <w:lang w:val="zh-CN"/>
              </w:rPr>
              <w:t>低于成本价不正当竞争预防措施</w:t>
            </w:r>
          </w:p>
        </w:tc>
        <w:tc>
          <w:tcPr>
            <w:tcW w:w="6681" w:type="dxa"/>
            <w:tcBorders>
              <w:top w:val="single" w:color="auto" w:sz="8" w:space="0"/>
              <w:left w:val="single" w:color="auto" w:sz="8" w:space="0"/>
              <w:bottom w:val="single" w:color="auto" w:sz="8" w:space="0"/>
              <w:right w:val="single" w:color="auto" w:sz="18" w:space="0"/>
            </w:tcBorders>
            <w:vAlign w:val="center"/>
          </w:tcPr>
          <w:p>
            <w:pPr>
              <w:ind w:right="95" w:rightChars="45"/>
              <w:rPr>
                <w:rFonts w:ascii="宋体" w:hAnsi="宋体"/>
                <w:b/>
                <w:color w:val="auto"/>
                <w:sz w:val="24"/>
              </w:rPr>
            </w:pPr>
            <w:r>
              <w:rPr>
                <w:rFonts w:hint="eastAsia" w:ascii="宋体" w:hAnsi="宋体" w:cs="宋体"/>
                <w:color w:val="auto"/>
                <w:sz w:val="24"/>
                <w:szCs w:val="24"/>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9"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auto"/>
                <w:sz w:val="24"/>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122"/>
              <w:ind w:left="96"/>
              <w:rPr>
                <w:color w:val="auto"/>
                <w:kern w:val="2"/>
                <w:lang w:val="zh-CN"/>
              </w:rPr>
            </w:pPr>
            <w:r>
              <w:rPr>
                <w:rFonts w:hint="eastAsia"/>
                <w:color w:val="auto"/>
                <w:kern w:val="2"/>
                <w:lang w:val="zh-CN"/>
              </w:rPr>
              <w:t>小微企业价格扣除</w:t>
            </w:r>
          </w:p>
        </w:tc>
        <w:tc>
          <w:tcPr>
            <w:tcW w:w="6681" w:type="dxa"/>
            <w:tcBorders>
              <w:top w:val="single" w:color="auto" w:sz="8" w:space="0"/>
              <w:left w:val="single" w:color="auto" w:sz="8" w:space="0"/>
              <w:bottom w:val="single" w:color="auto" w:sz="8" w:space="0"/>
              <w:right w:val="single" w:color="auto" w:sz="18" w:space="0"/>
            </w:tcBorders>
            <w:vAlign w:val="center"/>
          </w:tcPr>
          <w:p>
            <w:pPr>
              <w:ind w:right="95" w:rightChars="45"/>
              <w:rPr>
                <w:rFonts w:ascii="宋体" w:hAnsi="宋体" w:cs="宋体"/>
                <w:color w:val="auto"/>
                <w:kern w:val="0"/>
                <w:sz w:val="24"/>
                <w:szCs w:val="24"/>
                <w:lang w:val="zh-CN"/>
              </w:rPr>
            </w:pPr>
            <w:r>
              <w:rPr>
                <w:rFonts w:hint="eastAsia" w:ascii="宋体" w:hAnsi="宋体" w:cs="宋体"/>
                <w:color w:val="auto"/>
                <w:kern w:val="0"/>
                <w:sz w:val="24"/>
                <w:szCs w:val="24"/>
                <w:lang w:val="zh-CN"/>
              </w:rPr>
              <w:t>1.根据《政府采购促进中小企业发展管理办法》（财库〔</w:t>
            </w:r>
            <w:r>
              <w:rPr>
                <w:rFonts w:ascii="宋体" w:hAnsi="宋体" w:cs="宋体"/>
                <w:color w:val="auto"/>
                <w:kern w:val="0"/>
                <w:sz w:val="24"/>
                <w:szCs w:val="24"/>
                <w:lang w:val="zh-CN"/>
              </w:rPr>
              <w:t>2020〕46号）的规定</w:t>
            </w:r>
            <w:r>
              <w:rPr>
                <w:rFonts w:hint="eastAsia" w:ascii="宋体" w:hAnsi="宋体" w:cs="宋体"/>
                <w:color w:val="auto"/>
                <w:kern w:val="0"/>
                <w:sz w:val="24"/>
                <w:szCs w:val="24"/>
                <w:lang w:val="zh-CN"/>
              </w:rPr>
              <w:t>，对小型和微型企业提供的服务价格给予10%的价格扣除，用扣除后的价格参与评标。</w:t>
            </w:r>
          </w:p>
          <w:p>
            <w:pPr>
              <w:ind w:right="95" w:rightChars="45"/>
              <w:rPr>
                <w:rFonts w:hint="eastAsia" w:ascii="宋体" w:hAnsi="宋体" w:cs="宋体"/>
                <w:color w:val="auto"/>
                <w:kern w:val="0"/>
                <w:sz w:val="24"/>
                <w:szCs w:val="24"/>
                <w:lang w:val="zh-CN"/>
              </w:rPr>
            </w:pPr>
            <w:r>
              <w:rPr>
                <w:rFonts w:hint="eastAsia" w:ascii="宋体" w:hAnsi="宋体" w:cs="宋体"/>
                <w:color w:val="auto"/>
                <w:kern w:val="0"/>
                <w:sz w:val="24"/>
                <w:szCs w:val="24"/>
              </w:rPr>
              <w:t>2</w:t>
            </w:r>
            <w:r>
              <w:rPr>
                <w:rFonts w:hint="eastAsia" w:ascii="宋体" w:hAnsi="宋体" w:cs="宋体"/>
                <w:color w:val="auto"/>
                <w:kern w:val="0"/>
                <w:sz w:val="24"/>
                <w:szCs w:val="24"/>
                <w:lang w:val="zh-CN"/>
              </w:rPr>
              <w:t>.投标人应提供《中小企业声明函》。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9"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auto"/>
                <w:sz w:val="24"/>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122"/>
              <w:ind w:left="96"/>
              <w:rPr>
                <w:color w:val="auto"/>
                <w:kern w:val="2"/>
                <w:lang w:val="zh-CN"/>
              </w:rPr>
            </w:pPr>
            <w:r>
              <w:rPr>
                <w:rFonts w:hint="eastAsia"/>
                <w:color w:val="auto"/>
                <w:kern w:val="2"/>
                <w:lang w:val="zh-CN"/>
              </w:rPr>
              <w:t>监狱企业价格扣除</w:t>
            </w:r>
          </w:p>
        </w:tc>
        <w:tc>
          <w:tcPr>
            <w:tcW w:w="6681" w:type="dxa"/>
            <w:tcBorders>
              <w:top w:val="single" w:color="auto" w:sz="8" w:space="0"/>
              <w:left w:val="single" w:color="auto" w:sz="8" w:space="0"/>
              <w:bottom w:val="single" w:color="auto" w:sz="8" w:space="0"/>
              <w:right w:val="single" w:color="auto" w:sz="18" w:space="0"/>
            </w:tcBorders>
            <w:vAlign w:val="center"/>
          </w:tcPr>
          <w:p>
            <w:pPr>
              <w:widowControl/>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１.根据《关于政府采购支持监狱企业发展有关问题的通知》（财库〔</w:t>
            </w:r>
            <w:r>
              <w:rPr>
                <w:rFonts w:ascii="宋体" w:hAnsi="宋体" w:cs="宋体"/>
                <w:color w:val="auto"/>
                <w:kern w:val="0"/>
                <w:sz w:val="24"/>
                <w:szCs w:val="24"/>
                <w:lang w:val="zh-CN"/>
              </w:rPr>
              <w:t>20</w:t>
            </w:r>
            <w:r>
              <w:rPr>
                <w:rFonts w:hint="eastAsia" w:ascii="宋体" w:hAnsi="宋体" w:cs="宋体"/>
                <w:color w:val="auto"/>
                <w:kern w:val="0"/>
                <w:sz w:val="24"/>
                <w:szCs w:val="24"/>
                <w:lang w:val="zh-CN"/>
              </w:rPr>
              <w:t>14</w:t>
            </w:r>
            <w:r>
              <w:rPr>
                <w:rFonts w:ascii="宋体" w:hAnsi="宋体" w:cs="宋体"/>
                <w:color w:val="auto"/>
                <w:kern w:val="0"/>
                <w:sz w:val="24"/>
                <w:szCs w:val="24"/>
                <w:lang w:val="zh-CN"/>
              </w:rPr>
              <w:t>〕</w:t>
            </w:r>
            <w:r>
              <w:rPr>
                <w:rFonts w:hint="eastAsia" w:ascii="宋体" w:hAnsi="宋体" w:cs="宋体"/>
                <w:color w:val="auto"/>
                <w:kern w:val="0"/>
                <w:sz w:val="24"/>
                <w:szCs w:val="24"/>
                <w:lang w:val="zh-CN"/>
              </w:rPr>
              <w:t>68号）的规定，监狱企业视同小型、微型企业，对监狱企业提供的服务价格给予10%的价格扣除，用扣除后的价格参与评标。</w:t>
            </w:r>
          </w:p>
          <w:p>
            <w:pPr>
              <w:ind w:right="95" w:rightChars="45"/>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２.投标人为监狱企业的,应提供由省级以上监狱管理局、戒毒管理局（含新疆生产建设兵团）出具的投标人属于监狱企业的证明文件复印件。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9"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auto"/>
                <w:sz w:val="24"/>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122"/>
              <w:ind w:left="96"/>
              <w:rPr>
                <w:color w:val="auto"/>
                <w:kern w:val="2"/>
                <w:lang w:val="zh-CN"/>
              </w:rPr>
            </w:pPr>
            <w:r>
              <w:rPr>
                <w:rFonts w:hint="eastAsia"/>
                <w:color w:val="auto"/>
                <w:kern w:val="2"/>
              </w:rPr>
              <w:t>残疾人福利性单位</w:t>
            </w:r>
            <w:r>
              <w:rPr>
                <w:rFonts w:hint="eastAsia"/>
                <w:color w:val="auto"/>
                <w:kern w:val="2"/>
                <w:lang w:val="zh-CN"/>
              </w:rPr>
              <w:t>价格扣除</w:t>
            </w:r>
          </w:p>
        </w:tc>
        <w:tc>
          <w:tcPr>
            <w:tcW w:w="6681" w:type="dxa"/>
            <w:tcBorders>
              <w:top w:val="single" w:color="auto" w:sz="8" w:space="0"/>
              <w:left w:val="single" w:color="auto" w:sz="8" w:space="0"/>
              <w:bottom w:val="single" w:color="auto" w:sz="8" w:space="0"/>
              <w:right w:val="single" w:color="auto" w:sz="18" w:space="0"/>
            </w:tcBorders>
            <w:vAlign w:val="center"/>
          </w:tcPr>
          <w:p>
            <w:pPr>
              <w:widowControl/>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1.根据《三部门联合发布关于促进残疾人就业政府采购政策的通知》（财库[2017]141号）的规定，残疾人福利性单位视同小型、微型企业，对残疾人福利性单位提供的服务价格给予10%的价格扣除，用扣除后的价格参与评标。</w:t>
            </w:r>
          </w:p>
          <w:p>
            <w:pPr>
              <w:widowControl/>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2.投标文件中应提供《残疾人福利性单位声明函》。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9"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auto"/>
                <w:sz w:val="24"/>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122"/>
              <w:ind w:left="96"/>
              <w:rPr>
                <w:color w:val="auto"/>
                <w:kern w:val="2"/>
                <w:lang w:val="zh-CN"/>
              </w:rPr>
            </w:pPr>
            <w:r>
              <w:rPr>
                <w:rFonts w:hint="eastAsia"/>
                <w:color w:val="auto"/>
                <w:kern w:val="2"/>
                <w:lang w:val="zh-CN"/>
              </w:rPr>
              <w:t>投标保证金</w:t>
            </w:r>
          </w:p>
        </w:tc>
        <w:tc>
          <w:tcPr>
            <w:tcW w:w="6681" w:type="dxa"/>
            <w:tcBorders>
              <w:top w:val="single" w:color="auto" w:sz="8" w:space="0"/>
              <w:left w:val="single" w:color="auto" w:sz="8" w:space="0"/>
              <w:bottom w:val="single" w:color="auto" w:sz="8" w:space="0"/>
              <w:right w:val="single" w:color="auto" w:sz="18" w:space="0"/>
            </w:tcBorders>
            <w:vAlign w:val="center"/>
          </w:tcPr>
          <w:p>
            <w:pPr>
              <w:rPr>
                <w:rFonts w:ascii="宋体" w:hAnsi="宋体"/>
                <w:color w:val="auto"/>
                <w:sz w:val="24"/>
                <w:lang w:val="zh-CN"/>
              </w:rPr>
            </w:pPr>
            <w:r>
              <w:rPr>
                <w:rFonts w:hint="eastAsia" w:ascii="宋体" w:hAnsi="宋体"/>
                <w:color w:val="auto"/>
                <w:sz w:val="24"/>
                <w:lang w:val="zh-CN"/>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auto"/>
                <w:sz w:val="24"/>
              </w:rPr>
            </w:pPr>
          </w:p>
        </w:tc>
        <w:tc>
          <w:tcPr>
            <w:tcW w:w="1942" w:type="dxa"/>
            <w:tcBorders>
              <w:top w:val="single" w:color="auto" w:sz="8" w:space="0"/>
              <w:left w:val="single" w:color="auto" w:sz="8" w:space="0"/>
              <w:bottom w:val="single" w:color="auto" w:sz="8" w:space="0"/>
              <w:right w:val="single" w:color="auto" w:sz="8" w:space="0"/>
            </w:tcBorders>
            <w:vAlign w:val="center"/>
          </w:tcPr>
          <w:p>
            <w:pPr>
              <w:snapToGrid w:val="0"/>
              <w:jc w:val="left"/>
              <w:rPr>
                <w:rFonts w:ascii="宋体" w:hAnsi="宋体"/>
                <w:color w:val="auto"/>
                <w:sz w:val="24"/>
              </w:rPr>
            </w:pPr>
            <w:r>
              <w:rPr>
                <w:rFonts w:hint="eastAsia" w:ascii="宋体" w:hAnsi="宋体" w:cs="宋体"/>
                <w:color w:val="auto"/>
                <w:kern w:val="0"/>
                <w:sz w:val="24"/>
                <w:szCs w:val="24"/>
                <w:lang w:val="zh-CN"/>
              </w:rPr>
              <w:t>履约保证金</w:t>
            </w:r>
          </w:p>
        </w:tc>
        <w:tc>
          <w:tcPr>
            <w:tcW w:w="6681"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color w:val="auto"/>
                <w:kern w:val="0"/>
                <w:sz w:val="24"/>
              </w:rPr>
            </w:pPr>
            <w:r>
              <w:rPr>
                <w:rFonts w:hint="eastAsia" w:ascii="宋体" w:hAnsi="宋体"/>
                <w:color w:val="auto"/>
                <w:kern w:val="0"/>
                <w:sz w:val="24"/>
              </w:rPr>
              <w:t>详见投标人须知2.6.4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74"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auto"/>
                <w:sz w:val="24"/>
              </w:rPr>
            </w:pPr>
          </w:p>
        </w:tc>
        <w:tc>
          <w:tcPr>
            <w:tcW w:w="1942"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olor w:val="auto"/>
                <w:sz w:val="24"/>
              </w:rPr>
            </w:pPr>
            <w:r>
              <w:rPr>
                <w:rFonts w:hint="eastAsia" w:ascii="宋体" w:hAnsi="宋体"/>
                <w:color w:val="auto"/>
                <w:sz w:val="24"/>
              </w:rPr>
              <w:t>投标有效期</w:t>
            </w:r>
          </w:p>
        </w:tc>
        <w:tc>
          <w:tcPr>
            <w:tcW w:w="6681"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color w:val="auto"/>
                <w:sz w:val="24"/>
              </w:rPr>
            </w:pPr>
            <w:r>
              <w:rPr>
                <w:rFonts w:hint="eastAsia" w:ascii="Helvetica" w:hAnsi="Helvetica" w:cs="Helvetica"/>
                <w:color w:val="auto"/>
                <w:kern w:val="0"/>
                <w:sz w:val="24"/>
                <w:szCs w:val="24"/>
              </w:rPr>
              <w:t>提交投标文件的截止之日起</w:t>
            </w:r>
            <w:r>
              <w:rPr>
                <w:rFonts w:hint="eastAsia" w:ascii="宋体" w:hAnsi="宋体"/>
                <w:color w:val="auto"/>
                <w:sz w:val="24"/>
                <w:szCs w:val="24"/>
                <w:u w:val="single"/>
              </w:rPr>
              <w:t xml:space="preserve"> 120</w:t>
            </w:r>
            <w:r>
              <w:rPr>
                <w:rFonts w:hint="eastAsia" w:ascii="宋体" w:hAnsi="宋体"/>
                <w:color w:val="auto"/>
                <w:sz w:val="24"/>
                <w:szCs w:val="24"/>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909"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auto"/>
                <w:sz w:val="24"/>
              </w:rPr>
            </w:pPr>
          </w:p>
        </w:tc>
        <w:tc>
          <w:tcPr>
            <w:tcW w:w="1942"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olor w:val="auto"/>
                <w:sz w:val="24"/>
              </w:rPr>
            </w:pPr>
            <w:r>
              <w:rPr>
                <w:rFonts w:hint="eastAsia" w:ascii="宋体" w:hAnsi="宋体"/>
                <w:color w:val="auto"/>
                <w:sz w:val="24"/>
              </w:rPr>
              <w:t>投标文件的制作和签章、加密</w:t>
            </w:r>
          </w:p>
        </w:tc>
        <w:tc>
          <w:tcPr>
            <w:tcW w:w="6681"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color w:val="auto"/>
                <w:sz w:val="24"/>
              </w:rPr>
            </w:pPr>
            <w:r>
              <w:rPr>
                <w:rFonts w:hint="eastAsia" w:ascii="宋体" w:hAnsi="宋体"/>
                <w:color w:val="auto"/>
                <w:sz w:val="24"/>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20" w:hRule="atLeast"/>
          <w:jc w:val="center"/>
        </w:trPr>
        <w:tc>
          <w:tcPr>
            <w:tcW w:w="689"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after="200"/>
              <w:jc w:val="center"/>
              <w:rPr>
                <w:rFonts w:ascii="宋体" w:hAnsi="宋体"/>
                <w:color w:val="auto"/>
                <w:sz w:val="24"/>
              </w:rPr>
            </w:pPr>
          </w:p>
        </w:tc>
        <w:tc>
          <w:tcPr>
            <w:tcW w:w="1942" w:type="dxa"/>
            <w:tcBorders>
              <w:top w:val="single" w:color="auto" w:sz="8" w:space="0"/>
              <w:left w:val="single" w:color="auto" w:sz="8" w:space="0"/>
              <w:bottom w:val="single" w:color="auto" w:sz="4" w:space="0"/>
              <w:right w:val="single" w:color="auto" w:sz="8" w:space="0"/>
            </w:tcBorders>
            <w:vAlign w:val="center"/>
          </w:tcPr>
          <w:p>
            <w:pPr>
              <w:tabs>
                <w:tab w:val="left" w:pos="7665"/>
              </w:tabs>
              <w:snapToGrid w:val="0"/>
              <w:jc w:val="left"/>
              <w:rPr>
                <w:rFonts w:ascii="宋体" w:hAnsi="宋体"/>
                <w:color w:val="auto"/>
                <w:sz w:val="24"/>
              </w:rPr>
            </w:pPr>
            <w:r>
              <w:rPr>
                <w:rFonts w:hint="eastAsia" w:ascii="宋体" w:hAnsi="宋体"/>
                <w:color w:val="auto"/>
                <w:sz w:val="24"/>
              </w:rPr>
              <w:t>投标文件的递交</w:t>
            </w:r>
          </w:p>
        </w:tc>
        <w:tc>
          <w:tcPr>
            <w:tcW w:w="6681"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jc w:val="left"/>
              <w:rPr>
                <w:rFonts w:ascii="宋体" w:hAnsi="宋体"/>
                <w:color w:val="auto"/>
                <w:sz w:val="24"/>
              </w:rPr>
            </w:pPr>
            <w:r>
              <w:rPr>
                <w:rFonts w:hint="eastAsia" w:ascii="宋体" w:hAnsi="宋体"/>
                <w:color w:val="auto"/>
                <w:sz w:val="24"/>
              </w:rPr>
              <w:t>详见投标人须知2.4.12</w:t>
            </w:r>
          </w:p>
          <w:p>
            <w:pPr>
              <w:tabs>
                <w:tab w:val="left" w:pos="7665"/>
              </w:tabs>
              <w:snapToGrid w:val="0"/>
              <w:jc w:val="left"/>
              <w:rPr>
                <w:color w:val="auto"/>
              </w:rPr>
            </w:pPr>
            <w:r>
              <w:rPr>
                <w:rFonts w:hint="eastAsia" w:ascii="宋体" w:hAnsi="宋体"/>
                <w:color w:val="auto"/>
                <w:sz w:val="24"/>
              </w:rPr>
              <w:t>注：投标人使用CA证书在投标截止时间前，将电子投标文件上传至政府采购云平台，上传前须对电子投标文件是否有电子签章等进行核对。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56" w:hRule="atLeast"/>
          <w:jc w:val="center"/>
        </w:trPr>
        <w:tc>
          <w:tcPr>
            <w:tcW w:w="689"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after="200"/>
              <w:jc w:val="center"/>
              <w:rPr>
                <w:rFonts w:ascii="宋体" w:hAnsi="宋体"/>
                <w:color w:val="auto"/>
                <w:sz w:val="24"/>
              </w:rPr>
            </w:pPr>
          </w:p>
        </w:tc>
        <w:tc>
          <w:tcPr>
            <w:tcW w:w="1942" w:type="dxa"/>
            <w:tcBorders>
              <w:top w:val="single" w:color="auto" w:sz="4" w:space="0"/>
              <w:left w:val="single" w:color="auto" w:sz="8" w:space="0"/>
              <w:bottom w:val="single" w:color="auto" w:sz="4" w:space="0"/>
              <w:right w:val="single" w:color="auto" w:sz="8" w:space="0"/>
            </w:tcBorders>
            <w:vAlign w:val="center"/>
          </w:tcPr>
          <w:p>
            <w:pPr>
              <w:tabs>
                <w:tab w:val="left" w:pos="7665"/>
              </w:tabs>
              <w:snapToGrid w:val="0"/>
              <w:jc w:val="left"/>
              <w:rPr>
                <w:rFonts w:ascii="宋体" w:hAnsi="宋体"/>
                <w:color w:val="auto"/>
                <w:sz w:val="24"/>
              </w:rPr>
            </w:pPr>
            <w:r>
              <w:rPr>
                <w:rFonts w:hint="eastAsia" w:ascii="宋体" w:hAnsi="宋体"/>
                <w:color w:val="auto"/>
                <w:sz w:val="24"/>
              </w:rPr>
              <w:t>投标文件的补充、修改</w:t>
            </w:r>
          </w:p>
        </w:tc>
        <w:tc>
          <w:tcPr>
            <w:tcW w:w="6681"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jc w:val="left"/>
              <w:rPr>
                <w:rFonts w:ascii="宋体" w:hAnsi="宋体"/>
                <w:color w:val="auto"/>
                <w:sz w:val="24"/>
              </w:rPr>
            </w:pPr>
            <w:r>
              <w:rPr>
                <w:rFonts w:hint="eastAsia" w:ascii="宋体" w:hAnsi="宋体"/>
                <w:color w:val="auto"/>
                <w:sz w:val="24"/>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80" w:hRule="atLeast"/>
          <w:jc w:val="center"/>
        </w:trPr>
        <w:tc>
          <w:tcPr>
            <w:tcW w:w="689" w:type="dxa"/>
            <w:tcBorders>
              <w:top w:val="single" w:color="auto" w:sz="4"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auto"/>
                <w:sz w:val="24"/>
              </w:rPr>
            </w:pPr>
          </w:p>
        </w:tc>
        <w:tc>
          <w:tcPr>
            <w:tcW w:w="1942" w:type="dxa"/>
            <w:tcBorders>
              <w:top w:val="single" w:color="auto" w:sz="4"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olor w:val="auto"/>
                <w:sz w:val="24"/>
              </w:rPr>
            </w:pPr>
            <w:r>
              <w:rPr>
                <w:rFonts w:hint="eastAsia" w:ascii="宋体" w:hAnsi="宋体"/>
                <w:color w:val="auto"/>
                <w:sz w:val="24"/>
              </w:rPr>
              <w:t>投标文件的撤回</w:t>
            </w:r>
          </w:p>
        </w:tc>
        <w:tc>
          <w:tcPr>
            <w:tcW w:w="6681" w:type="dxa"/>
            <w:tcBorders>
              <w:top w:val="single" w:color="auto" w:sz="4"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color w:val="auto"/>
                <w:sz w:val="24"/>
              </w:rPr>
            </w:pPr>
            <w:r>
              <w:rPr>
                <w:rFonts w:hint="eastAsia" w:ascii="宋体" w:hAnsi="宋体"/>
                <w:color w:val="auto"/>
                <w:sz w:val="24"/>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80" w:hRule="atLeast"/>
          <w:jc w:val="center"/>
        </w:trPr>
        <w:tc>
          <w:tcPr>
            <w:tcW w:w="689" w:type="dxa"/>
            <w:tcBorders>
              <w:top w:val="single" w:color="auto" w:sz="4"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auto"/>
                <w:sz w:val="24"/>
              </w:rPr>
            </w:pPr>
          </w:p>
        </w:tc>
        <w:tc>
          <w:tcPr>
            <w:tcW w:w="1942" w:type="dxa"/>
            <w:tcBorders>
              <w:top w:val="single" w:color="auto" w:sz="4"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olor w:val="auto"/>
                <w:sz w:val="24"/>
              </w:rPr>
            </w:pPr>
            <w:r>
              <w:rPr>
                <w:rFonts w:hint="eastAsia"/>
                <w:b/>
                <w:color w:val="auto"/>
              </w:rPr>
              <w:t>开标及开标程序</w:t>
            </w:r>
          </w:p>
        </w:tc>
        <w:tc>
          <w:tcPr>
            <w:tcW w:w="6681" w:type="dxa"/>
            <w:tcBorders>
              <w:top w:val="single" w:color="auto" w:sz="4" w:space="0"/>
              <w:left w:val="single" w:color="auto" w:sz="8" w:space="0"/>
              <w:bottom w:val="single" w:color="auto" w:sz="8" w:space="0"/>
              <w:right w:val="single" w:color="auto" w:sz="18" w:space="0"/>
            </w:tcBorders>
            <w:vAlign w:val="center"/>
          </w:tcPr>
          <w:p>
            <w:pPr>
              <w:snapToGrid w:val="0"/>
              <w:spacing w:line="360" w:lineRule="auto"/>
              <w:rPr>
                <w:rFonts w:ascii="宋体" w:hAnsi="宋体"/>
                <w:b/>
                <w:color w:val="auto"/>
              </w:rPr>
            </w:pPr>
            <w:r>
              <w:rPr>
                <w:rFonts w:hint="eastAsia" w:ascii="宋体" w:hAnsi="宋体"/>
                <w:b/>
                <w:color w:val="auto"/>
              </w:rPr>
              <w:t>详见投标人须知2.5.1。</w:t>
            </w:r>
          </w:p>
          <w:p>
            <w:pPr>
              <w:snapToGrid w:val="0"/>
              <w:spacing w:line="360" w:lineRule="auto"/>
              <w:rPr>
                <w:rFonts w:ascii="宋体" w:hAnsi="宋体"/>
                <w:b/>
                <w:color w:val="auto"/>
              </w:rPr>
            </w:pPr>
            <w:r>
              <w:rPr>
                <w:rFonts w:hint="eastAsia" w:ascii="宋体" w:hAnsi="宋体"/>
                <w:b/>
                <w:color w:val="auto"/>
              </w:rPr>
              <w:t>投标文件解密：开启解密后，投标人应在系统提示的解密开始时间后</w:t>
            </w:r>
            <w:r>
              <w:rPr>
                <w:rFonts w:ascii="宋体" w:hAnsi="宋体"/>
                <w:b/>
                <w:color w:val="auto"/>
              </w:rPr>
              <w:t>60</w:t>
            </w:r>
            <w:r>
              <w:rPr>
                <w:rFonts w:hint="eastAsia" w:ascii="宋体" w:hAnsi="宋体"/>
                <w:b/>
                <w:color w:val="auto"/>
              </w:rPr>
              <w:t>分钟内 ，使用对投标文件进行加密的CA证书在线完成对投标人递交至政府采购云平台的投标文件的解密。</w:t>
            </w:r>
          </w:p>
          <w:p>
            <w:pPr>
              <w:snapToGrid w:val="0"/>
              <w:spacing w:line="360" w:lineRule="auto"/>
              <w:rPr>
                <w:rFonts w:ascii="宋体" w:hAnsi="宋体"/>
                <w:b/>
                <w:color w:val="auto"/>
              </w:rPr>
            </w:pPr>
            <w:r>
              <w:rPr>
                <w:rFonts w:hint="eastAsia" w:ascii="宋体" w:hAnsi="宋体"/>
                <w:b/>
                <w:color w:val="auto"/>
              </w:rPr>
              <w:t>投标人电脑终端等硬件设备和软件系统配置：投标人电脑终端等硬件设备和软件系统配置应符合开标大厅投标人电脑终端配置要求并运行正常，投标人承担因未尽职责产生的不利后果。</w:t>
            </w:r>
          </w:p>
          <w:p>
            <w:pPr>
              <w:tabs>
                <w:tab w:val="left" w:pos="7665"/>
              </w:tabs>
              <w:snapToGrid w:val="0"/>
              <w:jc w:val="left"/>
              <w:rPr>
                <w:rFonts w:ascii="宋体" w:hAnsi="宋体"/>
                <w:color w:val="auto"/>
                <w:sz w:val="24"/>
              </w:rPr>
            </w:pPr>
            <w:r>
              <w:rPr>
                <w:rFonts w:hint="eastAsia" w:ascii="宋体" w:hAnsi="宋体"/>
                <w:b/>
                <w:color w:val="auto"/>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37"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auto"/>
                <w:sz w:val="24"/>
              </w:rPr>
            </w:pPr>
          </w:p>
        </w:tc>
        <w:tc>
          <w:tcPr>
            <w:tcW w:w="1942" w:type="dxa"/>
            <w:tcBorders>
              <w:top w:val="single" w:color="auto" w:sz="8" w:space="0"/>
              <w:left w:val="single" w:color="auto" w:sz="8" w:space="0"/>
              <w:bottom w:val="single" w:color="auto" w:sz="8" w:space="0"/>
              <w:right w:val="single" w:color="auto" w:sz="8" w:space="0"/>
            </w:tcBorders>
            <w:vAlign w:val="center"/>
          </w:tcPr>
          <w:p>
            <w:pPr>
              <w:snapToGrid w:val="0"/>
              <w:jc w:val="left"/>
              <w:rPr>
                <w:rFonts w:ascii="宋体" w:hAnsi="宋体"/>
                <w:color w:val="auto"/>
                <w:sz w:val="24"/>
              </w:rPr>
            </w:pPr>
            <w:r>
              <w:rPr>
                <w:rFonts w:hint="eastAsia" w:ascii="宋体" w:hAnsi="宋体"/>
                <w:color w:val="auto"/>
                <w:sz w:val="24"/>
                <w:szCs w:val="24"/>
              </w:rPr>
              <w:t>对招标文件中供应商参加本次政府采购活动应当具备的条件，招标项目服务、商务及其他要求，</w:t>
            </w:r>
            <w:r>
              <w:rPr>
                <w:rFonts w:hint="eastAsia" w:ascii="宋体"/>
                <w:color w:val="auto"/>
                <w:sz w:val="24"/>
                <w:lang w:val="zh-CN"/>
              </w:rPr>
              <w:t>投标资料造假或虚假承诺，</w:t>
            </w:r>
            <w:r>
              <w:rPr>
                <w:rFonts w:hint="eastAsia" w:ascii="宋体" w:hAnsi="宋体"/>
                <w:color w:val="auto"/>
                <w:sz w:val="24"/>
                <w:szCs w:val="24"/>
              </w:rPr>
              <w:t>以及关于资格审查的询问、质疑</w:t>
            </w:r>
          </w:p>
        </w:tc>
        <w:tc>
          <w:tcPr>
            <w:tcW w:w="6681"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ind w:right="210"/>
              <w:rPr>
                <w:rFonts w:ascii="宋体" w:hAnsi="宋体" w:eastAsia="仿宋_GB2312" w:cs="宋体"/>
                <w:color w:val="auto"/>
                <w:kern w:val="0"/>
                <w:sz w:val="24"/>
              </w:rPr>
            </w:pPr>
            <w:r>
              <w:rPr>
                <w:rFonts w:hint="eastAsia" w:ascii="宋体" w:hAnsi="宋体"/>
                <w:color w:val="auto"/>
                <w:sz w:val="24"/>
                <w:szCs w:val="24"/>
              </w:rPr>
              <w:t>向采购人提出，并由</w:t>
            </w:r>
            <w:r>
              <w:rPr>
                <w:rFonts w:hint="eastAsia" w:ascii="宋体" w:hAnsi="宋体"/>
                <w:color w:val="auto"/>
                <w:kern w:val="0"/>
                <w:sz w:val="24"/>
              </w:rPr>
              <w:t>采购人</w:t>
            </w:r>
            <w:r>
              <w:rPr>
                <w:rFonts w:hint="eastAsia" w:ascii="宋体" w:hAnsi="宋体"/>
                <w:color w:val="auto"/>
                <w:sz w:val="24"/>
                <w:szCs w:val="24"/>
              </w:rPr>
              <w:t>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4"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auto"/>
                <w:sz w:val="24"/>
              </w:rPr>
            </w:pPr>
          </w:p>
        </w:tc>
        <w:tc>
          <w:tcPr>
            <w:tcW w:w="1942" w:type="dxa"/>
            <w:tcBorders>
              <w:top w:val="single" w:color="auto" w:sz="8" w:space="0"/>
              <w:left w:val="single" w:color="auto" w:sz="8" w:space="0"/>
              <w:bottom w:val="single" w:color="auto" w:sz="8" w:space="0"/>
              <w:right w:val="single" w:color="auto" w:sz="8" w:space="0"/>
            </w:tcBorders>
            <w:vAlign w:val="center"/>
          </w:tcPr>
          <w:p>
            <w:pPr>
              <w:snapToGrid w:val="0"/>
              <w:jc w:val="left"/>
              <w:rPr>
                <w:rFonts w:ascii="宋体" w:hAnsi="宋体"/>
                <w:color w:val="auto"/>
                <w:sz w:val="24"/>
              </w:rPr>
            </w:pPr>
            <w:r>
              <w:rPr>
                <w:rFonts w:hint="eastAsia" w:ascii="宋体" w:hAnsi="宋体"/>
                <w:color w:val="auto"/>
                <w:sz w:val="24"/>
                <w:szCs w:val="24"/>
              </w:rPr>
              <w:t>对招标文件中的其他内容、采购过程及中标结果（除资格审查）的询问、质疑</w:t>
            </w:r>
          </w:p>
        </w:tc>
        <w:tc>
          <w:tcPr>
            <w:tcW w:w="6681"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ind w:right="210"/>
              <w:rPr>
                <w:rFonts w:ascii="宋体" w:hAnsi="宋体" w:eastAsia="仿宋_GB2312" w:cs="宋体"/>
                <w:color w:val="auto"/>
                <w:kern w:val="0"/>
                <w:sz w:val="24"/>
              </w:rPr>
            </w:pPr>
            <w:r>
              <w:rPr>
                <w:rFonts w:hint="eastAsia" w:ascii="宋体" w:hAnsi="宋体"/>
                <w:color w:val="auto"/>
                <w:kern w:val="0"/>
                <w:sz w:val="24"/>
              </w:rPr>
              <w:t>向市公资交易中心提出，</w:t>
            </w:r>
            <w:r>
              <w:rPr>
                <w:rFonts w:hint="eastAsia" w:ascii="宋体" w:hAnsi="宋体"/>
                <w:color w:val="auto"/>
                <w:sz w:val="24"/>
                <w:szCs w:val="24"/>
              </w:rPr>
              <w:t>并由</w:t>
            </w:r>
            <w:r>
              <w:rPr>
                <w:rFonts w:hint="eastAsia" w:ascii="宋体" w:hAnsi="宋体"/>
                <w:color w:val="auto"/>
                <w:kern w:val="0"/>
                <w:sz w:val="24"/>
              </w:rPr>
              <w:t>市公资交易中心</w:t>
            </w:r>
            <w:r>
              <w:rPr>
                <w:rFonts w:hint="eastAsia" w:ascii="宋体" w:hAnsi="宋体"/>
                <w:color w:val="auto"/>
                <w:sz w:val="24"/>
                <w:szCs w:val="24"/>
              </w:rPr>
              <w:t>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37"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200"/>
              <w:jc w:val="center"/>
              <w:rPr>
                <w:rFonts w:ascii="宋体" w:hAnsi="宋体"/>
                <w:color w:val="auto"/>
                <w:sz w:val="24"/>
              </w:rPr>
            </w:pPr>
          </w:p>
        </w:tc>
        <w:tc>
          <w:tcPr>
            <w:tcW w:w="1942"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olor w:val="auto"/>
                <w:sz w:val="24"/>
              </w:rPr>
            </w:pPr>
            <w:r>
              <w:rPr>
                <w:rFonts w:hint="eastAsia" w:ascii="宋体" w:hAnsi="宋体"/>
                <w:color w:val="auto"/>
                <w:sz w:val="24"/>
                <w:szCs w:val="24"/>
              </w:rPr>
              <w:t>投标人投诉</w:t>
            </w:r>
          </w:p>
        </w:tc>
        <w:tc>
          <w:tcPr>
            <w:tcW w:w="6681"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hint="eastAsia" w:ascii="宋体" w:hAnsi="宋体"/>
                <w:color w:val="auto"/>
                <w:sz w:val="24"/>
                <w:szCs w:val="24"/>
                <w:lang w:val="zh-CN"/>
              </w:rPr>
            </w:pPr>
            <w:r>
              <w:rPr>
                <w:rFonts w:hint="eastAsia" w:ascii="宋体" w:hAnsi="宋体"/>
                <w:color w:val="auto"/>
                <w:sz w:val="24"/>
                <w:szCs w:val="24"/>
                <w:lang w:val="zh-CN"/>
              </w:rPr>
              <w:t>投诉受理单位：本项目同级财政部门，即</w:t>
            </w:r>
            <w:r>
              <w:rPr>
                <w:rFonts w:hint="eastAsia" w:ascii="宋体" w:hAnsi="宋体"/>
                <w:color w:val="auto"/>
                <w:sz w:val="24"/>
                <w:szCs w:val="24"/>
                <w:lang w:val="zh-CN" w:eastAsia="zh-CN"/>
              </w:rPr>
              <w:t>都江堰</w:t>
            </w:r>
            <w:r>
              <w:rPr>
                <w:rFonts w:hint="eastAsia" w:ascii="宋体" w:hAnsi="宋体"/>
                <w:color w:val="auto"/>
                <w:sz w:val="24"/>
                <w:szCs w:val="24"/>
                <w:lang w:val="zh-CN"/>
              </w:rPr>
              <w:t>市财政局。</w:t>
            </w:r>
          </w:p>
          <w:p>
            <w:pPr>
              <w:tabs>
                <w:tab w:val="left" w:pos="7665"/>
              </w:tabs>
              <w:snapToGrid w:val="0"/>
              <w:jc w:val="left"/>
              <w:rPr>
                <w:rFonts w:hint="eastAsia" w:ascii="宋体" w:hAnsi="宋体"/>
                <w:color w:val="auto"/>
                <w:sz w:val="24"/>
                <w:szCs w:val="24"/>
                <w:lang w:val="zh-CN"/>
              </w:rPr>
            </w:pPr>
            <w:r>
              <w:rPr>
                <w:rFonts w:hint="eastAsia" w:ascii="宋体" w:hAnsi="宋体"/>
                <w:color w:val="auto"/>
                <w:sz w:val="24"/>
                <w:szCs w:val="24"/>
                <w:lang w:val="zh-CN"/>
              </w:rPr>
              <w:t>联系电话：028-89747932。</w:t>
            </w:r>
          </w:p>
          <w:p>
            <w:pPr>
              <w:tabs>
                <w:tab w:val="left" w:pos="7665"/>
              </w:tabs>
              <w:snapToGrid w:val="0"/>
              <w:jc w:val="left"/>
              <w:rPr>
                <w:rFonts w:hint="eastAsia" w:ascii="宋体" w:hAnsi="宋体"/>
                <w:color w:val="auto"/>
                <w:sz w:val="24"/>
                <w:szCs w:val="24"/>
                <w:lang w:val="zh-CN"/>
              </w:rPr>
            </w:pPr>
            <w:r>
              <w:rPr>
                <w:rFonts w:hint="eastAsia" w:ascii="宋体" w:hAnsi="宋体"/>
                <w:color w:val="auto"/>
                <w:sz w:val="24"/>
                <w:szCs w:val="24"/>
                <w:lang w:val="zh-CN"/>
              </w:rPr>
              <w:t>地址：都江堰市善政路607号。</w:t>
            </w:r>
          </w:p>
          <w:p>
            <w:pPr>
              <w:tabs>
                <w:tab w:val="left" w:pos="7665"/>
              </w:tabs>
              <w:snapToGrid w:val="0"/>
              <w:jc w:val="left"/>
              <w:rPr>
                <w:rFonts w:ascii="宋体" w:hAnsi="宋体"/>
                <w:color w:val="auto"/>
                <w:sz w:val="24"/>
              </w:rPr>
            </w:pPr>
            <w:r>
              <w:rPr>
                <w:rFonts w:hint="eastAsia" w:ascii="宋体" w:hAnsi="宋体"/>
                <w:color w:val="auto"/>
                <w:sz w:val="24"/>
                <w:szCs w:val="24"/>
                <w:lang w:val="zh-CN"/>
              </w:rPr>
              <w:t>邮编：</w:t>
            </w:r>
            <w:r>
              <w:rPr>
                <w:rFonts w:hint="eastAsia" w:ascii="宋体" w:hAnsi="宋体"/>
                <w:color w:val="auto"/>
                <w:sz w:val="24"/>
                <w:szCs w:val="24"/>
                <w:lang w:val="en-US" w:eastAsia="zh-CN"/>
              </w:rPr>
              <w:t>611830</w:t>
            </w:r>
            <w:r>
              <w:rPr>
                <w:rFonts w:hint="eastAsia" w:ascii="宋体" w:hAnsi="宋体"/>
                <w:color w:val="auto"/>
                <w:sz w:val="24"/>
                <w:szCs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689"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after="200"/>
              <w:ind w:left="0" w:firstLine="0"/>
              <w:jc w:val="center"/>
              <w:rPr>
                <w:rFonts w:ascii="宋体" w:hAnsi="宋体"/>
                <w:color w:val="auto"/>
                <w:sz w:val="24"/>
              </w:rPr>
            </w:pPr>
          </w:p>
        </w:tc>
        <w:tc>
          <w:tcPr>
            <w:tcW w:w="1942" w:type="dxa"/>
            <w:tcBorders>
              <w:top w:val="single" w:color="auto" w:sz="8" w:space="0"/>
              <w:left w:val="single" w:color="auto" w:sz="8" w:space="0"/>
              <w:bottom w:val="single" w:color="auto" w:sz="4" w:space="0"/>
              <w:right w:val="single" w:color="auto" w:sz="8" w:space="0"/>
            </w:tcBorders>
            <w:vAlign w:val="center"/>
          </w:tcPr>
          <w:p>
            <w:pPr>
              <w:snapToGrid w:val="0"/>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评标情况公告</w:t>
            </w:r>
          </w:p>
        </w:tc>
        <w:tc>
          <w:tcPr>
            <w:tcW w:w="6681" w:type="dxa"/>
            <w:tcBorders>
              <w:top w:val="single" w:color="auto" w:sz="8" w:space="0"/>
              <w:left w:val="single" w:color="auto" w:sz="8" w:space="0"/>
              <w:bottom w:val="single" w:color="auto" w:sz="4" w:space="0"/>
              <w:right w:val="single" w:color="auto" w:sz="18" w:space="0"/>
            </w:tcBorders>
            <w:vAlign w:val="center"/>
          </w:tcPr>
          <w:p>
            <w:pPr>
              <w:widowControl/>
              <w:tabs>
                <w:tab w:val="left" w:pos="7665"/>
              </w:tabs>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所有</w:t>
            </w:r>
            <w:r>
              <w:rPr>
                <w:rFonts w:hint="eastAsia" w:ascii="宋体" w:hAnsi="宋体"/>
                <w:color w:val="auto"/>
                <w:sz w:val="24"/>
                <w:szCs w:val="24"/>
              </w:rPr>
              <w:t>投标人</w:t>
            </w:r>
            <w:r>
              <w:rPr>
                <w:rFonts w:hint="eastAsia" w:ascii="宋体" w:hAnsi="宋体" w:cs="宋体"/>
                <w:color w:val="auto"/>
                <w:kern w:val="0"/>
                <w:sz w:val="24"/>
                <w:szCs w:val="24"/>
                <w:lang w:val="zh-CN"/>
              </w:rPr>
              <w:t>投标文件资格性、符合性检查情况、采用综合评分法时的得分情况、评标结果等将在成都市公共资源交易服务中心网、四川政府采购网上采购结果公告栏中予以公告。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689"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after="200"/>
              <w:ind w:left="0" w:firstLine="0"/>
              <w:jc w:val="center"/>
              <w:rPr>
                <w:rFonts w:ascii="宋体" w:hAnsi="宋体"/>
                <w:color w:val="auto"/>
                <w:sz w:val="24"/>
              </w:rPr>
            </w:pPr>
          </w:p>
        </w:tc>
        <w:tc>
          <w:tcPr>
            <w:tcW w:w="1942" w:type="dxa"/>
            <w:tcBorders>
              <w:top w:val="single" w:color="auto" w:sz="8" w:space="0"/>
              <w:left w:val="single" w:color="auto" w:sz="8" w:space="0"/>
              <w:bottom w:val="single" w:color="auto" w:sz="4" w:space="0"/>
              <w:right w:val="single" w:color="auto" w:sz="8" w:space="0"/>
            </w:tcBorders>
            <w:vAlign w:val="center"/>
          </w:tcPr>
          <w:p>
            <w:pPr>
              <w:snapToGrid w:val="0"/>
              <w:jc w:val="left"/>
              <w:rPr>
                <w:rFonts w:ascii="宋体" w:hAnsi="宋体"/>
                <w:color w:val="auto"/>
                <w:sz w:val="24"/>
                <w:szCs w:val="24"/>
              </w:rPr>
            </w:pPr>
            <w:r>
              <w:rPr>
                <w:rFonts w:hint="eastAsia" w:ascii="宋体" w:hAnsi="宋体" w:cs="宋体"/>
                <w:color w:val="auto"/>
                <w:kern w:val="0"/>
                <w:sz w:val="24"/>
                <w:szCs w:val="24"/>
                <w:lang w:val="zh-CN"/>
              </w:rPr>
              <w:t>中标通知书</w:t>
            </w:r>
          </w:p>
        </w:tc>
        <w:tc>
          <w:tcPr>
            <w:tcW w:w="6681"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rPr>
                <w:rFonts w:ascii="宋体" w:hAnsi="宋体"/>
                <w:color w:val="auto"/>
                <w:kern w:val="0"/>
                <w:sz w:val="24"/>
                <w:szCs w:val="24"/>
              </w:rPr>
            </w:pPr>
            <w:r>
              <w:rPr>
                <w:rFonts w:hint="eastAsia" w:ascii="宋体" w:hAnsi="宋体"/>
                <w:color w:val="auto"/>
                <w:kern w:val="0"/>
                <w:sz w:val="24"/>
                <w:szCs w:val="24"/>
              </w:rPr>
              <w:t>中标公告在四川政府采购网上公告后，中标供应商自行登录政府采购云平台下载中标通知书。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689"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after="200"/>
              <w:ind w:left="0" w:firstLine="0"/>
              <w:jc w:val="center"/>
              <w:rPr>
                <w:rFonts w:ascii="宋体" w:hAnsi="宋体"/>
                <w:color w:val="auto"/>
                <w:sz w:val="24"/>
              </w:rPr>
            </w:pPr>
          </w:p>
        </w:tc>
        <w:tc>
          <w:tcPr>
            <w:tcW w:w="1942" w:type="dxa"/>
            <w:tcBorders>
              <w:top w:val="single" w:color="auto" w:sz="8" w:space="0"/>
              <w:left w:val="single" w:color="auto" w:sz="8" w:space="0"/>
              <w:bottom w:val="single" w:color="auto" w:sz="4" w:space="0"/>
              <w:right w:val="single" w:color="auto" w:sz="8" w:space="0"/>
            </w:tcBorders>
            <w:vAlign w:val="center"/>
          </w:tcPr>
          <w:p>
            <w:pPr>
              <w:snapToGrid w:val="0"/>
              <w:jc w:val="left"/>
              <w:rPr>
                <w:rFonts w:ascii="宋体" w:hAnsi="宋体"/>
                <w:color w:val="auto"/>
                <w:sz w:val="24"/>
              </w:rPr>
            </w:pPr>
            <w:r>
              <w:rPr>
                <w:rFonts w:hint="eastAsia" w:ascii="宋体" w:hAnsi="宋体"/>
                <w:color w:val="auto"/>
                <w:sz w:val="24"/>
              </w:rPr>
              <w:t>合同签订地点</w:t>
            </w:r>
          </w:p>
        </w:tc>
        <w:tc>
          <w:tcPr>
            <w:tcW w:w="6681"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rPr>
                <w:rFonts w:ascii="宋体" w:hAnsi="宋体"/>
                <w:color w:val="auto"/>
                <w:kern w:val="0"/>
                <w:sz w:val="24"/>
              </w:rPr>
            </w:pPr>
            <w:r>
              <w:rPr>
                <w:rFonts w:hint="eastAsia" w:ascii="宋体" w:hAnsi="宋体"/>
                <w:color w:val="auto"/>
                <w:kern w:val="0"/>
                <w:sz w:val="24"/>
              </w:rPr>
              <w:t>四川省</w:t>
            </w:r>
            <w:r>
              <w:rPr>
                <w:rFonts w:hint="eastAsia" w:ascii="宋体" w:hAnsi="宋体"/>
                <w:color w:val="auto"/>
                <w:kern w:val="0"/>
                <w:sz w:val="24"/>
                <w:lang w:eastAsia="zh-CN"/>
              </w:rPr>
              <w:t>都江堰</w:t>
            </w:r>
            <w:r>
              <w:rPr>
                <w:rFonts w:hint="eastAsia" w:ascii="宋体" w:hAnsi="宋体"/>
                <w:color w:val="auto"/>
                <w:kern w:val="0"/>
                <w:sz w:val="24"/>
              </w:rPr>
              <w:t>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16" w:hRule="atLeast"/>
          <w:jc w:val="center"/>
        </w:trPr>
        <w:tc>
          <w:tcPr>
            <w:tcW w:w="689"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after="200"/>
              <w:ind w:left="0" w:firstLine="0"/>
              <w:jc w:val="center"/>
              <w:rPr>
                <w:rFonts w:ascii="宋体" w:hAnsi="宋体"/>
                <w:color w:val="auto"/>
                <w:sz w:val="24"/>
              </w:rPr>
            </w:pPr>
          </w:p>
        </w:tc>
        <w:tc>
          <w:tcPr>
            <w:tcW w:w="1942" w:type="dxa"/>
            <w:tcBorders>
              <w:top w:val="single" w:color="auto" w:sz="4" w:space="0"/>
              <w:left w:val="single" w:color="auto" w:sz="8" w:space="0"/>
              <w:bottom w:val="single" w:color="auto" w:sz="4" w:space="0"/>
              <w:right w:val="single" w:color="auto" w:sz="8" w:space="0"/>
            </w:tcBorders>
            <w:vAlign w:val="center"/>
          </w:tcPr>
          <w:p>
            <w:pPr>
              <w:snapToGrid w:val="0"/>
              <w:ind w:right="212" w:rightChars="100"/>
              <w:jc w:val="left"/>
              <w:rPr>
                <w:rFonts w:ascii="宋体" w:hAnsi="宋体"/>
                <w:color w:val="auto"/>
                <w:sz w:val="24"/>
              </w:rPr>
            </w:pPr>
            <w:r>
              <w:rPr>
                <w:rFonts w:hint="eastAsia" w:ascii="宋体" w:hAnsi="宋体"/>
                <w:color w:val="auto"/>
                <w:sz w:val="24"/>
              </w:rPr>
              <w:t>政府采购合同公告、备案</w:t>
            </w:r>
          </w:p>
        </w:tc>
        <w:tc>
          <w:tcPr>
            <w:tcW w:w="6681"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ind w:left="-4" w:leftChars="-2" w:right="210"/>
              <w:rPr>
                <w:rFonts w:ascii="宋体" w:hAnsi="宋体"/>
                <w:color w:val="auto"/>
                <w:sz w:val="24"/>
              </w:rPr>
            </w:pPr>
            <w:r>
              <w:rPr>
                <w:rFonts w:hint="eastAsia" w:ascii="宋体"/>
                <w:color w:val="auto"/>
                <w:sz w:val="24"/>
              </w:rPr>
              <w:t>政府采购合同签订之日起2个工作日内，采购人将在四川政府采购网公告政府采购合同；</w:t>
            </w:r>
            <w:r>
              <w:rPr>
                <w:rFonts w:hint="eastAsia" w:ascii="宋体" w:hAnsi="宋体" w:cs="宋体"/>
                <w:color w:val="auto"/>
                <w:kern w:val="0"/>
                <w:sz w:val="24"/>
                <w:szCs w:val="24"/>
                <w:lang w:val="zh-CN"/>
              </w:rPr>
              <w:t>疫情防控期间，采购人原则上在5个工作日内与供应商签订政府采购合同及向本采购项目同级财政部门，即都江堰市财政局备案政府采购合同。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1" w:hRule="atLeast"/>
          <w:jc w:val="center"/>
        </w:trPr>
        <w:tc>
          <w:tcPr>
            <w:tcW w:w="689"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after="200"/>
              <w:ind w:left="0" w:firstLine="0"/>
              <w:jc w:val="center"/>
              <w:rPr>
                <w:rFonts w:ascii="宋体" w:hAnsi="宋体"/>
                <w:color w:val="auto"/>
                <w:sz w:val="24"/>
              </w:rPr>
            </w:pPr>
          </w:p>
        </w:tc>
        <w:tc>
          <w:tcPr>
            <w:tcW w:w="1942" w:type="dxa"/>
            <w:tcBorders>
              <w:top w:val="single" w:color="auto" w:sz="4" w:space="0"/>
              <w:left w:val="single" w:color="auto" w:sz="8" w:space="0"/>
              <w:bottom w:val="single" w:color="auto" w:sz="4" w:space="0"/>
              <w:right w:val="single" w:color="auto" w:sz="8" w:space="0"/>
            </w:tcBorders>
            <w:vAlign w:val="center"/>
          </w:tcPr>
          <w:p>
            <w:pPr>
              <w:tabs>
                <w:tab w:val="left" w:pos="7665"/>
              </w:tabs>
              <w:snapToGrid w:val="0"/>
              <w:ind w:left="-4" w:leftChars="-2" w:right="210"/>
              <w:rPr>
                <w:rFonts w:ascii="宋体" w:hAnsi="宋体" w:cs="宋体"/>
                <w:color w:val="auto"/>
                <w:kern w:val="0"/>
                <w:sz w:val="24"/>
                <w:szCs w:val="24"/>
                <w:lang w:val="zh-CN"/>
              </w:rPr>
            </w:pPr>
            <w:r>
              <w:rPr>
                <w:rFonts w:hint="eastAsia" w:ascii="宋体" w:hAnsi="宋体" w:cs="宋体"/>
                <w:color w:val="auto"/>
                <w:kern w:val="0"/>
                <w:sz w:val="24"/>
                <w:szCs w:val="24"/>
                <w:lang w:val="zh-CN"/>
              </w:rPr>
              <w:t>中小企业政府采购信用融资（“蓉采贷”）</w:t>
            </w:r>
          </w:p>
        </w:tc>
        <w:tc>
          <w:tcPr>
            <w:tcW w:w="6681"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ind w:left="-4" w:leftChars="-2" w:right="210"/>
              <w:rPr>
                <w:rFonts w:ascii="宋体" w:hAnsi="宋体" w:cs="宋体"/>
                <w:color w:val="auto"/>
                <w:kern w:val="0"/>
                <w:sz w:val="24"/>
                <w:szCs w:val="24"/>
                <w:lang w:val="zh-CN"/>
              </w:rPr>
            </w:pPr>
            <w:r>
              <w:rPr>
                <w:rFonts w:hint="eastAsia" w:ascii="宋体"/>
                <w:color w:val="auto"/>
                <w:sz w:val="24"/>
              </w:rPr>
              <w:t>参加本次招标活动的中小企业供应商无需提供财产抵押或第三方担保，凭借政府采购合同可向融资机构申请融资。具体内容详见成都市公共资源交易服务中心网（http://www.cdggzy.com/）都江堰市分中心“通知公告”栏《都江堰市财政局 中国人民银行都江堰市支行关于转发〈成都市中小企业政府采购信用融资暂行办法〉的通知》（都财发[2019]88号）和《都江堰市财政局 中国人民银行都江堰市支行关于转发〈都江堰市支持中小企业政府采购信用融资实施方案〉的通知》（都财发[2019]92号）。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900" w:hRule="atLeast"/>
          <w:jc w:val="center"/>
        </w:trPr>
        <w:tc>
          <w:tcPr>
            <w:tcW w:w="689"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after="200"/>
              <w:ind w:left="0" w:firstLine="0"/>
              <w:jc w:val="center"/>
              <w:rPr>
                <w:rFonts w:ascii="宋体" w:hAnsi="宋体"/>
                <w:color w:val="auto"/>
                <w:sz w:val="24"/>
              </w:rPr>
            </w:pPr>
          </w:p>
        </w:tc>
        <w:tc>
          <w:tcPr>
            <w:tcW w:w="1942" w:type="dxa"/>
            <w:tcBorders>
              <w:top w:val="single" w:color="auto" w:sz="4" w:space="0"/>
              <w:left w:val="single" w:color="auto" w:sz="8" w:space="0"/>
              <w:bottom w:val="single" w:color="auto" w:sz="4" w:space="0"/>
              <w:right w:val="single" w:color="auto" w:sz="8" w:space="0"/>
            </w:tcBorders>
            <w:vAlign w:val="center"/>
          </w:tcPr>
          <w:p>
            <w:pPr>
              <w:snapToGrid w:val="0"/>
              <w:jc w:val="left"/>
              <w:rPr>
                <w:rFonts w:ascii="宋体" w:hAnsi="宋体"/>
                <w:color w:val="auto"/>
                <w:sz w:val="24"/>
              </w:rPr>
            </w:pPr>
            <w:r>
              <w:rPr>
                <w:rFonts w:hint="eastAsia" w:ascii="宋体" w:hAnsi="宋体"/>
                <w:color w:val="auto"/>
                <w:sz w:val="24"/>
              </w:rPr>
              <w:t xml:space="preserve">进口产品 </w:t>
            </w:r>
          </w:p>
        </w:tc>
        <w:tc>
          <w:tcPr>
            <w:tcW w:w="6681"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rPr>
                <w:rFonts w:ascii="宋体" w:hAnsi="宋体"/>
                <w:color w:val="auto"/>
                <w:sz w:val="24"/>
              </w:rPr>
            </w:pPr>
            <w:r>
              <w:rPr>
                <w:rFonts w:hint="eastAsia" w:ascii="宋体" w:hAnsi="宋体"/>
                <w:color w:val="auto"/>
                <w:sz w:val="24"/>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900" w:hRule="atLeast"/>
          <w:jc w:val="center"/>
        </w:trPr>
        <w:tc>
          <w:tcPr>
            <w:tcW w:w="689"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after="200"/>
              <w:ind w:left="0" w:firstLine="0"/>
              <w:jc w:val="center"/>
              <w:rPr>
                <w:rFonts w:ascii="宋体" w:hAnsi="宋体"/>
                <w:color w:val="auto"/>
                <w:sz w:val="24"/>
              </w:rPr>
            </w:pPr>
          </w:p>
        </w:tc>
        <w:tc>
          <w:tcPr>
            <w:tcW w:w="1942" w:type="dxa"/>
            <w:tcBorders>
              <w:top w:val="single" w:color="auto" w:sz="4" w:space="0"/>
              <w:left w:val="single" w:color="auto" w:sz="8" w:space="0"/>
              <w:bottom w:val="single" w:color="auto" w:sz="4" w:space="0"/>
              <w:right w:val="single" w:color="auto" w:sz="8" w:space="0"/>
            </w:tcBorders>
            <w:vAlign w:val="center"/>
          </w:tcPr>
          <w:p>
            <w:pPr>
              <w:pStyle w:val="122"/>
              <w:jc w:val="center"/>
              <w:rPr>
                <w:rFonts w:hint="eastAsia" w:ascii="宋体" w:hAnsi="宋体"/>
                <w:color w:val="auto"/>
                <w:sz w:val="24"/>
              </w:rPr>
            </w:pPr>
            <w:r>
              <w:rPr>
                <w:rFonts w:hint="eastAsia" w:cs="Times New Roman"/>
                <w:color w:val="auto"/>
                <w:kern w:val="2"/>
              </w:rPr>
              <w:t>供应商诚信管理</w:t>
            </w:r>
          </w:p>
        </w:tc>
        <w:tc>
          <w:tcPr>
            <w:tcW w:w="6681" w:type="dxa"/>
            <w:tcBorders>
              <w:top w:val="single" w:color="auto" w:sz="4" w:space="0"/>
              <w:left w:val="single" w:color="auto" w:sz="8" w:space="0"/>
              <w:bottom w:val="single" w:color="auto" w:sz="4" w:space="0"/>
              <w:right w:val="single" w:color="auto" w:sz="18" w:space="0"/>
            </w:tcBorders>
            <w:vAlign w:val="top"/>
          </w:tcPr>
          <w:p>
            <w:pPr>
              <w:ind w:firstLine="242" w:firstLineChars="100"/>
              <w:rPr>
                <w:color w:val="auto"/>
                <w:sz w:val="24"/>
              </w:rPr>
            </w:pPr>
            <w:r>
              <w:rPr>
                <w:rFonts w:hint="eastAsia"/>
                <w:color w:val="auto"/>
                <w:sz w:val="24"/>
              </w:rPr>
              <w:t>采购单位将按照都江堰市的相关规定对本单位的政府采购项目中标（成交）供应商诚信情况进行核查。</w:t>
            </w:r>
          </w:p>
          <w:p>
            <w:pPr>
              <w:ind w:firstLine="242" w:firstLineChars="100"/>
              <w:rPr>
                <w:color w:val="auto"/>
                <w:sz w:val="24"/>
              </w:rPr>
            </w:pPr>
            <w:r>
              <w:rPr>
                <w:color w:val="auto"/>
                <w:sz w:val="24"/>
              </w:rPr>
              <w:t>1</w:t>
            </w:r>
            <w:r>
              <w:rPr>
                <w:rFonts w:hint="eastAsia"/>
                <w:color w:val="auto"/>
                <w:sz w:val="24"/>
              </w:rPr>
              <w:t>、核查资料内容。在采购项目中标（成交）供应商确定后，采购单位须按采购文件要求，对项目中标（成交）供应商提供的投标（响应）文件中涉及的证明材料的真实性进行核查，规定核查资料为：除《中华人民共和国政府采购法》第二十二条第一款规定以外的其他特殊资格条件的证明材料。以及涉及项目信誉评分的政府部门或第三方机构出具的证明文件、证书等资料，并由采购单位根据核查情况形成核查报告。</w:t>
            </w:r>
          </w:p>
          <w:p>
            <w:pPr>
              <w:ind w:firstLine="242" w:firstLineChars="100"/>
              <w:rPr>
                <w:color w:val="auto"/>
                <w:sz w:val="24"/>
              </w:rPr>
            </w:pPr>
            <w:r>
              <w:rPr>
                <w:color w:val="auto"/>
                <w:sz w:val="24"/>
              </w:rPr>
              <w:t>2</w:t>
            </w:r>
            <w:r>
              <w:rPr>
                <w:rFonts w:hint="eastAsia"/>
                <w:color w:val="auto"/>
                <w:sz w:val="24"/>
              </w:rPr>
              <w:t>、核查范围。（</w:t>
            </w:r>
            <w:r>
              <w:rPr>
                <w:color w:val="auto"/>
                <w:sz w:val="24"/>
              </w:rPr>
              <w:t>1</w:t>
            </w:r>
            <w:r>
              <w:rPr>
                <w:rFonts w:hint="eastAsia"/>
                <w:color w:val="auto"/>
                <w:sz w:val="24"/>
              </w:rPr>
              <w:t>）采购预算金额在</w:t>
            </w:r>
            <w:r>
              <w:rPr>
                <w:color w:val="auto"/>
                <w:sz w:val="24"/>
              </w:rPr>
              <w:t>50</w:t>
            </w:r>
            <w:r>
              <w:rPr>
                <w:rFonts w:hint="eastAsia"/>
                <w:color w:val="auto"/>
                <w:sz w:val="24"/>
              </w:rPr>
              <w:t>万元（含）以上项目，对中标（成交）供应商上述规定资料的核查须达到</w:t>
            </w:r>
            <w:r>
              <w:rPr>
                <w:color w:val="auto"/>
                <w:sz w:val="24"/>
              </w:rPr>
              <w:t>100%</w:t>
            </w:r>
            <w:r>
              <w:rPr>
                <w:rFonts w:hint="eastAsia"/>
                <w:color w:val="auto"/>
                <w:sz w:val="24"/>
              </w:rPr>
              <w:t>。（</w:t>
            </w:r>
            <w:r>
              <w:rPr>
                <w:color w:val="auto"/>
                <w:sz w:val="24"/>
              </w:rPr>
              <w:t>2</w:t>
            </w:r>
            <w:r>
              <w:rPr>
                <w:rFonts w:hint="eastAsia"/>
                <w:color w:val="auto"/>
                <w:sz w:val="24"/>
              </w:rPr>
              <w:t>）采购预算金额在</w:t>
            </w:r>
            <w:r>
              <w:rPr>
                <w:color w:val="auto"/>
                <w:sz w:val="24"/>
              </w:rPr>
              <w:t>50</w:t>
            </w:r>
            <w:r>
              <w:rPr>
                <w:rFonts w:hint="eastAsia"/>
                <w:color w:val="auto"/>
                <w:sz w:val="24"/>
              </w:rPr>
              <w:t>万元以下的项目，对中标（成交）供应商上述规定资料的核查不低于</w:t>
            </w:r>
            <w:r>
              <w:rPr>
                <w:color w:val="auto"/>
                <w:sz w:val="24"/>
              </w:rPr>
              <w:t>50%</w:t>
            </w:r>
            <w:r>
              <w:rPr>
                <w:rFonts w:hint="eastAsia"/>
                <w:color w:val="auto"/>
                <w:sz w:val="24"/>
              </w:rPr>
              <w:t>（网上竞价项目除外）。（</w:t>
            </w:r>
            <w:r>
              <w:rPr>
                <w:color w:val="auto"/>
                <w:sz w:val="24"/>
              </w:rPr>
              <w:t>3</w:t>
            </w:r>
            <w:r>
              <w:rPr>
                <w:rFonts w:hint="eastAsia"/>
                <w:color w:val="auto"/>
                <w:sz w:val="24"/>
              </w:rPr>
              <w:t>）与人们群众切身利益或公共安全相关的项目，对中标（成交）供应商上述规定资料的核查须达到</w:t>
            </w:r>
            <w:r>
              <w:rPr>
                <w:color w:val="auto"/>
                <w:sz w:val="24"/>
              </w:rPr>
              <w:t>100%</w:t>
            </w:r>
            <w:r>
              <w:rPr>
                <w:rFonts w:hint="eastAsia"/>
                <w:color w:val="auto"/>
                <w:sz w:val="24"/>
              </w:rPr>
              <w:t>。（</w:t>
            </w:r>
            <w:r>
              <w:rPr>
                <w:color w:val="auto"/>
                <w:sz w:val="24"/>
              </w:rPr>
              <w:t>4</w:t>
            </w:r>
            <w:r>
              <w:rPr>
                <w:rFonts w:hint="eastAsia"/>
                <w:color w:val="auto"/>
                <w:sz w:val="24"/>
              </w:rPr>
              <w:t>）采购单位认为需要核查的其他情况。</w:t>
            </w:r>
          </w:p>
          <w:p>
            <w:pPr>
              <w:spacing w:line="340" w:lineRule="exact"/>
              <w:ind w:right="106" w:rightChars="50" w:firstLine="242" w:firstLineChars="100"/>
              <w:rPr>
                <w:rFonts w:hint="eastAsia" w:ascii="宋体" w:hAnsi="宋体"/>
                <w:color w:val="auto"/>
                <w:sz w:val="24"/>
              </w:rPr>
            </w:pPr>
            <w:r>
              <w:rPr>
                <w:color w:val="auto"/>
                <w:sz w:val="24"/>
              </w:rPr>
              <w:t>3</w:t>
            </w:r>
            <w:r>
              <w:rPr>
                <w:rFonts w:hint="eastAsia"/>
                <w:color w:val="auto"/>
                <w:sz w:val="24"/>
              </w:rPr>
              <w:t>、核查结果运用。采购单位形成的供应商诚信情况核查报告做为签订合同的依据之一。对核查发现虚假材料的中标（成交）供应商，由市财政局按相关法律法规进行处罚。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7" w:hRule="atLeast"/>
          <w:jc w:val="center"/>
        </w:trPr>
        <w:tc>
          <w:tcPr>
            <w:tcW w:w="689" w:type="dxa"/>
            <w:tcBorders>
              <w:top w:val="single" w:color="auto" w:sz="4" w:space="0"/>
              <w:left w:val="single" w:color="auto" w:sz="18" w:space="0"/>
              <w:bottom w:val="single" w:color="auto" w:sz="18" w:space="0"/>
              <w:right w:val="single" w:color="auto" w:sz="8" w:space="0"/>
            </w:tcBorders>
            <w:vAlign w:val="center"/>
          </w:tcPr>
          <w:p>
            <w:pPr>
              <w:numPr>
                <w:ilvl w:val="0"/>
                <w:numId w:val="7"/>
              </w:numPr>
              <w:snapToGrid w:val="0"/>
              <w:spacing w:after="200"/>
              <w:ind w:left="0" w:firstLine="0"/>
              <w:jc w:val="center"/>
              <w:rPr>
                <w:rFonts w:ascii="宋体" w:hAnsi="宋体"/>
                <w:color w:val="auto"/>
                <w:sz w:val="24"/>
              </w:rPr>
            </w:pPr>
          </w:p>
        </w:tc>
        <w:tc>
          <w:tcPr>
            <w:tcW w:w="8623" w:type="dxa"/>
            <w:gridSpan w:val="2"/>
            <w:tcBorders>
              <w:top w:val="single" w:color="auto" w:sz="4" w:space="0"/>
              <w:left w:val="single" w:color="auto" w:sz="8" w:space="0"/>
              <w:bottom w:val="single" w:color="auto" w:sz="18" w:space="0"/>
              <w:right w:val="single" w:color="auto" w:sz="18" w:space="0"/>
            </w:tcBorders>
            <w:vAlign w:val="center"/>
          </w:tcPr>
          <w:p>
            <w:pPr>
              <w:tabs>
                <w:tab w:val="left" w:pos="7665"/>
              </w:tabs>
              <w:snapToGrid w:val="0"/>
              <w:rPr>
                <w:rFonts w:ascii="宋体" w:hAnsi="宋体"/>
                <w:color w:val="auto"/>
                <w:sz w:val="24"/>
              </w:rPr>
            </w:pPr>
            <w:r>
              <w:rPr>
                <w:rFonts w:hint="eastAsia" w:ascii="宋体" w:hAnsi="宋体"/>
                <w:color w:val="auto"/>
                <w:sz w:val="24"/>
              </w:rPr>
              <w:t>采购人可以要求参加政府采购的供应商提供有关资质证明文件和业绩情况，并根据《中华人民共和国政府采购法》规定的供应商条件和采购项目对供应商的特定要求，对供应商的资格进行审查。</w:t>
            </w:r>
          </w:p>
        </w:tc>
      </w:tr>
    </w:tbl>
    <w:p>
      <w:pPr>
        <w:pStyle w:val="4"/>
        <w:numPr>
          <w:ilvl w:val="1"/>
          <w:numId w:val="4"/>
        </w:numPr>
        <w:spacing w:before="0" w:after="0" w:line="240" w:lineRule="auto"/>
        <w:ind w:left="2269" w:hanging="2127"/>
        <w:rPr>
          <w:color w:val="auto"/>
        </w:rPr>
      </w:pPr>
      <w:bookmarkStart w:id="34" w:name="_Toc22447"/>
      <w:bookmarkStart w:id="35" w:name="_Toc29824"/>
      <w:bookmarkStart w:id="36" w:name="_Toc65573687"/>
      <w:bookmarkStart w:id="37" w:name="_Toc10565"/>
      <w:bookmarkStart w:id="38" w:name="_Toc30390"/>
      <w:r>
        <w:rPr>
          <w:rFonts w:hint="eastAsia"/>
          <w:color w:val="auto"/>
        </w:rPr>
        <w:t>总则</w:t>
      </w:r>
      <w:bookmarkEnd w:id="34"/>
      <w:bookmarkEnd w:id="35"/>
      <w:bookmarkEnd w:id="36"/>
      <w:bookmarkEnd w:id="37"/>
      <w:bookmarkEnd w:id="38"/>
    </w:p>
    <w:p>
      <w:pPr>
        <w:pStyle w:val="5"/>
        <w:numPr>
          <w:ilvl w:val="2"/>
          <w:numId w:val="4"/>
        </w:numPr>
        <w:spacing w:after="200" w:line="240" w:lineRule="auto"/>
        <w:ind w:left="-142" w:leftChars="-67" w:firstLine="0"/>
        <w:rPr>
          <w:color w:val="auto"/>
        </w:rPr>
      </w:pPr>
      <w:r>
        <w:rPr>
          <w:rFonts w:hint="eastAsia"/>
          <w:color w:val="auto"/>
        </w:rPr>
        <w:t>适用范围</w:t>
      </w:r>
    </w:p>
    <w:p>
      <w:pPr>
        <w:numPr>
          <w:ilvl w:val="0"/>
          <w:numId w:val="8"/>
        </w:numPr>
        <w:tabs>
          <w:tab w:val="left" w:pos="1134"/>
        </w:tabs>
        <w:spacing w:after="200"/>
        <w:ind w:left="0" w:firstLine="569" w:firstLineChars="202"/>
        <w:rPr>
          <w:rFonts w:ascii="宋体" w:hAnsi="宋体"/>
          <w:color w:val="auto"/>
          <w:sz w:val="28"/>
          <w:szCs w:val="28"/>
        </w:rPr>
      </w:pPr>
      <w:r>
        <w:rPr>
          <w:rFonts w:hint="eastAsia" w:ascii="宋体" w:hAnsi="宋体"/>
          <w:color w:val="auto"/>
          <w:sz w:val="28"/>
          <w:szCs w:val="28"/>
        </w:rPr>
        <w:t>本招标文件仅适用于本次公开招标采购项目。</w:t>
      </w:r>
    </w:p>
    <w:p>
      <w:pPr>
        <w:numPr>
          <w:ilvl w:val="0"/>
          <w:numId w:val="8"/>
        </w:numPr>
        <w:tabs>
          <w:tab w:val="left" w:pos="1134"/>
        </w:tabs>
        <w:spacing w:after="200"/>
        <w:ind w:left="0" w:firstLine="569" w:firstLineChars="202"/>
        <w:rPr>
          <w:rFonts w:ascii="宋体" w:hAnsi="宋体"/>
          <w:color w:val="auto"/>
          <w:sz w:val="28"/>
          <w:szCs w:val="28"/>
        </w:rPr>
      </w:pPr>
      <w:r>
        <w:rPr>
          <w:rFonts w:hint="eastAsia" w:ascii="宋体" w:hAnsi="宋体"/>
          <w:color w:val="auto"/>
          <w:sz w:val="28"/>
          <w:szCs w:val="28"/>
        </w:rPr>
        <w:t>本招标文件的最终解释权由采购人或市公资交易中心享有。对招标文件中供应商参加本次政府采购活动应当具备的条件，招标项目服务、商务及其他要求，评标细则及标准由采购人负责解释。除上述招标文件内容，其他内容由市公资交易中心负责解释。</w:t>
      </w:r>
    </w:p>
    <w:p>
      <w:pPr>
        <w:pStyle w:val="5"/>
        <w:numPr>
          <w:ilvl w:val="2"/>
          <w:numId w:val="4"/>
        </w:numPr>
        <w:spacing w:after="200" w:line="240" w:lineRule="auto"/>
        <w:ind w:left="0" w:firstLine="0"/>
        <w:rPr>
          <w:color w:val="auto"/>
        </w:rPr>
      </w:pPr>
      <w:r>
        <w:rPr>
          <w:rFonts w:hint="eastAsia"/>
          <w:color w:val="auto"/>
        </w:rPr>
        <w:t>有关定义</w:t>
      </w:r>
    </w:p>
    <w:p>
      <w:pPr>
        <w:numPr>
          <w:ilvl w:val="0"/>
          <w:numId w:val="9"/>
        </w:numPr>
        <w:tabs>
          <w:tab w:val="left" w:pos="1134"/>
        </w:tabs>
        <w:spacing w:after="200"/>
        <w:ind w:left="0" w:firstLine="567"/>
        <w:jc w:val="left"/>
        <w:rPr>
          <w:rFonts w:ascii="宋体" w:hAnsi="宋体"/>
          <w:color w:val="auto"/>
          <w:sz w:val="28"/>
          <w:szCs w:val="28"/>
        </w:rPr>
      </w:pPr>
      <w:r>
        <w:rPr>
          <w:rFonts w:hint="eastAsia" w:ascii="宋体" w:hAnsi="宋体"/>
          <w:color w:val="auto"/>
          <w:sz w:val="28"/>
          <w:szCs w:val="28"/>
        </w:rPr>
        <w:t>“采购人”和“甲方”系指依法进行政府采购的</w:t>
      </w:r>
      <w:r>
        <w:rPr>
          <w:rFonts w:hint="eastAsia" w:ascii="宋体" w:hAnsi="宋体"/>
          <w:color w:val="auto"/>
          <w:sz w:val="28"/>
          <w:szCs w:val="28"/>
          <w:lang w:eastAsia="zh-CN"/>
        </w:rPr>
        <w:t>都江堰</w:t>
      </w:r>
      <w:r>
        <w:rPr>
          <w:rFonts w:hint="eastAsia" w:ascii="宋体" w:hAnsi="宋体"/>
          <w:color w:val="auto"/>
          <w:sz w:val="28"/>
          <w:szCs w:val="28"/>
        </w:rPr>
        <w:t>市级机关、事业单位、团体组织。本次招标的采购人是都江堰市机关事务中心。</w:t>
      </w:r>
    </w:p>
    <w:p>
      <w:pPr>
        <w:numPr>
          <w:ilvl w:val="0"/>
          <w:numId w:val="9"/>
        </w:numPr>
        <w:tabs>
          <w:tab w:val="left" w:pos="1134"/>
        </w:tabs>
        <w:spacing w:after="200"/>
        <w:ind w:left="0" w:firstLine="567"/>
        <w:rPr>
          <w:rFonts w:ascii="宋体" w:hAnsi="宋体"/>
          <w:color w:val="auto"/>
          <w:sz w:val="28"/>
          <w:szCs w:val="28"/>
        </w:rPr>
      </w:pPr>
      <w:r>
        <w:rPr>
          <w:rFonts w:hint="eastAsia" w:ascii="宋体" w:hAnsi="宋体"/>
          <w:color w:val="auto"/>
          <w:sz w:val="28"/>
          <w:szCs w:val="28"/>
        </w:rPr>
        <w:t>“投标人”系指在系统中成功提交《采购文件获取登记表》拟参加投标和向采购人提供货物及服务的供应商。</w:t>
      </w:r>
    </w:p>
    <w:p>
      <w:pPr>
        <w:numPr>
          <w:ilvl w:val="0"/>
          <w:numId w:val="9"/>
        </w:numPr>
        <w:tabs>
          <w:tab w:val="left" w:pos="1134"/>
        </w:tabs>
        <w:spacing w:after="200"/>
        <w:ind w:left="0" w:firstLine="567"/>
        <w:rPr>
          <w:rFonts w:ascii="宋体" w:hAnsi="宋体"/>
          <w:color w:val="auto"/>
          <w:sz w:val="28"/>
          <w:szCs w:val="28"/>
        </w:rPr>
      </w:pPr>
      <w:r>
        <w:rPr>
          <w:rFonts w:hint="eastAsia" w:ascii="宋体" w:hAnsi="宋体"/>
          <w:color w:val="auto"/>
          <w:sz w:val="28"/>
          <w:szCs w:val="28"/>
        </w:rPr>
        <w:t>本招标文件各部分规定的期间以时、日、月、年计算。期间开始的时和日，不计算在期间内，而从次日开始计算。期间届满的最后一天是节假日的，以节假日后的第一日为期间届满的日期。</w:t>
      </w:r>
    </w:p>
    <w:p>
      <w:pPr>
        <w:numPr>
          <w:ilvl w:val="0"/>
          <w:numId w:val="9"/>
        </w:numPr>
        <w:tabs>
          <w:tab w:val="left" w:pos="1134"/>
        </w:tabs>
        <w:spacing w:after="200"/>
        <w:ind w:left="0" w:firstLine="567"/>
        <w:rPr>
          <w:rFonts w:ascii="宋体" w:hAnsi="宋体"/>
          <w:color w:val="auto"/>
          <w:sz w:val="28"/>
          <w:szCs w:val="28"/>
        </w:rPr>
      </w:pPr>
      <w:r>
        <w:rPr>
          <w:rFonts w:hint="eastAsia" w:ascii="宋体" w:hAnsi="宋体"/>
          <w:color w:val="auto"/>
          <w:sz w:val="28"/>
          <w:szCs w:val="28"/>
        </w:rPr>
        <w:t>本招标文件各部分规定的“以上”、“以下”、“内”、“以内”，包括本数；所称的“不足”，不包括本数。</w:t>
      </w:r>
    </w:p>
    <w:p>
      <w:pPr>
        <w:numPr>
          <w:ilvl w:val="0"/>
          <w:numId w:val="9"/>
        </w:numPr>
        <w:tabs>
          <w:tab w:val="left" w:pos="1134"/>
        </w:tabs>
        <w:spacing w:after="200"/>
        <w:ind w:left="0" w:firstLine="567"/>
        <w:rPr>
          <w:rFonts w:ascii="宋体" w:hAnsi="宋体"/>
          <w:color w:val="auto"/>
          <w:sz w:val="28"/>
          <w:szCs w:val="28"/>
        </w:rPr>
      </w:pPr>
      <w:r>
        <w:rPr>
          <w:rFonts w:hint="eastAsia" w:ascii="宋体" w:hAnsi="宋体"/>
          <w:color w:val="auto"/>
          <w:sz w:val="28"/>
          <w:szCs w:val="28"/>
        </w:rPr>
        <w:t>重大违法记录是指供应商因违法经营受到刑事处罚或者责令停产停业、吊销许可证或者执照、较大数额罚款等行政处罚。</w:t>
      </w:r>
    </w:p>
    <w:p>
      <w:pPr>
        <w:numPr>
          <w:ilvl w:val="0"/>
          <w:numId w:val="9"/>
        </w:numPr>
        <w:tabs>
          <w:tab w:val="left" w:pos="1134"/>
        </w:tabs>
        <w:spacing w:after="200"/>
        <w:ind w:left="0" w:firstLine="567"/>
        <w:rPr>
          <w:color w:val="auto"/>
        </w:rPr>
      </w:pPr>
      <w:r>
        <w:rPr>
          <w:rFonts w:hint="eastAsia" w:ascii="宋体" w:hAnsi="宋体"/>
          <w:color w:val="auto"/>
          <w:sz w:val="28"/>
          <w:szCs w:val="28"/>
        </w:rPr>
        <w:t>不见面开标是指，市公资交易中心依托政府采购云平台组织开标活动，供应商在线参与开标的一种组织形式。 </w:t>
      </w:r>
    </w:p>
    <w:p>
      <w:pPr>
        <w:numPr>
          <w:ilvl w:val="0"/>
          <w:numId w:val="9"/>
        </w:numPr>
        <w:tabs>
          <w:tab w:val="left" w:pos="1134"/>
        </w:tabs>
        <w:spacing w:after="200"/>
        <w:ind w:left="0" w:firstLine="567"/>
        <w:rPr>
          <w:rFonts w:hint="eastAsia" w:ascii="宋体" w:hAnsi="宋体" w:eastAsia="宋体" w:cs="Times New Roman"/>
          <w:color w:val="auto"/>
          <w:sz w:val="28"/>
          <w:szCs w:val="28"/>
        </w:rPr>
      </w:pPr>
      <w:r>
        <w:rPr>
          <w:rFonts w:hint="eastAsia" w:ascii="宋体" w:hAnsi="宋体" w:eastAsia="宋体" w:cs="Times New Roman"/>
          <w:color w:val="auto"/>
          <w:sz w:val="28"/>
          <w:szCs w:val="28"/>
        </w:rPr>
        <w:t>本招标文件“招标编号”、四川省政府采购网上该项目自动生成的“采购项目编号”以及成都市公共资源交易服务中心网上该项目自动生成的“项目编号”均有效</w:t>
      </w:r>
      <w:r>
        <w:rPr>
          <w:rFonts w:hint="eastAsia" w:ascii="宋体" w:hAnsi="宋体" w:cs="Times New Roman"/>
          <w:color w:val="auto"/>
          <w:sz w:val="28"/>
          <w:szCs w:val="28"/>
          <w:lang w:eastAsia="zh-CN"/>
        </w:rPr>
        <w:t>。</w:t>
      </w:r>
    </w:p>
    <w:p>
      <w:pPr>
        <w:pStyle w:val="5"/>
        <w:numPr>
          <w:ilvl w:val="2"/>
          <w:numId w:val="4"/>
        </w:numPr>
        <w:spacing w:after="200" w:line="240" w:lineRule="auto"/>
        <w:ind w:left="851"/>
        <w:rPr>
          <w:color w:val="auto"/>
        </w:rPr>
      </w:pPr>
      <w:bookmarkStart w:id="39" w:name="_Toc183582207"/>
      <w:bookmarkStart w:id="40" w:name="_Toc217390843"/>
      <w:bookmarkStart w:id="41" w:name="_Toc183682344"/>
      <w:bookmarkStart w:id="42" w:name="_Toc217446036"/>
      <w:r>
        <w:rPr>
          <w:rFonts w:hint="eastAsia"/>
          <w:color w:val="auto"/>
        </w:rPr>
        <w:t>合格的投标人</w:t>
      </w:r>
      <w:bookmarkEnd w:id="39"/>
      <w:bookmarkEnd w:id="40"/>
      <w:bookmarkEnd w:id="41"/>
      <w:bookmarkEnd w:id="42"/>
    </w:p>
    <w:p>
      <w:pPr>
        <w:tabs>
          <w:tab w:val="left" w:pos="7665"/>
        </w:tabs>
        <w:ind w:firstLine="569" w:firstLineChars="202"/>
        <w:rPr>
          <w:rFonts w:ascii="宋体" w:hAnsi="宋体"/>
          <w:color w:val="auto"/>
          <w:sz w:val="28"/>
          <w:szCs w:val="28"/>
        </w:rPr>
      </w:pPr>
      <w:r>
        <w:rPr>
          <w:rFonts w:hint="eastAsia" w:ascii="宋体" w:hAnsi="宋体"/>
          <w:color w:val="auto"/>
          <w:sz w:val="28"/>
          <w:szCs w:val="28"/>
        </w:rPr>
        <w:t>合格的投标人应具备以下条件：</w:t>
      </w:r>
    </w:p>
    <w:p>
      <w:pPr>
        <w:numPr>
          <w:ilvl w:val="0"/>
          <w:numId w:val="10"/>
        </w:numPr>
        <w:tabs>
          <w:tab w:val="left" w:pos="1134"/>
        </w:tabs>
        <w:spacing w:after="200"/>
        <w:rPr>
          <w:rFonts w:ascii="宋体" w:hAnsi="宋体"/>
          <w:color w:val="auto"/>
          <w:sz w:val="28"/>
          <w:szCs w:val="28"/>
        </w:rPr>
      </w:pPr>
      <w:r>
        <w:rPr>
          <w:rFonts w:hint="eastAsia" w:ascii="宋体" w:hAnsi="宋体"/>
          <w:color w:val="auto"/>
          <w:sz w:val="28"/>
          <w:szCs w:val="28"/>
        </w:rPr>
        <w:t>本招标文件“投标邀请”第五条规定的条件；</w:t>
      </w:r>
    </w:p>
    <w:p>
      <w:pPr>
        <w:numPr>
          <w:ilvl w:val="0"/>
          <w:numId w:val="10"/>
        </w:numPr>
        <w:tabs>
          <w:tab w:val="left" w:pos="1134"/>
        </w:tabs>
        <w:spacing w:after="200"/>
        <w:ind w:left="0" w:firstLine="568"/>
        <w:rPr>
          <w:rFonts w:ascii="宋体" w:hAnsi="宋体"/>
          <w:color w:val="auto"/>
          <w:sz w:val="28"/>
          <w:szCs w:val="28"/>
        </w:rPr>
      </w:pPr>
      <w:r>
        <w:rPr>
          <w:rFonts w:hint="eastAsia" w:ascii="宋体" w:hAnsi="宋体"/>
          <w:color w:val="auto"/>
          <w:sz w:val="28"/>
          <w:szCs w:val="28"/>
        </w:rPr>
        <w:t>按照招标文件“投标邀请”中第六、七、八条规定获取了招标文件。</w:t>
      </w:r>
    </w:p>
    <w:p>
      <w:pPr>
        <w:pStyle w:val="5"/>
        <w:numPr>
          <w:ilvl w:val="2"/>
          <w:numId w:val="4"/>
        </w:numPr>
        <w:spacing w:after="200" w:line="240" w:lineRule="auto"/>
        <w:ind w:left="0" w:firstLine="0"/>
        <w:rPr>
          <w:color w:val="auto"/>
        </w:rPr>
      </w:pPr>
      <w:r>
        <w:rPr>
          <w:rFonts w:hint="eastAsia"/>
          <w:color w:val="auto"/>
        </w:rPr>
        <w:t>投标费用</w:t>
      </w:r>
    </w:p>
    <w:p>
      <w:pPr>
        <w:ind w:firstLine="664" w:firstLineChars="236"/>
        <w:rPr>
          <w:rFonts w:ascii="宋体" w:hAnsi="宋体"/>
          <w:color w:val="auto"/>
          <w:sz w:val="28"/>
          <w:szCs w:val="28"/>
        </w:rPr>
      </w:pPr>
      <w:r>
        <w:rPr>
          <w:rFonts w:hint="eastAsia" w:ascii="宋体" w:hAnsi="宋体"/>
          <w:color w:val="auto"/>
          <w:sz w:val="28"/>
          <w:szCs w:val="28"/>
        </w:rPr>
        <w:t>投标人应自行承担参加投标的全部费用。</w:t>
      </w:r>
    </w:p>
    <w:p>
      <w:pPr>
        <w:pStyle w:val="5"/>
        <w:numPr>
          <w:ilvl w:val="2"/>
          <w:numId w:val="4"/>
        </w:numPr>
        <w:spacing w:after="200" w:line="240" w:lineRule="auto"/>
        <w:ind w:left="0" w:firstLine="0"/>
        <w:rPr>
          <w:color w:val="auto"/>
        </w:rPr>
      </w:pPr>
      <w:r>
        <w:rPr>
          <w:rFonts w:hint="eastAsia"/>
          <w:color w:val="auto"/>
        </w:rPr>
        <w:t>充分、公平竞争保障措施</w:t>
      </w:r>
    </w:p>
    <w:p>
      <w:pPr>
        <w:pStyle w:val="115"/>
        <w:tabs>
          <w:tab w:val="left" w:pos="851"/>
        </w:tabs>
        <w:spacing w:before="156" w:line="240" w:lineRule="auto"/>
        <w:ind w:firstLine="564" w:firstLineChars="200"/>
        <w:rPr>
          <w:rFonts w:hAnsi="宋体"/>
          <w:color w:val="auto"/>
          <w:sz w:val="28"/>
          <w:szCs w:val="28"/>
        </w:rPr>
      </w:pPr>
      <w:r>
        <w:rPr>
          <w:rFonts w:hint="eastAsia" w:hAnsi="宋体"/>
          <w:color w:val="auto"/>
          <w:sz w:val="28"/>
          <w:szCs w:val="28"/>
        </w:rPr>
        <w:t>一、单位负责人为同一人或者存在直接控股、管理关系的不同供应商，不得参加同一项目的投标。</w:t>
      </w:r>
    </w:p>
    <w:p>
      <w:pPr>
        <w:pStyle w:val="115"/>
        <w:tabs>
          <w:tab w:val="left" w:pos="851"/>
        </w:tabs>
        <w:spacing w:before="156" w:line="240" w:lineRule="auto"/>
        <w:ind w:left="-144" w:leftChars="-68" w:firstLine="705" w:firstLineChars="250"/>
        <w:rPr>
          <w:rFonts w:hAnsi="宋体"/>
          <w:b/>
          <w:color w:val="auto"/>
          <w:sz w:val="28"/>
          <w:szCs w:val="28"/>
        </w:rPr>
      </w:pPr>
      <w:r>
        <w:rPr>
          <w:rFonts w:hint="eastAsia" w:hAnsi="宋体"/>
          <w:color w:val="auto"/>
          <w:sz w:val="28"/>
          <w:szCs w:val="28"/>
        </w:rPr>
        <w:t>二、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hAnsi="宋体"/>
          <w:b/>
          <w:color w:val="auto"/>
          <w:sz w:val="28"/>
          <w:szCs w:val="28"/>
        </w:rPr>
        <w:t>（说明：</w:t>
      </w:r>
      <w:r>
        <w:rPr>
          <w:rFonts w:hint="eastAsia" w:hAnsi="宋体"/>
          <w:b/>
          <w:color w:val="auto"/>
          <w:sz w:val="28"/>
          <w:szCs w:val="28"/>
          <w:u w:val="single"/>
        </w:rPr>
        <w:t>无供应商</w:t>
      </w:r>
      <w:r>
        <w:rPr>
          <w:rFonts w:hint="eastAsia" w:hAnsi="宋体"/>
          <w:b/>
          <w:color w:val="auto"/>
          <w:sz w:val="28"/>
          <w:szCs w:val="28"/>
        </w:rPr>
        <w:t>为本项目提供整体设计、规范编制或者项目管理、监理、检测等服务。）</w:t>
      </w:r>
    </w:p>
    <w:p>
      <w:pPr>
        <w:pStyle w:val="4"/>
        <w:numPr>
          <w:ilvl w:val="1"/>
          <w:numId w:val="4"/>
        </w:numPr>
        <w:spacing w:before="0" w:after="0" w:line="240" w:lineRule="auto"/>
        <w:ind w:left="2269" w:hanging="2127"/>
        <w:rPr>
          <w:color w:val="auto"/>
        </w:rPr>
      </w:pPr>
      <w:bookmarkStart w:id="43" w:name="_Toc65573688"/>
      <w:bookmarkStart w:id="44" w:name="_Toc2675"/>
      <w:bookmarkStart w:id="45" w:name="_Toc14139"/>
      <w:bookmarkStart w:id="46" w:name="_Toc32420"/>
      <w:bookmarkStart w:id="47" w:name="_Toc12455"/>
      <w:r>
        <w:rPr>
          <w:rFonts w:hint="eastAsia"/>
          <w:color w:val="auto"/>
        </w:rPr>
        <w:t>招标文件</w:t>
      </w:r>
      <w:bookmarkEnd w:id="43"/>
      <w:bookmarkEnd w:id="44"/>
      <w:bookmarkEnd w:id="45"/>
      <w:bookmarkEnd w:id="46"/>
      <w:bookmarkEnd w:id="47"/>
    </w:p>
    <w:p>
      <w:pPr>
        <w:pStyle w:val="5"/>
        <w:numPr>
          <w:ilvl w:val="2"/>
          <w:numId w:val="4"/>
        </w:numPr>
        <w:spacing w:after="200" w:line="240" w:lineRule="auto"/>
        <w:ind w:left="0" w:firstLine="0"/>
        <w:rPr>
          <w:color w:val="auto"/>
        </w:rPr>
      </w:pPr>
      <w:bookmarkStart w:id="48" w:name="_Toc183582210"/>
      <w:bookmarkStart w:id="49" w:name="_Toc217446039"/>
      <w:bookmarkStart w:id="50" w:name="_Toc183682347"/>
      <w:r>
        <w:rPr>
          <w:rFonts w:hint="eastAsia"/>
          <w:color w:val="auto"/>
        </w:rPr>
        <w:t>招标文件的构成</w:t>
      </w:r>
      <w:bookmarkEnd w:id="48"/>
      <w:bookmarkEnd w:id="49"/>
      <w:bookmarkEnd w:id="50"/>
    </w:p>
    <w:p>
      <w:pPr>
        <w:numPr>
          <w:ilvl w:val="0"/>
          <w:numId w:val="11"/>
        </w:numPr>
        <w:tabs>
          <w:tab w:val="left" w:pos="1134"/>
        </w:tabs>
        <w:spacing w:after="200"/>
        <w:ind w:left="0" w:firstLine="567"/>
        <w:rPr>
          <w:rFonts w:ascii="宋体" w:hAnsi="宋体"/>
          <w:color w:val="auto"/>
          <w:sz w:val="28"/>
          <w:szCs w:val="28"/>
        </w:rPr>
      </w:pPr>
      <w:r>
        <w:rPr>
          <w:rFonts w:hint="eastAsia" w:ascii="宋体" w:hAnsi="宋体"/>
          <w:color w:val="auto"/>
          <w:sz w:val="28"/>
          <w:szCs w:val="28"/>
        </w:rPr>
        <w:t>招标文件是供应商准备投标文件和参加投标的依据，同时也是评标的重要依据。招标文件用以阐明招标项目所需的资质、服务及报价等要求、招标投标程序、有关规定和注意事项以及合同主要条款等。本招标文件包括以下内容：</w:t>
      </w:r>
    </w:p>
    <w:p>
      <w:pPr>
        <w:numPr>
          <w:ilvl w:val="1"/>
          <w:numId w:val="12"/>
        </w:numPr>
        <w:tabs>
          <w:tab w:val="left" w:pos="1134"/>
        </w:tabs>
        <w:spacing w:after="200"/>
        <w:ind w:left="0" w:firstLine="567"/>
        <w:rPr>
          <w:rFonts w:ascii="宋体" w:hAnsi="宋体"/>
          <w:color w:val="auto"/>
          <w:sz w:val="28"/>
          <w:szCs w:val="28"/>
        </w:rPr>
      </w:pPr>
      <w:r>
        <w:rPr>
          <w:rFonts w:hint="eastAsia" w:ascii="宋体" w:hAnsi="宋体"/>
          <w:color w:val="auto"/>
          <w:sz w:val="28"/>
          <w:szCs w:val="28"/>
        </w:rPr>
        <w:t>投标邀请；</w:t>
      </w:r>
    </w:p>
    <w:p>
      <w:pPr>
        <w:numPr>
          <w:ilvl w:val="1"/>
          <w:numId w:val="12"/>
        </w:numPr>
        <w:tabs>
          <w:tab w:val="left" w:pos="1134"/>
        </w:tabs>
        <w:spacing w:after="200"/>
        <w:ind w:left="0" w:firstLine="567"/>
        <w:rPr>
          <w:rFonts w:ascii="宋体" w:hAnsi="宋体"/>
          <w:color w:val="auto"/>
          <w:sz w:val="28"/>
          <w:szCs w:val="28"/>
        </w:rPr>
      </w:pPr>
      <w:r>
        <w:rPr>
          <w:rFonts w:hint="eastAsia" w:ascii="宋体" w:hAnsi="宋体"/>
          <w:color w:val="auto"/>
          <w:sz w:val="28"/>
          <w:szCs w:val="28"/>
        </w:rPr>
        <w:t>投标人须知；</w:t>
      </w:r>
    </w:p>
    <w:p>
      <w:pPr>
        <w:numPr>
          <w:ilvl w:val="1"/>
          <w:numId w:val="12"/>
        </w:numPr>
        <w:tabs>
          <w:tab w:val="left" w:pos="1134"/>
        </w:tabs>
        <w:spacing w:after="200"/>
        <w:ind w:left="0" w:firstLine="567"/>
        <w:rPr>
          <w:rFonts w:ascii="宋体" w:hAnsi="宋体"/>
          <w:color w:val="auto"/>
          <w:sz w:val="28"/>
          <w:szCs w:val="28"/>
        </w:rPr>
      </w:pPr>
      <w:r>
        <w:rPr>
          <w:rFonts w:hint="eastAsia" w:ascii="宋体" w:hAnsi="宋体"/>
          <w:color w:val="auto"/>
          <w:sz w:val="28"/>
          <w:szCs w:val="28"/>
        </w:rPr>
        <w:t>投标文件格式；</w:t>
      </w:r>
    </w:p>
    <w:p>
      <w:pPr>
        <w:numPr>
          <w:ilvl w:val="1"/>
          <w:numId w:val="12"/>
        </w:numPr>
        <w:tabs>
          <w:tab w:val="left" w:pos="1134"/>
        </w:tabs>
        <w:spacing w:after="200"/>
        <w:ind w:left="0" w:firstLine="567"/>
        <w:rPr>
          <w:rFonts w:ascii="宋体" w:hAnsi="宋体"/>
          <w:color w:val="auto"/>
          <w:sz w:val="28"/>
          <w:szCs w:val="28"/>
        </w:rPr>
      </w:pPr>
      <w:r>
        <w:rPr>
          <w:rFonts w:hint="eastAsia" w:ascii="宋体" w:hAnsi="宋体"/>
          <w:color w:val="auto"/>
          <w:sz w:val="28"/>
          <w:szCs w:val="28"/>
        </w:rPr>
        <w:t>招标项目服务、商务及其他要求；</w:t>
      </w:r>
    </w:p>
    <w:p>
      <w:pPr>
        <w:numPr>
          <w:ilvl w:val="1"/>
          <w:numId w:val="12"/>
        </w:numPr>
        <w:tabs>
          <w:tab w:val="left" w:pos="1134"/>
        </w:tabs>
        <w:spacing w:after="200"/>
        <w:ind w:left="0" w:firstLine="567"/>
        <w:rPr>
          <w:rFonts w:ascii="宋体" w:hAnsi="宋体"/>
          <w:color w:val="auto"/>
          <w:sz w:val="28"/>
          <w:szCs w:val="28"/>
        </w:rPr>
      </w:pPr>
      <w:r>
        <w:rPr>
          <w:rFonts w:hint="eastAsia" w:ascii="宋体" w:hAnsi="宋体"/>
          <w:color w:val="auto"/>
          <w:sz w:val="28"/>
          <w:szCs w:val="28"/>
        </w:rPr>
        <w:t>资格性审查；</w:t>
      </w:r>
    </w:p>
    <w:p>
      <w:pPr>
        <w:numPr>
          <w:ilvl w:val="1"/>
          <w:numId w:val="12"/>
        </w:numPr>
        <w:tabs>
          <w:tab w:val="left" w:pos="1134"/>
        </w:tabs>
        <w:spacing w:after="200"/>
        <w:ind w:left="0" w:firstLine="567"/>
        <w:rPr>
          <w:rFonts w:ascii="宋体" w:hAnsi="宋体"/>
          <w:color w:val="auto"/>
          <w:sz w:val="28"/>
          <w:szCs w:val="28"/>
        </w:rPr>
      </w:pPr>
      <w:r>
        <w:rPr>
          <w:rFonts w:hint="eastAsia" w:ascii="宋体" w:hAnsi="宋体"/>
          <w:color w:val="auto"/>
          <w:sz w:val="28"/>
          <w:szCs w:val="28"/>
        </w:rPr>
        <w:t>评标办法；</w:t>
      </w:r>
    </w:p>
    <w:p>
      <w:pPr>
        <w:numPr>
          <w:ilvl w:val="1"/>
          <w:numId w:val="12"/>
        </w:numPr>
        <w:tabs>
          <w:tab w:val="left" w:pos="1134"/>
        </w:tabs>
        <w:spacing w:after="200"/>
        <w:ind w:left="567" w:firstLine="0"/>
        <w:rPr>
          <w:rFonts w:ascii="宋体" w:hAnsi="宋体"/>
          <w:color w:val="auto"/>
          <w:sz w:val="28"/>
          <w:szCs w:val="28"/>
        </w:rPr>
      </w:pPr>
      <w:r>
        <w:rPr>
          <w:rFonts w:hint="eastAsia" w:ascii="宋体" w:hAnsi="宋体"/>
          <w:color w:val="auto"/>
          <w:sz w:val="28"/>
          <w:szCs w:val="28"/>
        </w:rPr>
        <w:t>拟签订合同文本。</w:t>
      </w:r>
    </w:p>
    <w:p>
      <w:pPr>
        <w:numPr>
          <w:ilvl w:val="0"/>
          <w:numId w:val="11"/>
        </w:numPr>
        <w:tabs>
          <w:tab w:val="left" w:pos="1134"/>
        </w:tabs>
        <w:spacing w:after="200"/>
        <w:ind w:left="0" w:firstLine="567"/>
        <w:rPr>
          <w:rFonts w:ascii="宋体" w:hAnsi="宋体"/>
          <w:color w:val="auto"/>
          <w:sz w:val="28"/>
          <w:szCs w:val="28"/>
        </w:rPr>
      </w:pPr>
      <w:r>
        <w:rPr>
          <w:rFonts w:hint="eastAsia" w:ascii="宋体" w:hAnsi="宋体"/>
          <w:color w:val="auto"/>
          <w:sz w:val="28"/>
          <w:szCs w:val="28"/>
        </w:rPr>
        <w:t>投标人应认真阅读和充分理解招标文件中所有的事项、格式条款和规范要求。投标人没有对招标文件全面做出实质性响应所产生的风险由投标人承担。</w:t>
      </w:r>
    </w:p>
    <w:p>
      <w:pPr>
        <w:pStyle w:val="5"/>
        <w:numPr>
          <w:ilvl w:val="2"/>
          <w:numId w:val="4"/>
        </w:numPr>
        <w:spacing w:after="200" w:line="240" w:lineRule="auto"/>
        <w:ind w:left="0" w:firstLine="0"/>
        <w:rPr>
          <w:color w:val="auto"/>
        </w:rPr>
      </w:pPr>
      <w:bookmarkStart w:id="51" w:name="_Toc183682348"/>
      <w:bookmarkStart w:id="52" w:name="_Toc183582211"/>
      <w:bookmarkStart w:id="53" w:name="_Toc217446040"/>
      <w:r>
        <w:rPr>
          <w:rFonts w:hint="eastAsia"/>
          <w:color w:val="auto"/>
        </w:rPr>
        <w:t>招标文件的澄清</w:t>
      </w:r>
      <w:bookmarkEnd w:id="51"/>
      <w:bookmarkEnd w:id="52"/>
      <w:r>
        <w:rPr>
          <w:rFonts w:hint="eastAsia"/>
          <w:color w:val="auto"/>
        </w:rPr>
        <w:t>和修改</w:t>
      </w:r>
      <w:bookmarkEnd w:id="53"/>
      <w:bookmarkStart w:id="54" w:name="_Toc77400780"/>
      <w:bookmarkStart w:id="55" w:name="_Toc19128"/>
      <w:bookmarkStart w:id="56" w:name="_Toc27307"/>
      <w:bookmarkStart w:id="57" w:name="_Toc217446042"/>
      <w:bookmarkStart w:id="58" w:name="_Toc31441"/>
      <w:bookmarkStart w:id="59" w:name="_Toc183582214"/>
      <w:bookmarkStart w:id="60" w:name="_Toc89075876"/>
      <w:bookmarkStart w:id="61" w:name="_Toc183682351"/>
      <w:bookmarkStart w:id="62" w:name="_Toc6071"/>
      <w:bookmarkStart w:id="63" w:name="_Toc65573689"/>
    </w:p>
    <w:p>
      <w:pPr>
        <w:numPr>
          <w:ilvl w:val="0"/>
          <w:numId w:val="13"/>
        </w:numPr>
        <w:tabs>
          <w:tab w:val="left" w:pos="142"/>
          <w:tab w:val="left" w:pos="1134"/>
        </w:tabs>
        <w:spacing w:after="200" w:line="360" w:lineRule="auto"/>
        <w:ind w:left="0" w:firstLine="560"/>
        <w:rPr>
          <w:rFonts w:ascii="宋体" w:hAnsi="宋体"/>
          <w:color w:val="auto"/>
          <w:sz w:val="28"/>
          <w:szCs w:val="28"/>
        </w:rPr>
      </w:pPr>
      <w:r>
        <w:rPr>
          <w:rFonts w:hint="eastAsia" w:ascii="宋体" w:hAnsi="宋体"/>
          <w:color w:val="auto"/>
          <w:sz w:val="28"/>
          <w:szCs w:val="28"/>
        </w:rPr>
        <w:t>在投标截止时间前，采购人或者</w:t>
      </w:r>
      <w:r>
        <w:rPr>
          <w:rFonts w:hint="eastAsia" w:cs="Arial"/>
          <w:color w:val="auto"/>
          <w:sz w:val="28"/>
          <w:szCs w:val="28"/>
        </w:rPr>
        <w:t>市公资交易中心</w:t>
      </w:r>
      <w:r>
        <w:rPr>
          <w:rFonts w:hint="eastAsia" w:ascii="宋体" w:hAnsi="宋体"/>
          <w:color w:val="auto"/>
          <w:sz w:val="28"/>
          <w:szCs w:val="28"/>
        </w:rPr>
        <w:t>可以对已发出的招标文件进行必要的澄清或者修改。</w:t>
      </w:r>
    </w:p>
    <w:p>
      <w:pPr>
        <w:numPr>
          <w:ilvl w:val="0"/>
          <w:numId w:val="13"/>
        </w:numPr>
        <w:spacing w:after="200" w:line="360" w:lineRule="auto"/>
        <w:ind w:left="0" w:firstLine="567"/>
        <w:rPr>
          <w:rFonts w:ascii="宋体" w:hAnsi="宋体"/>
          <w:color w:val="auto"/>
          <w:sz w:val="28"/>
          <w:szCs w:val="28"/>
        </w:rPr>
      </w:pPr>
      <w:r>
        <w:rPr>
          <w:rFonts w:hint="eastAsia" w:ascii="宋体" w:hAnsi="宋体"/>
          <w:color w:val="auto"/>
          <w:sz w:val="28"/>
          <w:szCs w:val="28"/>
        </w:rPr>
        <w:t>澄清或者修改的内容，市公资交易中心将在“四川政府采购网”和“</w:t>
      </w:r>
      <w:r>
        <w:rPr>
          <w:rFonts w:hint="eastAsia" w:ascii="宋体" w:hAnsi="宋体"/>
          <w:color w:val="auto"/>
          <w:sz w:val="28"/>
          <w:szCs w:val="28"/>
          <w:lang w:eastAsia="zh-CN"/>
        </w:rPr>
        <w:t>成都市公共资源交易服务中心</w:t>
      </w:r>
      <w:r>
        <w:rPr>
          <w:rFonts w:hint="eastAsia" w:ascii="宋体" w:hAnsi="宋体"/>
          <w:color w:val="auto"/>
          <w:sz w:val="28"/>
          <w:szCs w:val="28"/>
        </w:rPr>
        <w:t>”网站上发布澄清公告，同时通过政府采购云平台将澄清或者修改的内容告知所有在系统中成功获取招标文件的潜在投标人（投标人通过账号或CA证书登录云平台查看）</w:t>
      </w:r>
    </w:p>
    <w:p>
      <w:pPr>
        <w:numPr>
          <w:ilvl w:val="0"/>
          <w:numId w:val="13"/>
        </w:numPr>
        <w:tabs>
          <w:tab w:val="left" w:pos="142"/>
          <w:tab w:val="left" w:pos="1134"/>
        </w:tabs>
        <w:spacing w:after="200" w:line="360" w:lineRule="auto"/>
        <w:ind w:left="0" w:firstLine="560"/>
        <w:rPr>
          <w:rFonts w:ascii="宋体" w:hAnsi="宋体"/>
          <w:color w:val="auto"/>
          <w:sz w:val="28"/>
          <w:szCs w:val="28"/>
        </w:rPr>
      </w:pPr>
      <w:r>
        <w:rPr>
          <w:rFonts w:hint="eastAsia" w:ascii="宋体" w:hAnsi="宋体"/>
          <w:color w:val="auto"/>
          <w:sz w:val="28"/>
          <w:szCs w:val="28"/>
        </w:rPr>
        <w:t>澄清或者修改的内容可能影响投标文件编制的，市公资交易中心应当在投标截止时间至少15日前，通过政府采购云平台通知所有获取招标文件的潜在投标人；不足15日的，采购人或市公资交易中心应当顺延提交投标文件的截止时间。</w:t>
      </w:r>
    </w:p>
    <w:p>
      <w:pPr>
        <w:pStyle w:val="4"/>
        <w:numPr>
          <w:ilvl w:val="1"/>
          <w:numId w:val="4"/>
        </w:numPr>
        <w:spacing w:before="0" w:after="0" w:line="240" w:lineRule="auto"/>
        <w:ind w:left="2269" w:hanging="2127"/>
        <w:rPr>
          <w:color w:val="auto"/>
        </w:rPr>
      </w:pPr>
      <w:r>
        <w:rPr>
          <w:rFonts w:hint="eastAsia"/>
          <w:color w:val="auto"/>
        </w:rPr>
        <w:t>投标文件</w:t>
      </w:r>
      <w:bookmarkEnd w:id="54"/>
      <w:bookmarkEnd w:id="55"/>
      <w:bookmarkEnd w:id="56"/>
      <w:bookmarkEnd w:id="57"/>
      <w:bookmarkEnd w:id="58"/>
      <w:bookmarkEnd w:id="59"/>
      <w:bookmarkEnd w:id="60"/>
      <w:bookmarkEnd w:id="61"/>
      <w:bookmarkEnd w:id="62"/>
      <w:bookmarkEnd w:id="63"/>
    </w:p>
    <w:p>
      <w:pPr>
        <w:pStyle w:val="5"/>
        <w:numPr>
          <w:ilvl w:val="2"/>
          <w:numId w:val="4"/>
        </w:numPr>
        <w:spacing w:after="200" w:line="240" w:lineRule="auto"/>
        <w:ind w:left="0" w:firstLine="0"/>
        <w:rPr>
          <w:color w:val="auto"/>
        </w:rPr>
      </w:pPr>
      <w:bookmarkStart w:id="64" w:name="_Toc217446043"/>
      <w:bookmarkStart w:id="65" w:name="_Toc183582215"/>
      <w:bookmarkStart w:id="66" w:name="_Toc183682352"/>
      <w:r>
        <w:rPr>
          <w:rFonts w:hint="eastAsia"/>
          <w:color w:val="auto"/>
        </w:rPr>
        <w:t>投标文件的语言</w:t>
      </w:r>
      <w:bookmarkEnd w:id="64"/>
      <w:bookmarkEnd w:id="65"/>
      <w:bookmarkEnd w:id="66"/>
    </w:p>
    <w:p>
      <w:pPr>
        <w:numPr>
          <w:ilvl w:val="0"/>
          <w:numId w:val="14"/>
        </w:numPr>
        <w:tabs>
          <w:tab w:val="left" w:pos="1134"/>
        </w:tabs>
        <w:spacing w:after="200"/>
        <w:ind w:left="0" w:firstLine="560"/>
        <w:rPr>
          <w:rFonts w:ascii="宋体" w:hAnsi="宋体"/>
          <w:color w:val="auto"/>
          <w:sz w:val="28"/>
          <w:szCs w:val="28"/>
        </w:rPr>
      </w:pPr>
      <w:r>
        <w:rPr>
          <w:rFonts w:hint="eastAsia" w:ascii="宋体" w:hAnsi="宋体"/>
          <w:color w:val="auto"/>
          <w:sz w:val="28"/>
          <w:szCs w:val="28"/>
        </w:rPr>
        <w:t>投标人提交的投标文件以及投标人与采购人或市公资交易中心就有关投标的所有来往书面文件均须使用中文，投标文件中所附或引用的外文资料，应翻译成中文附在相关外文资料后面。（说明：投标人的法定代表人为外籍人士的，则法定代表人的签字和护照除外）。</w:t>
      </w:r>
    </w:p>
    <w:p>
      <w:pPr>
        <w:numPr>
          <w:ilvl w:val="0"/>
          <w:numId w:val="14"/>
        </w:numPr>
        <w:tabs>
          <w:tab w:val="left" w:pos="1134"/>
        </w:tabs>
        <w:spacing w:after="200"/>
        <w:ind w:left="0" w:firstLine="560"/>
        <w:rPr>
          <w:rFonts w:ascii="宋体" w:hAnsi="宋体"/>
          <w:color w:val="auto"/>
          <w:sz w:val="28"/>
          <w:szCs w:val="28"/>
        </w:rPr>
      </w:pPr>
      <w:r>
        <w:rPr>
          <w:rFonts w:hint="eastAsia" w:ascii="宋体" w:hAnsi="宋体"/>
          <w:color w:val="auto"/>
          <w:sz w:val="28"/>
          <w:szCs w:val="28"/>
        </w:rPr>
        <w:t xml:space="preserve">对不同文字文本投标文件的解释发生异议的，以中文文本为准。若投标人投标文件中提供的外文资料未翻译成中文，则评标委员会可将其视为无效材料。 </w:t>
      </w:r>
    </w:p>
    <w:p>
      <w:pPr>
        <w:pStyle w:val="5"/>
        <w:numPr>
          <w:ilvl w:val="2"/>
          <w:numId w:val="4"/>
        </w:numPr>
        <w:spacing w:after="200" w:line="240" w:lineRule="auto"/>
        <w:ind w:left="0" w:firstLine="0"/>
        <w:rPr>
          <w:color w:val="auto"/>
        </w:rPr>
      </w:pPr>
      <w:bookmarkStart w:id="67" w:name="_Toc183682353"/>
      <w:bookmarkStart w:id="68" w:name="_Toc183582216"/>
      <w:bookmarkStart w:id="69" w:name="_Toc217446044"/>
      <w:r>
        <w:rPr>
          <w:rFonts w:hint="eastAsia"/>
          <w:color w:val="auto"/>
        </w:rPr>
        <w:t>计量单位</w:t>
      </w:r>
      <w:bookmarkEnd w:id="67"/>
      <w:bookmarkEnd w:id="68"/>
      <w:bookmarkEnd w:id="69"/>
    </w:p>
    <w:p>
      <w:pPr>
        <w:tabs>
          <w:tab w:val="left" w:pos="7665"/>
        </w:tabs>
        <w:ind w:left="13" w:firstLine="554"/>
        <w:rPr>
          <w:rFonts w:ascii="宋体" w:hAnsi="宋体"/>
          <w:color w:val="auto"/>
          <w:sz w:val="28"/>
          <w:szCs w:val="28"/>
        </w:rPr>
      </w:pPr>
      <w:bookmarkStart w:id="70" w:name="_Toc217446045"/>
      <w:r>
        <w:rPr>
          <w:rFonts w:hint="eastAsia" w:ascii="宋体" w:hAnsi="宋体"/>
          <w:color w:val="auto"/>
          <w:sz w:val="28"/>
          <w:szCs w:val="28"/>
        </w:rPr>
        <w:t>除招标文件中另有规定外，本次采购项目所有合同项下的投标均采用国家法定的计量单位。</w:t>
      </w:r>
    </w:p>
    <w:p>
      <w:pPr>
        <w:pStyle w:val="5"/>
        <w:numPr>
          <w:ilvl w:val="2"/>
          <w:numId w:val="4"/>
        </w:numPr>
        <w:spacing w:after="200" w:line="240" w:lineRule="auto"/>
        <w:ind w:left="0" w:firstLine="0"/>
        <w:rPr>
          <w:color w:val="auto"/>
        </w:rPr>
      </w:pPr>
      <w:r>
        <w:rPr>
          <w:rFonts w:hint="eastAsia"/>
          <w:color w:val="auto"/>
        </w:rPr>
        <w:t>投标货币</w:t>
      </w:r>
      <w:bookmarkEnd w:id="70"/>
    </w:p>
    <w:p>
      <w:pPr>
        <w:tabs>
          <w:tab w:val="left" w:pos="7665"/>
        </w:tabs>
        <w:ind w:left="13" w:firstLine="554"/>
        <w:rPr>
          <w:rFonts w:ascii="宋体" w:hAnsi="宋体"/>
          <w:color w:val="auto"/>
          <w:sz w:val="28"/>
          <w:szCs w:val="28"/>
        </w:rPr>
      </w:pPr>
      <w:r>
        <w:rPr>
          <w:rFonts w:hint="eastAsia" w:ascii="宋体" w:hAnsi="宋体"/>
          <w:color w:val="auto"/>
          <w:sz w:val="28"/>
          <w:szCs w:val="28"/>
        </w:rPr>
        <w:t>本次招标项目的投标均以人民币报价。</w:t>
      </w:r>
    </w:p>
    <w:p>
      <w:pPr>
        <w:pStyle w:val="5"/>
        <w:numPr>
          <w:ilvl w:val="2"/>
          <w:numId w:val="4"/>
        </w:numPr>
        <w:spacing w:after="200" w:line="240" w:lineRule="auto"/>
        <w:ind w:left="0" w:firstLine="0"/>
        <w:rPr>
          <w:color w:val="auto"/>
        </w:rPr>
      </w:pPr>
      <w:bookmarkStart w:id="71" w:name="_Toc217446046"/>
      <w:r>
        <w:rPr>
          <w:rFonts w:hint="eastAsia"/>
          <w:color w:val="auto"/>
        </w:rPr>
        <w:t>联合体投标</w:t>
      </w:r>
      <w:bookmarkEnd w:id="71"/>
    </w:p>
    <w:p>
      <w:pPr>
        <w:tabs>
          <w:tab w:val="left" w:pos="1134"/>
        </w:tabs>
        <w:ind w:left="546"/>
        <w:rPr>
          <w:rFonts w:ascii="宋体" w:hAnsi="宋体"/>
          <w:color w:val="auto"/>
          <w:sz w:val="28"/>
          <w:szCs w:val="28"/>
        </w:rPr>
      </w:pPr>
      <w:bookmarkStart w:id="72" w:name="_Toc217446047"/>
      <w:r>
        <w:rPr>
          <w:rFonts w:hint="eastAsia" w:ascii="宋体" w:hAnsi="宋体"/>
          <w:color w:val="auto"/>
          <w:sz w:val="28"/>
          <w:szCs w:val="28"/>
        </w:rPr>
        <w:t>本次政府采购活动</w:t>
      </w:r>
      <w:r>
        <w:rPr>
          <w:rFonts w:hint="eastAsia" w:ascii="宋体" w:hAnsi="宋体"/>
          <w:b/>
          <w:color w:val="auto"/>
          <w:sz w:val="28"/>
          <w:szCs w:val="28"/>
        </w:rPr>
        <w:t>不接受</w:t>
      </w:r>
      <w:r>
        <w:rPr>
          <w:rFonts w:hint="eastAsia" w:ascii="宋体" w:hAnsi="宋体"/>
          <w:color w:val="auto"/>
          <w:sz w:val="28"/>
          <w:szCs w:val="28"/>
        </w:rPr>
        <w:t>联合体投标。</w:t>
      </w:r>
    </w:p>
    <w:p>
      <w:pPr>
        <w:pStyle w:val="5"/>
        <w:numPr>
          <w:ilvl w:val="2"/>
          <w:numId w:val="4"/>
        </w:numPr>
        <w:spacing w:after="200" w:line="240" w:lineRule="auto"/>
        <w:ind w:left="0" w:firstLine="0"/>
        <w:rPr>
          <w:color w:val="auto"/>
        </w:rPr>
      </w:pPr>
      <w:r>
        <w:rPr>
          <w:rFonts w:hint="eastAsia"/>
          <w:color w:val="auto"/>
        </w:rPr>
        <w:t>知识产权</w:t>
      </w:r>
      <w:bookmarkEnd w:id="72"/>
    </w:p>
    <w:p>
      <w:pPr>
        <w:pStyle w:val="156"/>
        <w:numPr>
          <w:ilvl w:val="0"/>
          <w:numId w:val="15"/>
        </w:numPr>
        <w:tabs>
          <w:tab w:val="left" w:pos="1134"/>
        </w:tabs>
        <w:spacing w:after="200"/>
        <w:ind w:left="0" w:firstLine="549" w:firstLineChars="0"/>
        <w:rPr>
          <w:rFonts w:ascii="宋体" w:hAnsi="宋体"/>
          <w:color w:val="auto"/>
          <w:sz w:val="28"/>
          <w:szCs w:val="28"/>
        </w:rPr>
      </w:pPr>
      <w:bookmarkStart w:id="73" w:name="_Toc183682354"/>
      <w:bookmarkStart w:id="74" w:name="_Toc217446048"/>
      <w:bookmarkStart w:id="75" w:name="_Toc183582217"/>
      <w:r>
        <w:rPr>
          <w:rFonts w:hint="eastAsia" w:ascii="宋体" w:hAnsi="宋体"/>
          <w:color w:val="auto"/>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56"/>
        <w:numPr>
          <w:ilvl w:val="0"/>
          <w:numId w:val="15"/>
        </w:numPr>
        <w:tabs>
          <w:tab w:val="left" w:pos="1134"/>
        </w:tabs>
        <w:spacing w:after="200"/>
        <w:ind w:left="0" w:firstLine="549" w:firstLineChars="0"/>
        <w:rPr>
          <w:rFonts w:ascii="宋体" w:hAnsi="宋体"/>
          <w:color w:val="auto"/>
          <w:sz w:val="28"/>
          <w:szCs w:val="28"/>
        </w:rPr>
      </w:pPr>
      <w:r>
        <w:rPr>
          <w:rFonts w:hint="eastAsia" w:ascii="宋体" w:hAnsi="宋体"/>
          <w:color w:val="auto"/>
          <w:sz w:val="28"/>
          <w:szCs w:val="28"/>
        </w:rPr>
        <w:t>采购人享有本项目实施过程中产生的知识成果及知识产权。</w:t>
      </w:r>
    </w:p>
    <w:p>
      <w:pPr>
        <w:pStyle w:val="156"/>
        <w:numPr>
          <w:ilvl w:val="0"/>
          <w:numId w:val="15"/>
        </w:numPr>
        <w:tabs>
          <w:tab w:val="left" w:pos="1134"/>
        </w:tabs>
        <w:spacing w:after="200"/>
        <w:ind w:left="0" w:firstLine="549" w:firstLineChars="0"/>
        <w:rPr>
          <w:rFonts w:ascii="宋体" w:hAnsi="宋体"/>
          <w:color w:val="auto"/>
          <w:sz w:val="28"/>
          <w:szCs w:val="28"/>
        </w:rPr>
      </w:pPr>
      <w:r>
        <w:rPr>
          <w:rFonts w:hint="eastAsia" w:ascii="宋体" w:hAnsi="宋体"/>
          <w:color w:val="auto"/>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pStyle w:val="156"/>
        <w:numPr>
          <w:ilvl w:val="0"/>
          <w:numId w:val="15"/>
        </w:numPr>
        <w:tabs>
          <w:tab w:val="left" w:pos="1134"/>
        </w:tabs>
        <w:spacing w:after="200"/>
        <w:ind w:left="0" w:firstLine="549" w:firstLineChars="0"/>
        <w:rPr>
          <w:rFonts w:ascii="宋体" w:hAnsi="宋体"/>
          <w:color w:val="auto"/>
          <w:sz w:val="28"/>
          <w:szCs w:val="28"/>
        </w:rPr>
      </w:pPr>
      <w:r>
        <w:rPr>
          <w:rFonts w:hint="eastAsia" w:ascii="宋体" w:hAnsi="宋体"/>
          <w:color w:val="auto"/>
          <w:sz w:val="28"/>
          <w:szCs w:val="28"/>
        </w:rPr>
        <w:t>如采用投标人所不拥有的知识产权，则在投标报价中必须包括合法获取该知识产权的相关费用。</w:t>
      </w:r>
    </w:p>
    <w:p>
      <w:pPr>
        <w:pStyle w:val="5"/>
        <w:numPr>
          <w:ilvl w:val="2"/>
          <w:numId w:val="4"/>
        </w:numPr>
        <w:spacing w:after="200" w:line="240" w:lineRule="auto"/>
        <w:ind w:left="0" w:firstLine="0"/>
        <w:rPr>
          <w:rFonts w:hint="eastAsia" w:ascii="宋体" w:hAnsi="宋体" w:eastAsia="宋体" w:cs="Times New Roman"/>
          <w:b w:val="0"/>
          <w:bCs w:val="0"/>
          <w:color w:val="auto"/>
          <w:kern w:val="2"/>
          <w:sz w:val="28"/>
          <w:szCs w:val="28"/>
          <w:lang w:val="en-US" w:eastAsia="zh-CN" w:bidi="ar-SA"/>
        </w:rPr>
      </w:pPr>
      <w:r>
        <w:rPr>
          <w:rFonts w:hint="eastAsia" w:ascii="宋体" w:hAnsi="宋体" w:eastAsia="宋体" w:cs="Times New Roman"/>
          <w:b w:val="0"/>
          <w:bCs w:val="0"/>
          <w:color w:val="auto"/>
          <w:kern w:val="2"/>
          <w:sz w:val="28"/>
          <w:szCs w:val="28"/>
          <w:lang w:val="en-US" w:eastAsia="zh-CN" w:bidi="ar-SA"/>
        </w:rPr>
        <w:t>投标文件的组成</w:t>
      </w:r>
      <w:bookmarkEnd w:id="73"/>
      <w:bookmarkEnd w:id="74"/>
      <w:bookmarkEnd w:id="75"/>
    </w:p>
    <w:p>
      <w:pPr>
        <w:ind w:firstLine="551" w:firstLineChars="196"/>
        <w:rPr>
          <w:rFonts w:hint="eastAsia" w:ascii="宋体" w:hAnsi="宋体" w:eastAsia="宋体" w:cs="Times New Roman"/>
          <w:b w:val="0"/>
          <w:bCs w:val="0"/>
          <w:color w:val="auto"/>
          <w:kern w:val="2"/>
          <w:sz w:val="28"/>
          <w:szCs w:val="28"/>
          <w:lang w:val="en-US" w:eastAsia="zh-CN" w:bidi="ar-SA"/>
        </w:rPr>
      </w:pPr>
      <w:r>
        <w:rPr>
          <w:rFonts w:hint="eastAsia" w:ascii="宋体" w:hAnsi="宋体" w:eastAsia="宋体" w:cs="Times New Roman"/>
          <w:b w:val="0"/>
          <w:bCs w:val="0"/>
          <w:color w:val="auto"/>
          <w:kern w:val="2"/>
          <w:sz w:val="28"/>
          <w:szCs w:val="28"/>
          <w:lang w:val="en-US" w:eastAsia="zh-CN" w:bidi="ar-SA"/>
        </w:rPr>
        <w:t>投标人应按照招标文件的规定和要求编制投标文件。投标人拟在中标后将中标项目的非主体、非关键性工作交由他人完成的，应当在投标文件中载明。投标人编写的投标文件应包括下列部分：</w:t>
      </w:r>
    </w:p>
    <w:p>
      <w:pPr>
        <w:pStyle w:val="6"/>
        <w:numPr>
          <w:ilvl w:val="3"/>
          <w:numId w:val="4"/>
        </w:numPr>
        <w:spacing w:line="560" w:lineRule="exact"/>
        <w:rPr>
          <w:rFonts w:hint="eastAsia" w:ascii="宋体" w:hAnsi="宋体" w:eastAsia="宋体" w:cs="Times New Roman"/>
          <w:b w:val="0"/>
          <w:bCs w:val="0"/>
          <w:color w:val="auto"/>
          <w:kern w:val="2"/>
          <w:sz w:val="28"/>
          <w:szCs w:val="28"/>
          <w:lang w:val="en-US" w:eastAsia="zh-CN" w:bidi="ar-SA"/>
        </w:rPr>
      </w:pPr>
      <w:r>
        <w:rPr>
          <w:rFonts w:hint="eastAsia" w:ascii="宋体" w:hAnsi="宋体" w:eastAsia="宋体" w:cs="Times New Roman"/>
          <w:b w:val="0"/>
          <w:bCs w:val="0"/>
          <w:color w:val="auto"/>
          <w:kern w:val="2"/>
          <w:sz w:val="28"/>
          <w:szCs w:val="28"/>
          <w:lang w:val="en-US" w:eastAsia="zh-CN" w:bidi="ar-SA"/>
        </w:rPr>
        <w:t>资格响应文件：</w:t>
      </w:r>
    </w:p>
    <w:p>
      <w:pPr>
        <w:pStyle w:val="85"/>
        <w:numPr>
          <w:ilvl w:val="0"/>
          <w:numId w:val="16"/>
        </w:numPr>
        <w:tabs>
          <w:tab w:val="left" w:pos="1134"/>
        </w:tabs>
        <w:spacing w:after="200"/>
        <w:ind w:firstLineChars="0"/>
        <w:rPr>
          <w:rFonts w:hint="eastAsia" w:ascii="宋体" w:hAnsi="宋体" w:eastAsia="宋体" w:cs="Times New Roman"/>
          <w:b w:val="0"/>
          <w:bCs w:val="0"/>
          <w:color w:val="auto"/>
          <w:kern w:val="2"/>
          <w:sz w:val="28"/>
          <w:szCs w:val="28"/>
          <w:lang w:val="en-US" w:eastAsia="zh-CN" w:bidi="ar-SA"/>
        </w:rPr>
      </w:pPr>
      <w:r>
        <w:rPr>
          <w:rFonts w:hint="eastAsia" w:ascii="宋体" w:hAnsi="宋体" w:eastAsia="宋体" w:cs="Times New Roman"/>
          <w:b w:val="0"/>
          <w:bCs w:val="0"/>
          <w:color w:val="auto"/>
          <w:kern w:val="2"/>
          <w:sz w:val="28"/>
          <w:szCs w:val="28"/>
          <w:lang w:val="en-US" w:eastAsia="zh-CN" w:bidi="ar-SA"/>
        </w:rPr>
        <w:t>关于投标人资格申明的函；</w:t>
      </w:r>
    </w:p>
    <w:p>
      <w:pPr>
        <w:pStyle w:val="85"/>
        <w:numPr>
          <w:ilvl w:val="0"/>
          <w:numId w:val="16"/>
        </w:numPr>
        <w:tabs>
          <w:tab w:val="left" w:pos="1134"/>
        </w:tabs>
        <w:spacing w:after="200"/>
        <w:ind w:firstLineChars="0"/>
        <w:rPr>
          <w:rFonts w:hint="eastAsia" w:ascii="宋体" w:hAnsi="宋体" w:eastAsia="宋体" w:cs="Times New Roman"/>
          <w:b w:val="0"/>
          <w:bCs w:val="0"/>
          <w:color w:val="auto"/>
          <w:kern w:val="2"/>
          <w:sz w:val="28"/>
          <w:szCs w:val="28"/>
          <w:lang w:val="en-US" w:eastAsia="zh-CN" w:bidi="ar-SA"/>
        </w:rPr>
      </w:pPr>
      <w:r>
        <w:rPr>
          <w:rFonts w:hint="eastAsia" w:ascii="宋体" w:hAnsi="宋体" w:eastAsia="宋体" w:cs="Times New Roman"/>
          <w:b w:val="0"/>
          <w:bCs w:val="0"/>
          <w:color w:val="auto"/>
          <w:kern w:val="2"/>
          <w:sz w:val="28"/>
          <w:szCs w:val="28"/>
          <w:lang w:val="en-US" w:eastAsia="zh-CN" w:bidi="ar-SA"/>
        </w:rPr>
        <w:t>声明；</w:t>
      </w:r>
    </w:p>
    <w:p>
      <w:pPr>
        <w:pStyle w:val="85"/>
        <w:numPr>
          <w:ilvl w:val="0"/>
          <w:numId w:val="16"/>
        </w:numPr>
        <w:tabs>
          <w:tab w:val="left" w:pos="1134"/>
        </w:tabs>
        <w:spacing w:after="200"/>
        <w:ind w:firstLineChars="0"/>
        <w:rPr>
          <w:rFonts w:hint="eastAsia" w:ascii="宋体" w:hAnsi="宋体" w:eastAsia="宋体" w:cs="Times New Roman"/>
          <w:b w:val="0"/>
          <w:bCs w:val="0"/>
          <w:color w:val="auto"/>
          <w:kern w:val="2"/>
          <w:sz w:val="28"/>
          <w:szCs w:val="28"/>
          <w:lang w:val="en-US" w:eastAsia="zh-CN" w:bidi="ar-SA"/>
        </w:rPr>
      </w:pPr>
      <w:r>
        <w:rPr>
          <w:rFonts w:hint="eastAsia" w:ascii="宋体" w:hAnsi="宋体" w:eastAsia="宋体" w:cs="Times New Roman"/>
          <w:b w:val="0"/>
          <w:bCs w:val="0"/>
          <w:color w:val="auto"/>
          <w:kern w:val="2"/>
          <w:sz w:val="28"/>
          <w:szCs w:val="28"/>
          <w:lang w:val="en-US" w:eastAsia="zh-CN" w:bidi="ar-SA"/>
        </w:rPr>
        <w:t>投标人应提交的其他相关资格证明材料：</w:t>
      </w:r>
    </w:p>
    <w:p>
      <w:pPr>
        <w:pStyle w:val="85"/>
        <w:numPr>
          <w:ilvl w:val="0"/>
          <w:numId w:val="0"/>
        </w:numPr>
        <w:spacing w:after="200"/>
        <w:ind w:left="546" w:leftChars="0" w:firstLine="564" w:firstLineChars="200"/>
        <w:rPr>
          <w:rFonts w:hint="eastAsia" w:ascii="宋体" w:hAnsi="宋体" w:eastAsia="宋体" w:cs="Times New Roman"/>
          <w:b w:val="0"/>
          <w:bCs w:val="0"/>
          <w:color w:val="auto"/>
          <w:kern w:val="2"/>
          <w:sz w:val="28"/>
          <w:szCs w:val="28"/>
          <w:lang w:val="en-US" w:eastAsia="zh-CN" w:bidi="ar-SA"/>
        </w:rPr>
      </w:pPr>
      <w:r>
        <w:rPr>
          <w:rFonts w:hint="eastAsia" w:ascii="宋体" w:hAnsi="宋体" w:eastAsia="宋体" w:cs="Times New Roman"/>
          <w:b w:val="0"/>
          <w:bCs w:val="0"/>
          <w:color w:val="auto"/>
          <w:kern w:val="2"/>
          <w:sz w:val="28"/>
          <w:szCs w:val="28"/>
          <w:lang w:val="en-US" w:eastAsia="zh-CN" w:bidi="ar-SA"/>
        </w:rPr>
        <w:t>按第5章资格性审查标准提供的其他资格证明材料。</w:t>
      </w:r>
    </w:p>
    <w:p>
      <w:pPr>
        <w:pStyle w:val="6"/>
        <w:numPr>
          <w:ilvl w:val="3"/>
          <w:numId w:val="4"/>
        </w:numPr>
        <w:spacing w:line="560" w:lineRule="exact"/>
        <w:rPr>
          <w:rFonts w:hint="eastAsia" w:ascii="宋体" w:hAnsi="宋体" w:eastAsia="宋体" w:cs="Times New Roman"/>
          <w:b w:val="0"/>
          <w:bCs w:val="0"/>
          <w:color w:val="auto"/>
          <w:kern w:val="2"/>
          <w:sz w:val="28"/>
          <w:szCs w:val="28"/>
          <w:lang w:val="en-US" w:eastAsia="zh-CN" w:bidi="ar-SA"/>
        </w:rPr>
      </w:pPr>
      <w:r>
        <w:rPr>
          <w:rFonts w:hint="eastAsia" w:ascii="宋体" w:hAnsi="宋体" w:eastAsia="宋体" w:cs="Times New Roman"/>
          <w:b w:val="0"/>
          <w:bCs w:val="0"/>
          <w:color w:val="auto"/>
          <w:kern w:val="2"/>
          <w:sz w:val="28"/>
          <w:szCs w:val="28"/>
          <w:lang w:val="en-US" w:eastAsia="zh-CN" w:bidi="ar-SA"/>
        </w:rPr>
        <w:t>商务技术响应文件：</w:t>
      </w:r>
    </w:p>
    <w:p>
      <w:pPr>
        <w:numPr>
          <w:ilvl w:val="0"/>
          <w:numId w:val="17"/>
        </w:numPr>
        <w:tabs>
          <w:tab w:val="left" w:pos="1134"/>
        </w:tabs>
        <w:spacing w:after="200"/>
        <w:ind w:left="0" w:firstLine="546"/>
        <w:rPr>
          <w:rFonts w:hint="eastAsia" w:ascii="宋体" w:hAnsi="宋体" w:eastAsia="宋体" w:cs="Times New Roman"/>
          <w:b w:val="0"/>
          <w:bCs w:val="0"/>
          <w:color w:val="auto"/>
          <w:kern w:val="2"/>
          <w:sz w:val="28"/>
          <w:szCs w:val="28"/>
          <w:lang w:val="en-US" w:eastAsia="zh-CN" w:bidi="ar-SA"/>
        </w:rPr>
      </w:pPr>
      <w:r>
        <w:rPr>
          <w:rFonts w:hint="eastAsia" w:ascii="宋体" w:hAnsi="宋体" w:eastAsia="宋体" w:cs="Times New Roman"/>
          <w:b w:val="0"/>
          <w:bCs w:val="0"/>
          <w:color w:val="auto"/>
          <w:kern w:val="2"/>
          <w:sz w:val="28"/>
          <w:szCs w:val="28"/>
          <w:lang w:val="en-US" w:eastAsia="zh-CN" w:bidi="ar-SA"/>
        </w:rPr>
        <w:t>投标函；</w:t>
      </w:r>
    </w:p>
    <w:p>
      <w:pPr>
        <w:numPr>
          <w:ilvl w:val="0"/>
          <w:numId w:val="17"/>
        </w:numPr>
        <w:tabs>
          <w:tab w:val="left" w:pos="1134"/>
        </w:tabs>
        <w:spacing w:after="200"/>
        <w:ind w:left="0" w:firstLine="546"/>
        <w:rPr>
          <w:rFonts w:hint="eastAsia" w:ascii="宋体" w:hAnsi="宋体" w:eastAsia="宋体" w:cs="Times New Roman"/>
          <w:b w:val="0"/>
          <w:bCs w:val="0"/>
          <w:color w:val="auto"/>
          <w:kern w:val="2"/>
          <w:sz w:val="28"/>
          <w:szCs w:val="28"/>
          <w:lang w:val="en-US" w:eastAsia="zh-CN" w:bidi="ar-SA"/>
        </w:rPr>
      </w:pPr>
      <w:r>
        <w:rPr>
          <w:rFonts w:hint="eastAsia" w:ascii="宋体" w:hAnsi="宋体" w:eastAsia="宋体" w:cs="Times New Roman"/>
          <w:b w:val="0"/>
          <w:bCs w:val="0"/>
          <w:color w:val="auto"/>
          <w:kern w:val="2"/>
          <w:sz w:val="28"/>
          <w:szCs w:val="28"/>
          <w:lang w:val="en-US" w:eastAsia="zh-CN" w:bidi="ar-SA"/>
        </w:rPr>
        <w:t>法定代表人身份证明书；</w:t>
      </w:r>
    </w:p>
    <w:p>
      <w:pPr>
        <w:numPr>
          <w:ilvl w:val="0"/>
          <w:numId w:val="17"/>
        </w:numPr>
        <w:tabs>
          <w:tab w:val="left" w:pos="1134"/>
        </w:tabs>
        <w:spacing w:after="200"/>
        <w:ind w:left="0" w:firstLine="546"/>
        <w:rPr>
          <w:rFonts w:hint="eastAsia" w:ascii="宋体" w:hAnsi="宋体" w:eastAsia="宋体" w:cs="Times New Roman"/>
          <w:b w:val="0"/>
          <w:bCs w:val="0"/>
          <w:color w:val="auto"/>
          <w:kern w:val="2"/>
          <w:sz w:val="28"/>
          <w:szCs w:val="28"/>
          <w:lang w:val="en-US" w:eastAsia="zh-CN" w:bidi="ar-SA"/>
        </w:rPr>
      </w:pPr>
      <w:r>
        <w:rPr>
          <w:rFonts w:hint="eastAsia" w:ascii="宋体" w:hAnsi="宋体" w:eastAsia="宋体" w:cs="Times New Roman"/>
          <w:b w:val="0"/>
          <w:bCs w:val="0"/>
          <w:color w:val="auto"/>
          <w:kern w:val="2"/>
          <w:sz w:val="28"/>
          <w:szCs w:val="28"/>
          <w:lang w:val="en-US" w:eastAsia="zh-CN" w:bidi="ar-SA"/>
        </w:rPr>
        <w:t>中小企业声明函（如未提供中小企业声明函，则不能享受招标文件规定的价格扣除，但不影响投标人投标文件的有效性）；</w:t>
      </w:r>
    </w:p>
    <w:p>
      <w:pPr>
        <w:numPr>
          <w:ilvl w:val="0"/>
          <w:numId w:val="17"/>
        </w:numPr>
        <w:tabs>
          <w:tab w:val="left" w:pos="1134"/>
        </w:tabs>
        <w:spacing w:after="200"/>
        <w:ind w:left="0" w:firstLine="546"/>
        <w:rPr>
          <w:rFonts w:hint="eastAsia" w:ascii="宋体" w:hAnsi="宋体" w:eastAsia="宋体" w:cs="Times New Roman"/>
          <w:b w:val="0"/>
          <w:bCs w:val="0"/>
          <w:color w:val="auto"/>
          <w:kern w:val="2"/>
          <w:sz w:val="28"/>
          <w:szCs w:val="28"/>
          <w:lang w:val="en-US" w:eastAsia="zh-CN" w:bidi="ar-SA"/>
        </w:rPr>
      </w:pPr>
      <w:r>
        <w:rPr>
          <w:rFonts w:hint="eastAsia" w:ascii="宋体" w:hAnsi="宋体" w:eastAsia="宋体" w:cs="Times New Roman"/>
          <w:b w:val="0"/>
          <w:bCs w:val="0"/>
          <w:color w:val="auto"/>
          <w:kern w:val="2"/>
          <w:sz w:val="28"/>
          <w:szCs w:val="28"/>
          <w:lang w:val="en-US" w:eastAsia="zh-CN" w:bidi="ar-SA"/>
        </w:rPr>
        <w:t>残疾人福利性单位声明函（如未提供残疾人福利性单位声明函，则不能享受招标文件规定的价格扣除，但不影响投标人投标文件的有效性）；</w:t>
      </w:r>
    </w:p>
    <w:p>
      <w:pPr>
        <w:numPr>
          <w:ilvl w:val="0"/>
          <w:numId w:val="17"/>
        </w:numPr>
        <w:tabs>
          <w:tab w:val="left" w:pos="1134"/>
        </w:tabs>
        <w:spacing w:after="200"/>
        <w:ind w:left="0" w:firstLine="546"/>
        <w:rPr>
          <w:rFonts w:hint="eastAsia" w:ascii="宋体" w:hAnsi="宋体" w:eastAsia="宋体" w:cs="Times New Roman"/>
          <w:b w:val="0"/>
          <w:bCs w:val="0"/>
          <w:color w:val="auto"/>
          <w:kern w:val="2"/>
          <w:sz w:val="28"/>
          <w:szCs w:val="28"/>
          <w:lang w:val="en-US" w:eastAsia="zh-CN" w:bidi="ar-SA"/>
        </w:rPr>
      </w:pPr>
      <w:r>
        <w:rPr>
          <w:rFonts w:hint="eastAsia" w:ascii="宋体" w:hAnsi="宋体" w:eastAsia="宋体" w:cs="Times New Roman"/>
          <w:b w:val="0"/>
          <w:bCs w:val="0"/>
          <w:color w:val="auto"/>
          <w:kern w:val="2"/>
          <w:sz w:val="28"/>
          <w:szCs w:val="28"/>
          <w:lang w:val="en-US" w:eastAsia="zh-CN" w:bidi="ar-SA"/>
        </w:rPr>
        <w:t>投标人基本情况表；</w:t>
      </w:r>
    </w:p>
    <w:p>
      <w:pPr>
        <w:numPr>
          <w:ilvl w:val="0"/>
          <w:numId w:val="17"/>
        </w:numPr>
        <w:tabs>
          <w:tab w:val="left" w:pos="1134"/>
          <w:tab w:val="left" w:pos="1418"/>
        </w:tabs>
        <w:spacing w:after="200"/>
        <w:ind w:left="0" w:firstLine="546"/>
        <w:rPr>
          <w:rFonts w:hint="eastAsia" w:ascii="宋体" w:hAnsi="宋体" w:eastAsia="宋体" w:cs="Times New Roman"/>
          <w:b w:val="0"/>
          <w:bCs w:val="0"/>
          <w:color w:val="auto"/>
          <w:kern w:val="2"/>
          <w:sz w:val="28"/>
          <w:szCs w:val="28"/>
          <w:lang w:val="en-US" w:eastAsia="zh-CN" w:bidi="ar-SA"/>
        </w:rPr>
      </w:pPr>
      <w:r>
        <w:rPr>
          <w:rFonts w:hint="eastAsia" w:ascii="宋体" w:hAnsi="宋体" w:eastAsia="宋体" w:cs="Times New Roman"/>
          <w:b w:val="0"/>
          <w:bCs w:val="0"/>
          <w:color w:val="auto"/>
          <w:kern w:val="2"/>
          <w:sz w:val="28"/>
          <w:szCs w:val="28"/>
          <w:lang w:val="en-US" w:eastAsia="zh-CN" w:bidi="ar-SA"/>
        </w:rPr>
        <w:t>服务方案及服务承诺；</w:t>
      </w:r>
    </w:p>
    <w:p>
      <w:pPr>
        <w:numPr>
          <w:ilvl w:val="0"/>
          <w:numId w:val="17"/>
        </w:numPr>
        <w:tabs>
          <w:tab w:val="left" w:pos="1134"/>
          <w:tab w:val="left" w:pos="1418"/>
        </w:tabs>
        <w:spacing w:after="200"/>
        <w:ind w:left="0" w:firstLine="546"/>
        <w:rPr>
          <w:rFonts w:hint="eastAsia" w:ascii="宋体" w:hAnsi="宋体" w:eastAsia="宋体" w:cs="Times New Roman"/>
          <w:b w:val="0"/>
          <w:bCs w:val="0"/>
          <w:color w:val="auto"/>
          <w:kern w:val="2"/>
          <w:sz w:val="28"/>
          <w:szCs w:val="28"/>
          <w:lang w:val="en-US" w:eastAsia="zh-CN" w:bidi="ar-SA"/>
        </w:rPr>
      </w:pPr>
      <w:r>
        <w:rPr>
          <w:rFonts w:hint="eastAsia" w:ascii="宋体" w:hAnsi="宋体" w:eastAsia="宋体" w:cs="Times New Roman"/>
          <w:b w:val="0"/>
          <w:bCs w:val="0"/>
          <w:color w:val="auto"/>
          <w:kern w:val="2"/>
          <w:sz w:val="28"/>
          <w:szCs w:val="28"/>
          <w:lang w:val="en-US" w:eastAsia="zh-CN" w:bidi="ar-SA"/>
        </w:rPr>
        <w:t>承诺函。</w:t>
      </w:r>
    </w:p>
    <w:p>
      <w:pPr>
        <w:pStyle w:val="6"/>
        <w:numPr>
          <w:ilvl w:val="3"/>
          <w:numId w:val="4"/>
        </w:numPr>
        <w:spacing w:line="560" w:lineRule="exact"/>
        <w:rPr>
          <w:rFonts w:hint="eastAsia" w:ascii="宋体" w:hAnsi="宋体" w:eastAsia="宋体" w:cs="Times New Roman"/>
          <w:b w:val="0"/>
          <w:bCs w:val="0"/>
          <w:color w:val="auto"/>
          <w:kern w:val="2"/>
          <w:sz w:val="28"/>
          <w:szCs w:val="28"/>
          <w:lang w:val="en-US" w:eastAsia="zh-CN" w:bidi="ar-SA"/>
        </w:rPr>
      </w:pPr>
      <w:r>
        <w:rPr>
          <w:rFonts w:hint="eastAsia" w:ascii="宋体" w:hAnsi="宋体" w:eastAsia="宋体" w:cs="Times New Roman"/>
          <w:b w:val="0"/>
          <w:bCs w:val="0"/>
          <w:color w:val="auto"/>
          <w:kern w:val="2"/>
          <w:sz w:val="28"/>
          <w:szCs w:val="28"/>
          <w:lang w:val="en-US" w:eastAsia="zh-CN" w:bidi="ar-SA"/>
        </w:rPr>
        <w:t>报价要求响应文件</w:t>
      </w:r>
    </w:p>
    <w:p>
      <w:pPr>
        <w:tabs>
          <w:tab w:val="left" w:pos="1134"/>
          <w:tab w:val="left" w:pos="1418"/>
        </w:tabs>
        <w:spacing w:after="200"/>
        <w:ind w:firstLine="551" w:firstLineChars="196"/>
        <w:rPr>
          <w:rFonts w:hint="eastAsia" w:ascii="宋体" w:hAnsi="宋体" w:eastAsia="宋体" w:cs="Times New Roman"/>
          <w:b w:val="0"/>
          <w:bCs w:val="0"/>
          <w:color w:val="auto"/>
          <w:kern w:val="2"/>
          <w:sz w:val="28"/>
          <w:szCs w:val="28"/>
          <w:lang w:val="en-US" w:eastAsia="zh-CN" w:bidi="ar-SA"/>
        </w:rPr>
      </w:pPr>
      <w:r>
        <w:rPr>
          <w:rFonts w:hint="eastAsia" w:ascii="宋体" w:hAnsi="宋体" w:eastAsia="宋体" w:cs="Times New Roman"/>
          <w:b w:val="0"/>
          <w:bCs w:val="0"/>
          <w:color w:val="auto"/>
          <w:kern w:val="2"/>
          <w:sz w:val="28"/>
          <w:szCs w:val="28"/>
          <w:lang w:val="en-US" w:eastAsia="zh-CN" w:bidi="ar-SA"/>
        </w:rPr>
        <w:t>一、开标一览表；</w:t>
      </w:r>
    </w:p>
    <w:p>
      <w:pPr>
        <w:tabs>
          <w:tab w:val="left" w:pos="1134"/>
          <w:tab w:val="left" w:pos="1418"/>
        </w:tabs>
        <w:spacing w:after="200"/>
        <w:ind w:firstLine="551" w:firstLineChars="196"/>
        <w:rPr>
          <w:rFonts w:hint="eastAsia" w:ascii="宋体" w:hAnsi="宋体" w:eastAsia="宋体" w:cs="Times New Roman"/>
          <w:b w:val="0"/>
          <w:bCs w:val="0"/>
          <w:color w:val="auto"/>
          <w:kern w:val="2"/>
          <w:sz w:val="28"/>
          <w:szCs w:val="28"/>
          <w:lang w:val="en-US" w:eastAsia="zh-CN" w:bidi="ar-SA"/>
        </w:rPr>
      </w:pPr>
      <w:r>
        <w:rPr>
          <w:rFonts w:hint="eastAsia" w:ascii="宋体" w:hAnsi="宋体" w:eastAsia="宋体" w:cs="Times New Roman"/>
          <w:b w:val="0"/>
          <w:bCs w:val="0"/>
          <w:color w:val="auto"/>
          <w:kern w:val="2"/>
          <w:sz w:val="28"/>
          <w:szCs w:val="28"/>
          <w:lang w:val="en-US" w:eastAsia="zh-CN" w:bidi="ar-SA"/>
        </w:rPr>
        <w:t>二、分项报价明细表。</w:t>
      </w:r>
    </w:p>
    <w:p>
      <w:pPr>
        <w:pStyle w:val="5"/>
        <w:numPr>
          <w:ilvl w:val="2"/>
          <w:numId w:val="4"/>
        </w:numPr>
        <w:spacing w:after="200" w:line="240" w:lineRule="auto"/>
        <w:ind w:left="0" w:firstLine="0"/>
        <w:rPr>
          <w:color w:val="auto"/>
        </w:rPr>
      </w:pPr>
      <w:bookmarkStart w:id="76" w:name="_Toc316291396"/>
      <w:bookmarkEnd w:id="76"/>
      <w:bookmarkStart w:id="77" w:name="_Toc316291395"/>
      <w:bookmarkEnd w:id="77"/>
      <w:bookmarkStart w:id="78" w:name="_Toc316292020"/>
      <w:bookmarkEnd w:id="78"/>
      <w:bookmarkStart w:id="79" w:name="_Toc316292019"/>
      <w:bookmarkEnd w:id="79"/>
      <w:bookmarkStart w:id="80" w:name="_Toc183582218"/>
      <w:bookmarkStart w:id="81" w:name="_Toc217446049"/>
      <w:bookmarkStart w:id="82" w:name="_Toc183682355"/>
      <w:r>
        <w:rPr>
          <w:rFonts w:hint="eastAsia"/>
          <w:color w:val="auto"/>
        </w:rPr>
        <w:t>投标文件格式</w:t>
      </w:r>
      <w:bookmarkEnd w:id="80"/>
      <w:bookmarkEnd w:id="81"/>
      <w:bookmarkEnd w:id="82"/>
      <w:r>
        <w:rPr>
          <w:rFonts w:hint="eastAsia"/>
          <w:color w:val="auto"/>
        </w:rPr>
        <w:tab/>
      </w:r>
    </w:p>
    <w:p>
      <w:pPr>
        <w:numPr>
          <w:ilvl w:val="0"/>
          <w:numId w:val="18"/>
        </w:numPr>
        <w:tabs>
          <w:tab w:val="left" w:pos="1134"/>
        </w:tabs>
        <w:spacing w:after="200"/>
        <w:ind w:left="0" w:firstLine="567"/>
        <w:rPr>
          <w:rFonts w:ascii="宋体" w:hAnsi="宋体"/>
          <w:color w:val="auto"/>
          <w:sz w:val="28"/>
          <w:szCs w:val="28"/>
        </w:rPr>
      </w:pPr>
      <w:r>
        <w:rPr>
          <w:rFonts w:hint="eastAsia" w:ascii="宋体" w:hAnsi="宋体"/>
          <w:color w:val="auto"/>
          <w:sz w:val="28"/>
          <w:szCs w:val="28"/>
        </w:rPr>
        <w:t>投标人应按照招标文件第3章中提供的“投标文件格式”填写相关内容。</w:t>
      </w:r>
    </w:p>
    <w:p>
      <w:pPr>
        <w:numPr>
          <w:ilvl w:val="0"/>
          <w:numId w:val="18"/>
        </w:numPr>
        <w:tabs>
          <w:tab w:val="left" w:pos="1134"/>
        </w:tabs>
        <w:spacing w:after="200"/>
        <w:ind w:left="0" w:firstLine="567"/>
        <w:rPr>
          <w:rFonts w:ascii="宋体" w:hAnsi="宋体"/>
          <w:color w:val="auto"/>
          <w:sz w:val="28"/>
          <w:szCs w:val="28"/>
        </w:rPr>
      </w:pPr>
      <w:r>
        <w:rPr>
          <w:rFonts w:hint="eastAsia" w:ascii="宋体" w:hAnsi="宋体"/>
          <w:color w:val="auto"/>
          <w:sz w:val="28"/>
          <w:szCs w:val="28"/>
        </w:rPr>
        <w:t>对于没有格式要求的投标文件由投标人自行编写。</w:t>
      </w:r>
    </w:p>
    <w:p>
      <w:pPr>
        <w:pStyle w:val="5"/>
        <w:numPr>
          <w:ilvl w:val="2"/>
          <w:numId w:val="4"/>
        </w:numPr>
        <w:spacing w:after="200" w:line="240" w:lineRule="auto"/>
        <w:ind w:left="0" w:firstLine="0"/>
        <w:rPr>
          <w:color w:val="auto"/>
        </w:rPr>
      </w:pPr>
      <w:bookmarkStart w:id="83" w:name="_Toc183582223"/>
      <w:bookmarkStart w:id="84" w:name="_Toc217446050"/>
      <w:bookmarkStart w:id="85" w:name="_Toc183682360"/>
      <w:r>
        <w:rPr>
          <w:rFonts w:hint="eastAsia"/>
          <w:color w:val="auto"/>
        </w:rPr>
        <w:t>投标报价</w:t>
      </w:r>
    </w:p>
    <w:p>
      <w:pPr>
        <w:numPr>
          <w:ilvl w:val="0"/>
          <w:numId w:val="19"/>
        </w:numPr>
        <w:tabs>
          <w:tab w:val="left" w:pos="1134"/>
        </w:tabs>
        <w:spacing w:line="360" w:lineRule="auto"/>
        <w:ind w:left="0" w:firstLine="560"/>
        <w:rPr>
          <w:rFonts w:ascii="宋体" w:hAnsi="宋体"/>
          <w:color w:val="auto"/>
          <w:sz w:val="28"/>
          <w:szCs w:val="28"/>
        </w:rPr>
      </w:pPr>
      <w:r>
        <w:rPr>
          <w:rFonts w:hint="eastAsia" w:ascii="宋体" w:hAnsi="宋体"/>
          <w:color w:val="auto"/>
          <w:sz w:val="28"/>
          <w:szCs w:val="28"/>
        </w:rPr>
        <w:t>投标人的报价是投标人响应招标项目要求的全部工作内容的价格体现，包括投标人完成本项目所需的一切费用。</w:t>
      </w:r>
    </w:p>
    <w:p>
      <w:pPr>
        <w:numPr>
          <w:ilvl w:val="0"/>
          <w:numId w:val="19"/>
        </w:numPr>
        <w:tabs>
          <w:tab w:val="left" w:pos="1134"/>
        </w:tabs>
        <w:spacing w:line="360" w:lineRule="auto"/>
        <w:ind w:left="0" w:firstLine="560"/>
        <w:rPr>
          <w:rFonts w:ascii="宋体" w:hAnsi="宋体"/>
          <w:color w:val="auto"/>
          <w:sz w:val="28"/>
          <w:szCs w:val="28"/>
        </w:rPr>
      </w:pPr>
      <w:r>
        <w:rPr>
          <w:rFonts w:hint="eastAsia" w:ascii="宋体" w:hAnsi="宋体"/>
          <w:color w:val="auto"/>
          <w:sz w:val="28"/>
          <w:szCs w:val="28"/>
        </w:rPr>
        <w:t>投标人每种货物及服务内容只允许有一个报价，并且在合同履行过程中是固定不变的，任何有选择或可调整的报价将不予接受，并按无效投标处理。</w:t>
      </w:r>
    </w:p>
    <w:p>
      <w:pPr>
        <w:tabs>
          <w:tab w:val="left" w:pos="1134"/>
        </w:tabs>
        <w:spacing w:line="360" w:lineRule="auto"/>
        <w:ind w:firstLine="569" w:firstLineChars="202"/>
        <w:rPr>
          <w:rFonts w:ascii="宋体" w:hAnsi="宋体"/>
          <w:color w:val="auto"/>
          <w:sz w:val="28"/>
          <w:szCs w:val="28"/>
        </w:rPr>
      </w:pPr>
      <w:r>
        <w:rPr>
          <w:rFonts w:hint="eastAsia" w:ascii="宋体" w:hAnsi="宋体"/>
          <w:color w:val="auto"/>
          <w:sz w:val="28"/>
          <w:szCs w:val="28"/>
        </w:rPr>
        <w:t>三、投标文件报价出现前后不一致的，按照下列规定修正：（1）大写金额和小写金额不一致的，以大写金额为准，但大写金额出现文字错误，导致金额无法判断的除外；（</w:t>
      </w:r>
      <w:r>
        <w:rPr>
          <w:rFonts w:ascii="宋体" w:hAnsi="宋体"/>
          <w:color w:val="auto"/>
          <w:sz w:val="28"/>
          <w:szCs w:val="28"/>
        </w:rPr>
        <w:t>2</w:t>
      </w:r>
      <w:r>
        <w:rPr>
          <w:rFonts w:hint="eastAsia" w:ascii="宋体" w:hAnsi="宋体"/>
          <w:color w:val="auto"/>
          <w:sz w:val="28"/>
          <w:szCs w:val="28"/>
        </w:rPr>
        <w:t>）单价金额小数点或者百分比有明显错位的，应以总价为准，并修改单价；（</w:t>
      </w:r>
      <w:r>
        <w:rPr>
          <w:rFonts w:ascii="宋体" w:hAnsi="宋体"/>
          <w:color w:val="auto"/>
          <w:sz w:val="28"/>
          <w:szCs w:val="28"/>
        </w:rPr>
        <w:t>3</w:t>
      </w:r>
      <w:r>
        <w:rPr>
          <w:rFonts w:hint="eastAsia" w:ascii="宋体" w:hAnsi="宋体"/>
          <w:color w:val="auto"/>
          <w:sz w:val="28"/>
          <w:szCs w:val="28"/>
        </w:rPr>
        <w:t>）总价金额与按单价汇总金额不一致的，以单价金额计算结果为准。</w:t>
      </w:r>
    </w:p>
    <w:p>
      <w:pPr>
        <w:tabs>
          <w:tab w:val="left" w:pos="1134"/>
        </w:tabs>
        <w:spacing w:line="360" w:lineRule="auto"/>
        <w:ind w:firstLine="569" w:firstLineChars="202"/>
        <w:rPr>
          <w:rFonts w:ascii="宋体" w:hAnsi="宋体"/>
          <w:color w:val="auto"/>
          <w:sz w:val="28"/>
          <w:szCs w:val="28"/>
        </w:rPr>
      </w:pPr>
      <w:r>
        <w:rPr>
          <w:rFonts w:hint="eastAsia" w:cs="Arial"/>
          <w:color w:val="auto"/>
          <w:sz w:val="28"/>
          <w:szCs w:val="28"/>
        </w:rPr>
        <w:t>同时出现两种以上不一致的，按照前款规定的顺序修正。修正后的报价经投标人以书面形式通过政府采购云平台进行确认，并加盖投标人（法定名称）电子签章，投标人逾时确认的，其投标无效。</w:t>
      </w:r>
      <w:r>
        <w:rPr>
          <w:rFonts w:hint="eastAsia" w:ascii="宋体" w:hAnsi="宋体"/>
          <w:color w:val="auto"/>
          <w:sz w:val="28"/>
          <w:szCs w:val="28"/>
        </w:rPr>
        <w:t>如因断电、断网、系统故障或其他不可抗力等因素</w:t>
      </w:r>
      <w:r>
        <w:rPr>
          <w:rFonts w:hint="eastAsia" w:cs="Arial"/>
          <w:color w:val="auto"/>
          <w:sz w:val="28"/>
          <w:szCs w:val="28"/>
        </w:rPr>
        <w:t>，导致系统无法使用的，由投标人按评标委员会的要求进行澄清或者说明。</w:t>
      </w:r>
    </w:p>
    <w:p>
      <w:pPr>
        <w:pStyle w:val="5"/>
        <w:numPr>
          <w:ilvl w:val="2"/>
          <w:numId w:val="4"/>
        </w:numPr>
        <w:spacing w:after="200" w:line="240" w:lineRule="auto"/>
        <w:ind w:left="0" w:firstLine="0"/>
        <w:rPr>
          <w:color w:val="auto"/>
        </w:rPr>
      </w:pPr>
      <w:r>
        <w:rPr>
          <w:rFonts w:hint="eastAsia"/>
          <w:color w:val="auto"/>
        </w:rPr>
        <w:t>投标保证金</w:t>
      </w:r>
      <w:bookmarkEnd w:id="83"/>
      <w:bookmarkEnd w:id="84"/>
      <w:bookmarkEnd w:id="85"/>
    </w:p>
    <w:p>
      <w:pPr>
        <w:ind w:firstLine="564" w:firstLineChars="200"/>
        <w:rPr>
          <w:rFonts w:ascii="宋体" w:hAnsi="宋体"/>
          <w:color w:val="auto"/>
          <w:sz w:val="28"/>
          <w:szCs w:val="28"/>
        </w:rPr>
      </w:pPr>
      <w:r>
        <w:rPr>
          <w:rFonts w:hint="eastAsia" w:ascii="宋体" w:hAnsi="宋体"/>
          <w:color w:val="auto"/>
          <w:sz w:val="28"/>
          <w:szCs w:val="28"/>
        </w:rPr>
        <w:t>本项目不收取投标保证金。</w:t>
      </w:r>
    </w:p>
    <w:p>
      <w:pPr>
        <w:pStyle w:val="5"/>
        <w:numPr>
          <w:ilvl w:val="2"/>
          <w:numId w:val="4"/>
        </w:numPr>
        <w:tabs>
          <w:tab w:val="left" w:pos="851"/>
        </w:tabs>
        <w:spacing w:after="200" w:line="240" w:lineRule="auto"/>
        <w:ind w:left="0" w:firstLine="0"/>
        <w:rPr>
          <w:color w:val="auto"/>
        </w:rPr>
      </w:pPr>
      <w:bookmarkStart w:id="86" w:name="_Toc316291400"/>
      <w:bookmarkEnd w:id="86"/>
      <w:bookmarkStart w:id="87" w:name="_Toc316292024"/>
      <w:bookmarkEnd w:id="87"/>
      <w:bookmarkStart w:id="88" w:name="_Toc217446051"/>
      <w:bookmarkStart w:id="89" w:name="_Toc183582224"/>
      <w:bookmarkStart w:id="90" w:name="_Toc183682361"/>
      <w:r>
        <w:rPr>
          <w:rFonts w:hint="eastAsia"/>
          <w:color w:val="auto"/>
        </w:rPr>
        <w:t>投标有效期</w:t>
      </w:r>
      <w:bookmarkEnd w:id="88"/>
      <w:bookmarkEnd w:id="89"/>
      <w:bookmarkEnd w:id="90"/>
    </w:p>
    <w:p>
      <w:pPr>
        <w:numPr>
          <w:ilvl w:val="0"/>
          <w:numId w:val="20"/>
        </w:numPr>
        <w:tabs>
          <w:tab w:val="left" w:pos="1134"/>
        </w:tabs>
        <w:spacing w:after="200"/>
        <w:ind w:left="0" w:firstLine="567"/>
        <w:rPr>
          <w:rFonts w:ascii="宋体" w:hAnsi="宋体"/>
          <w:color w:val="auto"/>
          <w:sz w:val="28"/>
          <w:szCs w:val="28"/>
        </w:rPr>
      </w:pPr>
      <w:r>
        <w:rPr>
          <w:rFonts w:hint="eastAsia" w:ascii="宋体" w:hAnsi="宋体"/>
          <w:color w:val="auto"/>
          <w:sz w:val="28"/>
          <w:szCs w:val="28"/>
        </w:rPr>
        <w:t>投标有效期为</w:t>
      </w:r>
      <w:r>
        <w:rPr>
          <w:rFonts w:hint="eastAsia" w:ascii="Helvetica" w:hAnsi="Helvetica" w:cs="Helvetica"/>
          <w:color w:val="auto"/>
          <w:sz w:val="28"/>
          <w:szCs w:val="28"/>
        </w:rPr>
        <w:t>提交投标文件的截止之日起</w:t>
      </w:r>
      <w:r>
        <w:rPr>
          <w:rFonts w:hint="eastAsia" w:ascii="宋体" w:hAnsi="宋体"/>
          <w:color w:val="auto"/>
          <w:sz w:val="28"/>
          <w:szCs w:val="28"/>
          <w:u w:val="single"/>
        </w:rPr>
        <w:t>120</w:t>
      </w:r>
      <w:r>
        <w:rPr>
          <w:rFonts w:hint="eastAsia" w:ascii="宋体" w:hAnsi="宋体"/>
          <w:color w:val="auto"/>
          <w:sz w:val="28"/>
          <w:szCs w:val="28"/>
        </w:rPr>
        <w:t>天。投标有效期短于此规定期限的或不作响应的，则其投标文件将按无效投标文件处理。</w:t>
      </w:r>
    </w:p>
    <w:p>
      <w:pPr>
        <w:numPr>
          <w:ilvl w:val="0"/>
          <w:numId w:val="20"/>
        </w:numPr>
        <w:tabs>
          <w:tab w:val="left" w:pos="1134"/>
        </w:tabs>
        <w:spacing w:after="200"/>
        <w:ind w:left="0" w:firstLine="567"/>
        <w:rPr>
          <w:rFonts w:ascii="宋体" w:hAnsi="宋体"/>
          <w:color w:val="auto"/>
          <w:sz w:val="28"/>
          <w:szCs w:val="28"/>
        </w:rPr>
      </w:pPr>
      <w:bookmarkStart w:id="91" w:name="_Toc183582225"/>
      <w:bookmarkStart w:id="92" w:name="_Toc217446052"/>
      <w:bookmarkStart w:id="93" w:name="_Toc183682362"/>
      <w:r>
        <w:rPr>
          <w:rFonts w:hint="eastAsia" w:ascii="宋体" w:hAnsi="宋体"/>
          <w:color w:val="auto"/>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5"/>
        <w:numPr>
          <w:ilvl w:val="2"/>
          <w:numId w:val="4"/>
        </w:numPr>
        <w:tabs>
          <w:tab w:val="left" w:pos="851"/>
        </w:tabs>
        <w:spacing w:after="200" w:line="240" w:lineRule="auto"/>
        <w:ind w:left="0" w:firstLine="0"/>
        <w:rPr>
          <w:color w:val="auto"/>
        </w:rPr>
      </w:pPr>
      <w:r>
        <w:rPr>
          <w:rFonts w:hint="eastAsia"/>
          <w:color w:val="auto"/>
        </w:rPr>
        <w:t>投标文件的制作和签章、加密</w:t>
      </w:r>
      <w:bookmarkEnd w:id="91"/>
      <w:bookmarkEnd w:id="92"/>
      <w:bookmarkEnd w:id="93"/>
      <w:bookmarkStart w:id="94" w:name="_Toc316475578"/>
      <w:bookmarkEnd w:id="94"/>
      <w:bookmarkStart w:id="95" w:name="_Toc316475581"/>
      <w:bookmarkEnd w:id="95"/>
      <w:bookmarkStart w:id="96" w:name="_Toc316475579"/>
      <w:bookmarkEnd w:id="96"/>
      <w:bookmarkStart w:id="97" w:name="_Toc316475577"/>
      <w:bookmarkEnd w:id="97"/>
      <w:bookmarkStart w:id="98" w:name="_Toc316475580"/>
      <w:bookmarkEnd w:id="98"/>
      <w:bookmarkStart w:id="99" w:name="_Toc316475583"/>
      <w:bookmarkEnd w:id="99"/>
      <w:bookmarkStart w:id="100" w:name="_Toc316475582"/>
      <w:bookmarkEnd w:id="100"/>
      <w:bookmarkStart w:id="101" w:name="_Toc183682364"/>
      <w:bookmarkStart w:id="102" w:name="_Toc183582227"/>
      <w:bookmarkStart w:id="103" w:name="_Toc217446054"/>
    </w:p>
    <w:p>
      <w:pPr>
        <w:spacing w:line="360" w:lineRule="auto"/>
        <w:ind w:firstLine="564" w:firstLineChars="200"/>
        <w:rPr>
          <w:rFonts w:ascii="宋体" w:hAnsi="宋体"/>
          <w:color w:val="auto"/>
          <w:sz w:val="28"/>
          <w:szCs w:val="28"/>
        </w:rPr>
      </w:pPr>
      <w:r>
        <w:rPr>
          <w:rFonts w:hint="eastAsia" w:ascii="宋体" w:hAnsi="宋体"/>
          <w:color w:val="auto"/>
          <w:sz w:val="28"/>
          <w:szCs w:val="28"/>
        </w:rPr>
        <w:t>一、投标文件应根据招标文件的要求进行制作。（说明：1、招标文件中要求提供复印件证明材料的，包含提供原件的影印件或复印件。2、要求提供复印件的证明材料须清晰可辨。）</w:t>
      </w:r>
    </w:p>
    <w:p>
      <w:pPr>
        <w:spacing w:line="360" w:lineRule="auto"/>
        <w:ind w:firstLine="564" w:firstLineChars="200"/>
        <w:rPr>
          <w:rFonts w:ascii="宋体" w:hAnsi="宋体"/>
          <w:color w:val="auto"/>
          <w:sz w:val="28"/>
          <w:szCs w:val="28"/>
        </w:rPr>
      </w:pPr>
      <w:r>
        <w:rPr>
          <w:rFonts w:hint="eastAsia" w:ascii="宋体" w:hAnsi="宋体"/>
          <w:color w:val="auto"/>
          <w:sz w:val="28"/>
          <w:szCs w:val="28"/>
        </w:rPr>
        <w:t>二、投标文件制作详情：</w:t>
      </w:r>
    </w:p>
    <w:p>
      <w:pPr>
        <w:spacing w:line="360" w:lineRule="auto"/>
        <w:ind w:firstLine="564" w:firstLineChars="200"/>
        <w:rPr>
          <w:rFonts w:ascii="宋体" w:hAnsi="宋体"/>
          <w:color w:val="auto"/>
          <w:sz w:val="28"/>
          <w:szCs w:val="28"/>
        </w:rPr>
      </w:pPr>
      <w:r>
        <w:rPr>
          <w:rFonts w:hint="eastAsia" w:ascii="宋体" w:hAnsi="宋体"/>
          <w:color w:val="auto"/>
          <w:sz w:val="28"/>
          <w:szCs w:val="28"/>
        </w:rPr>
        <w:t>1、本项目实行电子投标。投标人应先安装“政采云投标客户端”（下载地址1：前往</w:t>
      </w:r>
      <w:r>
        <w:rPr>
          <w:rFonts w:hint="eastAsia" w:ascii="宋体" w:hAnsi="宋体"/>
          <w:color w:val="auto"/>
          <w:sz w:val="28"/>
          <w:szCs w:val="28"/>
          <w:lang w:eastAsia="zh-CN"/>
        </w:rPr>
        <w:t>成都市公共资源交易服务中心</w:t>
      </w:r>
      <w:r>
        <w:rPr>
          <w:rFonts w:hint="eastAsia" w:ascii="宋体" w:hAnsi="宋体"/>
          <w:color w:val="auto"/>
          <w:sz w:val="28"/>
          <w:szCs w:val="28"/>
        </w:rPr>
        <w:t>门户网站—业务办理—下载专区—政府采购下载专区下载“政采云投标客户端”；下载地址2：政府采购云平台—CA管理—绑定CA—下载驱动—“政采云投标客户端”立即下载）。投标人应按招标文件要求，通过“政采云投标客户端”制作、加密并提交投标文件。</w:t>
      </w:r>
    </w:p>
    <w:p>
      <w:pPr>
        <w:spacing w:line="360" w:lineRule="auto"/>
        <w:ind w:firstLine="564" w:firstLineChars="200"/>
        <w:rPr>
          <w:rFonts w:ascii="宋体" w:hAnsi="宋体"/>
          <w:color w:val="auto"/>
          <w:sz w:val="28"/>
          <w:szCs w:val="28"/>
        </w:rPr>
      </w:pPr>
      <w:r>
        <w:rPr>
          <w:rFonts w:hint="eastAsia" w:ascii="宋体" w:hAnsi="宋体"/>
          <w:color w:val="auto"/>
          <w:sz w:val="28"/>
          <w:szCs w:val="28"/>
        </w:rPr>
        <w:t>2、投标文件应加盖投标人（法定名称）电子签章，不得使用投标人专用章（如经济合同章、投标专用章等）或下属单位印章代替。</w:t>
      </w:r>
    </w:p>
    <w:p>
      <w:pPr>
        <w:spacing w:line="360" w:lineRule="auto"/>
        <w:ind w:firstLine="564" w:firstLineChars="200"/>
        <w:rPr>
          <w:rFonts w:ascii="宋体" w:hAnsi="宋体"/>
          <w:color w:val="auto"/>
          <w:sz w:val="28"/>
          <w:szCs w:val="28"/>
        </w:rPr>
      </w:pPr>
      <w:r>
        <w:rPr>
          <w:rFonts w:hint="eastAsia" w:ascii="宋体" w:hAnsi="宋体"/>
          <w:color w:val="auto"/>
          <w:sz w:val="28"/>
          <w:szCs w:val="28"/>
        </w:rPr>
        <w:t>3、投标人应使用本企业CA数字证书对投标文件进行加密。</w:t>
      </w:r>
    </w:p>
    <w:p>
      <w:pPr>
        <w:spacing w:line="360" w:lineRule="auto"/>
        <w:ind w:firstLine="564" w:firstLineChars="200"/>
        <w:rPr>
          <w:rFonts w:ascii="宋体" w:hAnsi="宋体"/>
          <w:color w:val="auto"/>
          <w:sz w:val="28"/>
          <w:szCs w:val="28"/>
        </w:rPr>
      </w:pPr>
      <w:r>
        <w:rPr>
          <w:rFonts w:hint="eastAsia" w:ascii="宋体" w:hAnsi="宋体"/>
          <w:color w:val="auto"/>
          <w:sz w:val="28"/>
          <w:szCs w:val="28"/>
        </w:rPr>
        <w:t>4、招标文件有修改的，投标人须重新下载修改后的招标文件（修改后的招标文件在更正公告中下载），根据修改后的招标文件制作、撤回修改，并递交投标文件。</w:t>
      </w:r>
    </w:p>
    <w:p>
      <w:pPr>
        <w:spacing w:line="360" w:lineRule="auto"/>
        <w:ind w:firstLine="564" w:firstLineChars="200"/>
        <w:rPr>
          <w:rFonts w:ascii="宋体" w:hAnsi="宋体"/>
          <w:color w:val="auto"/>
          <w:sz w:val="28"/>
          <w:szCs w:val="28"/>
        </w:rPr>
      </w:pPr>
      <w:r>
        <w:rPr>
          <w:rFonts w:hint="eastAsia" w:ascii="宋体" w:hAnsi="宋体"/>
          <w:color w:val="auto"/>
          <w:sz w:val="28"/>
          <w:szCs w:val="28"/>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5"/>
        <w:numPr>
          <w:ilvl w:val="2"/>
          <w:numId w:val="4"/>
        </w:numPr>
        <w:spacing w:after="200" w:line="240" w:lineRule="auto"/>
        <w:ind w:left="0" w:firstLine="0"/>
        <w:rPr>
          <w:color w:val="auto"/>
        </w:rPr>
      </w:pPr>
      <w:r>
        <w:rPr>
          <w:rFonts w:hint="eastAsia"/>
          <w:color w:val="auto"/>
        </w:rPr>
        <w:t>投标文件的</w:t>
      </w:r>
      <w:bookmarkEnd w:id="101"/>
      <w:bookmarkEnd w:id="102"/>
      <w:r>
        <w:rPr>
          <w:rFonts w:hint="eastAsia"/>
          <w:color w:val="auto"/>
        </w:rPr>
        <w:t>递交</w:t>
      </w:r>
      <w:bookmarkEnd w:id="103"/>
    </w:p>
    <w:p>
      <w:pPr>
        <w:tabs>
          <w:tab w:val="left" w:pos="0"/>
        </w:tabs>
        <w:spacing w:line="360" w:lineRule="auto"/>
        <w:ind w:firstLine="423" w:firstLineChars="150"/>
        <w:rPr>
          <w:rFonts w:ascii="宋体" w:hAnsi="宋体" w:eastAsiaTheme="minorEastAsia" w:cstheme="minorBidi"/>
          <w:bCs/>
          <w:color w:val="auto"/>
          <w:sz w:val="28"/>
          <w:szCs w:val="28"/>
        </w:rPr>
      </w:pPr>
      <w:r>
        <w:rPr>
          <w:rFonts w:hint="eastAsia" w:ascii="宋体" w:hAnsi="宋体" w:eastAsiaTheme="minorEastAsia" w:cstheme="minorBidi"/>
          <w:bCs/>
          <w:color w:val="auto"/>
          <w:sz w:val="28"/>
          <w:szCs w:val="28"/>
        </w:rPr>
        <w:t>一、投标人应当在投标文件递交截止时间前，将生成的已加密的电子投标文件成功递交至“政府采购云平台”。</w:t>
      </w:r>
    </w:p>
    <w:p>
      <w:pPr>
        <w:tabs>
          <w:tab w:val="left" w:pos="0"/>
        </w:tabs>
        <w:spacing w:line="360" w:lineRule="auto"/>
        <w:ind w:firstLine="423" w:firstLineChars="150"/>
        <w:rPr>
          <w:rFonts w:ascii="宋体" w:hAnsi="宋体" w:eastAsiaTheme="minorEastAsia" w:cstheme="minorBidi"/>
          <w:bCs/>
          <w:color w:val="auto"/>
          <w:sz w:val="28"/>
          <w:szCs w:val="28"/>
        </w:rPr>
      </w:pPr>
      <w:r>
        <w:rPr>
          <w:rFonts w:hint="eastAsia" w:ascii="宋体" w:hAnsi="宋体" w:eastAsiaTheme="minorEastAsia" w:cstheme="minorBidi"/>
          <w:bCs/>
          <w:color w:val="auto"/>
          <w:sz w:val="28"/>
          <w:szCs w:val="28"/>
        </w:rPr>
        <w:t>二、因招标文件的修改推迟投标截止日期的，投标人按市公资交易中心在“四川政府采购网”和“</w:t>
      </w:r>
      <w:r>
        <w:rPr>
          <w:rFonts w:hint="eastAsia" w:ascii="宋体" w:hAnsi="宋体" w:eastAsiaTheme="minorEastAsia" w:cstheme="minorBidi"/>
          <w:bCs/>
          <w:color w:val="auto"/>
          <w:sz w:val="28"/>
          <w:szCs w:val="28"/>
          <w:lang w:eastAsia="zh-CN"/>
        </w:rPr>
        <w:t>成都市公共资源交易服务中心</w:t>
      </w:r>
      <w:r>
        <w:rPr>
          <w:rFonts w:hint="eastAsia" w:ascii="宋体" w:hAnsi="宋体" w:eastAsiaTheme="minorEastAsia" w:cstheme="minorBidi"/>
          <w:bCs/>
          <w:color w:val="auto"/>
          <w:sz w:val="28"/>
          <w:szCs w:val="28"/>
        </w:rPr>
        <w:t>”网站上发布的澄清公告中修改的时间递交投标文件，同时通过“政府采购云平台”将澄清或者修改的内容告知所有在系统中成功获取招标文件的潜在投标人。</w:t>
      </w:r>
    </w:p>
    <w:p>
      <w:pPr>
        <w:tabs>
          <w:tab w:val="left" w:pos="0"/>
        </w:tabs>
        <w:spacing w:line="360" w:lineRule="auto"/>
        <w:ind w:firstLine="423" w:firstLineChars="150"/>
        <w:rPr>
          <w:rFonts w:ascii="宋体" w:hAnsi="宋体"/>
          <w:bCs/>
          <w:color w:val="auto"/>
          <w:sz w:val="28"/>
          <w:szCs w:val="28"/>
        </w:rPr>
      </w:pPr>
      <w:r>
        <w:rPr>
          <w:rFonts w:hint="eastAsia" w:ascii="宋体" w:hAnsi="宋体" w:eastAsiaTheme="minorEastAsia" w:cstheme="minorBidi"/>
          <w:bCs/>
          <w:color w:val="auto"/>
          <w:sz w:val="28"/>
          <w:szCs w:val="28"/>
        </w:rPr>
        <w:t>三、投标人应充分考虑递交文件的不可预见因素，未在投标截止时间前完成递交的，在投标截止时间后将无法递交</w:t>
      </w:r>
      <w:r>
        <w:rPr>
          <w:rFonts w:hint="eastAsia" w:ascii="宋体" w:hAnsi="宋体"/>
          <w:bCs/>
          <w:color w:val="auto"/>
          <w:sz w:val="28"/>
          <w:szCs w:val="28"/>
        </w:rPr>
        <w:t>。</w:t>
      </w:r>
    </w:p>
    <w:p>
      <w:pPr>
        <w:pStyle w:val="5"/>
        <w:numPr>
          <w:ilvl w:val="2"/>
          <w:numId w:val="4"/>
        </w:numPr>
        <w:spacing w:after="200" w:line="276" w:lineRule="auto"/>
        <w:ind w:left="0" w:firstLine="0"/>
        <w:rPr>
          <w:color w:val="auto"/>
        </w:rPr>
      </w:pPr>
      <w:r>
        <w:rPr>
          <w:rFonts w:hint="eastAsia"/>
          <w:color w:val="auto"/>
        </w:rPr>
        <w:t>投标文件的补充、修改</w:t>
      </w:r>
    </w:p>
    <w:p>
      <w:pPr>
        <w:numPr>
          <w:ilvl w:val="0"/>
          <w:numId w:val="21"/>
        </w:numPr>
        <w:spacing w:before="120" w:after="200" w:line="360" w:lineRule="auto"/>
        <w:ind w:left="0" w:firstLine="567"/>
        <w:rPr>
          <w:rFonts w:ascii="宋体" w:hAnsi="宋体"/>
          <w:color w:val="auto"/>
          <w:sz w:val="28"/>
          <w:szCs w:val="28"/>
        </w:rPr>
      </w:pPr>
      <w:r>
        <w:rPr>
          <w:rFonts w:hint="eastAsia" w:ascii="宋体" w:hAnsi="宋体"/>
          <w:color w:val="auto"/>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21"/>
        </w:numPr>
        <w:spacing w:before="120" w:after="200" w:line="360" w:lineRule="auto"/>
        <w:ind w:left="0" w:firstLine="567"/>
        <w:rPr>
          <w:rFonts w:ascii="宋体" w:hAnsi="宋体"/>
          <w:color w:val="auto"/>
          <w:sz w:val="28"/>
          <w:szCs w:val="28"/>
        </w:rPr>
      </w:pPr>
      <w:r>
        <w:rPr>
          <w:rFonts w:hint="eastAsia" w:ascii="宋体" w:hAnsi="宋体"/>
          <w:color w:val="auto"/>
          <w:sz w:val="28"/>
          <w:szCs w:val="28"/>
        </w:rPr>
        <w:t>在投标截止时间之后，投标人不得对其递交的投标文件做任何补充、修改。</w:t>
      </w:r>
    </w:p>
    <w:p>
      <w:pPr>
        <w:pStyle w:val="5"/>
        <w:numPr>
          <w:ilvl w:val="2"/>
          <w:numId w:val="4"/>
        </w:numPr>
        <w:spacing w:after="200"/>
        <w:ind w:left="851"/>
        <w:rPr>
          <w:color w:val="auto"/>
        </w:rPr>
      </w:pPr>
      <w:r>
        <w:rPr>
          <w:rFonts w:hint="eastAsia"/>
          <w:color w:val="auto"/>
        </w:rPr>
        <w:t>投标文件的撤回</w:t>
      </w:r>
    </w:p>
    <w:p>
      <w:pPr>
        <w:numPr>
          <w:ilvl w:val="0"/>
          <w:numId w:val="22"/>
        </w:numPr>
        <w:spacing w:before="120" w:after="200" w:line="360" w:lineRule="auto"/>
        <w:ind w:left="0" w:firstLine="567"/>
        <w:rPr>
          <w:rFonts w:ascii="宋体" w:hAnsi="宋体"/>
          <w:bCs/>
          <w:color w:val="auto"/>
          <w:sz w:val="28"/>
          <w:szCs w:val="28"/>
        </w:rPr>
      </w:pPr>
      <w:r>
        <w:rPr>
          <w:rFonts w:hint="eastAsia" w:ascii="宋体" w:hAnsi="宋体"/>
          <w:bCs/>
          <w:color w:val="auto"/>
          <w:sz w:val="28"/>
          <w:szCs w:val="28"/>
        </w:rPr>
        <w:t>在投标截止时间之前，投标人可对已递交的投标文件进行撤回。在投标截止时间之后，投标人不得撤回投标文件。</w:t>
      </w:r>
    </w:p>
    <w:p>
      <w:pPr>
        <w:pStyle w:val="5"/>
        <w:numPr>
          <w:ilvl w:val="2"/>
          <w:numId w:val="4"/>
        </w:numPr>
        <w:spacing w:after="200" w:line="240" w:lineRule="auto"/>
        <w:ind w:left="851"/>
        <w:rPr>
          <w:color w:val="auto"/>
        </w:rPr>
      </w:pPr>
      <w:r>
        <w:rPr>
          <w:rFonts w:hint="eastAsia"/>
          <w:color w:val="auto"/>
        </w:rPr>
        <w:t>投标文件的解密</w:t>
      </w:r>
    </w:p>
    <w:p>
      <w:pPr>
        <w:tabs>
          <w:tab w:val="left" w:pos="1134"/>
        </w:tabs>
        <w:spacing w:before="120" w:line="360" w:lineRule="auto"/>
        <w:ind w:firstLine="569" w:firstLineChars="202"/>
        <w:rPr>
          <w:rFonts w:ascii="宋体" w:hAnsi="宋体"/>
          <w:bCs/>
          <w:color w:val="auto"/>
          <w:sz w:val="28"/>
          <w:szCs w:val="28"/>
        </w:rPr>
      </w:pPr>
      <w:r>
        <w:rPr>
          <w:rFonts w:hint="eastAsia" w:ascii="宋体" w:hAnsi="宋体"/>
          <w:bCs/>
          <w:color w:val="auto"/>
          <w:sz w:val="28"/>
          <w:szCs w:val="28"/>
        </w:rPr>
        <w:t>投标人</w:t>
      </w:r>
      <w:r>
        <w:rPr>
          <w:rFonts w:hint="eastAsia" w:ascii="宋体" w:hAnsi="宋体"/>
          <w:color w:val="auto"/>
          <w:sz w:val="28"/>
          <w:szCs w:val="28"/>
        </w:rPr>
        <w:t>登录政府采购云平台，点击“项目采购—开标评标”模块，找到对应项目，进入“开标大厅”，等待市公资交易中心开启解密后，进行线上解密。</w:t>
      </w:r>
      <w:r>
        <w:rPr>
          <w:rFonts w:hint="eastAsia" w:ascii="宋体" w:hAnsi="宋体"/>
          <w:bCs/>
          <w:color w:val="auto"/>
          <w:sz w:val="28"/>
          <w:szCs w:val="28"/>
        </w:rPr>
        <w:t>除因</w:t>
      </w:r>
      <w:r>
        <w:rPr>
          <w:rFonts w:hint="eastAsia" w:ascii="宋体" w:hAnsi="宋体"/>
          <w:color w:val="auto"/>
          <w:sz w:val="28"/>
          <w:szCs w:val="28"/>
        </w:rPr>
        <w:t>市公资交易中心</w:t>
      </w:r>
      <w:r>
        <w:rPr>
          <w:rFonts w:hint="eastAsia" w:ascii="宋体" w:hAnsi="宋体"/>
          <w:bCs/>
          <w:color w:val="auto"/>
          <w:sz w:val="28"/>
          <w:szCs w:val="28"/>
        </w:rPr>
        <w:t>断电、断网、系统故障或其他不可抗力等因素，导致系统无法使用外，投标人在规定的解密时间内，未成功解密的投标文件将视为无效投标文件。</w:t>
      </w:r>
    </w:p>
    <w:p>
      <w:pPr>
        <w:pStyle w:val="4"/>
        <w:numPr>
          <w:ilvl w:val="1"/>
          <w:numId w:val="4"/>
        </w:numPr>
        <w:spacing w:before="0" w:after="0" w:line="240" w:lineRule="auto"/>
        <w:ind w:left="2269" w:hanging="2269"/>
        <w:rPr>
          <w:color w:val="auto"/>
        </w:rPr>
      </w:pPr>
      <w:bookmarkStart w:id="104" w:name="_Toc316475586"/>
      <w:bookmarkEnd w:id="104"/>
      <w:bookmarkStart w:id="105" w:name="_Toc316475587"/>
      <w:bookmarkEnd w:id="105"/>
      <w:bookmarkStart w:id="106" w:name="_Toc77400782"/>
      <w:bookmarkStart w:id="107" w:name="_Toc31524"/>
      <w:bookmarkStart w:id="108" w:name="_Toc28766"/>
      <w:bookmarkStart w:id="109" w:name="_Toc65573690"/>
      <w:bookmarkStart w:id="110" w:name="_Toc217446056"/>
      <w:bookmarkStart w:id="111" w:name="_Toc183682368"/>
      <w:bookmarkStart w:id="112" w:name="_Toc4457"/>
      <w:bookmarkStart w:id="113" w:name="_Toc16979"/>
      <w:bookmarkStart w:id="114" w:name="_Toc183582231"/>
      <w:bookmarkStart w:id="115" w:name="_Toc89075878"/>
      <w:r>
        <w:rPr>
          <w:rFonts w:hint="eastAsia"/>
          <w:color w:val="auto"/>
        </w:rPr>
        <w:t>开标、资格审查、评标和中标</w:t>
      </w:r>
      <w:bookmarkEnd w:id="106"/>
      <w:bookmarkEnd w:id="107"/>
      <w:bookmarkEnd w:id="108"/>
      <w:bookmarkEnd w:id="109"/>
      <w:bookmarkEnd w:id="110"/>
      <w:bookmarkEnd w:id="111"/>
      <w:bookmarkEnd w:id="112"/>
      <w:bookmarkEnd w:id="113"/>
      <w:bookmarkEnd w:id="114"/>
      <w:bookmarkEnd w:id="115"/>
    </w:p>
    <w:p>
      <w:pPr>
        <w:keepNext/>
        <w:keepLines/>
        <w:numPr>
          <w:ilvl w:val="2"/>
          <w:numId w:val="4"/>
        </w:numPr>
        <w:spacing w:line="360" w:lineRule="auto"/>
        <w:ind w:left="0" w:firstLine="0"/>
        <w:outlineLvl w:val="2"/>
        <w:rPr>
          <w:rFonts w:ascii="宋体" w:hAnsi="宋体"/>
          <w:b/>
          <w:bCs/>
          <w:color w:val="auto"/>
          <w:sz w:val="28"/>
          <w:szCs w:val="28"/>
        </w:rPr>
      </w:pPr>
      <w:bookmarkStart w:id="116" w:name="_Toc183582232"/>
      <w:bookmarkStart w:id="117" w:name="_Toc183682369"/>
      <w:bookmarkStart w:id="118" w:name="_Toc217446057"/>
      <w:r>
        <w:rPr>
          <w:rFonts w:hint="eastAsia" w:ascii="宋体" w:hAnsi="宋体"/>
          <w:b/>
          <w:bCs/>
          <w:color w:val="auto"/>
          <w:sz w:val="28"/>
          <w:szCs w:val="28"/>
        </w:rPr>
        <w:t>开标</w:t>
      </w:r>
      <w:bookmarkEnd w:id="116"/>
      <w:bookmarkEnd w:id="117"/>
      <w:bookmarkEnd w:id="118"/>
      <w:r>
        <w:rPr>
          <w:rFonts w:hint="eastAsia" w:ascii="宋体" w:hAnsi="宋体"/>
          <w:b/>
          <w:bCs/>
          <w:color w:val="auto"/>
          <w:sz w:val="28"/>
          <w:szCs w:val="28"/>
        </w:rPr>
        <w:t>及开标程序</w:t>
      </w:r>
    </w:p>
    <w:p>
      <w:pPr>
        <w:pStyle w:val="85"/>
        <w:numPr>
          <w:ilvl w:val="0"/>
          <w:numId w:val="23"/>
        </w:numPr>
        <w:spacing w:before="120" w:after="200" w:line="360" w:lineRule="auto"/>
        <w:ind w:left="0" w:right="210" w:firstLine="567" w:firstLineChars="0"/>
        <w:rPr>
          <w:rFonts w:ascii="宋体" w:hAnsi="宋体" w:eastAsia="宋体" w:cs="宋体"/>
          <w:b/>
          <w:color w:val="auto"/>
          <w:sz w:val="28"/>
          <w:szCs w:val="28"/>
        </w:rPr>
      </w:pPr>
      <w:r>
        <w:rPr>
          <w:rFonts w:hint="eastAsia" w:ascii="宋体" w:hAnsi="宋体" w:eastAsia="宋体" w:cs="宋体"/>
          <w:b/>
          <w:color w:val="auto"/>
          <w:sz w:val="28"/>
          <w:szCs w:val="28"/>
        </w:rPr>
        <w:t>本项目为不见面开标项目。递交电子投标文件的投标人不足3家的，不予开标。</w:t>
      </w:r>
    </w:p>
    <w:p>
      <w:pPr>
        <w:pStyle w:val="85"/>
        <w:numPr>
          <w:ilvl w:val="0"/>
          <w:numId w:val="23"/>
        </w:numPr>
        <w:spacing w:before="120" w:after="200" w:line="360" w:lineRule="auto"/>
        <w:ind w:left="0" w:right="210" w:firstLine="567" w:firstLineChars="0"/>
        <w:rPr>
          <w:rFonts w:ascii="宋体" w:hAnsi="宋体" w:eastAsia="宋体" w:cs="宋体"/>
          <w:b/>
          <w:color w:val="auto"/>
          <w:sz w:val="28"/>
          <w:szCs w:val="28"/>
        </w:rPr>
      </w:pPr>
      <w:r>
        <w:rPr>
          <w:rFonts w:hint="eastAsia" w:ascii="宋体" w:hAnsi="宋体" w:eastAsia="宋体" w:cs="宋体"/>
          <w:b/>
          <w:color w:val="auto"/>
          <w:sz w:val="28"/>
          <w:szCs w:val="28"/>
        </w:rPr>
        <w:t>开标准备工作。投标人需在开标当日、投标截止时间前登录“政府采购云平台”，通过“开标大厅”参与不见面开标。登录</w:t>
      </w:r>
      <w:r>
        <w:rPr>
          <w:rFonts w:hint="eastAsia" w:ascii="宋体" w:hAnsi="宋体" w:eastAsia="宋体" w:cs="宋体"/>
          <w:b/>
          <w:color w:val="auto"/>
          <w:sz w:val="28"/>
          <w:szCs w:val="28"/>
          <w:lang w:eastAsia="zh-CN"/>
        </w:rPr>
        <w:t>成都市公共资源交易服务中心</w:t>
      </w:r>
      <w:r>
        <w:rPr>
          <w:rFonts w:hint="eastAsia" w:ascii="宋体" w:hAnsi="宋体" w:eastAsia="宋体" w:cs="宋体"/>
          <w:b/>
          <w:color w:val="auto"/>
          <w:sz w:val="28"/>
          <w:szCs w:val="28"/>
        </w:rPr>
        <w:t>门户网站（https://www.cdggzy.com/）—政府采购云平台—项目采购—开标评标—开标大厅（找到对应项目）。提示：投标人未按时登录不见面开标系统，错过开标解密时间的，由投标人自行承担不利后果。</w:t>
      </w:r>
    </w:p>
    <w:p>
      <w:pPr>
        <w:pStyle w:val="85"/>
        <w:numPr>
          <w:ilvl w:val="0"/>
          <w:numId w:val="23"/>
        </w:numPr>
        <w:spacing w:before="120" w:after="200" w:line="360" w:lineRule="auto"/>
        <w:ind w:left="0" w:right="210" w:firstLine="567" w:firstLineChars="0"/>
        <w:rPr>
          <w:rFonts w:ascii="宋体" w:hAnsi="宋体" w:eastAsia="宋体" w:cs="宋体"/>
          <w:b/>
          <w:color w:val="auto"/>
          <w:sz w:val="28"/>
          <w:szCs w:val="28"/>
        </w:rPr>
      </w:pPr>
      <w:r>
        <w:rPr>
          <w:rFonts w:hint="eastAsia" w:ascii="宋体" w:hAnsi="宋体" w:eastAsia="宋体" w:cs="宋体"/>
          <w:b/>
          <w:color w:val="auto"/>
          <w:sz w:val="28"/>
          <w:szCs w:val="28"/>
        </w:rPr>
        <w:t>解密投标文件。等待市公资交易中心开启解密后，投标人进行线上解密。开启解密后，投标人应在60分钟内，使用加密该投标文件的CA数字证书在线完成投标文件的解密。除因市公资交易中心断电、断网、系统故障或其他不可抗力等因素，导致系统无法使用外，投标人在规定的解密时间内，未成功解密的投标文件将视为无效投标文件。</w:t>
      </w:r>
    </w:p>
    <w:p>
      <w:pPr>
        <w:pStyle w:val="85"/>
        <w:numPr>
          <w:ilvl w:val="0"/>
          <w:numId w:val="23"/>
        </w:numPr>
        <w:spacing w:before="120" w:after="200" w:line="360" w:lineRule="auto"/>
        <w:ind w:left="0" w:right="210" w:firstLine="567" w:firstLineChars="0"/>
        <w:rPr>
          <w:rFonts w:ascii="宋体" w:hAnsi="宋体" w:eastAsia="宋体" w:cs="宋体"/>
          <w:b/>
          <w:color w:val="auto"/>
          <w:sz w:val="28"/>
          <w:szCs w:val="28"/>
        </w:rPr>
      </w:pPr>
      <w:r>
        <w:rPr>
          <w:rFonts w:hint="eastAsia" w:ascii="宋体" w:hAnsi="宋体" w:eastAsia="宋体" w:cs="宋体"/>
          <w:b/>
          <w:color w:val="auto"/>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85"/>
        <w:numPr>
          <w:ilvl w:val="0"/>
          <w:numId w:val="23"/>
        </w:numPr>
        <w:spacing w:before="120" w:after="200" w:line="360" w:lineRule="auto"/>
        <w:ind w:left="0" w:right="210" w:firstLine="567" w:firstLineChars="0"/>
        <w:rPr>
          <w:rFonts w:ascii="宋体" w:hAnsi="宋体" w:eastAsia="宋体" w:cs="宋体"/>
          <w:b/>
          <w:color w:val="auto"/>
          <w:sz w:val="28"/>
          <w:szCs w:val="28"/>
        </w:rPr>
      </w:pPr>
      <w:r>
        <w:rPr>
          <w:rFonts w:hint="eastAsia" w:ascii="宋体" w:hAnsi="宋体" w:eastAsia="宋体" w:cs="宋体"/>
          <w:b/>
          <w:color w:val="auto"/>
          <w:sz w:val="28"/>
          <w:szCs w:val="28"/>
        </w:rPr>
        <w:t>投标人对开标过程和开标记录有疑义，以及认为采购人、市公资交易中心相关工作人员有需要回避的情形的，及时向工作人员提出询问或者回避申请。采购人、市公资交易中心对投标人提出的询问或者回避申请应当及时处理。</w:t>
      </w:r>
    </w:p>
    <w:p>
      <w:pPr>
        <w:pStyle w:val="85"/>
        <w:numPr>
          <w:ilvl w:val="0"/>
          <w:numId w:val="23"/>
        </w:numPr>
        <w:spacing w:before="120" w:after="200" w:line="360" w:lineRule="auto"/>
        <w:ind w:left="0" w:right="210" w:firstLine="567" w:firstLineChars="0"/>
        <w:rPr>
          <w:rFonts w:ascii="宋体" w:hAnsi="宋体" w:eastAsia="宋体" w:cs="宋体"/>
          <w:b/>
          <w:color w:val="auto"/>
          <w:sz w:val="28"/>
          <w:szCs w:val="28"/>
        </w:rPr>
      </w:pPr>
      <w:r>
        <w:rPr>
          <w:rFonts w:hint="eastAsia" w:ascii="宋体" w:hAnsi="宋体" w:eastAsia="宋体" w:cs="宋体"/>
          <w:b/>
          <w:color w:val="auto"/>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85"/>
        <w:numPr>
          <w:ilvl w:val="0"/>
          <w:numId w:val="23"/>
        </w:numPr>
        <w:spacing w:before="120" w:after="200" w:line="360" w:lineRule="auto"/>
        <w:ind w:left="0" w:right="210" w:firstLine="567" w:firstLineChars="0"/>
        <w:rPr>
          <w:rFonts w:ascii="宋体" w:hAnsi="宋体" w:eastAsia="宋体" w:cs="宋体"/>
          <w:b/>
          <w:color w:val="auto"/>
          <w:sz w:val="28"/>
          <w:szCs w:val="28"/>
        </w:rPr>
      </w:pPr>
      <w:r>
        <w:rPr>
          <w:rFonts w:hint="eastAsia" w:ascii="宋体" w:hAnsi="宋体" w:eastAsia="宋体" w:cs="宋体"/>
          <w:b/>
          <w:color w:val="auto"/>
          <w:sz w:val="28"/>
          <w:szCs w:val="28"/>
        </w:rPr>
        <w:t>因市公资交易中心断电、断网、系统故障或其他不可抗力等因素导致不见面开标系统无法正常运行的，开标活动中止或延迟，待系统恢复正常后继续进行开标活动。</w:t>
      </w:r>
    </w:p>
    <w:p>
      <w:pPr>
        <w:pStyle w:val="85"/>
        <w:numPr>
          <w:ilvl w:val="0"/>
          <w:numId w:val="23"/>
        </w:numPr>
        <w:spacing w:before="120" w:after="200" w:line="360" w:lineRule="auto"/>
        <w:ind w:left="0" w:right="210" w:firstLine="567" w:firstLineChars="0"/>
        <w:rPr>
          <w:rFonts w:ascii="宋体" w:hAnsi="宋体" w:eastAsia="宋体" w:cs="宋体"/>
          <w:b/>
          <w:color w:val="auto"/>
          <w:sz w:val="28"/>
          <w:szCs w:val="28"/>
        </w:rPr>
      </w:pPr>
      <w:r>
        <w:rPr>
          <w:rFonts w:hint="eastAsia" w:ascii="宋体" w:hAnsi="宋体" w:eastAsia="宋体" w:cs="宋体"/>
          <w:b/>
          <w:color w:val="auto"/>
          <w:sz w:val="28"/>
          <w:szCs w:val="28"/>
        </w:rPr>
        <w:t>不见面开标过程中，各方主体均应遵守互联网有关规定，不得发表与交易活动无关的言论。</w:t>
      </w:r>
    </w:p>
    <w:p>
      <w:pPr>
        <w:pStyle w:val="5"/>
        <w:numPr>
          <w:ilvl w:val="2"/>
          <w:numId w:val="4"/>
        </w:numPr>
        <w:spacing w:after="200" w:line="240" w:lineRule="auto"/>
        <w:ind w:left="0" w:firstLine="0"/>
        <w:rPr>
          <w:color w:val="auto"/>
        </w:rPr>
      </w:pPr>
      <w:r>
        <w:rPr>
          <w:rFonts w:hint="eastAsia"/>
          <w:color w:val="auto"/>
        </w:rPr>
        <w:t>资格审查</w:t>
      </w:r>
    </w:p>
    <w:p>
      <w:pPr>
        <w:ind w:firstLine="564" w:firstLineChars="200"/>
        <w:rPr>
          <w:rFonts w:ascii="宋体" w:hAnsi="宋体"/>
          <w:color w:val="auto"/>
          <w:sz w:val="28"/>
          <w:szCs w:val="28"/>
        </w:rPr>
      </w:pPr>
      <w:r>
        <w:rPr>
          <w:rFonts w:hint="eastAsia" w:ascii="宋体" w:hAnsi="宋体"/>
          <w:color w:val="auto"/>
          <w:sz w:val="28"/>
          <w:szCs w:val="28"/>
        </w:rPr>
        <w:t>详见招标文件第5章。</w:t>
      </w:r>
    </w:p>
    <w:p>
      <w:pPr>
        <w:pStyle w:val="5"/>
        <w:numPr>
          <w:ilvl w:val="2"/>
          <w:numId w:val="4"/>
        </w:numPr>
        <w:spacing w:after="200" w:line="240" w:lineRule="auto"/>
        <w:ind w:left="0" w:firstLine="0"/>
        <w:rPr>
          <w:color w:val="auto"/>
        </w:rPr>
      </w:pPr>
      <w:r>
        <w:rPr>
          <w:rFonts w:hint="eastAsia"/>
          <w:color w:val="auto"/>
        </w:rPr>
        <w:t>评标</w:t>
      </w:r>
    </w:p>
    <w:p>
      <w:pPr>
        <w:ind w:firstLine="564" w:firstLineChars="200"/>
        <w:rPr>
          <w:rFonts w:ascii="宋体" w:hAnsi="宋体"/>
          <w:color w:val="auto"/>
          <w:sz w:val="28"/>
          <w:szCs w:val="28"/>
        </w:rPr>
      </w:pPr>
      <w:r>
        <w:rPr>
          <w:rFonts w:hint="eastAsia" w:ascii="宋体" w:hAnsi="宋体"/>
          <w:color w:val="auto"/>
          <w:sz w:val="28"/>
          <w:szCs w:val="28"/>
        </w:rPr>
        <w:t>详见招标文件第6章。</w:t>
      </w:r>
    </w:p>
    <w:p>
      <w:pPr>
        <w:pStyle w:val="5"/>
        <w:numPr>
          <w:ilvl w:val="2"/>
          <w:numId w:val="4"/>
        </w:numPr>
        <w:spacing w:after="200" w:line="240" w:lineRule="auto"/>
        <w:ind w:left="0" w:firstLine="0"/>
        <w:rPr>
          <w:color w:val="auto"/>
        </w:rPr>
      </w:pPr>
      <w:bookmarkStart w:id="119" w:name="_Toc183582238"/>
      <w:bookmarkStart w:id="120" w:name="_Toc183682375"/>
      <w:bookmarkStart w:id="121" w:name="_Toc217446063"/>
      <w:r>
        <w:rPr>
          <w:rFonts w:hint="eastAsia"/>
          <w:color w:val="auto"/>
        </w:rPr>
        <w:t>中标通知</w:t>
      </w:r>
      <w:bookmarkEnd w:id="119"/>
      <w:bookmarkEnd w:id="120"/>
      <w:r>
        <w:rPr>
          <w:rFonts w:hint="eastAsia"/>
          <w:color w:val="auto"/>
        </w:rPr>
        <w:t>书</w:t>
      </w:r>
      <w:bookmarkEnd w:id="121"/>
    </w:p>
    <w:p>
      <w:pPr>
        <w:widowControl/>
        <w:ind w:right="210" w:firstLine="564" w:firstLineChars="200"/>
        <w:jc w:val="left"/>
        <w:rPr>
          <w:rFonts w:ascii="宋体" w:hAnsi="宋体"/>
          <w:color w:val="auto"/>
          <w:sz w:val="28"/>
          <w:szCs w:val="28"/>
        </w:rPr>
      </w:pPr>
      <w:bookmarkStart w:id="122" w:name="_Toc217446064"/>
      <w:bookmarkStart w:id="123" w:name="_Toc183682377"/>
      <w:bookmarkStart w:id="124" w:name="_Toc183582240"/>
      <w:r>
        <w:rPr>
          <w:rFonts w:hint="eastAsia" w:ascii="宋体" w:hAnsi="宋体"/>
          <w:color w:val="auto"/>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ind w:firstLine="564" w:firstLineChars="200"/>
        <w:rPr>
          <w:rFonts w:ascii="宋体" w:hAnsi="宋体"/>
          <w:color w:val="auto"/>
          <w:sz w:val="28"/>
          <w:szCs w:val="28"/>
        </w:rPr>
      </w:pPr>
      <w:r>
        <w:rPr>
          <w:rFonts w:hint="eastAsia" w:ascii="宋体" w:hAnsi="宋体"/>
          <w:color w:val="auto"/>
          <w:sz w:val="28"/>
          <w:szCs w:val="28"/>
        </w:rPr>
        <w:t>二、中标通知书对采购人和中标人均具有法律效力。中标通知书发出后，采购人改变中标结果，或者中标人无正当理由放弃中标的，应当承担相应的法律责任。</w:t>
      </w:r>
    </w:p>
    <w:p>
      <w:pPr>
        <w:ind w:firstLine="564" w:firstLineChars="200"/>
        <w:rPr>
          <w:rFonts w:ascii="宋体" w:hAnsi="宋体"/>
          <w:color w:val="auto"/>
          <w:sz w:val="28"/>
          <w:szCs w:val="28"/>
        </w:rPr>
      </w:pPr>
      <w:r>
        <w:rPr>
          <w:rFonts w:hint="eastAsia" w:ascii="宋体" w:hAnsi="宋体"/>
          <w:color w:val="auto"/>
          <w:sz w:val="28"/>
          <w:szCs w:val="28"/>
        </w:rPr>
        <w:t>三、中标公告在四川政府采购网上公告后，中标供应商自行登录政府采购云平台下载中标通知书。</w:t>
      </w:r>
    </w:p>
    <w:p>
      <w:pPr>
        <w:pStyle w:val="4"/>
        <w:numPr>
          <w:ilvl w:val="1"/>
          <w:numId w:val="4"/>
        </w:numPr>
        <w:spacing w:before="0" w:after="0" w:line="240" w:lineRule="auto"/>
        <w:ind w:left="2269" w:hanging="2269"/>
        <w:rPr>
          <w:color w:val="auto"/>
        </w:rPr>
      </w:pPr>
      <w:bookmarkStart w:id="125" w:name="_Toc18993"/>
      <w:bookmarkStart w:id="126" w:name="_Toc12385"/>
      <w:bookmarkStart w:id="127" w:name="_Toc19973"/>
      <w:bookmarkStart w:id="128" w:name="_Toc65573691"/>
      <w:bookmarkStart w:id="129" w:name="_Toc6010"/>
      <w:r>
        <w:rPr>
          <w:rFonts w:hint="eastAsia"/>
          <w:color w:val="auto"/>
        </w:rPr>
        <w:t>签订及履行合同</w:t>
      </w:r>
      <w:bookmarkEnd w:id="122"/>
      <w:r>
        <w:rPr>
          <w:rFonts w:hint="eastAsia"/>
          <w:color w:val="auto"/>
        </w:rPr>
        <w:t>和验收</w:t>
      </w:r>
      <w:bookmarkEnd w:id="125"/>
      <w:bookmarkEnd w:id="126"/>
      <w:bookmarkEnd w:id="127"/>
      <w:bookmarkEnd w:id="128"/>
      <w:bookmarkEnd w:id="129"/>
    </w:p>
    <w:p>
      <w:pPr>
        <w:pStyle w:val="5"/>
        <w:numPr>
          <w:ilvl w:val="2"/>
          <w:numId w:val="4"/>
        </w:numPr>
        <w:spacing w:after="200" w:line="240" w:lineRule="auto"/>
        <w:ind w:left="0" w:firstLine="0"/>
        <w:rPr>
          <w:color w:val="auto"/>
        </w:rPr>
      </w:pPr>
      <w:bookmarkStart w:id="130" w:name="_Toc217446065"/>
      <w:r>
        <w:rPr>
          <w:rFonts w:hint="eastAsia"/>
          <w:color w:val="auto"/>
        </w:rPr>
        <w:t>签订合同</w:t>
      </w:r>
      <w:bookmarkEnd w:id="130"/>
    </w:p>
    <w:p>
      <w:pPr>
        <w:numPr>
          <w:ilvl w:val="0"/>
          <w:numId w:val="24"/>
        </w:numPr>
        <w:tabs>
          <w:tab w:val="left" w:pos="1134"/>
        </w:tabs>
        <w:spacing w:after="200"/>
        <w:ind w:left="0" w:firstLine="569" w:firstLineChars="202"/>
        <w:rPr>
          <w:rFonts w:ascii="宋体" w:hAnsi="宋体"/>
          <w:color w:val="auto"/>
          <w:sz w:val="28"/>
          <w:szCs w:val="28"/>
        </w:rPr>
      </w:pPr>
      <w:r>
        <w:rPr>
          <w:rFonts w:hint="eastAsia" w:ascii="宋体" w:hAnsi="宋体"/>
          <w:color w:val="auto"/>
          <w:sz w:val="28"/>
          <w:szCs w:val="28"/>
        </w:rPr>
        <w:t>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pPr>
        <w:numPr>
          <w:ilvl w:val="0"/>
          <w:numId w:val="24"/>
        </w:numPr>
        <w:tabs>
          <w:tab w:val="left" w:pos="1134"/>
        </w:tabs>
        <w:spacing w:after="200"/>
        <w:ind w:left="0" w:firstLine="569" w:firstLineChars="202"/>
        <w:rPr>
          <w:rFonts w:ascii="宋体" w:hAnsi="宋体"/>
          <w:color w:val="auto"/>
          <w:sz w:val="28"/>
          <w:szCs w:val="28"/>
        </w:rPr>
      </w:pPr>
      <w:r>
        <w:rPr>
          <w:rFonts w:hint="eastAsia" w:ascii="宋体" w:hAnsi="宋体"/>
          <w:color w:val="auto"/>
          <w:sz w:val="28"/>
          <w:szCs w:val="28"/>
        </w:rPr>
        <w:t>采购人不得向中标人提出任何不合理的要求，作为签订合同的条件，不得与中标人私下订立背离合同实质性内容的任何协议，所签订的合同不得对招标文件和中标人投标文件作实质性修改。</w:t>
      </w:r>
    </w:p>
    <w:p>
      <w:pPr>
        <w:numPr>
          <w:ilvl w:val="0"/>
          <w:numId w:val="24"/>
        </w:numPr>
        <w:tabs>
          <w:tab w:val="left" w:pos="1134"/>
        </w:tabs>
        <w:spacing w:after="200"/>
        <w:ind w:left="0" w:firstLine="569" w:firstLineChars="202"/>
        <w:rPr>
          <w:rFonts w:ascii="宋体" w:hAnsi="宋体"/>
          <w:color w:val="auto"/>
          <w:sz w:val="28"/>
          <w:szCs w:val="28"/>
        </w:rPr>
      </w:pPr>
      <w:r>
        <w:rPr>
          <w:rFonts w:hint="eastAsia" w:ascii="宋体" w:hAnsi="宋体"/>
          <w:color w:val="auto"/>
          <w:sz w:val="28"/>
          <w:szCs w:val="28"/>
        </w:rPr>
        <w:t>招标文件、投标文件、中标通知书等一切与本项目评标结果有关且经责任主体确认的资料均为合同的有效组成部分。</w:t>
      </w:r>
    </w:p>
    <w:p>
      <w:pPr>
        <w:numPr>
          <w:ilvl w:val="0"/>
          <w:numId w:val="24"/>
        </w:numPr>
        <w:tabs>
          <w:tab w:val="left" w:pos="1134"/>
        </w:tabs>
        <w:spacing w:after="200"/>
        <w:ind w:left="0" w:firstLine="569" w:firstLineChars="202"/>
        <w:rPr>
          <w:rFonts w:ascii="宋体" w:hAnsi="宋体"/>
          <w:color w:val="auto"/>
          <w:kern w:val="0"/>
          <w:sz w:val="28"/>
          <w:szCs w:val="28"/>
        </w:rPr>
      </w:pPr>
      <w:r>
        <w:rPr>
          <w:rFonts w:hint="eastAsia" w:ascii="宋体" w:hAnsi="宋体"/>
          <w:color w:val="auto"/>
          <w:kern w:val="0"/>
          <w:sz w:val="28"/>
          <w:szCs w:val="28"/>
        </w:rPr>
        <w:t>询问或者质疑事项可能影响中标、成交结果的，采购人应当暂停签订合同，已经签订合同的，应当中止履行合同。</w:t>
      </w:r>
    </w:p>
    <w:p>
      <w:pPr>
        <w:pStyle w:val="5"/>
        <w:numPr>
          <w:ilvl w:val="2"/>
          <w:numId w:val="4"/>
        </w:numPr>
        <w:spacing w:after="200" w:line="240" w:lineRule="auto"/>
        <w:ind w:left="0" w:firstLine="0"/>
        <w:rPr>
          <w:color w:val="auto"/>
        </w:rPr>
      </w:pPr>
      <w:bookmarkStart w:id="131" w:name="_Toc315871033"/>
      <w:bookmarkEnd w:id="131"/>
      <w:bookmarkStart w:id="132" w:name="_Toc217446066"/>
      <w:bookmarkStart w:id="133" w:name="_Toc217446069"/>
      <w:r>
        <w:rPr>
          <w:rFonts w:hint="eastAsia"/>
          <w:color w:val="auto"/>
        </w:rPr>
        <w:t>合同分包</w:t>
      </w:r>
      <w:bookmarkEnd w:id="132"/>
      <w:r>
        <w:rPr>
          <w:rFonts w:hint="eastAsia"/>
          <w:color w:val="auto"/>
        </w:rPr>
        <w:t>和转包</w:t>
      </w:r>
    </w:p>
    <w:p>
      <w:pPr>
        <w:pStyle w:val="5"/>
        <w:numPr>
          <w:ilvl w:val="3"/>
          <w:numId w:val="4"/>
        </w:numPr>
        <w:spacing w:after="200" w:line="240" w:lineRule="auto"/>
        <w:rPr>
          <w:color w:val="auto"/>
        </w:rPr>
      </w:pPr>
      <w:bookmarkStart w:id="134" w:name="_Toc217446067"/>
      <w:r>
        <w:rPr>
          <w:rFonts w:hint="eastAsia"/>
          <w:color w:val="auto"/>
        </w:rPr>
        <w:t>合同分包</w:t>
      </w:r>
    </w:p>
    <w:p>
      <w:pPr>
        <w:pStyle w:val="122"/>
        <w:spacing w:line="360" w:lineRule="auto"/>
        <w:ind w:firstLine="564" w:firstLineChars="200"/>
        <w:rPr>
          <w:rFonts w:cs="Times New Roman"/>
          <w:color w:val="auto"/>
          <w:sz w:val="28"/>
          <w:szCs w:val="28"/>
          <w:lang w:val="zh-CN"/>
        </w:rPr>
      </w:pPr>
      <w:r>
        <w:rPr>
          <w:rFonts w:hint="eastAsia" w:cs="Times New Roman"/>
          <w:color w:val="auto"/>
          <w:sz w:val="28"/>
          <w:szCs w:val="28"/>
          <w:lang w:val="zh-CN"/>
        </w:rPr>
        <w:t>本</w:t>
      </w:r>
      <w:r>
        <w:rPr>
          <w:rFonts w:cs="Times New Roman"/>
          <w:color w:val="auto"/>
          <w:sz w:val="28"/>
          <w:szCs w:val="28"/>
          <w:lang w:val="zh-CN"/>
        </w:rPr>
        <w:t>项目允许分包</w:t>
      </w:r>
      <w:r>
        <w:rPr>
          <w:rFonts w:hint="eastAsia" w:cs="Times New Roman"/>
          <w:color w:val="auto"/>
          <w:sz w:val="28"/>
          <w:szCs w:val="28"/>
          <w:lang w:val="zh-CN"/>
        </w:rPr>
        <w:t>，</w:t>
      </w:r>
      <w:r>
        <w:rPr>
          <w:rFonts w:cs="Times New Roman"/>
          <w:color w:val="auto"/>
          <w:sz w:val="28"/>
          <w:szCs w:val="28"/>
          <w:lang w:val="zh-CN"/>
        </w:rPr>
        <w:t>具体要求如下：</w:t>
      </w:r>
    </w:p>
    <w:p>
      <w:pPr>
        <w:pStyle w:val="122"/>
        <w:spacing w:line="360" w:lineRule="auto"/>
        <w:ind w:firstLine="564" w:firstLineChars="200"/>
        <w:rPr>
          <w:rFonts w:hint="eastAsia" w:cs="Times New Roman"/>
          <w:color w:val="auto"/>
          <w:sz w:val="28"/>
          <w:szCs w:val="28"/>
          <w:lang w:val="zh-CN"/>
        </w:rPr>
      </w:pPr>
      <w:r>
        <w:rPr>
          <w:rFonts w:hint="eastAsia" w:cs="Times New Roman"/>
          <w:color w:val="auto"/>
          <w:sz w:val="28"/>
          <w:szCs w:val="28"/>
          <w:lang w:val="zh-CN"/>
        </w:rPr>
        <w:t>一、</w:t>
      </w:r>
      <w:r>
        <w:rPr>
          <w:rFonts w:hint="eastAsia" w:cs="Times New Roman"/>
          <w:color w:val="auto"/>
          <w:sz w:val="28"/>
          <w:szCs w:val="28"/>
          <w:lang w:val="en-US" w:eastAsia="zh-CN"/>
        </w:rPr>
        <w:t>投标人为非中小企业的，应承诺中标后须将本项目中标总额的30%以上项目分包给一家或者多家中小企业并签订合同</w:t>
      </w:r>
      <w:r>
        <w:rPr>
          <w:rFonts w:hint="eastAsia" w:cs="Times New Roman"/>
          <w:color w:val="auto"/>
          <w:sz w:val="28"/>
          <w:szCs w:val="28"/>
          <w:lang w:val="zh-CN"/>
        </w:rPr>
        <w:t>，按招标文件规定做出承诺的中标人可以依法采取分包方式履行合同。</w:t>
      </w:r>
    </w:p>
    <w:p>
      <w:pPr>
        <w:pStyle w:val="122"/>
        <w:spacing w:line="360" w:lineRule="auto"/>
        <w:ind w:firstLine="564" w:firstLineChars="200"/>
        <w:rPr>
          <w:rFonts w:cs="Times New Roman"/>
          <w:color w:val="auto"/>
          <w:sz w:val="28"/>
          <w:szCs w:val="28"/>
          <w:lang w:val="zh-CN"/>
        </w:rPr>
      </w:pPr>
      <w:r>
        <w:rPr>
          <w:rFonts w:hint="eastAsia" w:cs="Times New Roman"/>
          <w:color w:val="auto"/>
          <w:sz w:val="28"/>
          <w:szCs w:val="28"/>
          <w:lang w:val="zh-CN"/>
        </w:rPr>
        <w:t>二、分包履行合同的部分应当为采购项目的非主体、非关键性工作， 不属于中标供应商的主要合同义务。</w:t>
      </w:r>
    </w:p>
    <w:p>
      <w:pPr>
        <w:pStyle w:val="122"/>
        <w:spacing w:line="360" w:lineRule="auto"/>
        <w:ind w:firstLine="564" w:firstLineChars="200"/>
        <w:rPr>
          <w:rFonts w:cs="Times New Roman"/>
          <w:color w:val="auto"/>
          <w:sz w:val="28"/>
          <w:szCs w:val="28"/>
          <w:lang w:val="zh-CN"/>
        </w:rPr>
      </w:pPr>
      <w:r>
        <w:rPr>
          <w:rFonts w:hint="eastAsia" w:cs="Times New Roman"/>
          <w:color w:val="auto"/>
          <w:sz w:val="28"/>
          <w:szCs w:val="28"/>
          <w:lang w:val="zh-CN"/>
        </w:rPr>
        <w:t>三、采购合同实行分包履行的，中标供应商就采购项目和分包项目向采购人负责，分包供应商就分包项目承担责任。</w:t>
      </w:r>
    </w:p>
    <w:p>
      <w:pPr>
        <w:pStyle w:val="122"/>
        <w:spacing w:line="360" w:lineRule="auto"/>
        <w:ind w:firstLine="564" w:firstLineChars="200"/>
        <w:rPr>
          <w:rFonts w:cs="Times New Roman"/>
          <w:color w:val="auto"/>
          <w:sz w:val="28"/>
          <w:szCs w:val="28"/>
          <w:lang w:val="zh-CN"/>
        </w:rPr>
      </w:pPr>
      <w:r>
        <w:rPr>
          <w:rFonts w:hint="eastAsia" w:cs="Times New Roman"/>
          <w:color w:val="auto"/>
          <w:sz w:val="28"/>
          <w:szCs w:val="28"/>
          <w:lang w:val="zh-CN"/>
        </w:rPr>
        <w:t>四、中小企业依据《政府采购促进中小企业发展管理办法》（财库</w:t>
      </w:r>
      <w:r>
        <w:rPr>
          <w:rFonts w:cs="Times New Roman"/>
          <w:color w:val="auto"/>
          <w:sz w:val="28"/>
          <w:szCs w:val="28"/>
          <w:lang w:val="zh-CN"/>
        </w:rPr>
        <w:t xml:space="preserve">[2020]46 </w:t>
      </w:r>
      <w:r>
        <w:rPr>
          <w:rFonts w:hint="eastAsia" w:cs="Times New Roman"/>
          <w:color w:val="auto"/>
          <w:sz w:val="28"/>
          <w:szCs w:val="28"/>
          <w:lang w:val="zh-CN"/>
        </w:rPr>
        <w:t>号）规定享受扶持政策获得政府采购合同的，小微企业、监狱企业、残疾人福利性单位，不得将合同分包给大中型企业，中型企业不得将合同分包给大型企业。</w:t>
      </w:r>
    </w:p>
    <w:p>
      <w:pPr>
        <w:pStyle w:val="5"/>
        <w:numPr>
          <w:ilvl w:val="3"/>
          <w:numId w:val="4"/>
        </w:numPr>
        <w:spacing w:after="200" w:line="240" w:lineRule="auto"/>
        <w:rPr>
          <w:color w:val="auto"/>
        </w:rPr>
      </w:pPr>
      <w:r>
        <w:rPr>
          <w:rFonts w:hint="eastAsia"/>
          <w:color w:val="auto"/>
        </w:rPr>
        <w:t>合同转包</w:t>
      </w:r>
    </w:p>
    <w:p>
      <w:pPr>
        <w:ind w:firstLine="564" w:firstLineChars="200"/>
        <w:rPr>
          <w:rFonts w:ascii="宋体" w:hAnsi="宋体" w:cs="宋体"/>
          <w:color w:val="auto"/>
          <w:kern w:val="0"/>
          <w:sz w:val="28"/>
          <w:szCs w:val="28"/>
        </w:rPr>
      </w:pPr>
      <w:r>
        <w:rPr>
          <w:rFonts w:hint="eastAsia" w:ascii="宋体" w:hAnsi="宋体"/>
          <w:color w:val="auto"/>
          <w:sz w:val="28"/>
          <w:szCs w:val="28"/>
        </w:rPr>
        <w:t>一、严禁中标供应商将本项目转包。本项目所称转包，是指</w:t>
      </w:r>
      <w:r>
        <w:rPr>
          <w:rFonts w:hint="eastAsia" w:ascii="宋体" w:hAnsi="宋体" w:cs="宋体"/>
          <w:color w:val="auto"/>
          <w:kern w:val="0"/>
          <w:sz w:val="28"/>
          <w:szCs w:val="28"/>
        </w:rPr>
        <w:t xml:space="preserve">将本项目转给他人或者将本项目全部肢解以后以分包的名义分别转给他人的行为。 </w:t>
      </w:r>
    </w:p>
    <w:p>
      <w:pPr>
        <w:ind w:firstLine="495"/>
        <w:rPr>
          <w:rFonts w:ascii="宋体" w:hAnsi="宋体"/>
          <w:color w:val="auto"/>
          <w:sz w:val="28"/>
          <w:szCs w:val="28"/>
        </w:rPr>
      </w:pPr>
      <w:r>
        <w:rPr>
          <w:rFonts w:hint="eastAsia" w:ascii="宋体" w:hAnsi="宋体"/>
          <w:color w:val="auto"/>
          <w:sz w:val="28"/>
          <w:szCs w:val="28"/>
        </w:rPr>
        <w:t>二、中标供应商转包的，视同拒绝履行政府采购合同，将依法追究法律责任。</w:t>
      </w:r>
    </w:p>
    <w:p>
      <w:pPr>
        <w:pStyle w:val="5"/>
        <w:numPr>
          <w:ilvl w:val="2"/>
          <w:numId w:val="4"/>
        </w:numPr>
        <w:spacing w:after="200" w:line="240" w:lineRule="auto"/>
        <w:ind w:left="0" w:firstLine="0"/>
        <w:rPr>
          <w:color w:val="auto"/>
        </w:rPr>
      </w:pPr>
      <w:r>
        <w:rPr>
          <w:rFonts w:hint="eastAsia"/>
          <w:color w:val="auto"/>
        </w:rPr>
        <w:t>采购人增加合同标的的权</w:t>
      </w:r>
      <w:bookmarkEnd w:id="134"/>
      <w:r>
        <w:rPr>
          <w:rFonts w:hint="eastAsia"/>
          <w:color w:val="auto"/>
        </w:rPr>
        <w:t>利</w:t>
      </w:r>
    </w:p>
    <w:p>
      <w:pPr>
        <w:ind w:firstLine="564" w:firstLineChars="200"/>
        <w:rPr>
          <w:rFonts w:ascii="宋体" w:hAnsi="宋体"/>
          <w:color w:val="auto"/>
          <w:sz w:val="28"/>
          <w:szCs w:val="28"/>
        </w:rPr>
      </w:pPr>
      <w:r>
        <w:rPr>
          <w:rFonts w:hint="eastAsia" w:ascii="宋体" w:hAnsi="宋体"/>
          <w:color w:val="auto"/>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pStyle w:val="5"/>
        <w:numPr>
          <w:ilvl w:val="2"/>
          <w:numId w:val="4"/>
        </w:numPr>
        <w:spacing w:after="200" w:line="240" w:lineRule="auto"/>
        <w:ind w:left="0" w:firstLine="0"/>
        <w:rPr>
          <w:color w:val="auto"/>
        </w:rPr>
      </w:pPr>
      <w:bookmarkStart w:id="135" w:name="_Toc217446068"/>
      <w:r>
        <w:rPr>
          <w:rFonts w:hint="eastAsia"/>
          <w:color w:val="auto"/>
        </w:rPr>
        <w:t>履约保证金</w:t>
      </w:r>
      <w:bookmarkEnd w:id="135"/>
    </w:p>
    <w:p>
      <w:pPr>
        <w:ind w:firstLine="564" w:firstLineChars="200"/>
        <w:rPr>
          <w:color w:val="auto"/>
        </w:rPr>
      </w:pPr>
      <w:r>
        <w:rPr>
          <w:rFonts w:hint="eastAsia" w:ascii="宋体" w:hAnsi="宋体" w:eastAsiaTheme="minorEastAsia" w:cstheme="minorBidi"/>
          <w:color w:val="auto"/>
          <w:kern w:val="2"/>
          <w:sz w:val="28"/>
          <w:szCs w:val="28"/>
          <w:lang w:val="en-US" w:eastAsia="zh-CN" w:bidi="ar-SA"/>
        </w:rPr>
        <w:t>本项目不收取履约保证金。</w:t>
      </w:r>
    </w:p>
    <w:p>
      <w:pPr>
        <w:pStyle w:val="5"/>
        <w:numPr>
          <w:ilvl w:val="2"/>
          <w:numId w:val="4"/>
        </w:numPr>
        <w:spacing w:after="200" w:line="240" w:lineRule="auto"/>
        <w:ind w:left="0" w:firstLine="0"/>
        <w:rPr>
          <w:color w:val="auto"/>
        </w:rPr>
      </w:pPr>
      <w:r>
        <w:rPr>
          <w:rFonts w:hint="eastAsia"/>
          <w:color w:val="auto"/>
        </w:rPr>
        <w:t>合同公告</w:t>
      </w:r>
    </w:p>
    <w:p>
      <w:pPr>
        <w:pStyle w:val="16"/>
        <w:spacing w:line="240" w:lineRule="auto"/>
        <w:ind w:firstLine="564" w:firstLineChars="200"/>
        <w:rPr>
          <w:rFonts w:ascii="宋体" w:hAnsi="宋体"/>
          <w:color w:val="auto"/>
          <w:sz w:val="28"/>
          <w:szCs w:val="28"/>
        </w:rPr>
      </w:pPr>
      <w:r>
        <w:rPr>
          <w:rFonts w:hint="eastAsia" w:ascii="宋体" w:hAnsi="宋体"/>
          <w:color w:val="auto"/>
          <w:sz w:val="28"/>
          <w:szCs w:val="28"/>
        </w:rPr>
        <w:t>采购人应当自政府采购合同签订之日起2个工作日内，在四川政府采购网公告，但政府采购合同中涉及国家秘密、商业秘密的内容除外。</w:t>
      </w:r>
    </w:p>
    <w:p>
      <w:pPr>
        <w:pStyle w:val="5"/>
        <w:numPr>
          <w:ilvl w:val="2"/>
          <w:numId w:val="4"/>
        </w:numPr>
        <w:spacing w:after="200" w:line="240" w:lineRule="auto"/>
        <w:ind w:left="0" w:firstLine="0"/>
        <w:rPr>
          <w:color w:val="auto"/>
        </w:rPr>
      </w:pPr>
      <w:r>
        <w:rPr>
          <w:rFonts w:hint="eastAsia"/>
          <w:color w:val="auto"/>
        </w:rPr>
        <w:t>合同备案</w:t>
      </w:r>
    </w:p>
    <w:p>
      <w:pPr>
        <w:tabs>
          <w:tab w:val="left" w:pos="1134"/>
        </w:tabs>
        <w:ind w:firstLine="564" w:firstLineChars="200"/>
        <w:rPr>
          <w:rFonts w:hint="eastAsia" w:ascii="宋体" w:hAnsi="宋体" w:eastAsia="宋体"/>
          <w:color w:val="auto"/>
          <w:sz w:val="28"/>
          <w:szCs w:val="28"/>
          <w:lang w:eastAsia="zh-CN"/>
        </w:rPr>
      </w:pPr>
      <w:r>
        <w:rPr>
          <w:rFonts w:hint="eastAsia" w:ascii="宋体" w:hAnsi="宋体" w:cs="Times New Roman"/>
          <w:color w:val="auto"/>
          <w:sz w:val="28"/>
          <w:szCs w:val="28"/>
          <w:lang w:eastAsia="zh-CN"/>
        </w:rPr>
        <w:t>合</w:t>
      </w:r>
      <w:r>
        <w:rPr>
          <w:rFonts w:hint="eastAsia" w:ascii="宋体" w:hAnsi="宋体" w:eastAsia="宋体" w:cs="Times New Roman"/>
          <w:color w:val="auto"/>
          <w:sz w:val="28"/>
          <w:szCs w:val="28"/>
        </w:rPr>
        <w:t>同签订后</w:t>
      </w:r>
      <w:r>
        <w:rPr>
          <w:rFonts w:hint="eastAsia" w:ascii="宋体" w:hAnsi="宋体" w:eastAsia="宋体" w:cs="Times New Roman"/>
          <w:color w:val="auto"/>
          <w:sz w:val="28"/>
          <w:szCs w:val="28"/>
          <w:lang w:val="en-US" w:eastAsia="zh-CN"/>
        </w:rPr>
        <w:t>5个工作日内</w:t>
      </w:r>
      <w:r>
        <w:rPr>
          <w:rFonts w:hint="eastAsia" w:ascii="宋体" w:hAnsi="宋体" w:eastAsia="宋体" w:cs="Times New Roman"/>
          <w:color w:val="auto"/>
          <w:sz w:val="28"/>
          <w:szCs w:val="28"/>
        </w:rPr>
        <w:t>将签订的合同原件或复印件（一份）送都江堰市公共资源交易服务中心评审科存档。疫情防控期间，采购人原则上在5个工作日内与供应商签订政府采购合同及向本采购项目同级财政部门，即都江堰市财政局备案政府采购合同。（注意：备案后，采购人应在“成都市公共资源交易服务中心网”，使用单位数字身份证书登录，进行合同信息的录入工作</w:t>
      </w:r>
      <w:r>
        <w:rPr>
          <w:rFonts w:hint="eastAsia" w:ascii="宋体" w:hAnsi="宋体"/>
          <w:color w:val="auto"/>
          <w:sz w:val="28"/>
          <w:szCs w:val="28"/>
        </w:rPr>
        <w:t>。</w:t>
      </w:r>
      <w:r>
        <w:rPr>
          <w:rFonts w:hint="eastAsia" w:ascii="宋体" w:hAnsi="宋体"/>
          <w:color w:val="auto"/>
          <w:sz w:val="28"/>
          <w:szCs w:val="28"/>
          <w:lang w:eastAsia="zh-CN"/>
        </w:rPr>
        <w:t>）</w:t>
      </w:r>
    </w:p>
    <w:p>
      <w:pPr>
        <w:pStyle w:val="5"/>
        <w:numPr>
          <w:ilvl w:val="2"/>
          <w:numId w:val="4"/>
        </w:numPr>
        <w:spacing w:after="200" w:line="240" w:lineRule="auto"/>
        <w:ind w:left="0" w:firstLine="0"/>
        <w:rPr>
          <w:color w:val="auto"/>
        </w:rPr>
      </w:pPr>
      <w:r>
        <w:rPr>
          <w:rFonts w:hint="eastAsia"/>
          <w:color w:val="auto"/>
        </w:rPr>
        <w:t>履行合同</w:t>
      </w:r>
      <w:bookmarkEnd w:id="133"/>
    </w:p>
    <w:p>
      <w:pPr>
        <w:numPr>
          <w:ilvl w:val="0"/>
          <w:numId w:val="25"/>
        </w:numPr>
        <w:tabs>
          <w:tab w:val="left" w:pos="1134"/>
        </w:tabs>
        <w:spacing w:after="200"/>
        <w:ind w:left="0" w:firstLine="569" w:firstLineChars="202"/>
        <w:rPr>
          <w:rFonts w:ascii="宋体" w:hAnsi="宋体"/>
          <w:color w:val="auto"/>
          <w:sz w:val="28"/>
          <w:szCs w:val="28"/>
        </w:rPr>
      </w:pPr>
      <w:r>
        <w:rPr>
          <w:rFonts w:hint="eastAsia" w:ascii="宋体" w:hAnsi="宋体"/>
          <w:color w:val="auto"/>
          <w:sz w:val="28"/>
          <w:szCs w:val="28"/>
        </w:rPr>
        <w:t>合同一经签订，双方应严格履行合同规定的义务。</w:t>
      </w:r>
    </w:p>
    <w:p>
      <w:pPr>
        <w:numPr>
          <w:ilvl w:val="0"/>
          <w:numId w:val="25"/>
        </w:numPr>
        <w:tabs>
          <w:tab w:val="left" w:pos="1134"/>
        </w:tabs>
        <w:spacing w:after="200"/>
        <w:ind w:left="0" w:firstLine="569" w:firstLineChars="202"/>
        <w:rPr>
          <w:rFonts w:ascii="宋体" w:hAnsi="宋体"/>
          <w:color w:val="auto"/>
          <w:sz w:val="28"/>
          <w:szCs w:val="28"/>
        </w:rPr>
      </w:pPr>
      <w:r>
        <w:rPr>
          <w:rFonts w:hint="eastAsia" w:ascii="宋体" w:hAnsi="宋体"/>
          <w:color w:val="auto"/>
          <w:sz w:val="28"/>
          <w:szCs w:val="28"/>
        </w:rPr>
        <w:t>在合同履行过程中，如发生合同纠纷，合同双方应按照《中华人民共和国民法典》及合同条款的有关规定进行处理。</w:t>
      </w:r>
    </w:p>
    <w:p>
      <w:pPr>
        <w:pStyle w:val="5"/>
        <w:numPr>
          <w:ilvl w:val="2"/>
          <w:numId w:val="4"/>
        </w:numPr>
        <w:spacing w:after="200" w:line="240" w:lineRule="auto"/>
        <w:ind w:left="0" w:firstLine="0"/>
        <w:rPr>
          <w:color w:val="auto"/>
        </w:rPr>
      </w:pPr>
      <w:bookmarkStart w:id="136" w:name="_Toc217446070"/>
      <w:r>
        <w:rPr>
          <w:rFonts w:hint="eastAsia"/>
          <w:color w:val="auto"/>
        </w:rPr>
        <w:t>验收或考核</w:t>
      </w:r>
    </w:p>
    <w:p>
      <w:pPr>
        <w:pStyle w:val="16"/>
        <w:spacing w:after="0" w:line="240" w:lineRule="auto"/>
        <w:ind w:firstLine="564" w:firstLineChars="200"/>
        <w:rPr>
          <w:rFonts w:ascii="宋体" w:hAnsi="宋体"/>
          <w:b/>
          <w:color w:val="auto"/>
        </w:rPr>
      </w:pPr>
      <w:bookmarkStart w:id="137" w:name="_Toc217446071"/>
      <w:r>
        <w:rPr>
          <w:rFonts w:hint="eastAsia" w:ascii="宋体" w:hAnsi="宋体"/>
          <w:color w:val="auto"/>
          <w:sz w:val="28"/>
          <w:szCs w:val="28"/>
        </w:rPr>
        <w:t>采购人严格按照国家相关法律法规的要求组织验收或考核。</w:t>
      </w:r>
      <w:bookmarkEnd w:id="137"/>
    </w:p>
    <w:p>
      <w:pPr>
        <w:pStyle w:val="5"/>
        <w:numPr>
          <w:ilvl w:val="2"/>
          <w:numId w:val="4"/>
        </w:numPr>
        <w:spacing w:after="200" w:line="240" w:lineRule="auto"/>
        <w:ind w:left="0" w:firstLine="0"/>
        <w:rPr>
          <w:color w:val="auto"/>
        </w:rPr>
      </w:pPr>
      <w:r>
        <w:rPr>
          <w:rFonts w:hint="eastAsia"/>
          <w:color w:val="auto"/>
        </w:rPr>
        <w:t>资金支付</w:t>
      </w:r>
    </w:p>
    <w:p>
      <w:pPr>
        <w:pStyle w:val="41"/>
        <w:numPr>
          <w:ilvl w:val="0"/>
          <w:numId w:val="26"/>
        </w:numPr>
        <w:shd w:val="clear" w:color="auto" w:fill="FFFFFF"/>
        <w:spacing w:before="0" w:beforeAutospacing="0" w:after="0" w:afterAutospacing="0"/>
        <w:ind w:firstLine="570"/>
        <w:rPr>
          <w:rFonts w:hint="eastAsia" w:cs="Helvetica"/>
          <w:color w:val="auto"/>
          <w:sz w:val="28"/>
          <w:szCs w:val="28"/>
        </w:rPr>
      </w:pPr>
      <w:r>
        <w:rPr>
          <w:rFonts w:hint="eastAsia" w:cs="Helvetica"/>
          <w:color w:val="auto"/>
          <w:sz w:val="28"/>
          <w:szCs w:val="28"/>
        </w:rPr>
        <w:t>采购人按财政部门的相关规定及采购合同的约定进行支付。</w:t>
      </w:r>
    </w:p>
    <w:p>
      <w:pPr>
        <w:pStyle w:val="41"/>
        <w:numPr>
          <w:ilvl w:val="0"/>
          <w:numId w:val="26"/>
        </w:numPr>
        <w:shd w:val="clear" w:color="auto" w:fill="FFFFFF"/>
        <w:spacing w:before="0" w:beforeAutospacing="0" w:after="0" w:afterAutospacing="0"/>
        <w:ind w:firstLine="570"/>
        <w:rPr>
          <w:rFonts w:hint="eastAsia" w:ascii="宋体" w:hAnsi="宋体" w:eastAsia="宋体" w:cs="Helvetica"/>
          <w:color w:val="auto"/>
          <w:kern w:val="0"/>
          <w:sz w:val="28"/>
          <w:szCs w:val="28"/>
          <w:lang w:val="en-US" w:eastAsia="zh-CN" w:bidi="ar-SA"/>
        </w:rPr>
      </w:pPr>
      <w:r>
        <w:rPr>
          <w:rFonts w:hint="eastAsia" w:cs="Helvetica"/>
          <w:color w:val="auto"/>
          <w:sz w:val="28"/>
          <w:szCs w:val="28"/>
          <w:lang w:eastAsia="zh-CN"/>
        </w:rPr>
        <w:t>本项目具体资金支付方式：</w:t>
      </w:r>
      <w:r>
        <w:rPr>
          <w:rFonts w:hint="eastAsia" w:ascii="宋体" w:hAnsi="宋体" w:eastAsia="宋体" w:cs="Helvetica"/>
          <w:color w:val="auto"/>
          <w:kern w:val="0"/>
          <w:sz w:val="28"/>
          <w:szCs w:val="28"/>
          <w:lang w:val="en-US" w:eastAsia="zh-CN" w:bidi="ar-SA"/>
        </w:rPr>
        <w:t>物业管理费经采购人对上一季度的服务质量签字认可后，按季度支付。</w:t>
      </w:r>
    </w:p>
    <w:p>
      <w:pPr>
        <w:pStyle w:val="41"/>
        <w:numPr>
          <w:ilvl w:val="0"/>
          <w:numId w:val="0"/>
        </w:numPr>
        <w:shd w:val="clear" w:color="auto" w:fill="FFFFFF"/>
        <w:spacing w:before="0" w:beforeAutospacing="0" w:after="0" w:afterAutospacing="0"/>
        <w:rPr>
          <w:rFonts w:hint="eastAsia" w:cs="Helvetica"/>
          <w:color w:val="auto"/>
          <w:sz w:val="28"/>
          <w:szCs w:val="28"/>
        </w:rPr>
      </w:pPr>
    </w:p>
    <w:bookmarkEnd w:id="123"/>
    <w:bookmarkEnd w:id="124"/>
    <w:bookmarkEnd w:id="136"/>
    <w:p>
      <w:pPr>
        <w:pStyle w:val="4"/>
        <w:numPr>
          <w:ilvl w:val="1"/>
          <w:numId w:val="4"/>
        </w:numPr>
        <w:spacing w:before="0" w:after="0" w:line="240" w:lineRule="auto"/>
        <w:ind w:left="2269" w:hanging="2269"/>
        <w:rPr>
          <w:color w:val="auto"/>
        </w:rPr>
      </w:pPr>
      <w:bookmarkStart w:id="138" w:name="_Toc30945"/>
      <w:bookmarkStart w:id="139" w:name="_Toc6102"/>
      <w:bookmarkStart w:id="140" w:name="_Toc65573692"/>
      <w:bookmarkStart w:id="141" w:name="_Toc217446074"/>
      <w:bookmarkStart w:id="142" w:name="_Toc13859"/>
      <w:bookmarkStart w:id="143" w:name="_Toc12434"/>
      <w:bookmarkStart w:id="144" w:name="_Toc183682380"/>
      <w:bookmarkStart w:id="145" w:name="_Toc183582243"/>
      <w:r>
        <w:rPr>
          <w:rFonts w:hint="eastAsia"/>
          <w:color w:val="auto"/>
        </w:rPr>
        <w:t>投标纪律要求</w:t>
      </w:r>
      <w:bookmarkEnd w:id="138"/>
      <w:bookmarkEnd w:id="139"/>
      <w:bookmarkEnd w:id="140"/>
      <w:bookmarkEnd w:id="141"/>
      <w:bookmarkEnd w:id="142"/>
      <w:bookmarkEnd w:id="143"/>
    </w:p>
    <w:p>
      <w:pPr>
        <w:pStyle w:val="5"/>
        <w:numPr>
          <w:ilvl w:val="2"/>
          <w:numId w:val="4"/>
        </w:numPr>
        <w:spacing w:after="200" w:line="240" w:lineRule="auto"/>
        <w:ind w:left="0" w:firstLine="0"/>
        <w:rPr>
          <w:color w:val="auto"/>
        </w:rPr>
      </w:pPr>
      <w:bookmarkStart w:id="146" w:name="_Toc217446075"/>
      <w:r>
        <w:rPr>
          <w:rFonts w:hint="eastAsia"/>
          <w:color w:val="auto"/>
        </w:rPr>
        <w:t>投标人不得具有的情形</w:t>
      </w:r>
      <w:bookmarkEnd w:id="146"/>
    </w:p>
    <w:p>
      <w:pPr>
        <w:pStyle w:val="16"/>
        <w:spacing w:line="240" w:lineRule="auto"/>
        <w:ind w:firstLine="567"/>
        <w:rPr>
          <w:rFonts w:ascii="宋体" w:hAnsi="宋体"/>
          <w:color w:val="auto"/>
          <w:sz w:val="28"/>
          <w:szCs w:val="28"/>
        </w:rPr>
      </w:pPr>
      <w:bookmarkStart w:id="147" w:name="_Toc314574786"/>
      <w:r>
        <w:rPr>
          <w:rFonts w:hint="eastAsia" w:ascii="宋体" w:hAnsi="宋体"/>
          <w:color w:val="auto"/>
          <w:sz w:val="28"/>
          <w:szCs w:val="28"/>
        </w:rPr>
        <w:t>投标人参加投标不得有下列情形：</w:t>
      </w:r>
    </w:p>
    <w:p>
      <w:pPr>
        <w:numPr>
          <w:ilvl w:val="1"/>
          <w:numId w:val="27"/>
        </w:numPr>
        <w:tabs>
          <w:tab w:val="left" w:pos="1134"/>
        </w:tabs>
        <w:spacing w:after="200"/>
        <w:ind w:left="0" w:firstLine="567"/>
        <w:rPr>
          <w:rFonts w:ascii="宋体" w:hAnsi="宋体"/>
          <w:color w:val="auto"/>
          <w:sz w:val="28"/>
          <w:szCs w:val="28"/>
        </w:rPr>
      </w:pPr>
      <w:r>
        <w:rPr>
          <w:rFonts w:hint="eastAsia" w:ascii="宋体" w:hAnsi="宋体"/>
          <w:color w:val="auto"/>
          <w:sz w:val="28"/>
          <w:szCs w:val="28"/>
        </w:rPr>
        <w:t>有下列情形之一的，视为投标人串通投标：</w:t>
      </w:r>
    </w:p>
    <w:p>
      <w:pPr>
        <w:tabs>
          <w:tab w:val="left" w:pos="1134"/>
        </w:tabs>
        <w:ind w:left="420"/>
        <w:rPr>
          <w:rFonts w:ascii="宋体" w:hAnsi="宋体"/>
          <w:color w:val="auto"/>
          <w:sz w:val="28"/>
          <w:szCs w:val="28"/>
        </w:rPr>
      </w:pPr>
      <w:r>
        <w:rPr>
          <w:rFonts w:hint="eastAsia" w:ascii="宋体" w:hAnsi="宋体"/>
          <w:color w:val="auto"/>
          <w:sz w:val="28"/>
          <w:szCs w:val="28"/>
        </w:rPr>
        <w:t>（一）不同投标人的投标文件由同一单位或者个人编制；</w:t>
      </w:r>
    </w:p>
    <w:p>
      <w:pPr>
        <w:tabs>
          <w:tab w:val="left" w:pos="1134"/>
        </w:tabs>
        <w:ind w:left="420"/>
        <w:rPr>
          <w:rFonts w:ascii="宋体" w:hAnsi="宋体"/>
          <w:color w:val="auto"/>
          <w:sz w:val="28"/>
          <w:szCs w:val="28"/>
        </w:rPr>
      </w:pPr>
      <w:r>
        <w:rPr>
          <w:rFonts w:hint="eastAsia" w:ascii="宋体" w:hAnsi="宋体"/>
          <w:color w:val="auto"/>
          <w:sz w:val="28"/>
          <w:szCs w:val="28"/>
        </w:rPr>
        <w:t>（二）不同投标人委托同一单位或者个人办理投标事宜；</w:t>
      </w:r>
    </w:p>
    <w:p>
      <w:pPr>
        <w:tabs>
          <w:tab w:val="left" w:pos="1134"/>
        </w:tabs>
        <w:ind w:firstLine="428" w:firstLineChars="152"/>
        <w:rPr>
          <w:rFonts w:ascii="宋体" w:hAnsi="宋体"/>
          <w:color w:val="auto"/>
          <w:sz w:val="28"/>
          <w:szCs w:val="28"/>
        </w:rPr>
      </w:pPr>
      <w:r>
        <w:rPr>
          <w:rFonts w:hint="eastAsia" w:ascii="宋体" w:hAnsi="宋体"/>
          <w:color w:val="auto"/>
          <w:sz w:val="28"/>
          <w:szCs w:val="28"/>
        </w:rPr>
        <w:t>（三）不同投标人的投标文件载明的项目管理成员或者联系人员为同一人；</w:t>
      </w:r>
    </w:p>
    <w:p>
      <w:pPr>
        <w:tabs>
          <w:tab w:val="left" w:pos="1134"/>
        </w:tabs>
        <w:ind w:firstLine="423" w:firstLineChars="150"/>
        <w:rPr>
          <w:rFonts w:ascii="宋体" w:hAnsi="宋体"/>
          <w:color w:val="auto"/>
          <w:sz w:val="28"/>
          <w:szCs w:val="28"/>
        </w:rPr>
      </w:pPr>
      <w:r>
        <w:rPr>
          <w:rFonts w:hint="eastAsia" w:ascii="宋体" w:hAnsi="宋体"/>
          <w:color w:val="auto"/>
          <w:sz w:val="28"/>
          <w:szCs w:val="28"/>
        </w:rPr>
        <w:t>（四）不同投标人的投标文件异常一致或者投标报价呈规律性差异；</w:t>
      </w:r>
    </w:p>
    <w:p>
      <w:pPr>
        <w:tabs>
          <w:tab w:val="left" w:pos="1134"/>
        </w:tabs>
        <w:ind w:firstLine="423" w:firstLineChars="150"/>
        <w:rPr>
          <w:rFonts w:ascii="宋体" w:hAnsi="宋体"/>
          <w:color w:val="auto"/>
          <w:sz w:val="28"/>
          <w:szCs w:val="28"/>
        </w:rPr>
      </w:pPr>
      <w:r>
        <w:rPr>
          <w:rFonts w:hint="eastAsia" w:ascii="宋体" w:hAnsi="宋体"/>
          <w:color w:val="auto"/>
          <w:sz w:val="28"/>
          <w:szCs w:val="28"/>
        </w:rPr>
        <w:t>（五）不同投标人的投标文件相互混装；</w:t>
      </w:r>
    </w:p>
    <w:p>
      <w:pPr>
        <w:tabs>
          <w:tab w:val="left" w:pos="1134"/>
        </w:tabs>
        <w:ind w:left="420"/>
        <w:rPr>
          <w:rFonts w:ascii="宋体" w:hAnsi="宋体"/>
          <w:color w:val="auto"/>
          <w:sz w:val="28"/>
          <w:szCs w:val="28"/>
        </w:rPr>
      </w:pPr>
      <w:r>
        <w:rPr>
          <w:rFonts w:hint="eastAsia" w:ascii="宋体" w:hAnsi="宋体"/>
          <w:color w:val="auto"/>
          <w:sz w:val="28"/>
          <w:szCs w:val="28"/>
        </w:rPr>
        <w:t>（六）不同投标人的投标保证金从同一单位或者个人的账户转出；</w:t>
      </w:r>
    </w:p>
    <w:p>
      <w:pPr>
        <w:numPr>
          <w:ilvl w:val="1"/>
          <w:numId w:val="27"/>
        </w:numPr>
        <w:tabs>
          <w:tab w:val="left" w:pos="1134"/>
        </w:tabs>
        <w:spacing w:after="200"/>
        <w:ind w:left="0" w:firstLine="567"/>
        <w:rPr>
          <w:rFonts w:ascii="宋体" w:hAnsi="宋体"/>
          <w:color w:val="auto"/>
          <w:sz w:val="28"/>
          <w:szCs w:val="28"/>
        </w:rPr>
      </w:pPr>
      <w:r>
        <w:rPr>
          <w:rFonts w:hint="eastAsia" w:ascii="宋体" w:hAnsi="宋体"/>
          <w:color w:val="auto"/>
          <w:sz w:val="28"/>
          <w:szCs w:val="28"/>
        </w:rPr>
        <w:t>提供虚假材料谋取中标；</w:t>
      </w:r>
    </w:p>
    <w:p>
      <w:pPr>
        <w:numPr>
          <w:ilvl w:val="1"/>
          <w:numId w:val="27"/>
        </w:numPr>
        <w:tabs>
          <w:tab w:val="left" w:pos="1134"/>
        </w:tabs>
        <w:spacing w:after="200"/>
        <w:ind w:left="0" w:firstLine="567"/>
        <w:rPr>
          <w:rFonts w:ascii="宋体" w:hAnsi="宋体"/>
          <w:color w:val="auto"/>
          <w:sz w:val="28"/>
          <w:szCs w:val="28"/>
        </w:rPr>
      </w:pPr>
      <w:r>
        <w:rPr>
          <w:rFonts w:hint="eastAsia" w:ascii="宋体" w:hAnsi="宋体"/>
          <w:color w:val="auto"/>
          <w:sz w:val="28"/>
          <w:szCs w:val="28"/>
        </w:rPr>
        <w:t>采取不正当手段诋毁、排挤其他投标人；</w:t>
      </w:r>
    </w:p>
    <w:p>
      <w:pPr>
        <w:numPr>
          <w:ilvl w:val="1"/>
          <w:numId w:val="27"/>
        </w:numPr>
        <w:tabs>
          <w:tab w:val="left" w:pos="1134"/>
        </w:tabs>
        <w:spacing w:after="200"/>
        <w:ind w:left="0" w:firstLine="567"/>
        <w:rPr>
          <w:rFonts w:ascii="宋体" w:hAnsi="宋体"/>
          <w:color w:val="auto"/>
          <w:sz w:val="28"/>
          <w:szCs w:val="28"/>
        </w:rPr>
      </w:pPr>
      <w:r>
        <w:rPr>
          <w:rFonts w:hint="eastAsia" w:ascii="宋体" w:hAnsi="宋体"/>
          <w:color w:val="auto"/>
          <w:sz w:val="28"/>
          <w:szCs w:val="28"/>
        </w:rPr>
        <w:t>与采购人或</w:t>
      </w:r>
      <w:r>
        <w:rPr>
          <w:rFonts w:hint="eastAsia" w:cs="Arial"/>
          <w:color w:val="auto"/>
          <w:sz w:val="28"/>
          <w:szCs w:val="28"/>
        </w:rPr>
        <w:t>市公资交易中心</w:t>
      </w:r>
      <w:r>
        <w:rPr>
          <w:rFonts w:hint="eastAsia" w:ascii="宋体" w:hAnsi="宋体"/>
          <w:color w:val="auto"/>
          <w:sz w:val="28"/>
          <w:szCs w:val="28"/>
        </w:rPr>
        <w:t>、其他投标人恶意串通；</w:t>
      </w:r>
    </w:p>
    <w:p>
      <w:pPr>
        <w:numPr>
          <w:ilvl w:val="1"/>
          <w:numId w:val="27"/>
        </w:numPr>
        <w:tabs>
          <w:tab w:val="left" w:pos="1134"/>
        </w:tabs>
        <w:spacing w:after="200"/>
        <w:ind w:left="0" w:firstLine="567"/>
        <w:rPr>
          <w:rFonts w:ascii="宋体" w:hAnsi="宋体"/>
          <w:color w:val="auto"/>
          <w:sz w:val="28"/>
          <w:szCs w:val="28"/>
        </w:rPr>
      </w:pPr>
      <w:r>
        <w:rPr>
          <w:rFonts w:hint="eastAsia" w:ascii="宋体" w:hAnsi="宋体"/>
          <w:color w:val="auto"/>
          <w:sz w:val="28"/>
          <w:szCs w:val="28"/>
        </w:rPr>
        <w:t>向采购人或</w:t>
      </w:r>
      <w:r>
        <w:rPr>
          <w:rFonts w:hint="eastAsia" w:cs="Arial"/>
          <w:color w:val="auto"/>
          <w:sz w:val="28"/>
          <w:szCs w:val="28"/>
        </w:rPr>
        <w:t>市公资交易中心</w:t>
      </w:r>
      <w:r>
        <w:rPr>
          <w:rFonts w:hint="eastAsia" w:ascii="宋体" w:hAnsi="宋体"/>
          <w:color w:val="auto"/>
          <w:sz w:val="28"/>
          <w:szCs w:val="28"/>
        </w:rPr>
        <w:t>、评标委员会成员行贿或者提供其他不正当利益；</w:t>
      </w:r>
    </w:p>
    <w:p>
      <w:pPr>
        <w:numPr>
          <w:ilvl w:val="1"/>
          <w:numId w:val="27"/>
        </w:numPr>
        <w:tabs>
          <w:tab w:val="left" w:pos="1134"/>
        </w:tabs>
        <w:spacing w:after="200"/>
        <w:ind w:left="0" w:firstLine="567"/>
        <w:rPr>
          <w:rFonts w:ascii="宋体" w:hAnsi="宋体"/>
          <w:color w:val="auto"/>
          <w:sz w:val="28"/>
          <w:szCs w:val="28"/>
        </w:rPr>
      </w:pPr>
      <w:r>
        <w:rPr>
          <w:rFonts w:hint="eastAsia" w:ascii="宋体" w:hAnsi="宋体"/>
          <w:color w:val="auto"/>
          <w:sz w:val="28"/>
          <w:szCs w:val="28"/>
        </w:rPr>
        <w:t>在招标过程中与采购人或</w:t>
      </w:r>
      <w:r>
        <w:rPr>
          <w:rFonts w:hint="eastAsia" w:cs="Arial"/>
          <w:color w:val="auto"/>
          <w:sz w:val="28"/>
          <w:szCs w:val="28"/>
        </w:rPr>
        <w:t>市公资交易中心</w:t>
      </w:r>
      <w:r>
        <w:rPr>
          <w:rFonts w:hint="eastAsia" w:ascii="宋体" w:hAnsi="宋体"/>
          <w:color w:val="auto"/>
          <w:sz w:val="28"/>
          <w:szCs w:val="28"/>
        </w:rPr>
        <w:t>进行协商谈判；</w:t>
      </w:r>
    </w:p>
    <w:p>
      <w:pPr>
        <w:numPr>
          <w:ilvl w:val="1"/>
          <w:numId w:val="27"/>
        </w:numPr>
        <w:tabs>
          <w:tab w:val="left" w:pos="1134"/>
        </w:tabs>
        <w:spacing w:after="200"/>
        <w:ind w:left="0" w:firstLine="567"/>
        <w:rPr>
          <w:rFonts w:ascii="宋体" w:hAnsi="宋体"/>
          <w:color w:val="auto"/>
          <w:sz w:val="28"/>
          <w:szCs w:val="28"/>
        </w:rPr>
      </w:pPr>
      <w:r>
        <w:rPr>
          <w:rFonts w:hint="eastAsia" w:ascii="宋体" w:hAnsi="宋体"/>
          <w:color w:val="auto"/>
          <w:sz w:val="28"/>
          <w:szCs w:val="28"/>
        </w:rPr>
        <w:t>中标后无正当理由拒不与采购人签订政府采购合同；</w:t>
      </w:r>
    </w:p>
    <w:p>
      <w:pPr>
        <w:numPr>
          <w:ilvl w:val="1"/>
          <w:numId w:val="27"/>
        </w:numPr>
        <w:tabs>
          <w:tab w:val="left" w:pos="1134"/>
        </w:tabs>
        <w:spacing w:after="200"/>
        <w:ind w:left="0" w:firstLine="567"/>
        <w:rPr>
          <w:rFonts w:ascii="宋体" w:hAnsi="宋体"/>
          <w:color w:val="auto"/>
          <w:sz w:val="28"/>
          <w:szCs w:val="28"/>
        </w:rPr>
      </w:pPr>
      <w:r>
        <w:rPr>
          <w:rFonts w:hint="eastAsia" w:ascii="宋体" w:hAnsi="宋体"/>
          <w:color w:val="auto"/>
          <w:sz w:val="28"/>
          <w:szCs w:val="28"/>
        </w:rPr>
        <w:t>未按照采购文件确定的事项签订政府采购合同；</w:t>
      </w:r>
    </w:p>
    <w:p>
      <w:pPr>
        <w:numPr>
          <w:ilvl w:val="1"/>
          <w:numId w:val="27"/>
        </w:numPr>
        <w:tabs>
          <w:tab w:val="left" w:pos="1134"/>
        </w:tabs>
        <w:spacing w:after="200"/>
        <w:ind w:left="0" w:firstLine="567"/>
        <w:rPr>
          <w:rFonts w:ascii="宋体" w:hAnsi="宋体"/>
          <w:color w:val="auto"/>
          <w:sz w:val="28"/>
          <w:szCs w:val="28"/>
        </w:rPr>
      </w:pPr>
      <w:r>
        <w:rPr>
          <w:rFonts w:hint="eastAsia" w:ascii="宋体" w:hAnsi="宋体"/>
          <w:color w:val="auto"/>
          <w:sz w:val="28"/>
          <w:szCs w:val="28"/>
        </w:rPr>
        <w:t>将政府采购合同转包或者违规分包；</w:t>
      </w:r>
    </w:p>
    <w:p>
      <w:pPr>
        <w:numPr>
          <w:ilvl w:val="1"/>
          <w:numId w:val="27"/>
        </w:numPr>
        <w:tabs>
          <w:tab w:val="left" w:pos="1134"/>
        </w:tabs>
        <w:spacing w:after="200"/>
        <w:ind w:left="0" w:firstLine="567"/>
        <w:rPr>
          <w:rFonts w:ascii="宋体" w:hAnsi="宋体"/>
          <w:color w:val="auto"/>
          <w:sz w:val="28"/>
          <w:szCs w:val="28"/>
        </w:rPr>
      </w:pPr>
      <w:r>
        <w:rPr>
          <w:rFonts w:hint="eastAsia" w:ascii="宋体" w:hAnsi="宋体"/>
          <w:color w:val="auto"/>
          <w:sz w:val="28"/>
          <w:szCs w:val="28"/>
        </w:rPr>
        <w:t>提供假冒伪劣产品；</w:t>
      </w:r>
    </w:p>
    <w:p>
      <w:pPr>
        <w:numPr>
          <w:ilvl w:val="1"/>
          <w:numId w:val="27"/>
        </w:numPr>
        <w:tabs>
          <w:tab w:val="left" w:pos="1134"/>
          <w:tab w:val="left" w:pos="1418"/>
        </w:tabs>
        <w:spacing w:after="200"/>
        <w:ind w:left="0" w:firstLine="567"/>
        <w:rPr>
          <w:rFonts w:ascii="宋体" w:hAnsi="宋体"/>
          <w:color w:val="auto"/>
          <w:sz w:val="28"/>
          <w:szCs w:val="28"/>
        </w:rPr>
      </w:pPr>
      <w:r>
        <w:rPr>
          <w:rFonts w:hint="eastAsia" w:ascii="宋体" w:hAnsi="宋体"/>
          <w:color w:val="auto"/>
          <w:sz w:val="28"/>
          <w:szCs w:val="28"/>
        </w:rPr>
        <w:t>擅自变更、中止或者终止政府采购合同；</w:t>
      </w:r>
    </w:p>
    <w:p>
      <w:pPr>
        <w:tabs>
          <w:tab w:val="left" w:pos="1134"/>
        </w:tabs>
        <w:ind w:firstLine="564" w:firstLineChars="200"/>
        <w:rPr>
          <w:rFonts w:ascii="宋体" w:hAnsi="宋体"/>
          <w:color w:val="auto"/>
          <w:sz w:val="28"/>
          <w:szCs w:val="28"/>
        </w:rPr>
      </w:pPr>
      <w:r>
        <w:rPr>
          <w:rFonts w:hint="eastAsia" w:ascii="宋体" w:hAnsi="宋体"/>
          <w:color w:val="auto"/>
          <w:sz w:val="28"/>
          <w:szCs w:val="28"/>
        </w:rPr>
        <w:t>十二、被列入失信被执行人、重大税收违法案件当事人名单、政府采购严重违法失信行为记录名单。参加政府采购活动前三年内，在经营活动中有重大违法记录；</w:t>
      </w:r>
    </w:p>
    <w:p>
      <w:pPr>
        <w:tabs>
          <w:tab w:val="left" w:pos="1134"/>
        </w:tabs>
        <w:ind w:firstLine="564" w:firstLineChars="200"/>
        <w:rPr>
          <w:rFonts w:ascii="宋体" w:hAnsi="宋体"/>
          <w:color w:val="auto"/>
          <w:sz w:val="28"/>
          <w:szCs w:val="28"/>
        </w:rPr>
      </w:pPr>
      <w:r>
        <w:rPr>
          <w:rFonts w:hint="eastAsia" w:ascii="宋体" w:hAnsi="宋体"/>
          <w:color w:val="auto"/>
          <w:sz w:val="28"/>
          <w:szCs w:val="28"/>
        </w:rPr>
        <w:t>十三、在行贿犯罪信息查询期限内，根据中国裁判文书网（https://wenshu.court.gov.cn）查询结果供应商及其现任法定代表人、主要负责人有行贿犯罪记录；</w:t>
      </w:r>
    </w:p>
    <w:p>
      <w:pPr>
        <w:tabs>
          <w:tab w:val="left" w:pos="1134"/>
        </w:tabs>
        <w:ind w:firstLine="564" w:firstLineChars="200"/>
        <w:rPr>
          <w:rFonts w:ascii="宋体" w:hAnsi="宋体"/>
          <w:color w:val="auto"/>
          <w:sz w:val="28"/>
          <w:szCs w:val="28"/>
        </w:rPr>
      </w:pPr>
      <w:r>
        <w:rPr>
          <w:rFonts w:hint="eastAsia" w:ascii="宋体" w:hAnsi="宋体"/>
          <w:color w:val="auto"/>
          <w:sz w:val="28"/>
          <w:szCs w:val="28"/>
        </w:rPr>
        <w:t>十四、处于被行政部门禁止参与政府采购活动的期限内；</w:t>
      </w:r>
    </w:p>
    <w:p>
      <w:pPr>
        <w:tabs>
          <w:tab w:val="left" w:pos="1134"/>
        </w:tabs>
        <w:ind w:firstLine="569" w:firstLineChars="202"/>
        <w:rPr>
          <w:rFonts w:ascii="宋体" w:hAnsi="宋体"/>
          <w:color w:val="auto"/>
          <w:sz w:val="28"/>
          <w:szCs w:val="28"/>
        </w:rPr>
      </w:pPr>
      <w:r>
        <w:rPr>
          <w:rFonts w:hint="eastAsia" w:ascii="宋体" w:hAnsi="宋体"/>
          <w:color w:val="auto"/>
          <w:sz w:val="28"/>
          <w:szCs w:val="28"/>
        </w:rPr>
        <w:t>十五、拒绝有关部门的监督检查或者向监督检查部门提供虚假情况；</w:t>
      </w:r>
    </w:p>
    <w:p>
      <w:pPr>
        <w:pStyle w:val="16"/>
        <w:spacing w:line="240" w:lineRule="auto"/>
        <w:ind w:firstLine="569" w:firstLineChars="202"/>
        <w:rPr>
          <w:rFonts w:ascii="宋体" w:hAnsi="宋体"/>
          <w:color w:val="auto"/>
          <w:sz w:val="28"/>
          <w:szCs w:val="28"/>
        </w:rPr>
      </w:pPr>
      <w:r>
        <w:rPr>
          <w:rFonts w:hint="eastAsia" w:ascii="宋体" w:hAnsi="宋体"/>
          <w:color w:val="auto"/>
          <w:sz w:val="28"/>
          <w:szCs w:val="28"/>
        </w:rPr>
        <w:t>十六、法律法规规定的其他情形。</w:t>
      </w:r>
    </w:p>
    <w:p>
      <w:pPr>
        <w:tabs>
          <w:tab w:val="left" w:pos="1134"/>
        </w:tabs>
        <w:ind w:firstLine="569" w:firstLineChars="202"/>
        <w:rPr>
          <w:rFonts w:ascii="宋体" w:hAnsi="宋体"/>
          <w:b/>
          <w:color w:val="auto"/>
          <w:sz w:val="28"/>
          <w:szCs w:val="28"/>
        </w:rPr>
      </w:pPr>
      <w:r>
        <w:rPr>
          <w:rFonts w:hint="eastAsia" w:ascii="宋体" w:hAnsi="宋体"/>
          <w:b/>
          <w:color w:val="auto"/>
          <w:sz w:val="28"/>
          <w:szCs w:val="28"/>
        </w:rPr>
        <w:t>投标人有上述情形的，按照规定追究法律责任，具备一至十四条情形之一的，同时将认定投标人投标无效或不确定其为中标人，或者取消中标资格或认定中标无效。</w:t>
      </w:r>
    </w:p>
    <w:p>
      <w:pPr>
        <w:pStyle w:val="5"/>
        <w:numPr>
          <w:ilvl w:val="2"/>
          <w:numId w:val="4"/>
        </w:numPr>
        <w:spacing w:after="200" w:line="240" w:lineRule="auto"/>
        <w:ind w:left="0" w:firstLine="0"/>
        <w:rPr>
          <w:color w:val="auto"/>
        </w:rPr>
      </w:pPr>
      <w:r>
        <w:rPr>
          <w:rFonts w:hint="eastAsia"/>
          <w:color w:val="auto"/>
        </w:rPr>
        <w:t>保密</w:t>
      </w:r>
      <w:bookmarkEnd w:id="147"/>
    </w:p>
    <w:p>
      <w:pPr>
        <w:pStyle w:val="16"/>
        <w:numPr>
          <w:ilvl w:val="0"/>
          <w:numId w:val="28"/>
        </w:numPr>
        <w:tabs>
          <w:tab w:val="left" w:pos="1134"/>
        </w:tabs>
        <w:spacing w:after="0" w:line="240" w:lineRule="auto"/>
        <w:ind w:left="0" w:firstLine="567"/>
        <w:rPr>
          <w:rFonts w:ascii="宋体" w:hAnsi="宋体"/>
          <w:color w:val="auto"/>
          <w:sz w:val="28"/>
          <w:szCs w:val="28"/>
        </w:rPr>
      </w:pPr>
      <w:r>
        <w:rPr>
          <w:rFonts w:hint="eastAsia" w:ascii="宋体" w:hAnsi="宋体"/>
          <w:color w:val="auto"/>
          <w:sz w:val="28"/>
          <w:szCs w:val="28"/>
        </w:rPr>
        <w:t>不得透露有关在系统中成功提交《采购文件获取登记表》的潜在投标人的任何情况。</w:t>
      </w:r>
    </w:p>
    <w:p>
      <w:pPr>
        <w:pStyle w:val="16"/>
        <w:numPr>
          <w:ilvl w:val="0"/>
          <w:numId w:val="28"/>
        </w:numPr>
        <w:tabs>
          <w:tab w:val="left" w:pos="1134"/>
        </w:tabs>
        <w:spacing w:after="0" w:line="240" w:lineRule="auto"/>
        <w:ind w:left="0" w:firstLine="567"/>
        <w:rPr>
          <w:rFonts w:ascii="宋体" w:hAnsi="宋体"/>
          <w:color w:val="auto"/>
          <w:sz w:val="28"/>
          <w:szCs w:val="28"/>
        </w:rPr>
      </w:pPr>
      <w:r>
        <w:rPr>
          <w:rFonts w:hint="eastAsia" w:ascii="宋体" w:hAnsi="宋体"/>
          <w:color w:val="auto"/>
          <w:sz w:val="28"/>
          <w:szCs w:val="28"/>
        </w:rPr>
        <w:t>有关投标文件的审查、澄清、评估和比较以及合同授予意向等情况都不得对外透露。</w:t>
      </w:r>
    </w:p>
    <w:p>
      <w:pPr>
        <w:pStyle w:val="5"/>
        <w:numPr>
          <w:ilvl w:val="2"/>
          <w:numId w:val="4"/>
        </w:numPr>
        <w:spacing w:after="200" w:line="240" w:lineRule="auto"/>
        <w:ind w:left="0" w:firstLine="0"/>
        <w:rPr>
          <w:color w:val="auto"/>
        </w:rPr>
      </w:pPr>
      <w:r>
        <w:rPr>
          <w:rFonts w:hint="eastAsia"/>
          <w:color w:val="auto"/>
        </w:rPr>
        <w:t>回避</w:t>
      </w:r>
    </w:p>
    <w:p>
      <w:pPr>
        <w:pStyle w:val="41"/>
        <w:shd w:val="clear" w:color="auto" w:fill="FFFFFF"/>
        <w:spacing w:before="0" w:beforeAutospacing="0" w:after="0" w:afterAutospacing="0"/>
        <w:ind w:firstLine="564" w:firstLineChars="200"/>
        <w:rPr>
          <w:rFonts w:cs="Helvetica"/>
          <w:color w:val="auto"/>
          <w:sz w:val="28"/>
          <w:szCs w:val="28"/>
        </w:rPr>
      </w:pPr>
      <w:r>
        <w:rPr>
          <w:rFonts w:hint="eastAsia" w:cs="Helvetica"/>
          <w:color w:val="auto"/>
          <w:sz w:val="28"/>
          <w:szCs w:val="28"/>
        </w:rPr>
        <w:t>在政府采购活动中，采购人员（如</w:t>
      </w:r>
      <w:r>
        <w:rPr>
          <w:rFonts w:hint="eastAsia"/>
          <w:color w:val="auto"/>
          <w:sz w:val="28"/>
          <w:szCs w:val="28"/>
        </w:rPr>
        <w:t>采购人内部负责采购项目的具体经办工作人员或直接分管采购项目的负责人、</w:t>
      </w:r>
      <w:r>
        <w:rPr>
          <w:rFonts w:hint="eastAsia" w:cs="Arial"/>
          <w:color w:val="auto"/>
          <w:sz w:val="28"/>
          <w:szCs w:val="28"/>
        </w:rPr>
        <w:t>市公资交易中心</w:t>
      </w:r>
      <w:r>
        <w:rPr>
          <w:rFonts w:hint="eastAsia"/>
          <w:color w:val="auto"/>
          <w:sz w:val="28"/>
          <w:szCs w:val="28"/>
        </w:rPr>
        <w:t>负责采购项目的具体经办工作人员或直接分管采购活动的负责人等</w:t>
      </w:r>
      <w:r>
        <w:rPr>
          <w:rFonts w:hint="eastAsia" w:cs="Helvetica"/>
          <w:color w:val="auto"/>
          <w:sz w:val="28"/>
          <w:szCs w:val="28"/>
        </w:rPr>
        <w:t>）及相关人员与供应商有下列利害关系之一的，应当回避：</w:t>
      </w:r>
    </w:p>
    <w:p>
      <w:pPr>
        <w:pStyle w:val="41"/>
        <w:shd w:val="clear" w:color="auto" w:fill="FFFFFF"/>
        <w:spacing w:before="0" w:beforeAutospacing="0" w:after="0" w:afterAutospacing="0"/>
        <w:ind w:firstLine="564" w:firstLineChars="200"/>
        <w:rPr>
          <w:rFonts w:cs="Helvetica"/>
          <w:color w:val="auto"/>
          <w:sz w:val="28"/>
          <w:szCs w:val="28"/>
        </w:rPr>
      </w:pPr>
      <w:r>
        <w:rPr>
          <w:rFonts w:hint="eastAsia" w:cs="Helvetica"/>
          <w:color w:val="auto"/>
          <w:sz w:val="28"/>
          <w:szCs w:val="28"/>
        </w:rPr>
        <w:t>（一）参加采购活动前3年内与供应商存在劳动关系；</w:t>
      </w:r>
    </w:p>
    <w:p>
      <w:pPr>
        <w:pStyle w:val="41"/>
        <w:shd w:val="clear" w:color="auto" w:fill="FFFFFF"/>
        <w:spacing w:before="0" w:beforeAutospacing="0" w:after="0" w:afterAutospacing="0"/>
        <w:ind w:firstLine="564" w:firstLineChars="200"/>
        <w:rPr>
          <w:rFonts w:cs="Helvetica"/>
          <w:color w:val="auto"/>
          <w:sz w:val="28"/>
          <w:szCs w:val="28"/>
        </w:rPr>
      </w:pPr>
      <w:r>
        <w:rPr>
          <w:rFonts w:hint="eastAsia" w:cs="Helvetica"/>
          <w:color w:val="auto"/>
          <w:sz w:val="28"/>
          <w:szCs w:val="28"/>
        </w:rPr>
        <w:t>（二）参加采购活动前3年内担任供应商的董事、监事；</w:t>
      </w:r>
    </w:p>
    <w:p>
      <w:pPr>
        <w:pStyle w:val="41"/>
        <w:shd w:val="clear" w:color="auto" w:fill="FFFFFF"/>
        <w:spacing w:before="0" w:beforeAutospacing="0" w:after="0" w:afterAutospacing="0"/>
        <w:ind w:firstLine="566" w:firstLineChars="201"/>
        <w:rPr>
          <w:rFonts w:cs="Helvetica"/>
          <w:color w:val="auto"/>
          <w:sz w:val="28"/>
          <w:szCs w:val="28"/>
        </w:rPr>
      </w:pPr>
      <w:r>
        <w:rPr>
          <w:rFonts w:hint="eastAsia" w:cs="Helvetica"/>
          <w:color w:val="auto"/>
          <w:sz w:val="28"/>
          <w:szCs w:val="28"/>
        </w:rPr>
        <w:t>（三）参加采购活动前3年内是供应商的控股股东或者实际控制人；</w:t>
      </w:r>
    </w:p>
    <w:p>
      <w:pPr>
        <w:pStyle w:val="41"/>
        <w:shd w:val="clear" w:color="auto" w:fill="FFFFFF"/>
        <w:spacing w:before="0" w:beforeAutospacing="0" w:after="0" w:afterAutospacing="0"/>
        <w:ind w:firstLine="564" w:firstLineChars="200"/>
        <w:rPr>
          <w:rFonts w:cs="Helvetica"/>
          <w:color w:val="auto"/>
          <w:sz w:val="28"/>
          <w:szCs w:val="28"/>
        </w:rPr>
      </w:pPr>
      <w:r>
        <w:rPr>
          <w:rFonts w:hint="eastAsia" w:cs="Helvetica"/>
          <w:color w:val="auto"/>
          <w:sz w:val="28"/>
          <w:szCs w:val="28"/>
        </w:rPr>
        <w:t>（四）与供应商的法定代表人或者负责人有夫妻、直系血亲、三代以内旁系血亲或者近姻亲关系；</w:t>
      </w:r>
    </w:p>
    <w:p>
      <w:pPr>
        <w:pStyle w:val="41"/>
        <w:shd w:val="clear" w:color="auto" w:fill="FFFFFF"/>
        <w:spacing w:before="0" w:beforeAutospacing="0" w:after="0" w:afterAutospacing="0"/>
        <w:ind w:firstLine="564" w:firstLineChars="200"/>
        <w:rPr>
          <w:rFonts w:cs="Helvetica"/>
          <w:color w:val="auto"/>
          <w:sz w:val="28"/>
          <w:szCs w:val="28"/>
        </w:rPr>
      </w:pPr>
      <w:r>
        <w:rPr>
          <w:rFonts w:hint="eastAsia" w:cs="Helvetica"/>
          <w:color w:val="auto"/>
          <w:sz w:val="28"/>
          <w:szCs w:val="28"/>
        </w:rPr>
        <w:t>（五）与供应商有其他可能影响政府采购活动公平、公正进行的关系。</w:t>
      </w:r>
    </w:p>
    <w:p>
      <w:pPr>
        <w:pStyle w:val="41"/>
        <w:shd w:val="clear" w:color="auto" w:fill="FFFFFF"/>
        <w:spacing w:before="0" w:beforeAutospacing="0" w:after="0" w:afterAutospacing="0"/>
        <w:ind w:firstLine="564" w:firstLineChars="200"/>
        <w:rPr>
          <w:color w:val="auto"/>
          <w:sz w:val="28"/>
          <w:szCs w:val="28"/>
        </w:rPr>
      </w:pPr>
      <w:r>
        <w:rPr>
          <w:rFonts w:hint="eastAsia" w:cs="Helvetica"/>
          <w:color w:val="auto"/>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bookmarkEnd w:id="144"/>
    <w:bookmarkEnd w:id="145"/>
    <w:p>
      <w:pPr>
        <w:pStyle w:val="4"/>
        <w:numPr>
          <w:ilvl w:val="1"/>
          <w:numId w:val="4"/>
        </w:numPr>
        <w:spacing w:before="0" w:after="0" w:line="240" w:lineRule="auto"/>
        <w:ind w:left="993" w:hanging="993"/>
        <w:rPr>
          <w:color w:val="auto"/>
        </w:rPr>
      </w:pPr>
      <w:bookmarkStart w:id="148" w:name="_Toc65573693"/>
      <w:bookmarkStart w:id="149" w:name="_Toc21164"/>
      <w:bookmarkStart w:id="150" w:name="_Toc26656"/>
      <w:bookmarkStart w:id="151" w:name="_Toc217446078"/>
      <w:bookmarkStart w:id="152" w:name="_Toc15833"/>
      <w:bookmarkStart w:id="153" w:name="_Toc446402234"/>
      <w:bookmarkStart w:id="154" w:name="_Toc8315"/>
      <w:bookmarkStart w:id="155" w:name="_Toc374971122"/>
      <w:bookmarkStart w:id="156" w:name="_Toc379536619"/>
      <w:r>
        <w:rPr>
          <w:rFonts w:hint="eastAsia"/>
          <w:color w:val="auto"/>
        </w:rPr>
        <w:t>询问、质疑和投诉</w:t>
      </w:r>
      <w:bookmarkEnd w:id="148"/>
      <w:bookmarkEnd w:id="149"/>
      <w:bookmarkEnd w:id="150"/>
      <w:bookmarkEnd w:id="151"/>
      <w:bookmarkEnd w:id="152"/>
      <w:bookmarkEnd w:id="153"/>
      <w:bookmarkEnd w:id="154"/>
      <w:bookmarkStart w:id="157" w:name="_Toc217446079"/>
    </w:p>
    <w:p>
      <w:pPr>
        <w:numPr>
          <w:ilvl w:val="0"/>
          <w:numId w:val="29"/>
        </w:numPr>
        <w:spacing w:line="500" w:lineRule="exact"/>
        <w:ind w:left="0" w:firstLine="567"/>
        <w:jc w:val="left"/>
        <w:rPr>
          <w:color w:val="auto"/>
          <w:sz w:val="28"/>
          <w:szCs w:val="28"/>
        </w:rPr>
      </w:pPr>
      <w:r>
        <w:rPr>
          <w:rFonts w:hint="eastAsia"/>
          <w:color w:val="auto"/>
          <w:sz w:val="28"/>
          <w:szCs w:val="28"/>
        </w:rPr>
        <w:t>询问、质疑、投诉的接收和处理严格按照《中华人民共和国政府采购法》、《中华人民共和国政府采购法实施条例》《中华人民共和国财政部货物和服务招投标管理办法》（财政部第</w:t>
      </w:r>
      <w:r>
        <w:rPr>
          <w:color w:val="auto"/>
          <w:sz w:val="28"/>
          <w:szCs w:val="28"/>
        </w:rPr>
        <w:t>87</w:t>
      </w:r>
      <w:r>
        <w:rPr>
          <w:rFonts w:hint="eastAsia"/>
          <w:color w:val="auto"/>
          <w:sz w:val="28"/>
          <w:szCs w:val="28"/>
        </w:rPr>
        <w:t>号令）和《政府采购质疑和投诉办法》（财政部</w:t>
      </w:r>
      <w:r>
        <w:rPr>
          <w:color w:val="auto"/>
          <w:sz w:val="28"/>
          <w:szCs w:val="28"/>
        </w:rPr>
        <w:t>94</w:t>
      </w:r>
      <w:r>
        <w:rPr>
          <w:rFonts w:hint="eastAsia"/>
          <w:color w:val="auto"/>
          <w:sz w:val="28"/>
          <w:szCs w:val="28"/>
        </w:rPr>
        <w:t>号令）的规定办理。</w:t>
      </w:r>
    </w:p>
    <w:p>
      <w:pPr>
        <w:numPr>
          <w:ilvl w:val="0"/>
          <w:numId w:val="29"/>
        </w:numPr>
        <w:spacing w:line="500" w:lineRule="exact"/>
        <w:ind w:left="0" w:firstLine="567"/>
        <w:jc w:val="left"/>
        <w:rPr>
          <w:color w:val="auto"/>
          <w:sz w:val="28"/>
          <w:szCs w:val="28"/>
        </w:rPr>
      </w:pPr>
      <w:r>
        <w:rPr>
          <w:rFonts w:hint="eastAsia"/>
          <w:color w:val="auto"/>
          <w:sz w:val="28"/>
          <w:szCs w:val="28"/>
        </w:rPr>
        <w:t>供应商</w:t>
      </w:r>
      <w:r>
        <w:rPr>
          <w:rFonts w:hint="eastAsia" w:ascii="宋体" w:hAnsi="宋体"/>
          <w:color w:val="auto"/>
          <w:sz w:val="28"/>
          <w:szCs w:val="28"/>
        </w:rPr>
        <w:t>询问、质疑的对象</w:t>
      </w:r>
    </w:p>
    <w:p>
      <w:pPr>
        <w:numPr>
          <w:ilvl w:val="1"/>
          <w:numId w:val="30"/>
        </w:numPr>
        <w:tabs>
          <w:tab w:val="left" w:pos="0"/>
          <w:tab w:val="left" w:pos="1276"/>
        </w:tabs>
        <w:spacing w:after="120" w:line="500" w:lineRule="exact"/>
        <w:ind w:left="0" w:firstLine="567"/>
        <w:rPr>
          <w:rFonts w:ascii="宋体" w:hAnsi="宋体"/>
          <w:color w:val="auto"/>
          <w:sz w:val="28"/>
          <w:szCs w:val="28"/>
        </w:rPr>
      </w:pPr>
      <w:r>
        <w:rPr>
          <w:rFonts w:hint="eastAsia"/>
          <w:color w:val="auto"/>
          <w:sz w:val="28"/>
          <w:szCs w:val="28"/>
        </w:rPr>
        <w:t>供应商</w:t>
      </w:r>
      <w:r>
        <w:rPr>
          <w:rFonts w:hint="eastAsia" w:ascii="宋体" w:hAnsi="宋体"/>
          <w:color w:val="auto"/>
          <w:sz w:val="28"/>
          <w:szCs w:val="28"/>
        </w:rPr>
        <w:t>对招标文件中</w:t>
      </w:r>
      <w:r>
        <w:rPr>
          <w:rFonts w:hint="eastAsia"/>
          <w:color w:val="auto"/>
          <w:sz w:val="28"/>
          <w:szCs w:val="28"/>
        </w:rPr>
        <w:t>供应商</w:t>
      </w:r>
      <w:r>
        <w:rPr>
          <w:rFonts w:hint="eastAsia" w:ascii="宋体" w:hAnsi="宋体"/>
          <w:color w:val="auto"/>
          <w:sz w:val="28"/>
          <w:szCs w:val="28"/>
        </w:rPr>
        <w:t>参加本次政府采购活动应当具备的条件，招标项目技术、服务、商务及其他要求，</w:t>
      </w:r>
      <w:r>
        <w:rPr>
          <w:rFonts w:hint="eastAsia" w:ascii="宋体" w:hAnsi="宋体" w:eastAsia="宋体" w:cs="Times New Roman"/>
          <w:color w:val="auto"/>
          <w:sz w:val="28"/>
          <w:szCs w:val="28"/>
          <w:lang w:val="zh-CN"/>
        </w:rPr>
        <w:t>投标资料造假或虚假承诺</w:t>
      </w:r>
      <w:r>
        <w:rPr>
          <w:rFonts w:hint="eastAsia" w:ascii="宋体" w:hAnsi="宋体" w:cs="Times New Roman"/>
          <w:color w:val="auto"/>
          <w:sz w:val="28"/>
          <w:szCs w:val="28"/>
          <w:lang w:val="zh-CN"/>
        </w:rPr>
        <w:t>，</w:t>
      </w:r>
      <w:r>
        <w:rPr>
          <w:rFonts w:hint="eastAsia" w:ascii="宋体" w:hAnsi="宋体" w:eastAsia="宋体" w:cs="Times New Roman"/>
          <w:color w:val="auto"/>
          <w:sz w:val="28"/>
          <w:szCs w:val="28"/>
        </w:rPr>
        <w:t>和中标结果中</w:t>
      </w:r>
      <w:r>
        <w:rPr>
          <w:rFonts w:hint="eastAsia" w:ascii="宋体" w:hAnsi="宋体"/>
          <w:color w:val="auto"/>
          <w:sz w:val="28"/>
          <w:szCs w:val="28"/>
        </w:rPr>
        <w:t>关于资格审查提出询问或质疑的，应通过</w:t>
      </w:r>
      <w:r>
        <w:rPr>
          <w:rFonts w:hint="eastAsia"/>
          <w:color w:val="auto"/>
          <w:sz w:val="28"/>
          <w:szCs w:val="28"/>
        </w:rPr>
        <w:t>“政府采购云平台”</w:t>
      </w:r>
      <w:r>
        <w:rPr>
          <w:rFonts w:hint="eastAsia" w:ascii="宋体" w:hAnsi="宋体"/>
          <w:color w:val="auto"/>
          <w:sz w:val="28"/>
          <w:szCs w:val="28"/>
        </w:rPr>
        <w:t>向采购人提出；</w:t>
      </w:r>
    </w:p>
    <w:p>
      <w:pPr>
        <w:numPr>
          <w:ilvl w:val="1"/>
          <w:numId w:val="30"/>
        </w:numPr>
        <w:spacing w:after="120" w:line="500" w:lineRule="exact"/>
        <w:ind w:left="0" w:firstLine="567"/>
        <w:rPr>
          <w:rFonts w:ascii="宋体" w:hAnsi="宋体"/>
          <w:color w:val="auto"/>
          <w:sz w:val="28"/>
          <w:szCs w:val="28"/>
        </w:rPr>
      </w:pPr>
      <w:r>
        <w:rPr>
          <w:rFonts w:hint="eastAsia"/>
          <w:color w:val="auto"/>
          <w:sz w:val="28"/>
          <w:szCs w:val="28"/>
        </w:rPr>
        <w:t>供应商对除上述招标文件中的其他内容，采购过程及中标结果（除资格审查）提出询问或质疑的，应通过“政府采购云平台”向市公资交易中心提出</w:t>
      </w:r>
      <w:r>
        <w:rPr>
          <w:rFonts w:hint="eastAsia" w:ascii="宋体" w:hAnsi="宋体"/>
          <w:color w:val="auto"/>
          <w:sz w:val="28"/>
          <w:szCs w:val="28"/>
        </w:rPr>
        <w:t>。</w:t>
      </w:r>
    </w:p>
    <w:p>
      <w:pPr>
        <w:numPr>
          <w:ilvl w:val="0"/>
          <w:numId w:val="29"/>
        </w:numPr>
        <w:tabs>
          <w:tab w:val="left" w:pos="1134"/>
        </w:tabs>
        <w:spacing w:after="120" w:line="500" w:lineRule="exact"/>
        <w:ind w:left="0" w:firstLine="567"/>
        <w:rPr>
          <w:rFonts w:ascii="宋体" w:hAnsi="宋体"/>
          <w:color w:val="auto"/>
          <w:sz w:val="28"/>
          <w:szCs w:val="28"/>
        </w:rPr>
      </w:pPr>
      <w:r>
        <w:rPr>
          <w:rFonts w:hint="eastAsia" w:ascii="宋体" w:hAnsi="宋体"/>
          <w:color w:val="auto"/>
          <w:sz w:val="28"/>
          <w:szCs w:val="28"/>
        </w:rPr>
        <w:t>供应商提出的询问，应当明确询问事项，如以书面形式提出的，应由供应商签字并加盖公章。</w:t>
      </w:r>
    </w:p>
    <w:p>
      <w:pPr>
        <w:numPr>
          <w:ilvl w:val="0"/>
          <w:numId w:val="29"/>
        </w:numPr>
        <w:tabs>
          <w:tab w:val="left" w:pos="1134"/>
        </w:tabs>
        <w:spacing w:after="120" w:line="500" w:lineRule="exact"/>
        <w:ind w:left="0" w:firstLine="567"/>
        <w:rPr>
          <w:rFonts w:ascii="宋体" w:hAnsi="宋体"/>
          <w:color w:val="auto"/>
          <w:sz w:val="28"/>
          <w:szCs w:val="28"/>
        </w:rPr>
      </w:pPr>
      <w:r>
        <w:rPr>
          <w:rFonts w:hint="eastAsia" w:ascii="宋体" w:hAnsi="宋体"/>
          <w:color w:val="auto"/>
          <w:sz w:val="28"/>
          <w:szCs w:val="28"/>
        </w:rPr>
        <w:t>供应商应在法定质疑期内一次性提出针对同一采购程序环节的质疑。</w:t>
      </w:r>
    </w:p>
    <w:p>
      <w:pPr>
        <w:numPr>
          <w:ilvl w:val="0"/>
          <w:numId w:val="29"/>
        </w:numPr>
        <w:tabs>
          <w:tab w:val="left" w:pos="1134"/>
        </w:tabs>
        <w:spacing w:after="120" w:line="500" w:lineRule="exact"/>
        <w:ind w:left="0" w:firstLine="567"/>
        <w:rPr>
          <w:rFonts w:ascii="宋体" w:hAnsi="宋体"/>
          <w:color w:val="auto"/>
          <w:sz w:val="28"/>
          <w:szCs w:val="28"/>
        </w:rPr>
      </w:pPr>
      <w:r>
        <w:rPr>
          <w:rFonts w:hint="eastAsia" w:ascii="宋体" w:hAnsi="宋体"/>
          <w:color w:val="auto"/>
          <w:sz w:val="28"/>
          <w:szCs w:val="28"/>
        </w:rPr>
        <w:t>供应商提出质疑时应当准备的资料</w:t>
      </w:r>
    </w:p>
    <w:p>
      <w:pPr>
        <w:pStyle w:val="41"/>
        <w:shd w:val="clear" w:color="auto" w:fill="FFFFFF"/>
        <w:spacing w:before="0" w:beforeAutospacing="0" w:after="0" w:afterAutospacing="0" w:line="276" w:lineRule="auto"/>
        <w:ind w:firstLine="564" w:firstLineChars="200"/>
        <w:rPr>
          <w:rFonts w:cs="Helvetica"/>
          <w:color w:val="auto"/>
          <w:sz w:val="28"/>
          <w:szCs w:val="28"/>
        </w:rPr>
      </w:pPr>
      <w:r>
        <w:rPr>
          <w:rFonts w:hint="eastAsia" w:cs="Helvetica"/>
          <w:color w:val="auto"/>
          <w:sz w:val="28"/>
          <w:szCs w:val="28"/>
        </w:rPr>
        <w:t>（一）质疑书正本1份；</w:t>
      </w:r>
    </w:p>
    <w:p>
      <w:pPr>
        <w:pStyle w:val="41"/>
        <w:shd w:val="clear" w:color="auto" w:fill="FFFFFF"/>
        <w:spacing w:before="0" w:beforeAutospacing="0" w:after="0" w:afterAutospacing="0" w:line="276" w:lineRule="auto"/>
        <w:ind w:firstLine="564" w:firstLineChars="200"/>
        <w:rPr>
          <w:rFonts w:cs="Helvetica"/>
          <w:color w:val="auto"/>
          <w:sz w:val="28"/>
          <w:szCs w:val="28"/>
        </w:rPr>
      </w:pPr>
      <w:r>
        <w:rPr>
          <w:rFonts w:hint="eastAsia" w:cs="Helvetica"/>
          <w:color w:val="auto"/>
          <w:sz w:val="28"/>
          <w:szCs w:val="28"/>
        </w:rPr>
        <w:t>（二）法定代表人授权委托书1份（委托代理人办理质疑事宜的需提供）；</w:t>
      </w:r>
    </w:p>
    <w:p>
      <w:pPr>
        <w:pStyle w:val="41"/>
        <w:shd w:val="clear" w:color="auto" w:fill="FFFFFF"/>
        <w:spacing w:before="0" w:beforeAutospacing="0" w:after="0" w:afterAutospacing="0" w:line="276" w:lineRule="auto"/>
        <w:ind w:firstLine="564" w:firstLineChars="200"/>
        <w:rPr>
          <w:rFonts w:cs="Helvetica"/>
          <w:color w:val="auto"/>
          <w:sz w:val="28"/>
          <w:szCs w:val="28"/>
        </w:rPr>
      </w:pPr>
      <w:r>
        <w:rPr>
          <w:rFonts w:hint="eastAsia" w:cs="Helvetica"/>
          <w:color w:val="auto"/>
          <w:sz w:val="28"/>
          <w:szCs w:val="28"/>
        </w:rPr>
        <w:t>（三）营业执照或法人证书复印件1份（加盖公章）；</w:t>
      </w:r>
    </w:p>
    <w:p>
      <w:pPr>
        <w:pStyle w:val="41"/>
        <w:shd w:val="clear" w:color="auto" w:fill="FFFFFF"/>
        <w:spacing w:before="0" w:beforeAutospacing="0" w:after="0" w:afterAutospacing="0" w:line="276" w:lineRule="auto"/>
        <w:ind w:firstLine="564" w:firstLineChars="200"/>
        <w:rPr>
          <w:rFonts w:cs="Helvetica"/>
          <w:color w:val="auto"/>
          <w:sz w:val="28"/>
          <w:szCs w:val="28"/>
        </w:rPr>
      </w:pPr>
      <w:r>
        <w:rPr>
          <w:rFonts w:hint="eastAsia" w:cs="Helvetica"/>
          <w:color w:val="auto"/>
          <w:sz w:val="28"/>
          <w:szCs w:val="28"/>
        </w:rPr>
        <w:t>（四）法定代表人身份证复印件1份；</w:t>
      </w:r>
    </w:p>
    <w:p>
      <w:pPr>
        <w:pStyle w:val="41"/>
        <w:shd w:val="clear" w:color="auto" w:fill="FFFFFF"/>
        <w:spacing w:before="0" w:beforeAutospacing="0" w:after="0" w:afterAutospacing="0" w:line="276" w:lineRule="auto"/>
        <w:ind w:firstLine="564" w:firstLineChars="200"/>
        <w:rPr>
          <w:rFonts w:cs="Helvetica"/>
          <w:color w:val="auto"/>
          <w:sz w:val="28"/>
          <w:szCs w:val="28"/>
        </w:rPr>
      </w:pPr>
      <w:r>
        <w:rPr>
          <w:rFonts w:hint="eastAsia" w:cs="Helvetica"/>
          <w:color w:val="auto"/>
          <w:sz w:val="28"/>
          <w:szCs w:val="28"/>
        </w:rPr>
        <w:t>（五）委托代理人身份证复印件1份（委托代理人办理质疑事宜的需提供）；</w:t>
      </w:r>
    </w:p>
    <w:p>
      <w:pPr>
        <w:pStyle w:val="41"/>
        <w:shd w:val="clear" w:color="auto" w:fill="FFFFFF"/>
        <w:spacing w:before="0" w:beforeAutospacing="0" w:after="0" w:afterAutospacing="0" w:line="276" w:lineRule="auto"/>
        <w:ind w:firstLine="564" w:firstLineChars="200"/>
        <w:rPr>
          <w:rFonts w:cs="Helvetica"/>
          <w:color w:val="auto"/>
          <w:sz w:val="28"/>
          <w:szCs w:val="28"/>
        </w:rPr>
      </w:pPr>
      <w:r>
        <w:rPr>
          <w:rFonts w:hint="eastAsia" w:cs="Helvetica"/>
          <w:color w:val="auto"/>
          <w:sz w:val="28"/>
          <w:szCs w:val="28"/>
        </w:rPr>
        <w:t>（六）针对质疑事项必要的证明材料。</w:t>
      </w:r>
    </w:p>
    <w:p>
      <w:pPr>
        <w:numPr>
          <w:ilvl w:val="0"/>
          <w:numId w:val="29"/>
        </w:numPr>
        <w:tabs>
          <w:tab w:val="left" w:pos="1134"/>
        </w:tabs>
        <w:spacing w:line="500" w:lineRule="exact"/>
        <w:ind w:left="0" w:firstLine="567"/>
        <w:rPr>
          <w:rFonts w:ascii="宋体" w:hAnsi="宋体"/>
          <w:color w:val="auto"/>
          <w:sz w:val="28"/>
          <w:szCs w:val="28"/>
        </w:rPr>
      </w:pPr>
      <w:r>
        <w:rPr>
          <w:rFonts w:hint="eastAsia" w:ascii="宋体" w:hAnsi="宋体"/>
          <w:color w:val="auto"/>
          <w:sz w:val="28"/>
          <w:szCs w:val="28"/>
        </w:rPr>
        <w:t>供应商对采购人</w:t>
      </w:r>
      <w:r>
        <w:rPr>
          <w:rFonts w:ascii="宋体" w:hAnsi="宋体"/>
          <w:color w:val="auto"/>
          <w:sz w:val="28"/>
          <w:szCs w:val="28"/>
        </w:rPr>
        <w:t>或</w:t>
      </w:r>
      <w:r>
        <w:rPr>
          <w:rFonts w:hint="eastAsia" w:ascii="宋体" w:hAnsi="宋体"/>
          <w:color w:val="auto"/>
          <w:sz w:val="28"/>
          <w:szCs w:val="28"/>
        </w:rPr>
        <w:t>市公资交易中心的质疑答复不满意，或者采购人</w:t>
      </w:r>
      <w:r>
        <w:rPr>
          <w:rFonts w:ascii="宋体" w:hAnsi="宋体"/>
          <w:color w:val="auto"/>
          <w:sz w:val="28"/>
          <w:szCs w:val="28"/>
        </w:rPr>
        <w:t>或</w:t>
      </w:r>
      <w:r>
        <w:rPr>
          <w:rFonts w:hint="eastAsia" w:ascii="宋体" w:hAnsi="宋体"/>
          <w:color w:val="auto"/>
          <w:sz w:val="28"/>
          <w:szCs w:val="28"/>
        </w:rPr>
        <w:t>市公资交易中心未在规定期限内作出答复的，供应商可以在答复期满后15个工作日内向同级财政部门提起投诉。</w:t>
      </w:r>
    </w:p>
    <w:bookmarkEnd w:id="157"/>
    <w:p>
      <w:pPr>
        <w:pStyle w:val="4"/>
        <w:numPr>
          <w:ilvl w:val="1"/>
          <w:numId w:val="4"/>
        </w:numPr>
        <w:spacing w:before="0" w:after="0" w:line="240" w:lineRule="auto"/>
        <w:ind w:left="2269" w:hanging="2269"/>
        <w:rPr>
          <w:color w:val="auto"/>
          <w:sz w:val="36"/>
          <w:szCs w:val="36"/>
        </w:rPr>
      </w:pPr>
      <w:bookmarkStart w:id="158" w:name="_Toc8941"/>
      <w:bookmarkStart w:id="159" w:name="_Toc65573694"/>
      <w:bookmarkStart w:id="160" w:name="_Toc11597"/>
      <w:bookmarkStart w:id="161" w:name="_Toc10245"/>
      <w:bookmarkStart w:id="162" w:name="_Toc1212"/>
      <w:r>
        <w:rPr>
          <w:rFonts w:hint="eastAsia"/>
          <w:color w:val="auto"/>
        </w:rPr>
        <w:t>中小企业政府采购信用融资</w:t>
      </w:r>
      <w:bookmarkEnd w:id="155"/>
      <w:bookmarkEnd w:id="156"/>
      <w:bookmarkEnd w:id="158"/>
      <w:bookmarkEnd w:id="159"/>
      <w:bookmarkEnd w:id="160"/>
      <w:bookmarkEnd w:id="161"/>
      <w:bookmarkEnd w:id="162"/>
    </w:p>
    <w:p>
      <w:pPr>
        <w:numPr>
          <w:ilvl w:val="2"/>
          <w:numId w:val="31"/>
        </w:numPr>
        <w:tabs>
          <w:tab w:val="left" w:pos="1134"/>
        </w:tabs>
        <w:spacing w:after="200"/>
        <w:ind w:left="0" w:firstLine="567"/>
        <w:rPr>
          <w:rFonts w:ascii="宋体" w:hAnsi="宋体"/>
          <w:color w:val="auto"/>
          <w:sz w:val="28"/>
          <w:szCs w:val="28"/>
        </w:rPr>
      </w:pPr>
      <w:r>
        <w:rPr>
          <w:rFonts w:hint="eastAsia" w:ascii="宋体" w:hAnsi="宋体"/>
          <w:color w:val="auto"/>
          <w:sz w:val="28"/>
          <w:szCs w:val="28"/>
        </w:rPr>
        <w:t>参与本次招标活动中标的中小企业投标人无需提供财产抵押或第三方担保，凭借政府采购合同可向融资机构申请融资。</w:t>
      </w:r>
    </w:p>
    <w:p>
      <w:pPr>
        <w:numPr>
          <w:ilvl w:val="2"/>
          <w:numId w:val="31"/>
        </w:numPr>
        <w:tabs>
          <w:tab w:val="left" w:pos="1134"/>
        </w:tabs>
        <w:spacing w:after="200"/>
        <w:ind w:left="0" w:firstLine="567"/>
        <w:rPr>
          <w:rFonts w:hint="eastAsia" w:ascii="宋体" w:hAnsi="宋体" w:eastAsia="宋体" w:cs="Times New Roman"/>
          <w:color w:val="auto"/>
          <w:sz w:val="28"/>
          <w:szCs w:val="28"/>
        </w:rPr>
      </w:pPr>
      <w:r>
        <w:rPr>
          <w:rFonts w:hint="eastAsia" w:ascii="宋体" w:hAnsi="宋体" w:eastAsia="宋体" w:cs="Times New Roman"/>
          <w:color w:val="auto"/>
          <w:sz w:val="28"/>
          <w:szCs w:val="28"/>
        </w:rPr>
        <w:t>具体内容详见成都市公共资源交易服务中心网（http://www.cdggzy.com/）都江堰市分中心“通知公告”栏《都江堰市财政局 中国人民银行都江堰市支行关于转发〈成都市中小企业政府采购信用融资暂行办法〉的通知》（都财发[2019]88号）和《都江堰市财政局 中国人民银行都江堰市支行关于转发〈都江堰市支持中小企业政府采购信用融资实施方案〉的通知》（都财发[2019]92号）。</w:t>
      </w:r>
    </w:p>
    <w:p>
      <w:pPr>
        <w:tabs>
          <w:tab w:val="left" w:pos="1134"/>
        </w:tabs>
        <w:spacing w:after="200"/>
        <w:ind w:left="567"/>
        <w:rPr>
          <w:rFonts w:ascii="宋体" w:hAnsi="宋体"/>
          <w:color w:val="auto"/>
          <w:sz w:val="28"/>
          <w:szCs w:val="28"/>
        </w:rPr>
      </w:pPr>
    </w:p>
    <w:p>
      <w:pPr>
        <w:tabs>
          <w:tab w:val="left" w:pos="1134"/>
        </w:tabs>
        <w:spacing w:after="200"/>
        <w:rPr>
          <w:rFonts w:ascii="宋体" w:hAnsi="宋体"/>
          <w:color w:val="auto"/>
          <w:sz w:val="28"/>
          <w:szCs w:val="28"/>
        </w:rPr>
      </w:pPr>
    </w:p>
    <w:p>
      <w:pPr>
        <w:rPr>
          <w:rFonts w:ascii="宋体" w:hAnsi="宋体"/>
          <w:color w:val="auto"/>
          <w:sz w:val="28"/>
          <w:szCs w:val="28"/>
        </w:rPr>
      </w:pPr>
      <w:r>
        <w:rPr>
          <w:rFonts w:ascii="宋体" w:hAnsi="宋体"/>
          <w:color w:val="auto"/>
          <w:sz w:val="28"/>
          <w:szCs w:val="28"/>
        </w:rPr>
        <w:br w:type="page"/>
      </w:r>
    </w:p>
    <w:p>
      <w:pPr>
        <w:pStyle w:val="3"/>
        <w:numPr>
          <w:ilvl w:val="0"/>
          <w:numId w:val="4"/>
        </w:numPr>
        <w:spacing w:line="240" w:lineRule="auto"/>
        <w:rPr>
          <w:color w:val="auto"/>
        </w:rPr>
      </w:pPr>
      <w:bookmarkStart w:id="163" w:name="_Toc316292048"/>
      <w:bookmarkEnd w:id="163"/>
      <w:bookmarkStart w:id="164" w:name="_Toc316292051"/>
      <w:bookmarkEnd w:id="164"/>
      <w:bookmarkStart w:id="165" w:name="_Toc316292049"/>
      <w:bookmarkEnd w:id="165"/>
      <w:bookmarkStart w:id="166" w:name="_Toc315871047"/>
      <w:bookmarkEnd w:id="166"/>
      <w:bookmarkStart w:id="167" w:name="_Toc316292052"/>
      <w:bookmarkEnd w:id="167"/>
      <w:bookmarkStart w:id="168" w:name="_Toc315871050"/>
      <w:bookmarkEnd w:id="168"/>
      <w:bookmarkStart w:id="169" w:name="_Toc315871045"/>
      <w:bookmarkEnd w:id="169"/>
      <w:bookmarkStart w:id="170" w:name="_Toc316292050"/>
      <w:bookmarkEnd w:id="170"/>
      <w:bookmarkStart w:id="171" w:name="_Toc315871048"/>
      <w:bookmarkEnd w:id="171"/>
      <w:bookmarkStart w:id="172" w:name="_Toc315871049"/>
      <w:bookmarkEnd w:id="172"/>
      <w:bookmarkStart w:id="173" w:name="_Toc315871046"/>
      <w:bookmarkEnd w:id="173"/>
      <w:bookmarkStart w:id="174" w:name="_Toc8836"/>
      <w:bookmarkStart w:id="175" w:name="_Toc65573695"/>
      <w:bookmarkStart w:id="176" w:name="_Toc29131"/>
      <w:bookmarkStart w:id="177" w:name="_Toc7565"/>
      <w:bookmarkStart w:id="178" w:name="_Toc17383"/>
      <w:r>
        <w:rPr>
          <w:rFonts w:hint="eastAsia"/>
          <w:color w:val="auto"/>
        </w:rPr>
        <w:t>投标文件格式</w:t>
      </w:r>
      <w:bookmarkEnd w:id="174"/>
      <w:bookmarkEnd w:id="175"/>
      <w:bookmarkEnd w:id="176"/>
      <w:bookmarkEnd w:id="177"/>
      <w:bookmarkEnd w:id="178"/>
    </w:p>
    <w:p>
      <w:pPr>
        <w:pStyle w:val="4"/>
        <w:numPr>
          <w:ilvl w:val="1"/>
          <w:numId w:val="4"/>
        </w:numPr>
        <w:spacing w:line="240" w:lineRule="auto"/>
        <w:ind w:left="2269" w:hanging="2269"/>
        <w:rPr>
          <w:color w:val="auto"/>
        </w:rPr>
      </w:pPr>
      <w:bookmarkStart w:id="179" w:name="_Toc2879"/>
      <w:bookmarkStart w:id="180" w:name="_Toc65573696"/>
      <w:bookmarkStart w:id="181" w:name="_Toc187"/>
      <w:bookmarkStart w:id="182" w:name="_Toc182759327"/>
      <w:bookmarkStart w:id="183" w:name="_Toc294688711"/>
      <w:bookmarkStart w:id="184" w:name="_Toc211218954"/>
      <w:bookmarkStart w:id="185" w:name="_Toc15035"/>
      <w:bookmarkStart w:id="186" w:name="_Toc23011"/>
      <w:bookmarkStart w:id="187" w:name="_Toc316462354"/>
      <w:bookmarkStart w:id="188" w:name="_Toc294701519"/>
      <w:bookmarkStart w:id="189" w:name="_Toc295978802"/>
      <w:bookmarkStart w:id="190" w:name="_Toc287367101"/>
      <w:bookmarkStart w:id="191" w:name="_Toc182629023"/>
      <w:r>
        <w:rPr>
          <w:rFonts w:hint="eastAsia"/>
          <w:color w:val="auto"/>
        </w:rPr>
        <w:t>投标文件封面格式</w:t>
      </w:r>
      <w:bookmarkEnd w:id="179"/>
      <w:bookmarkEnd w:id="180"/>
      <w:bookmarkEnd w:id="181"/>
      <w:bookmarkEnd w:id="182"/>
      <w:bookmarkEnd w:id="183"/>
      <w:bookmarkEnd w:id="184"/>
      <w:bookmarkEnd w:id="185"/>
      <w:bookmarkEnd w:id="186"/>
      <w:bookmarkEnd w:id="187"/>
      <w:bookmarkEnd w:id="188"/>
      <w:bookmarkEnd w:id="189"/>
      <w:bookmarkEnd w:id="190"/>
      <w:bookmarkEnd w:id="191"/>
    </w:p>
    <w:p>
      <w:pPr>
        <w:rPr>
          <w:rFonts w:ascii="宋体" w:hAnsi="宋体"/>
          <w:bCs/>
          <w:color w:val="auto"/>
          <w:szCs w:val="21"/>
        </w:rPr>
      </w:pPr>
    </w:p>
    <w:p>
      <w:pPr>
        <w:rPr>
          <w:rFonts w:ascii="宋体" w:hAnsi="宋体"/>
          <w:bCs/>
          <w:color w:val="auto"/>
          <w:szCs w:val="21"/>
        </w:rPr>
      </w:pPr>
    </w:p>
    <w:p>
      <w:pPr>
        <w:rPr>
          <w:rFonts w:ascii="宋体" w:hAnsi="宋体"/>
          <w:bCs/>
          <w:color w:val="auto"/>
          <w:szCs w:val="21"/>
        </w:rPr>
      </w:pPr>
    </w:p>
    <w:p>
      <w:pPr>
        <w:jc w:val="right"/>
        <w:rPr>
          <w:rFonts w:ascii="宋体" w:hAnsi="宋体"/>
          <w:color w:val="auto"/>
          <w:sz w:val="24"/>
        </w:rPr>
      </w:pPr>
    </w:p>
    <w:p>
      <w:pPr>
        <w:jc w:val="center"/>
        <w:rPr>
          <w:rFonts w:ascii="宋体" w:hAnsi="宋体"/>
          <w:color w:val="auto"/>
          <w:spacing w:val="78"/>
          <w:sz w:val="120"/>
          <w:szCs w:val="120"/>
        </w:rPr>
      </w:pPr>
      <w:r>
        <w:rPr>
          <w:rFonts w:hint="eastAsia" w:ascii="宋体" w:hAnsi="宋体"/>
          <w:color w:val="auto"/>
          <w:spacing w:val="78"/>
          <w:sz w:val="120"/>
          <w:szCs w:val="120"/>
        </w:rPr>
        <w:t>投标文件</w:t>
      </w:r>
    </w:p>
    <w:p>
      <w:pPr>
        <w:rPr>
          <w:rFonts w:ascii="宋体" w:hAnsi="宋体"/>
          <w:bCs/>
          <w:color w:val="auto"/>
          <w:sz w:val="36"/>
        </w:rPr>
      </w:pPr>
    </w:p>
    <w:p>
      <w:pPr>
        <w:tabs>
          <w:tab w:val="left" w:pos="665"/>
          <w:tab w:val="left" w:pos="3241"/>
          <w:tab w:val="left" w:pos="3525"/>
          <w:tab w:val="left" w:pos="3994"/>
          <w:tab w:val="left" w:pos="4234"/>
        </w:tabs>
        <w:ind w:left="2133" w:leftChars="270" w:hanging="1561" w:hangingChars="485"/>
        <w:jc w:val="left"/>
        <w:rPr>
          <w:rFonts w:ascii="宋体" w:hAnsi="宋体"/>
          <w:b/>
          <w:bCs/>
          <w:color w:val="auto"/>
          <w:sz w:val="32"/>
          <w:szCs w:val="32"/>
        </w:rPr>
      </w:pPr>
      <w:r>
        <w:rPr>
          <w:rFonts w:hint="eastAsia" w:ascii="宋体" w:hAnsi="宋体"/>
          <w:b/>
          <w:bCs/>
          <w:color w:val="auto"/>
          <w:sz w:val="32"/>
          <w:szCs w:val="32"/>
        </w:rPr>
        <w:t>项目名称：XXXX采购项目</w:t>
      </w:r>
    </w:p>
    <w:p>
      <w:pPr>
        <w:tabs>
          <w:tab w:val="left" w:pos="665"/>
        </w:tabs>
        <w:ind w:firstLine="566" w:firstLineChars="176"/>
        <w:rPr>
          <w:rFonts w:ascii="宋体" w:hAnsi="宋体"/>
          <w:b/>
          <w:bCs/>
          <w:color w:val="auto"/>
          <w:sz w:val="32"/>
          <w:szCs w:val="32"/>
        </w:rPr>
      </w:pPr>
      <w:r>
        <w:rPr>
          <w:rFonts w:hint="eastAsia" w:ascii="宋体" w:hAnsi="宋体"/>
          <w:b/>
          <w:bCs/>
          <w:color w:val="auto"/>
          <w:sz w:val="32"/>
          <w:szCs w:val="32"/>
        </w:rPr>
        <w:t>项目编号：</w:t>
      </w:r>
      <w:r>
        <w:rPr>
          <w:rFonts w:hint="eastAsia" w:ascii="宋体" w:hAnsi="宋体"/>
          <w:b/>
          <w:bCs/>
          <w:color w:val="auto"/>
          <w:sz w:val="32"/>
          <w:szCs w:val="32"/>
          <w:lang w:val="en-US" w:eastAsia="zh-CN"/>
        </w:rPr>
        <w:t>JY3202</w:t>
      </w:r>
      <w:r>
        <w:rPr>
          <w:rFonts w:hint="eastAsia" w:ascii="宋体" w:hAnsi="宋体"/>
          <w:b/>
          <w:bCs/>
          <w:color w:val="auto"/>
          <w:sz w:val="32"/>
          <w:szCs w:val="32"/>
          <w:u w:val="single"/>
          <w:lang w:val="en-US" w:eastAsia="zh-CN"/>
        </w:rPr>
        <w:t xml:space="preserve">          </w:t>
      </w:r>
      <w:r>
        <w:rPr>
          <w:rFonts w:hint="eastAsia" w:ascii="宋体" w:hAnsi="宋体"/>
          <w:b/>
          <w:bCs/>
          <w:color w:val="auto"/>
          <w:sz w:val="32"/>
          <w:szCs w:val="32"/>
        </w:rPr>
        <w:t>号</w:t>
      </w:r>
    </w:p>
    <w:p>
      <w:pPr>
        <w:jc w:val="left"/>
        <w:rPr>
          <w:rFonts w:ascii="宋体" w:hAnsi="宋体"/>
          <w:b/>
          <w:bCs/>
          <w:color w:val="auto"/>
          <w:sz w:val="36"/>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ind w:firstLine="630" w:firstLineChars="196"/>
        <w:jc w:val="left"/>
        <w:rPr>
          <w:rFonts w:ascii="宋体" w:hAnsi="宋体"/>
          <w:b/>
          <w:bCs/>
          <w:color w:val="auto"/>
          <w:sz w:val="32"/>
          <w:szCs w:val="32"/>
          <w:u w:val="single"/>
        </w:rPr>
      </w:pPr>
      <w:r>
        <w:rPr>
          <w:rFonts w:hint="eastAsia" w:ascii="宋体" w:hAnsi="宋体"/>
          <w:b/>
          <w:bCs/>
          <w:color w:val="auto"/>
          <w:sz w:val="32"/>
          <w:szCs w:val="32"/>
        </w:rPr>
        <w:t>投标人名称：</w:t>
      </w:r>
      <w:r>
        <w:rPr>
          <w:rFonts w:hint="eastAsia" w:ascii="宋体" w:hAnsi="宋体"/>
          <w:b/>
          <w:color w:val="auto"/>
          <w:sz w:val="32"/>
          <w:szCs w:val="28"/>
        </w:rPr>
        <w:t>XXXX</w:t>
      </w:r>
    </w:p>
    <w:p>
      <w:pPr>
        <w:ind w:firstLine="569" w:firstLineChars="177"/>
        <w:rPr>
          <w:rFonts w:ascii="宋体" w:hAnsi="宋体"/>
          <w:b/>
          <w:bCs/>
          <w:color w:val="auto"/>
          <w:sz w:val="32"/>
          <w:szCs w:val="32"/>
        </w:rPr>
      </w:pPr>
      <w:r>
        <w:rPr>
          <w:rFonts w:hint="eastAsia" w:ascii="宋体" w:hAnsi="宋体"/>
          <w:b/>
          <w:bCs/>
          <w:color w:val="auto"/>
          <w:sz w:val="32"/>
          <w:szCs w:val="32"/>
        </w:rPr>
        <w:t>日       期：20XX年XX月XX日</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4"/>
        <w:numPr>
          <w:ilvl w:val="1"/>
          <w:numId w:val="4"/>
        </w:numPr>
        <w:spacing w:before="0" w:after="0" w:line="240" w:lineRule="auto"/>
        <w:ind w:left="2269" w:hanging="2269"/>
        <w:rPr>
          <w:color w:val="auto"/>
        </w:rPr>
      </w:pPr>
      <w:bookmarkStart w:id="192" w:name="_Toc9940"/>
      <w:bookmarkStart w:id="193" w:name="_Toc22607"/>
      <w:bookmarkStart w:id="194" w:name="_Toc65573697"/>
      <w:bookmarkStart w:id="195" w:name="_Toc729"/>
      <w:bookmarkStart w:id="196" w:name="_Toc22488"/>
      <w:bookmarkStart w:id="197" w:name="_Toc217446082"/>
      <w:r>
        <w:rPr>
          <w:rFonts w:hint="eastAsia"/>
          <w:color w:val="auto"/>
        </w:rPr>
        <w:t>资格</w:t>
      </w:r>
      <w:bookmarkEnd w:id="192"/>
      <w:bookmarkEnd w:id="193"/>
      <w:bookmarkEnd w:id="194"/>
      <w:bookmarkEnd w:id="195"/>
      <w:bookmarkEnd w:id="196"/>
      <w:r>
        <w:rPr>
          <w:rFonts w:hint="eastAsia"/>
          <w:color w:val="auto"/>
        </w:rPr>
        <w:t>响应文件</w:t>
      </w:r>
    </w:p>
    <w:p>
      <w:pPr>
        <w:pStyle w:val="5"/>
        <w:numPr>
          <w:ilvl w:val="2"/>
          <w:numId w:val="4"/>
        </w:numPr>
        <w:spacing w:after="200" w:line="240" w:lineRule="auto"/>
        <w:ind w:left="851"/>
        <w:rPr>
          <w:color w:val="auto"/>
        </w:rPr>
      </w:pPr>
      <w:r>
        <w:rPr>
          <w:rFonts w:hint="eastAsia"/>
          <w:color w:val="auto"/>
        </w:rPr>
        <w:t>关于投标人资格申明的函</w:t>
      </w:r>
    </w:p>
    <w:p>
      <w:pPr>
        <w:rPr>
          <w:rFonts w:hint="eastAsia" w:ascii="宋体" w:hAnsi="宋体" w:eastAsia="宋体"/>
          <w:color w:val="auto"/>
          <w:sz w:val="28"/>
          <w:szCs w:val="28"/>
          <w:lang w:eastAsia="zh-CN"/>
        </w:rPr>
      </w:pPr>
      <w:bookmarkStart w:id="198" w:name="_Toc238581782"/>
      <w:bookmarkStart w:id="199" w:name="_Toc52184753"/>
      <w:bookmarkStart w:id="200" w:name="_Toc119203988"/>
      <w:bookmarkStart w:id="201" w:name="_Toc146903609"/>
      <w:bookmarkStart w:id="202" w:name="_Toc119295087"/>
      <w:bookmarkStart w:id="203" w:name="_Toc119296788"/>
      <w:r>
        <w:rPr>
          <w:rFonts w:hint="eastAsia" w:ascii="宋体" w:hAnsi="宋体"/>
          <w:color w:val="auto"/>
          <w:sz w:val="28"/>
          <w:szCs w:val="28"/>
        </w:rPr>
        <w:t>致：</w:t>
      </w:r>
      <w:bookmarkEnd w:id="198"/>
      <w:r>
        <w:rPr>
          <w:rFonts w:hint="eastAsia" w:ascii="宋体" w:hAnsi="宋体"/>
          <w:color w:val="auto"/>
          <w:sz w:val="28"/>
          <w:szCs w:val="28"/>
          <w:lang w:eastAsia="zh-CN"/>
        </w:rPr>
        <w:t>都江堰市公共资源交易服务中心</w:t>
      </w:r>
    </w:p>
    <w:p>
      <w:pPr>
        <w:ind w:firstLine="569" w:firstLineChars="202"/>
        <w:rPr>
          <w:rFonts w:ascii="宋体" w:hAnsi="宋体"/>
          <w:color w:val="auto"/>
          <w:sz w:val="28"/>
          <w:szCs w:val="28"/>
        </w:rPr>
      </w:pPr>
      <w:bookmarkStart w:id="204" w:name="_Toc238581783"/>
      <w:r>
        <w:rPr>
          <w:rFonts w:hint="eastAsia" w:ascii="宋体" w:hAnsi="宋体"/>
          <w:color w:val="auto"/>
          <w:sz w:val="28"/>
          <w:szCs w:val="28"/>
        </w:rPr>
        <w:t>关于我方对</w:t>
      </w:r>
      <w:r>
        <w:rPr>
          <w:rFonts w:hint="eastAsia" w:ascii="宋体" w:hAnsi="宋体"/>
          <w:b/>
          <w:color w:val="auto"/>
          <w:sz w:val="28"/>
          <w:szCs w:val="28"/>
          <w:u w:val="single"/>
        </w:rPr>
        <w:t>XXXX采购项目（项目编号：</w:t>
      </w:r>
      <w:r>
        <w:rPr>
          <w:rFonts w:hint="eastAsia" w:ascii="宋体" w:hAnsi="宋体"/>
          <w:b/>
          <w:color w:val="auto"/>
          <w:sz w:val="28"/>
          <w:szCs w:val="28"/>
          <w:u w:val="single"/>
          <w:lang w:val="en-US" w:eastAsia="zh-CN"/>
        </w:rPr>
        <w:t xml:space="preserve">JY3202       </w:t>
      </w:r>
      <w:r>
        <w:rPr>
          <w:rFonts w:hint="eastAsia" w:ascii="宋体" w:hAnsi="宋体"/>
          <w:b/>
          <w:color w:val="auto"/>
          <w:sz w:val="28"/>
          <w:szCs w:val="28"/>
          <w:u w:val="single"/>
        </w:rPr>
        <w:t>号）</w:t>
      </w:r>
      <w:r>
        <w:rPr>
          <w:rFonts w:hint="eastAsia" w:ascii="宋体" w:hAnsi="宋体"/>
          <w:color w:val="auto"/>
          <w:sz w:val="28"/>
          <w:szCs w:val="28"/>
        </w:rPr>
        <w:t>的公开招标，提交的下列文件和说明是准确的和真实的。</w:t>
      </w:r>
      <w:bookmarkEnd w:id="204"/>
    </w:p>
    <w:p>
      <w:pPr>
        <w:widowControl/>
        <w:numPr>
          <w:ilvl w:val="2"/>
          <w:numId w:val="32"/>
        </w:numPr>
        <w:spacing w:after="200"/>
        <w:ind w:left="0" w:firstLine="564" w:firstLineChars="200"/>
        <w:rPr>
          <w:rFonts w:ascii="宋体" w:hAnsi="宋体"/>
          <w:color w:val="auto"/>
          <w:sz w:val="28"/>
          <w:szCs w:val="28"/>
        </w:rPr>
      </w:pPr>
      <w:bookmarkStart w:id="205" w:name="_Toc238581784"/>
      <w:r>
        <w:rPr>
          <w:rFonts w:hint="eastAsia" w:ascii="宋体" w:hAnsi="宋体"/>
          <w:color w:val="auto"/>
          <w:sz w:val="28"/>
          <w:szCs w:val="28"/>
        </w:rPr>
        <w:t>投标人名称及概况：</w:t>
      </w:r>
      <w:bookmarkEnd w:id="199"/>
      <w:bookmarkEnd w:id="200"/>
      <w:bookmarkEnd w:id="201"/>
      <w:bookmarkEnd w:id="202"/>
      <w:bookmarkEnd w:id="203"/>
      <w:bookmarkEnd w:id="205"/>
    </w:p>
    <w:p>
      <w:pPr>
        <w:widowControl/>
        <w:numPr>
          <w:ilvl w:val="0"/>
          <w:numId w:val="33"/>
        </w:numPr>
        <w:spacing w:after="200"/>
        <w:ind w:left="0" w:firstLine="564" w:firstLineChars="200"/>
        <w:jc w:val="left"/>
        <w:rPr>
          <w:rFonts w:ascii="宋体" w:hAnsi="宋体"/>
          <w:color w:val="auto"/>
          <w:sz w:val="28"/>
          <w:szCs w:val="28"/>
        </w:rPr>
      </w:pPr>
      <w:r>
        <w:rPr>
          <w:rFonts w:hint="eastAsia" w:ascii="宋体" w:hAnsi="宋体"/>
          <w:color w:val="auto"/>
          <w:sz w:val="28"/>
          <w:szCs w:val="28"/>
        </w:rPr>
        <w:t>投标人名称：XXXX</w:t>
      </w:r>
    </w:p>
    <w:p>
      <w:pPr>
        <w:widowControl/>
        <w:numPr>
          <w:ilvl w:val="0"/>
          <w:numId w:val="33"/>
        </w:numPr>
        <w:spacing w:after="200"/>
        <w:ind w:left="0" w:firstLine="564" w:firstLineChars="200"/>
        <w:jc w:val="left"/>
        <w:rPr>
          <w:rFonts w:ascii="宋体" w:hAnsi="宋体"/>
          <w:color w:val="auto"/>
          <w:sz w:val="28"/>
          <w:szCs w:val="28"/>
        </w:rPr>
      </w:pPr>
      <w:r>
        <w:rPr>
          <w:rFonts w:hint="eastAsia" w:ascii="宋体" w:hAnsi="宋体"/>
          <w:color w:val="auto"/>
          <w:sz w:val="28"/>
          <w:szCs w:val="28"/>
        </w:rPr>
        <w:t>地址：XXXX      邮编：XXXX</w:t>
      </w:r>
    </w:p>
    <w:p>
      <w:pPr>
        <w:widowControl/>
        <w:ind w:left="1261"/>
        <w:jc w:val="left"/>
        <w:rPr>
          <w:rFonts w:ascii="宋体" w:hAnsi="宋体"/>
          <w:color w:val="auto"/>
          <w:sz w:val="28"/>
          <w:szCs w:val="28"/>
          <w:u w:val="single"/>
        </w:rPr>
      </w:pPr>
      <w:r>
        <w:rPr>
          <w:rFonts w:hint="eastAsia" w:ascii="宋体" w:hAnsi="宋体"/>
          <w:color w:val="auto"/>
          <w:sz w:val="28"/>
          <w:szCs w:val="28"/>
        </w:rPr>
        <w:t>传真/电话： XXXX</w:t>
      </w:r>
    </w:p>
    <w:p>
      <w:pPr>
        <w:widowControl/>
        <w:numPr>
          <w:ilvl w:val="0"/>
          <w:numId w:val="33"/>
        </w:numPr>
        <w:spacing w:after="200"/>
        <w:ind w:left="0" w:firstLine="564" w:firstLineChars="200"/>
        <w:jc w:val="left"/>
        <w:rPr>
          <w:rFonts w:ascii="宋体" w:hAnsi="宋体"/>
          <w:color w:val="auto"/>
          <w:sz w:val="28"/>
          <w:szCs w:val="28"/>
        </w:rPr>
      </w:pPr>
      <w:r>
        <w:rPr>
          <w:rFonts w:hint="eastAsia" w:ascii="宋体" w:hAnsi="宋体"/>
          <w:color w:val="auto"/>
          <w:sz w:val="28"/>
          <w:szCs w:val="28"/>
        </w:rPr>
        <w:t>成立日期或注册日期：XXXX</w:t>
      </w:r>
    </w:p>
    <w:p>
      <w:pPr>
        <w:widowControl/>
        <w:numPr>
          <w:ilvl w:val="0"/>
          <w:numId w:val="33"/>
        </w:numPr>
        <w:spacing w:after="200"/>
        <w:ind w:left="0" w:firstLine="564" w:firstLineChars="200"/>
        <w:jc w:val="left"/>
        <w:rPr>
          <w:rFonts w:ascii="宋体" w:hAnsi="宋体"/>
          <w:color w:val="auto"/>
          <w:sz w:val="28"/>
          <w:szCs w:val="28"/>
          <w:u w:val="single"/>
        </w:rPr>
      </w:pPr>
      <w:r>
        <w:rPr>
          <w:rFonts w:hint="eastAsia" w:ascii="宋体" w:hAnsi="宋体"/>
          <w:color w:val="auto"/>
          <w:sz w:val="28"/>
          <w:szCs w:val="28"/>
        </w:rPr>
        <w:t>法定代表人姓名：XXXX</w:t>
      </w:r>
    </w:p>
    <w:p>
      <w:pPr>
        <w:widowControl/>
        <w:numPr>
          <w:ilvl w:val="2"/>
          <w:numId w:val="32"/>
        </w:numPr>
        <w:tabs>
          <w:tab w:val="left" w:pos="1276"/>
        </w:tabs>
        <w:spacing w:after="200"/>
        <w:ind w:left="0" w:firstLine="567"/>
        <w:rPr>
          <w:rFonts w:ascii="宋体" w:hAnsi="宋体"/>
          <w:color w:val="auto"/>
          <w:sz w:val="28"/>
          <w:szCs w:val="28"/>
        </w:rPr>
      </w:pPr>
      <w:r>
        <w:rPr>
          <w:rFonts w:hint="eastAsia" w:ascii="宋体" w:hAnsi="宋体"/>
          <w:color w:val="auto"/>
          <w:sz w:val="28"/>
          <w:szCs w:val="28"/>
        </w:rPr>
        <w:t>开户银行名称：XXXX</w:t>
      </w:r>
    </w:p>
    <w:p>
      <w:pPr>
        <w:ind w:firstLine="1269" w:firstLineChars="450"/>
        <w:rPr>
          <w:rFonts w:ascii="宋体" w:hAnsi="宋体"/>
          <w:color w:val="auto"/>
          <w:sz w:val="28"/>
          <w:szCs w:val="28"/>
          <w:u w:val="single"/>
        </w:rPr>
      </w:pPr>
      <w:r>
        <w:rPr>
          <w:rFonts w:hint="eastAsia" w:ascii="宋体" w:hAnsi="宋体"/>
          <w:color w:val="auto"/>
          <w:sz w:val="28"/>
          <w:szCs w:val="28"/>
        </w:rPr>
        <w:t>地址：XXXX</w:t>
      </w:r>
    </w:p>
    <w:p>
      <w:pPr>
        <w:ind w:firstLine="1269" w:firstLineChars="450"/>
        <w:rPr>
          <w:rFonts w:ascii="宋体" w:hAnsi="宋体"/>
          <w:color w:val="auto"/>
          <w:sz w:val="28"/>
          <w:szCs w:val="28"/>
        </w:rPr>
      </w:pPr>
      <w:r>
        <w:rPr>
          <w:rFonts w:hint="eastAsia" w:ascii="宋体" w:hAnsi="宋体"/>
          <w:color w:val="auto"/>
          <w:sz w:val="28"/>
          <w:szCs w:val="28"/>
        </w:rPr>
        <w:t>账号：XXXX</w:t>
      </w:r>
    </w:p>
    <w:p>
      <w:pPr>
        <w:ind w:firstLine="564" w:firstLineChars="200"/>
        <w:rPr>
          <w:rFonts w:ascii="宋体" w:hAnsi="宋体"/>
          <w:color w:val="auto"/>
          <w:sz w:val="28"/>
          <w:szCs w:val="28"/>
        </w:rPr>
      </w:pPr>
      <w:r>
        <w:rPr>
          <w:rFonts w:hint="eastAsia" w:ascii="宋体" w:hAnsi="宋体"/>
          <w:color w:val="auto"/>
          <w:sz w:val="28"/>
          <w:szCs w:val="28"/>
        </w:rPr>
        <w:t>投标人名称：XXXX</w:t>
      </w:r>
    </w:p>
    <w:p>
      <w:pPr>
        <w:ind w:left="286" w:leftChars="135" w:firstLine="282" w:firstLineChars="100"/>
        <w:rPr>
          <w:rFonts w:ascii="宋体" w:hAnsi="宋体"/>
          <w:bCs/>
          <w:color w:val="auto"/>
          <w:sz w:val="28"/>
        </w:rPr>
      </w:pPr>
      <w:r>
        <w:rPr>
          <w:rFonts w:hint="eastAsia" w:ascii="宋体" w:hAnsi="宋体"/>
          <w:bCs/>
          <w:color w:val="auto"/>
          <w:sz w:val="28"/>
          <w:szCs w:val="28"/>
        </w:rPr>
        <w:t>日    期：</w:t>
      </w:r>
      <w:r>
        <w:rPr>
          <w:rFonts w:hint="eastAsia" w:ascii="宋体" w:hAnsi="宋体"/>
          <w:bCs/>
          <w:color w:val="auto"/>
          <w:sz w:val="28"/>
        </w:rPr>
        <w:t>20XX年XX月XX日</w:t>
      </w:r>
    </w:p>
    <w:p>
      <w:pPr>
        <w:ind w:left="286" w:leftChars="135" w:firstLine="282" w:firstLineChars="100"/>
        <w:rPr>
          <w:rFonts w:ascii="宋体" w:hAnsi="宋体"/>
          <w:bCs/>
          <w:color w:val="auto"/>
          <w:sz w:val="28"/>
        </w:rPr>
      </w:pPr>
    </w:p>
    <w:p>
      <w:pPr>
        <w:ind w:left="286" w:leftChars="135" w:firstLine="282" w:firstLineChars="100"/>
        <w:rPr>
          <w:rFonts w:ascii="宋体" w:hAnsi="宋体"/>
          <w:bCs/>
          <w:color w:val="auto"/>
          <w:sz w:val="28"/>
        </w:rPr>
      </w:pPr>
    </w:p>
    <w:p>
      <w:pPr>
        <w:ind w:left="286" w:leftChars="135" w:firstLine="282" w:firstLineChars="100"/>
        <w:rPr>
          <w:rFonts w:ascii="宋体" w:hAnsi="宋体"/>
          <w:color w:val="auto"/>
          <w:sz w:val="28"/>
          <w:szCs w:val="28"/>
        </w:rPr>
      </w:pPr>
    </w:p>
    <w:p>
      <w:pPr>
        <w:pStyle w:val="5"/>
        <w:numPr>
          <w:ilvl w:val="2"/>
          <w:numId w:val="4"/>
        </w:numPr>
        <w:spacing w:after="200" w:line="240" w:lineRule="auto"/>
        <w:ind w:left="851"/>
        <w:rPr>
          <w:color w:val="auto"/>
        </w:rPr>
      </w:pPr>
      <w:r>
        <w:rPr>
          <w:rFonts w:hint="eastAsia"/>
          <w:color w:val="auto"/>
        </w:rPr>
        <w:t>声明</w:t>
      </w:r>
    </w:p>
    <w:p>
      <w:pPr>
        <w:ind w:firstLine="564" w:firstLineChars="200"/>
        <w:rPr>
          <w:rFonts w:hint="eastAsia" w:ascii="宋体" w:hAnsi="宋体" w:eastAsia="宋体"/>
          <w:color w:val="auto"/>
          <w:sz w:val="28"/>
          <w:szCs w:val="28"/>
          <w:lang w:eastAsia="zh-CN"/>
        </w:rPr>
      </w:pPr>
      <w:r>
        <w:rPr>
          <w:rFonts w:hint="eastAsia" w:ascii="宋体" w:hAnsi="宋体"/>
          <w:color w:val="auto"/>
          <w:sz w:val="28"/>
          <w:szCs w:val="28"/>
        </w:rPr>
        <w:t>致：</w:t>
      </w:r>
      <w:r>
        <w:rPr>
          <w:rFonts w:hint="eastAsia" w:ascii="宋体" w:hAnsi="宋体"/>
          <w:color w:val="auto"/>
          <w:sz w:val="28"/>
          <w:szCs w:val="28"/>
          <w:lang w:eastAsia="zh-CN"/>
        </w:rPr>
        <w:t>都江堰市公共资源交易服务中心</w:t>
      </w:r>
    </w:p>
    <w:p>
      <w:pPr>
        <w:ind w:firstLine="564" w:firstLineChars="200"/>
        <w:rPr>
          <w:rFonts w:ascii="宋体" w:hAnsi="宋体"/>
          <w:color w:val="auto"/>
          <w:sz w:val="28"/>
          <w:szCs w:val="28"/>
        </w:rPr>
      </w:pPr>
      <w:r>
        <w:rPr>
          <w:rFonts w:hint="eastAsia" w:ascii="宋体" w:hAnsi="宋体"/>
          <w:color w:val="auto"/>
          <w:sz w:val="28"/>
          <w:szCs w:val="28"/>
        </w:rPr>
        <w:t>我单位作为</w:t>
      </w:r>
      <w:r>
        <w:rPr>
          <w:rFonts w:hint="eastAsia" w:ascii="宋体" w:hAnsi="宋体"/>
          <w:b/>
          <w:color w:val="auto"/>
          <w:sz w:val="28"/>
          <w:szCs w:val="28"/>
          <w:u w:val="single"/>
        </w:rPr>
        <w:t>XXXX采购项目（项目编号：</w:t>
      </w:r>
      <w:r>
        <w:rPr>
          <w:rFonts w:hint="eastAsia" w:ascii="宋体" w:hAnsi="宋体"/>
          <w:b/>
          <w:color w:val="auto"/>
          <w:sz w:val="28"/>
          <w:szCs w:val="28"/>
          <w:u w:val="single"/>
          <w:lang w:val="en-US" w:eastAsia="zh-CN"/>
        </w:rPr>
        <w:t xml:space="preserve">JY3202        </w:t>
      </w:r>
      <w:r>
        <w:rPr>
          <w:rFonts w:hint="eastAsia" w:ascii="宋体" w:hAnsi="宋体"/>
          <w:b/>
          <w:color w:val="auto"/>
          <w:sz w:val="28"/>
          <w:szCs w:val="28"/>
          <w:u w:val="single"/>
        </w:rPr>
        <w:t>号）</w:t>
      </w:r>
      <w:r>
        <w:rPr>
          <w:rFonts w:hint="eastAsia" w:ascii="宋体" w:hAnsi="宋体"/>
          <w:color w:val="auto"/>
          <w:sz w:val="28"/>
          <w:szCs w:val="28"/>
        </w:rPr>
        <w:t>的投标人，在此郑重声明：</w:t>
      </w:r>
    </w:p>
    <w:p>
      <w:pPr>
        <w:ind w:firstLine="564" w:firstLineChars="200"/>
        <w:rPr>
          <w:rFonts w:ascii="宋体" w:hAnsi="宋体"/>
          <w:color w:val="auto"/>
          <w:sz w:val="28"/>
          <w:szCs w:val="28"/>
        </w:rPr>
      </w:pPr>
      <w:r>
        <w:rPr>
          <w:rFonts w:hint="eastAsia" w:ascii="宋体" w:hAnsi="宋体"/>
          <w:color w:val="auto"/>
          <w:sz w:val="28"/>
          <w:szCs w:val="28"/>
        </w:rPr>
        <w:t>一、我单位参加政府采购活动前三年内，在经营活动中</w:t>
      </w:r>
      <w:r>
        <w:rPr>
          <w:rFonts w:hint="eastAsia" w:ascii="宋体" w:hAnsi="宋体"/>
          <w:b/>
          <w:color w:val="auto"/>
          <w:sz w:val="28"/>
          <w:szCs w:val="28"/>
          <w:u w:val="single"/>
        </w:rPr>
        <w:t>（说明：填写“没有”或“有”）</w:t>
      </w:r>
      <w:r>
        <w:rPr>
          <w:rFonts w:hint="eastAsia" w:ascii="宋体" w:hAnsi="宋体"/>
          <w:color w:val="auto"/>
          <w:sz w:val="28"/>
          <w:szCs w:val="28"/>
        </w:rPr>
        <w:t>重大违法记录。</w:t>
      </w:r>
    </w:p>
    <w:p>
      <w:pPr>
        <w:ind w:firstLine="564" w:firstLineChars="200"/>
        <w:rPr>
          <w:rFonts w:ascii="宋体" w:hAnsi="宋体"/>
          <w:color w:val="auto"/>
          <w:sz w:val="28"/>
          <w:szCs w:val="28"/>
        </w:rPr>
      </w:pPr>
      <w:r>
        <w:rPr>
          <w:rFonts w:hint="eastAsia" w:ascii="宋体" w:hAnsi="宋体"/>
          <w:color w:val="auto"/>
          <w:sz w:val="28"/>
          <w:szCs w:val="28"/>
        </w:rPr>
        <w:t>二、我单位</w:t>
      </w:r>
      <w:r>
        <w:rPr>
          <w:rFonts w:hint="eastAsia" w:ascii="宋体" w:hAnsi="宋体"/>
          <w:b/>
          <w:color w:val="auto"/>
          <w:sz w:val="28"/>
          <w:szCs w:val="28"/>
          <w:u w:val="single"/>
        </w:rPr>
        <w:t>（说明：填写“具有”或“不具有”）</w:t>
      </w:r>
      <w:r>
        <w:rPr>
          <w:rFonts w:hint="eastAsia" w:ascii="宋体" w:hAnsi="宋体"/>
          <w:color w:val="auto"/>
          <w:sz w:val="28"/>
          <w:szCs w:val="28"/>
        </w:rPr>
        <w:t>良好的商业信誉。</w:t>
      </w:r>
    </w:p>
    <w:p>
      <w:pPr>
        <w:ind w:firstLine="564" w:firstLineChars="200"/>
        <w:rPr>
          <w:rFonts w:ascii="宋体" w:hAnsi="宋体"/>
          <w:color w:val="auto"/>
          <w:sz w:val="28"/>
          <w:szCs w:val="28"/>
        </w:rPr>
      </w:pPr>
      <w:r>
        <w:rPr>
          <w:rFonts w:hint="eastAsia" w:ascii="宋体" w:hAnsi="宋体"/>
          <w:color w:val="auto"/>
          <w:sz w:val="28"/>
          <w:szCs w:val="28"/>
        </w:rPr>
        <w:t>三、与我单位负责人为同一人或者存在直接控股、管理关系的相关供应商：</w:t>
      </w:r>
      <w:r>
        <w:rPr>
          <w:rFonts w:hint="eastAsia" w:ascii="宋体" w:hAnsi="宋体"/>
          <w:b/>
          <w:color w:val="auto"/>
          <w:sz w:val="28"/>
          <w:szCs w:val="28"/>
          <w:u w:val="single"/>
        </w:rPr>
        <w:t>（说明：填写“无”或“（一）供应商名称１；（二）供应商名称２；（三）……”）</w:t>
      </w:r>
      <w:r>
        <w:rPr>
          <w:rFonts w:hint="eastAsia" w:ascii="宋体" w:hAnsi="宋体"/>
          <w:color w:val="auto"/>
          <w:sz w:val="28"/>
          <w:szCs w:val="28"/>
        </w:rPr>
        <w:t xml:space="preserve"> 。</w:t>
      </w:r>
    </w:p>
    <w:p>
      <w:pPr>
        <w:ind w:firstLine="564" w:firstLineChars="200"/>
        <w:rPr>
          <w:rFonts w:ascii="宋体" w:hAnsi="宋体"/>
          <w:color w:val="auto"/>
          <w:sz w:val="28"/>
          <w:szCs w:val="28"/>
        </w:rPr>
      </w:pPr>
      <w:r>
        <w:rPr>
          <w:rFonts w:hint="eastAsia" w:ascii="宋体" w:hAnsi="宋体"/>
          <w:color w:val="auto"/>
          <w:sz w:val="28"/>
          <w:szCs w:val="28"/>
        </w:rPr>
        <w:t>四、在行贿犯罪信息查询期限内，我单位及我单位现任法定代表人、主要负责人</w:t>
      </w:r>
      <w:r>
        <w:rPr>
          <w:rFonts w:hint="eastAsia" w:ascii="宋体" w:hAnsi="宋体"/>
          <w:b/>
          <w:color w:val="auto"/>
          <w:sz w:val="28"/>
          <w:szCs w:val="28"/>
          <w:u w:val="single"/>
        </w:rPr>
        <w:t>（说明：填写“没有”或“有”）</w:t>
      </w:r>
      <w:r>
        <w:rPr>
          <w:rFonts w:hint="eastAsia" w:ascii="宋体" w:hAnsi="宋体"/>
          <w:color w:val="auto"/>
          <w:sz w:val="28"/>
          <w:szCs w:val="28"/>
        </w:rPr>
        <w:t>行贿犯罪记录。</w:t>
      </w:r>
    </w:p>
    <w:p>
      <w:pPr>
        <w:ind w:firstLine="564" w:firstLineChars="200"/>
        <w:rPr>
          <w:rFonts w:ascii="宋体" w:hAnsi="宋体"/>
          <w:color w:val="auto"/>
          <w:sz w:val="28"/>
          <w:szCs w:val="28"/>
        </w:rPr>
      </w:pPr>
      <w:r>
        <w:rPr>
          <w:rFonts w:hint="eastAsia" w:ascii="宋体" w:hAnsi="宋体"/>
          <w:color w:val="auto"/>
          <w:sz w:val="28"/>
          <w:szCs w:val="28"/>
        </w:rPr>
        <w:t>五、我单位</w:t>
      </w:r>
      <w:r>
        <w:rPr>
          <w:rFonts w:hint="eastAsia" w:ascii="宋体" w:hAnsi="宋体"/>
          <w:b/>
          <w:color w:val="auto"/>
          <w:sz w:val="28"/>
          <w:szCs w:val="28"/>
          <w:u w:val="single"/>
        </w:rPr>
        <w:t>（说明：填写“未列入”或“被列入”）</w:t>
      </w:r>
      <w:r>
        <w:rPr>
          <w:rFonts w:hint="eastAsia" w:ascii="宋体" w:hAnsi="宋体"/>
          <w:color w:val="auto"/>
          <w:sz w:val="28"/>
          <w:szCs w:val="28"/>
        </w:rPr>
        <w:t>失信被执行人、重大税收违法案件当事人名单。</w:t>
      </w:r>
    </w:p>
    <w:p>
      <w:pPr>
        <w:ind w:firstLine="564" w:firstLineChars="200"/>
        <w:rPr>
          <w:rFonts w:ascii="宋体" w:hAnsi="宋体"/>
          <w:color w:val="auto"/>
          <w:sz w:val="28"/>
          <w:szCs w:val="28"/>
        </w:rPr>
      </w:pPr>
      <w:r>
        <w:rPr>
          <w:rFonts w:hint="eastAsia" w:ascii="宋体" w:hAnsi="宋体"/>
          <w:color w:val="auto"/>
          <w:sz w:val="28"/>
          <w:szCs w:val="28"/>
        </w:rPr>
        <w:t>我单位</w:t>
      </w:r>
      <w:r>
        <w:rPr>
          <w:rFonts w:hint="eastAsia" w:ascii="宋体" w:hAnsi="宋体"/>
          <w:b/>
          <w:color w:val="auto"/>
          <w:sz w:val="28"/>
          <w:szCs w:val="28"/>
          <w:u w:val="single"/>
        </w:rPr>
        <w:t>（说明：填写“未列入”或“被列入”）</w:t>
      </w:r>
      <w:r>
        <w:rPr>
          <w:rFonts w:hint="eastAsia" w:ascii="宋体" w:hAnsi="宋体"/>
          <w:color w:val="auto"/>
          <w:sz w:val="28"/>
          <w:szCs w:val="28"/>
        </w:rPr>
        <w:t>政府采购严重违法失信行为记录名单。</w:t>
      </w:r>
    </w:p>
    <w:p>
      <w:pPr>
        <w:ind w:firstLine="564" w:firstLineChars="200"/>
        <w:rPr>
          <w:bCs/>
          <w:color w:val="auto"/>
        </w:rPr>
      </w:pPr>
      <w:r>
        <w:rPr>
          <w:rFonts w:hint="eastAsia" w:ascii="宋体" w:hAnsi="宋体"/>
          <w:color w:val="auto"/>
          <w:sz w:val="28"/>
          <w:szCs w:val="28"/>
        </w:rPr>
        <w:t>六、我单位</w:t>
      </w:r>
      <w:r>
        <w:rPr>
          <w:rFonts w:hint="eastAsia" w:ascii="宋体" w:hAnsi="宋体"/>
          <w:b/>
          <w:color w:val="auto"/>
          <w:sz w:val="28"/>
          <w:szCs w:val="28"/>
          <w:u w:val="single"/>
        </w:rPr>
        <w:t>（说明：填写“未处于”或“处于”）</w:t>
      </w:r>
      <w:r>
        <w:rPr>
          <w:rFonts w:hint="eastAsia" w:ascii="宋体" w:hAnsi="宋体"/>
          <w:bCs/>
          <w:color w:val="auto"/>
          <w:sz w:val="28"/>
          <w:szCs w:val="28"/>
        </w:rPr>
        <w:t>被行政部门禁止参与政府采购活动的期限内。</w:t>
      </w:r>
    </w:p>
    <w:p>
      <w:pPr>
        <w:ind w:firstLine="564" w:firstLineChars="200"/>
        <w:rPr>
          <w:rFonts w:ascii="宋体" w:hAnsi="宋体"/>
          <w:color w:val="auto"/>
          <w:sz w:val="28"/>
          <w:szCs w:val="28"/>
        </w:rPr>
      </w:pPr>
      <w:r>
        <w:rPr>
          <w:rFonts w:hint="eastAsia" w:ascii="宋体" w:hAnsi="宋体"/>
          <w:color w:val="auto"/>
          <w:sz w:val="28"/>
          <w:szCs w:val="28"/>
        </w:rPr>
        <w:t>特此声明。</w:t>
      </w:r>
    </w:p>
    <w:p>
      <w:pPr>
        <w:ind w:firstLine="564" w:firstLineChars="200"/>
        <w:rPr>
          <w:rFonts w:ascii="宋体" w:hAnsi="宋体"/>
          <w:color w:val="auto"/>
          <w:sz w:val="28"/>
          <w:szCs w:val="28"/>
        </w:rPr>
      </w:pPr>
      <w:r>
        <w:rPr>
          <w:rFonts w:hint="eastAsia" w:ascii="宋体" w:hAnsi="宋体"/>
          <w:color w:val="auto"/>
          <w:sz w:val="28"/>
          <w:szCs w:val="28"/>
        </w:rPr>
        <w:t>投标人名称：XXXX</w:t>
      </w:r>
    </w:p>
    <w:p>
      <w:pPr>
        <w:ind w:firstLine="564" w:firstLineChars="200"/>
        <w:rPr>
          <w:rFonts w:ascii="宋体" w:hAnsi="宋体"/>
          <w:color w:val="auto"/>
          <w:sz w:val="28"/>
          <w:szCs w:val="28"/>
        </w:rPr>
      </w:pPr>
      <w:r>
        <w:rPr>
          <w:rFonts w:hint="eastAsia" w:ascii="宋体" w:hAnsi="宋体"/>
          <w:color w:val="auto"/>
          <w:sz w:val="28"/>
          <w:szCs w:val="28"/>
        </w:rPr>
        <w:t>日    期：20XX年XX月XX日</w:t>
      </w:r>
    </w:p>
    <w:p>
      <w:pPr>
        <w:ind w:firstLine="564" w:firstLineChars="200"/>
        <w:rPr>
          <w:rFonts w:ascii="宋体" w:hAnsi="宋体"/>
          <w:color w:val="auto"/>
          <w:sz w:val="28"/>
          <w:szCs w:val="28"/>
        </w:rPr>
      </w:pPr>
      <w:r>
        <w:rPr>
          <w:rFonts w:hint="eastAsia" w:ascii="宋体" w:hAnsi="宋体"/>
          <w:color w:val="auto"/>
          <w:sz w:val="28"/>
          <w:szCs w:val="28"/>
        </w:rPr>
        <w:t>说明： 1.对声明中第一条的说明：如投标人在参加政府采购活动前三年内，在经营活动中有重大违法记录的，应填写“有”，投标人将被认定投标无效或被取消中标资格；</w:t>
      </w:r>
    </w:p>
    <w:p>
      <w:pPr>
        <w:ind w:firstLine="564" w:firstLineChars="200"/>
        <w:rPr>
          <w:rFonts w:ascii="宋体" w:hAnsi="宋体"/>
          <w:color w:val="auto"/>
          <w:sz w:val="28"/>
          <w:szCs w:val="28"/>
        </w:rPr>
      </w:pPr>
      <w:r>
        <w:rPr>
          <w:rFonts w:hint="eastAsia" w:ascii="宋体" w:hAnsi="宋体"/>
          <w:color w:val="auto"/>
          <w:sz w:val="28"/>
          <w:szCs w:val="28"/>
        </w:rPr>
        <w:t>2.对声明中第三条的说明：单位负责人为同一人或者存在直接控股、管理关系的不同供应商，不得参加同一合同项下的政府采购活动；</w:t>
      </w:r>
    </w:p>
    <w:p>
      <w:pPr>
        <w:ind w:firstLine="564" w:firstLineChars="200"/>
        <w:rPr>
          <w:rFonts w:ascii="宋体" w:hAnsi="宋体"/>
          <w:color w:val="auto"/>
          <w:sz w:val="28"/>
          <w:szCs w:val="28"/>
        </w:rPr>
      </w:pPr>
      <w:r>
        <w:rPr>
          <w:rFonts w:hint="eastAsia" w:ascii="宋体" w:hAnsi="宋体"/>
          <w:color w:val="auto"/>
          <w:sz w:val="28"/>
          <w:szCs w:val="28"/>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ind w:firstLine="564" w:firstLineChars="200"/>
        <w:rPr>
          <w:rFonts w:ascii="宋体" w:hAnsi="宋体"/>
          <w:color w:val="auto"/>
          <w:sz w:val="28"/>
          <w:szCs w:val="28"/>
        </w:rPr>
      </w:pPr>
      <w:r>
        <w:rPr>
          <w:rFonts w:hint="eastAsia" w:ascii="宋体" w:hAnsi="宋体"/>
          <w:color w:val="auto"/>
          <w:sz w:val="28"/>
          <w:szCs w:val="28"/>
        </w:rPr>
        <w:t>4.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ind w:firstLine="564" w:firstLineChars="200"/>
        <w:rPr>
          <w:rFonts w:ascii="宋体" w:hAnsi="宋体"/>
          <w:color w:val="auto"/>
          <w:sz w:val="28"/>
          <w:szCs w:val="28"/>
        </w:rPr>
      </w:pPr>
      <w:r>
        <w:rPr>
          <w:rFonts w:hint="eastAsia" w:ascii="宋体" w:hAnsi="宋体"/>
          <w:color w:val="auto"/>
          <w:sz w:val="28"/>
          <w:szCs w:val="28"/>
        </w:rPr>
        <w:t>5.对声明中第六条的说明：如投标人处于被行政部门禁止参加政府采购活动期限内的，该声明填“处于”，投标人将被认定投标无效或被取消中标资格。</w:t>
      </w:r>
    </w:p>
    <w:p>
      <w:pPr>
        <w:ind w:firstLine="564" w:firstLineChars="200"/>
        <w:rPr>
          <w:rFonts w:ascii="宋体" w:hAnsi="宋体"/>
          <w:color w:val="auto"/>
          <w:sz w:val="28"/>
          <w:szCs w:val="28"/>
        </w:rPr>
      </w:pPr>
    </w:p>
    <w:p>
      <w:pPr>
        <w:ind w:firstLine="564" w:firstLineChars="200"/>
        <w:rPr>
          <w:rFonts w:ascii="宋体" w:hAnsi="宋体"/>
          <w:color w:val="auto"/>
          <w:sz w:val="28"/>
          <w:szCs w:val="28"/>
        </w:rPr>
      </w:pPr>
    </w:p>
    <w:p>
      <w:pPr>
        <w:ind w:firstLine="564" w:firstLineChars="200"/>
        <w:rPr>
          <w:rFonts w:ascii="宋体" w:hAnsi="宋体"/>
          <w:color w:val="auto"/>
          <w:sz w:val="28"/>
          <w:szCs w:val="28"/>
        </w:rPr>
      </w:pPr>
    </w:p>
    <w:p>
      <w:pPr>
        <w:ind w:firstLine="564" w:firstLineChars="200"/>
        <w:rPr>
          <w:rFonts w:ascii="宋体" w:hAnsi="宋体"/>
          <w:color w:val="auto"/>
          <w:sz w:val="28"/>
          <w:szCs w:val="28"/>
        </w:rPr>
      </w:pPr>
    </w:p>
    <w:p>
      <w:pPr>
        <w:rPr>
          <w:rFonts w:ascii="宋体" w:hAnsi="宋体"/>
          <w:color w:val="auto"/>
          <w:sz w:val="28"/>
          <w:szCs w:val="28"/>
        </w:rPr>
      </w:pPr>
    </w:p>
    <w:p>
      <w:pPr>
        <w:pStyle w:val="5"/>
        <w:numPr>
          <w:ilvl w:val="2"/>
          <w:numId w:val="4"/>
        </w:numPr>
        <w:spacing w:after="200" w:line="240" w:lineRule="auto"/>
        <w:ind w:left="0" w:firstLine="0"/>
        <w:rPr>
          <w:color w:val="auto"/>
        </w:rPr>
      </w:pPr>
      <w:r>
        <w:rPr>
          <w:rFonts w:hint="eastAsia"/>
          <w:color w:val="auto"/>
        </w:rPr>
        <w:t>投标人应提交的</w:t>
      </w:r>
      <w:r>
        <w:rPr>
          <w:rFonts w:hint="eastAsia"/>
          <w:color w:val="auto"/>
          <w:lang w:eastAsia="zh-CN"/>
        </w:rPr>
        <w:t>其他</w:t>
      </w:r>
      <w:r>
        <w:rPr>
          <w:rFonts w:hint="eastAsia"/>
          <w:color w:val="auto"/>
        </w:rPr>
        <w:t>相关资格证明材料</w:t>
      </w:r>
    </w:p>
    <w:p>
      <w:pPr>
        <w:pStyle w:val="85"/>
        <w:numPr>
          <w:ilvl w:val="0"/>
          <w:numId w:val="0"/>
        </w:numPr>
        <w:spacing w:after="200"/>
        <w:ind w:left="546" w:leftChars="0" w:firstLine="564" w:firstLineChars="200"/>
        <w:rPr>
          <w:rFonts w:hint="eastAsia" w:ascii="宋体" w:hAnsi="宋体" w:eastAsia="宋体" w:cs="Times New Roman"/>
          <w:bCs/>
          <w:color w:val="auto"/>
          <w:kern w:val="0"/>
          <w:sz w:val="28"/>
          <w:szCs w:val="28"/>
          <w:lang w:val="en-US" w:eastAsia="zh-CN" w:bidi="ar-SA"/>
        </w:rPr>
      </w:pPr>
      <w:r>
        <w:rPr>
          <w:rFonts w:hint="eastAsia" w:ascii="宋体" w:hAnsi="宋体" w:eastAsia="宋体" w:cs="Times New Roman"/>
          <w:bCs/>
          <w:color w:val="auto"/>
          <w:kern w:val="0"/>
          <w:sz w:val="28"/>
          <w:szCs w:val="28"/>
          <w:lang w:val="en-US" w:eastAsia="zh-CN" w:bidi="ar-SA"/>
        </w:rPr>
        <w:t>按第5章资格性审查标准提供的其他资格证明材料。</w:t>
      </w:r>
    </w:p>
    <w:p>
      <w:pPr>
        <w:rPr>
          <w:rFonts w:hint="eastAsia" w:ascii="宋体" w:hAnsi="宋体" w:eastAsia="宋体" w:cs="Times New Roman"/>
          <w:bCs/>
          <w:color w:val="auto"/>
          <w:kern w:val="0"/>
          <w:sz w:val="28"/>
          <w:szCs w:val="28"/>
          <w:lang w:val="en-US" w:eastAsia="zh-CN" w:bidi="ar-SA"/>
        </w:rPr>
      </w:pPr>
      <w:r>
        <w:rPr>
          <w:rFonts w:hint="eastAsia" w:ascii="宋体" w:hAnsi="宋体" w:eastAsia="宋体" w:cs="Times New Roman"/>
          <w:bCs/>
          <w:color w:val="auto"/>
          <w:kern w:val="0"/>
          <w:sz w:val="28"/>
          <w:szCs w:val="28"/>
          <w:lang w:val="en-US" w:eastAsia="zh-CN" w:bidi="ar-SA"/>
        </w:rPr>
        <w:br w:type="page"/>
      </w:r>
    </w:p>
    <w:p>
      <w:pPr>
        <w:pStyle w:val="209"/>
        <w:rPr>
          <w:color w:val="auto"/>
        </w:rPr>
      </w:pPr>
    </w:p>
    <w:p>
      <w:pPr>
        <w:pStyle w:val="4"/>
        <w:numPr>
          <w:ilvl w:val="1"/>
          <w:numId w:val="4"/>
        </w:numPr>
        <w:spacing w:before="0" w:after="0" w:line="240" w:lineRule="auto"/>
        <w:ind w:left="2269" w:hanging="2269"/>
        <w:rPr>
          <w:color w:val="auto"/>
        </w:rPr>
      </w:pPr>
      <w:r>
        <w:rPr>
          <w:rFonts w:hint="eastAsia"/>
          <w:color w:val="auto"/>
        </w:rPr>
        <w:t>商务技术</w:t>
      </w:r>
      <w:r>
        <w:rPr>
          <w:color w:val="auto"/>
        </w:rPr>
        <w:t>响应文件</w:t>
      </w:r>
    </w:p>
    <w:p>
      <w:pPr>
        <w:pStyle w:val="5"/>
        <w:numPr>
          <w:ilvl w:val="2"/>
          <w:numId w:val="4"/>
        </w:numPr>
        <w:spacing w:after="200" w:line="240" w:lineRule="auto"/>
        <w:ind w:left="851"/>
        <w:rPr>
          <w:color w:val="auto"/>
        </w:rPr>
      </w:pPr>
      <w:r>
        <w:rPr>
          <w:rFonts w:hint="eastAsia"/>
          <w:color w:val="auto"/>
        </w:rPr>
        <w:t>投标函</w:t>
      </w:r>
      <w:bookmarkEnd w:id="197"/>
    </w:p>
    <w:p>
      <w:pPr>
        <w:pStyle w:val="27"/>
        <w:spacing w:after="0" w:line="500" w:lineRule="exact"/>
        <w:ind w:left="0" w:leftChars="0"/>
        <w:rPr>
          <w:rFonts w:ascii="宋体" w:hAnsi="宋体"/>
          <w:bCs/>
          <w:color w:val="auto"/>
          <w:sz w:val="28"/>
          <w:szCs w:val="28"/>
        </w:rPr>
      </w:pPr>
      <w:r>
        <w:rPr>
          <w:rFonts w:hint="eastAsia" w:ascii="宋体" w:hAnsi="宋体"/>
          <w:bCs/>
          <w:color w:val="auto"/>
          <w:sz w:val="28"/>
          <w:szCs w:val="28"/>
          <w:lang w:eastAsia="zh-CN"/>
        </w:rPr>
        <w:t>都江堰市公共资源交易服务中心</w:t>
      </w:r>
      <w:r>
        <w:rPr>
          <w:rFonts w:hint="eastAsia" w:ascii="宋体" w:hAnsi="宋体"/>
          <w:bCs/>
          <w:color w:val="auto"/>
          <w:sz w:val="28"/>
          <w:szCs w:val="28"/>
        </w:rPr>
        <w:t>：</w:t>
      </w:r>
    </w:p>
    <w:p>
      <w:pPr>
        <w:pStyle w:val="27"/>
        <w:spacing w:after="0" w:line="500" w:lineRule="exact"/>
        <w:ind w:left="0" w:leftChars="0" w:firstLine="564" w:firstLineChars="200"/>
        <w:rPr>
          <w:rFonts w:ascii="宋体" w:hAnsi="宋体"/>
          <w:bCs/>
          <w:color w:val="auto"/>
          <w:sz w:val="28"/>
          <w:szCs w:val="28"/>
        </w:rPr>
      </w:pPr>
      <w:r>
        <w:rPr>
          <w:rFonts w:hint="eastAsia" w:ascii="宋体" w:hAnsi="宋体"/>
          <w:bCs/>
          <w:color w:val="auto"/>
          <w:sz w:val="28"/>
          <w:szCs w:val="28"/>
        </w:rPr>
        <w:t>我方全面研究了</w:t>
      </w:r>
      <w:r>
        <w:rPr>
          <w:rFonts w:hint="eastAsia" w:ascii="宋体" w:hAnsi="宋体"/>
          <w:b/>
          <w:color w:val="auto"/>
          <w:sz w:val="28"/>
          <w:szCs w:val="28"/>
          <w:u w:val="single"/>
        </w:rPr>
        <w:t>XXXX采购项目</w:t>
      </w:r>
      <w:r>
        <w:rPr>
          <w:rFonts w:hint="eastAsia" w:ascii="宋体" w:hAnsi="宋体"/>
          <w:b/>
          <w:bCs/>
          <w:color w:val="auto"/>
          <w:sz w:val="28"/>
          <w:szCs w:val="28"/>
          <w:u w:val="single"/>
        </w:rPr>
        <w:t>（项目编号：</w:t>
      </w:r>
      <w:r>
        <w:rPr>
          <w:rFonts w:hint="eastAsia" w:ascii="宋体" w:hAnsi="宋体"/>
          <w:b/>
          <w:bCs/>
          <w:color w:val="auto"/>
          <w:sz w:val="28"/>
          <w:szCs w:val="28"/>
          <w:u w:val="single"/>
          <w:lang w:val="en-US" w:eastAsia="zh-CN"/>
        </w:rPr>
        <w:t xml:space="preserve">JY3202     </w:t>
      </w:r>
      <w:r>
        <w:rPr>
          <w:rFonts w:hint="eastAsia" w:ascii="宋体" w:hAnsi="宋体"/>
          <w:b/>
          <w:bCs/>
          <w:color w:val="auto"/>
          <w:sz w:val="28"/>
          <w:szCs w:val="28"/>
          <w:u w:val="single"/>
        </w:rPr>
        <w:t>号）</w:t>
      </w:r>
      <w:r>
        <w:rPr>
          <w:rFonts w:hint="eastAsia" w:ascii="宋体" w:hAnsi="宋体"/>
          <w:bCs/>
          <w:color w:val="auto"/>
          <w:sz w:val="28"/>
          <w:szCs w:val="28"/>
        </w:rPr>
        <w:t>招标文件，决定参加贵单位组织的本项目的投标。我方授权</w:t>
      </w:r>
      <w:r>
        <w:rPr>
          <w:rFonts w:hint="eastAsia" w:ascii="宋体" w:hAnsi="宋体"/>
          <w:bCs/>
          <w:color w:val="auto"/>
          <w:sz w:val="28"/>
          <w:szCs w:val="28"/>
          <w:u w:val="single"/>
        </w:rPr>
        <w:t>XXX（姓名、职务）</w:t>
      </w:r>
      <w:r>
        <w:rPr>
          <w:rFonts w:hint="eastAsia" w:ascii="宋体" w:hAnsi="宋体"/>
          <w:bCs/>
          <w:color w:val="auto"/>
          <w:sz w:val="28"/>
          <w:szCs w:val="28"/>
        </w:rPr>
        <w:t>代表我方</w:t>
      </w:r>
      <w:r>
        <w:rPr>
          <w:rFonts w:hint="eastAsia" w:ascii="宋体" w:hAnsi="宋体"/>
          <w:bCs/>
          <w:color w:val="auto"/>
          <w:sz w:val="28"/>
          <w:szCs w:val="28"/>
          <w:u w:val="single"/>
        </w:rPr>
        <w:t>XXX（投标人名称）</w:t>
      </w:r>
      <w:r>
        <w:rPr>
          <w:rFonts w:hint="eastAsia" w:ascii="宋体" w:hAnsi="宋体"/>
          <w:bCs/>
          <w:color w:val="auto"/>
          <w:sz w:val="28"/>
          <w:szCs w:val="28"/>
        </w:rPr>
        <w:t>全权处理本项目投标的有关事宜。</w:t>
      </w:r>
    </w:p>
    <w:p>
      <w:pPr>
        <w:numPr>
          <w:ilvl w:val="1"/>
          <w:numId w:val="34"/>
        </w:numPr>
        <w:tabs>
          <w:tab w:val="left" w:pos="1134"/>
        </w:tabs>
        <w:spacing w:after="200" w:line="500" w:lineRule="exact"/>
        <w:ind w:left="0" w:firstLine="567"/>
        <w:rPr>
          <w:rFonts w:ascii="宋体" w:hAnsi="宋体"/>
          <w:color w:val="auto"/>
          <w:sz w:val="28"/>
          <w:szCs w:val="28"/>
        </w:rPr>
      </w:pPr>
      <w:r>
        <w:rPr>
          <w:rFonts w:hint="eastAsia" w:ascii="宋体" w:hAnsi="宋体"/>
          <w:color w:val="auto"/>
          <w:sz w:val="28"/>
          <w:szCs w:val="28"/>
        </w:rPr>
        <w:t>我方自愿按照招标文件规定的各项要求向采购人提供所需服务，</w:t>
      </w:r>
      <w:r>
        <w:rPr>
          <w:rFonts w:hint="eastAsia" w:ascii="宋体" w:hAnsi="宋体"/>
          <w:b/>
          <w:color w:val="auto"/>
          <w:sz w:val="28"/>
          <w:szCs w:val="28"/>
        </w:rPr>
        <w:t>投标报价以《</w:t>
      </w:r>
      <w:r>
        <w:rPr>
          <w:rFonts w:hint="eastAsia" w:ascii="宋体" w:hAnsi="宋体"/>
          <w:b/>
          <w:color w:val="auto"/>
          <w:sz w:val="28"/>
          <w:szCs w:val="28"/>
          <w:lang w:eastAsia="zh-CN"/>
        </w:rPr>
        <w:t>开标一览表</w:t>
      </w:r>
      <w:r>
        <w:rPr>
          <w:rFonts w:hint="eastAsia" w:ascii="宋体" w:hAnsi="宋体"/>
          <w:b/>
          <w:color w:val="auto"/>
          <w:sz w:val="28"/>
          <w:szCs w:val="28"/>
        </w:rPr>
        <w:t>》为准</w:t>
      </w:r>
      <w:r>
        <w:rPr>
          <w:rFonts w:hint="eastAsia" w:ascii="宋体" w:hAnsi="宋体"/>
          <w:color w:val="auto"/>
          <w:sz w:val="28"/>
          <w:szCs w:val="28"/>
        </w:rPr>
        <w:t>。</w:t>
      </w:r>
    </w:p>
    <w:p>
      <w:pPr>
        <w:numPr>
          <w:ilvl w:val="1"/>
          <w:numId w:val="34"/>
        </w:numPr>
        <w:tabs>
          <w:tab w:val="left" w:pos="1134"/>
        </w:tabs>
        <w:spacing w:after="200" w:line="500" w:lineRule="exact"/>
        <w:ind w:left="0" w:firstLine="567"/>
        <w:rPr>
          <w:rFonts w:ascii="宋体" w:hAnsi="宋体"/>
          <w:color w:val="auto"/>
          <w:sz w:val="28"/>
          <w:szCs w:val="28"/>
        </w:rPr>
      </w:pPr>
      <w:r>
        <w:rPr>
          <w:rFonts w:hint="eastAsia" w:ascii="宋体" w:hAnsi="宋体"/>
          <w:color w:val="auto"/>
          <w:sz w:val="28"/>
          <w:szCs w:val="28"/>
        </w:rPr>
        <w:t>如果我方中标，我方将严格履行合同规定的责任和义务，否则将承担由此产生的一切责任。</w:t>
      </w:r>
    </w:p>
    <w:p>
      <w:pPr>
        <w:numPr>
          <w:ilvl w:val="1"/>
          <w:numId w:val="34"/>
        </w:numPr>
        <w:tabs>
          <w:tab w:val="left" w:pos="1134"/>
        </w:tabs>
        <w:spacing w:after="200" w:line="500" w:lineRule="exact"/>
        <w:ind w:left="0" w:firstLine="567"/>
        <w:rPr>
          <w:rFonts w:ascii="宋体" w:hAnsi="宋体"/>
          <w:color w:val="auto"/>
          <w:sz w:val="28"/>
          <w:szCs w:val="28"/>
        </w:rPr>
      </w:pPr>
      <w:r>
        <w:rPr>
          <w:rFonts w:hint="eastAsia" w:ascii="宋体" w:hAnsi="宋体"/>
          <w:color w:val="auto"/>
          <w:sz w:val="28"/>
          <w:szCs w:val="28"/>
        </w:rPr>
        <w:t>我方已知晓全部招标文件的内容，包括修改文件（如有）以及全部相关资料和有关附件，并对上述文件均无异议。</w:t>
      </w:r>
    </w:p>
    <w:p>
      <w:pPr>
        <w:numPr>
          <w:ilvl w:val="1"/>
          <w:numId w:val="34"/>
        </w:numPr>
        <w:tabs>
          <w:tab w:val="left" w:pos="1134"/>
        </w:tabs>
        <w:spacing w:after="200" w:line="500" w:lineRule="exact"/>
        <w:ind w:left="0" w:firstLine="567"/>
        <w:rPr>
          <w:rFonts w:ascii="宋体" w:hAnsi="宋体"/>
          <w:color w:val="auto"/>
          <w:sz w:val="28"/>
          <w:szCs w:val="28"/>
        </w:rPr>
      </w:pPr>
      <w:r>
        <w:rPr>
          <w:rFonts w:hint="eastAsia" w:ascii="宋体" w:hAnsi="宋体"/>
          <w:color w:val="auto"/>
          <w:sz w:val="28"/>
          <w:szCs w:val="28"/>
        </w:rPr>
        <w:t>投标有效期为从投标截止之日起120天。</w:t>
      </w:r>
    </w:p>
    <w:p>
      <w:pPr>
        <w:numPr>
          <w:ilvl w:val="1"/>
          <w:numId w:val="34"/>
        </w:numPr>
        <w:tabs>
          <w:tab w:val="left" w:pos="1134"/>
        </w:tabs>
        <w:spacing w:after="200" w:line="500" w:lineRule="exact"/>
        <w:ind w:left="0" w:firstLine="567"/>
        <w:rPr>
          <w:rFonts w:ascii="宋体" w:hAnsi="宋体"/>
          <w:color w:val="auto"/>
          <w:sz w:val="28"/>
          <w:szCs w:val="28"/>
        </w:rPr>
      </w:pPr>
      <w:r>
        <w:rPr>
          <w:rFonts w:hint="eastAsia" w:ascii="宋体" w:hAnsi="宋体"/>
          <w:color w:val="auto"/>
          <w:sz w:val="28"/>
          <w:szCs w:val="28"/>
        </w:rPr>
        <w:t>我方愿意提供贵中心可能另外要求的，与投标有关的文件资料，并保证我方已提供和将要提供的文件资料是真实、准确的，并对此承担一切法律后果。</w:t>
      </w:r>
    </w:p>
    <w:p>
      <w:pPr>
        <w:numPr>
          <w:ilvl w:val="1"/>
          <w:numId w:val="34"/>
        </w:numPr>
        <w:tabs>
          <w:tab w:val="left" w:pos="1134"/>
        </w:tabs>
        <w:spacing w:after="200" w:line="500" w:lineRule="exact"/>
        <w:ind w:left="0" w:firstLine="567"/>
        <w:rPr>
          <w:rFonts w:ascii="宋体" w:hAnsi="宋体"/>
          <w:color w:val="auto"/>
          <w:sz w:val="28"/>
          <w:szCs w:val="28"/>
        </w:rPr>
      </w:pPr>
      <w:r>
        <w:rPr>
          <w:rFonts w:hint="eastAsia" w:ascii="宋体" w:hAnsi="宋体"/>
          <w:color w:val="auto"/>
          <w:sz w:val="28"/>
          <w:szCs w:val="28"/>
        </w:rPr>
        <w:t>我单位联系方式：XXXX</w:t>
      </w:r>
    </w:p>
    <w:p>
      <w:pPr>
        <w:tabs>
          <w:tab w:val="left" w:pos="1134"/>
        </w:tabs>
        <w:spacing w:line="500" w:lineRule="exact"/>
        <w:ind w:left="567"/>
        <w:rPr>
          <w:rFonts w:ascii="宋体" w:hAnsi="宋体"/>
          <w:color w:val="auto"/>
          <w:sz w:val="28"/>
          <w:szCs w:val="28"/>
        </w:rPr>
      </w:pPr>
      <w:r>
        <w:rPr>
          <w:rFonts w:hint="eastAsia" w:ascii="宋体" w:hAnsi="宋体"/>
          <w:color w:val="auto"/>
          <w:sz w:val="28"/>
          <w:szCs w:val="28"/>
        </w:rPr>
        <w:t>地    址：XXXX</w:t>
      </w:r>
    </w:p>
    <w:p>
      <w:pPr>
        <w:tabs>
          <w:tab w:val="left" w:pos="1134"/>
        </w:tabs>
        <w:spacing w:line="500" w:lineRule="exact"/>
        <w:ind w:left="567"/>
        <w:rPr>
          <w:rFonts w:ascii="宋体" w:hAnsi="宋体"/>
          <w:color w:val="auto"/>
          <w:sz w:val="28"/>
          <w:szCs w:val="28"/>
        </w:rPr>
      </w:pPr>
      <w:r>
        <w:rPr>
          <w:rFonts w:hint="eastAsia" w:ascii="宋体" w:hAnsi="宋体"/>
          <w:color w:val="auto"/>
          <w:sz w:val="28"/>
          <w:szCs w:val="28"/>
        </w:rPr>
        <w:t>传    真：XXXX</w:t>
      </w:r>
    </w:p>
    <w:p>
      <w:pPr>
        <w:tabs>
          <w:tab w:val="left" w:pos="1134"/>
        </w:tabs>
        <w:spacing w:line="500" w:lineRule="exact"/>
        <w:ind w:left="567"/>
        <w:rPr>
          <w:rFonts w:ascii="宋体" w:hAnsi="宋体"/>
          <w:color w:val="auto"/>
          <w:sz w:val="28"/>
          <w:szCs w:val="28"/>
        </w:rPr>
      </w:pPr>
      <w:r>
        <w:rPr>
          <w:rFonts w:hint="eastAsia" w:ascii="宋体" w:hAnsi="宋体"/>
          <w:color w:val="auto"/>
          <w:sz w:val="28"/>
          <w:szCs w:val="28"/>
        </w:rPr>
        <w:t>邮政编码：XXXX</w:t>
      </w:r>
    </w:p>
    <w:p>
      <w:pPr>
        <w:tabs>
          <w:tab w:val="left" w:pos="1134"/>
        </w:tabs>
        <w:spacing w:line="500" w:lineRule="exact"/>
        <w:ind w:left="567"/>
        <w:rPr>
          <w:rFonts w:ascii="宋体" w:hAnsi="宋体"/>
          <w:color w:val="auto"/>
          <w:sz w:val="28"/>
          <w:szCs w:val="28"/>
        </w:rPr>
      </w:pPr>
      <w:r>
        <w:rPr>
          <w:rFonts w:hint="eastAsia" w:ascii="宋体" w:hAnsi="宋体"/>
          <w:color w:val="auto"/>
          <w:sz w:val="28"/>
          <w:szCs w:val="28"/>
        </w:rPr>
        <w:t>投标人名称：XXXX</w:t>
      </w:r>
    </w:p>
    <w:p>
      <w:pPr>
        <w:tabs>
          <w:tab w:val="left" w:pos="1134"/>
        </w:tabs>
        <w:spacing w:line="500" w:lineRule="exact"/>
        <w:ind w:left="567"/>
        <w:rPr>
          <w:rFonts w:ascii="宋体" w:hAnsi="宋体"/>
          <w:bCs/>
          <w:color w:val="auto"/>
          <w:sz w:val="28"/>
          <w:szCs w:val="28"/>
        </w:rPr>
      </w:pPr>
      <w:r>
        <w:rPr>
          <w:rFonts w:hint="eastAsia" w:ascii="宋体" w:hAnsi="宋体"/>
          <w:color w:val="auto"/>
          <w:sz w:val="28"/>
          <w:szCs w:val="28"/>
        </w:rPr>
        <w:t>日    期：20XX年XX月XX日</w:t>
      </w:r>
    </w:p>
    <w:p>
      <w:pPr>
        <w:pStyle w:val="16"/>
        <w:spacing w:after="0" w:line="240" w:lineRule="auto"/>
        <w:ind w:firstLine="0"/>
        <w:rPr>
          <w:rFonts w:ascii="宋体" w:hAnsi="宋体"/>
          <w:bCs/>
          <w:color w:val="auto"/>
          <w:sz w:val="28"/>
          <w:szCs w:val="28"/>
          <w:u w:val="single"/>
        </w:rPr>
      </w:pPr>
    </w:p>
    <w:p>
      <w:pPr>
        <w:pStyle w:val="5"/>
        <w:numPr>
          <w:ilvl w:val="2"/>
          <w:numId w:val="4"/>
        </w:numPr>
        <w:spacing w:after="200" w:line="240" w:lineRule="auto"/>
        <w:ind w:left="851"/>
        <w:rPr>
          <w:color w:val="auto"/>
        </w:rPr>
      </w:pPr>
      <w:bookmarkStart w:id="206" w:name="_Toc237145395"/>
      <w:bookmarkStart w:id="207" w:name="_Toc314574804"/>
      <w:bookmarkStart w:id="208" w:name="_Toc229802674"/>
      <w:bookmarkStart w:id="209" w:name="_Toc265494342"/>
      <w:bookmarkStart w:id="210" w:name="_Toc239846734"/>
      <w:bookmarkStart w:id="211" w:name="_Toc239849853"/>
      <w:bookmarkStart w:id="212" w:name="_Toc240865266"/>
      <w:bookmarkStart w:id="213" w:name="_Toc240367172"/>
      <w:bookmarkStart w:id="214" w:name="_Toc231030275"/>
      <w:r>
        <w:rPr>
          <w:rFonts w:hint="eastAsia"/>
          <w:color w:val="auto"/>
        </w:rPr>
        <w:t>法定代表人身份证明书</w:t>
      </w:r>
    </w:p>
    <w:p>
      <w:pPr>
        <w:tabs>
          <w:tab w:val="left" w:pos="6300"/>
        </w:tabs>
        <w:ind w:firstLine="573"/>
        <w:rPr>
          <w:rFonts w:ascii="宋体" w:hAnsi="宋体"/>
          <w:color w:val="auto"/>
          <w:sz w:val="28"/>
          <w:u w:val="single"/>
          <w:lang w:val="zh-CN"/>
        </w:rPr>
      </w:pPr>
    </w:p>
    <w:p>
      <w:pPr>
        <w:tabs>
          <w:tab w:val="left" w:pos="6300"/>
        </w:tabs>
        <w:ind w:firstLine="573"/>
        <w:rPr>
          <w:rFonts w:ascii="宋体" w:hAnsi="宋体"/>
          <w:color w:val="auto"/>
          <w:sz w:val="28"/>
          <w:lang w:val="zh-CN"/>
        </w:rPr>
      </w:pPr>
      <w:r>
        <w:rPr>
          <w:rFonts w:hint="eastAsia" w:ascii="宋体" w:hAnsi="宋体"/>
          <w:color w:val="auto"/>
          <w:sz w:val="28"/>
          <w:szCs w:val="28"/>
          <w:u w:val="single"/>
        </w:rPr>
        <w:t>XXXX</w:t>
      </w:r>
      <w:r>
        <w:rPr>
          <w:rFonts w:hint="eastAsia" w:ascii="宋体" w:hAnsi="宋体"/>
          <w:color w:val="auto"/>
          <w:sz w:val="28"/>
          <w:u w:val="single"/>
          <w:lang w:val="zh-CN"/>
        </w:rPr>
        <w:t>（法定代表人姓名）</w:t>
      </w:r>
      <w:r>
        <w:rPr>
          <w:rFonts w:hint="eastAsia" w:ascii="宋体" w:hAnsi="宋体"/>
          <w:color w:val="auto"/>
          <w:sz w:val="28"/>
          <w:lang w:val="zh-CN"/>
        </w:rPr>
        <w:t>在</w:t>
      </w:r>
      <w:r>
        <w:rPr>
          <w:rFonts w:hint="eastAsia" w:ascii="宋体" w:hAnsi="宋体"/>
          <w:color w:val="auto"/>
          <w:sz w:val="28"/>
          <w:szCs w:val="28"/>
          <w:u w:val="single"/>
        </w:rPr>
        <w:t>XXXX</w:t>
      </w:r>
      <w:r>
        <w:rPr>
          <w:rFonts w:hint="eastAsia" w:ascii="宋体" w:hAnsi="宋体"/>
          <w:color w:val="auto"/>
          <w:sz w:val="28"/>
          <w:u w:val="single"/>
          <w:lang w:val="zh-CN"/>
        </w:rPr>
        <w:t xml:space="preserve"> （投标人名称）</w:t>
      </w:r>
      <w:r>
        <w:rPr>
          <w:rFonts w:hint="eastAsia" w:ascii="宋体" w:hAnsi="宋体"/>
          <w:color w:val="auto"/>
          <w:sz w:val="28"/>
          <w:lang w:val="zh-CN"/>
        </w:rPr>
        <w:t>处任</w:t>
      </w:r>
      <w:r>
        <w:rPr>
          <w:rFonts w:hint="eastAsia" w:ascii="宋体" w:hAnsi="宋体"/>
          <w:color w:val="auto"/>
          <w:sz w:val="28"/>
          <w:u w:val="single"/>
          <w:lang w:val="zh-CN"/>
        </w:rPr>
        <w:t xml:space="preserve">         XXXX（职务名称）</w:t>
      </w:r>
      <w:r>
        <w:rPr>
          <w:rFonts w:hint="eastAsia" w:ascii="宋体" w:hAnsi="宋体"/>
          <w:color w:val="auto"/>
          <w:sz w:val="28"/>
          <w:lang w:val="zh-CN"/>
        </w:rPr>
        <w:t>职务，是</w:t>
      </w:r>
      <w:r>
        <w:rPr>
          <w:rFonts w:hint="eastAsia" w:ascii="宋体" w:hAnsi="宋体"/>
          <w:color w:val="auto"/>
          <w:sz w:val="28"/>
          <w:szCs w:val="28"/>
          <w:u w:val="single"/>
        </w:rPr>
        <w:t>XXXX</w:t>
      </w:r>
      <w:r>
        <w:rPr>
          <w:rFonts w:hint="eastAsia" w:ascii="宋体" w:hAnsi="宋体"/>
          <w:color w:val="auto"/>
          <w:sz w:val="28"/>
          <w:u w:val="single"/>
          <w:lang w:val="zh-CN"/>
        </w:rPr>
        <w:t>（投标人名称）</w:t>
      </w:r>
      <w:r>
        <w:rPr>
          <w:rFonts w:hint="eastAsia" w:ascii="宋体" w:hAnsi="宋体"/>
          <w:color w:val="auto"/>
          <w:sz w:val="28"/>
          <w:lang w:val="zh-CN"/>
        </w:rPr>
        <w:t>的法定代表人。</w:t>
      </w:r>
    </w:p>
    <w:p>
      <w:pPr>
        <w:tabs>
          <w:tab w:val="left" w:pos="6300"/>
        </w:tabs>
        <w:rPr>
          <w:rFonts w:ascii="宋体" w:hAnsi="宋体"/>
          <w:color w:val="auto"/>
          <w:sz w:val="28"/>
          <w:lang w:val="zh-CN"/>
        </w:rPr>
      </w:pPr>
    </w:p>
    <w:p>
      <w:pPr>
        <w:tabs>
          <w:tab w:val="left" w:pos="6300"/>
        </w:tabs>
        <w:rPr>
          <w:rFonts w:ascii="宋体" w:hAnsi="宋体"/>
          <w:color w:val="auto"/>
          <w:sz w:val="28"/>
          <w:lang w:val="zh-CN"/>
        </w:rPr>
      </w:pPr>
    </w:p>
    <w:p>
      <w:pPr>
        <w:tabs>
          <w:tab w:val="left" w:pos="6300"/>
        </w:tabs>
        <w:rPr>
          <w:rFonts w:ascii="宋体" w:hAnsi="宋体"/>
          <w:color w:val="auto"/>
          <w:sz w:val="28"/>
          <w:lang w:val="zh-CN"/>
        </w:rPr>
      </w:pPr>
    </w:p>
    <w:p>
      <w:pPr>
        <w:tabs>
          <w:tab w:val="left" w:pos="6300"/>
        </w:tabs>
        <w:rPr>
          <w:rFonts w:ascii="宋体" w:hAnsi="宋体"/>
          <w:color w:val="auto"/>
          <w:sz w:val="28"/>
          <w:lang w:val="zh-CN"/>
        </w:rPr>
      </w:pPr>
    </w:p>
    <w:p>
      <w:pPr>
        <w:tabs>
          <w:tab w:val="left" w:pos="6300"/>
        </w:tabs>
        <w:rPr>
          <w:rFonts w:ascii="宋体" w:hAnsi="宋体"/>
          <w:color w:val="auto"/>
          <w:sz w:val="28"/>
          <w:lang w:val="zh-CN"/>
        </w:rPr>
      </w:pPr>
    </w:p>
    <w:p>
      <w:pPr>
        <w:tabs>
          <w:tab w:val="left" w:pos="6300"/>
        </w:tabs>
        <w:rPr>
          <w:rFonts w:ascii="宋体" w:hAnsi="宋体"/>
          <w:color w:val="auto"/>
          <w:sz w:val="28"/>
          <w:lang w:val="zh-CN"/>
        </w:rPr>
      </w:pPr>
    </w:p>
    <w:p>
      <w:pPr>
        <w:tabs>
          <w:tab w:val="left" w:pos="6300"/>
        </w:tabs>
        <w:ind w:firstLine="573"/>
        <w:rPr>
          <w:rFonts w:ascii="宋体" w:hAnsi="宋体"/>
          <w:color w:val="auto"/>
          <w:sz w:val="28"/>
          <w:lang w:val="zh-CN"/>
        </w:rPr>
      </w:pPr>
    </w:p>
    <w:p>
      <w:pPr>
        <w:tabs>
          <w:tab w:val="left" w:pos="6300"/>
        </w:tabs>
        <w:ind w:firstLine="573"/>
        <w:rPr>
          <w:rFonts w:ascii="宋体" w:hAnsi="宋体"/>
          <w:color w:val="auto"/>
          <w:sz w:val="28"/>
          <w:lang w:val="zh-CN"/>
        </w:rPr>
      </w:pPr>
      <w:bookmarkStart w:id="215" w:name="_Toc263768866"/>
      <w:r>
        <w:rPr>
          <w:rFonts w:hint="eastAsia" w:ascii="宋体" w:hAnsi="宋体"/>
          <w:color w:val="auto"/>
          <w:sz w:val="28"/>
          <w:lang w:val="zh-CN"/>
        </w:rPr>
        <w:t>特此证明。</w:t>
      </w:r>
      <w:bookmarkEnd w:id="215"/>
    </w:p>
    <w:p>
      <w:pPr>
        <w:tabs>
          <w:tab w:val="left" w:pos="6300"/>
        </w:tabs>
        <w:rPr>
          <w:rFonts w:ascii="宋体" w:hAnsi="宋体"/>
          <w:color w:val="auto"/>
          <w:sz w:val="28"/>
          <w:lang w:val="zh-CN"/>
        </w:rPr>
      </w:pPr>
    </w:p>
    <w:p>
      <w:pPr>
        <w:tabs>
          <w:tab w:val="left" w:pos="6300"/>
        </w:tabs>
        <w:rPr>
          <w:rFonts w:ascii="宋体" w:hAnsi="宋体"/>
          <w:color w:val="auto"/>
          <w:sz w:val="28"/>
          <w:lang w:val="zh-CN"/>
        </w:rPr>
      </w:pPr>
    </w:p>
    <w:p>
      <w:pPr>
        <w:ind w:firstLine="564" w:firstLineChars="200"/>
        <w:rPr>
          <w:rFonts w:ascii="宋体" w:hAnsi="宋体"/>
          <w:color w:val="auto"/>
          <w:sz w:val="28"/>
          <w:lang w:val="zh-CN"/>
        </w:rPr>
      </w:pPr>
      <w:r>
        <w:rPr>
          <w:rFonts w:hint="eastAsia" w:ascii="宋体" w:hAnsi="宋体"/>
          <w:color w:val="auto"/>
          <w:sz w:val="28"/>
          <w:lang w:val="zh-CN"/>
        </w:rPr>
        <w:t>投标人名称：</w:t>
      </w:r>
      <w:r>
        <w:rPr>
          <w:rFonts w:hint="eastAsia" w:ascii="宋体" w:hAnsi="宋体"/>
          <w:color w:val="auto"/>
          <w:sz w:val="28"/>
          <w:szCs w:val="28"/>
        </w:rPr>
        <w:t>XXXX</w:t>
      </w:r>
    </w:p>
    <w:p>
      <w:pPr>
        <w:ind w:firstLine="564" w:firstLineChars="200"/>
        <w:rPr>
          <w:rFonts w:ascii="宋体" w:hAnsi="宋体"/>
          <w:color w:val="auto"/>
          <w:sz w:val="28"/>
          <w:szCs w:val="28"/>
        </w:rPr>
      </w:pPr>
      <w:r>
        <w:rPr>
          <w:rFonts w:hint="eastAsia" w:ascii="宋体" w:hAnsi="宋体"/>
          <w:color w:val="auto"/>
          <w:sz w:val="28"/>
        </w:rPr>
        <w:t>日期：</w:t>
      </w:r>
      <w:r>
        <w:rPr>
          <w:rFonts w:hint="eastAsia" w:ascii="宋体" w:hAnsi="宋体"/>
          <w:color w:val="auto"/>
          <w:sz w:val="28"/>
          <w:szCs w:val="28"/>
        </w:rPr>
        <w:t>20XX</w:t>
      </w:r>
      <w:r>
        <w:rPr>
          <w:rFonts w:hint="eastAsia" w:ascii="宋体" w:hAnsi="宋体"/>
          <w:color w:val="auto"/>
          <w:sz w:val="28"/>
        </w:rPr>
        <w:t xml:space="preserve"> 年</w:t>
      </w:r>
      <w:r>
        <w:rPr>
          <w:rFonts w:hint="eastAsia" w:ascii="宋体" w:hAnsi="宋体"/>
          <w:color w:val="auto"/>
          <w:sz w:val="28"/>
          <w:szCs w:val="28"/>
        </w:rPr>
        <w:t>XX</w:t>
      </w:r>
      <w:r>
        <w:rPr>
          <w:rFonts w:hint="eastAsia" w:ascii="宋体" w:hAnsi="宋体"/>
          <w:color w:val="auto"/>
          <w:sz w:val="28"/>
        </w:rPr>
        <w:t>月</w:t>
      </w:r>
      <w:r>
        <w:rPr>
          <w:rFonts w:hint="eastAsia" w:ascii="宋体" w:hAnsi="宋体"/>
          <w:color w:val="auto"/>
          <w:sz w:val="28"/>
          <w:szCs w:val="28"/>
        </w:rPr>
        <w:t>XX</w:t>
      </w:r>
      <w:r>
        <w:rPr>
          <w:rFonts w:hint="eastAsia" w:ascii="宋体" w:hAnsi="宋体"/>
          <w:color w:val="auto"/>
          <w:sz w:val="28"/>
        </w:rPr>
        <w:t>日</w:t>
      </w:r>
    </w:p>
    <w:p>
      <w:pPr>
        <w:tabs>
          <w:tab w:val="left" w:pos="6300"/>
        </w:tabs>
        <w:rPr>
          <w:rFonts w:ascii="宋体" w:hAnsi="宋体"/>
          <w:b/>
          <w:color w:val="auto"/>
          <w:sz w:val="28"/>
          <w:u w:val="single"/>
          <w:lang w:val="zh-CN"/>
        </w:rPr>
      </w:pPr>
    </w:p>
    <w:p>
      <w:pPr>
        <w:pStyle w:val="16"/>
        <w:spacing w:line="240" w:lineRule="auto"/>
        <w:ind w:firstLine="569" w:firstLineChars="202"/>
        <w:rPr>
          <w:rFonts w:ascii="宋体" w:hAnsi="宋体"/>
          <w:b/>
          <w:color w:val="auto"/>
          <w:sz w:val="28"/>
          <w:szCs w:val="28"/>
        </w:rPr>
      </w:pPr>
      <w:r>
        <w:rPr>
          <w:rFonts w:hint="eastAsia" w:ascii="宋体" w:hAnsi="宋体"/>
          <w:b/>
          <w:color w:val="auto"/>
          <w:sz w:val="28"/>
          <w:szCs w:val="28"/>
        </w:rPr>
        <w:t>说明：上述证明文件在投标文件中附有法定代表人身份证复印件（身份证两面均应复印）或护照复印件（供应商的法定代表人为外籍人士的，则提供护照复印件）时才能生效。</w:t>
      </w:r>
    </w:p>
    <w:p>
      <w:pPr>
        <w:pStyle w:val="5"/>
        <w:numPr>
          <w:ilvl w:val="2"/>
          <w:numId w:val="4"/>
        </w:numPr>
        <w:spacing w:after="200" w:line="240" w:lineRule="auto"/>
        <w:ind w:left="851"/>
        <w:rPr>
          <w:color w:val="auto"/>
        </w:rPr>
      </w:pPr>
      <w:bookmarkStart w:id="216" w:name="_Toc448132270"/>
      <w:bookmarkStart w:id="217" w:name="_Toc430250269"/>
      <w:r>
        <w:rPr>
          <w:rFonts w:hint="eastAsia"/>
          <w:color w:val="auto"/>
        </w:rPr>
        <w:t>中小企业声明函</w:t>
      </w:r>
      <w:bookmarkEnd w:id="216"/>
    </w:p>
    <w:bookmarkEnd w:id="206"/>
    <w:bookmarkEnd w:id="207"/>
    <w:bookmarkEnd w:id="208"/>
    <w:bookmarkEnd w:id="209"/>
    <w:bookmarkEnd w:id="210"/>
    <w:bookmarkEnd w:id="211"/>
    <w:bookmarkEnd w:id="212"/>
    <w:bookmarkEnd w:id="213"/>
    <w:bookmarkEnd w:id="214"/>
    <w:bookmarkEnd w:id="217"/>
    <w:p>
      <w:pPr>
        <w:spacing w:line="500" w:lineRule="exact"/>
        <w:jc w:val="center"/>
        <w:rPr>
          <w:rFonts w:ascii="宋体" w:hAnsi="宋体"/>
          <w:b/>
          <w:color w:val="auto"/>
          <w:spacing w:val="6"/>
          <w:sz w:val="28"/>
          <w:szCs w:val="28"/>
        </w:rPr>
      </w:pPr>
      <w:bookmarkStart w:id="218" w:name="_Toc302997926"/>
      <w:bookmarkStart w:id="219" w:name="_Toc263753605"/>
      <w:bookmarkStart w:id="220" w:name="_Toc220299393"/>
      <w:bookmarkStart w:id="221" w:name="_Toc263768870"/>
      <w:bookmarkStart w:id="222" w:name="_Toc217446083"/>
      <w:r>
        <w:rPr>
          <w:rFonts w:hint="eastAsia" w:ascii="宋体" w:hAnsi="宋体"/>
          <w:b/>
          <w:color w:val="auto"/>
          <w:spacing w:val="6"/>
          <w:sz w:val="28"/>
          <w:szCs w:val="28"/>
        </w:rPr>
        <w:t>中小企业声明函</w:t>
      </w:r>
    </w:p>
    <w:p>
      <w:pPr>
        <w:spacing w:line="500" w:lineRule="exact"/>
        <w:ind w:firstLine="588" w:firstLineChars="200"/>
        <w:rPr>
          <w:rFonts w:ascii="宋体" w:hAnsi="宋体"/>
          <w:color w:val="auto"/>
          <w:spacing w:val="6"/>
          <w:sz w:val="28"/>
          <w:szCs w:val="28"/>
        </w:rPr>
      </w:pPr>
      <w:r>
        <w:rPr>
          <w:rFonts w:hint="eastAsia" w:ascii="宋体" w:hAnsi="宋体"/>
          <w:color w:val="auto"/>
          <w:spacing w:val="6"/>
          <w:sz w:val="28"/>
          <w:szCs w:val="28"/>
        </w:rPr>
        <w:t>本公司郑重声明，根据《政府采购促进中小企业发展管理办法》（财库〔</w:t>
      </w:r>
      <w:r>
        <w:rPr>
          <w:rFonts w:ascii="宋体" w:hAnsi="宋体"/>
          <w:color w:val="auto"/>
          <w:spacing w:val="6"/>
          <w:sz w:val="28"/>
          <w:szCs w:val="28"/>
        </w:rPr>
        <w:t>2020〕46号）的规定，本公司参加</w:t>
      </w:r>
      <w:r>
        <w:rPr>
          <w:rFonts w:ascii="宋体" w:hAnsi="宋体"/>
          <w:b/>
          <w:color w:val="auto"/>
          <w:sz w:val="28"/>
          <w:szCs w:val="28"/>
          <w:u w:val="single"/>
        </w:rPr>
        <w:t>XXXX(</w:t>
      </w:r>
      <w:r>
        <w:rPr>
          <w:rFonts w:hint="eastAsia" w:ascii="宋体" w:hAnsi="宋体"/>
          <w:b/>
          <w:color w:val="auto"/>
          <w:sz w:val="28"/>
          <w:szCs w:val="28"/>
          <w:u w:val="single"/>
        </w:rPr>
        <w:t>采购</w:t>
      </w:r>
      <w:r>
        <w:rPr>
          <w:rFonts w:ascii="宋体" w:hAnsi="宋体"/>
          <w:b/>
          <w:color w:val="auto"/>
          <w:sz w:val="28"/>
          <w:szCs w:val="28"/>
          <w:u w:val="single"/>
        </w:rPr>
        <w:t xml:space="preserve">单位)      </w:t>
      </w:r>
      <w:r>
        <w:rPr>
          <w:rFonts w:hint="eastAsia" w:ascii="宋体" w:hAnsi="宋体"/>
          <w:color w:val="auto"/>
          <w:spacing w:val="6"/>
          <w:sz w:val="28"/>
          <w:szCs w:val="28"/>
        </w:rPr>
        <w:t>的</w:t>
      </w:r>
      <w:r>
        <w:rPr>
          <w:rFonts w:ascii="宋体" w:hAnsi="宋体"/>
          <w:b/>
          <w:color w:val="auto"/>
          <w:sz w:val="28"/>
          <w:szCs w:val="28"/>
          <w:u w:val="single"/>
        </w:rPr>
        <w:t>XXXX</w:t>
      </w:r>
      <w:r>
        <w:rPr>
          <w:rFonts w:hint="eastAsia" w:ascii="宋体" w:hAnsi="宋体"/>
          <w:b/>
          <w:color w:val="auto"/>
          <w:sz w:val="28"/>
          <w:szCs w:val="28"/>
          <w:u w:val="single"/>
        </w:rPr>
        <w:t>（项目</w:t>
      </w:r>
      <w:r>
        <w:rPr>
          <w:rFonts w:ascii="宋体" w:hAnsi="宋体"/>
          <w:b/>
          <w:color w:val="auto"/>
          <w:sz w:val="28"/>
          <w:szCs w:val="28"/>
          <w:u w:val="single"/>
        </w:rPr>
        <w:t>名称</w:t>
      </w:r>
      <w:r>
        <w:rPr>
          <w:rFonts w:hint="eastAsia" w:ascii="宋体" w:hAnsi="宋体"/>
          <w:b/>
          <w:color w:val="auto"/>
          <w:sz w:val="28"/>
          <w:szCs w:val="28"/>
          <w:u w:val="single"/>
        </w:rPr>
        <w:t>）</w:t>
      </w:r>
      <w:r>
        <w:rPr>
          <w:rFonts w:hint="eastAsia" w:ascii="宋体" w:hAnsi="宋体"/>
          <w:b/>
          <w:color w:val="auto"/>
          <w:sz w:val="28"/>
          <w:szCs w:val="28"/>
        </w:rPr>
        <w:t>采购项目</w:t>
      </w:r>
      <w:r>
        <w:rPr>
          <w:rFonts w:hint="eastAsia" w:ascii="宋体" w:hAnsi="宋体"/>
          <w:b/>
          <w:color w:val="auto"/>
          <w:sz w:val="28"/>
          <w:szCs w:val="28"/>
          <w:u w:val="single"/>
        </w:rPr>
        <w:t>（</w:t>
      </w:r>
      <w:r>
        <w:rPr>
          <w:rFonts w:hint="eastAsia" w:ascii="宋体" w:hAnsi="宋体"/>
          <w:b/>
          <w:color w:val="000000"/>
          <w:sz w:val="28"/>
          <w:szCs w:val="28"/>
          <w:u w:val="single"/>
        </w:rPr>
        <w:t>（</w:t>
      </w:r>
      <w:r>
        <w:rPr>
          <w:rFonts w:hint="eastAsia" w:ascii="宋体" w:hAnsi="宋体" w:cs="宋体"/>
          <w:b/>
          <w:color w:val="000000"/>
          <w:kern w:val="0"/>
          <w:sz w:val="28"/>
          <w:szCs w:val="28"/>
          <w:u w:val="single"/>
          <w:lang w:val="en-US" w:eastAsia="zh-CN"/>
        </w:rPr>
        <w:t xml:space="preserve">JY3202     </w:t>
      </w:r>
      <w:r>
        <w:rPr>
          <w:rFonts w:hint="eastAsia" w:ascii="宋体" w:hAnsi="宋体" w:cs="宋体"/>
          <w:b/>
          <w:color w:val="000000"/>
          <w:kern w:val="0"/>
          <w:sz w:val="28"/>
          <w:szCs w:val="28"/>
          <w:u w:val="single"/>
        </w:rPr>
        <w:t>号</w:t>
      </w:r>
      <w:r>
        <w:rPr>
          <w:rFonts w:hint="eastAsia" w:ascii="宋体" w:hAnsi="宋体"/>
          <w:b/>
          <w:color w:val="000000"/>
          <w:sz w:val="28"/>
          <w:szCs w:val="28"/>
          <w:u w:val="single"/>
        </w:rPr>
        <w:t>）</w:t>
      </w:r>
      <w:r>
        <w:rPr>
          <w:rFonts w:hint="eastAsia" w:ascii="宋体" w:hAnsi="宋体"/>
          <w:b/>
          <w:color w:val="auto"/>
          <w:sz w:val="28"/>
          <w:szCs w:val="28"/>
          <w:u w:val="single"/>
        </w:rPr>
        <w:t>）</w:t>
      </w:r>
      <w:r>
        <w:rPr>
          <w:rFonts w:hint="eastAsia" w:ascii="宋体" w:hAnsi="宋体"/>
          <w:color w:val="auto"/>
          <w:spacing w:val="6"/>
          <w:sz w:val="28"/>
          <w:szCs w:val="28"/>
        </w:rPr>
        <w:t>采购活动，服务全部由符合政策要求的中小企业承接。相关企业的具体情况如下：</w:t>
      </w:r>
    </w:p>
    <w:p>
      <w:pPr>
        <w:tabs>
          <w:tab w:val="left" w:pos="1134"/>
        </w:tabs>
        <w:spacing w:line="500" w:lineRule="exact"/>
        <w:ind w:firstLine="588" w:firstLineChars="200"/>
        <w:rPr>
          <w:rFonts w:ascii="宋体" w:hAnsi="宋体"/>
          <w:color w:val="auto"/>
          <w:spacing w:val="6"/>
          <w:sz w:val="28"/>
          <w:szCs w:val="28"/>
        </w:rPr>
      </w:pPr>
      <w:r>
        <w:rPr>
          <w:rFonts w:ascii="宋体" w:hAnsi="宋体"/>
          <w:color w:val="auto"/>
          <w:spacing w:val="6"/>
          <w:sz w:val="28"/>
          <w:szCs w:val="28"/>
          <w:u w:val="single"/>
        </w:rPr>
        <w:t>XXXX</w:t>
      </w:r>
      <w:r>
        <w:rPr>
          <w:rFonts w:hint="eastAsia" w:ascii="宋体" w:hAnsi="宋体"/>
          <w:color w:val="auto"/>
          <w:spacing w:val="6"/>
          <w:sz w:val="28"/>
          <w:szCs w:val="28"/>
          <w:u w:val="single"/>
        </w:rPr>
        <w:t>（标的名称）</w:t>
      </w:r>
      <w:r>
        <w:rPr>
          <w:rFonts w:hint="eastAsia" w:ascii="宋体" w:hAnsi="宋体"/>
          <w:color w:val="auto"/>
          <w:spacing w:val="6"/>
          <w:sz w:val="28"/>
          <w:szCs w:val="28"/>
        </w:rPr>
        <w:t>，属于</w:t>
      </w:r>
      <w:r>
        <w:rPr>
          <w:rFonts w:ascii="宋体" w:hAnsi="宋体"/>
          <w:color w:val="auto"/>
          <w:spacing w:val="6"/>
          <w:sz w:val="28"/>
          <w:szCs w:val="28"/>
          <w:u w:val="single"/>
        </w:rPr>
        <w:t>XXXX</w:t>
      </w:r>
      <w:r>
        <w:rPr>
          <w:rFonts w:hint="eastAsia" w:ascii="宋体" w:hAnsi="宋体"/>
          <w:color w:val="auto"/>
          <w:spacing w:val="6"/>
          <w:sz w:val="28"/>
          <w:szCs w:val="28"/>
          <w:u w:val="single"/>
        </w:rPr>
        <w:t>（采购文件中明确的所属行业）</w:t>
      </w:r>
      <w:r>
        <w:rPr>
          <w:rFonts w:hint="eastAsia" w:ascii="宋体" w:hAnsi="宋体"/>
          <w:color w:val="auto"/>
          <w:spacing w:val="6"/>
          <w:sz w:val="28"/>
          <w:szCs w:val="28"/>
        </w:rPr>
        <w:t>；承接企业为</w:t>
      </w:r>
      <w:r>
        <w:rPr>
          <w:rFonts w:ascii="宋体" w:hAnsi="宋体"/>
          <w:color w:val="auto"/>
          <w:spacing w:val="6"/>
          <w:sz w:val="28"/>
          <w:szCs w:val="28"/>
          <w:u w:val="single"/>
        </w:rPr>
        <w:t>XXX</w:t>
      </w:r>
      <w:r>
        <w:rPr>
          <w:rFonts w:hint="eastAsia" w:ascii="宋体" w:hAnsi="宋体"/>
          <w:color w:val="auto"/>
          <w:spacing w:val="6"/>
          <w:sz w:val="28"/>
          <w:szCs w:val="28"/>
          <w:u w:val="single"/>
        </w:rPr>
        <w:t>X</w:t>
      </w:r>
      <w:r>
        <w:rPr>
          <w:rFonts w:ascii="宋体" w:hAnsi="宋体"/>
          <w:color w:val="auto"/>
          <w:spacing w:val="6"/>
          <w:sz w:val="28"/>
          <w:szCs w:val="28"/>
          <w:u w:val="single"/>
        </w:rPr>
        <w:t>（企业名称）</w:t>
      </w:r>
      <w:r>
        <w:rPr>
          <w:rFonts w:hint="eastAsia" w:ascii="宋体" w:hAnsi="宋体"/>
          <w:color w:val="auto"/>
          <w:spacing w:val="6"/>
          <w:sz w:val="28"/>
          <w:szCs w:val="28"/>
        </w:rPr>
        <w:t>，从业人员</w:t>
      </w:r>
      <w:r>
        <w:rPr>
          <w:rFonts w:ascii="宋体" w:hAnsi="宋体"/>
          <w:color w:val="auto"/>
          <w:spacing w:val="6"/>
          <w:sz w:val="28"/>
          <w:szCs w:val="28"/>
          <w:u w:val="single"/>
        </w:rPr>
        <w:t>XX</w:t>
      </w:r>
      <w:r>
        <w:rPr>
          <w:rFonts w:hint="eastAsia" w:ascii="宋体" w:hAnsi="宋体"/>
          <w:color w:val="auto"/>
          <w:spacing w:val="6"/>
          <w:sz w:val="28"/>
          <w:szCs w:val="28"/>
        </w:rPr>
        <w:t>人，营业收入为</w:t>
      </w:r>
      <w:r>
        <w:rPr>
          <w:rFonts w:ascii="宋体" w:hAnsi="宋体"/>
          <w:color w:val="auto"/>
          <w:spacing w:val="6"/>
          <w:sz w:val="28"/>
          <w:szCs w:val="28"/>
          <w:u w:val="single"/>
        </w:rPr>
        <w:t>XX</w:t>
      </w:r>
      <w:r>
        <w:rPr>
          <w:rFonts w:hint="eastAsia" w:ascii="宋体" w:hAnsi="宋体"/>
          <w:color w:val="auto"/>
          <w:spacing w:val="6"/>
          <w:sz w:val="28"/>
          <w:szCs w:val="28"/>
        </w:rPr>
        <w:t>万元，资产总额为</w:t>
      </w:r>
      <w:r>
        <w:rPr>
          <w:rFonts w:ascii="宋体" w:hAnsi="宋体"/>
          <w:color w:val="auto"/>
          <w:spacing w:val="6"/>
          <w:sz w:val="28"/>
          <w:szCs w:val="28"/>
          <w:u w:val="single"/>
        </w:rPr>
        <w:t>XX</w:t>
      </w:r>
      <w:r>
        <w:rPr>
          <w:rFonts w:hint="eastAsia" w:ascii="宋体" w:hAnsi="宋体"/>
          <w:color w:val="auto"/>
          <w:spacing w:val="6"/>
          <w:sz w:val="28"/>
          <w:szCs w:val="28"/>
        </w:rPr>
        <w:t>万元，属于</w:t>
      </w:r>
      <w:r>
        <w:rPr>
          <w:rFonts w:ascii="宋体" w:hAnsi="宋体"/>
          <w:color w:val="auto"/>
          <w:spacing w:val="6"/>
          <w:sz w:val="28"/>
          <w:szCs w:val="28"/>
          <w:u w:val="single"/>
        </w:rPr>
        <w:t>XXXX（中型企业、小型企业、微型企业）</w:t>
      </w:r>
      <w:r>
        <w:rPr>
          <w:rFonts w:hint="eastAsia" w:ascii="宋体" w:hAnsi="宋体"/>
          <w:color w:val="auto"/>
          <w:spacing w:val="6"/>
          <w:sz w:val="28"/>
          <w:szCs w:val="28"/>
        </w:rPr>
        <w:t>。</w:t>
      </w:r>
    </w:p>
    <w:p>
      <w:pPr>
        <w:tabs>
          <w:tab w:val="left" w:pos="1134"/>
        </w:tabs>
        <w:spacing w:line="500" w:lineRule="exact"/>
        <w:ind w:firstLine="588" w:firstLineChars="200"/>
        <w:rPr>
          <w:rFonts w:ascii="宋体" w:hAnsi="宋体"/>
          <w:color w:val="auto"/>
          <w:spacing w:val="6"/>
          <w:sz w:val="28"/>
          <w:szCs w:val="28"/>
        </w:rPr>
      </w:pPr>
      <w:r>
        <w:rPr>
          <w:rFonts w:hint="eastAsia" w:ascii="宋体" w:hAnsi="宋体"/>
          <w:color w:val="auto"/>
          <w:spacing w:val="6"/>
          <w:sz w:val="28"/>
          <w:szCs w:val="28"/>
        </w:rPr>
        <w:t>以上企业，不属于大企业的分支机构，不存在控股股东为大企业的情形，也不存在与大企业的负责人为同一人的情形。</w:t>
      </w:r>
    </w:p>
    <w:p>
      <w:pPr>
        <w:tabs>
          <w:tab w:val="left" w:pos="1134"/>
        </w:tabs>
        <w:spacing w:line="500" w:lineRule="exact"/>
        <w:ind w:firstLine="588" w:firstLineChars="200"/>
        <w:rPr>
          <w:rFonts w:ascii="宋体" w:hAnsi="宋体"/>
          <w:color w:val="auto"/>
          <w:spacing w:val="6"/>
          <w:sz w:val="28"/>
          <w:szCs w:val="28"/>
        </w:rPr>
      </w:pPr>
      <w:r>
        <w:rPr>
          <w:rFonts w:hint="eastAsia" w:ascii="宋体" w:hAnsi="宋体"/>
          <w:color w:val="auto"/>
          <w:spacing w:val="6"/>
          <w:sz w:val="28"/>
          <w:szCs w:val="28"/>
        </w:rPr>
        <w:t>本企业对上述声明内容的真实性负责。如有虚假，将依法承担相应责任。</w:t>
      </w:r>
    </w:p>
    <w:p>
      <w:pPr>
        <w:spacing w:line="500" w:lineRule="exact"/>
        <w:ind w:firstLine="588" w:firstLineChars="200"/>
        <w:rPr>
          <w:rFonts w:ascii="宋体" w:hAnsi="宋体"/>
          <w:b/>
          <w:color w:val="auto"/>
          <w:spacing w:val="6"/>
          <w:sz w:val="28"/>
          <w:szCs w:val="28"/>
        </w:rPr>
      </w:pPr>
    </w:p>
    <w:p>
      <w:pPr>
        <w:spacing w:line="500" w:lineRule="exact"/>
        <w:ind w:firstLine="588" w:firstLineChars="200"/>
        <w:rPr>
          <w:rFonts w:ascii="宋体" w:hAnsi="宋体"/>
          <w:b/>
          <w:color w:val="auto"/>
          <w:spacing w:val="6"/>
          <w:sz w:val="28"/>
          <w:szCs w:val="28"/>
        </w:rPr>
      </w:pPr>
    </w:p>
    <w:p>
      <w:pPr>
        <w:spacing w:line="500" w:lineRule="exact"/>
        <w:ind w:firstLine="588" w:firstLineChars="200"/>
        <w:rPr>
          <w:rFonts w:ascii="宋体" w:hAnsi="宋体"/>
          <w:b/>
          <w:color w:val="auto"/>
          <w:spacing w:val="6"/>
          <w:sz w:val="28"/>
          <w:szCs w:val="28"/>
        </w:rPr>
      </w:pPr>
    </w:p>
    <w:p>
      <w:pPr>
        <w:spacing w:line="500" w:lineRule="exact"/>
        <w:ind w:firstLine="588" w:firstLineChars="200"/>
        <w:rPr>
          <w:rFonts w:ascii="宋体" w:hAnsi="宋体"/>
          <w:b/>
          <w:color w:val="auto"/>
          <w:spacing w:val="6"/>
          <w:sz w:val="28"/>
          <w:szCs w:val="28"/>
        </w:rPr>
      </w:pPr>
    </w:p>
    <w:p>
      <w:pPr>
        <w:tabs>
          <w:tab w:val="left" w:pos="3969"/>
        </w:tabs>
        <w:spacing w:line="500" w:lineRule="exact"/>
        <w:ind w:right="-58" w:firstLine="588" w:firstLineChars="200"/>
        <w:jc w:val="left"/>
        <w:rPr>
          <w:rFonts w:ascii="宋体" w:hAnsi="宋体"/>
          <w:color w:val="auto"/>
          <w:spacing w:val="6"/>
          <w:sz w:val="28"/>
          <w:szCs w:val="28"/>
        </w:rPr>
      </w:pPr>
      <w:r>
        <w:rPr>
          <w:rFonts w:hint="eastAsia" w:ascii="宋体" w:hAnsi="宋体"/>
          <w:color w:val="auto"/>
          <w:spacing w:val="6"/>
          <w:sz w:val="28"/>
          <w:szCs w:val="28"/>
        </w:rPr>
        <w:t>企业名称：</w:t>
      </w:r>
      <w:r>
        <w:rPr>
          <w:rFonts w:ascii="宋体" w:hAnsi="宋体"/>
          <w:color w:val="auto"/>
          <w:sz w:val="28"/>
          <w:szCs w:val="28"/>
          <w:u w:val="single"/>
        </w:rPr>
        <w:t>XXXX</w:t>
      </w:r>
      <w:r>
        <w:rPr>
          <w:rFonts w:ascii="宋体" w:hAnsi="宋体"/>
          <w:color w:val="auto"/>
          <w:spacing w:val="6"/>
          <w:sz w:val="28"/>
          <w:szCs w:val="28"/>
        </w:rPr>
        <w:t xml:space="preserve"> </w:t>
      </w:r>
    </w:p>
    <w:p>
      <w:pPr>
        <w:tabs>
          <w:tab w:val="left" w:pos="3969"/>
        </w:tabs>
        <w:spacing w:line="500" w:lineRule="exact"/>
        <w:ind w:right="-58" w:firstLine="588" w:firstLineChars="200"/>
        <w:jc w:val="left"/>
        <w:rPr>
          <w:color w:val="auto"/>
          <w:sz w:val="28"/>
          <w:szCs w:val="28"/>
        </w:rPr>
      </w:pPr>
      <w:r>
        <w:rPr>
          <w:rFonts w:hint="eastAsia" w:ascii="宋体" w:hAnsi="宋体"/>
          <w:color w:val="auto"/>
          <w:spacing w:val="6"/>
          <w:sz w:val="28"/>
          <w:szCs w:val="28"/>
        </w:rPr>
        <w:t>日</w:t>
      </w:r>
      <w:r>
        <w:rPr>
          <w:rFonts w:ascii="宋体" w:hAnsi="宋体"/>
          <w:color w:val="auto"/>
          <w:spacing w:val="6"/>
          <w:sz w:val="28"/>
          <w:szCs w:val="28"/>
        </w:rPr>
        <w:t xml:space="preserve">  </w:t>
      </w:r>
      <w:r>
        <w:rPr>
          <w:rFonts w:hint="eastAsia" w:ascii="宋体" w:hAnsi="宋体"/>
          <w:color w:val="auto"/>
          <w:spacing w:val="6"/>
          <w:sz w:val="28"/>
          <w:szCs w:val="28"/>
        </w:rPr>
        <w:t>期：</w:t>
      </w:r>
      <w:r>
        <w:rPr>
          <w:rFonts w:ascii="宋体" w:hAnsi="宋体"/>
          <w:color w:val="auto"/>
          <w:sz w:val="28"/>
          <w:szCs w:val="28"/>
        </w:rPr>
        <w:t>20</w:t>
      </w:r>
      <w:r>
        <w:rPr>
          <w:rFonts w:ascii="宋体" w:hAnsi="宋体"/>
          <w:color w:val="auto"/>
          <w:sz w:val="28"/>
          <w:szCs w:val="28"/>
          <w:u w:val="single"/>
        </w:rPr>
        <w:t>XX</w:t>
      </w:r>
      <w:r>
        <w:rPr>
          <w:rFonts w:ascii="宋体" w:hAnsi="宋体"/>
          <w:color w:val="auto"/>
          <w:sz w:val="28"/>
          <w:szCs w:val="28"/>
        </w:rPr>
        <w:t>年</w:t>
      </w:r>
      <w:r>
        <w:rPr>
          <w:rFonts w:ascii="宋体" w:hAnsi="宋体"/>
          <w:color w:val="auto"/>
          <w:sz w:val="28"/>
          <w:szCs w:val="28"/>
          <w:u w:val="single"/>
        </w:rPr>
        <w:t>XX</w:t>
      </w:r>
      <w:r>
        <w:rPr>
          <w:rFonts w:ascii="宋体" w:hAnsi="宋体"/>
          <w:color w:val="auto"/>
          <w:sz w:val="28"/>
          <w:szCs w:val="28"/>
        </w:rPr>
        <w:t>月</w:t>
      </w:r>
      <w:r>
        <w:rPr>
          <w:rFonts w:ascii="宋体" w:hAnsi="宋体"/>
          <w:color w:val="auto"/>
          <w:sz w:val="28"/>
          <w:szCs w:val="28"/>
          <w:u w:val="single"/>
        </w:rPr>
        <w:t>XX</w:t>
      </w:r>
      <w:r>
        <w:rPr>
          <w:rFonts w:ascii="宋体" w:hAnsi="宋体"/>
          <w:color w:val="auto"/>
          <w:sz w:val="28"/>
          <w:szCs w:val="28"/>
        </w:rPr>
        <w:t>日</w:t>
      </w:r>
    </w:p>
    <w:p>
      <w:pPr>
        <w:pStyle w:val="85"/>
        <w:tabs>
          <w:tab w:val="left" w:pos="567"/>
          <w:tab w:val="left" w:pos="709"/>
          <w:tab w:val="left" w:pos="851"/>
        </w:tabs>
        <w:spacing w:before="60" w:line="360" w:lineRule="auto"/>
        <w:ind w:firstLine="562"/>
        <w:rPr>
          <w:rFonts w:ascii="宋体" w:hAnsi="宋体"/>
          <w:b/>
          <w:color w:val="auto"/>
          <w:sz w:val="28"/>
          <w:szCs w:val="28"/>
        </w:rPr>
      </w:pPr>
      <w:r>
        <w:rPr>
          <w:rFonts w:hint="eastAsia" w:ascii="宋体" w:hAnsi="宋体"/>
          <w:b/>
          <w:color w:val="auto"/>
          <w:kern w:val="0"/>
          <w:sz w:val="28"/>
          <w:szCs w:val="28"/>
        </w:rPr>
        <w:t>说明：</w:t>
      </w:r>
      <w:r>
        <w:rPr>
          <w:rFonts w:ascii="宋体" w:hAnsi="宋体"/>
          <w:b/>
          <w:color w:val="auto"/>
          <w:sz w:val="28"/>
          <w:szCs w:val="28"/>
        </w:rPr>
        <w:t>从业人员、营业收入、资产总额填报上</w:t>
      </w:r>
      <w:r>
        <w:rPr>
          <w:rFonts w:hint="eastAsia" w:ascii="宋体" w:hAnsi="宋体"/>
          <w:b/>
          <w:color w:val="auto"/>
          <w:sz w:val="28"/>
          <w:szCs w:val="28"/>
        </w:rPr>
        <w:t>一</w:t>
      </w:r>
      <w:r>
        <w:rPr>
          <w:rFonts w:ascii="宋体" w:hAnsi="宋体"/>
          <w:b/>
          <w:color w:val="auto"/>
          <w:sz w:val="28"/>
          <w:szCs w:val="28"/>
        </w:rPr>
        <w:t>年度数据，无上一年度</w:t>
      </w:r>
      <w:r>
        <w:rPr>
          <w:rFonts w:hint="eastAsia" w:ascii="宋体" w:hAnsi="宋体"/>
          <w:b/>
          <w:color w:val="auto"/>
          <w:sz w:val="28"/>
          <w:szCs w:val="28"/>
        </w:rPr>
        <w:t>数据</w:t>
      </w:r>
      <w:r>
        <w:rPr>
          <w:rFonts w:ascii="宋体" w:hAnsi="宋体"/>
          <w:b/>
          <w:color w:val="auto"/>
          <w:sz w:val="28"/>
          <w:szCs w:val="28"/>
        </w:rPr>
        <w:t>的新成立企业可不填报。</w:t>
      </w:r>
    </w:p>
    <w:p>
      <w:pPr>
        <w:pStyle w:val="85"/>
        <w:tabs>
          <w:tab w:val="left" w:pos="567"/>
          <w:tab w:val="left" w:pos="709"/>
          <w:tab w:val="left" w:pos="851"/>
        </w:tabs>
        <w:spacing w:line="500" w:lineRule="exact"/>
        <w:ind w:firstLine="549" w:firstLineChars="195"/>
        <w:rPr>
          <w:rFonts w:ascii="宋体" w:hAnsi="宋体"/>
          <w:b/>
          <w:color w:val="auto"/>
          <w:kern w:val="0"/>
          <w:sz w:val="28"/>
          <w:szCs w:val="28"/>
        </w:rPr>
      </w:pPr>
    </w:p>
    <w:p>
      <w:pPr>
        <w:tabs>
          <w:tab w:val="left" w:pos="567"/>
          <w:tab w:val="left" w:pos="709"/>
          <w:tab w:val="left" w:pos="851"/>
        </w:tabs>
        <w:spacing w:line="500" w:lineRule="exact"/>
        <w:rPr>
          <w:rFonts w:ascii="宋体" w:hAnsi="宋体"/>
          <w:b/>
          <w:color w:val="auto"/>
          <w:kern w:val="0"/>
          <w:sz w:val="28"/>
          <w:szCs w:val="28"/>
        </w:rPr>
      </w:pPr>
    </w:p>
    <w:p>
      <w:pPr>
        <w:pStyle w:val="5"/>
        <w:numPr>
          <w:ilvl w:val="2"/>
          <w:numId w:val="4"/>
        </w:numPr>
        <w:spacing w:after="200" w:line="240" w:lineRule="auto"/>
        <w:ind w:left="851"/>
        <w:rPr>
          <w:color w:val="auto"/>
        </w:rPr>
      </w:pPr>
      <w:r>
        <w:rPr>
          <w:rFonts w:hint="eastAsia"/>
          <w:color w:val="auto"/>
        </w:rPr>
        <w:t>残疾人福利性单位声明函</w:t>
      </w:r>
    </w:p>
    <w:p>
      <w:pPr>
        <w:spacing w:line="500" w:lineRule="exact"/>
        <w:jc w:val="center"/>
        <w:rPr>
          <w:rFonts w:ascii="宋体" w:hAnsi="宋体"/>
          <w:b/>
          <w:color w:val="auto"/>
          <w:spacing w:val="6"/>
          <w:sz w:val="28"/>
          <w:szCs w:val="28"/>
        </w:rPr>
      </w:pPr>
      <w:r>
        <w:rPr>
          <w:rFonts w:hint="eastAsia" w:ascii="宋体" w:hAnsi="宋体"/>
          <w:b/>
          <w:color w:val="auto"/>
          <w:spacing w:val="6"/>
          <w:sz w:val="28"/>
          <w:szCs w:val="28"/>
        </w:rPr>
        <w:t>残疾人福利性单位声明函</w:t>
      </w:r>
    </w:p>
    <w:p>
      <w:pPr>
        <w:spacing w:line="440" w:lineRule="exact"/>
        <w:rPr>
          <w:rFonts w:ascii="仿宋_GB2312" w:eastAsia="仿宋_GB2312"/>
          <w:b/>
          <w:color w:val="auto"/>
          <w:spacing w:val="6"/>
          <w:sz w:val="30"/>
          <w:szCs w:val="30"/>
        </w:rPr>
      </w:pPr>
    </w:p>
    <w:p>
      <w:pPr>
        <w:tabs>
          <w:tab w:val="left" w:pos="1134"/>
        </w:tabs>
        <w:spacing w:line="500" w:lineRule="exact"/>
        <w:ind w:firstLine="588" w:firstLineChars="200"/>
        <w:rPr>
          <w:rFonts w:ascii="宋体" w:hAnsi="宋体"/>
          <w:color w:val="auto"/>
          <w:spacing w:val="6"/>
          <w:sz w:val="28"/>
          <w:szCs w:val="28"/>
        </w:rPr>
      </w:pPr>
      <w:r>
        <w:rPr>
          <w:rFonts w:hint="eastAsia" w:ascii="宋体" w:hAnsi="宋体"/>
          <w:color w:val="auto"/>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pacing w:val="6"/>
          <w:sz w:val="28"/>
          <w:szCs w:val="28"/>
          <w:u w:val="single"/>
        </w:rPr>
        <w:t>XXXX</w:t>
      </w:r>
      <w:r>
        <w:rPr>
          <w:rFonts w:hint="eastAsia" w:ascii="宋体" w:hAnsi="宋体"/>
          <w:color w:val="auto"/>
          <w:spacing w:val="6"/>
          <w:sz w:val="28"/>
          <w:szCs w:val="28"/>
        </w:rPr>
        <w:t>单位的</w:t>
      </w:r>
      <w:r>
        <w:rPr>
          <w:rFonts w:hint="eastAsia" w:ascii="宋体" w:hAnsi="宋体"/>
          <w:color w:val="auto"/>
          <w:spacing w:val="6"/>
          <w:sz w:val="28"/>
          <w:szCs w:val="28"/>
          <w:u w:val="single"/>
        </w:rPr>
        <w:t>XXXX</w:t>
      </w:r>
      <w:r>
        <w:rPr>
          <w:rFonts w:hint="eastAsia" w:ascii="宋体" w:hAnsi="宋体"/>
          <w:color w:val="auto"/>
          <w:spacing w:val="6"/>
          <w:sz w:val="28"/>
          <w:szCs w:val="28"/>
        </w:rPr>
        <w:t>项目采购活动由本单位提供服务。</w:t>
      </w:r>
    </w:p>
    <w:p>
      <w:pPr>
        <w:tabs>
          <w:tab w:val="left" w:pos="1134"/>
        </w:tabs>
        <w:spacing w:line="500" w:lineRule="exact"/>
        <w:ind w:firstLine="588" w:firstLineChars="200"/>
        <w:rPr>
          <w:rFonts w:ascii="宋体" w:hAnsi="宋体"/>
          <w:color w:val="auto"/>
          <w:spacing w:val="6"/>
          <w:sz w:val="28"/>
          <w:szCs w:val="28"/>
        </w:rPr>
      </w:pPr>
      <w:r>
        <w:rPr>
          <w:rFonts w:hint="eastAsia" w:ascii="宋体" w:hAnsi="宋体"/>
          <w:color w:val="auto"/>
          <w:spacing w:val="6"/>
          <w:sz w:val="28"/>
          <w:szCs w:val="28"/>
        </w:rPr>
        <w:t>本单位对上述声明的真实性负责。如有虚假，将依法承担相应责任。</w:t>
      </w:r>
    </w:p>
    <w:p>
      <w:pPr>
        <w:overflowPunct w:val="0"/>
        <w:spacing w:line="520" w:lineRule="exact"/>
        <w:ind w:firstLine="564" w:firstLineChars="200"/>
        <w:rPr>
          <w:rFonts w:ascii="Times New Roman" w:hAnsi="Times New Roman" w:eastAsia="仿宋_GB2312"/>
          <w:bCs/>
          <w:color w:val="auto"/>
          <w:sz w:val="28"/>
          <w:szCs w:val="28"/>
        </w:rPr>
      </w:pPr>
    </w:p>
    <w:p>
      <w:pPr>
        <w:overflowPunct w:val="0"/>
        <w:spacing w:line="546" w:lineRule="exact"/>
        <w:ind w:firstLine="564" w:firstLineChars="200"/>
        <w:rPr>
          <w:rFonts w:ascii="Times New Roman" w:hAnsi="Times New Roman" w:eastAsia="仿宋_GB2312"/>
          <w:bCs/>
          <w:color w:val="auto"/>
          <w:sz w:val="28"/>
          <w:szCs w:val="28"/>
        </w:rPr>
      </w:pPr>
    </w:p>
    <w:p>
      <w:pPr>
        <w:overflowPunct w:val="0"/>
        <w:spacing w:line="546" w:lineRule="exact"/>
        <w:ind w:firstLine="564" w:firstLineChars="200"/>
        <w:rPr>
          <w:rFonts w:ascii="Times New Roman" w:hAnsi="Times New Roman" w:eastAsia="仿宋_GB2312"/>
          <w:bCs/>
          <w:color w:val="auto"/>
          <w:sz w:val="28"/>
          <w:szCs w:val="28"/>
        </w:rPr>
      </w:pPr>
    </w:p>
    <w:p>
      <w:pPr>
        <w:overflowPunct w:val="0"/>
        <w:spacing w:line="546" w:lineRule="exact"/>
        <w:ind w:firstLine="564" w:firstLineChars="200"/>
        <w:rPr>
          <w:rFonts w:ascii="Times New Roman" w:hAnsi="Times New Roman" w:eastAsia="仿宋_GB2312"/>
          <w:bCs/>
          <w:color w:val="auto"/>
          <w:sz w:val="28"/>
          <w:szCs w:val="28"/>
        </w:rPr>
      </w:pPr>
    </w:p>
    <w:p>
      <w:pPr>
        <w:overflowPunct w:val="0"/>
        <w:spacing w:line="546" w:lineRule="exact"/>
        <w:ind w:firstLine="564" w:firstLineChars="200"/>
        <w:rPr>
          <w:rFonts w:ascii="Times New Roman" w:hAnsi="Times New Roman" w:eastAsia="仿宋_GB2312"/>
          <w:bCs/>
          <w:color w:val="auto"/>
          <w:sz w:val="28"/>
          <w:szCs w:val="28"/>
        </w:rPr>
      </w:pPr>
    </w:p>
    <w:p>
      <w:pPr>
        <w:overflowPunct w:val="0"/>
        <w:spacing w:line="546" w:lineRule="exact"/>
        <w:ind w:firstLine="564" w:firstLineChars="200"/>
        <w:rPr>
          <w:rFonts w:ascii="Times New Roman" w:hAnsi="Times New Roman" w:eastAsia="仿宋_GB2312"/>
          <w:bCs/>
          <w:color w:val="auto"/>
          <w:sz w:val="28"/>
          <w:szCs w:val="28"/>
        </w:rPr>
      </w:pPr>
    </w:p>
    <w:p>
      <w:pPr>
        <w:overflowPunct w:val="0"/>
        <w:spacing w:line="546" w:lineRule="exact"/>
        <w:ind w:firstLine="564" w:firstLineChars="200"/>
        <w:rPr>
          <w:rFonts w:ascii="Times New Roman" w:hAnsi="Times New Roman" w:eastAsia="仿宋_GB2312"/>
          <w:bCs/>
          <w:color w:val="auto"/>
          <w:sz w:val="28"/>
          <w:szCs w:val="28"/>
        </w:rPr>
      </w:pPr>
    </w:p>
    <w:p>
      <w:pPr>
        <w:overflowPunct w:val="0"/>
        <w:spacing w:line="546" w:lineRule="exact"/>
        <w:ind w:firstLine="564" w:firstLineChars="200"/>
        <w:rPr>
          <w:rFonts w:ascii="Times New Roman" w:hAnsi="Times New Roman" w:eastAsia="仿宋_GB2312"/>
          <w:bCs/>
          <w:color w:val="auto"/>
          <w:sz w:val="28"/>
          <w:szCs w:val="28"/>
        </w:rPr>
      </w:pPr>
    </w:p>
    <w:p>
      <w:pPr>
        <w:tabs>
          <w:tab w:val="left" w:pos="3969"/>
        </w:tabs>
        <w:spacing w:line="500" w:lineRule="exact"/>
        <w:ind w:right="-58" w:firstLine="588" w:firstLineChars="200"/>
        <w:jc w:val="left"/>
        <w:rPr>
          <w:rFonts w:ascii="宋体" w:hAnsi="宋体"/>
          <w:color w:val="auto"/>
          <w:spacing w:val="6"/>
          <w:sz w:val="28"/>
          <w:szCs w:val="28"/>
        </w:rPr>
      </w:pPr>
      <w:r>
        <w:rPr>
          <w:rFonts w:hint="eastAsia" w:ascii="宋体" w:hAnsi="宋体"/>
          <w:color w:val="auto"/>
          <w:spacing w:val="6"/>
          <w:sz w:val="28"/>
          <w:szCs w:val="28"/>
        </w:rPr>
        <w:t>单位名称：</w:t>
      </w:r>
      <w:r>
        <w:rPr>
          <w:rFonts w:ascii="宋体" w:hAnsi="宋体"/>
          <w:color w:val="auto"/>
          <w:sz w:val="28"/>
          <w:szCs w:val="28"/>
          <w:u w:val="single"/>
        </w:rPr>
        <w:t>XXXX</w:t>
      </w:r>
      <w:r>
        <w:rPr>
          <w:rFonts w:ascii="宋体" w:hAnsi="宋体"/>
          <w:color w:val="auto"/>
          <w:spacing w:val="6"/>
          <w:sz w:val="28"/>
          <w:szCs w:val="28"/>
        </w:rPr>
        <w:t xml:space="preserve"> </w:t>
      </w:r>
    </w:p>
    <w:p>
      <w:pPr>
        <w:tabs>
          <w:tab w:val="left" w:pos="3969"/>
        </w:tabs>
        <w:spacing w:line="500" w:lineRule="exact"/>
        <w:ind w:right="-58" w:firstLine="588" w:firstLineChars="200"/>
        <w:jc w:val="left"/>
        <w:rPr>
          <w:color w:val="auto"/>
          <w:sz w:val="28"/>
          <w:szCs w:val="28"/>
        </w:rPr>
      </w:pPr>
      <w:r>
        <w:rPr>
          <w:rFonts w:hint="eastAsia" w:ascii="宋体" w:hAnsi="宋体"/>
          <w:color w:val="auto"/>
          <w:spacing w:val="6"/>
          <w:sz w:val="28"/>
          <w:szCs w:val="28"/>
        </w:rPr>
        <w:t>日</w:t>
      </w:r>
      <w:r>
        <w:rPr>
          <w:rFonts w:ascii="宋体" w:hAnsi="宋体"/>
          <w:color w:val="auto"/>
          <w:spacing w:val="6"/>
          <w:sz w:val="28"/>
          <w:szCs w:val="28"/>
        </w:rPr>
        <w:t xml:space="preserve">  </w:t>
      </w:r>
      <w:r>
        <w:rPr>
          <w:rFonts w:hint="eastAsia" w:ascii="宋体" w:hAnsi="宋体"/>
          <w:color w:val="auto"/>
          <w:spacing w:val="6"/>
          <w:sz w:val="28"/>
          <w:szCs w:val="28"/>
        </w:rPr>
        <w:t>期：</w:t>
      </w:r>
      <w:r>
        <w:rPr>
          <w:rFonts w:ascii="宋体" w:hAnsi="宋体"/>
          <w:color w:val="auto"/>
          <w:sz w:val="28"/>
          <w:szCs w:val="28"/>
        </w:rPr>
        <w:t>20</w:t>
      </w:r>
      <w:r>
        <w:rPr>
          <w:rFonts w:ascii="宋体" w:hAnsi="宋体"/>
          <w:color w:val="auto"/>
          <w:sz w:val="28"/>
          <w:szCs w:val="28"/>
          <w:u w:val="single"/>
        </w:rPr>
        <w:t>XX</w:t>
      </w:r>
      <w:r>
        <w:rPr>
          <w:rFonts w:ascii="宋体" w:hAnsi="宋体"/>
          <w:color w:val="auto"/>
          <w:sz w:val="28"/>
          <w:szCs w:val="28"/>
        </w:rPr>
        <w:t>年</w:t>
      </w:r>
      <w:r>
        <w:rPr>
          <w:rFonts w:ascii="宋体" w:hAnsi="宋体"/>
          <w:color w:val="auto"/>
          <w:sz w:val="28"/>
          <w:szCs w:val="28"/>
          <w:u w:val="single"/>
        </w:rPr>
        <w:t>XX</w:t>
      </w:r>
      <w:r>
        <w:rPr>
          <w:rFonts w:ascii="宋体" w:hAnsi="宋体"/>
          <w:color w:val="auto"/>
          <w:sz w:val="28"/>
          <w:szCs w:val="28"/>
        </w:rPr>
        <w:t>月</w:t>
      </w:r>
      <w:r>
        <w:rPr>
          <w:rFonts w:ascii="宋体" w:hAnsi="宋体"/>
          <w:color w:val="auto"/>
          <w:sz w:val="28"/>
          <w:szCs w:val="28"/>
          <w:u w:val="single"/>
        </w:rPr>
        <w:t>XX</w:t>
      </w:r>
      <w:r>
        <w:rPr>
          <w:rFonts w:ascii="宋体" w:hAnsi="宋体"/>
          <w:color w:val="auto"/>
          <w:sz w:val="28"/>
          <w:szCs w:val="28"/>
        </w:rPr>
        <w:t>日</w:t>
      </w:r>
    </w:p>
    <w:p>
      <w:pPr>
        <w:ind w:firstLine="563"/>
        <w:rPr>
          <w:rFonts w:ascii="宋体" w:hAnsi="宋体"/>
          <w:b/>
          <w:color w:val="auto"/>
          <w:kern w:val="0"/>
          <w:sz w:val="28"/>
          <w:szCs w:val="28"/>
        </w:rPr>
      </w:pPr>
    </w:p>
    <w:p>
      <w:pPr>
        <w:pStyle w:val="209"/>
        <w:rPr>
          <w:color w:val="auto"/>
        </w:rPr>
      </w:pPr>
    </w:p>
    <w:p>
      <w:pPr>
        <w:pStyle w:val="209"/>
        <w:rPr>
          <w:color w:val="auto"/>
        </w:rPr>
      </w:pPr>
    </w:p>
    <w:p>
      <w:pPr>
        <w:pStyle w:val="209"/>
        <w:rPr>
          <w:color w:val="auto"/>
        </w:rPr>
      </w:pPr>
    </w:p>
    <w:p>
      <w:pPr>
        <w:pStyle w:val="209"/>
        <w:rPr>
          <w:color w:val="auto"/>
        </w:rPr>
      </w:pPr>
    </w:p>
    <w:p>
      <w:pPr>
        <w:pStyle w:val="209"/>
        <w:rPr>
          <w:color w:val="auto"/>
        </w:rPr>
      </w:pPr>
    </w:p>
    <w:p>
      <w:pPr>
        <w:pStyle w:val="209"/>
        <w:rPr>
          <w:color w:val="auto"/>
        </w:rPr>
      </w:pPr>
    </w:p>
    <w:p>
      <w:pPr>
        <w:pStyle w:val="209"/>
        <w:rPr>
          <w:color w:val="auto"/>
        </w:rPr>
      </w:pPr>
    </w:p>
    <w:p>
      <w:pPr>
        <w:pStyle w:val="5"/>
        <w:numPr>
          <w:ilvl w:val="2"/>
          <w:numId w:val="4"/>
        </w:numPr>
        <w:spacing w:after="200" w:line="240" w:lineRule="auto"/>
        <w:ind w:left="851"/>
        <w:rPr>
          <w:color w:val="auto"/>
        </w:rPr>
      </w:pPr>
      <w:r>
        <w:rPr>
          <w:rFonts w:hint="eastAsia"/>
          <w:color w:val="auto"/>
        </w:rPr>
        <w:t>投标人基本情况表</w:t>
      </w:r>
      <w:bookmarkEnd w:id="218"/>
    </w:p>
    <w:tbl>
      <w:tblPr>
        <w:tblStyle w:val="49"/>
        <w:tblW w:w="8520"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5"/>
        <w:gridCol w:w="977"/>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5"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投标人名称</w:t>
            </w:r>
          </w:p>
        </w:tc>
        <w:tc>
          <w:tcPr>
            <w:tcW w:w="7005"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注册地址</w:t>
            </w:r>
          </w:p>
        </w:tc>
        <w:tc>
          <w:tcPr>
            <w:tcW w:w="3448"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5"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联系方式</w:t>
            </w:r>
          </w:p>
        </w:tc>
        <w:tc>
          <w:tcPr>
            <w:tcW w:w="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515"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rFonts w:ascii="宋体" w:hAnsi="宋体"/>
                <w:color w:val="auto"/>
                <w:kern w:val="0"/>
                <w:szCs w:val="21"/>
              </w:rPr>
            </w:pPr>
          </w:p>
        </w:tc>
        <w:tc>
          <w:tcPr>
            <w:tcW w:w="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单位性质</w:t>
            </w:r>
          </w:p>
        </w:tc>
        <w:tc>
          <w:tcPr>
            <w:tcW w:w="7005"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法定代表人</w:t>
            </w:r>
          </w:p>
        </w:tc>
        <w:tc>
          <w:tcPr>
            <w:tcW w:w="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bCs/>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jc w:val="center"/>
        </w:trPr>
        <w:tc>
          <w:tcPr>
            <w:tcW w:w="1515"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技术负责人</w:t>
            </w:r>
          </w:p>
        </w:tc>
        <w:tc>
          <w:tcPr>
            <w:tcW w:w="977"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color w:val="auto"/>
                <w:kern w:val="0"/>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color w:val="auto"/>
                <w:kern w:val="0"/>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jc w:val="center"/>
              <w:rPr>
                <w:rFonts w:ascii="宋体" w:hAnsi="宋体"/>
                <w:bCs/>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1515"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财务负责人</w:t>
            </w:r>
          </w:p>
        </w:tc>
        <w:tc>
          <w:tcPr>
            <w:tcW w:w="977"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bCs/>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成立时间</w:t>
            </w:r>
          </w:p>
        </w:tc>
        <w:tc>
          <w:tcPr>
            <w:tcW w:w="21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ind w:firstLine="1484" w:firstLineChars="700"/>
              <w:rPr>
                <w:rFonts w:ascii="宋体" w:hAnsi="宋体"/>
                <w:color w:val="auto"/>
                <w:kern w:val="0"/>
                <w:szCs w:val="21"/>
              </w:rPr>
            </w:pPr>
            <w:r>
              <w:rPr>
                <w:rFonts w:hint="eastAsia" w:ascii="宋体" w:hAnsi="宋体"/>
                <w:color w:val="auto"/>
                <w:kern w:val="0"/>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企业资质等级</w:t>
            </w:r>
          </w:p>
        </w:tc>
        <w:tc>
          <w:tcPr>
            <w:tcW w:w="21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bCs/>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营业执照号</w:t>
            </w:r>
          </w:p>
        </w:tc>
        <w:tc>
          <w:tcPr>
            <w:tcW w:w="21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auto"/>
                <w:kern w:val="0"/>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bCs/>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注册资金</w:t>
            </w:r>
          </w:p>
        </w:tc>
        <w:tc>
          <w:tcPr>
            <w:tcW w:w="21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auto"/>
                <w:kern w:val="0"/>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bCs/>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开户银行</w:t>
            </w:r>
          </w:p>
        </w:tc>
        <w:tc>
          <w:tcPr>
            <w:tcW w:w="21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auto"/>
                <w:kern w:val="0"/>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bCs/>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账号</w:t>
            </w:r>
          </w:p>
        </w:tc>
        <w:tc>
          <w:tcPr>
            <w:tcW w:w="21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auto"/>
                <w:kern w:val="0"/>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bCs/>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37"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经营范围</w:t>
            </w:r>
          </w:p>
        </w:tc>
        <w:tc>
          <w:tcPr>
            <w:tcW w:w="7005"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rPr>
                <w:rFonts w:ascii="宋体" w:hAnsi="宋体"/>
                <w:bCs/>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2" w:hRule="atLeast"/>
          <w:jc w:val="center"/>
        </w:trPr>
        <w:tc>
          <w:tcPr>
            <w:tcW w:w="1515" w:type="dxa"/>
            <w:tcBorders>
              <w:top w:val="single" w:color="auto" w:sz="6" w:space="0"/>
              <w:left w:val="double" w:color="auto" w:sz="4" w:space="0"/>
              <w:bottom w:val="double" w:color="auto" w:sz="4" w:space="0"/>
              <w:right w:val="single" w:color="auto" w:sz="6" w:space="0"/>
            </w:tcBorders>
          </w:tcPr>
          <w:p>
            <w:pPr>
              <w:autoSpaceDE w:val="0"/>
              <w:autoSpaceDN w:val="0"/>
              <w:adjustRightInd w:val="0"/>
              <w:jc w:val="center"/>
              <w:rPr>
                <w:rFonts w:ascii="宋体" w:hAnsi="宋体"/>
                <w:color w:val="auto"/>
                <w:kern w:val="0"/>
                <w:szCs w:val="21"/>
              </w:rPr>
            </w:pPr>
            <w:r>
              <w:rPr>
                <w:rFonts w:hint="eastAsia" w:ascii="宋体" w:hAnsi="宋体"/>
                <w:color w:val="auto"/>
                <w:kern w:val="0"/>
                <w:szCs w:val="21"/>
              </w:rPr>
              <w:t>备注</w:t>
            </w:r>
          </w:p>
        </w:tc>
        <w:tc>
          <w:tcPr>
            <w:tcW w:w="7005"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jc w:val="left"/>
              <w:rPr>
                <w:rFonts w:ascii="宋体" w:hAnsi="宋体"/>
                <w:color w:val="auto"/>
                <w:kern w:val="0"/>
                <w:szCs w:val="21"/>
              </w:rPr>
            </w:pPr>
          </w:p>
        </w:tc>
      </w:tr>
    </w:tbl>
    <w:p>
      <w:pPr>
        <w:adjustRightInd w:val="0"/>
        <w:jc w:val="left"/>
        <w:rPr>
          <w:rFonts w:ascii="宋体" w:hAnsi="宋体"/>
          <w:bCs/>
          <w:color w:val="auto"/>
          <w:sz w:val="28"/>
          <w:szCs w:val="28"/>
        </w:rPr>
      </w:pPr>
    </w:p>
    <w:p>
      <w:pPr>
        <w:pStyle w:val="27"/>
        <w:spacing w:line="240" w:lineRule="auto"/>
        <w:ind w:firstLine="290" w:firstLineChars="103"/>
        <w:rPr>
          <w:rFonts w:ascii="宋体" w:hAnsi="宋体"/>
          <w:bCs/>
          <w:color w:val="auto"/>
          <w:sz w:val="28"/>
          <w:szCs w:val="28"/>
        </w:rPr>
      </w:pPr>
      <w:r>
        <w:rPr>
          <w:rFonts w:hint="eastAsia" w:ascii="宋体" w:hAnsi="宋体"/>
          <w:bCs/>
          <w:color w:val="auto"/>
          <w:sz w:val="28"/>
          <w:szCs w:val="28"/>
        </w:rPr>
        <w:t>投标人名称：XXXX</w:t>
      </w:r>
    </w:p>
    <w:p>
      <w:pPr>
        <w:adjustRightInd w:val="0"/>
        <w:ind w:firstLine="705" w:firstLineChars="250"/>
        <w:jc w:val="left"/>
        <w:rPr>
          <w:rFonts w:ascii="宋体" w:hAnsi="宋体"/>
          <w:bCs/>
          <w:color w:val="auto"/>
          <w:sz w:val="28"/>
          <w:szCs w:val="28"/>
        </w:rPr>
      </w:pPr>
      <w:r>
        <w:rPr>
          <w:rFonts w:hint="eastAsia" w:ascii="宋体" w:hAnsi="宋体"/>
          <w:color w:val="auto"/>
          <w:sz w:val="28"/>
        </w:rPr>
        <w:t>日期：</w:t>
      </w:r>
      <w:r>
        <w:rPr>
          <w:rFonts w:hint="eastAsia" w:ascii="宋体" w:hAnsi="宋体"/>
          <w:bCs/>
          <w:color w:val="auto"/>
          <w:sz w:val="28"/>
        </w:rPr>
        <w:t>20XX年XX</w:t>
      </w:r>
      <w:r>
        <w:rPr>
          <w:rFonts w:hint="eastAsia" w:ascii="宋体" w:hAnsi="宋体"/>
          <w:bCs/>
          <w:color w:val="auto"/>
          <w:sz w:val="28"/>
          <w:szCs w:val="28"/>
        </w:rPr>
        <w:t>月</w:t>
      </w:r>
      <w:r>
        <w:rPr>
          <w:rFonts w:hint="eastAsia" w:ascii="宋体" w:hAnsi="宋体"/>
          <w:bCs/>
          <w:color w:val="auto"/>
          <w:sz w:val="28"/>
        </w:rPr>
        <w:t>XX</w:t>
      </w:r>
      <w:r>
        <w:rPr>
          <w:rFonts w:hint="eastAsia" w:ascii="宋体" w:hAnsi="宋体"/>
          <w:bCs/>
          <w:color w:val="auto"/>
          <w:sz w:val="28"/>
          <w:szCs w:val="28"/>
        </w:rPr>
        <w:t>日</w:t>
      </w:r>
      <w:bookmarkEnd w:id="219"/>
      <w:bookmarkEnd w:id="220"/>
      <w:bookmarkEnd w:id="221"/>
      <w:bookmarkStart w:id="223" w:name="_Toc220299404"/>
      <w:bookmarkStart w:id="224" w:name="_Toc263768873"/>
      <w:bookmarkStart w:id="225" w:name="_Toc263753615"/>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5"/>
        <w:numPr>
          <w:ilvl w:val="2"/>
          <w:numId w:val="4"/>
        </w:numPr>
        <w:spacing w:after="200" w:line="240" w:lineRule="auto"/>
        <w:ind w:left="851"/>
        <w:rPr>
          <w:color w:val="auto"/>
        </w:rPr>
      </w:pPr>
      <w:r>
        <w:rPr>
          <w:rFonts w:hint="eastAsia"/>
          <w:color w:val="auto"/>
        </w:rPr>
        <w:t>服务方案及服务承诺</w:t>
      </w:r>
    </w:p>
    <w:p>
      <w:pPr>
        <w:snapToGrid w:val="0"/>
        <w:rPr>
          <w:rFonts w:ascii="宋体" w:hAnsi="宋体"/>
          <w:b/>
          <w:color w:val="auto"/>
          <w:spacing w:val="-20"/>
          <w:sz w:val="28"/>
          <w:szCs w:val="28"/>
        </w:rPr>
      </w:pPr>
      <w:r>
        <w:rPr>
          <w:rFonts w:hint="eastAsia" w:ascii="宋体" w:hAnsi="宋体"/>
          <w:b/>
          <w:color w:val="auto"/>
          <w:sz w:val="28"/>
          <w:szCs w:val="28"/>
        </w:rPr>
        <w:t>项目名称：</w:t>
      </w:r>
      <w:r>
        <w:rPr>
          <w:rFonts w:hint="eastAsia" w:ascii="宋体" w:hAnsi="宋体"/>
          <w:b/>
          <w:color w:val="auto"/>
          <w:sz w:val="28"/>
          <w:szCs w:val="28"/>
          <w:u w:val="single"/>
        </w:rPr>
        <w:t>XXXX采购项目</w:t>
      </w:r>
    </w:p>
    <w:p>
      <w:pPr>
        <w:snapToGrid w:val="0"/>
        <w:rPr>
          <w:rFonts w:ascii="宋体" w:hAnsi="宋体"/>
          <w:b/>
          <w:color w:val="auto"/>
          <w:sz w:val="28"/>
          <w:szCs w:val="28"/>
          <w:u w:val="single"/>
        </w:rPr>
      </w:pPr>
      <w:r>
        <w:rPr>
          <w:rFonts w:hint="eastAsia" w:ascii="宋体" w:hAnsi="宋体"/>
          <w:b/>
          <w:color w:val="auto"/>
          <w:sz w:val="28"/>
          <w:szCs w:val="28"/>
        </w:rPr>
        <w:t>项目编号：</w:t>
      </w:r>
      <w:r>
        <w:rPr>
          <w:rFonts w:hint="eastAsia" w:ascii="宋体" w:hAnsi="宋体"/>
          <w:b/>
          <w:color w:val="auto"/>
          <w:sz w:val="28"/>
          <w:szCs w:val="28"/>
          <w:u w:val="single"/>
          <w:lang w:val="en-US" w:eastAsia="zh-CN"/>
        </w:rPr>
        <w:t xml:space="preserve">JY3202       </w:t>
      </w:r>
      <w:r>
        <w:rPr>
          <w:rFonts w:hint="eastAsia" w:ascii="宋体" w:hAnsi="宋体"/>
          <w:b/>
          <w:color w:val="auto"/>
          <w:sz w:val="28"/>
          <w:szCs w:val="28"/>
          <w:u w:val="single"/>
        </w:rPr>
        <w:t>号</w:t>
      </w:r>
    </w:p>
    <w:p>
      <w:pPr>
        <w:pStyle w:val="27"/>
        <w:spacing w:line="240" w:lineRule="auto"/>
        <w:rPr>
          <w:rFonts w:ascii="宋体" w:hAnsi="宋体"/>
          <w:bCs/>
          <w:color w:val="auto"/>
          <w:sz w:val="28"/>
          <w:szCs w:val="28"/>
        </w:rPr>
      </w:pPr>
    </w:p>
    <w:p>
      <w:pPr>
        <w:pStyle w:val="27"/>
        <w:spacing w:line="240" w:lineRule="auto"/>
        <w:rPr>
          <w:rFonts w:ascii="宋体" w:hAnsi="宋体"/>
          <w:bCs/>
          <w:color w:val="auto"/>
          <w:sz w:val="28"/>
          <w:szCs w:val="28"/>
        </w:rPr>
      </w:pPr>
    </w:p>
    <w:p>
      <w:pPr>
        <w:pStyle w:val="27"/>
        <w:spacing w:line="240" w:lineRule="auto"/>
        <w:rPr>
          <w:rFonts w:ascii="宋体" w:hAnsi="宋体"/>
          <w:bCs/>
          <w:color w:val="auto"/>
          <w:sz w:val="28"/>
          <w:szCs w:val="28"/>
        </w:rPr>
      </w:pPr>
    </w:p>
    <w:p>
      <w:pPr>
        <w:pStyle w:val="27"/>
        <w:spacing w:line="240" w:lineRule="auto"/>
        <w:rPr>
          <w:rFonts w:ascii="宋体" w:hAnsi="宋体"/>
          <w:bCs/>
          <w:color w:val="auto"/>
          <w:sz w:val="28"/>
          <w:szCs w:val="28"/>
        </w:rPr>
      </w:pPr>
    </w:p>
    <w:p>
      <w:pPr>
        <w:pStyle w:val="27"/>
        <w:spacing w:line="240" w:lineRule="auto"/>
        <w:rPr>
          <w:rFonts w:ascii="宋体" w:hAnsi="宋体"/>
          <w:bCs/>
          <w:color w:val="auto"/>
          <w:sz w:val="28"/>
          <w:szCs w:val="28"/>
        </w:rPr>
      </w:pPr>
    </w:p>
    <w:p>
      <w:pPr>
        <w:pStyle w:val="27"/>
        <w:spacing w:line="240" w:lineRule="auto"/>
        <w:rPr>
          <w:rFonts w:ascii="宋体" w:hAnsi="宋体"/>
          <w:bCs/>
          <w:color w:val="auto"/>
          <w:sz w:val="28"/>
          <w:szCs w:val="28"/>
        </w:rPr>
      </w:pPr>
    </w:p>
    <w:p>
      <w:pPr>
        <w:pStyle w:val="27"/>
        <w:spacing w:line="240" w:lineRule="auto"/>
        <w:rPr>
          <w:rFonts w:ascii="宋体" w:hAnsi="宋体"/>
          <w:bCs/>
          <w:color w:val="auto"/>
          <w:sz w:val="28"/>
          <w:szCs w:val="28"/>
        </w:rPr>
      </w:pPr>
    </w:p>
    <w:p>
      <w:pPr>
        <w:pStyle w:val="27"/>
        <w:spacing w:line="240" w:lineRule="auto"/>
        <w:rPr>
          <w:rFonts w:ascii="宋体" w:hAnsi="宋体"/>
          <w:bCs/>
          <w:color w:val="auto"/>
          <w:sz w:val="28"/>
          <w:szCs w:val="28"/>
        </w:rPr>
      </w:pPr>
    </w:p>
    <w:p>
      <w:pPr>
        <w:pStyle w:val="27"/>
        <w:spacing w:line="240" w:lineRule="auto"/>
        <w:rPr>
          <w:rFonts w:ascii="宋体" w:hAnsi="宋体"/>
          <w:bCs/>
          <w:color w:val="auto"/>
          <w:sz w:val="28"/>
          <w:szCs w:val="28"/>
        </w:rPr>
      </w:pPr>
    </w:p>
    <w:p>
      <w:pPr>
        <w:pStyle w:val="27"/>
        <w:spacing w:line="240" w:lineRule="auto"/>
        <w:rPr>
          <w:rFonts w:ascii="宋体" w:hAnsi="宋体"/>
          <w:bCs/>
          <w:color w:val="auto"/>
          <w:sz w:val="28"/>
          <w:szCs w:val="28"/>
        </w:rPr>
      </w:pPr>
    </w:p>
    <w:p>
      <w:pPr>
        <w:pStyle w:val="27"/>
        <w:spacing w:line="240" w:lineRule="auto"/>
        <w:rPr>
          <w:rFonts w:ascii="宋体" w:hAnsi="宋体"/>
          <w:bCs/>
          <w:color w:val="auto"/>
          <w:sz w:val="28"/>
          <w:szCs w:val="28"/>
        </w:rPr>
      </w:pPr>
      <w:r>
        <w:rPr>
          <w:rFonts w:hint="eastAsia" w:ascii="宋体" w:hAnsi="宋体"/>
          <w:bCs/>
          <w:color w:val="auto"/>
          <w:sz w:val="28"/>
          <w:szCs w:val="28"/>
        </w:rPr>
        <w:t>投标人名称：XXXX</w:t>
      </w:r>
    </w:p>
    <w:p>
      <w:pPr>
        <w:adjustRightInd w:val="0"/>
        <w:ind w:firstLine="423" w:firstLineChars="150"/>
        <w:jc w:val="left"/>
        <w:rPr>
          <w:rFonts w:ascii="宋体" w:hAnsi="宋体"/>
          <w:color w:val="auto"/>
          <w:sz w:val="28"/>
        </w:rPr>
      </w:pPr>
      <w:r>
        <w:rPr>
          <w:rFonts w:hint="eastAsia" w:ascii="宋体" w:hAnsi="宋体"/>
          <w:color w:val="auto"/>
          <w:sz w:val="28"/>
        </w:rPr>
        <w:t>日期：20XX年XX月XX日</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5"/>
        <w:numPr>
          <w:ilvl w:val="2"/>
          <w:numId w:val="4"/>
        </w:numPr>
        <w:spacing w:after="200" w:line="240" w:lineRule="auto"/>
        <w:ind w:left="851"/>
        <w:rPr>
          <w:bCs w:val="0"/>
          <w:color w:val="auto"/>
        </w:rPr>
      </w:pPr>
      <w:r>
        <w:rPr>
          <w:rFonts w:hint="eastAsia"/>
          <w:bCs w:val="0"/>
          <w:color w:val="auto"/>
        </w:rPr>
        <w:t>承诺函</w:t>
      </w:r>
    </w:p>
    <w:p>
      <w:pPr>
        <w:snapToGrid w:val="0"/>
        <w:rPr>
          <w:rFonts w:ascii="宋体" w:hAnsi="宋体"/>
          <w:b/>
          <w:color w:val="auto"/>
          <w:spacing w:val="-20"/>
          <w:sz w:val="28"/>
          <w:szCs w:val="28"/>
        </w:rPr>
      </w:pPr>
      <w:r>
        <w:rPr>
          <w:rFonts w:hint="eastAsia" w:ascii="宋体" w:hAnsi="宋体"/>
          <w:b/>
          <w:color w:val="auto"/>
          <w:sz w:val="28"/>
          <w:szCs w:val="28"/>
        </w:rPr>
        <w:t>项目名称：</w:t>
      </w:r>
      <w:r>
        <w:rPr>
          <w:rFonts w:hint="eastAsia" w:ascii="宋体" w:hAnsi="宋体"/>
          <w:b/>
          <w:color w:val="auto"/>
          <w:sz w:val="28"/>
          <w:szCs w:val="28"/>
          <w:u w:val="single"/>
        </w:rPr>
        <w:t>XXXX采购项目</w:t>
      </w:r>
    </w:p>
    <w:p>
      <w:pPr>
        <w:snapToGrid w:val="0"/>
        <w:rPr>
          <w:rFonts w:ascii="宋体" w:hAnsi="宋体"/>
          <w:b/>
          <w:color w:val="auto"/>
          <w:sz w:val="28"/>
          <w:szCs w:val="28"/>
          <w:u w:val="single"/>
        </w:rPr>
      </w:pPr>
      <w:r>
        <w:rPr>
          <w:rFonts w:hint="eastAsia" w:ascii="宋体" w:hAnsi="宋体"/>
          <w:b/>
          <w:color w:val="auto"/>
          <w:sz w:val="28"/>
          <w:szCs w:val="28"/>
        </w:rPr>
        <w:t>项目编号：</w:t>
      </w:r>
      <w:r>
        <w:rPr>
          <w:rFonts w:hint="eastAsia" w:ascii="宋体" w:hAnsi="宋体"/>
          <w:b/>
          <w:color w:val="auto"/>
          <w:sz w:val="28"/>
          <w:szCs w:val="28"/>
          <w:u w:val="single"/>
          <w:lang w:val="en-US" w:eastAsia="zh-CN"/>
        </w:rPr>
        <w:t xml:space="preserve">JY3202       </w:t>
      </w:r>
      <w:r>
        <w:rPr>
          <w:rFonts w:hint="eastAsia" w:ascii="宋体" w:hAnsi="宋体"/>
          <w:b/>
          <w:color w:val="auto"/>
          <w:sz w:val="28"/>
          <w:szCs w:val="28"/>
          <w:u w:val="single"/>
        </w:rPr>
        <w:t>号</w:t>
      </w:r>
    </w:p>
    <w:p>
      <w:pPr>
        <w:adjustRightInd w:val="0"/>
        <w:snapToGrid w:val="0"/>
        <w:spacing w:line="360" w:lineRule="auto"/>
        <w:rPr>
          <w:rFonts w:ascii="宋体" w:hAnsi="宋体"/>
          <w:color w:val="auto"/>
          <w:sz w:val="30"/>
          <w:szCs w:val="30"/>
        </w:rPr>
      </w:pPr>
    </w:p>
    <w:p>
      <w:pPr>
        <w:adjustRightInd w:val="0"/>
        <w:snapToGrid w:val="0"/>
        <w:spacing w:line="360" w:lineRule="auto"/>
        <w:ind w:firstLine="606" w:firstLineChars="201"/>
        <w:rPr>
          <w:rFonts w:ascii="宋体" w:hAnsi="宋体"/>
          <w:color w:val="auto"/>
          <w:sz w:val="30"/>
          <w:szCs w:val="30"/>
        </w:rPr>
      </w:pPr>
      <w:r>
        <w:rPr>
          <w:rFonts w:hint="eastAsia" w:ascii="宋体" w:hAnsi="宋体"/>
          <w:color w:val="auto"/>
          <w:sz w:val="30"/>
          <w:szCs w:val="30"/>
        </w:rPr>
        <w:t>我公司作为参加本项目的投标人，在此郑重承诺：</w:t>
      </w:r>
    </w:p>
    <w:p>
      <w:pPr>
        <w:numPr>
          <w:ilvl w:val="0"/>
          <w:numId w:val="0"/>
        </w:numPr>
        <w:spacing w:line="360" w:lineRule="auto"/>
        <w:ind w:firstLine="604" w:firstLineChars="200"/>
        <w:rPr>
          <w:rFonts w:ascii="宋体" w:hAnsi="宋体"/>
          <w:color w:val="0000FF"/>
          <w:sz w:val="30"/>
          <w:szCs w:val="30"/>
        </w:rPr>
      </w:pPr>
      <w:r>
        <w:rPr>
          <w:rFonts w:hint="eastAsia" w:ascii="宋体" w:hAnsi="宋体"/>
          <w:color w:val="FF0000"/>
          <w:sz w:val="30"/>
          <w:szCs w:val="30"/>
          <w:lang w:eastAsia="zh-CN"/>
        </w:rPr>
        <w:t>除按招标文件要求提供的证明材料外，</w:t>
      </w:r>
      <w:r>
        <w:rPr>
          <w:rFonts w:hint="eastAsia" w:ascii="宋体" w:hAnsi="宋体"/>
          <w:color w:val="FF0000"/>
          <w:sz w:val="30"/>
          <w:szCs w:val="30"/>
        </w:rPr>
        <w:t>投标文件均实质性响应招标文件中</w:t>
      </w:r>
      <w:r>
        <w:rPr>
          <w:rFonts w:hint="eastAsia" w:ascii="宋体" w:hAnsi="宋体"/>
          <w:color w:val="FF0000"/>
          <w:sz w:val="30"/>
          <w:szCs w:val="30"/>
          <w:lang w:eastAsia="zh-CN"/>
        </w:rPr>
        <w:t>第</w:t>
      </w:r>
      <w:r>
        <w:rPr>
          <w:rFonts w:hint="eastAsia" w:ascii="宋体" w:hAnsi="宋体"/>
          <w:color w:val="FF0000"/>
          <w:sz w:val="30"/>
          <w:szCs w:val="30"/>
          <w:lang w:val="en-US" w:eastAsia="zh-CN"/>
        </w:rPr>
        <w:t>4章其他</w:t>
      </w:r>
      <w:r>
        <w:rPr>
          <w:rFonts w:hint="eastAsia" w:ascii="宋体" w:hAnsi="宋体"/>
          <w:color w:val="FF0000"/>
          <w:sz w:val="30"/>
          <w:szCs w:val="30"/>
        </w:rPr>
        <w:t>加★号的服务、商务和其他要求</w:t>
      </w:r>
      <w:r>
        <w:rPr>
          <w:rFonts w:hint="eastAsia" w:ascii="宋体" w:hAnsi="宋体"/>
          <w:color w:val="000000" w:themeColor="text1"/>
          <w:sz w:val="30"/>
          <w:szCs w:val="30"/>
          <w14:textFill>
            <w14:solidFill>
              <w14:schemeClr w14:val="tx1"/>
            </w14:solidFill>
          </w14:textFill>
        </w:rPr>
        <w:t>；</w:t>
      </w:r>
    </w:p>
    <w:p>
      <w:pPr>
        <w:snapToGrid w:val="0"/>
        <w:spacing w:line="500" w:lineRule="exact"/>
        <w:ind w:firstLine="846" w:firstLineChars="300"/>
        <w:jc w:val="both"/>
        <w:rPr>
          <w:rFonts w:hint="eastAsia" w:ascii="宋体" w:hAnsi="宋体"/>
          <w:color w:val="auto"/>
          <w:sz w:val="28"/>
          <w:szCs w:val="28"/>
        </w:rPr>
      </w:pPr>
      <w:r>
        <w:rPr>
          <w:rFonts w:hint="eastAsia" w:ascii="宋体" w:hAnsi="宋体"/>
          <w:color w:val="auto"/>
          <w:sz w:val="28"/>
          <w:szCs w:val="28"/>
        </w:rPr>
        <w:t>特此承诺。</w:t>
      </w:r>
    </w:p>
    <w:p>
      <w:pPr>
        <w:pStyle w:val="2"/>
        <w:rPr>
          <w:rFonts w:hint="eastAsia" w:ascii="宋体" w:hAnsi="宋体"/>
          <w:color w:val="auto"/>
          <w:sz w:val="28"/>
          <w:szCs w:val="28"/>
        </w:rPr>
      </w:pPr>
    </w:p>
    <w:p>
      <w:pPr>
        <w:rPr>
          <w:rFonts w:hint="eastAsia" w:ascii="宋体" w:hAnsi="宋体"/>
          <w:color w:val="auto"/>
          <w:sz w:val="28"/>
          <w:szCs w:val="28"/>
        </w:rPr>
      </w:pPr>
    </w:p>
    <w:p>
      <w:pPr>
        <w:pStyle w:val="2"/>
        <w:rPr>
          <w:rFonts w:hint="eastAsia" w:ascii="宋体" w:hAnsi="宋体"/>
          <w:color w:val="auto"/>
          <w:sz w:val="28"/>
          <w:szCs w:val="28"/>
        </w:rPr>
      </w:pPr>
    </w:p>
    <w:p/>
    <w:p>
      <w:pPr>
        <w:pStyle w:val="27"/>
        <w:spacing w:line="500" w:lineRule="exact"/>
        <w:ind w:firstLine="146" w:firstLineChars="52"/>
        <w:jc w:val="center"/>
        <w:rPr>
          <w:rFonts w:ascii="宋体" w:hAnsi="宋体"/>
          <w:bCs/>
          <w:color w:val="auto"/>
          <w:sz w:val="28"/>
          <w:szCs w:val="28"/>
        </w:rPr>
      </w:pPr>
      <w:r>
        <w:rPr>
          <w:rFonts w:hint="eastAsia" w:ascii="宋体" w:hAnsi="宋体"/>
          <w:bCs/>
          <w:color w:val="auto"/>
          <w:sz w:val="28"/>
          <w:szCs w:val="28"/>
          <w:lang w:val="en-US" w:eastAsia="zh-CN"/>
        </w:rPr>
        <w:t xml:space="preserve">                          </w:t>
      </w:r>
      <w:r>
        <w:rPr>
          <w:rFonts w:hint="eastAsia" w:ascii="宋体" w:hAnsi="宋体"/>
          <w:bCs/>
          <w:color w:val="auto"/>
          <w:sz w:val="28"/>
          <w:szCs w:val="28"/>
        </w:rPr>
        <w:t>投标人名称：XXXX</w:t>
      </w:r>
    </w:p>
    <w:p>
      <w:pPr>
        <w:pStyle w:val="27"/>
        <w:spacing w:line="500" w:lineRule="exact"/>
        <w:ind w:firstLine="146" w:firstLineChars="52"/>
        <w:jc w:val="right"/>
        <w:rPr>
          <w:rFonts w:ascii="宋体" w:hAnsi="宋体"/>
          <w:bCs/>
          <w:color w:val="auto"/>
          <w:sz w:val="28"/>
        </w:rPr>
      </w:pPr>
      <w:r>
        <w:rPr>
          <w:rFonts w:hint="eastAsia" w:ascii="宋体" w:hAnsi="宋体"/>
          <w:color w:val="auto"/>
          <w:sz w:val="28"/>
        </w:rPr>
        <w:t>日期：</w:t>
      </w:r>
      <w:r>
        <w:rPr>
          <w:rFonts w:hint="eastAsia" w:ascii="宋体" w:hAnsi="宋体"/>
          <w:bCs/>
          <w:color w:val="auto"/>
          <w:sz w:val="28"/>
        </w:rPr>
        <w:t>20XX年XX月XX日</w:t>
      </w:r>
    </w:p>
    <w:p/>
    <w:p>
      <w:pPr>
        <w:pStyle w:val="2"/>
        <w:rPr>
          <w:color w:val="auto"/>
        </w:rPr>
      </w:pPr>
      <w:r>
        <w:rPr>
          <w:color w:val="auto"/>
        </w:rPr>
        <w:br w:type="page"/>
      </w:r>
    </w:p>
    <w:p/>
    <w:p>
      <w:pPr>
        <w:keepNext/>
        <w:keepLines/>
        <w:numPr>
          <w:ilvl w:val="1"/>
          <w:numId w:val="4"/>
        </w:numPr>
        <w:spacing w:before="260" w:after="260" w:line="360" w:lineRule="auto"/>
        <w:jc w:val="left"/>
        <w:outlineLvl w:val="1"/>
        <w:rPr>
          <w:rFonts w:ascii="宋体" w:hAnsi="宋体"/>
          <w:b/>
          <w:color w:val="auto"/>
          <w:sz w:val="28"/>
        </w:rPr>
      </w:pPr>
      <w:bookmarkStart w:id="226" w:name="_Toc73619745"/>
      <w:r>
        <w:rPr>
          <w:rFonts w:hint="eastAsia" w:ascii="宋体" w:hAnsi="宋体"/>
          <w:b/>
          <w:color w:val="auto"/>
          <w:sz w:val="28"/>
        </w:rPr>
        <w:t>报价</w:t>
      </w:r>
      <w:r>
        <w:rPr>
          <w:rFonts w:hint="eastAsia" w:ascii="宋体" w:hAnsi="宋体"/>
          <w:b/>
          <w:bCs/>
          <w:color w:val="auto"/>
          <w:sz w:val="28"/>
          <w:szCs w:val="28"/>
        </w:rPr>
        <w:t>要求</w:t>
      </w:r>
      <w:r>
        <w:rPr>
          <w:rFonts w:hint="eastAsia" w:ascii="宋体" w:hAnsi="宋体"/>
          <w:b/>
          <w:color w:val="auto"/>
          <w:sz w:val="28"/>
        </w:rPr>
        <w:t>响应文件</w:t>
      </w:r>
      <w:bookmarkEnd w:id="226"/>
    </w:p>
    <w:p>
      <w:pPr>
        <w:keepNext/>
        <w:keepLines/>
        <w:numPr>
          <w:ilvl w:val="2"/>
          <w:numId w:val="4"/>
        </w:numPr>
        <w:spacing w:line="360" w:lineRule="auto"/>
        <w:ind w:left="3119" w:hanging="3119"/>
        <w:outlineLvl w:val="2"/>
        <w:rPr>
          <w:rFonts w:ascii="宋体" w:hAnsi="宋体"/>
          <w:b/>
          <w:bCs/>
          <w:color w:val="auto"/>
          <w:sz w:val="28"/>
          <w:szCs w:val="28"/>
        </w:rPr>
      </w:pPr>
      <w:r>
        <w:rPr>
          <w:rFonts w:hint="eastAsia" w:ascii="宋体" w:hAnsi="宋体"/>
          <w:b/>
          <w:bCs/>
          <w:color w:val="auto"/>
          <w:kern w:val="0"/>
          <w:sz w:val="28"/>
          <w:szCs w:val="28"/>
        </w:rPr>
        <w:t>开标一览表</w:t>
      </w:r>
    </w:p>
    <w:p>
      <w:pPr>
        <w:tabs>
          <w:tab w:val="left" w:pos="1134"/>
        </w:tabs>
        <w:spacing w:line="560" w:lineRule="exact"/>
        <w:ind w:firstLine="428" w:firstLineChars="152"/>
        <w:rPr>
          <w:rFonts w:ascii="宋体" w:hAnsi="宋体"/>
          <w:b/>
          <w:bCs/>
          <w:color w:val="auto"/>
          <w:sz w:val="28"/>
          <w:szCs w:val="28"/>
        </w:rPr>
      </w:pPr>
      <w:r>
        <w:rPr>
          <w:rFonts w:hint="eastAsia" w:ascii="宋体" w:hAnsi="宋体"/>
          <w:b/>
          <w:bCs/>
          <w:color w:val="auto"/>
          <w:sz w:val="28"/>
          <w:szCs w:val="28"/>
        </w:rPr>
        <w:t xml:space="preserve">标项1： </w:t>
      </w:r>
    </w:p>
    <w:tbl>
      <w:tblPr>
        <w:tblStyle w:val="50"/>
        <w:tblW w:w="66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Borders>
              <w:top w:val="single" w:color="auto" w:sz="4" w:space="0"/>
              <w:left w:val="single" w:color="auto" w:sz="4" w:space="0"/>
              <w:bottom w:val="single" w:color="auto" w:sz="4" w:space="0"/>
              <w:right w:val="single" w:color="auto" w:sz="4" w:space="0"/>
            </w:tcBorders>
          </w:tcPr>
          <w:p>
            <w:pPr>
              <w:tabs>
                <w:tab w:val="left" w:pos="1134"/>
              </w:tabs>
              <w:spacing w:line="560" w:lineRule="exact"/>
              <w:jc w:val="center"/>
              <w:rPr>
                <w:rFonts w:ascii="宋体" w:hAnsi="宋体"/>
                <w:color w:val="auto"/>
                <w:kern w:val="0"/>
                <w:sz w:val="28"/>
                <w:szCs w:val="28"/>
              </w:rPr>
            </w:pPr>
            <w:r>
              <w:rPr>
                <w:rFonts w:hint="eastAsia" w:ascii="宋体" w:hAnsi="宋体"/>
                <w:color w:val="auto"/>
                <w:kern w:val="0"/>
                <w:sz w:val="28"/>
                <w:szCs w:val="28"/>
              </w:rPr>
              <w:t>投标报价（元</w:t>
            </w:r>
            <w:r>
              <w:rPr>
                <w:rFonts w:hint="eastAsia" w:ascii="宋体" w:hAnsi="宋体"/>
                <w:color w:val="auto"/>
                <w:kern w:val="0"/>
                <w:sz w:val="28"/>
                <w:szCs w:val="28"/>
                <w:lang w:val="en-US" w:eastAsia="zh-CN"/>
              </w:rPr>
              <w:t>/年</w:t>
            </w:r>
            <w:r>
              <w:rPr>
                <w:rFonts w:hint="eastAsia" w:ascii="宋体" w:hAnsi="宋体"/>
                <w:color w:val="auto"/>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Borders>
              <w:top w:val="single" w:color="auto" w:sz="4" w:space="0"/>
              <w:left w:val="single" w:color="auto" w:sz="4" w:space="0"/>
              <w:bottom w:val="single" w:color="auto" w:sz="4" w:space="0"/>
              <w:right w:val="single" w:color="auto" w:sz="4" w:space="0"/>
            </w:tcBorders>
          </w:tcPr>
          <w:p>
            <w:pPr>
              <w:tabs>
                <w:tab w:val="left" w:pos="1134"/>
              </w:tabs>
              <w:spacing w:line="560" w:lineRule="exact"/>
              <w:rPr>
                <w:rFonts w:ascii="宋体" w:hAnsi="宋体"/>
                <w:color w:val="auto"/>
                <w:kern w:val="0"/>
                <w:sz w:val="28"/>
                <w:szCs w:val="28"/>
              </w:rPr>
            </w:pPr>
          </w:p>
        </w:tc>
      </w:tr>
    </w:tbl>
    <w:p>
      <w:pPr>
        <w:tabs>
          <w:tab w:val="left" w:pos="1134"/>
        </w:tabs>
        <w:spacing w:line="560" w:lineRule="exact"/>
        <w:ind w:firstLine="428" w:firstLineChars="152"/>
        <w:rPr>
          <w:rFonts w:ascii="宋体" w:hAnsi="宋体"/>
          <w:color w:val="auto"/>
          <w:sz w:val="28"/>
          <w:szCs w:val="28"/>
        </w:rPr>
      </w:pPr>
    </w:p>
    <w:p>
      <w:pPr>
        <w:tabs>
          <w:tab w:val="left" w:pos="1134"/>
        </w:tabs>
        <w:spacing w:line="560" w:lineRule="exact"/>
        <w:ind w:firstLine="428" w:firstLineChars="152"/>
        <w:rPr>
          <w:rFonts w:ascii="宋体" w:hAnsi="宋体"/>
          <w:b/>
          <w:bCs/>
          <w:color w:val="auto"/>
          <w:sz w:val="28"/>
        </w:rPr>
      </w:pPr>
      <w:r>
        <w:rPr>
          <w:rFonts w:hint="eastAsia" w:ascii="宋体" w:hAnsi="宋体"/>
          <w:b/>
          <w:color w:val="auto"/>
          <w:sz w:val="28"/>
          <w:szCs w:val="28"/>
        </w:rPr>
        <w:t>投标报价以投标人在政府采购云平台开标一览表中填写的报价为准。</w:t>
      </w:r>
    </w:p>
    <w:p>
      <w:pPr>
        <w:snapToGrid w:val="0"/>
        <w:spacing w:line="500" w:lineRule="exact"/>
        <w:ind w:left="1445" w:right="-57" w:rightChars="-27" w:hanging="1449" w:hangingChars="514"/>
        <w:rPr>
          <w:rFonts w:ascii="宋体" w:hAnsi="宋体"/>
          <w:b/>
          <w:bCs/>
          <w:color w:val="auto"/>
          <w:sz w:val="28"/>
          <w:u w:val="single"/>
        </w:rPr>
      </w:pPr>
    </w:p>
    <w:p>
      <w:pPr>
        <w:spacing w:line="360" w:lineRule="auto"/>
        <w:rPr>
          <w:rFonts w:ascii="宋体" w:hAnsi="宋体"/>
          <w:b/>
          <w:color w:val="auto"/>
          <w:sz w:val="28"/>
          <w:szCs w:val="28"/>
          <w:u w:val="single"/>
        </w:rPr>
      </w:pPr>
    </w:p>
    <w:p>
      <w:pPr>
        <w:spacing w:line="440" w:lineRule="atLeast"/>
        <w:rPr>
          <w:rFonts w:ascii="宋体" w:hAnsi="宋体"/>
          <w:b/>
          <w:color w:val="auto"/>
          <w:sz w:val="28"/>
          <w:szCs w:val="28"/>
        </w:rPr>
      </w:pPr>
    </w:p>
    <w:p>
      <w:pPr>
        <w:spacing w:line="440" w:lineRule="atLeast"/>
        <w:rPr>
          <w:rFonts w:ascii="宋体" w:hAnsi="宋体"/>
          <w:b/>
          <w:color w:val="auto"/>
          <w:sz w:val="28"/>
          <w:szCs w:val="28"/>
        </w:rPr>
      </w:pPr>
    </w:p>
    <w:p>
      <w:pPr>
        <w:keepNext/>
        <w:keepLines/>
        <w:numPr>
          <w:ilvl w:val="0"/>
          <w:numId w:val="0"/>
        </w:numPr>
        <w:spacing w:line="360" w:lineRule="auto"/>
        <w:ind w:leftChars="0"/>
        <w:outlineLvl w:val="2"/>
        <w:rPr>
          <w:rFonts w:hint="eastAsia" w:ascii="宋体" w:hAnsi="宋体"/>
          <w:b/>
          <w:bCs/>
          <w:color w:val="auto"/>
          <w:sz w:val="28"/>
          <w:szCs w:val="28"/>
          <w:lang w:val="en-US" w:eastAsia="zh-CN"/>
        </w:rPr>
      </w:pPr>
    </w:p>
    <w:p>
      <w:pPr>
        <w:keepNext/>
        <w:keepLines/>
        <w:numPr>
          <w:ilvl w:val="0"/>
          <w:numId w:val="0"/>
        </w:numPr>
        <w:spacing w:line="360" w:lineRule="auto"/>
        <w:ind w:leftChars="0"/>
        <w:outlineLvl w:val="2"/>
        <w:rPr>
          <w:rFonts w:hint="eastAsia" w:ascii="宋体" w:hAnsi="宋体"/>
          <w:b/>
          <w:bCs/>
          <w:color w:val="auto"/>
          <w:sz w:val="28"/>
          <w:szCs w:val="28"/>
          <w:lang w:val="en-US" w:eastAsia="zh-CN"/>
        </w:rPr>
      </w:pPr>
    </w:p>
    <w:p>
      <w:pPr>
        <w:keepNext/>
        <w:keepLines/>
        <w:numPr>
          <w:ilvl w:val="0"/>
          <w:numId w:val="0"/>
        </w:numPr>
        <w:spacing w:line="360" w:lineRule="auto"/>
        <w:ind w:leftChars="0"/>
        <w:outlineLvl w:val="2"/>
        <w:rPr>
          <w:rFonts w:hint="eastAsia" w:ascii="宋体" w:hAnsi="宋体"/>
          <w:b/>
          <w:bCs/>
          <w:color w:val="auto"/>
          <w:sz w:val="28"/>
          <w:szCs w:val="28"/>
          <w:lang w:val="en-US" w:eastAsia="zh-CN"/>
        </w:rPr>
      </w:pPr>
    </w:p>
    <w:p>
      <w:pPr>
        <w:keepNext/>
        <w:keepLines/>
        <w:numPr>
          <w:ilvl w:val="0"/>
          <w:numId w:val="0"/>
        </w:numPr>
        <w:spacing w:line="360" w:lineRule="auto"/>
        <w:ind w:leftChars="0"/>
        <w:outlineLvl w:val="2"/>
        <w:rPr>
          <w:rFonts w:hint="eastAsia" w:ascii="宋体" w:hAnsi="宋体"/>
          <w:b/>
          <w:bCs/>
          <w:color w:val="auto"/>
          <w:sz w:val="28"/>
          <w:szCs w:val="28"/>
          <w:lang w:val="en-US" w:eastAsia="zh-CN"/>
        </w:rPr>
      </w:pPr>
    </w:p>
    <w:p>
      <w:pPr>
        <w:pStyle w:val="2"/>
        <w:rPr>
          <w:rFonts w:hint="eastAsia" w:ascii="宋体" w:hAnsi="宋体"/>
          <w:b/>
          <w:bCs/>
          <w:color w:val="auto"/>
          <w:sz w:val="28"/>
          <w:szCs w:val="28"/>
          <w:lang w:val="en-US" w:eastAsia="zh-CN"/>
        </w:rPr>
      </w:pPr>
    </w:p>
    <w:p>
      <w:pPr>
        <w:rPr>
          <w:rFonts w:hint="eastAsia" w:ascii="宋体" w:hAnsi="宋体"/>
          <w:b/>
          <w:bCs/>
          <w:color w:val="auto"/>
          <w:sz w:val="28"/>
          <w:szCs w:val="28"/>
          <w:lang w:val="en-US" w:eastAsia="zh-CN"/>
        </w:rPr>
      </w:pPr>
    </w:p>
    <w:p>
      <w:pPr>
        <w:pStyle w:val="2"/>
        <w:rPr>
          <w:rFonts w:hint="eastAsia"/>
          <w:color w:val="auto"/>
          <w:lang w:val="en-US" w:eastAsia="zh-CN"/>
        </w:rPr>
      </w:pPr>
    </w:p>
    <w:p>
      <w:pPr>
        <w:keepNext/>
        <w:keepLines/>
        <w:numPr>
          <w:ilvl w:val="0"/>
          <w:numId w:val="0"/>
        </w:numPr>
        <w:spacing w:line="360" w:lineRule="auto"/>
        <w:ind w:leftChars="0"/>
        <w:outlineLvl w:val="2"/>
        <w:rPr>
          <w:rFonts w:hint="eastAsia" w:ascii="宋体" w:hAnsi="宋体"/>
          <w:b/>
          <w:bCs/>
          <w:color w:val="auto"/>
          <w:sz w:val="28"/>
          <w:szCs w:val="28"/>
          <w:lang w:val="en-US" w:eastAsia="zh-CN"/>
        </w:rPr>
      </w:pPr>
    </w:p>
    <w:p>
      <w:pPr>
        <w:keepNext/>
        <w:keepLines/>
        <w:numPr>
          <w:ilvl w:val="0"/>
          <w:numId w:val="0"/>
        </w:numPr>
        <w:spacing w:line="360" w:lineRule="auto"/>
        <w:ind w:leftChars="0"/>
        <w:outlineLvl w:val="2"/>
        <w:rPr>
          <w:rFonts w:hint="eastAsia" w:ascii="宋体" w:hAnsi="宋体"/>
          <w:b/>
          <w:bCs/>
          <w:color w:val="auto"/>
          <w:sz w:val="28"/>
          <w:szCs w:val="28"/>
          <w:lang w:val="en-US" w:eastAsia="zh-CN"/>
        </w:rPr>
      </w:pPr>
    </w:p>
    <w:p>
      <w:pPr>
        <w:keepNext/>
        <w:keepLines/>
        <w:numPr>
          <w:ilvl w:val="0"/>
          <w:numId w:val="0"/>
        </w:numPr>
        <w:spacing w:line="360" w:lineRule="auto"/>
        <w:ind w:leftChars="0"/>
        <w:outlineLvl w:val="2"/>
        <w:rPr>
          <w:rFonts w:ascii="宋体" w:hAnsi="宋体"/>
          <w:b/>
          <w:bCs/>
          <w:color w:val="auto"/>
          <w:sz w:val="28"/>
          <w:szCs w:val="28"/>
        </w:rPr>
      </w:pPr>
      <w:r>
        <w:rPr>
          <w:rFonts w:hint="eastAsia" w:ascii="宋体" w:hAnsi="宋体"/>
          <w:b/>
          <w:bCs/>
          <w:color w:val="auto"/>
          <w:sz w:val="28"/>
          <w:szCs w:val="28"/>
          <w:lang w:val="en-US" w:eastAsia="zh-CN"/>
        </w:rPr>
        <w:t xml:space="preserve">3.4.2  </w:t>
      </w:r>
      <w:r>
        <w:rPr>
          <w:rFonts w:hint="eastAsia" w:ascii="宋体" w:hAnsi="宋体"/>
          <w:b/>
          <w:bCs/>
          <w:color w:val="auto"/>
          <w:sz w:val="28"/>
          <w:szCs w:val="28"/>
        </w:rPr>
        <w:t>分项报价明细表</w:t>
      </w:r>
    </w:p>
    <w:p>
      <w:pPr>
        <w:snapToGrid w:val="0"/>
        <w:spacing w:line="440" w:lineRule="exact"/>
        <w:ind w:right="-629" w:rightChars="-297"/>
        <w:rPr>
          <w:rFonts w:ascii="宋体" w:hAnsi="宋体"/>
          <w:b/>
          <w:color w:val="auto"/>
          <w:sz w:val="28"/>
        </w:rPr>
      </w:pPr>
      <w:r>
        <w:rPr>
          <w:rFonts w:hint="eastAsia" w:ascii="宋体" w:hAnsi="宋体"/>
          <w:b/>
          <w:color w:val="auto"/>
          <w:sz w:val="28"/>
        </w:rPr>
        <w:t>项目名称：</w:t>
      </w:r>
      <w:r>
        <w:rPr>
          <w:rFonts w:ascii="宋体" w:hAnsi="宋体"/>
          <w:b/>
          <w:color w:val="auto"/>
          <w:sz w:val="28"/>
          <w:szCs w:val="28"/>
          <w:u w:val="single"/>
        </w:rPr>
        <w:t>XXXX</w:t>
      </w:r>
      <w:r>
        <w:rPr>
          <w:rFonts w:hint="eastAsia" w:ascii="宋体" w:hAnsi="宋体"/>
          <w:b/>
          <w:color w:val="auto"/>
          <w:sz w:val="28"/>
          <w:szCs w:val="28"/>
          <w:u w:val="single"/>
        </w:rPr>
        <w:t>采购项目</w:t>
      </w:r>
    </w:p>
    <w:p>
      <w:pPr>
        <w:snapToGrid w:val="0"/>
        <w:rPr>
          <w:rFonts w:ascii="宋体" w:hAnsi="宋体"/>
          <w:b/>
          <w:color w:val="auto"/>
          <w:sz w:val="28"/>
          <w:szCs w:val="20"/>
        </w:rPr>
      </w:pPr>
      <w:r>
        <w:rPr>
          <w:rFonts w:hint="eastAsia" w:ascii="宋体" w:hAnsi="宋体"/>
          <w:b/>
          <w:color w:val="auto"/>
          <w:sz w:val="28"/>
          <w:szCs w:val="20"/>
        </w:rPr>
        <w:t>项目编号：</w:t>
      </w:r>
      <w:r>
        <w:rPr>
          <w:rFonts w:hint="eastAsia" w:ascii="宋体" w:hAnsi="宋体"/>
          <w:b/>
          <w:color w:val="auto"/>
          <w:sz w:val="28"/>
          <w:szCs w:val="28"/>
          <w:u w:val="single"/>
          <w:lang w:val="en-US" w:eastAsia="zh-CN"/>
        </w:rPr>
        <w:t xml:space="preserve">JY3202       </w:t>
      </w:r>
      <w:r>
        <w:rPr>
          <w:rFonts w:hint="eastAsia" w:ascii="宋体" w:hAnsi="宋体"/>
          <w:b/>
          <w:color w:val="auto"/>
          <w:sz w:val="28"/>
          <w:szCs w:val="28"/>
          <w:u w:val="single"/>
        </w:rPr>
        <w:t>号</w:t>
      </w:r>
    </w:p>
    <w:tbl>
      <w:tblPr>
        <w:tblStyle w:val="49"/>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830"/>
        <w:gridCol w:w="2569"/>
        <w:gridCol w:w="998"/>
        <w:gridCol w:w="1427"/>
        <w:gridCol w:w="151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Ex>
        <w:trPr>
          <w:trHeight w:val="23" w:hRule="atLeast"/>
        </w:trPr>
        <w:tc>
          <w:tcPr>
            <w:tcW w:w="830" w:type="dxa"/>
            <w:vAlign w:val="center"/>
          </w:tcPr>
          <w:p>
            <w:pPr>
              <w:widowControl/>
              <w:jc w:val="center"/>
              <w:rPr>
                <w:rFonts w:ascii="宋体" w:hAnsi="宋体" w:eastAsia="宋体" w:cs="宋体"/>
                <w:b/>
                <w:color w:val="auto"/>
                <w:sz w:val="28"/>
              </w:rPr>
            </w:pPr>
            <w:r>
              <w:rPr>
                <w:rFonts w:hint="eastAsia" w:ascii="宋体" w:hAnsi="宋体" w:eastAsia="宋体" w:cs="宋体"/>
                <w:b/>
                <w:color w:val="auto"/>
                <w:sz w:val="28"/>
              </w:rPr>
              <w:t>序号</w:t>
            </w:r>
          </w:p>
        </w:tc>
        <w:tc>
          <w:tcPr>
            <w:tcW w:w="2569" w:type="dxa"/>
            <w:vAlign w:val="center"/>
          </w:tcPr>
          <w:p>
            <w:pPr>
              <w:widowControl/>
              <w:jc w:val="center"/>
              <w:rPr>
                <w:rFonts w:ascii="宋体" w:hAnsi="宋体" w:eastAsia="宋体" w:cs="宋体"/>
                <w:b/>
                <w:color w:val="auto"/>
                <w:sz w:val="28"/>
              </w:rPr>
            </w:pPr>
            <w:r>
              <w:rPr>
                <w:rFonts w:hint="eastAsia" w:ascii="宋体" w:hAnsi="宋体" w:eastAsia="宋体" w:cs="宋体"/>
                <w:b/>
                <w:color w:val="auto"/>
                <w:sz w:val="28"/>
              </w:rPr>
              <w:t>服务岗位</w:t>
            </w:r>
          </w:p>
        </w:tc>
        <w:tc>
          <w:tcPr>
            <w:tcW w:w="998" w:type="dxa"/>
            <w:vAlign w:val="center"/>
          </w:tcPr>
          <w:p>
            <w:pPr>
              <w:pStyle w:val="209"/>
              <w:rPr>
                <w:rFonts w:ascii="宋体" w:hAnsi="宋体" w:eastAsia="宋体" w:cs="宋体"/>
                <w:b/>
                <w:color w:val="auto"/>
                <w:sz w:val="28"/>
                <w:szCs w:val="28"/>
              </w:rPr>
            </w:pPr>
            <w:r>
              <w:rPr>
                <w:rFonts w:hint="eastAsia" w:ascii="宋体" w:hAnsi="宋体" w:eastAsia="宋体" w:cs="宋体"/>
                <w:b/>
                <w:color w:val="auto"/>
                <w:sz w:val="28"/>
                <w:szCs w:val="28"/>
              </w:rPr>
              <w:t>人数</w:t>
            </w:r>
          </w:p>
        </w:tc>
        <w:tc>
          <w:tcPr>
            <w:tcW w:w="1427" w:type="dxa"/>
            <w:vAlign w:val="center"/>
          </w:tcPr>
          <w:p>
            <w:pPr>
              <w:pStyle w:val="209"/>
              <w:rPr>
                <w:rFonts w:ascii="宋体" w:hAnsi="宋体" w:eastAsia="宋体" w:cs="宋体"/>
                <w:b/>
                <w:color w:val="auto"/>
                <w:sz w:val="28"/>
                <w:szCs w:val="28"/>
              </w:rPr>
            </w:pPr>
            <w:r>
              <w:rPr>
                <w:rFonts w:hint="eastAsia" w:ascii="宋体" w:hAnsi="宋体" w:eastAsia="宋体" w:cs="宋体"/>
                <w:b/>
                <w:color w:val="auto"/>
                <w:sz w:val="28"/>
                <w:szCs w:val="28"/>
              </w:rPr>
              <w:t>服务期限</w:t>
            </w:r>
          </w:p>
        </w:tc>
        <w:tc>
          <w:tcPr>
            <w:tcW w:w="1512" w:type="dxa"/>
            <w:vAlign w:val="center"/>
          </w:tcPr>
          <w:p>
            <w:pPr>
              <w:pStyle w:val="209"/>
              <w:ind w:firstLine="423" w:firstLineChars="150"/>
              <w:rPr>
                <w:rFonts w:ascii="宋体" w:hAnsi="宋体" w:eastAsia="宋体" w:cs="宋体"/>
                <w:b/>
                <w:color w:val="auto"/>
                <w:sz w:val="28"/>
                <w:szCs w:val="28"/>
              </w:rPr>
            </w:pPr>
            <w:r>
              <w:rPr>
                <w:rFonts w:hint="eastAsia" w:ascii="宋体" w:hAnsi="宋体" w:eastAsia="宋体" w:cs="宋体"/>
                <w:b/>
                <w:color w:val="auto"/>
                <w:sz w:val="28"/>
                <w:szCs w:val="28"/>
              </w:rPr>
              <w:t>单价</w:t>
            </w:r>
          </w:p>
        </w:tc>
        <w:tc>
          <w:tcPr>
            <w:tcW w:w="1440" w:type="dxa"/>
            <w:vAlign w:val="center"/>
          </w:tcPr>
          <w:p>
            <w:pPr>
              <w:pStyle w:val="209"/>
              <w:ind w:firstLine="282" w:firstLineChars="100"/>
              <w:rPr>
                <w:rFonts w:hint="eastAsia" w:ascii="宋体" w:hAnsi="宋体" w:eastAsia="宋体" w:cs="宋体"/>
                <w:b/>
                <w:color w:val="auto"/>
                <w:sz w:val="28"/>
                <w:szCs w:val="28"/>
              </w:rPr>
            </w:pPr>
            <w:r>
              <w:rPr>
                <w:rFonts w:hint="eastAsia" w:ascii="宋体" w:hAnsi="宋体" w:eastAsia="宋体" w:cs="宋体"/>
                <w:b/>
                <w:color w:val="auto"/>
                <w:sz w:val="28"/>
                <w:szCs w:val="28"/>
              </w:rPr>
              <w:t>报价</w:t>
            </w:r>
          </w:p>
          <w:p>
            <w:pPr>
              <w:pStyle w:val="209"/>
              <w:rPr>
                <w:rFonts w:hint="eastAsia" w:ascii="宋体" w:hAnsi="宋体" w:eastAsia="宋体" w:cs="宋体"/>
                <w:b/>
                <w:color w:val="auto"/>
                <w:sz w:val="28"/>
                <w:szCs w:val="28"/>
                <w:lang w:eastAsia="zh-CN"/>
              </w:rPr>
            </w:pPr>
            <w:r>
              <w:rPr>
                <w:rFonts w:hint="eastAsia" w:hAnsi="宋体" w:cs="宋体"/>
                <w:b/>
                <w:color w:val="auto"/>
                <w:sz w:val="28"/>
                <w:szCs w:val="28"/>
                <w:lang w:eastAsia="zh-CN"/>
              </w:rPr>
              <w:t>（元</w:t>
            </w:r>
            <w:r>
              <w:rPr>
                <w:rFonts w:hint="eastAsia" w:hAnsi="宋体" w:cs="宋体"/>
                <w:b/>
                <w:color w:val="auto"/>
                <w:sz w:val="28"/>
                <w:szCs w:val="28"/>
                <w:lang w:val="en-US" w:eastAsia="zh-CN"/>
              </w:rPr>
              <w:t>/年</w:t>
            </w:r>
            <w:r>
              <w:rPr>
                <w:rFonts w:hint="eastAsia" w:hAnsi="宋体" w:cs="宋体"/>
                <w:b/>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Ex>
        <w:trPr>
          <w:trHeight w:val="23" w:hRule="atLeast"/>
        </w:trPr>
        <w:tc>
          <w:tcPr>
            <w:tcW w:w="830" w:type="dxa"/>
            <w:vAlign w:val="center"/>
          </w:tcPr>
          <w:p>
            <w:pPr>
              <w:widowControl/>
              <w:jc w:val="center"/>
              <w:rPr>
                <w:rFonts w:ascii="宋体" w:hAnsi="宋体" w:eastAsia="宋体" w:cs="宋体"/>
                <w:bCs/>
                <w:color w:val="auto"/>
                <w:sz w:val="28"/>
                <w:szCs w:val="28"/>
              </w:rPr>
            </w:pPr>
            <w:r>
              <w:rPr>
                <w:rFonts w:hint="eastAsia" w:ascii="宋体" w:hAnsi="宋体" w:eastAsia="宋体" w:cs="宋体"/>
                <w:bCs/>
                <w:color w:val="auto"/>
                <w:sz w:val="28"/>
                <w:szCs w:val="28"/>
              </w:rPr>
              <w:t>1</w:t>
            </w:r>
          </w:p>
        </w:tc>
        <w:tc>
          <w:tcPr>
            <w:tcW w:w="2569" w:type="dxa"/>
            <w:vAlign w:val="center"/>
          </w:tcPr>
          <w:p>
            <w:pPr>
              <w:widowControl/>
              <w:jc w:val="center"/>
              <w:rPr>
                <w:rFonts w:ascii="宋体" w:hAnsi="宋体" w:eastAsia="宋体" w:cs="宋体"/>
                <w:bCs/>
                <w:color w:val="auto"/>
                <w:sz w:val="28"/>
                <w:szCs w:val="28"/>
              </w:rPr>
            </w:pPr>
          </w:p>
        </w:tc>
        <w:tc>
          <w:tcPr>
            <w:tcW w:w="998" w:type="dxa"/>
            <w:vAlign w:val="center"/>
          </w:tcPr>
          <w:p>
            <w:pPr>
              <w:widowControl/>
              <w:jc w:val="center"/>
              <w:rPr>
                <w:rFonts w:ascii="宋体" w:hAnsi="宋体" w:eastAsia="宋体" w:cs="宋体"/>
                <w:bCs/>
                <w:color w:val="auto"/>
                <w:sz w:val="28"/>
                <w:szCs w:val="28"/>
              </w:rPr>
            </w:pPr>
          </w:p>
        </w:tc>
        <w:tc>
          <w:tcPr>
            <w:tcW w:w="1427" w:type="dxa"/>
            <w:vAlign w:val="center"/>
          </w:tcPr>
          <w:p>
            <w:pPr>
              <w:widowControl/>
              <w:jc w:val="center"/>
              <w:rPr>
                <w:rFonts w:ascii="宋体" w:hAnsi="宋体" w:eastAsia="宋体" w:cs="宋体"/>
                <w:bCs/>
                <w:color w:val="auto"/>
                <w:sz w:val="28"/>
                <w:szCs w:val="28"/>
              </w:rPr>
            </w:pPr>
          </w:p>
        </w:tc>
        <w:tc>
          <w:tcPr>
            <w:tcW w:w="1512" w:type="dxa"/>
            <w:vAlign w:val="center"/>
          </w:tcPr>
          <w:p>
            <w:pPr>
              <w:widowControl/>
              <w:jc w:val="center"/>
              <w:rPr>
                <w:rFonts w:ascii="宋体" w:hAnsi="宋体" w:eastAsia="宋体" w:cs="宋体"/>
                <w:bCs/>
                <w:color w:val="auto"/>
                <w:sz w:val="28"/>
                <w:szCs w:val="28"/>
              </w:rPr>
            </w:pPr>
          </w:p>
        </w:tc>
        <w:tc>
          <w:tcPr>
            <w:tcW w:w="1440" w:type="dxa"/>
            <w:vAlign w:val="top"/>
          </w:tcPr>
          <w:p>
            <w:pPr>
              <w:widowControl/>
              <w:jc w:val="center"/>
              <w:rPr>
                <w:rFonts w:ascii="宋体" w:hAnsi="宋体" w:eastAsia="宋体" w:cs="宋体"/>
                <w:bCs/>
                <w:color w:val="auto"/>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Ex>
        <w:trPr>
          <w:trHeight w:val="23" w:hRule="atLeast"/>
        </w:trPr>
        <w:tc>
          <w:tcPr>
            <w:tcW w:w="830" w:type="dxa"/>
            <w:vAlign w:val="center"/>
          </w:tcPr>
          <w:p>
            <w:pPr>
              <w:widowControl/>
              <w:jc w:val="center"/>
              <w:rPr>
                <w:rFonts w:ascii="宋体" w:hAnsi="宋体" w:eastAsia="宋体" w:cs="宋体"/>
                <w:bCs/>
                <w:color w:val="auto"/>
                <w:sz w:val="28"/>
                <w:szCs w:val="28"/>
              </w:rPr>
            </w:pPr>
            <w:r>
              <w:rPr>
                <w:rFonts w:hint="eastAsia" w:ascii="宋体" w:hAnsi="宋体" w:eastAsia="宋体" w:cs="宋体"/>
                <w:bCs/>
                <w:color w:val="auto"/>
                <w:sz w:val="28"/>
                <w:szCs w:val="28"/>
              </w:rPr>
              <w:t>2</w:t>
            </w:r>
          </w:p>
        </w:tc>
        <w:tc>
          <w:tcPr>
            <w:tcW w:w="2569" w:type="dxa"/>
            <w:vAlign w:val="center"/>
          </w:tcPr>
          <w:p>
            <w:pPr>
              <w:widowControl/>
              <w:jc w:val="center"/>
              <w:rPr>
                <w:rFonts w:ascii="宋体" w:hAnsi="宋体" w:eastAsia="宋体" w:cs="宋体"/>
                <w:bCs/>
                <w:color w:val="auto"/>
                <w:sz w:val="28"/>
                <w:szCs w:val="28"/>
              </w:rPr>
            </w:pPr>
          </w:p>
        </w:tc>
        <w:tc>
          <w:tcPr>
            <w:tcW w:w="998" w:type="dxa"/>
            <w:vAlign w:val="center"/>
          </w:tcPr>
          <w:p>
            <w:pPr>
              <w:widowControl/>
              <w:jc w:val="center"/>
              <w:rPr>
                <w:rFonts w:ascii="宋体" w:hAnsi="宋体" w:eastAsia="宋体" w:cs="宋体"/>
                <w:bCs/>
                <w:color w:val="auto"/>
                <w:sz w:val="28"/>
                <w:szCs w:val="28"/>
              </w:rPr>
            </w:pPr>
          </w:p>
        </w:tc>
        <w:tc>
          <w:tcPr>
            <w:tcW w:w="1427" w:type="dxa"/>
            <w:vAlign w:val="center"/>
          </w:tcPr>
          <w:p>
            <w:pPr>
              <w:widowControl/>
              <w:jc w:val="center"/>
              <w:rPr>
                <w:rFonts w:ascii="宋体" w:hAnsi="宋体" w:eastAsia="宋体" w:cs="宋体"/>
                <w:bCs/>
                <w:color w:val="auto"/>
                <w:sz w:val="28"/>
                <w:szCs w:val="28"/>
              </w:rPr>
            </w:pPr>
          </w:p>
        </w:tc>
        <w:tc>
          <w:tcPr>
            <w:tcW w:w="1512" w:type="dxa"/>
            <w:vAlign w:val="center"/>
          </w:tcPr>
          <w:p>
            <w:pPr>
              <w:widowControl/>
              <w:jc w:val="center"/>
              <w:rPr>
                <w:rFonts w:ascii="宋体" w:hAnsi="宋体" w:eastAsia="宋体" w:cs="宋体"/>
                <w:bCs/>
                <w:color w:val="auto"/>
                <w:sz w:val="28"/>
                <w:szCs w:val="28"/>
                <w:u w:val="single"/>
              </w:rPr>
            </w:pPr>
          </w:p>
        </w:tc>
        <w:tc>
          <w:tcPr>
            <w:tcW w:w="1440" w:type="dxa"/>
            <w:vAlign w:val="top"/>
          </w:tcPr>
          <w:p>
            <w:pPr>
              <w:widowControl/>
              <w:jc w:val="center"/>
              <w:rPr>
                <w:rFonts w:ascii="宋体" w:hAnsi="宋体" w:eastAsia="宋体" w:cs="宋体"/>
                <w:bCs/>
                <w:color w:val="auto"/>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Ex>
        <w:trPr>
          <w:trHeight w:val="23" w:hRule="atLeast"/>
        </w:trPr>
        <w:tc>
          <w:tcPr>
            <w:tcW w:w="830" w:type="dxa"/>
            <w:vAlign w:val="center"/>
          </w:tcPr>
          <w:p>
            <w:pPr>
              <w:widowControl/>
              <w:jc w:val="center"/>
              <w:rPr>
                <w:rFonts w:ascii="宋体" w:hAnsi="宋体" w:eastAsia="宋体" w:cs="宋体"/>
                <w:bCs/>
                <w:color w:val="auto"/>
                <w:sz w:val="28"/>
                <w:szCs w:val="28"/>
              </w:rPr>
            </w:pPr>
            <w:r>
              <w:rPr>
                <w:rFonts w:hint="eastAsia" w:ascii="宋体" w:hAnsi="宋体" w:eastAsia="宋体" w:cs="宋体"/>
                <w:bCs/>
                <w:color w:val="auto"/>
                <w:sz w:val="28"/>
                <w:szCs w:val="28"/>
              </w:rPr>
              <w:t>3</w:t>
            </w:r>
          </w:p>
        </w:tc>
        <w:tc>
          <w:tcPr>
            <w:tcW w:w="2569" w:type="dxa"/>
            <w:vAlign w:val="center"/>
          </w:tcPr>
          <w:p>
            <w:pPr>
              <w:widowControl/>
              <w:jc w:val="center"/>
              <w:rPr>
                <w:rFonts w:ascii="宋体" w:hAnsi="宋体" w:eastAsia="宋体" w:cs="宋体"/>
                <w:bCs/>
                <w:color w:val="auto"/>
                <w:sz w:val="28"/>
                <w:szCs w:val="28"/>
              </w:rPr>
            </w:pPr>
          </w:p>
        </w:tc>
        <w:tc>
          <w:tcPr>
            <w:tcW w:w="998" w:type="dxa"/>
            <w:vAlign w:val="center"/>
          </w:tcPr>
          <w:p>
            <w:pPr>
              <w:widowControl/>
              <w:jc w:val="center"/>
              <w:rPr>
                <w:rFonts w:ascii="宋体" w:hAnsi="宋体" w:eastAsia="宋体" w:cs="宋体"/>
                <w:bCs/>
                <w:color w:val="auto"/>
                <w:sz w:val="28"/>
                <w:szCs w:val="28"/>
              </w:rPr>
            </w:pPr>
          </w:p>
        </w:tc>
        <w:tc>
          <w:tcPr>
            <w:tcW w:w="1427" w:type="dxa"/>
            <w:vAlign w:val="center"/>
          </w:tcPr>
          <w:p>
            <w:pPr>
              <w:widowControl/>
              <w:jc w:val="center"/>
              <w:rPr>
                <w:rFonts w:ascii="宋体" w:hAnsi="宋体" w:eastAsia="宋体" w:cs="宋体"/>
                <w:bCs/>
                <w:color w:val="auto"/>
                <w:sz w:val="28"/>
                <w:szCs w:val="28"/>
              </w:rPr>
            </w:pPr>
          </w:p>
        </w:tc>
        <w:tc>
          <w:tcPr>
            <w:tcW w:w="1512" w:type="dxa"/>
            <w:vAlign w:val="center"/>
          </w:tcPr>
          <w:p>
            <w:pPr>
              <w:widowControl/>
              <w:jc w:val="center"/>
              <w:rPr>
                <w:rFonts w:ascii="宋体" w:hAnsi="宋体" w:eastAsia="宋体" w:cs="宋体"/>
                <w:bCs/>
                <w:color w:val="auto"/>
                <w:sz w:val="28"/>
                <w:szCs w:val="28"/>
                <w:u w:val="single"/>
              </w:rPr>
            </w:pPr>
          </w:p>
        </w:tc>
        <w:tc>
          <w:tcPr>
            <w:tcW w:w="1440" w:type="dxa"/>
            <w:vAlign w:val="top"/>
          </w:tcPr>
          <w:p>
            <w:pPr>
              <w:widowControl/>
              <w:jc w:val="center"/>
              <w:rPr>
                <w:rFonts w:ascii="宋体" w:hAnsi="宋体" w:eastAsia="宋体" w:cs="宋体"/>
                <w:bCs/>
                <w:color w:val="auto"/>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Ex>
        <w:trPr>
          <w:trHeight w:val="23" w:hRule="atLeast"/>
        </w:trPr>
        <w:tc>
          <w:tcPr>
            <w:tcW w:w="830" w:type="dxa"/>
            <w:vAlign w:val="center"/>
          </w:tcPr>
          <w:p>
            <w:pPr>
              <w:widowControl/>
              <w:jc w:val="center"/>
              <w:rPr>
                <w:rFonts w:ascii="宋体" w:hAnsi="宋体" w:eastAsia="宋体" w:cs="宋体"/>
                <w:bCs/>
                <w:color w:val="auto"/>
                <w:sz w:val="28"/>
                <w:szCs w:val="28"/>
              </w:rPr>
            </w:pPr>
            <w:r>
              <w:rPr>
                <w:rFonts w:hint="eastAsia" w:ascii="宋体" w:hAnsi="宋体" w:eastAsia="宋体" w:cs="宋体"/>
                <w:bCs/>
                <w:color w:val="auto"/>
                <w:sz w:val="28"/>
                <w:szCs w:val="28"/>
              </w:rPr>
              <w:t>4</w:t>
            </w:r>
          </w:p>
        </w:tc>
        <w:tc>
          <w:tcPr>
            <w:tcW w:w="2569" w:type="dxa"/>
            <w:vAlign w:val="center"/>
          </w:tcPr>
          <w:p>
            <w:pPr>
              <w:widowControl/>
              <w:jc w:val="center"/>
              <w:rPr>
                <w:rFonts w:ascii="宋体" w:hAnsi="宋体" w:eastAsia="宋体" w:cs="宋体"/>
                <w:bCs/>
                <w:color w:val="auto"/>
                <w:sz w:val="28"/>
                <w:szCs w:val="28"/>
              </w:rPr>
            </w:pPr>
          </w:p>
        </w:tc>
        <w:tc>
          <w:tcPr>
            <w:tcW w:w="998" w:type="dxa"/>
            <w:vAlign w:val="center"/>
          </w:tcPr>
          <w:p>
            <w:pPr>
              <w:widowControl/>
              <w:jc w:val="center"/>
              <w:rPr>
                <w:rFonts w:ascii="宋体" w:hAnsi="宋体" w:eastAsia="宋体" w:cs="宋体"/>
                <w:bCs/>
                <w:color w:val="auto"/>
                <w:sz w:val="28"/>
                <w:szCs w:val="28"/>
              </w:rPr>
            </w:pPr>
          </w:p>
        </w:tc>
        <w:tc>
          <w:tcPr>
            <w:tcW w:w="1427" w:type="dxa"/>
            <w:vAlign w:val="center"/>
          </w:tcPr>
          <w:p>
            <w:pPr>
              <w:widowControl/>
              <w:jc w:val="center"/>
              <w:rPr>
                <w:rFonts w:ascii="宋体" w:hAnsi="宋体" w:eastAsia="宋体" w:cs="宋体"/>
                <w:bCs/>
                <w:color w:val="auto"/>
                <w:sz w:val="28"/>
                <w:szCs w:val="28"/>
              </w:rPr>
            </w:pPr>
          </w:p>
        </w:tc>
        <w:tc>
          <w:tcPr>
            <w:tcW w:w="1512" w:type="dxa"/>
            <w:vAlign w:val="center"/>
          </w:tcPr>
          <w:p>
            <w:pPr>
              <w:widowControl/>
              <w:jc w:val="center"/>
              <w:rPr>
                <w:rFonts w:ascii="宋体" w:hAnsi="宋体" w:eastAsia="宋体" w:cs="宋体"/>
                <w:bCs/>
                <w:color w:val="auto"/>
                <w:sz w:val="28"/>
                <w:szCs w:val="28"/>
                <w:u w:val="single"/>
              </w:rPr>
            </w:pPr>
          </w:p>
        </w:tc>
        <w:tc>
          <w:tcPr>
            <w:tcW w:w="1440" w:type="dxa"/>
            <w:vAlign w:val="top"/>
          </w:tcPr>
          <w:p>
            <w:pPr>
              <w:widowControl/>
              <w:jc w:val="center"/>
              <w:rPr>
                <w:rFonts w:ascii="宋体" w:hAnsi="宋体" w:eastAsia="宋体" w:cs="宋体"/>
                <w:bCs/>
                <w:color w:val="auto"/>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Ex>
        <w:trPr>
          <w:trHeight w:val="23" w:hRule="atLeast"/>
        </w:trPr>
        <w:tc>
          <w:tcPr>
            <w:tcW w:w="830" w:type="dxa"/>
            <w:vAlign w:val="center"/>
          </w:tcPr>
          <w:p>
            <w:pPr>
              <w:widowControl/>
              <w:jc w:val="center"/>
              <w:rPr>
                <w:rFonts w:ascii="宋体" w:hAnsi="宋体" w:eastAsia="宋体" w:cs="宋体"/>
                <w:bCs/>
                <w:color w:val="auto"/>
                <w:sz w:val="28"/>
                <w:szCs w:val="28"/>
              </w:rPr>
            </w:pPr>
            <w:r>
              <w:rPr>
                <w:rFonts w:hint="eastAsia" w:ascii="宋体" w:hAnsi="宋体" w:eastAsia="宋体" w:cs="宋体"/>
                <w:bCs/>
                <w:color w:val="auto"/>
                <w:sz w:val="28"/>
                <w:szCs w:val="28"/>
              </w:rPr>
              <w:t>5</w:t>
            </w:r>
          </w:p>
        </w:tc>
        <w:tc>
          <w:tcPr>
            <w:tcW w:w="2569" w:type="dxa"/>
            <w:vAlign w:val="center"/>
          </w:tcPr>
          <w:p>
            <w:pPr>
              <w:widowControl/>
              <w:jc w:val="center"/>
              <w:rPr>
                <w:rFonts w:ascii="宋体" w:hAnsi="宋体" w:eastAsia="宋体" w:cs="宋体"/>
                <w:bCs/>
                <w:color w:val="auto"/>
                <w:sz w:val="28"/>
                <w:szCs w:val="28"/>
              </w:rPr>
            </w:pPr>
          </w:p>
        </w:tc>
        <w:tc>
          <w:tcPr>
            <w:tcW w:w="998" w:type="dxa"/>
            <w:vAlign w:val="center"/>
          </w:tcPr>
          <w:p>
            <w:pPr>
              <w:widowControl/>
              <w:jc w:val="center"/>
              <w:rPr>
                <w:rFonts w:ascii="宋体" w:hAnsi="宋体" w:eastAsia="宋体" w:cs="宋体"/>
                <w:bCs/>
                <w:color w:val="auto"/>
                <w:sz w:val="28"/>
                <w:szCs w:val="28"/>
              </w:rPr>
            </w:pPr>
          </w:p>
        </w:tc>
        <w:tc>
          <w:tcPr>
            <w:tcW w:w="1427" w:type="dxa"/>
            <w:vAlign w:val="center"/>
          </w:tcPr>
          <w:p>
            <w:pPr>
              <w:widowControl/>
              <w:jc w:val="center"/>
              <w:rPr>
                <w:rFonts w:ascii="宋体" w:hAnsi="宋体" w:eastAsia="宋体" w:cs="宋体"/>
                <w:bCs/>
                <w:color w:val="auto"/>
                <w:sz w:val="28"/>
                <w:szCs w:val="28"/>
              </w:rPr>
            </w:pPr>
          </w:p>
        </w:tc>
        <w:tc>
          <w:tcPr>
            <w:tcW w:w="1512" w:type="dxa"/>
            <w:vAlign w:val="center"/>
          </w:tcPr>
          <w:p>
            <w:pPr>
              <w:widowControl/>
              <w:jc w:val="center"/>
              <w:rPr>
                <w:rFonts w:ascii="宋体" w:hAnsi="宋体" w:eastAsia="宋体" w:cs="宋体"/>
                <w:bCs/>
                <w:color w:val="auto"/>
                <w:sz w:val="28"/>
                <w:szCs w:val="28"/>
                <w:u w:val="single"/>
              </w:rPr>
            </w:pPr>
          </w:p>
        </w:tc>
        <w:tc>
          <w:tcPr>
            <w:tcW w:w="1440" w:type="dxa"/>
            <w:vAlign w:val="top"/>
          </w:tcPr>
          <w:p>
            <w:pPr>
              <w:widowControl/>
              <w:jc w:val="center"/>
              <w:rPr>
                <w:rFonts w:ascii="宋体" w:hAnsi="宋体" w:eastAsia="宋体" w:cs="宋体"/>
                <w:bCs/>
                <w:color w:val="auto"/>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Ex>
        <w:trPr>
          <w:trHeight w:val="23" w:hRule="atLeast"/>
        </w:trPr>
        <w:tc>
          <w:tcPr>
            <w:tcW w:w="830" w:type="dxa"/>
            <w:vAlign w:val="center"/>
          </w:tcPr>
          <w:p>
            <w:pPr>
              <w:widowControl/>
              <w:jc w:val="center"/>
              <w:rPr>
                <w:rFonts w:ascii="宋体" w:hAnsi="宋体" w:eastAsia="宋体" w:cs="宋体"/>
                <w:bCs/>
                <w:color w:val="auto"/>
                <w:sz w:val="28"/>
                <w:szCs w:val="28"/>
              </w:rPr>
            </w:pPr>
            <w:r>
              <w:rPr>
                <w:rFonts w:hint="eastAsia" w:ascii="宋体" w:hAnsi="宋体" w:eastAsia="宋体" w:cs="宋体"/>
                <w:bCs/>
                <w:color w:val="auto"/>
                <w:sz w:val="28"/>
                <w:szCs w:val="28"/>
              </w:rPr>
              <w:t>6</w:t>
            </w:r>
          </w:p>
        </w:tc>
        <w:tc>
          <w:tcPr>
            <w:tcW w:w="2569" w:type="dxa"/>
            <w:vAlign w:val="center"/>
          </w:tcPr>
          <w:p>
            <w:pPr>
              <w:widowControl/>
              <w:jc w:val="center"/>
              <w:rPr>
                <w:rFonts w:ascii="宋体" w:hAnsi="宋体" w:eastAsia="宋体" w:cs="宋体"/>
                <w:bCs/>
                <w:color w:val="auto"/>
                <w:sz w:val="28"/>
                <w:szCs w:val="28"/>
              </w:rPr>
            </w:pPr>
          </w:p>
        </w:tc>
        <w:tc>
          <w:tcPr>
            <w:tcW w:w="998" w:type="dxa"/>
            <w:vAlign w:val="center"/>
          </w:tcPr>
          <w:p>
            <w:pPr>
              <w:widowControl/>
              <w:jc w:val="center"/>
              <w:rPr>
                <w:rFonts w:ascii="宋体" w:hAnsi="宋体" w:eastAsia="宋体" w:cs="宋体"/>
                <w:bCs/>
                <w:color w:val="auto"/>
                <w:sz w:val="28"/>
                <w:szCs w:val="28"/>
              </w:rPr>
            </w:pPr>
          </w:p>
        </w:tc>
        <w:tc>
          <w:tcPr>
            <w:tcW w:w="1427" w:type="dxa"/>
            <w:vAlign w:val="center"/>
          </w:tcPr>
          <w:p>
            <w:pPr>
              <w:widowControl/>
              <w:jc w:val="center"/>
              <w:rPr>
                <w:rFonts w:ascii="宋体" w:hAnsi="宋体" w:eastAsia="宋体" w:cs="宋体"/>
                <w:bCs/>
                <w:color w:val="auto"/>
                <w:sz w:val="28"/>
                <w:szCs w:val="28"/>
              </w:rPr>
            </w:pPr>
          </w:p>
        </w:tc>
        <w:tc>
          <w:tcPr>
            <w:tcW w:w="1512" w:type="dxa"/>
            <w:vAlign w:val="center"/>
          </w:tcPr>
          <w:p>
            <w:pPr>
              <w:widowControl/>
              <w:jc w:val="center"/>
              <w:rPr>
                <w:rFonts w:ascii="宋体" w:hAnsi="宋体" w:eastAsia="宋体" w:cs="宋体"/>
                <w:bCs/>
                <w:color w:val="auto"/>
                <w:sz w:val="28"/>
                <w:szCs w:val="28"/>
                <w:u w:val="single"/>
              </w:rPr>
            </w:pPr>
          </w:p>
        </w:tc>
        <w:tc>
          <w:tcPr>
            <w:tcW w:w="1440" w:type="dxa"/>
            <w:vAlign w:val="top"/>
          </w:tcPr>
          <w:p>
            <w:pPr>
              <w:widowControl/>
              <w:jc w:val="center"/>
              <w:rPr>
                <w:rFonts w:ascii="宋体" w:hAnsi="宋体" w:eastAsia="宋体" w:cs="宋体"/>
                <w:bCs/>
                <w:color w:val="auto"/>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Ex>
        <w:trPr>
          <w:trHeight w:val="23" w:hRule="atLeast"/>
        </w:trPr>
        <w:tc>
          <w:tcPr>
            <w:tcW w:w="8776" w:type="dxa"/>
            <w:gridSpan w:val="6"/>
            <w:vAlign w:val="center"/>
          </w:tcPr>
          <w:p>
            <w:pPr>
              <w:adjustRightInd w:val="0"/>
              <w:spacing w:line="580" w:lineRule="exact"/>
              <w:rPr>
                <w:rFonts w:hint="eastAsia" w:ascii="宋体" w:hAnsi="宋体" w:eastAsia="宋体" w:cs="宋体"/>
                <w:b/>
                <w:bCs/>
                <w:color w:val="auto"/>
                <w:sz w:val="28"/>
                <w:lang w:val="en-US" w:eastAsia="zh-CN"/>
              </w:rPr>
            </w:pPr>
            <w:r>
              <w:rPr>
                <w:rFonts w:hint="eastAsia" w:ascii="宋体" w:hAnsi="宋体"/>
                <w:color w:val="auto"/>
                <w:sz w:val="28"/>
                <w:szCs w:val="28"/>
              </w:rPr>
              <w:t>报价</w:t>
            </w:r>
            <w:r>
              <w:rPr>
                <w:rFonts w:hint="eastAsia" w:ascii="宋体" w:hAnsi="宋体"/>
                <w:color w:val="auto"/>
                <w:sz w:val="28"/>
                <w:szCs w:val="28"/>
                <w:lang w:eastAsia="zh-CN"/>
              </w:rPr>
              <w:t>合计</w:t>
            </w:r>
            <w:r>
              <w:rPr>
                <w:rFonts w:hint="eastAsia" w:ascii="宋体" w:hAnsi="宋体"/>
                <w:color w:val="auto"/>
                <w:sz w:val="28"/>
                <w:szCs w:val="28"/>
              </w:rPr>
              <w:t>（人民币</w:t>
            </w:r>
            <w:r>
              <w:rPr>
                <w:rFonts w:hint="eastAsia" w:ascii="宋体" w:hAnsi="宋体"/>
                <w:color w:val="auto"/>
                <w:sz w:val="28"/>
                <w:szCs w:val="28"/>
                <w:lang w:eastAsia="zh-CN"/>
              </w:rPr>
              <w:t>小</w:t>
            </w:r>
            <w:r>
              <w:rPr>
                <w:rFonts w:hint="eastAsia" w:ascii="宋体" w:hAnsi="宋体"/>
                <w:color w:val="auto"/>
                <w:sz w:val="28"/>
                <w:szCs w:val="28"/>
              </w:rPr>
              <w:t>写）：</w:t>
            </w:r>
            <w:r>
              <w:rPr>
                <w:rFonts w:hint="eastAsia" w:ascii="宋体" w:hAnsi="宋体"/>
                <w:color w:val="auto"/>
                <w:sz w:val="28"/>
                <w:szCs w:val="28"/>
                <w:u w:val="single"/>
                <w:lang w:val="en-US" w:eastAsia="zh-CN"/>
              </w:rPr>
              <w:t xml:space="preserve">                            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Ex>
        <w:trPr>
          <w:trHeight w:val="23" w:hRule="atLeast"/>
        </w:trPr>
        <w:tc>
          <w:tcPr>
            <w:tcW w:w="8776" w:type="dxa"/>
            <w:gridSpan w:val="6"/>
            <w:vAlign w:val="center"/>
          </w:tcPr>
          <w:p>
            <w:pPr>
              <w:adjustRightInd w:val="0"/>
              <w:spacing w:line="580" w:lineRule="exact"/>
              <w:rPr>
                <w:rFonts w:hint="eastAsia" w:ascii="宋体" w:hAnsi="宋体" w:eastAsia="宋体" w:cs="宋体"/>
                <w:bCs/>
                <w:color w:val="auto"/>
                <w:sz w:val="28"/>
                <w:u w:val="single"/>
              </w:rPr>
            </w:pPr>
            <w:r>
              <w:rPr>
                <w:rFonts w:hint="eastAsia"/>
                <w:color w:val="auto"/>
                <w:sz w:val="28"/>
                <w:szCs w:val="28"/>
              </w:rPr>
              <w:t>报价</w:t>
            </w:r>
            <w:r>
              <w:rPr>
                <w:rFonts w:hint="eastAsia"/>
                <w:color w:val="auto"/>
                <w:sz w:val="28"/>
                <w:szCs w:val="28"/>
                <w:lang w:eastAsia="zh-CN"/>
              </w:rPr>
              <w:t>合计</w:t>
            </w:r>
            <w:r>
              <w:rPr>
                <w:rFonts w:hint="eastAsia"/>
                <w:color w:val="auto"/>
                <w:sz w:val="28"/>
                <w:szCs w:val="28"/>
              </w:rPr>
              <w:t>（人民币大写）：</w:t>
            </w:r>
            <w:r>
              <w:rPr>
                <w:rFonts w:hint="eastAsia" w:ascii="宋体" w:hAnsi="宋体"/>
                <w:color w:val="auto"/>
                <w:sz w:val="28"/>
                <w:szCs w:val="28"/>
                <w:u w:val="single"/>
                <w:lang w:val="en-US" w:eastAsia="zh-CN"/>
              </w:rPr>
              <w:t xml:space="preserve">每年                                   </w:t>
            </w:r>
            <w:r>
              <w:rPr>
                <w:rFonts w:hint="eastAsia" w:ascii="宋体" w:hAnsi="宋体"/>
                <w:color w:val="auto"/>
                <w:sz w:val="28"/>
                <w:szCs w:val="28"/>
                <w:lang w:val="en-US" w:eastAsia="zh-CN"/>
              </w:rPr>
              <w:t xml:space="preserve"> </w:t>
            </w:r>
          </w:p>
        </w:tc>
      </w:tr>
    </w:tbl>
    <w:p>
      <w:pPr>
        <w:rPr>
          <w:rFonts w:ascii="宋体" w:hAnsi="宋体"/>
          <w:color w:val="auto"/>
          <w:sz w:val="28"/>
          <w:lang w:val="zh-CN"/>
        </w:rPr>
      </w:pPr>
      <w:r>
        <w:rPr>
          <w:rFonts w:hint="eastAsia" w:ascii="宋体" w:hAnsi="宋体"/>
          <w:color w:val="auto"/>
          <w:sz w:val="28"/>
          <w:lang w:val="zh-CN"/>
        </w:rPr>
        <w:t>投标人名称：XXXX</w:t>
      </w:r>
    </w:p>
    <w:p>
      <w:pPr>
        <w:rPr>
          <w:rFonts w:ascii="宋体" w:hAnsi="宋体"/>
          <w:bCs/>
          <w:color w:val="auto"/>
          <w:sz w:val="28"/>
          <w:szCs w:val="28"/>
        </w:rPr>
      </w:pPr>
      <w:r>
        <w:rPr>
          <w:rFonts w:hint="eastAsia" w:ascii="宋体" w:hAnsi="宋体"/>
          <w:color w:val="auto"/>
          <w:sz w:val="28"/>
        </w:rPr>
        <w:t>日期：</w:t>
      </w:r>
      <w:r>
        <w:rPr>
          <w:rFonts w:hint="eastAsia" w:ascii="宋体" w:hAnsi="宋体"/>
          <w:bCs/>
          <w:color w:val="auto"/>
          <w:sz w:val="28"/>
        </w:rPr>
        <w:t>20XX年XX月XX日</w:t>
      </w:r>
    </w:p>
    <w:p>
      <w:pPr>
        <w:pStyle w:val="16"/>
        <w:spacing w:after="0" w:line="240" w:lineRule="auto"/>
        <w:ind w:firstLine="0"/>
        <w:rPr>
          <w:rFonts w:ascii="宋体" w:hAnsi="宋体"/>
          <w:b/>
          <w:color w:val="auto"/>
          <w:sz w:val="28"/>
        </w:rPr>
      </w:pPr>
      <w:r>
        <w:rPr>
          <w:rFonts w:hint="eastAsia" w:ascii="宋体" w:hAnsi="宋体"/>
          <w:b/>
          <w:color w:val="auto"/>
          <w:sz w:val="28"/>
        </w:rPr>
        <w:t>说明：投标人应根据以上表格格式填写分项报价，报价合计应包括投标人完成本项目所需的一切费用。</w:t>
      </w:r>
    </w:p>
    <w:p>
      <w:pPr>
        <w:rPr>
          <w:rFonts w:ascii="宋体" w:hAnsi="宋体"/>
          <w:bCs/>
          <w:color w:val="auto"/>
          <w:sz w:val="28"/>
        </w:rPr>
      </w:pPr>
      <w:r>
        <w:rPr>
          <w:rFonts w:ascii="宋体" w:hAnsi="宋体"/>
          <w:bCs/>
          <w:color w:val="auto"/>
          <w:sz w:val="28"/>
        </w:rPr>
        <w:br w:type="page"/>
      </w:r>
    </w:p>
    <w:p>
      <w:pPr>
        <w:pStyle w:val="27"/>
        <w:spacing w:line="500" w:lineRule="exact"/>
        <w:ind w:firstLine="146" w:firstLineChars="52"/>
        <w:rPr>
          <w:rFonts w:ascii="宋体" w:hAnsi="宋体"/>
          <w:bCs/>
          <w:color w:val="auto"/>
          <w:sz w:val="28"/>
        </w:rPr>
      </w:pPr>
    </w:p>
    <w:p>
      <w:pPr>
        <w:pStyle w:val="3"/>
        <w:numPr>
          <w:ilvl w:val="0"/>
          <w:numId w:val="0"/>
        </w:numPr>
        <w:spacing w:before="0" w:after="0" w:line="500" w:lineRule="exact"/>
        <w:ind w:left="-142" w:leftChars="0"/>
        <w:jc w:val="center"/>
        <w:rPr>
          <w:color w:val="auto"/>
        </w:rPr>
      </w:pPr>
      <w:bookmarkStart w:id="227" w:name="_Toc65573699"/>
      <w:bookmarkStart w:id="228" w:name="_Toc17291826"/>
      <w:bookmarkStart w:id="229" w:name="_Toc24469"/>
      <w:bookmarkStart w:id="230" w:name="_Toc1870"/>
      <w:bookmarkStart w:id="231" w:name="_Toc30585"/>
      <w:bookmarkStart w:id="232" w:name="_Toc4768"/>
      <w:bookmarkStart w:id="233" w:name="_Toc316292231"/>
      <w:bookmarkStart w:id="234" w:name="_Toc321382057"/>
      <w:r>
        <w:rPr>
          <w:rFonts w:hint="eastAsia"/>
          <w:color w:val="auto"/>
          <w:lang w:eastAsia="zh-CN"/>
        </w:rPr>
        <w:t>第</w:t>
      </w:r>
      <w:r>
        <w:rPr>
          <w:rFonts w:hint="eastAsia"/>
          <w:color w:val="auto"/>
          <w:lang w:val="en-US" w:eastAsia="zh-CN"/>
        </w:rPr>
        <w:t>4章</w:t>
      </w:r>
      <w:r>
        <w:rPr>
          <w:rFonts w:hint="eastAsia"/>
          <w:color w:val="auto"/>
        </w:rPr>
        <w:t>招标项目服务、商务及其他要求</w:t>
      </w:r>
      <w:bookmarkEnd w:id="227"/>
      <w:bookmarkEnd w:id="228"/>
      <w:bookmarkEnd w:id="229"/>
      <w:bookmarkEnd w:id="230"/>
      <w:bookmarkEnd w:id="231"/>
      <w:bookmarkEnd w:id="232"/>
    </w:p>
    <w:bookmarkEnd w:id="233"/>
    <w:bookmarkEnd w:id="234"/>
    <w:p>
      <w:pPr>
        <w:autoSpaceDE w:val="0"/>
        <w:autoSpaceDN w:val="0"/>
        <w:adjustRightInd w:val="0"/>
        <w:spacing w:line="660" w:lineRule="exact"/>
        <w:jc w:val="center"/>
        <w:rPr>
          <w:rFonts w:ascii="华文中宋" w:hAnsi="华文中宋" w:eastAsia="华文中宋"/>
          <w:b/>
          <w:color w:val="auto"/>
          <w:kern w:val="0"/>
          <w:sz w:val="36"/>
          <w:szCs w:val="36"/>
          <w:lang w:val="zh-CN"/>
        </w:rPr>
      </w:pPr>
      <w:r>
        <w:rPr>
          <w:rFonts w:ascii="华文中宋" w:hAnsi="华文中宋" w:eastAsia="华文中宋"/>
          <w:b/>
          <w:color w:val="auto"/>
          <w:kern w:val="0"/>
          <w:sz w:val="36"/>
          <w:szCs w:val="36"/>
          <w:lang w:val="zh-CN"/>
        </w:rPr>
        <w:t>都江堰市机关事务中心物业管理服务采购项目</w:t>
      </w:r>
    </w:p>
    <w:p>
      <w:pPr>
        <w:autoSpaceDE w:val="0"/>
        <w:autoSpaceDN w:val="0"/>
        <w:adjustRightInd w:val="0"/>
        <w:spacing w:line="660" w:lineRule="exact"/>
        <w:jc w:val="center"/>
        <w:rPr>
          <w:rFonts w:hint="eastAsia" w:ascii="华文中宋" w:hAnsi="华文中宋" w:eastAsia="华文中宋"/>
          <w:b/>
          <w:color w:val="auto"/>
          <w:kern w:val="0"/>
          <w:sz w:val="36"/>
          <w:szCs w:val="36"/>
          <w:lang w:val="zh-CN"/>
        </w:rPr>
      </w:pPr>
    </w:p>
    <w:p>
      <w:pPr>
        <w:spacing w:line="590" w:lineRule="exact"/>
        <w:ind w:firstLine="644" w:firstLineChars="200"/>
        <w:rPr>
          <w:rFonts w:ascii="华文中宋" w:hAnsi="华文中宋" w:eastAsia="华文中宋"/>
          <w:b/>
          <w:color w:val="auto"/>
          <w:sz w:val="28"/>
          <w:szCs w:val="28"/>
        </w:rPr>
      </w:pPr>
      <w:r>
        <w:rPr>
          <w:rFonts w:ascii="华文中宋" w:hAnsi="华文中宋" w:eastAsia="华文中宋"/>
          <w:b/>
          <w:color w:val="auto"/>
          <w:sz w:val="32"/>
          <w:szCs w:val="32"/>
        </w:rPr>
        <w:t>一、招标范围</w:t>
      </w:r>
    </w:p>
    <w:p>
      <w:pPr>
        <w:spacing w:line="590" w:lineRule="exact"/>
        <w:ind w:firstLine="644" w:firstLineChars="200"/>
        <w:rPr>
          <w:rFonts w:ascii="仿宋" w:hAnsi="仿宋" w:eastAsia="仿宋"/>
          <w:color w:val="auto"/>
          <w:sz w:val="32"/>
          <w:szCs w:val="32"/>
        </w:rPr>
      </w:pPr>
      <w:r>
        <w:rPr>
          <w:rFonts w:ascii="仿宋" w:hAnsi="仿宋" w:eastAsia="仿宋"/>
          <w:color w:val="auto"/>
          <w:sz w:val="32"/>
          <w:szCs w:val="32"/>
        </w:rPr>
        <w:t>本次招标范围包括：都江堰市市委机关办公区、市政府机关办公区</w:t>
      </w:r>
      <w:r>
        <w:rPr>
          <w:rFonts w:hint="eastAsia" w:ascii="仿宋" w:hAnsi="仿宋" w:eastAsia="仿宋"/>
          <w:color w:val="auto"/>
          <w:sz w:val="32"/>
          <w:szCs w:val="32"/>
        </w:rPr>
        <w:t>（含武装部部分办公区）</w:t>
      </w:r>
      <w:r>
        <w:rPr>
          <w:rFonts w:ascii="仿宋" w:hAnsi="仿宋" w:eastAsia="仿宋"/>
          <w:color w:val="auto"/>
          <w:sz w:val="32"/>
          <w:szCs w:val="32"/>
        </w:rPr>
        <w:t>、市人大机关办公区、市政协机关办公区及周转房物业管理服务。</w:t>
      </w:r>
    </w:p>
    <w:p>
      <w:pPr>
        <w:spacing w:line="590" w:lineRule="exact"/>
        <w:ind w:firstLine="644" w:firstLineChars="200"/>
        <w:rPr>
          <w:rFonts w:ascii="华文中宋" w:hAnsi="华文中宋" w:eastAsia="华文中宋"/>
          <w:b/>
          <w:color w:val="auto"/>
          <w:sz w:val="28"/>
          <w:szCs w:val="28"/>
        </w:rPr>
      </w:pPr>
      <w:r>
        <w:rPr>
          <w:rFonts w:ascii="华文中宋" w:hAnsi="华文中宋" w:eastAsia="华文中宋"/>
          <w:b/>
          <w:color w:val="auto"/>
          <w:sz w:val="32"/>
          <w:szCs w:val="32"/>
        </w:rPr>
        <w:t>二、项目概况</w:t>
      </w:r>
    </w:p>
    <w:p>
      <w:pPr>
        <w:spacing w:line="590" w:lineRule="exact"/>
        <w:ind w:firstLine="644" w:firstLineChars="200"/>
        <w:rPr>
          <w:rFonts w:hint="eastAsia" w:ascii="Times New Roman" w:hAnsi="Times New Roman" w:eastAsia="仿宋_GB2312"/>
          <w:color w:val="auto"/>
          <w:sz w:val="32"/>
          <w:szCs w:val="32"/>
        </w:rPr>
      </w:pPr>
      <w:r>
        <w:rPr>
          <w:rFonts w:ascii="仿宋" w:hAnsi="仿宋" w:eastAsia="仿宋"/>
          <w:color w:val="auto"/>
          <w:sz w:val="32"/>
          <w:szCs w:val="32"/>
        </w:rPr>
        <w:t>（一）物业类型</w:t>
      </w:r>
      <w:r>
        <w:rPr>
          <w:rFonts w:hint="eastAsia" w:ascii="仿宋" w:hAnsi="仿宋" w:eastAsia="仿宋"/>
          <w:color w:val="auto"/>
          <w:sz w:val="32"/>
          <w:szCs w:val="32"/>
        </w:rPr>
        <w:t>：</w:t>
      </w:r>
      <w:r>
        <w:rPr>
          <w:rFonts w:ascii="仿宋" w:hAnsi="仿宋" w:eastAsia="仿宋"/>
          <w:color w:val="auto"/>
          <w:sz w:val="32"/>
          <w:szCs w:val="32"/>
        </w:rPr>
        <w:t>办公楼。</w:t>
      </w:r>
    </w:p>
    <w:p>
      <w:pPr>
        <w:spacing w:line="590" w:lineRule="exact"/>
        <w:ind w:firstLine="644" w:firstLineChars="200"/>
        <w:rPr>
          <w:rFonts w:ascii="仿宋" w:hAnsi="仿宋" w:eastAsia="仿宋"/>
          <w:color w:val="auto"/>
          <w:sz w:val="32"/>
          <w:szCs w:val="32"/>
        </w:rPr>
      </w:pPr>
      <w:r>
        <w:rPr>
          <w:rFonts w:ascii="仿宋" w:hAnsi="仿宋" w:eastAsia="仿宋"/>
          <w:color w:val="auto"/>
          <w:sz w:val="32"/>
          <w:szCs w:val="32"/>
        </w:rPr>
        <w:t xml:space="preserve">（二）物业基本情况 </w:t>
      </w:r>
    </w:p>
    <w:p>
      <w:pPr>
        <w:spacing w:line="590" w:lineRule="exact"/>
        <w:ind w:firstLine="644" w:firstLineChars="200"/>
        <w:rPr>
          <w:rFonts w:ascii="仿宋" w:hAnsi="仿宋" w:eastAsia="仿宋"/>
          <w:color w:val="auto"/>
          <w:sz w:val="32"/>
          <w:szCs w:val="32"/>
        </w:rPr>
      </w:pPr>
      <w:r>
        <w:rPr>
          <w:rFonts w:ascii="仿宋" w:hAnsi="仿宋" w:eastAsia="仿宋"/>
          <w:color w:val="auto"/>
          <w:sz w:val="32"/>
          <w:szCs w:val="32"/>
        </w:rPr>
        <w:t>1.市委机关办公区，都江堰大道215号， 1栋楼，共11层，占地面积12546.07平方米，建筑面积11693.15平方米，道路、广场面积4903.6平方米，楼栋内公共区域面积2189.27平方米。车位123个（包含地上106个，地下17个）。会议室8间，侯会室3间。</w:t>
      </w:r>
    </w:p>
    <w:p>
      <w:pPr>
        <w:spacing w:line="590" w:lineRule="exact"/>
        <w:ind w:firstLine="644" w:firstLineChars="200"/>
        <w:rPr>
          <w:rFonts w:ascii="仿宋" w:hAnsi="仿宋" w:eastAsia="仿宋"/>
          <w:color w:val="auto"/>
          <w:sz w:val="32"/>
          <w:szCs w:val="32"/>
        </w:rPr>
      </w:pPr>
      <w:r>
        <w:rPr>
          <w:rFonts w:ascii="仿宋" w:hAnsi="仿宋" w:eastAsia="仿宋"/>
          <w:color w:val="auto"/>
          <w:sz w:val="32"/>
          <w:szCs w:val="32"/>
        </w:rPr>
        <w:t>2.市政府机关办公区</w:t>
      </w:r>
      <w:r>
        <w:rPr>
          <w:rFonts w:hint="eastAsia" w:ascii="仿宋" w:hAnsi="仿宋" w:eastAsia="仿宋"/>
          <w:color w:val="auto"/>
          <w:sz w:val="32"/>
          <w:szCs w:val="32"/>
        </w:rPr>
        <w:t>（含武装部部分办公区）</w:t>
      </w:r>
      <w:r>
        <w:rPr>
          <w:rFonts w:ascii="仿宋" w:hAnsi="仿宋" w:eastAsia="仿宋"/>
          <w:color w:val="auto"/>
          <w:sz w:val="32"/>
          <w:szCs w:val="32"/>
        </w:rPr>
        <w:t>，都江堰大道231号，1栋楼，共2层，占地面积约5557.5平方米，建筑面积约3449.16平方米，道路、广场面积2424.72平方米，楼栋内公共区域面积约787.59平方米。车位40个。会议室7间，会客室1间。</w:t>
      </w:r>
    </w:p>
    <w:p>
      <w:pPr>
        <w:spacing w:line="590" w:lineRule="exact"/>
        <w:ind w:firstLine="644" w:firstLineChars="200"/>
        <w:rPr>
          <w:rFonts w:ascii="仿宋" w:hAnsi="仿宋" w:eastAsia="仿宋"/>
          <w:color w:val="auto"/>
          <w:sz w:val="32"/>
          <w:szCs w:val="32"/>
        </w:rPr>
      </w:pPr>
      <w:r>
        <w:rPr>
          <w:rFonts w:ascii="仿宋" w:hAnsi="仿宋" w:eastAsia="仿宋"/>
          <w:color w:val="auto"/>
          <w:sz w:val="32"/>
          <w:szCs w:val="32"/>
        </w:rPr>
        <w:t>3.市人大机关办公区，建新路1号，共4栋楼，A栋3层，B栋2层，C栋2层，D栋2层，占地面积9417.32平方米，建筑面积1098.6平方米，道路、广场面积3847.3平方米，楼栋内公共区域面积220平方米，车位45个。会议室5间。</w:t>
      </w:r>
    </w:p>
    <w:p>
      <w:pPr>
        <w:spacing w:line="590" w:lineRule="exact"/>
        <w:ind w:firstLine="644" w:firstLineChars="200"/>
        <w:rPr>
          <w:rFonts w:ascii="仿宋" w:hAnsi="仿宋" w:eastAsia="仿宋"/>
          <w:color w:val="auto"/>
          <w:sz w:val="32"/>
          <w:szCs w:val="32"/>
        </w:rPr>
      </w:pPr>
      <w:r>
        <w:rPr>
          <w:rFonts w:ascii="仿宋" w:hAnsi="仿宋" w:eastAsia="仿宋"/>
          <w:color w:val="auto"/>
          <w:sz w:val="32"/>
          <w:szCs w:val="32"/>
        </w:rPr>
        <w:t xml:space="preserve">4. 市政协机关办公区，沙西线金融中心第6幢综合楼，共1栋楼6层，建筑面积4451.94平方米，楼栋内公共区域面积735平方米。 </w:t>
      </w:r>
    </w:p>
    <w:p>
      <w:pPr>
        <w:spacing w:line="590" w:lineRule="exact"/>
        <w:ind w:firstLine="644" w:firstLineChars="200"/>
        <w:rPr>
          <w:rFonts w:ascii="仿宋" w:hAnsi="仿宋" w:eastAsia="仿宋"/>
          <w:color w:val="auto"/>
          <w:sz w:val="32"/>
          <w:szCs w:val="32"/>
        </w:rPr>
      </w:pPr>
      <w:r>
        <w:rPr>
          <w:rFonts w:ascii="仿宋" w:hAnsi="仿宋" w:eastAsia="仿宋"/>
          <w:color w:val="auto"/>
          <w:sz w:val="32"/>
          <w:szCs w:val="32"/>
        </w:rPr>
        <w:t>5.周转房，永友路618号，兴堰丽景B区2栋2单元，建筑面积2500.8平方米，共1栋楼，11层楼，</w:t>
      </w:r>
      <w:r>
        <w:rPr>
          <w:rFonts w:hint="eastAsia" w:ascii="仿宋" w:hAnsi="仿宋" w:eastAsia="仿宋"/>
          <w:color w:val="auto"/>
          <w:sz w:val="32"/>
          <w:szCs w:val="32"/>
        </w:rPr>
        <w:t>22</w:t>
      </w:r>
      <w:r>
        <w:rPr>
          <w:rFonts w:ascii="仿宋" w:hAnsi="仿宋" w:eastAsia="仿宋"/>
          <w:color w:val="auto"/>
          <w:sz w:val="32"/>
          <w:szCs w:val="32"/>
        </w:rPr>
        <w:t>套房。</w:t>
      </w:r>
    </w:p>
    <w:p>
      <w:pPr>
        <w:spacing w:line="590" w:lineRule="exact"/>
        <w:ind w:firstLine="644" w:firstLineChars="200"/>
        <w:rPr>
          <w:rFonts w:ascii="仿宋" w:hAnsi="仿宋" w:eastAsia="仿宋"/>
          <w:color w:val="auto"/>
          <w:sz w:val="32"/>
          <w:szCs w:val="32"/>
        </w:rPr>
      </w:pPr>
      <w:r>
        <w:rPr>
          <w:rFonts w:ascii="仿宋" w:hAnsi="仿宋" w:eastAsia="仿宋"/>
          <w:color w:val="auto"/>
          <w:sz w:val="32"/>
          <w:szCs w:val="32"/>
        </w:rPr>
        <w:t>6.配合做好电梯、空调、消防、弱电系统、外网机房的维修保养和配电房年检工作。绿化、接待服务不属于本次招标范围。</w:t>
      </w:r>
    </w:p>
    <w:p>
      <w:pPr>
        <w:spacing w:line="590" w:lineRule="exact"/>
        <w:ind w:firstLine="644" w:firstLineChars="200"/>
        <w:rPr>
          <w:rFonts w:ascii="仿宋" w:hAnsi="仿宋" w:eastAsia="仿宋"/>
          <w:color w:val="auto"/>
          <w:sz w:val="32"/>
          <w:szCs w:val="32"/>
        </w:rPr>
      </w:pPr>
      <w:r>
        <w:rPr>
          <w:rFonts w:ascii="仿宋" w:hAnsi="仿宋" w:eastAsia="仿宋"/>
          <w:color w:val="auto"/>
          <w:sz w:val="32"/>
          <w:szCs w:val="32"/>
        </w:rPr>
        <w:t>7.设施设备情况</w:t>
      </w:r>
    </w:p>
    <w:p>
      <w:pPr>
        <w:spacing w:line="590" w:lineRule="exact"/>
        <w:ind w:firstLine="644" w:firstLineChars="200"/>
        <w:rPr>
          <w:rFonts w:ascii="仿宋" w:hAnsi="仿宋" w:eastAsia="仿宋"/>
          <w:color w:val="auto"/>
          <w:sz w:val="32"/>
          <w:szCs w:val="32"/>
        </w:rPr>
      </w:pPr>
      <w:r>
        <w:rPr>
          <w:rFonts w:ascii="仿宋" w:hAnsi="仿宋" w:eastAsia="仿宋"/>
          <w:color w:val="auto"/>
          <w:sz w:val="32"/>
          <w:szCs w:val="32"/>
        </w:rPr>
        <w:t>（1）市委机关办公区设施、设备清单（详见表1）</w:t>
      </w:r>
    </w:p>
    <w:p>
      <w:pPr>
        <w:spacing w:line="590" w:lineRule="exact"/>
        <w:ind w:firstLine="644" w:firstLineChars="200"/>
        <w:rPr>
          <w:rFonts w:ascii="仿宋" w:hAnsi="仿宋" w:eastAsia="仿宋"/>
          <w:color w:val="auto"/>
          <w:sz w:val="32"/>
          <w:szCs w:val="32"/>
        </w:rPr>
      </w:pPr>
      <w:r>
        <w:rPr>
          <w:rFonts w:ascii="仿宋" w:hAnsi="仿宋" w:eastAsia="仿宋"/>
          <w:color w:val="auto"/>
          <w:sz w:val="32"/>
          <w:szCs w:val="32"/>
        </w:rPr>
        <w:t>（2）市政府机关办公区设施、设备清单（详见表2）</w:t>
      </w:r>
    </w:p>
    <w:p>
      <w:pPr>
        <w:spacing w:line="590" w:lineRule="exact"/>
        <w:ind w:firstLine="644" w:firstLineChars="200"/>
        <w:rPr>
          <w:rFonts w:ascii="仿宋" w:hAnsi="仿宋" w:eastAsia="仿宋"/>
          <w:color w:val="auto"/>
          <w:sz w:val="32"/>
          <w:szCs w:val="32"/>
        </w:rPr>
      </w:pPr>
      <w:r>
        <w:rPr>
          <w:rFonts w:ascii="仿宋" w:hAnsi="仿宋" w:eastAsia="仿宋"/>
          <w:color w:val="auto"/>
          <w:sz w:val="32"/>
          <w:szCs w:val="32"/>
        </w:rPr>
        <w:t>（3）市人大机关办公区设施、设备清单（详见表3）</w:t>
      </w:r>
    </w:p>
    <w:p>
      <w:pPr>
        <w:spacing w:line="590" w:lineRule="exact"/>
        <w:ind w:firstLine="644" w:firstLineChars="200"/>
        <w:rPr>
          <w:rFonts w:ascii="仿宋" w:hAnsi="仿宋" w:eastAsia="仿宋"/>
          <w:color w:val="auto"/>
          <w:sz w:val="32"/>
          <w:szCs w:val="32"/>
        </w:rPr>
      </w:pPr>
      <w:r>
        <w:rPr>
          <w:rFonts w:ascii="仿宋" w:hAnsi="仿宋" w:eastAsia="仿宋"/>
          <w:color w:val="auto"/>
          <w:sz w:val="32"/>
          <w:szCs w:val="32"/>
        </w:rPr>
        <w:t>（4）市政协机关办公区设施、设备清单（详见表4）</w:t>
      </w:r>
    </w:p>
    <w:p>
      <w:pPr>
        <w:spacing w:line="590" w:lineRule="exact"/>
        <w:ind w:firstLine="644" w:firstLineChars="200"/>
        <w:rPr>
          <w:rFonts w:hint="eastAsia" w:ascii="仿宋" w:hAnsi="仿宋" w:eastAsia="仿宋"/>
          <w:color w:val="auto"/>
          <w:sz w:val="32"/>
          <w:szCs w:val="32"/>
        </w:rPr>
      </w:pPr>
      <w:r>
        <w:rPr>
          <w:rFonts w:ascii="仿宋" w:hAnsi="仿宋" w:eastAsia="仿宋"/>
          <w:color w:val="auto"/>
          <w:sz w:val="32"/>
          <w:szCs w:val="32"/>
        </w:rPr>
        <w:t>（5）周转房设施、设备清单（详见表5）</w:t>
      </w:r>
    </w:p>
    <w:p>
      <w:pPr>
        <w:spacing w:line="480" w:lineRule="exact"/>
        <w:ind w:firstLine="472" w:firstLineChars="147"/>
        <w:rPr>
          <w:rFonts w:hint="eastAsia" w:ascii="仿宋" w:hAnsi="仿宋" w:eastAsia="仿宋"/>
          <w:color w:val="auto"/>
          <w:sz w:val="32"/>
          <w:szCs w:val="32"/>
        </w:rPr>
      </w:pPr>
      <w:r>
        <w:rPr>
          <w:rFonts w:hint="eastAsia" w:ascii="仿宋" w:hAnsi="仿宋" w:eastAsia="仿宋"/>
          <w:color w:val="auto"/>
          <w:sz w:val="32"/>
          <w:szCs w:val="32"/>
        </w:rPr>
        <w:t>（三）其他概况</w:t>
      </w:r>
    </w:p>
    <w:p>
      <w:pPr>
        <w:spacing w:line="360" w:lineRule="auto"/>
        <w:ind w:firstLine="644" w:firstLineChars="200"/>
        <w:rPr>
          <w:rFonts w:hint="eastAsia" w:ascii="仿宋" w:hAnsi="仿宋" w:eastAsia="仿宋"/>
          <w:color w:val="auto"/>
          <w:sz w:val="32"/>
          <w:szCs w:val="32"/>
        </w:rPr>
      </w:pPr>
      <w:r>
        <w:rPr>
          <w:rFonts w:hint="eastAsia" w:ascii="仿宋" w:hAnsi="仿宋" w:eastAsia="仿宋"/>
          <w:color w:val="auto"/>
          <w:sz w:val="32"/>
          <w:szCs w:val="32"/>
        </w:rPr>
        <w:t>1.本项目采购人免费向物业管理公司提供相应的办公用房，但不提供物业管理人员住宿用房。</w:t>
      </w:r>
    </w:p>
    <w:p>
      <w:pPr>
        <w:spacing w:line="480" w:lineRule="exact"/>
        <w:ind w:firstLine="644" w:firstLineChars="200"/>
        <w:rPr>
          <w:rFonts w:hint="eastAsia" w:ascii="仿宋" w:hAnsi="仿宋" w:eastAsia="仿宋"/>
          <w:color w:val="auto"/>
          <w:sz w:val="32"/>
          <w:szCs w:val="32"/>
        </w:rPr>
      </w:pPr>
      <w:r>
        <w:rPr>
          <w:rFonts w:hint="eastAsia" w:ascii="仿宋" w:hAnsi="仿宋" w:eastAsia="仿宋"/>
          <w:color w:val="auto"/>
          <w:sz w:val="32"/>
          <w:szCs w:val="32"/>
        </w:rPr>
        <w:t>2.本项目公共能耗由采购人承担。</w:t>
      </w:r>
    </w:p>
    <w:p>
      <w:pPr>
        <w:spacing w:line="590" w:lineRule="exact"/>
        <w:ind w:firstLine="644" w:firstLineChars="200"/>
        <w:rPr>
          <w:rFonts w:hint="eastAsia" w:ascii="Times New Roman" w:hAnsi="Times New Roman" w:eastAsia="仿宋_GB2312"/>
          <w:color w:val="auto"/>
          <w:sz w:val="32"/>
          <w:szCs w:val="32"/>
        </w:rPr>
        <w:sectPr>
          <w:headerReference r:id="rId3" w:type="default"/>
          <w:footerReference r:id="rId5" w:type="default"/>
          <w:headerReference r:id="rId4" w:type="even"/>
          <w:footerReference r:id="rId6" w:type="even"/>
          <w:pgSz w:w="11906" w:h="16838"/>
          <w:pgMar w:top="1440" w:right="1797" w:bottom="1440" w:left="1797" w:header="851" w:footer="992" w:gutter="0"/>
          <w:cols w:space="720" w:num="1"/>
          <w:docGrid w:type="linesAndChars" w:linePitch="317" w:charSpace="609"/>
        </w:sectPr>
      </w:pPr>
    </w:p>
    <w:p>
      <w:pPr>
        <w:snapToGrid w:val="0"/>
        <w:spacing w:line="660" w:lineRule="exact"/>
        <w:rPr>
          <w:rFonts w:ascii="Times New Roman" w:hAnsi="Times New Roman" w:eastAsia="黑体"/>
          <w:color w:val="auto"/>
          <w:kern w:val="0"/>
          <w:sz w:val="32"/>
          <w:szCs w:val="32"/>
        </w:rPr>
      </w:pPr>
      <w:r>
        <w:rPr>
          <w:rFonts w:ascii="Times New Roman" w:hAnsi="Times New Roman" w:eastAsia="黑体"/>
          <w:color w:val="auto"/>
          <w:sz w:val="32"/>
          <w:szCs w:val="32"/>
        </w:rPr>
        <w:t>表1</w:t>
      </w:r>
    </w:p>
    <w:p>
      <w:pPr>
        <w:snapToGrid w:val="0"/>
        <w:spacing w:line="660" w:lineRule="exact"/>
        <w:jc w:val="center"/>
        <w:rPr>
          <w:rFonts w:ascii="Times New Roman" w:hAnsi="Times New Roman" w:eastAsia="方正小标宋简体"/>
          <w:color w:val="auto"/>
          <w:kern w:val="0"/>
          <w:sz w:val="44"/>
          <w:szCs w:val="44"/>
        </w:rPr>
      </w:pPr>
      <w:r>
        <w:rPr>
          <w:rFonts w:ascii="Times New Roman" w:hAnsi="Times New Roman" w:eastAsia="方正小标宋简体"/>
          <w:color w:val="auto"/>
          <w:kern w:val="0"/>
          <w:sz w:val="44"/>
          <w:szCs w:val="44"/>
        </w:rPr>
        <w:t>市委机关办公区设施、设备清单</w:t>
      </w:r>
    </w:p>
    <w:p>
      <w:pPr>
        <w:snapToGrid w:val="0"/>
        <w:spacing w:line="660" w:lineRule="exact"/>
        <w:jc w:val="center"/>
        <w:rPr>
          <w:rFonts w:ascii="Times New Roman" w:hAnsi="Times New Roman" w:eastAsia="方正小标宋简体"/>
          <w:color w:val="auto"/>
          <w:kern w:val="0"/>
          <w:sz w:val="44"/>
          <w:szCs w:val="44"/>
        </w:rPr>
      </w:pPr>
    </w:p>
    <w:tbl>
      <w:tblPr>
        <w:tblStyle w:val="49"/>
        <w:tblW w:w="14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35"/>
        <w:gridCol w:w="2525"/>
        <w:gridCol w:w="7807"/>
        <w:gridCol w:w="1653"/>
        <w:gridCol w:w="65"/>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黑体"/>
                <w:color w:val="auto"/>
                <w:kern w:val="0"/>
                <w:szCs w:val="21"/>
              </w:rPr>
            </w:pPr>
            <w:r>
              <w:rPr>
                <w:rFonts w:ascii="Times New Roman" w:hAnsi="Times New Roman" w:eastAsia="黑体"/>
                <w:color w:val="auto"/>
                <w:kern w:val="0"/>
                <w:szCs w:val="21"/>
              </w:rPr>
              <w:t>序号</w:t>
            </w:r>
          </w:p>
        </w:tc>
        <w:tc>
          <w:tcPr>
            <w:tcW w:w="2560" w:type="dxa"/>
            <w:gridSpan w:val="2"/>
            <w:vAlign w:val="center"/>
          </w:tcPr>
          <w:p>
            <w:pPr>
              <w:widowControl/>
              <w:spacing w:line="240" w:lineRule="exact"/>
              <w:jc w:val="center"/>
              <w:rPr>
                <w:rFonts w:ascii="Times New Roman" w:hAnsi="Times New Roman" w:eastAsia="黑体"/>
                <w:color w:val="auto"/>
                <w:kern w:val="0"/>
                <w:szCs w:val="21"/>
              </w:rPr>
            </w:pPr>
            <w:r>
              <w:rPr>
                <w:rFonts w:ascii="Times New Roman" w:hAnsi="Times New Roman" w:eastAsia="黑体"/>
                <w:color w:val="auto"/>
                <w:kern w:val="0"/>
                <w:szCs w:val="21"/>
              </w:rPr>
              <w:t>项目名称</w:t>
            </w:r>
          </w:p>
        </w:tc>
        <w:tc>
          <w:tcPr>
            <w:tcW w:w="7807" w:type="dxa"/>
            <w:vAlign w:val="center"/>
          </w:tcPr>
          <w:p>
            <w:pPr>
              <w:widowControl/>
              <w:spacing w:line="240" w:lineRule="exact"/>
              <w:jc w:val="center"/>
              <w:rPr>
                <w:rFonts w:ascii="Times New Roman" w:hAnsi="Times New Roman" w:eastAsia="黑体"/>
                <w:color w:val="auto"/>
                <w:kern w:val="0"/>
                <w:szCs w:val="21"/>
              </w:rPr>
            </w:pPr>
            <w:r>
              <w:rPr>
                <w:rFonts w:ascii="Times New Roman" w:hAnsi="Times New Roman" w:eastAsia="黑体"/>
                <w:color w:val="auto"/>
                <w:kern w:val="0"/>
                <w:szCs w:val="21"/>
              </w:rPr>
              <w:t>项目规格、参数及内容</w:t>
            </w:r>
          </w:p>
        </w:tc>
        <w:tc>
          <w:tcPr>
            <w:tcW w:w="1653" w:type="dxa"/>
            <w:vAlign w:val="center"/>
          </w:tcPr>
          <w:p>
            <w:pPr>
              <w:widowControl/>
              <w:spacing w:line="240" w:lineRule="exact"/>
              <w:jc w:val="center"/>
              <w:rPr>
                <w:rFonts w:ascii="Times New Roman" w:hAnsi="Times New Roman" w:eastAsia="黑体"/>
                <w:color w:val="auto"/>
                <w:kern w:val="0"/>
                <w:szCs w:val="21"/>
              </w:rPr>
            </w:pPr>
            <w:r>
              <w:rPr>
                <w:rFonts w:ascii="Times New Roman" w:hAnsi="Times New Roman" w:eastAsia="黑体"/>
                <w:color w:val="auto"/>
                <w:kern w:val="0"/>
                <w:szCs w:val="21"/>
              </w:rPr>
              <w:t>数量</w:t>
            </w:r>
          </w:p>
        </w:tc>
        <w:tc>
          <w:tcPr>
            <w:tcW w:w="1500" w:type="dxa"/>
            <w:gridSpan w:val="2"/>
            <w:vAlign w:val="center"/>
          </w:tcPr>
          <w:p>
            <w:pPr>
              <w:widowControl/>
              <w:spacing w:line="240" w:lineRule="exact"/>
              <w:jc w:val="center"/>
              <w:rPr>
                <w:rFonts w:ascii="Times New Roman" w:hAnsi="Times New Roman" w:eastAsia="黑体"/>
                <w:color w:val="auto"/>
                <w:kern w:val="0"/>
                <w:szCs w:val="21"/>
              </w:rPr>
            </w:pPr>
            <w:r>
              <w:rPr>
                <w:rFonts w:ascii="Times New Roman" w:hAnsi="Times New Roman" w:eastAsia="黑体"/>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4400" w:type="dxa"/>
            <w:gridSpan w:val="7"/>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空调清单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w:t>
            </w:r>
          </w:p>
        </w:tc>
        <w:tc>
          <w:tcPr>
            <w:tcW w:w="2560" w:type="dxa"/>
            <w:gridSpan w:val="2"/>
            <w:vMerge w:val="restart"/>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空调</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挂式</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112台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w:t>
            </w:r>
          </w:p>
        </w:tc>
        <w:tc>
          <w:tcPr>
            <w:tcW w:w="2560" w:type="dxa"/>
            <w:gridSpan w:val="2"/>
            <w:vMerge w:val="continue"/>
            <w:vAlign w:val="center"/>
          </w:tcPr>
          <w:p>
            <w:pPr>
              <w:widowControl/>
              <w:spacing w:line="240" w:lineRule="exact"/>
              <w:jc w:val="center"/>
              <w:rPr>
                <w:rFonts w:ascii="Times New Roman" w:hAnsi="Times New Roman" w:eastAsia="楷体"/>
                <w:color w:val="auto"/>
                <w:kern w:val="0"/>
                <w:szCs w:val="21"/>
              </w:rPr>
            </w:pP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柜式</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110台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4400" w:type="dxa"/>
            <w:gridSpan w:val="7"/>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供配电系统设备清单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箱式高压开关站</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HXGN-12，10KV/630A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高压计量箱</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10KV/630A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高压互感器</w:t>
            </w:r>
          </w:p>
        </w:tc>
        <w:tc>
          <w:tcPr>
            <w:tcW w:w="7807" w:type="dxa"/>
            <w:vAlign w:val="center"/>
          </w:tcPr>
          <w:p>
            <w:pPr>
              <w:widowControl/>
              <w:spacing w:line="240" w:lineRule="exact"/>
              <w:jc w:val="center"/>
              <w:rPr>
                <w:rFonts w:ascii="Times New Roman" w:hAnsi="Times New Roman" w:eastAsia="楷体"/>
                <w:color w:val="auto"/>
                <w:kern w:val="0"/>
                <w:szCs w:val="21"/>
              </w:rPr>
            </w:pP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直流屏</w:t>
            </w:r>
          </w:p>
        </w:tc>
        <w:tc>
          <w:tcPr>
            <w:tcW w:w="7807" w:type="dxa"/>
            <w:vAlign w:val="center"/>
          </w:tcPr>
          <w:p>
            <w:pPr>
              <w:widowControl/>
              <w:spacing w:line="240" w:lineRule="exact"/>
              <w:jc w:val="center"/>
              <w:rPr>
                <w:rFonts w:ascii="Times New Roman" w:hAnsi="Times New Roman" w:eastAsia="楷体"/>
                <w:color w:val="auto"/>
                <w:kern w:val="0"/>
                <w:szCs w:val="21"/>
              </w:rPr>
            </w:pP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箱式变压器（油式）</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ZBW，1600KVA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8</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交流低压开关柜</w:t>
            </w:r>
          </w:p>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（手摇断路器）</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GGD01，380V/630A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9</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交流低压开关柜（断路器）</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GGD02，380V/630A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10</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交流低压开关柜（断路器）</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GGD03，380V/630A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11</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交流低压电容补偿柜</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GGJ04，380V/630A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12</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交流低压电容补偿柜</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GGJ05，380V/630A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13</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交流低压开关进线柜</w:t>
            </w:r>
          </w:p>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（断路器）</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GCS01、380V/630A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14</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交流低压开关柜（断路器）</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GCS02，380V/630A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15</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交流低压开关柜（断路器）</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GCS03，380V/630A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16</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交流低压开关柜（断路器）</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GCS04，380V/630A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17</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交流低压开关柜（断路器）</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GCS05，380V/630A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18</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交流低压开关柜（断路器）</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GCS06，380V/630A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19</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消防应急照明柜(EPS)</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JHE-H，220V/4KW、220V/8KW、220V/8KW、220V/2KW</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9台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20</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配电柜</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XXL，125A、125A、200A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21</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配电箱</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XXM，40A、32A、20A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w:t>
            </w:r>
            <w:r>
              <w:rPr>
                <w:rFonts w:hint="eastAsia" w:ascii="Times New Roman" w:hAnsi="Times New Roman" w:eastAsia="楷体"/>
                <w:color w:val="auto"/>
                <w:kern w:val="0"/>
                <w:szCs w:val="21"/>
                <w:lang w:val="en-US" w:eastAsia="zh-CN"/>
              </w:rPr>
              <w:t>5</w:t>
            </w:r>
            <w:r>
              <w:rPr>
                <w:rFonts w:ascii="Times New Roman" w:hAnsi="Times New Roman" w:eastAsia="楷体"/>
                <w:color w:val="auto"/>
                <w:kern w:val="0"/>
                <w:szCs w:val="21"/>
              </w:rPr>
              <w:t>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4400" w:type="dxa"/>
            <w:gridSpan w:val="7"/>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给排水、雨污、消防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22</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供水泵</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50GDL18-15X4、5.5kw</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23</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ABB变频一拖二控制柜</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ACS5100</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24</w:t>
            </w:r>
          </w:p>
        </w:tc>
        <w:tc>
          <w:tcPr>
            <w:tcW w:w="2560" w:type="dxa"/>
            <w:gridSpan w:val="2"/>
            <w:vMerge w:val="restart"/>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配电柜</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XM、380V/63A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25</w:t>
            </w:r>
          </w:p>
        </w:tc>
        <w:tc>
          <w:tcPr>
            <w:tcW w:w="2560" w:type="dxa"/>
            <w:gridSpan w:val="2"/>
            <w:vMerge w:val="continue"/>
            <w:vAlign w:val="center"/>
          </w:tcPr>
          <w:p>
            <w:pPr>
              <w:widowControl/>
              <w:spacing w:line="240" w:lineRule="exact"/>
              <w:jc w:val="center"/>
              <w:rPr>
                <w:rFonts w:ascii="Times New Roman" w:hAnsi="Times New Roman" w:eastAsia="楷体"/>
                <w:color w:val="auto"/>
                <w:kern w:val="0"/>
                <w:szCs w:val="21"/>
              </w:rPr>
            </w:pPr>
          </w:p>
        </w:tc>
        <w:tc>
          <w:tcPr>
            <w:tcW w:w="7807" w:type="dxa"/>
            <w:vAlign w:val="center"/>
          </w:tcPr>
          <w:p>
            <w:pPr>
              <w:widowControl/>
              <w:spacing w:line="240" w:lineRule="exact"/>
              <w:jc w:val="center"/>
              <w:rPr>
                <w:rFonts w:ascii="Times New Roman" w:hAnsi="Times New Roman" w:eastAsia="楷体"/>
                <w:color w:val="auto"/>
                <w:kern w:val="0"/>
                <w:szCs w:val="21"/>
              </w:rPr>
            </w:pPr>
          </w:p>
        </w:tc>
        <w:tc>
          <w:tcPr>
            <w:tcW w:w="1653" w:type="dxa"/>
            <w:vAlign w:val="center"/>
          </w:tcPr>
          <w:p>
            <w:pPr>
              <w:widowControl/>
              <w:spacing w:line="240" w:lineRule="exact"/>
              <w:jc w:val="center"/>
              <w:rPr>
                <w:rFonts w:ascii="Times New Roman" w:hAnsi="Times New Roman" w:eastAsia="楷体"/>
                <w:color w:val="auto"/>
                <w:kern w:val="0"/>
                <w:szCs w:val="21"/>
              </w:rPr>
            </w:pP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26</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无负压变频给水设备</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WBH-6800*1800</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27</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给水管道井</w:t>
            </w:r>
          </w:p>
        </w:tc>
        <w:tc>
          <w:tcPr>
            <w:tcW w:w="7807" w:type="dxa"/>
            <w:vAlign w:val="center"/>
          </w:tcPr>
          <w:p>
            <w:pPr>
              <w:widowControl/>
              <w:spacing w:line="240" w:lineRule="exact"/>
              <w:jc w:val="center"/>
              <w:rPr>
                <w:rFonts w:ascii="Times New Roman" w:hAnsi="Times New Roman" w:eastAsia="楷体"/>
                <w:color w:val="auto"/>
                <w:kern w:val="0"/>
                <w:szCs w:val="21"/>
              </w:rPr>
            </w:pPr>
          </w:p>
        </w:tc>
        <w:tc>
          <w:tcPr>
            <w:tcW w:w="1653" w:type="dxa"/>
            <w:vAlign w:val="center"/>
          </w:tcPr>
          <w:p>
            <w:pPr>
              <w:widowControl/>
              <w:spacing w:line="240" w:lineRule="exact"/>
              <w:jc w:val="center"/>
              <w:rPr>
                <w:rFonts w:ascii="Times New Roman" w:hAnsi="Times New Roman" w:eastAsia="楷体"/>
                <w:color w:val="auto"/>
                <w:kern w:val="0"/>
                <w:szCs w:val="21"/>
              </w:rPr>
            </w:pPr>
            <w:r>
              <w:rPr>
                <w:rFonts w:hint="eastAsia" w:ascii="Times New Roman" w:hAnsi="Times New Roman" w:eastAsia="楷体"/>
                <w:color w:val="auto"/>
                <w:kern w:val="0"/>
                <w:szCs w:val="21"/>
                <w:lang w:val="en-US" w:eastAsia="zh-CN"/>
              </w:rPr>
              <w:t>11</w:t>
            </w:r>
            <w:r>
              <w:rPr>
                <w:rFonts w:ascii="Times New Roman" w:hAnsi="Times New Roman" w:eastAsia="楷体"/>
                <w:color w:val="auto"/>
                <w:kern w:val="0"/>
                <w:szCs w:val="21"/>
              </w:rPr>
              <w:t>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28</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污水泵</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QDX1.5，1.5KW</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8台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29</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雨水井</w:t>
            </w:r>
          </w:p>
        </w:tc>
        <w:tc>
          <w:tcPr>
            <w:tcW w:w="7807" w:type="dxa"/>
            <w:vAlign w:val="center"/>
          </w:tcPr>
          <w:p>
            <w:pPr>
              <w:widowControl/>
              <w:spacing w:line="240" w:lineRule="exact"/>
              <w:jc w:val="center"/>
              <w:rPr>
                <w:rFonts w:ascii="Times New Roman" w:hAnsi="Times New Roman" w:eastAsia="楷体"/>
                <w:color w:val="auto"/>
                <w:kern w:val="0"/>
                <w:szCs w:val="21"/>
              </w:rPr>
            </w:pP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11个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30</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污水井</w:t>
            </w:r>
          </w:p>
        </w:tc>
        <w:tc>
          <w:tcPr>
            <w:tcW w:w="7807" w:type="dxa"/>
            <w:vAlign w:val="center"/>
          </w:tcPr>
          <w:p>
            <w:pPr>
              <w:widowControl/>
              <w:spacing w:line="240" w:lineRule="exact"/>
              <w:jc w:val="center"/>
              <w:rPr>
                <w:rFonts w:ascii="Times New Roman" w:hAnsi="Times New Roman" w:eastAsia="楷体"/>
                <w:color w:val="auto"/>
                <w:kern w:val="0"/>
                <w:szCs w:val="21"/>
              </w:rPr>
            </w:pP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16个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31</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水鼻子</w:t>
            </w:r>
          </w:p>
        </w:tc>
        <w:tc>
          <w:tcPr>
            <w:tcW w:w="7807" w:type="dxa"/>
            <w:vAlign w:val="center"/>
          </w:tcPr>
          <w:p>
            <w:pPr>
              <w:widowControl/>
              <w:spacing w:line="240" w:lineRule="exact"/>
              <w:jc w:val="center"/>
              <w:rPr>
                <w:rFonts w:ascii="Times New Roman" w:hAnsi="Times New Roman" w:eastAsia="楷体"/>
                <w:color w:val="auto"/>
                <w:kern w:val="0"/>
                <w:szCs w:val="21"/>
              </w:rPr>
            </w:pP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71个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32</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化粪池</w:t>
            </w:r>
          </w:p>
        </w:tc>
        <w:tc>
          <w:tcPr>
            <w:tcW w:w="7807" w:type="dxa"/>
            <w:vAlign w:val="center"/>
          </w:tcPr>
          <w:p>
            <w:pPr>
              <w:widowControl/>
              <w:spacing w:line="240" w:lineRule="exact"/>
              <w:jc w:val="center"/>
              <w:rPr>
                <w:rFonts w:ascii="Times New Roman" w:hAnsi="Times New Roman" w:eastAsia="楷体"/>
                <w:color w:val="auto"/>
                <w:kern w:val="0"/>
                <w:szCs w:val="21"/>
              </w:rPr>
            </w:pP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33</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集水坑</w:t>
            </w:r>
          </w:p>
        </w:tc>
        <w:tc>
          <w:tcPr>
            <w:tcW w:w="7807" w:type="dxa"/>
            <w:vAlign w:val="center"/>
          </w:tcPr>
          <w:p>
            <w:pPr>
              <w:widowControl/>
              <w:spacing w:line="240" w:lineRule="exact"/>
              <w:jc w:val="center"/>
              <w:rPr>
                <w:rFonts w:ascii="Times New Roman" w:hAnsi="Times New Roman" w:eastAsia="楷体"/>
                <w:color w:val="auto"/>
                <w:kern w:val="0"/>
                <w:szCs w:val="21"/>
              </w:rPr>
            </w:pP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34</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消火栓泵</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XBCB/30-1000LX4，380V/87KW</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35</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喷淋泵</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XBCB/30-1000LX5，380V/87kw</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36</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动力配电柜</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XXL，200A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37</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变频控制装置</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SFR-M</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38</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湿式报警阀</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KXT，DN150，1.6MPa，含压力开关、警铃、延时器等</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hint="eastAsia" w:ascii="Times New Roman" w:hAnsi="Times New Roman" w:eastAsia="楷体"/>
                <w:color w:val="auto"/>
                <w:kern w:val="0"/>
                <w:szCs w:val="21"/>
                <w:lang w:val="en-US" w:eastAsia="zh-CN"/>
              </w:rPr>
              <w:t>8</w:t>
            </w:r>
            <w:r>
              <w:rPr>
                <w:rFonts w:ascii="Times New Roman" w:hAnsi="Times New Roman" w:eastAsia="楷体"/>
                <w:color w:val="auto"/>
                <w:kern w:val="0"/>
                <w:szCs w:val="21"/>
              </w:rPr>
              <w:t>套</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39</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消防水池</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200立方</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40</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消防补水泵</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Y100L-2，3KW</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41</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消防补水箱</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20m3</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42</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稳压罐</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QKYZ(W)L800，设计压力1MPa，4L/S，0.83m3</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hint="eastAsia" w:ascii="Times New Roman" w:hAnsi="Times New Roman" w:eastAsia="楷体"/>
                <w:color w:val="auto"/>
                <w:kern w:val="0"/>
                <w:szCs w:val="21"/>
                <w:lang w:val="en-US" w:eastAsia="zh-CN"/>
              </w:rPr>
              <w:t>2</w:t>
            </w:r>
            <w:r>
              <w:rPr>
                <w:rFonts w:ascii="Times New Roman" w:hAnsi="Times New Roman" w:eastAsia="楷体"/>
                <w:color w:val="auto"/>
                <w:kern w:val="0"/>
                <w:szCs w:val="21"/>
              </w:rPr>
              <w:t>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43</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消防控制显示装置</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JC-EFM01</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44</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火灾报警控制器</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JB-3208G，含消防电话总控、主控消防泵等设备</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1套</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45</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排烟风机</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5.5kw</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46</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正压送风机</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11kw</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hint="eastAsia" w:ascii="Times New Roman" w:hAnsi="Times New Roman" w:eastAsia="楷体"/>
                <w:color w:val="auto"/>
                <w:kern w:val="0"/>
                <w:szCs w:val="21"/>
                <w:lang w:val="en-US" w:eastAsia="zh-CN"/>
              </w:rPr>
              <w:t>4</w:t>
            </w:r>
            <w:r>
              <w:rPr>
                <w:rFonts w:ascii="Times New Roman" w:hAnsi="Times New Roman" w:eastAsia="楷体"/>
                <w:color w:val="auto"/>
                <w:kern w:val="0"/>
                <w:szCs w:val="21"/>
              </w:rPr>
              <w:t>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47</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七氟丙烷灭火系统</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HFC-227ea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1套</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48</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室内消火栓箱</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SG21A65，每套含1只水枪，1条水袋</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93套</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49</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室外消火栓</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DN150</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hint="eastAsia" w:ascii="Times New Roman" w:hAnsi="Times New Roman" w:eastAsia="楷体"/>
                <w:color w:val="auto"/>
                <w:kern w:val="0"/>
                <w:szCs w:val="21"/>
                <w:lang w:val="en-US" w:eastAsia="zh-CN"/>
              </w:rPr>
              <w:t>6</w:t>
            </w:r>
            <w:r>
              <w:rPr>
                <w:rFonts w:ascii="Times New Roman" w:hAnsi="Times New Roman" w:eastAsia="楷体"/>
                <w:color w:val="auto"/>
                <w:kern w:val="0"/>
                <w:szCs w:val="21"/>
              </w:rPr>
              <w:t>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50</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安全信号阀</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DN100、DN50</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w:t>
            </w:r>
            <w:r>
              <w:rPr>
                <w:rFonts w:hint="eastAsia" w:ascii="Times New Roman" w:hAnsi="Times New Roman" w:eastAsia="楷体"/>
                <w:color w:val="auto"/>
                <w:kern w:val="0"/>
                <w:szCs w:val="21"/>
                <w:lang w:val="en-US" w:eastAsia="zh-CN"/>
              </w:rPr>
              <w:t>3</w:t>
            </w:r>
            <w:r>
              <w:rPr>
                <w:rFonts w:ascii="Times New Roman" w:hAnsi="Times New Roman" w:eastAsia="楷体"/>
                <w:color w:val="auto"/>
                <w:kern w:val="0"/>
                <w:szCs w:val="21"/>
              </w:rPr>
              <w:t>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51</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水流指示器</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DN100、DN50</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52</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喷头</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DN15</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hint="eastAsia" w:ascii="Times New Roman" w:hAnsi="Times New Roman" w:eastAsia="楷体"/>
                <w:color w:val="auto"/>
                <w:kern w:val="0"/>
                <w:szCs w:val="21"/>
                <w:lang w:val="en-US" w:eastAsia="zh-CN"/>
              </w:rPr>
              <w:t>952</w:t>
            </w:r>
            <w:r>
              <w:rPr>
                <w:rFonts w:ascii="Times New Roman" w:hAnsi="Times New Roman" w:eastAsia="楷体"/>
                <w:color w:val="auto"/>
                <w:kern w:val="0"/>
                <w:szCs w:val="21"/>
              </w:rPr>
              <w:t>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53</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减压阀组</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DN150</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4套</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54</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消防水泵接合器</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DN150</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55</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点型光电感烟探测器</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Fs1015</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27</w:t>
            </w:r>
            <w:r>
              <w:rPr>
                <w:rFonts w:hint="eastAsia" w:ascii="Times New Roman" w:hAnsi="Times New Roman" w:eastAsia="楷体"/>
                <w:color w:val="auto"/>
                <w:kern w:val="0"/>
                <w:szCs w:val="21"/>
                <w:lang w:val="en-US" w:eastAsia="zh-CN"/>
              </w:rPr>
              <w:t>6</w:t>
            </w:r>
            <w:r>
              <w:rPr>
                <w:rFonts w:ascii="Times New Roman" w:hAnsi="Times New Roman" w:eastAsia="楷体"/>
                <w:color w:val="auto"/>
                <w:kern w:val="0"/>
                <w:szCs w:val="21"/>
              </w:rPr>
              <w:t>套</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56</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吸顶式扬声器</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FSN-FG01</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48套</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57</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手动报警按钮</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LD2000E-A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67套</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58</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声光报警器</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AFN-Fs10</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41只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59</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编码型信号单输入模块</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AFN-Fs1229</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27只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60</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单输入单输出控制模块</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AFN-Fs1230</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71只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61</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总线隔离模块</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AFN-M1207</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62</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消防电话分机（带座）</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AFN-FH06</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63</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消防电话分机（移动式）</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AFN-FH03</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64</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灭火器</w:t>
            </w:r>
          </w:p>
        </w:tc>
        <w:tc>
          <w:tcPr>
            <w:tcW w:w="7807" w:type="dxa"/>
            <w:vAlign w:val="center"/>
          </w:tcPr>
          <w:p>
            <w:pPr>
              <w:widowControl/>
              <w:spacing w:line="240" w:lineRule="exact"/>
              <w:jc w:val="center"/>
              <w:rPr>
                <w:rFonts w:ascii="Times New Roman" w:hAnsi="Times New Roman" w:eastAsia="楷体"/>
                <w:color w:val="auto"/>
                <w:kern w:val="0"/>
                <w:szCs w:val="21"/>
              </w:rPr>
            </w:pP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327只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4400" w:type="dxa"/>
            <w:gridSpan w:val="7"/>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65</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电梯</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型号：MAX；额定载重：1000kg；额定速度：1.75m/s；制造方式：并联；制造编号：12226533002；生产日期：2012年12月；</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66</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电梯控制柜</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型号：MC；形式：微机控制；制造编号：12226533002；生产日期：2012年12月；</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2组</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67</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外挂电梯</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型号：WSC-100-175-A;速度：1.75m/s；载重量：1000KG;出厂日期：2017年9月</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4400" w:type="dxa"/>
            <w:gridSpan w:val="7"/>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监控设备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68</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监控设备</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品牌： 海康威视</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1套</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4400" w:type="dxa"/>
            <w:gridSpan w:val="7"/>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道闸、伸缩门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69</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伸缩门（大门）</w:t>
            </w:r>
          </w:p>
        </w:tc>
        <w:tc>
          <w:tcPr>
            <w:tcW w:w="7807" w:type="dxa"/>
            <w:vAlign w:val="center"/>
          </w:tcPr>
          <w:p>
            <w:pPr>
              <w:widowControl/>
              <w:spacing w:line="240" w:lineRule="exact"/>
              <w:jc w:val="center"/>
              <w:rPr>
                <w:rFonts w:ascii="Times New Roman" w:hAnsi="Times New Roman" w:eastAsia="楷体"/>
                <w:color w:val="auto"/>
                <w:kern w:val="0"/>
                <w:szCs w:val="21"/>
              </w:rPr>
            </w:pP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1道</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70</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伸缩门（侧门）</w:t>
            </w:r>
          </w:p>
        </w:tc>
        <w:tc>
          <w:tcPr>
            <w:tcW w:w="7807" w:type="dxa"/>
            <w:vAlign w:val="center"/>
          </w:tcPr>
          <w:p>
            <w:pPr>
              <w:widowControl/>
              <w:spacing w:line="240" w:lineRule="exact"/>
              <w:jc w:val="center"/>
              <w:rPr>
                <w:rFonts w:ascii="Times New Roman" w:hAnsi="Times New Roman" w:eastAsia="楷体"/>
                <w:color w:val="auto"/>
                <w:kern w:val="0"/>
                <w:szCs w:val="21"/>
              </w:rPr>
            </w:pP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1道</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71</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道闸</w:t>
            </w:r>
          </w:p>
        </w:tc>
        <w:tc>
          <w:tcPr>
            <w:tcW w:w="7807" w:type="dxa"/>
            <w:vAlign w:val="center"/>
          </w:tcPr>
          <w:p>
            <w:pPr>
              <w:widowControl/>
              <w:spacing w:line="240" w:lineRule="exact"/>
              <w:jc w:val="center"/>
              <w:rPr>
                <w:rFonts w:ascii="Times New Roman" w:hAnsi="Times New Roman" w:eastAsia="楷体"/>
                <w:color w:val="auto"/>
                <w:kern w:val="0"/>
                <w:szCs w:val="21"/>
              </w:rPr>
            </w:pP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4道</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4400" w:type="dxa"/>
            <w:gridSpan w:val="7"/>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照明系统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5"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72</w:t>
            </w:r>
          </w:p>
        </w:tc>
        <w:tc>
          <w:tcPr>
            <w:tcW w:w="2525"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高杆灯</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65W</w:t>
            </w:r>
          </w:p>
        </w:tc>
        <w:tc>
          <w:tcPr>
            <w:tcW w:w="1718"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8盏</w:t>
            </w:r>
          </w:p>
        </w:tc>
        <w:tc>
          <w:tcPr>
            <w:tcW w:w="1435" w:type="dxa"/>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5"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73</w:t>
            </w:r>
          </w:p>
        </w:tc>
        <w:tc>
          <w:tcPr>
            <w:tcW w:w="2525"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草坪灯</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7W</w:t>
            </w:r>
          </w:p>
        </w:tc>
        <w:tc>
          <w:tcPr>
            <w:tcW w:w="1718"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14盏</w:t>
            </w:r>
          </w:p>
        </w:tc>
        <w:tc>
          <w:tcPr>
            <w:tcW w:w="1435" w:type="dxa"/>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5"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74</w:t>
            </w:r>
          </w:p>
        </w:tc>
        <w:tc>
          <w:tcPr>
            <w:tcW w:w="2525"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格珊灯</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T8-18W</w:t>
            </w:r>
          </w:p>
        </w:tc>
        <w:tc>
          <w:tcPr>
            <w:tcW w:w="1718"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w:t>
            </w:r>
            <w:r>
              <w:rPr>
                <w:rFonts w:hint="eastAsia" w:ascii="Times New Roman" w:hAnsi="Times New Roman" w:eastAsia="楷体"/>
                <w:color w:val="auto"/>
                <w:kern w:val="0"/>
                <w:szCs w:val="21"/>
                <w:lang w:val="en-US" w:eastAsia="zh-CN"/>
              </w:rPr>
              <w:t>91</w:t>
            </w:r>
            <w:r>
              <w:rPr>
                <w:rFonts w:ascii="Times New Roman" w:hAnsi="Times New Roman" w:eastAsia="楷体"/>
                <w:color w:val="auto"/>
                <w:kern w:val="0"/>
                <w:szCs w:val="21"/>
              </w:rPr>
              <w:t>盏</w:t>
            </w:r>
          </w:p>
        </w:tc>
        <w:tc>
          <w:tcPr>
            <w:tcW w:w="1435" w:type="dxa"/>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5"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75</w:t>
            </w:r>
          </w:p>
        </w:tc>
        <w:tc>
          <w:tcPr>
            <w:tcW w:w="2525"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节能灯</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7W、23W</w:t>
            </w:r>
          </w:p>
        </w:tc>
        <w:tc>
          <w:tcPr>
            <w:tcW w:w="1718"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790盏</w:t>
            </w:r>
          </w:p>
        </w:tc>
        <w:tc>
          <w:tcPr>
            <w:tcW w:w="1435" w:type="dxa"/>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5"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76</w:t>
            </w:r>
          </w:p>
        </w:tc>
        <w:tc>
          <w:tcPr>
            <w:tcW w:w="2525"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一体灯</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T5-18W</w:t>
            </w:r>
          </w:p>
        </w:tc>
        <w:tc>
          <w:tcPr>
            <w:tcW w:w="1718"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w:t>
            </w:r>
            <w:r>
              <w:rPr>
                <w:rFonts w:hint="eastAsia" w:ascii="Times New Roman" w:hAnsi="Times New Roman" w:eastAsia="楷体"/>
                <w:color w:val="auto"/>
                <w:kern w:val="0"/>
                <w:szCs w:val="21"/>
                <w:lang w:val="en-US" w:eastAsia="zh-CN"/>
              </w:rPr>
              <w:t>43</w:t>
            </w:r>
            <w:r>
              <w:rPr>
                <w:rFonts w:ascii="Times New Roman" w:hAnsi="Times New Roman" w:eastAsia="楷体"/>
                <w:color w:val="auto"/>
                <w:kern w:val="0"/>
                <w:szCs w:val="21"/>
              </w:rPr>
              <w:t>盏</w:t>
            </w:r>
          </w:p>
        </w:tc>
        <w:tc>
          <w:tcPr>
            <w:tcW w:w="1435" w:type="dxa"/>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5"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77</w:t>
            </w:r>
          </w:p>
        </w:tc>
        <w:tc>
          <w:tcPr>
            <w:tcW w:w="2525"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双灯管日光灯</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hint="eastAsia" w:ascii="Times New Roman" w:hAnsi="Times New Roman" w:eastAsia="楷体"/>
                <w:color w:val="auto"/>
                <w:kern w:val="0"/>
                <w:szCs w:val="21"/>
                <w:lang w:val="en-US" w:eastAsia="zh-CN"/>
              </w:rPr>
              <w:t>LED</w:t>
            </w:r>
            <w:r>
              <w:rPr>
                <w:rFonts w:ascii="Times New Roman" w:hAnsi="Times New Roman" w:eastAsia="楷体"/>
                <w:color w:val="auto"/>
                <w:kern w:val="0"/>
                <w:szCs w:val="21"/>
              </w:rPr>
              <w:t>T8-</w:t>
            </w:r>
            <w:r>
              <w:rPr>
                <w:rFonts w:hint="eastAsia" w:ascii="Times New Roman" w:hAnsi="Times New Roman" w:eastAsia="楷体"/>
                <w:color w:val="auto"/>
                <w:kern w:val="0"/>
                <w:szCs w:val="21"/>
                <w:lang w:val="en-US" w:eastAsia="zh-CN"/>
              </w:rPr>
              <w:t>15</w:t>
            </w:r>
            <w:r>
              <w:rPr>
                <w:rFonts w:ascii="Times New Roman" w:hAnsi="Times New Roman" w:eastAsia="楷体"/>
                <w:color w:val="auto"/>
                <w:kern w:val="0"/>
                <w:szCs w:val="21"/>
              </w:rPr>
              <w:t>w</w:t>
            </w:r>
          </w:p>
        </w:tc>
        <w:tc>
          <w:tcPr>
            <w:tcW w:w="1718"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76盏</w:t>
            </w:r>
          </w:p>
        </w:tc>
        <w:tc>
          <w:tcPr>
            <w:tcW w:w="1435" w:type="dxa"/>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5"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78</w:t>
            </w:r>
          </w:p>
        </w:tc>
        <w:tc>
          <w:tcPr>
            <w:tcW w:w="2525"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平板灯</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LED-4</w:t>
            </w:r>
            <w:r>
              <w:rPr>
                <w:rFonts w:hint="eastAsia" w:ascii="Times New Roman" w:hAnsi="Times New Roman" w:eastAsia="楷体"/>
                <w:color w:val="auto"/>
                <w:kern w:val="0"/>
                <w:szCs w:val="21"/>
                <w:lang w:val="en-US" w:eastAsia="zh-CN"/>
              </w:rPr>
              <w:t>8</w:t>
            </w:r>
            <w:r>
              <w:rPr>
                <w:rFonts w:ascii="Times New Roman" w:hAnsi="Times New Roman" w:eastAsia="楷体"/>
                <w:color w:val="auto"/>
                <w:kern w:val="0"/>
                <w:szCs w:val="21"/>
              </w:rPr>
              <w:t>W</w:t>
            </w:r>
          </w:p>
        </w:tc>
        <w:tc>
          <w:tcPr>
            <w:tcW w:w="1718"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w:t>
            </w:r>
            <w:r>
              <w:rPr>
                <w:rFonts w:hint="eastAsia" w:ascii="Times New Roman" w:hAnsi="Times New Roman" w:eastAsia="楷体"/>
                <w:color w:val="auto"/>
                <w:kern w:val="0"/>
                <w:szCs w:val="21"/>
                <w:lang w:val="en-US" w:eastAsia="zh-CN"/>
              </w:rPr>
              <w:t>9</w:t>
            </w:r>
            <w:r>
              <w:rPr>
                <w:rFonts w:ascii="Times New Roman" w:hAnsi="Times New Roman" w:eastAsia="楷体"/>
                <w:color w:val="auto"/>
                <w:kern w:val="0"/>
                <w:szCs w:val="21"/>
              </w:rPr>
              <w:t>盏</w:t>
            </w:r>
          </w:p>
        </w:tc>
        <w:tc>
          <w:tcPr>
            <w:tcW w:w="1435" w:type="dxa"/>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5"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79</w:t>
            </w:r>
          </w:p>
        </w:tc>
        <w:tc>
          <w:tcPr>
            <w:tcW w:w="2525"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筒灯</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LED-9W</w:t>
            </w:r>
          </w:p>
        </w:tc>
        <w:tc>
          <w:tcPr>
            <w:tcW w:w="1718"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185盏</w:t>
            </w:r>
          </w:p>
        </w:tc>
        <w:tc>
          <w:tcPr>
            <w:tcW w:w="1435" w:type="dxa"/>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5"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80</w:t>
            </w:r>
          </w:p>
        </w:tc>
        <w:tc>
          <w:tcPr>
            <w:tcW w:w="2525"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筒灯</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LED-18W、LED-3W、LED-16W</w:t>
            </w:r>
          </w:p>
        </w:tc>
        <w:tc>
          <w:tcPr>
            <w:tcW w:w="1718" w:type="dxa"/>
            <w:gridSpan w:val="2"/>
            <w:vAlign w:val="center"/>
          </w:tcPr>
          <w:p>
            <w:pPr>
              <w:widowControl/>
              <w:spacing w:line="240" w:lineRule="exact"/>
              <w:jc w:val="center"/>
              <w:rPr>
                <w:rFonts w:ascii="Times New Roman" w:hAnsi="Times New Roman" w:eastAsia="楷体"/>
                <w:color w:val="auto"/>
                <w:kern w:val="0"/>
                <w:szCs w:val="21"/>
              </w:rPr>
            </w:pPr>
            <w:r>
              <w:rPr>
                <w:rFonts w:hint="eastAsia" w:ascii="Times New Roman" w:hAnsi="Times New Roman" w:eastAsia="楷体"/>
                <w:color w:val="auto"/>
                <w:kern w:val="0"/>
                <w:szCs w:val="21"/>
                <w:lang w:val="en-US" w:eastAsia="zh-CN"/>
              </w:rPr>
              <w:t>90</w:t>
            </w:r>
            <w:r>
              <w:rPr>
                <w:rFonts w:ascii="Times New Roman" w:hAnsi="Times New Roman" w:eastAsia="楷体"/>
                <w:color w:val="auto"/>
                <w:kern w:val="0"/>
                <w:szCs w:val="21"/>
              </w:rPr>
              <w:t>盏</w:t>
            </w:r>
          </w:p>
        </w:tc>
        <w:tc>
          <w:tcPr>
            <w:tcW w:w="1435" w:type="dxa"/>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5"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81</w:t>
            </w:r>
          </w:p>
        </w:tc>
        <w:tc>
          <w:tcPr>
            <w:tcW w:w="2525"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射灯</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35W</w:t>
            </w:r>
          </w:p>
        </w:tc>
        <w:tc>
          <w:tcPr>
            <w:tcW w:w="1718"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35盏</w:t>
            </w:r>
          </w:p>
        </w:tc>
        <w:tc>
          <w:tcPr>
            <w:tcW w:w="1435" w:type="dxa"/>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5"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82</w:t>
            </w:r>
          </w:p>
        </w:tc>
        <w:tc>
          <w:tcPr>
            <w:tcW w:w="2525"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灯珠</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12V-35W</w:t>
            </w:r>
          </w:p>
        </w:tc>
        <w:tc>
          <w:tcPr>
            <w:tcW w:w="1718"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12盏</w:t>
            </w:r>
          </w:p>
        </w:tc>
        <w:tc>
          <w:tcPr>
            <w:tcW w:w="1435" w:type="dxa"/>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5"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83</w:t>
            </w:r>
          </w:p>
        </w:tc>
        <w:tc>
          <w:tcPr>
            <w:tcW w:w="2525"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U形灯</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36W</w:t>
            </w:r>
          </w:p>
        </w:tc>
        <w:tc>
          <w:tcPr>
            <w:tcW w:w="1718"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12盏</w:t>
            </w:r>
          </w:p>
        </w:tc>
        <w:tc>
          <w:tcPr>
            <w:tcW w:w="1435" w:type="dxa"/>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5"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84</w:t>
            </w:r>
          </w:p>
        </w:tc>
        <w:tc>
          <w:tcPr>
            <w:tcW w:w="2525"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吸顶灯</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LED-4W</w:t>
            </w:r>
          </w:p>
        </w:tc>
        <w:tc>
          <w:tcPr>
            <w:tcW w:w="1718"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20盏</w:t>
            </w:r>
          </w:p>
        </w:tc>
        <w:tc>
          <w:tcPr>
            <w:tcW w:w="1435" w:type="dxa"/>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4400" w:type="dxa"/>
            <w:gridSpan w:val="7"/>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会议音响系统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5"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85</w:t>
            </w:r>
          </w:p>
        </w:tc>
        <w:tc>
          <w:tcPr>
            <w:tcW w:w="2525"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会议音箱设备</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1号、2号</w:t>
            </w:r>
            <w:r>
              <w:rPr>
                <w:rFonts w:hint="eastAsia" w:ascii="Times New Roman" w:hAnsi="Times New Roman" w:eastAsia="楷体"/>
                <w:color w:val="auto"/>
                <w:kern w:val="0"/>
                <w:szCs w:val="21"/>
              </w:rPr>
              <w:t>、</w:t>
            </w:r>
            <w:r>
              <w:rPr>
                <w:rFonts w:ascii="Times New Roman" w:hAnsi="Times New Roman" w:eastAsia="楷体"/>
                <w:color w:val="auto"/>
                <w:kern w:val="0"/>
                <w:szCs w:val="21"/>
              </w:rPr>
              <w:t>3号会议室，大礼堂</w:t>
            </w:r>
          </w:p>
        </w:tc>
        <w:tc>
          <w:tcPr>
            <w:tcW w:w="1718"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4套</w:t>
            </w:r>
          </w:p>
        </w:tc>
        <w:tc>
          <w:tcPr>
            <w:tcW w:w="1435" w:type="dxa"/>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4400" w:type="dxa"/>
            <w:gridSpan w:val="7"/>
            <w:vAlign w:val="center"/>
          </w:tcPr>
          <w:p>
            <w:pPr>
              <w:widowControl/>
              <w:spacing w:line="240" w:lineRule="exact"/>
              <w:jc w:val="center"/>
              <w:rPr>
                <w:rFonts w:hint="default" w:ascii="Times New Roman" w:hAnsi="Times New Roman" w:eastAsia="楷体"/>
                <w:color w:val="auto"/>
                <w:kern w:val="0"/>
                <w:szCs w:val="21"/>
                <w:lang w:val="en-US" w:eastAsia="zh-CN"/>
              </w:rPr>
            </w:pPr>
            <w:r>
              <w:rPr>
                <w:rFonts w:hint="eastAsia" w:ascii="Times New Roman" w:hAnsi="Times New Roman" w:eastAsia="楷体"/>
                <w:color w:val="auto"/>
                <w:kern w:val="0"/>
                <w:szCs w:val="21"/>
                <w:lang w:val="en-US" w:eastAsia="zh-CN"/>
              </w:rPr>
              <w:t>发电设备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5" w:type="dxa"/>
            <w:gridSpan w:val="2"/>
            <w:vAlign w:val="center"/>
          </w:tcPr>
          <w:p>
            <w:pPr>
              <w:widowControl/>
              <w:spacing w:line="240" w:lineRule="exact"/>
              <w:jc w:val="center"/>
              <w:rPr>
                <w:rFonts w:hint="default" w:ascii="Times New Roman" w:hAnsi="Times New Roman" w:eastAsia="楷体"/>
                <w:color w:val="auto"/>
                <w:kern w:val="0"/>
                <w:szCs w:val="21"/>
                <w:lang w:val="en-US" w:eastAsia="zh-CN"/>
              </w:rPr>
            </w:pPr>
            <w:r>
              <w:rPr>
                <w:rFonts w:hint="eastAsia" w:ascii="Times New Roman" w:hAnsi="Times New Roman" w:eastAsia="楷体"/>
                <w:color w:val="auto"/>
                <w:kern w:val="0"/>
                <w:szCs w:val="21"/>
                <w:lang w:val="en-US" w:eastAsia="zh-CN"/>
              </w:rPr>
              <w:t>86</w:t>
            </w:r>
          </w:p>
        </w:tc>
        <w:tc>
          <w:tcPr>
            <w:tcW w:w="2525" w:type="dxa"/>
            <w:vAlign w:val="center"/>
          </w:tcPr>
          <w:p>
            <w:pPr>
              <w:widowControl/>
              <w:spacing w:line="240" w:lineRule="exact"/>
              <w:jc w:val="center"/>
              <w:rPr>
                <w:rFonts w:hint="default" w:ascii="Times New Roman" w:hAnsi="Times New Roman" w:eastAsia="楷体"/>
                <w:color w:val="auto"/>
                <w:kern w:val="0"/>
                <w:szCs w:val="21"/>
                <w:lang w:val="en-US" w:eastAsia="zh-CN"/>
              </w:rPr>
            </w:pPr>
            <w:r>
              <w:rPr>
                <w:rFonts w:hint="eastAsia" w:ascii="Times New Roman" w:hAnsi="Times New Roman" w:eastAsia="楷体"/>
                <w:color w:val="auto"/>
                <w:kern w:val="0"/>
                <w:szCs w:val="21"/>
                <w:lang w:val="en-US" w:eastAsia="zh-CN"/>
              </w:rPr>
              <w:t>太阳能光伏发电设备</w:t>
            </w:r>
          </w:p>
        </w:tc>
        <w:tc>
          <w:tcPr>
            <w:tcW w:w="7807" w:type="dxa"/>
            <w:vAlign w:val="center"/>
          </w:tcPr>
          <w:p>
            <w:pPr>
              <w:widowControl/>
              <w:spacing w:line="240" w:lineRule="exact"/>
              <w:jc w:val="center"/>
              <w:rPr>
                <w:rFonts w:hint="default" w:ascii="Times New Roman" w:hAnsi="Times New Roman" w:eastAsia="楷体"/>
                <w:color w:val="auto"/>
                <w:kern w:val="0"/>
                <w:szCs w:val="21"/>
                <w:lang w:val="en-US" w:eastAsia="zh-CN"/>
              </w:rPr>
            </w:pPr>
            <w:r>
              <w:rPr>
                <w:rFonts w:hint="eastAsia" w:ascii="Times New Roman" w:hAnsi="Times New Roman" w:eastAsia="楷体"/>
                <w:color w:val="auto"/>
                <w:kern w:val="0"/>
                <w:szCs w:val="21"/>
                <w:lang w:val="en-US" w:eastAsia="zh-CN"/>
              </w:rPr>
              <w:t>20千瓦光伏发电机组</w:t>
            </w:r>
          </w:p>
        </w:tc>
        <w:tc>
          <w:tcPr>
            <w:tcW w:w="1718" w:type="dxa"/>
            <w:gridSpan w:val="2"/>
            <w:vAlign w:val="center"/>
          </w:tcPr>
          <w:p>
            <w:pPr>
              <w:widowControl/>
              <w:spacing w:line="240" w:lineRule="exact"/>
              <w:jc w:val="center"/>
              <w:rPr>
                <w:rFonts w:hint="default" w:ascii="Times New Roman" w:hAnsi="Times New Roman" w:eastAsia="楷体"/>
                <w:color w:val="auto"/>
                <w:kern w:val="0"/>
                <w:szCs w:val="21"/>
                <w:lang w:val="en-US" w:eastAsia="zh-CN"/>
              </w:rPr>
            </w:pPr>
            <w:r>
              <w:rPr>
                <w:rFonts w:hint="eastAsia" w:ascii="Times New Roman" w:hAnsi="Times New Roman" w:eastAsia="楷体"/>
                <w:color w:val="auto"/>
                <w:kern w:val="0"/>
                <w:szCs w:val="21"/>
                <w:lang w:val="en-US" w:eastAsia="zh-CN"/>
              </w:rPr>
              <w:t>1套</w:t>
            </w:r>
          </w:p>
        </w:tc>
        <w:tc>
          <w:tcPr>
            <w:tcW w:w="1435" w:type="dxa"/>
            <w:vAlign w:val="center"/>
          </w:tcPr>
          <w:p>
            <w:pPr>
              <w:widowControl/>
              <w:spacing w:line="240" w:lineRule="exact"/>
              <w:jc w:val="center"/>
              <w:rPr>
                <w:rFonts w:ascii="Times New Roman" w:hAnsi="Times New Roman" w:eastAsia="楷体"/>
                <w:color w:val="auto"/>
                <w:kern w:val="0"/>
                <w:szCs w:val="21"/>
              </w:rPr>
            </w:pPr>
          </w:p>
        </w:tc>
      </w:tr>
    </w:tbl>
    <w:p>
      <w:pPr>
        <w:snapToGrid w:val="0"/>
        <w:spacing w:line="590" w:lineRule="exact"/>
        <w:rPr>
          <w:rFonts w:ascii="Times New Roman" w:hAnsi="Times New Roman" w:eastAsia="楷体_GB2312"/>
          <w:bCs/>
          <w:color w:val="auto"/>
          <w:kern w:val="0"/>
          <w:sz w:val="28"/>
          <w:szCs w:val="28"/>
        </w:rPr>
      </w:pPr>
    </w:p>
    <w:p>
      <w:pPr>
        <w:snapToGrid w:val="0"/>
        <w:spacing w:line="590" w:lineRule="exact"/>
        <w:rPr>
          <w:rFonts w:ascii="Times New Roman" w:hAnsi="Times New Roman" w:eastAsia="楷体_GB2312"/>
          <w:bCs/>
          <w:color w:val="auto"/>
          <w:kern w:val="0"/>
          <w:sz w:val="28"/>
          <w:szCs w:val="28"/>
        </w:rPr>
      </w:pPr>
    </w:p>
    <w:p>
      <w:pPr>
        <w:snapToGrid w:val="0"/>
        <w:spacing w:line="590" w:lineRule="exact"/>
        <w:rPr>
          <w:rFonts w:ascii="Times New Roman" w:hAnsi="Times New Roman" w:eastAsia="楷体_GB2312"/>
          <w:bCs/>
          <w:color w:val="auto"/>
          <w:kern w:val="0"/>
          <w:sz w:val="28"/>
          <w:szCs w:val="28"/>
        </w:rPr>
      </w:pPr>
    </w:p>
    <w:p>
      <w:pPr>
        <w:snapToGrid w:val="0"/>
        <w:spacing w:line="590" w:lineRule="exact"/>
        <w:rPr>
          <w:rFonts w:ascii="Times New Roman" w:hAnsi="Times New Roman" w:eastAsia="楷体_GB2312"/>
          <w:bCs/>
          <w:color w:val="auto"/>
          <w:kern w:val="0"/>
          <w:sz w:val="28"/>
          <w:szCs w:val="28"/>
        </w:rPr>
      </w:pPr>
    </w:p>
    <w:p>
      <w:pPr>
        <w:snapToGrid w:val="0"/>
        <w:spacing w:line="590" w:lineRule="exact"/>
        <w:rPr>
          <w:rFonts w:ascii="Times New Roman" w:hAnsi="Times New Roman" w:eastAsia="楷体_GB2312"/>
          <w:bCs/>
          <w:color w:val="auto"/>
          <w:kern w:val="0"/>
          <w:sz w:val="28"/>
          <w:szCs w:val="28"/>
        </w:rPr>
      </w:pPr>
    </w:p>
    <w:p>
      <w:pPr>
        <w:snapToGrid w:val="0"/>
        <w:spacing w:line="590" w:lineRule="exact"/>
        <w:rPr>
          <w:rFonts w:ascii="Times New Roman" w:hAnsi="Times New Roman" w:eastAsia="楷体_GB2312"/>
          <w:bCs/>
          <w:color w:val="auto"/>
          <w:kern w:val="0"/>
          <w:sz w:val="28"/>
          <w:szCs w:val="28"/>
        </w:rPr>
      </w:pPr>
    </w:p>
    <w:p>
      <w:pPr>
        <w:snapToGrid w:val="0"/>
        <w:spacing w:line="590" w:lineRule="exact"/>
        <w:rPr>
          <w:rFonts w:ascii="Times New Roman" w:hAnsi="Times New Roman" w:eastAsia="楷体_GB2312"/>
          <w:bCs/>
          <w:color w:val="auto"/>
          <w:kern w:val="0"/>
          <w:sz w:val="28"/>
          <w:szCs w:val="28"/>
        </w:rPr>
      </w:pPr>
    </w:p>
    <w:p>
      <w:pPr>
        <w:snapToGrid w:val="0"/>
        <w:spacing w:line="590" w:lineRule="exact"/>
        <w:rPr>
          <w:rFonts w:ascii="Times New Roman" w:hAnsi="Times New Roman" w:eastAsia="楷体_GB2312"/>
          <w:bCs/>
          <w:color w:val="auto"/>
          <w:kern w:val="0"/>
          <w:sz w:val="28"/>
          <w:szCs w:val="28"/>
        </w:rPr>
      </w:pPr>
    </w:p>
    <w:p>
      <w:pPr>
        <w:tabs>
          <w:tab w:val="left" w:pos="8085"/>
        </w:tabs>
        <w:snapToGrid w:val="0"/>
        <w:spacing w:line="590" w:lineRule="exact"/>
        <w:rPr>
          <w:rFonts w:ascii="Times New Roman" w:hAnsi="Times New Roman" w:eastAsia="楷体_GB2312"/>
          <w:bCs/>
          <w:color w:val="auto"/>
          <w:kern w:val="0"/>
          <w:sz w:val="28"/>
          <w:szCs w:val="28"/>
        </w:rPr>
      </w:pPr>
      <w:r>
        <w:rPr>
          <w:rFonts w:ascii="Times New Roman" w:hAnsi="Times New Roman" w:eastAsia="楷体_GB2312"/>
          <w:bCs/>
          <w:color w:val="auto"/>
          <w:kern w:val="0"/>
          <w:sz w:val="28"/>
          <w:szCs w:val="28"/>
        </w:rPr>
        <w:tab/>
      </w:r>
    </w:p>
    <w:p>
      <w:pPr>
        <w:tabs>
          <w:tab w:val="left" w:pos="8085"/>
        </w:tabs>
        <w:snapToGrid w:val="0"/>
        <w:spacing w:line="590" w:lineRule="exact"/>
        <w:rPr>
          <w:rFonts w:ascii="Times New Roman" w:hAnsi="Times New Roman" w:eastAsia="楷体_GB2312"/>
          <w:bCs/>
          <w:color w:val="auto"/>
          <w:kern w:val="0"/>
          <w:sz w:val="28"/>
          <w:szCs w:val="28"/>
        </w:rPr>
      </w:pPr>
    </w:p>
    <w:p>
      <w:pPr>
        <w:tabs>
          <w:tab w:val="left" w:pos="8085"/>
        </w:tabs>
        <w:snapToGrid w:val="0"/>
        <w:spacing w:line="590" w:lineRule="exact"/>
        <w:rPr>
          <w:rFonts w:ascii="Times New Roman" w:hAnsi="Times New Roman" w:eastAsia="楷体_GB2312"/>
          <w:bCs/>
          <w:color w:val="auto"/>
          <w:kern w:val="0"/>
          <w:sz w:val="28"/>
          <w:szCs w:val="28"/>
        </w:rPr>
      </w:pPr>
    </w:p>
    <w:p>
      <w:pPr>
        <w:snapToGrid w:val="0"/>
        <w:spacing w:line="660" w:lineRule="exact"/>
        <w:rPr>
          <w:rFonts w:ascii="Times New Roman" w:hAnsi="Times New Roman" w:eastAsia="方正小标宋简体"/>
          <w:color w:val="auto"/>
          <w:kern w:val="0"/>
          <w:sz w:val="44"/>
          <w:szCs w:val="44"/>
        </w:rPr>
      </w:pPr>
      <w:r>
        <w:rPr>
          <w:rFonts w:ascii="Times New Roman" w:hAnsi="Times New Roman" w:eastAsia="黑体"/>
          <w:color w:val="auto"/>
          <w:sz w:val="32"/>
          <w:szCs w:val="32"/>
        </w:rPr>
        <w:t>表2</w:t>
      </w:r>
    </w:p>
    <w:p>
      <w:pPr>
        <w:snapToGrid w:val="0"/>
        <w:spacing w:line="660" w:lineRule="exact"/>
        <w:jc w:val="center"/>
        <w:rPr>
          <w:rFonts w:ascii="Times New Roman" w:hAnsi="Times New Roman" w:eastAsia="方正小标宋简体"/>
          <w:color w:val="auto"/>
          <w:kern w:val="0"/>
          <w:sz w:val="44"/>
          <w:szCs w:val="44"/>
        </w:rPr>
      </w:pPr>
      <w:r>
        <w:rPr>
          <w:rFonts w:ascii="Times New Roman" w:hAnsi="Times New Roman" w:eastAsia="方正小标宋简体"/>
          <w:color w:val="auto"/>
          <w:kern w:val="0"/>
          <w:sz w:val="44"/>
          <w:szCs w:val="44"/>
        </w:rPr>
        <w:t>市政府机关办公区设施、设备清单</w:t>
      </w:r>
    </w:p>
    <w:p>
      <w:pPr>
        <w:snapToGrid w:val="0"/>
        <w:spacing w:line="660" w:lineRule="exact"/>
        <w:jc w:val="center"/>
        <w:rPr>
          <w:rFonts w:ascii="Times New Roman" w:hAnsi="Times New Roman" w:eastAsia="方正小标宋简体"/>
          <w:color w:val="auto"/>
          <w:kern w:val="0"/>
          <w:sz w:val="44"/>
          <w:szCs w:val="44"/>
        </w:rPr>
      </w:pPr>
    </w:p>
    <w:tbl>
      <w:tblPr>
        <w:tblStyle w:val="49"/>
        <w:tblW w:w="14415" w:type="dxa"/>
        <w:tblInd w:w="91" w:type="dxa"/>
        <w:tblLayout w:type="fixed"/>
        <w:tblCellMar>
          <w:top w:w="0" w:type="dxa"/>
          <w:left w:w="108" w:type="dxa"/>
          <w:bottom w:w="0" w:type="dxa"/>
          <w:right w:w="108" w:type="dxa"/>
        </w:tblCellMar>
      </w:tblPr>
      <w:tblGrid>
        <w:gridCol w:w="885"/>
        <w:gridCol w:w="2550"/>
        <w:gridCol w:w="10"/>
        <w:gridCol w:w="7640"/>
        <w:gridCol w:w="1820"/>
        <w:gridCol w:w="1510"/>
      </w:tblGrid>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黑体"/>
                <w:bCs/>
                <w:color w:val="auto"/>
                <w:kern w:val="0"/>
                <w:szCs w:val="21"/>
              </w:rPr>
            </w:pPr>
            <w:r>
              <w:rPr>
                <w:rFonts w:ascii="Times New Roman" w:hAnsi="Times New Roman" w:eastAsia="黑体"/>
                <w:bCs/>
                <w:color w:val="auto"/>
                <w:kern w:val="0"/>
                <w:szCs w:val="21"/>
              </w:rPr>
              <w:t>序号</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bCs/>
                <w:color w:val="auto"/>
                <w:kern w:val="0"/>
                <w:szCs w:val="21"/>
              </w:rPr>
            </w:pPr>
            <w:r>
              <w:rPr>
                <w:rFonts w:ascii="Times New Roman" w:hAnsi="Times New Roman" w:eastAsia="黑体"/>
                <w:bCs/>
                <w:color w:val="auto"/>
                <w:kern w:val="0"/>
                <w:szCs w:val="21"/>
              </w:rPr>
              <w:t>项目名称</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bCs/>
                <w:color w:val="auto"/>
                <w:kern w:val="0"/>
                <w:szCs w:val="21"/>
              </w:rPr>
            </w:pPr>
            <w:r>
              <w:rPr>
                <w:rFonts w:ascii="Times New Roman" w:hAnsi="Times New Roman" w:eastAsia="黑体"/>
                <w:bCs/>
                <w:color w:val="auto"/>
                <w:kern w:val="0"/>
                <w:szCs w:val="21"/>
              </w:rPr>
              <w:t>项目特征及内容</w:t>
            </w:r>
          </w:p>
        </w:tc>
        <w:tc>
          <w:tcPr>
            <w:tcW w:w="1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bCs/>
                <w:color w:val="auto"/>
                <w:kern w:val="0"/>
                <w:szCs w:val="21"/>
              </w:rPr>
            </w:pPr>
            <w:r>
              <w:rPr>
                <w:rFonts w:ascii="Times New Roman" w:hAnsi="Times New Roman" w:eastAsia="黑体"/>
                <w:bCs/>
                <w:color w:val="auto"/>
                <w:kern w:val="0"/>
                <w:szCs w:val="21"/>
              </w:rPr>
              <w:t>数量</w:t>
            </w:r>
          </w:p>
        </w:tc>
        <w:tc>
          <w:tcPr>
            <w:tcW w:w="15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bCs/>
                <w:color w:val="auto"/>
                <w:kern w:val="0"/>
                <w:szCs w:val="21"/>
              </w:rPr>
            </w:pPr>
            <w:r>
              <w:rPr>
                <w:rFonts w:ascii="Times New Roman" w:hAnsi="Times New Roman" w:eastAsia="黑体"/>
                <w:bCs/>
                <w:color w:val="auto"/>
                <w:kern w:val="0"/>
                <w:szCs w:val="21"/>
              </w:rPr>
              <w:t>备注</w:t>
            </w:r>
          </w:p>
        </w:tc>
      </w:tr>
      <w:tr>
        <w:tblPrEx>
          <w:tblLayout w:type="fixed"/>
          <w:tblCellMar>
            <w:top w:w="0" w:type="dxa"/>
            <w:left w:w="108" w:type="dxa"/>
            <w:bottom w:w="0" w:type="dxa"/>
            <w:right w:w="108" w:type="dxa"/>
          </w:tblCellMar>
        </w:tblPrEx>
        <w:trPr>
          <w:trHeight w:val="240" w:hRule="atLeast"/>
        </w:trPr>
        <w:tc>
          <w:tcPr>
            <w:tcW w:w="14415"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空调清单</w:t>
            </w:r>
          </w:p>
        </w:tc>
      </w:tr>
      <w:tr>
        <w:tblPrEx>
          <w:tblLayout w:type="fixed"/>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w:t>
            </w:r>
          </w:p>
        </w:tc>
        <w:tc>
          <w:tcPr>
            <w:tcW w:w="2560" w:type="dxa"/>
            <w:gridSpan w:val="2"/>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空调</w:t>
            </w:r>
          </w:p>
        </w:tc>
        <w:tc>
          <w:tcPr>
            <w:tcW w:w="76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挂式</w:t>
            </w:r>
          </w:p>
        </w:tc>
        <w:tc>
          <w:tcPr>
            <w:tcW w:w="18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23台</w:t>
            </w:r>
          </w:p>
        </w:tc>
        <w:tc>
          <w:tcPr>
            <w:tcW w:w="151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w:t>
            </w:r>
          </w:p>
        </w:tc>
        <w:tc>
          <w:tcPr>
            <w:tcW w:w="2560" w:type="dxa"/>
            <w:gridSpan w:val="2"/>
            <w:vMerge w:val="continue"/>
            <w:tcBorders>
              <w:top w:val="nil"/>
              <w:left w:val="single" w:color="auto" w:sz="4" w:space="0"/>
              <w:bottom w:val="single" w:color="000000"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76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柜式</w:t>
            </w:r>
          </w:p>
        </w:tc>
        <w:tc>
          <w:tcPr>
            <w:tcW w:w="18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3</w:t>
            </w:r>
            <w:r>
              <w:rPr>
                <w:rFonts w:hint="eastAsia" w:ascii="Times New Roman" w:hAnsi="Times New Roman" w:eastAsia="楷体"/>
                <w:bCs/>
                <w:color w:val="auto"/>
                <w:kern w:val="0"/>
                <w:szCs w:val="21"/>
                <w:lang w:val="en-US" w:eastAsia="zh-CN"/>
              </w:rPr>
              <w:t>4</w:t>
            </w:r>
            <w:r>
              <w:rPr>
                <w:rFonts w:ascii="Times New Roman" w:hAnsi="Times New Roman" w:eastAsia="楷体"/>
                <w:bCs/>
                <w:color w:val="auto"/>
                <w:kern w:val="0"/>
                <w:szCs w:val="21"/>
              </w:rPr>
              <w:t>台</w:t>
            </w:r>
          </w:p>
        </w:tc>
        <w:tc>
          <w:tcPr>
            <w:tcW w:w="151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14415" w:type="dxa"/>
            <w:gridSpan w:val="6"/>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配电房主要设备清单</w:t>
            </w:r>
          </w:p>
        </w:tc>
      </w:tr>
      <w:tr>
        <w:tblPrEx>
          <w:tblLayout w:type="fixed"/>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3</w:t>
            </w:r>
          </w:p>
        </w:tc>
        <w:tc>
          <w:tcPr>
            <w:tcW w:w="256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高压熔断器</w:t>
            </w:r>
          </w:p>
        </w:tc>
        <w:tc>
          <w:tcPr>
            <w:tcW w:w="76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10KV/630A</w:t>
            </w:r>
          </w:p>
        </w:tc>
        <w:tc>
          <w:tcPr>
            <w:tcW w:w="18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1套</w:t>
            </w:r>
          </w:p>
        </w:tc>
        <w:tc>
          <w:tcPr>
            <w:tcW w:w="151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4</w:t>
            </w:r>
          </w:p>
        </w:tc>
        <w:tc>
          <w:tcPr>
            <w:tcW w:w="256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高压计量箱</w:t>
            </w:r>
          </w:p>
        </w:tc>
        <w:tc>
          <w:tcPr>
            <w:tcW w:w="76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10KV/630A</w:t>
            </w:r>
          </w:p>
        </w:tc>
        <w:tc>
          <w:tcPr>
            <w:tcW w:w="18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1台</w:t>
            </w:r>
          </w:p>
        </w:tc>
        <w:tc>
          <w:tcPr>
            <w:tcW w:w="151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5</w:t>
            </w:r>
          </w:p>
        </w:tc>
        <w:tc>
          <w:tcPr>
            <w:tcW w:w="256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台式变压器（油式）</w:t>
            </w:r>
          </w:p>
        </w:tc>
        <w:tc>
          <w:tcPr>
            <w:tcW w:w="76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S9，250KVA</w:t>
            </w:r>
          </w:p>
        </w:tc>
        <w:tc>
          <w:tcPr>
            <w:tcW w:w="18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1台</w:t>
            </w:r>
          </w:p>
        </w:tc>
        <w:tc>
          <w:tcPr>
            <w:tcW w:w="151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6</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1AA01交流低压开关柜（断路器）</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GGD，380V/400A</w:t>
            </w:r>
          </w:p>
        </w:tc>
        <w:tc>
          <w:tcPr>
            <w:tcW w:w="1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1台</w:t>
            </w:r>
          </w:p>
        </w:tc>
        <w:tc>
          <w:tcPr>
            <w:tcW w:w="15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7</w:t>
            </w:r>
          </w:p>
        </w:tc>
        <w:tc>
          <w:tcPr>
            <w:tcW w:w="2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1AA02交流低压开关柜（断路器）</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GGD，380V/400A</w:t>
            </w:r>
          </w:p>
        </w:tc>
        <w:tc>
          <w:tcPr>
            <w:tcW w:w="1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1台</w:t>
            </w:r>
          </w:p>
        </w:tc>
        <w:tc>
          <w:tcPr>
            <w:tcW w:w="15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8</w:t>
            </w:r>
          </w:p>
        </w:tc>
        <w:tc>
          <w:tcPr>
            <w:tcW w:w="256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1AA03交流低压开关柜（断路器）</w:t>
            </w:r>
          </w:p>
        </w:tc>
        <w:tc>
          <w:tcPr>
            <w:tcW w:w="76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GGD，380V/400A</w:t>
            </w:r>
          </w:p>
        </w:tc>
        <w:tc>
          <w:tcPr>
            <w:tcW w:w="18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1台</w:t>
            </w:r>
          </w:p>
        </w:tc>
        <w:tc>
          <w:tcPr>
            <w:tcW w:w="151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9</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1AA04交流低压开关柜（断路器）</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GGD，380V/400A</w:t>
            </w:r>
          </w:p>
        </w:tc>
        <w:tc>
          <w:tcPr>
            <w:tcW w:w="1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1台</w:t>
            </w:r>
          </w:p>
        </w:tc>
        <w:tc>
          <w:tcPr>
            <w:tcW w:w="15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10</w:t>
            </w:r>
          </w:p>
        </w:tc>
        <w:tc>
          <w:tcPr>
            <w:tcW w:w="256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配电柜</w:t>
            </w:r>
          </w:p>
        </w:tc>
        <w:tc>
          <w:tcPr>
            <w:tcW w:w="76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XXL，250A</w:t>
            </w:r>
          </w:p>
        </w:tc>
        <w:tc>
          <w:tcPr>
            <w:tcW w:w="18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1台</w:t>
            </w:r>
          </w:p>
        </w:tc>
        <w:tc>
          <w:tcPr>
            <w:tcW w:w="151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11</w:t>
            </w:r>
          </w:p>
        </w:tc>
        <w:tc>
          <w:tcPr>
            <w:tcW w:w="256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配电箱</w:t>
            </w:r>
          </w:p>
        </w:tc>
        <w:tc>
          <w:tcPr>
            <w:tcW w:w="76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XXM，32A、63A、100A</w:t>
            </w:r>
          </w:p>
        </w:tc>
        <w:tc>
          <w:tcPr>
            <w:tcW w:w="182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楷体"/>
                <w:bCs/>
                <w:color w:val="auto"/>
                <w:kern w:val="0"/>
                <w:szCs w:val="21"/>
                <w:lang w:val="en-US"/>
              </w:rPr>
            </w:pPr>
            <w:r>
              <w:rPr>
                <w:rFonts w:ascii="Times New Roman" w:hAnsi="Times New Roman" w:eastAsia="楷体"/>
                <w:bCs/>
                <w:color w:val="auto"/>
                <w:kern w:val="0"/>
                <w:szCs w:val="21"/>
              </w:rPr>
              <w:t>1</w:t>
            </w:r>
            <w:r>
              <w:rPr>
                <w:rFonts w:hint="eastAsia" w:ascii="Times New Roman" w:hAnsi="Times New Roman" w:eastAsia="楷体"/>
                <w:bCs/>
                <w:color w:val="auto"/>
                <w:kern w:val="0"/>
                <w:szCs w:val="21"/>
                <w:lang w:val="en-US" w:eastAsia="zh-CN"/>
              </w:rPr>
              <w:t>6个</w:t>
            </w:r>
          </w:p>
        </w:tc>
        <w:tc>
          <w:tcPr>
            <w:tcW w:w="151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14415"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给排水、雨污、消防</w:t>
            </w:r>
          </w:p>
        </w:tc>
      </w:tr>
      <w:tr>
        <w:tblPrEx>
          <w:tblLayout w:type="fixed"/>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12</w:t>
            </w:r>
          </w:p>
        </w:tc>
        <w:tc>
          <w:tcPr>
            <w:tcW w:w="256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雨水井</w:t>
            </w:r>
          </w:p>
        </w:tc>
        <w:tc>
          <w:tcPr>
            <w:tcW w:w="76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8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3个</w:t>
            </w:r>
          </w:p>
        </w:tc>
        <w:tc>
          <w:tcPr>
            <w:tcW w:w="151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13</w:t>
            </w:r>
          </w:p>
        </w:tc>
        <w:tc>
          <w:tcPr>
            <w:tcW w:w="256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污水井</w:t>
            </w:r>
          </w:p>
        </w:tc>
        <w:tc>
          <w:tcPr>
            <w:tcW w:w="76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8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10个</w:t>
            </w:r>
          </w:p>
        </w:tc>
        <w:tc>
          <w:tcPr>
            <w:tcW w:w="151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14</w:t>
            </w:r>
          </w:p>
        </w:tc>
        <w:tc>
          <w:tcPr>
            <w:tcW w:w="256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给水井</w:t>
            </w:r>
          </w:p>
        </w:tc>
        <w:tc>
          <w:tcPr>
            <w:tcW w:w="76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8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3个</w:t>
            </w:r>
          </w:p>
        </w:tc>
        <w:tc>
          <w:tcPr>
            <w:tcW w:w="151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15</w:t>
            </w:r>
          </w:p>
        </w:tc>
        <w:tc>
          <w:tcPr>
            <w:tcW w:w="256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化粪池</w:t>
            </w:r>
          </w:p>
        </w:tc>
        <w:tc>
          <w:tcPr>
            <w:tcW w:w="76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8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1个</w:t>
            </w:r>
          </w:p>
        </w:tc>
        <w:tc>
          <w:tcPr>
            <w:tcW w:w="151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16</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室内消火栓箱</w:t>
            </w:r>
          </w:p>
        </w:tc>
        <w:tc>
          <w:tcPr>
            <w:tcW w:w="76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SG21A65，每套含1只水枪，1条水袋</w:t>
            </w: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6套</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17</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室外消火栓</w:t>
            </w:r>
          </w:p>
        </w:tc>
        <w:tc>
          <w:tcPr>
            <w:tcW w:w="76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DN63</w:t>
            </w: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2台</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18</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消防管道井</w:t>
            </w:r>
          </w:p>
        </w:tc>
        <w:tc>
          <w:tcPr>
            <w:tcW w:w="76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1个</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19</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灭火器</w:t>
            </w:r>
          </w:p>
        </w:tc>
        <w:tc>
          <w:tcPr>
            <w:tcW w:w="76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49只</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14415"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道闸、伸缩门</w:t>
            </w: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20</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伸缩门（大门）</w:t>
            </w:r>
          </w:p>
        </w:tc>
        <w:tc>
          <w:tcPr>
            <w:tcW w:w="76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1道</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21</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道闸</w:t>
            </w:r>
          </w:p>
        </w:tc>
        <w:tc>
          <w:tcPr>
            <w:tcW w:w="76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1道</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14415"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监控设备</w:t>
            </w: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22</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监控设备</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品牌： 海康威视</w:t>
            </w:r>
          </w:p>
        </w:tc>
        <w:tc>
          <w:tcPr>
            <w:tcW w:w="1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1套</w:t>
            </w:r>
          </w:p>
        </w:tc>
        <w:tc>
          <w:tcPr>
            <w:tcW w:w="15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14415"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照明系统</w:t>
            </w: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23</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楷体"/>
                <w:bCs/>
                <w:color w:val="auto"/>
                <w:kern w:val="0"/>
                <w:szCs w:val="21"/>
                <w:lang w:val="en-US" w:eastAsia="zh-CN"/>
              </w:rPr>
            </w:pPr>
            <w:r>
              <w:rPr>
                <w:rFonts w:ascii="Times New Roman" w:hAnsi="Times New Roman" w:eastAsia="楷体"/>
                <w:bCs/>
                <w:color w:val="auto"/>
                <w:kern w:val="0"/>
                <w:szCs w:val="21"/>
              </w:rPr>
              <w:t>格珊灯</w:t>
            </w:r>
            <w:r>
              <w:rPr>
                <w:rFonts w:hint="eastAsia" w:ascii="Times New Roman" w:hAnsi="Times New Roman" w:eastAsia="楷体"/>
                <w:bCs/>
                <w:color w:val="auto"/>
                <w:kern w:val="0"/>
                <w:szCs w:val="21"/>
                <w:lang w:val="en-US" w:eastAsia="zh-CN"/>
              </w:rPr>
              <w:t>+LED平板灯</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楷体"/>
                <w:bCs/>
                <w:color w:val="auto"/>
                <w:kern w:val="0"/>
                <w:szCs w:val="21"/>
                <w:lang w:val="en-US" w:eastAsia="zh-CN"/>
              </w:rPr>
            </w:pPr>
            <w:r>
              <w:rPr>
                <w:rFonts w:ascii="Times New Roman" w:hAnsi="Times New Roman" w:eastAsia="楷体"/>
                <w:bCs/>
                <w:color w:val="auto"/>
                <w:kern w:val="0"/>
                <w:szCs w:val="21"/>
              </w:rPr>
              <w:t>LED、T8-9W、T8-18W</w:t>
            </w:r>
            <w:r>
              <w:rPr>
                <w:rFonts w:hint="eastAsia" w:ascii="Times New Roman" w:hAnsi="Times New Roman" w:eastAsia="楷体"/>
                <w:bCs/>
                <w:color w:val="auto"/>
                <w:kern w:val="0"/>
                <w:szCs w:val="21"/>
                <w:lang w:eastAsia="zh-CN"/>
              </w:rPr>
              <w:t>、</w:t>
            </w:r>
            <w:r>
              <w:rPr>
                <w:rFonts w:hint="eastAsia" w:ascii="Times New Roman" w:hAnsi="Times New Roman" w:eastAsia="楷体"/>
                <w:bCs/>
                <w:color w:val="auto"/>
                <w:kern w:val="0"/>
                <w:szCs w:val="21"/>
                <w:lang w:val="en-US" w:eastAsia="zh-CN"/>
              </w:rPr>
              <w:t>48W</w:t>
            </w:r>
          </w:p>
        </w:tc>
        <w:tc>
          <w:tcPr>
            <w:tcW w:w="1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w:t>
            </w:r>
            <w:r>
              <w:rPr>
                <w:rFonts w:hint="eastAsia" w:ascii="Times New Roman" w:hAnsi="Times New Roman" w:eastAsia="楷体"/>
                <w:bCs/>
                <w:color w:val="auto"/>
                <w:kern w:val="0"/>
                <w:szCs w:val="21"/>
                <w:lang w:val="en-US" w:eastAsia="zh-CN"/>
              </w:rPr>
              <w:t>12</w:t>
            </w:r>
            <w:r>
              <w:rPr>
                <w:rFonts w:ascii="Times New Roman" w:hAnsi="Times New Roman" w:eastAsia="楷体"/>
                <w:bCs/>
                <w:color w:val="auto"/>
                <w:kern w:val="0"/>
                <w:szCs w:val="21"/>
              </w:rPr>
              <w:t>盏</w:t>
            </w:r>
          </w:p>
        </w:tc>
        <w:tc>
          <w:tcPr>
            <w:tcW w:w="15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24</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吸顶灯</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LED-12W、LED-25W</w:t>
            </w:r>
          </w:p>
        </w:tc>
        <w:tc>
          <w:tcPr>
            <w:tcW w:w="1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40盏</w:t>
            </w:r>
          </w:p>
        </w:tc>
        <w:tc>
          <w:tcPr>
            <w:tcW w:w="15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25</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球形灯</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LED-5W、LED-3W</w:t>
            </w:r>
          </w:p>
        </w:tc>
        <w:tc>
          <w:tcPr>
            <w:tcW w:w="1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191盏</w:t>
            </w:r>
          </w:p>
        </w:tc>
        <w:tc>
          <w:tcPr>
            <w:tcW w:w="15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26</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围墙节能灯</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LED-24W</w:t>
            </w:r>
          </w:p>
        </w:tc>
        <w:tc>
          <w:tcPr>
            <w:tcW w:w="1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9盏</w:t>
            </w:r>
          </w:p>
        </w:tc>
        <w:tc>
          <w:tcPr>
            <w:tcW w:w="15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27</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射灯</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LED-12W、LED-3W</w:t>
            </w:r>
          </w:p>
        </w:tc>
        <w:tc>
          <w:tcPr>
            <w:tcW w:w="1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78盏</w:t>
            </w:r>
          </w:p>
        </w:tc>
        <w:tc>
          <w:tcPr>
            <w:tcW w:w="15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28</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筒灯</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LED-3W</w:t>
            </w:r>
          </w:p>
        </w:tc>
        <w:tc>
          <w:tcPr>
            <w:tcW w:w="1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w:t>
            </w:r>
            <w:r>
              <w:rPr>
                <w:rFonts w:hint="eastAsia" w:ascii="Times New Roman" w:hAnsi="Times New Roman" w:eastAsia="楷体"/>
                <w:bCs/>
                <w:color w:val="auto"/>
                <w:kern w:val="0"/>
                <w:szCs w:val="21"/>
                <w:lang w:val="en-US" w:eastAsia="zh-CN"/>
              </w:rPr>
              <w:t>6</w:t>
            </w:r>
            <w:r>
              <w:rPr>
                <w:rFonts w:ascii="Times New Roman" w:hAnsi="Times New Roman" w:eastAsia="楷体"/>
                <w:bCs/>
                <w:color w:val="auto"/>
                <w:kern w:val="0"/>
                <w:szCs w:val="21"/>
              </w:rPr>
              <w:t>盏</w:t>
            </w:r>
          </w:p>
        </w:tc>
        <w:tc>
          <w:tcPr>
            <w:tcW w:w="15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29</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节能灯</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8W、23W、65W、13W</w:t>
            </w:r>
          </w:p>
        </w:tc>
        <w:tc>
          <w:tcPr>
            <w:tcW w:w="1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74盏</w:t>
            </w:r>
          </w:p>
        </w:tc>
        <w:tc>
          <w:tcPr>
            <w:tcW w:w="15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30</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吸顶灯</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32W、25W</w:t>
            </w:r>
          </w:p>
        </w:tc>
        <w:tc>
          <w:tcPr>
            <w:tcW w:w="1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hint="eastAsia" w:ascii="Times New Roman" w:hAnsi="Times New Roman" w:eastAsia="楷体"/>
                <w:bCs/>
                <w:color w:val="auto"/>
                <w:kern w:val="0"/>
                <w:szCs w:val="21"/>
                <w:lang w:val="en-US" w:eastAsia="zh-CN"/>
              </w:rPr>
              <w:t>5</w:t>
            </w:r>
            <w:r>
              <w:rPr>
                <w:rFonts w:ascii="Times New Roman" w:hAnsi="Times New Roman" w:eastAsia="楷体"/>
                <w:bCs/>
                <w:color w:val="auto"/>
                <w:kern w:val="0"/>
                <w:szCs w:val="21"/>
              </w:rPr>
              <w:t>盏</w:t>
            </w:r>
          </w:p>
        </w:tc>
        <w:tc>
          <w:tcPr>
            <w:tcW w:w="15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14415"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会议音响系统</w:t>
            </w: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31</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会议音箱设备</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201、202、207会议室</w:t>
            </w:r>
          </w:p>
        </w:tc>
        <w:tc>
          <w:tcPr>
            <w:tcW w:w="1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3套</w:t>
            </w:r>
          </w:p>
        </w:tc>
        <w:tc>
          <w:tcPr>
            <w:tcW w:w="15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bl>
    <w:p>
      <w:pPr>
        <w:snapToGrid w:val="0"/>
        <w:spacing w:line="590" w:lineRule="exact"/>
        <w:rPr>
          <w:rFonts w:ascii="Times New Roman" w:hAnsi="Times New Roman" w:eastAsia="楷体_GB2312"/>
          <w:bCs/>
          <w:color w:val="auto"/>
          <w:kern w:val="0"/>
          <w:sz w:val="28"/>
          <w:szCs w:val="28"/>
        </w:rPr>
      </w:pPr>
    </w:p>
    <w:p>
      <w:pPr>
        <w:snapToGrid w:val="0"/>
        <w:spacing w:line="590" w:lineRule="exact"/>
        <w:rPr>
          <w:rFonts w:ascii="Times New Roman" w:hAnsi="Times New Roman" w:eastAsia="楷体_GB2312"/>
          <w:bCs/>
          <w:color w:val="auto"/>
          <w:kern w:val="0"/>
          <w:sz w:val="28"/>
          <w:szCs w:val="28"/>
        </w:rPr>
      </w:pPr>
    </w:p>
    <w:p>
      <w:pPr>
        <w:snapToGrid w:val="0"/>
        <w:spacing w:line="590" w:lineRule="exact"/>
        <w:rPr>
          <w:rFonts w:ascii="Times New Roman" w:hAnsi="Times New Roman" w:eastAsia="楷体_GB2312"/>
          <w:bCs/>
          <w:color w:val="auto"/>
          <w:kern w:val="0"/>
          <w:sz w:val="28"/>
          <w:szCs w:val="28"/>
        </w:rPr>
      </w:pPr>
    </w:p>
    <w:p>
      <w:pPr>
        <w:snapToGrid w:val="0"/>
        <w:spacing w:line="590" w:lineRule="exact"/>
        <w:rPr>
          <w:rFonts w:ascii="Times New Roman" w:hAnsi="Times New Roman" w:eastAsia="楷体_GB2312"/>
          <w:bCs/>
          <w:color w:val="auto"/>
          <w:kern w:val="0"/>
          <w:sz w:val="28"/>
          <w:szCs w:val="28"/>
        </w:rPr>
      </w:pPr>
    </w:p>
    <w:p>
      <w:pPr>
        <w:snapToGrid w:val="0"/>
        <w:spacing w:line="590" w:lineRule="exact"/>
        <w:rPr>
          <w:rFonts w:ascii="Times New Roman" w:hAnsi="Times New Roman" w:eastAsia="楷体_GB2312"/>
          <w:bCs/>
          <w:color w:val="auto"/>
          <w:kern w:val="0"/>
          <w:sz w:val="28"/>
          <w:szCs w:val="28"/>
        </w:rPr>
      </w:pPr>
    </w:p>
    <w:p>
      <w:pPr>
        <w:snapToGrid w:val="0"/>
        <w:spacing w:line="590" w:lineRule="exact"/>
        <w:rPr>
          <w:rFonts w:ascii="Times New Roman" w:hAnsi="Times New Roman" w:eastAsia="楷体_GB2312"/>
          <w:bCs/>
          <w:color w:val="auto"/>
          <w:kern w:val="0"/>
          <w:sz w:val="28"/>
          <w:szCs w:val="28"/>
        </w:rPr>
      </w:pPr>
    </w:p>
    <w:p>
      <w:pPr>
        <w:snapToGrid w:val="0"/>
        <w:spacing w:line="660" w:lineRule="exact"/>
        <w:rPr>
          <w:rFonts w:ascii="Times New Roman" w:hAnsi="Times New Roman" w:eastAsia="方正小标宋简体"/>
          <w:color w:val="auto"/>
          <w:kern w:val="0"/>
          <w:sz w:val="44"/>
          <w:szCs w:val="44"/>
        </w:rPr>
      </w:pPr>
      <w:r>
        <w:rPr>
          <w:rFonts w:ascii="Times New Roman" w:hAnsi="Times New Roman" w:eastAsia="黑体"/>
          <w:bCs/>
          <w:color w:val="auto"/>
          <w:kern w:val="0"/>
          <w:sz w:val="32"/>
          <w:szCs w:val="32"/>
        </w:rPr>
        <w:t>表3</w:t>
      </w:r>
    </w:p>
    <w:p>
      <w:pPr>
        <w:snapToGrid w:val="0"/>
        <w:spacing w:line="660" w:lineRule="exact"/>
        <w:jc w:val="center"/>
        <w:rPr>
          <w:rFonts w:ascii="Times New Roman" w:hAnsi="Times New Roman" w:eastAsia="方正小标宋简体"/>
          <w:color w:val="auto"/>
          <w:kern w:val="0"/>
          <w:sz w:val="44"/>
          <w:szCs w:val="44"/>
        </w:rPr>
      </w:pPr>
      <w:r>
        <w:rPr>
          <w:rFonts w:ascii="Times New Roman" w:hAnsi="Times New Roman" w:eastAsia="方正小标宋简体"/>
          <w:color w:val="auto"/>
          <w:kern w:val="0"/>
          <w:sz w:val="44"/>
          <w:szCs w:val="44"/>
        </w:rPr>
        <w:t>市人大机关办公区设施、设备清单</w:t>
      </w:r>
    </w:p>
    <w:p>
      <w:pPr>
        <w:snapToGrid w:val="0"/>
        <w:spacing w:line="660" w:lineRule="exact"/>
        <w:jc w:val="center"/>
        <w:rPr>
          <w:rFonts w:ascii="Times New Roman" w:hAnsi="Times New Roman" w:eastAsia="方正小标宋简体"/>
          <w:color w:val="auto"/>
          <w:kern w:val="0"/>
          <w:sz w:val="44"/>
          <w:szCs w:val="44"/>
        </w:rPr>
      </w:pPr>
    </w:p>
    <w:tbl>
      <w:tblPr>
        <w:tblStyle w:val="49"/>
        <w:tblW w:w="14220" w:type="dxa"/>
        <w:tblInd w:w="91" w:type="dxa"/>
        <w:tblLayout w:type="fixed"/>
        <w:tblCellMar>
          <w:top w:w="0" w:type="dxa"/>
          <w:left w:w="108" w:type="dxa"/>
          <w:bottom w:w="0" w:type="dxa"/>
          <w:right w:w="108" w:type="dxa"/>
        </w:tblCellMar>
      </w:tblPr>
      <w:tblGrid>
        <w:gridCol w:w="880"/>
        <w:gridCol w:w="35"/>
        <w:gridCol w:w="2525"/>
        <w:gridCol w:w="7640"/>
        <w:gridCol w:w="85"/>
        <w:gridCol w:w="1355"/>
        <w:gridCol w:w="85"/>
        <w:gridCol w:w="1615"/>
      </w:tblGrid>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黑体"/>
                <w:bCs/>
                <w:color w:val="auto"/>
                <w:kern w:val="0"/>
                <w:szCs w:val="21"/>
              </w:rPr>
            </w:pPr>
            <w:bookmarkStart w:id="235" w:name="_Toc243368462"/>
            <w:bookmarkStart w:id="236" w:name="_Toc233690260"/>
            <w:r>
              <w:rPr>
                <w:rFonts w:ascii="Times New Roman" w:hAnsi="Times New Roman" w:eastAsia="黑体"/>
                <w:bCs/>
                <w:color w:val="auto"/>
                <w:kern w:val="0"/>
                <w:szCs w:val="21"/>
              </w:rPr>
              <w:t>序号</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bCs/>
                <w:color w:val="auto"/>
                <w:kern w:val="0"/>
                <w:szCs w:val="21"/>
              </w:rPr>
            </w:pPr>
            <w:r>
              <w:rPr>
                <w:rFonts w:ascii="Times New Roman" w:hAnsi="Times New Roman" w:eastAsia="黑体"/>
                <w:bCs/>
                <w:color w:val="auto"/>
                <w:kern w:val="0"/>
                <w:szCs w:val="21"/>
              </w:rPr>
              <w:t>项目名称</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bCs/>
                <w:color w:val="auto"/>
                <w:kern w:val="0"/>
                <w:szCs w:val="21"/>
              </w:rPr>
            </w:pPr>
            <w:r>
              <w:rPr>
                <w:rFonts w:ascii="Times New Roman" w:hAnsi="Times New Roman" w:eastAsia="黑体"/>
                <w:bCs/>
                <w:color w:val="auto"/>
                <w:kern w:val="0"/>
                <w:szCs w:val="21"/>
              </w:rPr>
              <w:t>项目特征及内容</w:t>
            </w:r>
          </w:p>
        </w:tc>
        <w:tc>
          <w:tcPr>
            <w:tcW w:w="14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bCs/>
                <w:color w:val="auto"/>
                <w:kern w:val="0"/>
                <w:szCs w:val="21"/>
              </w:rPr>
            </w:pPr>
            <w:r>
              <w:rPr>
                <w:rFonts w:ascii="Times New Roman" w:hAnsi="Times New Roman" w:eastAsia="黑体"/>
                <w:bCs/>
                <w:color w:val="auto"/>
                <w:kern w:val="0"/>
                <w:szCs w:val="21"/>
              </w:rPr>
              <w:t>数量</w:t>
            </w:r>
          </w:p>
        </w:tc>
        <w:tc>
          <w:tcPr>
            <w:tcW w:w="17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bCs/>
                <w:color w:val="auto"/>
                <w:kern w:val="0"/>
                <w:szCs w:val="21"/>
              </w:rPr>
            </w:pPr>
            <w:r>
              <w:rPr>
                <w:rFonts w:ascii="Times New Roman" w:hAnsi="Times New Roman" w:eastAsia="黑体"/>
                <w:bCs/>
                <w:color w:val="auto"/>
                <w:kern w:val="0"/>
                <w:szCs w:val="21"/>
              </w:rPr>
              <w:t>备注</w:t>
            </w:r>
          </w:p>
        </w:tc>
      </w:tr>
      <w:tr>
        <w:tblPrEx>
          <w:tblLayout w:type="fixed"/>
          <w:tblCellMar>
            <w:top w:w="0" w:type="dxa"/>
            <w:left w:w="108" w:type="dxa"/>
            <w:bottom w:w="0" w:type="dxa"/>
            <w:right w:w="108" w:type="dxa"/>
          </w:tblCellMar>
        </w:tblPrEx>
        <w:trPr>
          <w:trHeight w:val="240" w:hRule="atLeast"/>
        </w:trPr>
        <w:tc>
          <w:tcPr>
            <w:tcW w:w="142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空调清单</w:t>
            </w:r>
          </w:p>
        </w:tc>
      </w:tr>
      <w:tr>
        <w:tblPrEx>
          <w:tblLayout w:type="fixed"/>
          <w:tblCellMar>
            <w:top w:w="0" w:type="dxa"/>
            <w:left w:w="108" w:type="dxa"/>
            <w:bottom w:w="0" w:type="dxa"/>
            <w:right w:w="108" w:type="dxa"/>
          </w:tblCellMar>
        </w:tblPrEx>
        <w:trPr>
          <w:trHeight w:val="240" w:hRule="atLeast"/>
        </w:trPr>
        <w:tc>
          <w:tcPr>
            <w:tcW w:w="8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w:t>
            </w:r>
          </w:p>
        </w:tc>
        <w:tc>
          <w:tcPr>
            <w:tcW w:w="2560" w:type="dxa"/>
            <w:gridSpan w:val="2"/>
            <w:vMerge w:val="restart"/>
            <w:tcBorders>
              <w:top w:val="nil"/>
              <w:left w:val="single" w:color="auto" w:sz="4" w:space="0"/>
              <w:bottom w:val="nil"/>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空调</w:t>
            </w:r>
          </w:p>
        </w:tc>
        <w:tc>
          <w:tcPr>
            <w:tcW w:w="76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挂式</w:t>
            </w:r>
          </w:p>
        </w:tc>
        <w:tc>
          <w:tcPr>
            <w:tcW w:w="144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3</w:t>
            </w:r>
            <w:r>
              <w:rPr>
                <w:rFonts w:hint="eastAsia" w:ascii="Times New Roman" w:hAnsi="Times New Roman" w:eastAsia="楷体"/>
                <w:bCs/>
                <w:color w:val="auto"/>
                <w:kern w:val="0"/>
                <w:szCs w:val="21"/>
                <w:lang w:val="en-US" w:eastAsia="zh-CN"/>
              </w:rPr>
              <w:t>3</w:t>
            </w:r>
            <w:r>
              <w:rPr>
                <w:rFonts w:ascii="Times New Roman" w:hAnsi="Times New Roman" w:eastAsia="楷体"/>
                <w:bCs/>
                <w:color w:val="auto"/>
                <w:kern w:val="0"/>
                <w:szCs w:val="21"/>
              </w:rPr>
              <w:t>台</w:t>
            </w:r>
          </w:p>
        </w:tc>
        <w:tc>
          <w:tcPr>
            <w:tcW w:w="170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w:t>
            </w:r>
          </w:p>
        </w:tc>
        <w:tc>
          <w:tcPr>
            <w:tcW w:w="2560" w:type="dxa"/>
            <w:gridSpan w:val="2"/>
            <w:vMerge w:val="continue"/>
            <w:tcBorders>
              <w:top w:val="nil"/>
              <w:left w:val="single" w:color="auto" w:sz="4" w:space="0"/>
              <w:bottom w:val="nil"/>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76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柜式</w:t>
            </w:r>
          </w:p>
        </w:tc>
        <w:tc>
          <w:tcPr>
            <w:tcW w:w="144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hint="eastAsia" w:ascii="Times New Roman" w:hAnsi="Times New Roman" w:eastAsia="楷体"/>
                <w:bCs/>
                <w:color w:val="auto"/>
                <w:kern w:val="0"/>
                <w:szCs w:val="21"/>
                <w:lang w:val="en-US" w:eastAsia="zh-CN"/>
              </w:rPr>
              <w:t>30</w:t>
            </w:r>
            <w:r>
              <w:rPr>
                <w:rFonts w:ascii="Times New Roman" w:hAnsi="Times New Roman" w:eastAsia="楷体"/>
                <w:bCs/>
                <w:color w:val="auto"/>
                <w:kern w:val="0"/>
                <w:szCs w:val="21"/>
              </w:rPr>
              <w:t>台</w:t>
            </w:r>
          </w:p>
        </w:tc>
        <w:tc>
          <w:tcPr>
            <w:tcW w:w="170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14220" w:type="dxa"/>
            <w:gridSpan w:val="8"/>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配电房主要设备清单</w:t>
            </w:r>
          </w:p>
        </w:tc>
      </w:tr>
      <w:tr>
        <w:tblPrEx>
          <w:tblLayout w:type="fixed"/>
          <w:tblCellMar>
            <w:top w:w="0" w:type="dxa"/>
            <w:left w:w="108" w:type="dxa"/>
            <w:bottom w:w="0" w:type="dxa"/>
            <w:right w:w="108" w:type="dxa"/>
          </w:tblCellMar>
        </w:tblPrEx>
        <w:trPr>
          <w:trHeight w:val="240" w:hRule="atLeast"/>
        </w:trPr>
        <w:tc>
          <w:tcPr>
            <w:tcW w:w="8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3</w:t>
            </w:r>
          </w:p>
        </w:tc>
        <w:tc>
          <w:tcPr>
            <w:tcW w:w="2560"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配电柜</w:t>
            </w:r>
          </w:p>
        </w:tc>
        <w:tc>
          <w:tcPr>
            <w:tcW w:w="76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XXL，400A</w:t>
            </w:r>
          </w:p>
        </w:tc>
        <w:tc>
          <w:tcPr>
            <w:tcW w:w="144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1台</w:t>
            </w:r>
          </w:p>
        </w:tc>
        <w:tc>
          <w:tcPr>
            <w:tcW w:w="170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4</w:t>
            </w:r>
          </w:p>
        </w:tc>
        <w:tc>
          <w:tcPr>
            <w:tcW w:w="256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配电箱</w:t>
            </w:r>
          </w:p>
        </w:tc>
        <w:tc>
          <w:tcPr>
            <w:tcW w:w="76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XXM，63A</w:t>
            </w:r>
          </w:p>
        </w:tc>
        <w:tc>
          <w:tcPr>
            <w:tcW w:w="144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6台</w:t>
            </w:r>
          </w:p>
        </w:tc>
        <w:tc>
          <w:tcPr>
            <w:tcW w:w="170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5</w:t>
            </w:r>
          </w:p>
        </w:tc>
        <w:tc>
          <w:tcPr>
            <w:tcW w:w="2560"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配电箱</w:t>
            </w:r>
          </w:p>
        </w:tc>
        <w:tc>
          <w:tcPr>
            <w:tcW w:w="76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XXM，63A</w:t>
            </w:r>
          </w:p>
        </w:tc>
        <w:tc>
          <w:tcPr>
            <w:tcW w:w="144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7台</w:t>
            </w:r>
          </w:p>
        </w:tc>
        <w:tc>
          <w:tcPr>
            <w:tcW w:w="170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14220" w:type="dxa"/>
            <w:gridSpan w:val="8"/>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给排水、雨污、消防</w:t>
            </w: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6</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雨水井</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4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8个</w:t>
            </w:r>
          </w:p>
        </w:tc>
        <w:tc>
          <w:tcPr>
            <w:tcW w:w="17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7</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污水井</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4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7个</w:t>
            </w:r>
          </w:p>
        </w:tc>
        <w:tc>
          <w:tcPr>
            <w:tcW w:w="17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8</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给水井</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4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1个</w:t>
            </w:r>
          </w:p>
        </w:tc>
        <w:tc>
          <w:tcPr>
            <w:tcW w:w="17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9</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沟盖</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4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9个</w:t>
            </w:r>
          </w:p>
        </w:tc>
        <w:tc>
          <w:tcPr>
            <w:tcW w:w="17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10</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灭火器</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4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50只</w:t>
            </w:r>
          </w:p>
        </w:tc>
        <w:tc>
          <w:tcPr>
            <w:tcW w:w="17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楷体"/>
                <w:bCs/>
                <w:color w:val="auto"/>
                <w:kern w:val="0"/>
                <w:szCs w:val="21"/>
                <w:lang w:val="en-US" w:eastAsia="zh-CN"/>
              </w:rPr>
            </w:pPr>
            <w:r>
              <w:rPr>
                <w:rFonts w:hint="eastAsia" w:ascii="Times New Roman" w:hAnsi="Times New Roman" w:eastAsia="楷体"/>
                <w:bCs/>
                <w:color w:val="auto"/>
                <w:kern w:val="0"/>
                <w:szCs w:val="21"/>
                <w:lang w:val="en-US" w:eastAsia="zh-CN"/>
              </w:rPr>
              <w:t>11</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楷体"/>
                <w:bCs/>
                <w:color w:val="auto"/>
                <w:kern w:val="0"/>
                <w:szCs w:val="21"/>
                <w:lang w:val="en-US" w:eastAsia="zh-CN"/>
              </w:rPr>
            </w:pPr>
            <w:r>
              <w:rPr>
                <w:rFonts w:hint="eastAsia" w:ascii="Times New Roman" w:hAnsi="Times New Roman" w:eastAsia="楷体"/>
                <w:bCs/>
                <w:color w:val="auto"/>
                <w:kern w:val="0"/>
                <w:szCs w:val="21"/>
                <w:lang w:val="en-US" w:eastAsia="zh-CN"/>
              </w:rPr>
              <w:t>室外消火栓</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4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楷体"/>
                <w:bCs/>
                <w:color w:val="auto"/>
                <w:kern w:val="0"/>
                <w:szCs w:val="21"/>
                <w:lang w:val="en-US" w:eastAsia="zh-CN"/>
              </w:rPr>
            </w:pPr>
            <w:r>
              <w:rPr>
                <w:rFonts w:hint="eastAsia" w:ascii="Times New Roman" w:hAnsi="Times New Roman" w:eastAsia="楷体"/>
                <w:bCs/>
                <w:color w:val="auto"/>
                <w:kern w:val="0"/>
                <w:szCs w:val="21"/>
                <w:lang w:val="en-US" w:eastAsia="zh-CN"/>
              </w:rPr>
              <w:t>2个</w:t>
            </w:r>
          </w:p>
        </w:tc>
        <w:tc>
          <w:tcPr>
            <w:tcW w:w="17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142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道闸、伸缩门</w:t>
            </w: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楷体"/>
                <w:bCs/>
                <w:color w:val="auto"/>
                <w:kern w:val="0"/>
                <w:szCs w:val="21"/>
                <w:lang w:val="en-US" w:eastAsia="zh-CN"/>
              </w:rPr>
            </w:pPr>
            <w:r>
              <w:rPr>
                <w:rFonts w:ascii="Times New Roman" w:hAnsi="Times New Roman" w:eastAsia="楷体"/>
                <w:bCs/>
                <w:color w:val="auto"/>
                <w:kern w:val="0"/>
                <w:szCs w:val="21"/>
              </w:rPr>
              <w:t>1</w:t>
            </w:r>
            <w:r>
              <w:rPr>
                <w:rFonts w:hint="eastAsia" w:ascii="Times New Roman" w:hAnsi="Times New Roman" w:eastAsia="楷体"/>
                <w:bCs/>
                <w:color w:val="auto"/>
                <w:kern w:val="0"/>
                <w:szCs w:val="21"/>
                <w:lang w:val="en-US" w:eastAsia="zh-CN"/>
              </w:rPr>
              <w:t>2</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伸缩门</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4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1道</w:t>
            </w:r>
          </w:p>
        </w:tc>
        <w:tc>
          <w:tcPr>
            <w:tcW w:w="17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楷体"/>
                <w:bCs/>
                <w:color w:val="auto"/>
                <w:kern w:val="0"/>
                <w:szCs w:val="21"/>
                <w:lang w:val="en-US" w:eastAsia="zh-CN"/>
              </w:rPr>
            </w:pPr>
            <w:r>
              <w:rPr>
                <w:rFonts w:ascii="Times New Roman" w:hAnsi="Times New Roman" w:eastAsia="楷体"/>
                <w:bCs/>
                <w:color w:val="auto"/>
                <w:kern w:val="0"/>
                <w:szCs w:val="21"/>
              </w:rPr>
              <w:t>1</w:t>
            </w:r>
            <w:r>
              <w:rPr>
                <w:rFonts w:hint="eastAsia" w:ascii="Times New Roman" w:hAnsi="Times New Roman" w:eastAsia="楷体"/>
                <w:bCs/>
                <w:color w:val="auto"/>
                <w:kern w:val="0"/>
                <w:szCs w:val="21"/>
                <w:lang w:val="en-US" w:eastAsia="zh-CN"/>
              </w:rPr>
              <w:t>3</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道闸</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4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1道</w:t>
            </w:r>
          </w:p>
        </w:tc>
        <w:tc>
          <w:tcPr>
            <w:tcW w:w="17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142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监控设备</w:t>
            </w:r>
          </w:p>
        </w:tc>
      </w:tr>
      <w:tr>
        <w:tblPrEx>
          <w:tblLayout w:type="fixed"/>
          <w:tblCellMar>
            <w:top w:w="0" w:type="dxa"/>
            <w:left w:w="108" w:type="dxa"/>
            <w:bottom w:w="0" w:type="dxa"/>
            <w:right w:w="108" w:type="dxa"/>
          </w:tblCellMar>
        </w:tblPrEx>
        <w:trPr>
          <w:trHeight w:val="240" w:hRule="atLeast"/>
        </w:trPr>
        <w:tc>
          <w:tcPr>
            <w:tcW w:w="9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楷体"/>
                <w:bCs/>
                <w:color w:val="auto"/>
                <w:kern w:val="0"/>
                <w:szCs w:val="21"/>
                <w:lang w:val="en-US" w:eastAsia="zh-CN"/>
              </w:rPr>
            </w:pPr>
            <w:r>
              <w:rPr>
                <w:rFonts w:ascii="Times New Roman" w:hAnsi="Times New Roman" w:eastAsia="楷体"/>
                <w:bCs/>
                <w:color w:val="auto"/>
                <w:kern w:val="0"/>
                <w:szCs w:val="21"/>
              </w:rPr>
              <w:t>1</w:t>
            </w:r>
            <w:r>
              <w:rPr>
                <w:rFonts w:hint="eastAsia" w:ascii="Times New Roman" w:hAnsi="Times New Roman" w:eastAsia="楷体"/>
                <w:bCs/>
                <w:color w:val="auto"/>
                <w:kern w:val="0"/>
                <w:szCs w:val="21"/>
                <w:lang w:val="en-US" w:eastAsia="zh-CN"/>
              </w:rPr>
              <w:t>4</w:t>
            </w:r>
          </w:p>
        </w:tc>
        <w:tc>
          <w:tcPr>
            <w:tcW w:w="25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监控设备</w:t>
            </w:r>
          </w:p>
        </w:tc>
        <w:tc>
          <w:tcPr>
            <w:tcW w:w="77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品牌： 海康威视</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1套</w:t>
            </w:r>
          </w:p>
        </w:tc>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142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照明系统</w:t>
            </w:r>
          </w:p>
        </w:tc>
      </w:tr>
      <w:tr>
        <w:tblPrEx>
          <w:tblLayout w:type="fixed"/>
          <w:tblCellMar>
            <w:top w:w="0" w:type="dxa"/>
            <w:left w:w="108" w:type="dxa"/>
            <w:bottom w:w="0" w:type="dxa"/>
            <w:right w:w="108" w:type="dxa"/>
          </w:tblCellMar>
        </w:tblPrEx>
        <w:trPr>
          <w:trHeight w:val="240" w:hRule="atLeast"/>
        </w:trPr>
        <w:tc>
          <w:tcPr>
            <w:tcW w:w="9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楷体"/>
                <w:bCs/>
                <w:color w:val="auto"/>
                <w:kern w:val="0"/>
                <w:szCs w:val="21"/>
                <w:lang w:val="en-US" w:eastAsia="zh-CN"/>
              </w:rPr>
            </w:pPr>
            <w:r>
              <w:rPr>
                <w:rFonts w:ascii="Times New Roman" w:hAnsi="Times New Roman" w:eastAsia="楷体"/>
                <w:bCs/>
                <w:color w:val="auto"/>
                <w:kern w:val="0"/>
                <w:szCs w:val="21"/>
              </w:rPr>
              <w:t>1</w:t>
            </w:r>
            <w:r>
              <w:rPr>
                <w:rFonts w:hint="eastAsia" w:ascii="Times New Roman" w:hAnsi="Times New Roman" w:eastAsia="楷体"/>
                <w:bCs/>
                <w:color w:val="auto"/>
                <w:kern w:val="0"/>
                <w:szCs w:val="21"/>
                <w:lang w:val="en-US" w:eastAsia="zh-CN"/>
              </w:rPr>
              <w:t>5</w:t>
            </w:r>
          </w:p>
        </w:tc>
        <w:tc>
          <w:tcPr>
            <w:tcW w:w="25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U形灯</w:t>
            </w:r>
          </w:p>
        </w:tc>
        <w:tc>
          <w:tcPr>
            <w:tcW w:w="77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36W</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12</w:t>
            </w:r>
            <w:r>
              <w:rPr>
                <w:rFonts w:hint="eastAsia" w:ascii="Times New Roman" w:hAnsi="Times New Roman" w:eastAsia="楷体"/>
                <w:bCs/>
                <w:color w:val="auto"/>
                <w:kern w:val="0"/>
                <w:szCs w:val="21"/>
                <w:lang w:val="en-US" w:eastAsia="zh-CN"/>
              </w:rPr>
              <w:t>7</w:t>
            </w:r>
            <w:r>
              <w:rPr>
                <w:rFonts w:ascii="Times New Roman" w:hAnsi="Times New Roman" w:eastAsia="楷体"/>
                <w:bCs/>
                <w:color w:val="auto"/>
                <w:kern w:val="0"/>
                <w:szCs w:val="21"/>
              </w:rPr>
              <w:t>盏</w:t>
            </w:r>
          </w:p>
        </w:tc>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9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楷体"/>
                <w:bCs/>
                <w:color w:val="auto"/>
                <w:kern w:val="0"/>
                <w:szCs w:val="21"/>
                <w:lang w:val="en-US" w:eastAsia="zh-CN"/>
              </w:rPr>
            </w:pPr>
            <w:r>
              <w:rPr>
                <w:rFonts w:ascii="Times New Roman" w:hAnsi="Times New Roman" w:eastAsia="楷体"/>
                <w:bCs/>
                <w:color w:val="auto"/>
                <w:kern w:val="0"/>
                <w:szCs w:val="21"/>
              </w:rPr>
              <w:t>1</w:t>
            </w:r>
            <w:r>
              <w:rPr>
                <w:rFonts w:hint="eastAsia" w:ascii="Times New Roman" w:hAnsi="Times New Roman" w:eastAsia="楷体"/>
                <w:bCs/>
                <w:color w:val="auto"/>
                <w:kern w:val="0"/>
                <w:szCs w:val="21"/>
                <w:lang w:val="en-US" w:eastAsia="zh-CN"/>
              </w:rPr>
              <w:t>6</w:t>
            </w:r>
          </w:p>
        </w:tc>
        <w:tc>
          <w:tcPr>
            <w:tcW w:w="25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节能灯</w:t>
            </w:r>
          </w:p>
        </w:tc>
        <w:tc>
          <w:tcPr>
            <w:tcW w:w="77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8W</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228盏</w:t>
            </w:r>
          </w:p>
        </w:tc>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9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楷体"/>
                <w:bCs/>
                <w:color w:val="auto"/>
                <w:kern w:val="0"/>
                <w:szCs w:val="21"/>
                <w:lang w:val="en-US" w:eastAsia="zh-CN"/>
              </w:rPr>
            </w:pPr>
            <w:r>
              <w:rPr>
                <w:rFonts w:hint="eastAsia" w:ascii="Times New Roman" w:hAnsi="Times New Roman" w:eastAsia="楷体"/>
                <w:bCs/>
                <w:color w:val="auto"/>
                <w:kern w:val="0"/>
                <w:szCs w:val="21"/>
                <w:lang w:val="en-US" w:eastAsia="zh-CN"/>
              </w:rPr>
              <w:t>17</w:t>
            </w:r>
          </w:p>
        </w:tc>
        <w:tc>
          <w:tcPr>
            <w:tcW w:w="25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格珊灯</w:t>
            </w:r>
          </w:p>
        </w:tc>
        <w:tc>
          <w:tcPr>
            <w:tcW w:w="77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T8-18W</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w:t>
            </w:r>
            <w:r>
              <w:rPr>
                <w:rFonts w:hint="eastAsia" w:ascii="Times New Roman" w:hAnsi="Times New Roman" w:eastAsia="楷体"/>
                <w:bCs/>
                <w:color w:val="auto"/>
                <w:kern w:val="0"/>
                <w:szCs w:val="21"/>
                <w:lang w:val="en-US" w:eastAsia="zh-CN"/>
              </w:rPr>
              <w:t>6</w:t>
            </w:r>
            <w:r>
              <w:rPr>
                <w:rFonts w:ascii="Times New Roman" w:hAnsi="Times New Roman" w:eastAsia="楷体"/>
                <w:bCs/>
                <w:color w:val="auto"/>
                <w:kern w:val="0"/>
                <w:szCs w:val="21"/>
              </w:rPr>
              <w:t>盏</w:t>
            </w:r>
          </w:p>
        </w:tc>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9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楷体"/>
                <w:bCs/>
                <w:color w:val="auto"/>
                <w:kern w:val="0"/>
                <w:szCs w:val="21"/>
                <w:lang w:val="en-US" w:eastAsia="zh-CN"/>
              </w:rPr>
            </w:pPr>
            <w:r>
              <w:rPr>
                <w:rFonts w:hint="eastAsia" w:ascii="Times New Roman" w:hAnsi="Times New Roman" w:eastAsia="楷体"/>
                <w:bCs/>
                <w:color w:val="auto"/>
                <w:kern w:val="0"/>
                <w:szCs w:val="21"/>
                <w:lang w:val="en-US" w:eastAsia="zh-CN"/>
              </w:rPr>
              <w:t>18</w:t>
            </w:r>
          </w:p>
        </w:tc>
        <w:tc>
          <w:tcPr>
            <w:tcW w:w="25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双灯管日光灯</w:t>
            </w:r>
          </w:p>
        </w:tc>
        <w:tc>
          <w:tcPr>
            <w:tcW w:w="77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T8-36W</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12盏</w:t>
            </w:r>
          </w:p>
        </w:tc>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9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楷体"/>
                <w:bCs/>
                <w:color w:val="auto"/>
                <w:kern w:val="0"/>
                <w:szCs w:val="21"/>
                <w:lang w:val="en-US" w:eastAsia="zh-CN"/>
              </w:rPr>
            </w:pPr>
            <w:r>
              <w:rPr>
                <w:rFonts w:hint="eastAsia" w:ascii="Times New Roman" w:hAnsi="Times New Roman" w:eastAsia="楷体"/>
                <w:bCs/>
                <w:color w:val="auto"/>
                <w:kern w:val="0"/>
                <w:szCs w:val="21"/>
                <w:lang w:val="en-US" w:eastAsia="zh-CN"/>
              </w:rPr>
              <w:t>19</w:t>
            </w:r>
          </w:p>
        </w:tc>
        <w:tc>
          <w:tcPr>
            <w:tcW w:w="25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节能灯</w:t>
            </w:r>
          </w:p>
        </w:tc>
        <w:tc>
          <w:tcPr>
            <w:tcW w:w="77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23W、65W</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19盏</w:t>
            </w:r>
          </w:p>
        </w:tc>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9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楷体"/>
                <w:bCs/>
                <w:color w:val="auto"/>
                <w:kern w:val="0"/>
                <w:szCs w:val="21"/>
                <w:lang w:val="en-US" w:eastAsia="zh-CN"/>
              </w:rPr>
            </w:pPr>
            <w:r>
              <w:rPr>
                <w:rFonts w:hint="eastAsia" w:ascii="Times New Roman" w:hAnsi="Times New Roman" w:eastAsia="楷体"/>
                <w:bCs/>
                <w:color w:val="auto"/>
                <w:kern w:val="0"/>
                <w:szCs w:val="21"/>
                <w:lang w:val="en-US" w:eastAsia="zh-CN"/>
              </w:rPr>
              <w:t>20</w:t>
            </w:r>
          </w:p>
        </w:tc>
        <w:tc>
          <w:tcPr>
            <w:tcW w:w="25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吸顶灯</w:t>
            </w:r>
          </w:p>
        </w:tc>
        <w:tc>
          <w:tcPr>
            <w:tcW w:w="77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LED-40W、LED-18W</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32盏</w:t>
            </w:r>
          </w:p>
        </w:tc>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142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楷体"/>
                <w:bCs/>
                <w:color w:val="auto"/>
                <w:kern w:val="0"/>
                <w:szCs w:val="21"/>
                <w:lang w:val="en-US" w:eastAsia="zh-CN"/>
              </w:rPr>
            </w:pPr>
            <w:r>
              <w:rPr>
                <w:rFonts w:hint="eastAsia" w:ascii="Times New Roman" w:hAnsi="Times New Roman" w:eastAsia="楷体"/>
                <w:bCs/>
                <w:color w:val="auto"/>
                <w:kern w:val="0"/>
                <w:szCs w:val="21"/>
                <w:lang w:val="en-US" w:eastAsia="zh-CN"/>
              </w:rPr>
              <w:t>显示设备</w:t>
            </w:r>
          </w:p>
        </w:tc>
      </w:tr>
      <w:tr>
        <w:tblPrEx>
          <w:tblLayout w:type="fixed"/>
          <w:tblCellMar>
            <w:top w:w="0" w:type="dxa"/>
            <w:left w:w="108" w:type="dxa"/>
            <w:bottom w:w="0" w:type="dxa"/>
            <w:right w:w="108" w:type="dxa"/>
          </w:tblCellMar>
        </w:tblPrEx>
        <w:trPr>
          <w:trHeight w:val="240" w:hRule="atLeast"/>
        </w:trPr>
        <w:tc>
          <w:tcPr>
            <w:tcW w:w="9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楷体"/>
                <w:bCs/>
                <w:color w:val="auto"/>
                <w:kern w:val="0"/>
                <w:szCs w:val="21"/>
                <w:lang w:val="en-US" w:eastAsia="zh-CN"/>
              </w:rPr>
            </w:pPr>
            <w:r>
              <w:rPr>
                <w:rFonts w:hint="eastAsia" w:ascii="Times New Roman" w:hAnsi="Times New Roman" w:eastAsia="楷体"/>
                <w:bCs/>
                <w:color w:val="auto"/>
                <w:kern w:val="0"/>
                <w:szCs w:val="21"/>
                <w:lang w:val="en-US" w:eastAsia="zh-CN"/>
              </w:rPr>
              <w:t>21</w:t>
            </w:r>
          </w:p>
        </w:tc>
        <w:tc>
          <w:tcPr>
            <w:tcW w:w="25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楷体"/>
                <w:bCs/>
                <w:color w:val="auto"/>
                <w:kern w:val="0"/>
                <w:szCs w:val="21"/>
                <w:lang w:val="en-US" w:eastAsia="zh-CN"/>
              </w:rPr>
            </w:pPr>
            <w:r>
              <w:rPr>
                <w:rFonts w:hint="eastAsia" w:ascii="Times New Roman" w:hAnsi="Times New Roman" w:eastAsia="楷体"/>
                <w:bCs/>
                <w:color w:val="auto"/>
                <w:kern w:val="0"/>
                <w:szCs w:val="21"/>
                <w:lang w:val="en-US" w:eastAsia="zh-CN"/>
              </w:rPr>
              <w:t>电视机</w:t>
            </w:r>
          </w:p>
        </w:tc>
        <w:tc>
          <w:tcPr>
            <w:tcW w:w="77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楷体"/>
                <w:bCs/>
                <w:color w:val="auto"/>
                <w:kern w:val="0"/>
                <w:szCs w:val="21"/>
                <w:lang w:val="en-US" w:eastAsia="zh-CN"/>
              </w:rPr>
            </w:pPr>
            <w:r>
              <w:rPr>
                <w:rFonts w:hint="eastAsia" w:ascii="Times New Roman" w:hAnsi="Times New Roman" w:eastAsia="楷体"/>
                <w:bCs/>
                <w:color w:val="auto"/>
                <w:kern w:val="0"/>
                <w:szCs w:val="21"/>
                <w:lang w:val="en-US" w:eastAsia="zh-CN"/>
              </w:rPr>
              <w:t>LED平板电视机</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楷体"/>
                <w:bCs/>
                <w:color w:val="auto"/>
                <w:kern w:val="0"/>
                <w:szCs w:val="21"/>
                <w:lang w:val="en-US" w:eastAsia="zh-CN"/>
              </w:rPr>
            </w:pPr>
            <w:r>
              <w:rPr>
                <w:rFonts w:hint="eastAsia" w:ascii="Times New Roman" w:hAnsi="Times New Roman" w:eastAsia="楷体"/>
                <w:bCs/>
                <w:color w:val="auto"/>
                <w:kern w:val="0"/>
                <w:szCs w:val="21"/>
                <w:lang w:val="en-US" w:eastAsia="zh-CN"/>
              </w:rPr>
              <w:t>6</w:t>
            </w:r>
          </w:p>
        </w:tc>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bl>
    <w:p>
      <w:pPr>
        <w:snapToGrid w:val="0"/>
        <w:spacing w:line="590" w:lineRule="exact"/>
        <w:rPr>
          <w:rFonts w:ascii="Times New Roman" w:hAnsi="Times New Roman" w:eastAsia="黑体"/>
          <w:bCs/>
          <w:color w:val="auto"/>
          <w:kern w:val="0"/>
          <w:sz w:val="28"/>
          <w:szCs w:val="28"/>
        </w:rPr>
      </w:pPr>
    </w:p>
    <w:p>
      <w:pPr>
        <w:snapToGrid w:val="0"/>
        <w:spacing w:line="590" w:lineRule="exact"/>
        <w:rPr>
          <w:rFonts w:ascii="Times New Roman" w:hAnsi="Times New Roman" w:eastAsia="黑体"/>
          <w:bCs/>
          <w:color w:val="auto"/>
          <w:kern w:val="0"/>
          <w:sz w:val="28"/>
          <w:szCs w:val="28"/>
        </w:rPr>
      </w:pPr>
    </w:p>
    <w:p>
      <w:pPr>
        <w:snapToGrid w:val="0"/>
        <w:spacing w:line="590" w:lineRule="exact"/>
        <w:rPr>
          <w:rFonts w:ascii="Times New Roman" w:hAnsi="Times New Roman" w:eastAsia="黑体"/>
          <w:bCs/>
          <w:color w:val="auto"/>
          <w:kern w:val="0"/>
          <w:sz w:val="28"/>
          <w:szCs w:val="28"/>
        </w:rPr>
      </w:pPr>
    </w:p>
    <w:p>
      <w:pPr>
        <w:snapToGrid w:val="0"/>
        <w:spacing w:line="590" w:lineRule="exact"/>
        <w:rPr>
          <w:rFonts w:ascii="Times New Roman" w:hAnsi="Times New Roman" w:eastAsia="黑体"/>
          <w:bCs/>
          <w:color w:val="auto"/>
          <w:kern w:val="0"/>
          <w:sz w:val="28"/>
          <w:szCs w:val="28"/>
        </w:rPr>
      </w:pPr>
    </w:p>
    <w:p>
      <w:pPr>
        <w:snapToGrid w:val="0"/>
        <w:spacing w:line="590" w:lineRule="exact"/>
        <w:rPr>
          <w:rFonts w:ascii="Times New Roman" w:hAnsi="Times New Roman" w:eastAsia="黑体"/>
          <w:bCs/>
          <w:color w:val="auto"/>
          <w:kern w:val="0"/>
          <w:sz w:val="28"/>
          <w:szCs w:val="28"/>
        </w:rPr>
      </w:pPr>
    </w:p>
    <w:p>
      <w:pPr>
        <w:snapToGrid w:val="0"/>
        <w:spacing w:line="590" w:lineRule="exact"/>
        <w:rPr>
          <w:rFonts w:ascii="Times New Roman" w:hAnsi="Times New Roman" w:eastAsia="黑体"/>
          <w:bCs/>
          <w:color w:val="auto"/>
          <w:kern w:val="0"/>
          <w:sz w:val="28"/>
          <w:szCs w:val="28"/>
        </w:rPr>
      </w:pPr>
    </w:p>
    <w:p>
      <w:pPr>
        <w:snapToGrid w:val="0"/>
        <w:spacing w:line="590" w:lineRule="exact"/>
        <w:rPr>
          <w:rFonts w:ascii="Times New Roman" w:hAnsi="Times New Roman" w:eastAsia="黑体"/>
          <w:bCs/>
          <w:color w:val="auto"/>
          <w:kern w:val="0"/>
          <w:sz w:val="28"/>
          <w:szCs w:val="28"/>
        </w:rPr>
      </w:pPr>
    </w:p>
    <w:p>
      <w:pPr>
        <w:snapToGrid w:val="0"/>
        <w:spacing w:line="590" w:lineRule="exact"/>
        <w:rPr>
          <w:rFonts w:ascii="Times New Roman" w:hAnsi="Times New Roman" w:eastAsia="黑体"/>
          <w:bCs/>
          <w:color w:val="auto"/>
          <w:kern w:val="0"/>
          <w:sz w:val="28"/>
          <w:szCs w:val="28"/>
        </w:rPr>
      </w:pPr>
    </w:p>
    <w:p>
      <w:pPr>
        <w:snapToGrid w:val="0"/>
        <w:spacing w:line="590" w:lineRule="exact"/>
        <w:rPr>
          <w:rFonts w:ascii="Times New Roman" w:hAnsi="Times New Roman" w:eastAsia="黑体"/>
          <w:bCs/>
          <w:color w:val="auto"/>
          <w:kern w:val="0"/>
          <w:sz w:val="28"/>
          <w:szCs w:val="28"/>
        </w:rPr>
      </w:pPr>
    </w:p>
    <w:p>
      <w:pPr>
        <w:snapToGrid w:val="0"/>
        <w:spacing w:line="590" w:lineRule="exact"/>
        <w:rPr>
          <w:rFonts w:ascii="Times New Roman" w:hAnsi="Times New Roman" w:eastAsia="黑体"/>
          <w:bCs/>
          <w:color w:val="auto"/>
          <w:kern w:val="0"/>
          <w:sz w:val="28"/>
          <w:szCs w:val="28"/>
        </w:rPr>
      </w:pPr>
    </w:p>
    <w:p>
      <w:pPr>
        <w:snapToGrid w:val="0"/>
        <w:spacing w:line="590" w:lineRule="exact"/>
        <w:rPr>
          <w:rFonts w:ascii="Times New Roman" w:hAnsi="Times New Roman" w:eastAsia="黑体"/>
          <w:bCs/>
          <w:color w:val="auto"/>
          <w:kern w:val="0"/>
          <w:sz w:val="28"/>
          <w:szCs w:val="28"/>
        </w:rPr>
      </w:pPr>
    </w:p>
    <w:p>
      <w:pPr>
        <w:snapToGrid w:val="0"/>
        <w:spacing w:line="660" w:lineRule="exact"/>
        <w:rPr>
          <w:rFonts w:ascii="Times New Roman" w:hAnsi="Times New Roman" w:eastAsia="方正小标宋简体"/>
          <w:color w:val="auto"/>
          <w:kern w:val="0"/>
          <w:sz w:val="44"/>
          <w:szCs w:val="44"/>
        </w:rPr>
      </w:pPr>
      <w:r>
        <w:rPr>
          <w:rFonts w:ascii="Times New Roman" w:hAnsi="Times New Roman" w:eastAsia="黑体"/>
          <w:bCs/>
          <w:color w:val="auto"/>
          <w:kern w:val="0"/>
          <w:sz w:val="32"/>
          <w:szCs w:val="32"/>
        </w:rPr>
        <w:t>表4</w:t>
      </w:r>
    </w:p>
    <w:p>
      <w:pPr>
        <w:snapToGrid w:val="0"/>
        <w:spacing w:line="660" w:lineRule="exact"/>
        <w:jc w:val="center"/>
        <w:rPr>
          <w:rFonts w:ascii="Times New Roman" w:hAnsi="Times New Roman" w:eastAsia="方正小标宋简体"/>
          <w:color w:val="auto"/>
          <w:kern w:val="0"/>
          <w:sz w:val="44"/>
          <w:szCs w:val="44"/>
        </w:rPr>
      </w:pPr>
      <w:r>
        <w:rPr>
          <w:rFonts w:ascii="Times New Roman" w:hAnsi="Times New Roman" w:eastAsia="方正小标宋简体"/>
          <w:color w:val="auto"/>
          <w:kern w:val="0"/>
          <w:sz w:val="44"/>
          <w:szCs w:val="44"/>
        </w:rPr>
        <w:t>市政协机关办公区设施、设备清单</w:t>
      </w:r>
    </w:p>
    <w:p>
      <w:pPr>
        <w:snapToGrid w:val="0"/>
        <w:spacing w:line="660" w:lineRule="exact"/>
        <w:jc w:val="center"/>
        <w:rPr>
          <w:rFonts w:ascii="Times New Roman" w:hAnsi="Times New Roman" w:eastAsia="方正小标宋简体"/>
          <w:color w:val="auto"/>
          <w:kern w:val="0"/>
          <w:sz w:val="44"/>
          <w:szCs w:val="44"/>
        </w:rPr>
      </w:pPr>
    </w:p>
    <w:tbl>
      <w:tblPr>
        <w:tblStyle w:val="49"/>
        <w:tblW w:w="14220" w:type="dxa"/>
        <w:tblInd w:w="91" w:type="dxa"/>
        <w:tblLayout w:type="fixed"/>
        <w:tblCellMar>
          <w:top w:w="0" w:type="dxa"/>
          <w:left w:w="108" w:type="dxa"/>
          <w:bottom w:w="0" w:type="dxa"/>
          <w:right w:w="108" w:type="dxa"/>
        </w:tblCellMar>
      </w:tblPr>
      <w:tblGrid>
        <w:gridCol w:w="880"/>
        <w:gridCol w:w="2560"/>
        <w:gridCol w:w="7640"/>
        <w:gridCol w:w="1440"/>
        <w:gridCol w:w="1700"/>
      </w:tblGrid>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黑体"/>
                <w:color w:val="auto"/>
                <w:kern w:val="0"/>
                <w:szCs w:val="21"/>
              </w:rPr>
            </w:pPr>
            <w:r>
              <w:rPr>
                <w:rFonts w:ascii="Times New Roman" w:hAnsi="Times New Roman" w:eastAsia="黑体"/>
                <w:color w:val="auto"/>
                <w:kern w:val="0"/>
                <w:szCs w:val="21"/>
              </w:rPr>
              <w:t>序号</w:t>
            </w:r>
          </w:p>
        </w:tc>
        <w:tc>
          <w:tcPr>
            <w:tcW w:w="2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color w:val="auto"/>
                <w:kern w:val="0"/>
                <w:szCs w:val="21"/>
              </w:rPr>
            </w:pPr>
            <w:r>
              <w:rPr>
                <w:rFonts w:ascii="Times New Roman" w:hAnsi="Times New Roman" w:eastAsia="黑体"/>
                <w:color w:val="auto"/>
                <w:kern w:val="0"/>
                <w:szCs w:val="21"/>
              </w:rPr>
              <w:t>项目名称</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color w:val="auto"/>
                <w:kern w:val="0"/>
                <w:szCs w:val="21"/>
              </w:rPr>
            </w:pPr>
            <w:r>
              <w:rPr>
                <w:rFonts w:ascii="Times New Roman" w:hAnsi="Times New Roman" w:eastAsia="黑体"/>
                <w:color w:val="auto"/>
                <w:kern w:val="0"/>
                <w:szCs w:val="21"/>
              </w:rPr>
              <w:t>项目特征及内容</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color w:val="auto"/>
                <w:kern w:val="0"/>
                <w:szCs w:val="21"/>
              </w:rPr>
            </w:pPr>
            <w:r>
              <w:rPr>
                <w:rFonts w:ascii="Times New Roman" w:hAnsi="Times New Roman" w:eastAsia="黑体"/>
                <w:color w:val="auto"/>
                <w:kern w:val="0"/>
                <w:szCs w:val="21"/>
              </w:rPr>
              <w:t>数量</w:t>
            </w:r>
          </w:p>
        </w:tc>
        <w:tc>
          <w:tcPr>
            <w:tcW w:w="1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color w:val="auto"/>
                <w:kern w:val="0"/>
                <w:szCs w:val="21"/>
              </w:rPr>
            </w:pPr>
            <w:r>
              <w:rPr>
                <w:rFonts w:ascii="Times New Roman" w:hAnsi="Times New Roman" w:eastAsia="黑体"/>
                <w:color w:val="auto"/>
                <w:kern w:val="0"/>
                <w:szCs w:val="21"/>
              </w:rPr>
              <w:t>备注</w:t>
            </w:r>
          </w:p>
        </w:tc>
      </w:tr>
      <w:tr>
        <w:tblPrEx>
          <w:tblLayout w:type="fixed"/>
          <w:tblCellMar>
            <w:top w:w="0" w:type="dxa"/>
            <w:left w:w="108" w:type="dxa"/>
            <w:bottom w:w="0" w:type="dxa"/>
            <w:right w:w="108" w:type="dxa"/>
          </w:tblCellMar>
        </w:tblPrEx>
        <w:trPr>
          <w:trHeight w:val="240" w:hRule="atLeast"/>
        </w:trPr>
        <w:tc>
          <w:tcPr>
            <w:tcW w:w="14220"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空调</w:t>
            </w: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w:t>
            </w:r>
          </w:p>
        </w:tc>
        <w:tc>
          <w:tcPr>
            <w:tcW w:w="2560" w:type="dxa"/>
            <w:vMerge w:val="restart"/>
            <w:tcBorders>
              <w:top w:val="single" w:color="auto" w:sz="4" w:space="0"/>
              <w:left w:val="nil"/>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空调</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柜式</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39台</w:t>
            </w:r>
          </w:p>
        </w:tc>
        <w:tc>
          <w:tcPr>
            <w:tcW w:w="1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w:t>
            </w:r>
          </w:p>
        </w:tc>
        <w:tc>
          <w:tcPr>
            <w:tcW w:w="2560" w:type="dxa"/>
            <w:vMerge w:val="continue"/>
            <w:tcBorders>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挂机</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30台</w:t>
            </w:r>
          </w:p>
        </w:tc>
        <w:tc>
          <w:tcPr>
            <w:tcW w:w="1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p>
        </w:tc>
      </w:tr>
      <w:tr>
        <w:tblPrEx>
          <w:tblLayout w:type="fixed"/>
          <w:tblCellMar>
            <w:top w:w="0" w:type="dxa"/>
            <w:left w:w="108" w:type="dxa"/>
            <w:bottom w:w="0" w:type="dxa"/>
            <w:right w:w="108" w:type="dxa"/>
          </w:tblCellMar>
        </w:tblPrEx>
        <w:trPr>
          <w:trHeight w:val="240" w:hRule="atLeast"/>
        </w:trPr>
        <w:tc>
          <w:tcPr>
            <w:tcW w:w="14220"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电梯</w:t>
            </w: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w:t>
            </w:r>
          </w:p>
        </w:tc>
        <w:tc>
          <w:tcPr>
            <w:tcW w:w="2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电梯</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产品名称：曳引式电梯；产品型号：BLT-QS;载重量：1750KG；DHN-141923T12﹟；出厂日期：2015年8月</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3台</w:t>
            </w:r>
          </w:p>
        </w:tc>
        <w:tc>
          <w:tcPr>
            <w:tcW w:w="1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p>
        </w:tc>
      </w:tr>
      <w:tr>
        <w:tblPrEx>
          <w:tblLayout w:type="fixed"/>
          <w:tblCellMar>
            <w:top w:w="0" w:type="dxa"/>
            <w:left w:w="108" w:type="dxa"/>
            <w:bottom w:w="0" w:type="dxa"/>
            <w:right w:w="108" w:type="dxa"/>
          </w:tblCellMar>
        </w:tblPrEx>
        <w:trPr>
          <w:trHeight w:val="240" w:hRule="atLeast"/>
        </w:trPr>
        <w:tc>
          <w:tcPr>
            <w:tcW w:w="14220"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监控设备</w:t>
            </w: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w:t>
            </w:r>
          </w:p>
        </w:tc>
        <w:tc>
          <w:tcPr>
            <w:tcW w:w="2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监控设备</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品牌： 海康威视</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1套</w:t>
            </w:r>
          </w:p>
        </w:tc>
        <w:tc>
          <w:tcPr>
            <w:tcW w:w="1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p>
        </w:tc>
      </w:tr>
      <w:tr>
        <w:tblPrEx>
          <w:tblLayout w:type="fixed"/>
          <w:tblCellMar>
            <w:top w:w="0" w:type="dxa"/>
            <w:left w:w="108" w:type="dxa"/>
            <w:bottom w:w="0" w:type="dxa"/>
            <w:right w:w="108" w:type="dxa"/>
          </w:tblCellMar>
        </w:tblPrEx>
        <w:trPr>
          <w:trHeight w:val="240" w:hRule="atLeast"/>
        </w:trPr>
        <w:tc>
          <w:tcPr>
            <w:tcW w:w="14220"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配电房主要设备清单</w:t>
            </w: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w:t>
            </w:r>
          </w:p>
        </w:tc>
        <w:tc>
          <w:tcPr>
            <w:tcW w:w="2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配电柜</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XXL，250A</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6台</w:t>
            </w:r>
          </w:p>
        </w:tc>
        <w:tc>
          <w:tcPr>
            <w:tcW w:w="1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w:t>
            </w:r>
          </w:p>
        </w:tc>
        <w:tc>
          <w:tcPr>
            <w:tcW w:w="2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配电箱</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XXM，63A、32A、</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10台</w:t>
            </w:r>
          </w:p>
        </w:tc>
        <w:tc>
          <w:tcPr>
            <w:tcW w:w="1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p>
        </w:tc>
      </w:tr>
      <w:tr>
        <w:tblPrEx>
          <w:tblLayout w:type="fixed"/>
          <w:tblCellMar>
            <w:top w:w="0" w:type="dxa"/>
            <w:left w:w="108" w:type="dxa"/>
            <w:bottom w:w="0" w:type="dxa"/>
            <w:right w:w="108" w:type="dxa"/>
          </w:tblCellMar>
        </w:tblPrEx>
        <w:trPr>
          <w:trHeight w:val="240" w:hRule="atLeast"/>
        </w:trPr>
        <w:tc>
          <w:tcPr>
            <w:tcW w:w="14220"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道闸、伸缩门</w:t>
            </w: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w:t>
            </w:r>
          </w:p>
        </w:tc>
        <w:tc>
          <w:tcPr>
            <w:tcW w:w="2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伸缩门</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1道</w:t>
            </w:r>
          </w:p>
        </w:tc>
        <w:tc>
          <w:tcPr>
            <w:tcW w:w="1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8</w:t>
            </w:r>
          </w:p>
        </w:tc>
        <w:tc>
          <w:tcPr>
            <w:tcW w:w="2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道闸</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1道</w:t>
            </w:r>
          </w:p>
        </w:tc>
        <w:tc>
          <w:tcPr>
            <w:tcW w:w="1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p>
        </w:tc>
      </w:tr>
      <w:tr>
        <w:tblPrEx>
          <w:tblLayout w:type="fixed"/>
          <w:tblCellMar>
            <w:top w:w="0" w:type="dxa"/>
            <w:left w:w="108" w:type="dxa"/>
            <w:bottom w:w="0" w:type="dxa"/>
            <w:right w:w="108" w:type="dxa"/>
          </w:tblCellMar>
        </w:tblPrEx>
        <w:trPr>
          <w:trHeight w:val="240" w:hRule="atLeast"/>
        </w:trPr>
        <w:tc>
          <w:tcPr>
            <w:tcW w:w="14220"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照明系统</w:t>
            </w: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9</w:t>
            </w:r>
          </w:p>
        </w:tc>
        <w:tc>
          <w:tcPr>
            <w:tcW w:w="2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平板灯</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600*600mm</w:t>
            </w:r>
            <w:r>
              <w:rPr>
                <w:rFonts w:ascii="Times New Roman" w:hAnsi="Times New Roman" w:eastAsia="楷体"/>
                <w:color w:val="auto"/>
                <w:szCs w:val="21"/>
              </w:rPr>
              <w:t xml:space="preserve"> </w:t>
            </w:r>
            <w:r>
              <w:rPr>
                <w:rFonts w:ascii="Times New Roman" w:hAnsi="Times New Roman" w:eastAsia="楷体"/>
                <w:color w:val="auto"/>
                <w:kern w:val="0"/>
                <w:szCs w:val="21"/>
              </w:rPr>
              <w:t>LED-48W</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hint="eastAsia" w:ascii="Times New Roman" w:hAnsi="Times New Roman" w:eastAsia="楷体"/>
                <w:color w:val="auto"/>
                <w:kern w:val="0"/>
                <w:szCs w:val="21"/>
                <w:lang w:val="en-US" w:eastAsia="zh-CN"/>
              </w:rPr>
              <w:t>48</w:t>
            </w:r>
            <w:r>
              <w:rPr>
                <w:rFonts w:ascii="Times New Roman" w:hAnsi="Times New Roman" w:eastAsia="楷体"/>
                <w:color w:val="auto"/>
                <w:kern w:val="0"/>
                <w:szCs w:val="21"/>
              </w:rPr>
              <w:t>盏</w:t>
            </w:r>
          </w:p>
        </w:tc>
        <w:tc>
          <w:tcPr>
            <w:tcW w:w="1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10</w:t>
            </w:r>
          </w:p>
        </w:tc>
        <w:tc>
          <w:tcPr>
            <w:tcW w:w="2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平板灯</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300*600mm</w:t>
            </w:r>
            <w:r>
              <w:rPr>
                <w:rFonts w:ascii="Times New Roman" w:hAnsi="Times New Roman" w:eastAsia="楷体"/>
                <w:color w:val="auto"/>
                <w:szCs w:val="21"/>
              </w:rPr>
              <w:t xml:space="preserve"> </w:t>
            </w:r>
            <w:r>
              <w:rPr>
                <w:rFonts w:ascii="Times New Roman" w:hAnsi="Times New Roman" w:eastAsia="楷体"/>
                <w:color w:val="auto"/>
                <w:kern w:val="0"/>
                <w:szCs w:val="21"/>
              </w:rPr>
              <w:t>LED-24W</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85盏</w:t>
            </w:r>
          </w:p>
        </w:tc>
        <w:tc>
          <w:tcPr>
            <w:tcW w:w="1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11</w:t>
            </w:r>
          </w:p>
        </w:tc>
        <w:tc>
          <w:tcPr>
            <w:tcW w:w="2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筒灯</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LED-12W</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121盏</w:t>
            </w:r>
          </w:p>
        </w:tc>
        <w:tc>
          <w:tcPr>
            <w:tcW w:w="1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12</w:t>
            </w:r>
          </w:p>
        </w:tc>
        <w:tc>
          <w:tcPr>
            <w:tcW w:w="2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高杆灯</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23W节能灯</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5盏</w:t>
            </w:r>
          </w:p>
        </w:tc>
        <w:tc>
          <w:tcPr>
            <w:tcW w:w="1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p>
        </w:tc>
      </w:tr>
      <w:tr>
        <w:tblPrEx>
          <w:tblLayout w:type="fixed"/>
          <w:tblCellMar>
            <w:top w:w="0" w:type="dxa"/>
            <w:left w:w="108" w:type="dxa"/>
            <w:bottom w:w="0" w:type="dxa"/>
            <w:right w:w="108" w:type="dxa"/>
          </w:tblCellMar>
        </w:tblPrEx>
        <w:trPr>
          <w:trHeight w:val="240" w:hRule="atLeast"/>
        </w:trPr>
        <w:tc>
          <w:tcPr>
            <w:tcW w:w="14220"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会议音响系统</w:t>
            </w: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13</w:t>
            </w:r>
          </w:p>
        </w:tc>
        <w:tc>
          <w:tcPr>
            <w:tcW w:w="2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会议音箱设备</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3楼会议室、5楼会议室</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2套</w:t>
            </w:r>
          </w:p>
        </w:tc>
        <w:tc>
          <w:tcPr>
            <w:tcW w:w="1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p>
        </w:tc>
      </w:tr>
    </w:tbl>
    <w:p>
      <w:pPr>
        <w:keepNext/>
        <w:keepLines/>
        <w:spacing w:before="260" w:after="260" w:line="660" w:lineRule="exact"/>
        <w:outlineLvl w:val="1"/>
        <w:rPr>
          <w:rFonts w:ascii="Times New Roman" w:hAnsi="Times New Roman" w:eastAsia="黑体"/>
          <w:bCs/>
          <w:color w:val="auto"/>
          <w:sz w:val="32"/>
          <w:szCs w:val="32"/>
        </w:rPr>
      </w:pPr>
      <w:r>
        <w:rPr>
          <w:rFonts w:ascii="Times New Roman" w:hAnsi="Times New Roman" w:eastAsia="黑体"/>
          <w:bCs/>
          <w:color w:val="auto"/>
          <w:sz w:val="32"/>
          <w:szCs w:val="32"/>
        </w:rPr>
        <w:t>表5</w:t>
      </w:r>
    </w:p>
    <w:p>
      <w:pPr>
        <w:keepNext/>
        <w:keepLines/>
        <w:spacing w:line="660" w:lineRule="exact"/>
        <w:jc w:val="center"/>
        <w:outlineLvl w:val="1"/>
        <w:rPr>
          <w:rFonts w:ascii="Times New Roman" w:hAnsi="Times New Roman" w:eastAsia="方正小标宋简体"/>
          <w:bCs/>
          <w:color w:val="auto"/>
          <w:sz w:val="44"/>
          <w:szCs w:val="44"/>
        </w:rPr>
      </w:pPr>
      <w:r>
        <w:rPr>
          <w:rFonts w:ascii="Times New Roman" w:hAnsi="Times New Roman" w:eastAsia="方正小标宋简体"/>
          <w:bCs/>
          <w:color w:val="auto"/>
          <w:sz w:val="44"/>
          <w:szCs w:val="44"/>
        </w:rPr>
        <w:t>周转房设施、设备清单</w:t>
      </w:r>
    </w:p>
    <w:tbl>
      <w:tblPr>
        <w:tblStyle w:val="49"/>
        <w:tblpPr w:leftFromText="180" w:rightFromText="180" w:vertAnchor="text" w:horzAnchor="page" w:tblpX="1468" w:tblpY="367"/>
        <w:tblOverlap w:val="never"/>
        <w:tblW w:w="14325" w:type="dxa"/>
        <w:tblInd w:w="0" w:type="dxa"/>
        <w:tblLayout w:type="fixed"/>
        <w:tblCellMar>
          <w:top w:w="0" w:type="dxa"/>
          <w:left w:w="108" w:type="dxa"/>
          <w:bottom w:w="0" w:type="dxa"/>
          <w:right w:w="108" w:type="dxa"/>
        </w:tblCellMar>
      </w:tblPr>
      <w:tblGrid>
        <w:gridCol w:w="990"/>
        <w:gridCol w:w="2565"/>
        <w:gridCol w:w="7635"/>
        <w:gridCol w:w="1440"/>
        <w:gridCol w:w="1695"/>
      </w:tblGrid>
      <w:tr>
        <w:tblPrEx>
          <w:tblLayout w:type="fixed"/>
          <w:tblCellMar>
            <w:top w:w="0" w:type="dxa"/>
            <w:left w:w="108" w:type="dxa"/>
            <w:bottom w:w="0" w:type="dxa"/>
            <w:right w:w="108" w:type="dxa"/>
          </w:tblCellMar>
        </w:tblPrEx>
        <w:trPr>
          <w:trHeight w:val="490" w:hRule="atLeast"/>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黑体"/>
                <w:bCs/>
                <w:color w:val="auto"/>
                <w:kern w:val="0"/>
                <w:szCs w:val="21"/>
              </w:rPr>
            </w:pPr>
            <w:r>
              <w:rPr>
                <w:rFonts w:ascii="Times New Roman" w:hAnsi="Times New Roman" w:eastAsia="黑体"/>
                <w:bCs/>
                <w:color w:val="auto"/>
                <w:kern w:val="0"/>
                <w:szCs w:val="21"/>
              </w:rPr>
              <w:t>序号</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黑体"/>
                <w:bCs/>
                <w:color w:val="auto"/>
                <w:kern w:val="0"/>
                <w:szCs w:val="21"/>
              </w:rPr>
            </w:pPr>
            <w:r>
              <w:rPr>
                <w:rFonts w:ascii="Times New Roman" w:hAnsi="Times New Roman" w:eastAsia="黑体"/>
                <w:bCs/>
                <w:color w:val="auto"/>
                <w:kern w:val="0"/>
                <w:szCs w:val="21"/>
              </w:rPr>
              <w:t>项目名称</w:t>
            </w:r>
          </w:p>
        </w:tc>
        <w:tc>
          <w:tcPr>
            <w:tcW w:w="7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黑体"/>
                <w:bCs/>
                <w:color w:val="auto"/>
                <w:kern w:val="0"/>
                <w:szCs w:val="21"/>
              </w:rPr>
            </w:pPr>
            <w:r>
              <w:rPr>
                <w:rFonts w:ascii="Times New Roman" w:hAnsi="Times New Roman" w:eastAsia="黑体"/>
                <w:bCs/>
                <w:color w:val="auto"/>
                <w:kern w:val="0"/>
                <w:szCs w:val="21"/>
              </w:rPr>
              <w:t>项目特征及内容</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黑体"/>
                <w:bCs/>
                <w:color w:val="auto"/>
                <w:kern w:val="0"/>
                <w:szCs w:val="21"/>
              </w:rPr>
            </w:pPr>
            <w:r>
              <w:rPr>
                <w:rFonts w:ascii="Times New Roman" w:hAnsi="Times New Roman" w:eastAsia="黑体"/>
                <w:bCs/>
                <w:color w:val="auto"/>
                <w:kern w:val="0"/>
                <w:szCs w:val="21"/>
              </w:rPr>
              <w:t>数量</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黑体"/>
                <w:bCs/>
                <w:color w:val="auto"/>
                <w:kern w:val="0"/>
                <w:szCs w:val="21"/>
              </w:rPr>
            </w:pPr>
            <w:r>
              <w:rPr>
                <w:rFonts w:ascii="Times New Roman" w:hAnsi="Times New Roman" w:eastAsia="黑体"/>
                <w:bCs/>
                <w:color w:val="auto"/>
                <w:kern w:val="0"/>
                <w:szCs w:val="21"/>
              </w:rPr>
              <w:t>备注</w:t>
            </w:r>
          </w:p>
        </w:tc>
      </w:tr>
      <w:tr>
        <w:tblPrEx>
          <w:tblLayout w:type="fixed"/>
          <w:tblCellMar>
            <w:top w:w="0" w:type="dxa"/>
            <w:left w:w="108" w:type="dxa"/>
            <w:bottom w:w="0" w:type="dxa"/>
            <w:right w:w="108" w:type="dxa"/>
          </w:tblCellMar>
        </w:tblPrEx>
        <w:trPr>
          <w:trHeight w:val="540" w:hRule="atLeast"/>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w:t>
            </w:r>
          </w:p>
        </w:tc>
        <w:tc>
          <w:tcPr>
            <w:tcW w:w="25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空调</w:t>
            </w:r>
          </w:p>
        </w:tc>
        <w:tc>
          <w:tcPr>
            <w:tcW w:w="7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挂式</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66台</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品牌：格力</w:t>
            </w:r>
          </w:p>
        </w:tc>
      </w:tr>
      <w:tr>
        <w:tblPrEx>
          <w:tblLayout w:type="fixed"/>
          <w:tblCellMar>
            <w:top w:w="0" w:type="dxa"/>
            <w:left w:w="108" w:type="dxa"/>
            <w:bottom w:w="0" w:type="dxa"/>
            <w:right w:w="108" w:type="dxa"/>
          </w:tblCellMar>
        </w:tblPrEx>
        <w:trPr>
          <w:trHeight w:val="450" w:hRule="atLeast"/>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w:t>
            </w:r>
          </w:p>
        </w:tc>
        <w:tc>
          <w:tcPr>
            <w:tcW w:w="25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7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柜式</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27台</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品牌：格力</w:t>
            </w:r>
          </w:p>
        </w:tc>
      </w:tr>
      <w:tr>
        <w:tblPrEx>
          <w:tblLayout w:type="fixed"/>
          <w:tblCellMar>
            <w:top w:w="0" w:type="dxa"/>
            <w:left w:w="108" w:type="dxa"/>
            <w:bottom w:w="0" w:type="dxa"/>
            <w:right w:w="108" w:type="dxa"/>
          </w:tblCellMar>
        </w:tblPrEx>
        <w:trPr>
          <w:trHeight w:val="460" w:hRule="atLeast"/>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3</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道闸</w:t>
            </w:r>
          </w:p>
        </w:tc>
        <w:tc>
          <w:tcPr>
            <w:tcW w:w="7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1台</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500" w:hRule="atLeast"/>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4</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电视机</w:t>
            </w:r>
          </w:p>
        </w:tc>
        <w:tc>
          <w:tcPr>
            <w:tcW w:w="7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87台</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品牌：海信</w:t>
            </w:r>
          </w:p>
        </w:tc>
      </w:tr>
      <w:tr>
        <w:tblPrEx>
          <w:tblLayout w:type="fixed"/>
          <w:tblCellMar>
            <w:top w:w="0" w:type="dxa"/>
            <w:left w:w="108" w:type="dxa"/>
            <w:bottom w:w="0" w:type="dxa"/>
            <w:right w:w="108" w:type="dxa"/>
          </w:tblCellMar>
        </w:tblPrEx>
        <w:trPr>
          <w:trHeight w:val="470" w:hRule="atLeast"/>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5</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电热水器</w:t>
            </w:r>
          </w:p>
        </w:tc>
        <w:tc>
          <w:tcPr>
            <w:tcW w:w="7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7台</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品牌：海尔</w:t>
            </w:r>
          </w:p>
        </w:tc>
      </w:tr>
      <w:tr>
        <w:tblPrEx>
          <w:tblLayout w:type="fixed"/>
          <w:tblCellMar>
            <w:top w:w="0" w:type="dxa"/>
            <w:left w:w="108" w:type="dxa"/>
            <w:bottom w:w="0" w:type="dxa"/>
            <w:right w:w="108" w:type="dxa"/>
          </w:tblCellMar>
        </w:tblPrEx>
        <w:trPr>
          <w:trHeight w:val="480" w:hRule="atLeast"/>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6</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天然气热水器</w:t>
            </w:r>
          </w:p>
        </w:tc>
        <w:tc>
          <w:tcPr>
            <w:tcW w:w="7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22台</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品牌：欧眯嘉</w:t>
            </w:r>
          </w:p>
        </w:tc>
      </w:tr>
      <w:tr>
        <w:tblPrEx>
          <w:tblLayout w:type="fixed"/>
          <w:tblCellMar>
            <w:top w:w="0" w:type="dxa"/>
            <w:left w:w="108" w:type="dxa"/>
            <w:bottom w:w="0" w:type="dxa"/>
            <w:right w:w="108" w:type="dxa"/>
          </w:tblCellMar>
        </w:tblPrEx>
        <w:trPr>
          <w:trHeight w:val="615" w:hRule="atLeast"/>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7</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电梯</w:t>
            </w:r>
          </w:p>
        </w:tc>
        <w:tc>
          <w:tcPr>
            <w:tcW w:w="7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型号：GTW8-81P5；额定载重：800kg；速度：1.5m/s</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1台</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品牌：四川快速电梯有限公司</w:t>
            </w:r>
          </w:p>
        </w:tc>
      </w:tr>
    </w:tbl>
    <w:p>
      <w:pPr>
        <w:keepNext/>
        <w:keepLines/>
        <w:spacing w:line="660" w:lineRule="exact"/>
        <w:jc w:val="center"/>
        <w:outlineLvl w:val="1"/>
        <w:rPr>
          <w:rFonts w:ascii="Times New Roman" w:hAnsi="Times New Roman" w:eastAsia="方正小标宋简体"/>
          <w:bCs/>
          <w:color w:val="auto"/>
          <w:sz w:val="44"/>
          <w:szCs w:val="44"/>
        </w:rPr>
      </w:pPr>
    </w:p>
    <w:p>
      <w:pPr>
        <w:keepNext/>
        <w:keepLines/>
        <w:spacing w:before="260" w:after="260" w:line="590" w:lineRule="exact"/>
        <w:outlineLvl w:val="1"/>
        <w:rPr>
          <w:rFonts w:ascii="Times New Roman" w:hAnsi="Times New Roman"/>
          <w:bCs/>
          <w:color w:val="auto"/>
          <w:sz w:val="28"/>
          <w:szCs w:val="28"/>
        </w:rPr>
        <w:sectPr>
          <w:pgSz w:w="16838" w:h="11906" w:orient="landscape"/>
          <w:pgMar w:top="1797" w:right="1440" w:bottom="1797" w:left="1440" w:header="851" w:footer="992" w:gutter="0"/>
          <w:cols w:space="720" w:num="1"/>
          <w:docGrid w:type="lines" w:linePitch="317" w:charSpace="609"/>
        </w:sectPr>
      </w:pPr>
    </w:p>
    <w:bookmarkEnd w:id="235"/>
    <w:bookmarkEnd w:id="236"/>
    <w:p>
      <w:pPr>
        <w:spacing w:line="590" w:lineRule="exact"/>
        <w:ind w:firstLine="643" w:firstLineChars="200"/>
        <w:rPr>
          <w:rFonts w:ascii="华文中宋" w:hAnsi="华文中宋" w:eastAsia="华文中宋"/>
          <w:b/>
          <w:color w:val="auto"/>
          <w:sz w:val="28"/>
          <w:szCs w:val="28"/>
        </w:rPr>
      </w:pPr>
      <w:r>
        <w:rPr>
          <w:rFonts w:ascii="华文中宋" w:hAnsi="华文中宋" w:eastAsia="华文中宋"/>
          <w:b/>
          <w:color w:val="auto"/>
          <w:sz w:val="32"/>
          <w:szCs w:val="32"/>
        </w:rPr>
        <w:t>三、物业管理要求</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（一）物业管理服务要求</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1.服务事项：建筑物管理及维护，设施设备运行管理及维护，治安保卫</w:t>
      </w:r>
      <w:r>
        <w:rPr>
          <w:rFonts w:hint="eastAsia" w:ascii="仿宋" w:hAnsi="仿宋" w:eastAsia="仿宋"/>
          <w:color w:val="auto"/>
          <w:sz w:val="32"/>
          <w:szCs w:val="32"/>
          <w:lang w:eastAsia="zh-CN"/>
        </w:rPr>
        <w:t>、</w:t>
      </w:r>
      <w:r>
        <w:rPr>
          <w:rFonts w:hint="eastAsia" w:ascii="仿宋" w:hAnsi="仿宋" w:eastAsia="仿宋"/>
          <w:color w:val="auto"/>
          <w:sz w:val="32"/>
          <w:szCs w:val="32"/>
          <w:shd w:val="clear" w:color="FFFFFF" w:fill="D9D9D9"/>
          <w:lang w:val="en-US" w:eastAsia="zh-CN"/>
        </w:rPr>
        <w:t>疫情防控</w:t>
      </w:r>
      <w:r>
        <w:rPr>
          <w:rFonts w:ascii="仿宋" w:hAnsi="仿宋" w:eastAsia="仿宋"/>
          <w:color w:val="auto"/>
          <w:sz w:val="32"/>
          <w:szCs w:val="32"/>
        </w:rPr>
        <w:t>，卫生保洁、会务服务和客服服务等。</w:t>
      </w:r>
    </w:p>
    <w:p>
      <w:pPr>
        <w:spacing w:line="590" w:lineRule="exact"/>
        <w:ind w:firstLine="640" w:firstLineChars="200"/>
        <w:rPr>
          <w:rFonts w:hint="eastAsia" w:ascii="仿宋" w:hAnsi="仿宋" w:eastAsia="仿宋"/>
          <w:color w:val="auto"/>
          <w:sz w:val="32"/>
          <w:szCs w:val="32"/>
          <w:shd w:val="clear" w:color="FFFFFF" w:fill="D9D9D9"/>
          <w:lang w:eastAsia="zh-CN"/>
        </w:rPr>
      </w:pPr>
      <w:r>
        <w:rPr>
          <w:rFonts w:ascii="仿宋" w:hAnsi="仿宋" w:eastAsia="仿宋"/>
          <w:color w:val="auto"/>
          <w:sz w:val="32"/>
          <w:szCs w:val="32"/>
          <w:shd w:val="clear" w:color="FFFFFF" w:fill="D9D9D9"/>
        </w:rPr>
        <w:t>2.服务要求：按照要求</w:t>
      </w:r>
      <w:r>
        <w:rPr>
          <w:rFonts w:hint="eastAsia" w:ascii="仿宋" w:hAnsi="仿宋" w:eastAsia="仿宋"/>
          <w:color w:val="auto"/>
          <w:sz w:val="32"/>
          <w:szCs w:val="32"/>
          <w:shd w:val="clear" w:color="FFFFFF" w:fill="D9D9D9"/>
          <w:lang w:val="en-US" w:eastAsia="zh-CN"/>
        </w:rPr>
        <w:t>加强</w:t>
      </w:r>
      <w:r>
        <w:rPr>
          <w:rFonts w:ascii="仿宋" w:hAnsi="仿宋" w:eastAsia="仿宋"/>
          <w:color w:val="auto"/>
          <w:sz w:val="32"/>
          <w:szCs w:val="32"/>
          <w:shd w:val="clear" w:color="FFFFFF" w:fill="D9D9D9"/>
        </w:rPr>
        <w:t>楼宇治安、</w:t>
      </w:r>
      <w:r>
        <w:rPr>
          <w:rFonts w:hint="eastAsia" w:ascii="仿宋" w:hAnsi="仿宋" w:eastAsia="仿宋"/>
          <w:color w:val="auto"/>
          <w:sz w:val="32"/>
          <w:szCs w:val="32"/>
          <w:shd w:val="clear" w:color="FFFFFF" w:fill="D9D9D9"/>
          <w:lang w:val="en-US" w:eastAsia="zh-CN"/>
        </w:rPr>
        <w:t>疾病防控、</w:t>
      </w:r>
      <w:r>
        <w:rPr>
          <w:rFonts w:ascii="仿宋" w:hAnsi="仿宋" w:eastAsia="仿宋"/>
          <w:color w:val="auto"/>
          <w:sz w:val="32"/>
          <w:szCs w:val="32"/>
          <w:shd w:val="clear" w:color="FFFFFF" w:fill="D9D9D9"/>
        </w:rPr>
        <w:t>清洁消毒、来信来访、突发事件处置</w:t>
      </w:r>
      <w:r>
        <w:rPr>
          <w:rFonts w:hint="eastAsia" w:ascii="仿宋" w:hAnsi="仿宋" w:eastAsia="仿宋"/>
          <w:color w:val="auto"/>
          <w:sz w:val="32"/>
          <w:szCs w:val="32"/>
          <w:shd w:val="clear" w:color="FFFFFF" w:fill="D9D9D9"/>
          <w:lang w:eastAsia="zh-CN"/>
        </w:rPr>
        <w:t>、</w:t>
      </w:r>
      <w:r>
        <w:rPr>
          <w:rFonts w:hint="eastAsia" w:ascii="仿宋" w:hAnsi="仿宋" w:eastAsia="仿宋"/>
          <w:color w:val="auto"/>
          <w:sz w:val="32"/>
          <w:szCs w:val="32"/>
          <w:shd w:val="clear" w:color="FFFFFF" w:fill="D9D9D9"/>
          <w:lang w:val="en-US" w:eastAsia="zh-CN"/>
        </w:rPr>
        <w:t>会务服务、客服服务</w:t>
      </w:r>
      <w:r>
        <w:rPr>
          <w:rFonts w:ascii="仿宋" w:hAnsi="仿宋" w:eastAsia="仿宋"/>
          <w:color w:val="auto"/>
          <w:sz w:val="32"/>
          <w:szCs w:val="32"/>
          <w:shd w:val="clear" w:color="FFFFFF" w:fill="D9D9D9"/>
        </w:rPr>
        <w:t>等</w:t>
      </w:r>
      <w:r>
        <w:rPr>
          <w:rFonts w:hint="eastAsia" w:ascii="仿宋" w:hAnsi="仿宋" w:eastAsia="仿宋"/>
          <w:color w:val="auto"/>
          <w:sz w:val="32"/>
          <w:szCs w:val="32"/>
          <w:shd w:val="clear" w:color="FFFFFF" w:fill="D9D9D9"/>
          <w:lang w:val="en-US" w:eastAsia="zh-CN"/>
        </w:rPr>
        <w:t>工作</w:t>
      </w:r>
      <w:r>
        <w:rPr>
          <w:rFonts w:ascii="仿宋" w:hAnsi="仿宋" w:eastAsia="仿宋"/>
          <w:color w:val="auto"/>
          <w:sz w:val="32"/>
          <w:szCs w:val="32"/>
          <w:shd w:val="clear" w:color="FFFFFF" w:fill="D9D9D9"/>
        </w:rPr>
        <w:t>，</w:t>
      </w:r>
      <w:r>
        <w:rPr>
          <w:rFonts w:hint="eastAsia" w:ascii="仿宋" w:hAnsi="仿宋" w:eastAsia="仿宋"/>
          <w:color w:val="auto"/>
          <w:sz w:val="32"/>
          <w:szCs w:val="32"/>
          <w:shd w:val="clear" w:color="FFFFFF" w:fill="D9D9D9"/>
          <w:lang w:val="en-US" w:eastAsia="zh-CN"/>
        </w:rPr>
        <w:t>做好“四大办”集中办公区的</w:t>
      </w:r>
      <w:r>
        <w:rPr>
          <w:rFonts w:ascii="仿宋" w:hAnsi="仿宋" w:eastAsia="仿宋"/>
          <w:color w:val="auto"/>
          <w:sz w:val="32"/>
          <w:szCs w:val="32"/>
          <w:shd w:val="clear" w:color="FFFFFF" w:fill="D9D9D9"/>
        </w:rPr>
        <w:t>秩序</w:t>
      </w:r>
      <w:r>
        <w:rPr>
          <w:rFonts w:hint="eastAsia" w:ascii="仿宋" w:hAnsi="仿宋" w:eastAsia="仿宋"/>
          <w:color w:val="auto"/>
          <w:sz w:val="32"/>
          <w:szCs w:val="32"/>
          <w:shd w:val="clear" w:color="FFFFFF" w:fill="D9D9D9"/>
          <w:lang w:val="en-US" w:eastAsia="zh-CN"/>
        </w:rPr>
        <w:t>维护</w:t>
      </w:r>
      <w:r>
        <w:rPr>
          <w:rFonts w:ascii="仿宋" w:hAnsi="仿宋" w:eastAsia="仿宋"/>
          <w:color w:val="auto"/>
          <w:sz w:val="32"/>
          <w:szCs w:val="32"/>
          <w:shd w:val="clear" w:color="FFFFFF" w:fill="D9D9D9"/>
        </w:rPr>
        <w:t>、保持环境整洁、提供优质</w:t>
      </w:r>
      <w:r>
        <w:rPr>
          <w:rFonts w:hint="eastAsia" w:ascii="仿宋" w:hAnsi="仿宋" w:eastAsia="仿宋"/>
          <w:color w:val="auto"/>
          <w:sz w:val="32"/>
          <w:szCs w:val="32"/>
          <w:shd w:val="clear" w:color="FFFFFF" w:fill="D9D9D9"/>
          <w:lang w:val="en-US" w:eastAsia="zh-CN"/>
        </w:rPr>
        <w:t>高效的</w:t>
      </w:r>
      <w:r>
        <w:rPr>
          <w:rFonts w:ascii="仿宋" w:hAnsi="仿宋" w:eastAsia="仿宋"/>
          <w:color w:val="auto"/>
          <w:sz w:val="32"/>
          <w:szCs w:val="32"/>
          <w:shd w:val="clear" w:color="FFFFFF" w:fill="D9D9D9"/>
        </w:rPr>
        <w:t>服务</w:t>
      </w:r>
      <w:r>
        <w:rPr>
          <w:rFonts w:hint="eastAsia" w:ascii="仿宋" w:hAnsi="仿宋" w:eastAsia="仿宋"/>
          <w:color w:val="auto"/>
          <w:sz w:val="32"/>
          <w:szCs w:val="32"/>
          <w:shd w:val="clear" w:color="FFFFFF" w:fill="D9D9D9"/>
          <w:lang w:eastAsia="zh-CN"/>
        </w:rPr>
        <w:t>；</w:t>
      </w:r>
      <w:r>
        <w:rPr>
          <w:rFonts w:ascii="仿宋" w:hAnsi="仿宋" w:eastAsia="仿宋"/>
          <w:color w:val="auto"/>
          <w:sz w:val="32"/>
          <w:szCs w:val="32"/>
          <w:shd w:val="clear" w:color="FFFFFF" w:fill="D9D9D9"/>
        </w:rPr>
        <w:t>做好节能降耗工作</w:t>
      </w:r>
      <w:r>
        <w:rPr>
          <w:rFonts w:hint="eastAsia" w:ascii="仿宋" w:hAnsi="仿宋" w:eastAsia="仿宋"/>
          <w:color w:val="auto"/>
          <w:sz w:val="32"/>
          <w:szCs w:val="32"/>
          <w:shd w:val="clear" w:color="FFFFFF" w:fill="D9D9D9"/>
          <w:lang w:eastAsia="zh-CN"/>
        </w:rPr>
        <w:t>，</w:t>
      </w:r>
      <w:r>
        <w:rPr>
          <w:rFonts w:ascii="仿宋" w:hAnsi="仿宋" w:eastAsia="仿宋"/>
          <w:color w:val="auto"/>
          <w:sz w:val="32"/>
          <w:szCs w:val="32"/>
          <w:shd w:val="clear" w:color="FFFFFF" w:fill="D9D9D9"/>
        </w:rPr>
        <w:t>构建节约型机关</w:t>
      </w:r>
      <w:r>
        <w:rPr>
          <w:rFonts w:hint="eastAsia" w:ascii="仿宋" w:hAnsi="仿宋" w:eastAsia="仿宋"/>
          <w:color w:val="auto"/>
          <w:sz w:val="32"/>
          <w:szCs w:val="32"/>
          <w:shd w:val="clear" w:color="FFFFFF" w:fill="D9D9D9"/>
          <w:lang w:eastAsia="zh-CN"/>
        </w:rPr>
        <w:t>。</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3.人员设定要求：定岗定员、班次排定、</w:t>
      </w:r>
      <w:r>
        <w:rPr>
          <w:rFonts w:ascii="仿宋" w:hAnsi="仿宋" w:eastAsia="仿宋"/>
          <w:color w:val="auto"/>
          <w:sz w:val="32"/>
          <w:szCs w:val="32"/>
          <w:shd w:val="clear" w:color="FFFFFF" w:fill="D9D9D9"/>
        </w:rPr>
        <w:t>员工福利待遇应符合国家</w:t>
      </w:r>
      <w:r>
        <w:rPr>
          <w:rFonts w:hint="eastAsia" w:ascii="仿宋" w:hAnsi="仿宋" w:eastAsia="仿宋"/>
          <w:color w:val="auto"/>
          <w:sz w:val="32"/>
          <w:szCs w:val="32"/>
          <w:shd w:val="clear" w:color="FFFFFF" w:fill="D9D9D9"/>
          <w:lang w:eastAsia="zh-CN"/>
        </w:rPr>
        <w:t>、</w:t>
      </w:r>
      <w:r>
        <w:rPr>
          <w:rFonts w:hint="eastAsia" w:ascii="仿宋" w:hAnsi="仿宋" w:eastAsia="仿宋"/>
          <w:color w:val="auto"/>
          <w:sz w:val="32"/>
          <w:szCs w:val="32"/>
          <w:shd w:val="clear" w:color="FFFFFF" w:fill="D9D9D9"/>
          <w:lang w:val="en-US" w:eastAsia="zh-CN"/>
        </w:rPr>
        <w:t>省、市</w:t>
      </w:r>
      <w:r>
        <w:rPr>
          <w:rFonts w:ascii="仿宋" w:hAnsi="仿宋" w:eastAsia="仿宋"/>
          <w:color w:val="auto"/>
          <w:sz w:val="32"/>
          <w:szCs w:val="32"/>
          <w:shd w:val="clear" w:color="FFFFFF" w:fill="D9D9D9"/>
        </w:rPr>
        <w:t>及我市</w:t>
      </w:r>
      <w:r>
        <w:rPr>
          <w:rFonts w:ascii="仿宋" w:hAnsi="仿宋" w:eastAsia="仿宋"/>
          <w:color w:val="auto"/>
          <w:sz w:val="32"/>
          <w:szCs w:val="32"/>
        </w:rPr>
        <w:t>现行法律法规的相关规定。</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（二）物业管理人员总体要求</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1.统一着装，整洁大方，佩证齐全；</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2.文明礼貌，行为规范，主动热情；</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3.尽职尽责，</w:t>
      </w:r>
      <w:r>
        <w:rPr>
          <w:rFonts w:ascii="仿宋" w:hAnsi="仿宋" w:eastAsia="仿宋"/>
          <w:color w:val="auto"/>
          <w:sz w:val="32"/>
          <w:szCs w:val="32"/>
          <w:lang w:val="zh-CN"/>
        </w:rPr>
        <w:t>勤奋工作，规范操作</w:t>
      </w:r>
      <w:r>
        <w:rPr>
          <w:rFonts w:ascii="仿宋" w:hAnsi="仿宋" w:eastAsia="仿宋"/>
          <w:color w:val="auto"/>
          <w:sz w:val="32"/>
          <w:szCs w:val="32"/>
        </w:rPr>
        <w:t>；</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4.遵章守纪，厉行节约，爱护公物。</w:t>
      </w:r>
    </w:p>
    <w:p>
      <w:pPr>
        <w:spacing w:line="590" w:lineRule="exact"/>
        <w:ind w:firstLine="643" w:firstLineChars="200"/>
        <w:rPr>
          <w:rFonts w:ascii="华文中宋" w:hAnsi="华文中宋" w:eastAsia="华文中宋"/>
          <w:b/>
          <w:color w:val="auto"/>
          <w:sz w:val="28"/>
          <w:szCs w:val="28"/>
        </w:rPr>
      </w:pPr>
      <w:r>
        <w:rPr>
          <w:rFonts w:ascii="华文中宋" w:hAnsi="华文中宋" w:eastAsia="华文中宋"/>
          <w:b/>
          <w:color w:val="auto"/>
          <w:sz w:val="32"/>
          <w:szCs w:val="32"/>
        </w:rPr>
        <w:t>四、建筑物管理及维护</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1.加强对办公楼、附属房屋及周转房的管理巡查，主动发现问题，发现违规乱搭乱建，擅自改变房屋用途的，及时向业主方报告；</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2.对房屋外观的完好整洁、外墙瓷片、玻璃幕墙要做好巡查，发现问题及时处理，如遇无法处理的问题及时报告业主方，并进行登记，要做到无破损、无裂痕、无明显污渍、无乱张贴和乱悬挂现象；</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3.如发现房屋公用场所内墙、天花板破损、涂料脱落、明显污渍等情况要及时处理，如遇无法处理的问题及时报告业主方，并进行登记，确保各楼层内墙、天花板无破损，无明显污渍；</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4.对各房顶和天台隔热层、雨水排水管道、房屋的给排水管道、各用水点的水龙头及办公楼、附属房屋和周转房的电线及用电情况要做到每周一小查，一月一大查，并做好检查登记，要确保管道通畅，无阻塞外溢及无漏电现象。</w:t>
      </w:r>
    </w:p>
    <w:p>
      <w:pPr>
        <w:spacing w:line="590" w:lineRule="exact"/>
        <w:ind w:firstLine="643" w:firstLineChars="200"/>
        <w:rPr>
          <w:rFonts w:ascii="华文中宋" w:hAnsi="华文中宋" w:eastAsia="华文中宋"/>
          <w:b/>
          <w:color w:val="auto"/>
          <w:sz w:val="28"/>
          <w:szCs w:val="28"/>
        </w:rPr>
      </w:pPr>
      <w:r>
        <w:rPr>
          <w:rFonts w:ascii="华文中宋" w:hAnsi="华文中宋" w:eastAsia="华文中宋"/>
          <w:b/>
          <w:color w:val="auto"/>
          <w:sz w:val="32"/>
          <w:szCs w:val="32"/>
        </w:rPr>
        <w:t>五、秩序维护服务项目及基本要求</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（一）秩序维护服务项目及基本要求</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秩序维护人员配置总体要求：符合公安部门有关要求，人员持证上岗率达100%，</w:t>
      </w:r>
      <w:r>
        <w:rPr>
          <w:rFonts w:hint="eastAsia" w:ascii="仿宋" w:hAnsi="仿宋" w:eastAsia="仿宋"/>
          <w:color w:val="FF0000"/>
          <w:sz w:val="32"/>
          <w:szCs w:val="32"/>
          <w:lang w:val="en-US" w:eastAsia="zh-CN"/>
        </w:rPr>
        <w:t>政治审查合格率达</w:t>
      </w:r>
      <w:r>
        <w:rPr>
          <w:rFonts w:ascii="仿宋" w:hAnsi="仿宋" w:eastAsia="仿宋"/>
          <w:color w:val="FF0000"/>
          <w:sz w:val="32"/>
          <w:szCs w:val="32"/>
        </w:rPr>
        <w:t>100%</w:t>
      </w:r>
      <w:r>
        <w:rPr>
          <w:rFonts w:hint="eastAsia" w:ascii="仿宋" w:hAnsi="仿宋" w:eastAsia="仿宋"/>
          <w:color w:val="FF0000"/>
          <w:sz w:val="32"/>
          <w:szCs w:val="32"/>
          <w:lang w:eastAsia="zh-CN"/>
        </w:rPr>
        <w:t>，（</w:t>
      </w:r>
      <w:r>
        <w:rPr>
          <w:rFonts w:hint="eastAsia" w:ascii="仿宋" w:hAnsi="仿宋" w:eastAsia="仿宋"/>
          <w:color w:val="FF0000"/>
          <w:sz w:val="32"/>
          <w:szCs w:val="32"/>
          <w:lang w:val="en-US" w:eastAsia="zh-CN"/>
        </w:rPr>
        <w:t>投</w:t>
      </w:r>
      <w:r>
        <w:rPr>
          <w:rFonts w:ascii="仿宋" w:hAnsi="仿宋" w:eastAsia="仿宋"/>
          <w:color w:val="FF0000"/>
          <w:sz w:val="32"/>
          <w:szCs w:val="32"/>
        </w:rPr>
        <w:t>标人承诺中标后在签订服务合同前应提供相关证明材料</w:t>
      </w:r>
      <w:r>
        <w:rPr>
          <w:rFonts w:hint="eastAsia" w:ascii="仿宋" w:hAnsi="仿宋" w:eastAsia="仿宋"/>
          <w:color w:val="FF0000"/>
          <w:sz w:val="32"/>
          <w:szCs w:val="32"/>
          <w:lang w:eastAsia="zh-CN"/>
        </w:rPr>
        <w:t>）</w:t>
      </w:r>
      <w:r>
        <w:rPr>
          <w:rFonts w:ascii="仿宋" w:hAnsi="仿宋" w:eastAsia="仿宋"/>
          <w:color w:val="FF0000"/>
          <w:sz w:val="32"/>
          <w:szCs w:val="32"/>
        </w:rPr>
        <w:t>，</w:t>
      </w:r>
      <w:r>
        <w:rPr>
          <w:rFonts w:ascii="仿宋" w:hAnsi="仿宋" w:eastAsia="仿宋"/>
          <w:color w:val="auto"/>
          <w:sz w:val="32"/>
          <w:szCs w:val="32"/>
        </w:rPr>
        <w:t>保安人员要求政治素质高、业务能力强、个人气质较好，人员年龄不超过国家相关法律法规范围，转业军人优先。</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（二）岗位设置及岗位职责</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1.岗位设置</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本项目需配备秩序维护主管、秩序维护班长、门岗（含礼仪岗）、巡逻岗，楼栋内固定岗、监控中心（消防监控）值班岗位。</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2.岗位职责</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1）秩序维护主管：负责对本项目秩序维护人员的管理及日常班次的安排、突发事件的处理;巡检、记录本项目各班每日工作情况，及时对秩序维护人员的工作进行考核。定期向项目经理和项目业主方汇报工作情况。</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2）秩序维护班长（兼）：负责本区域范围内的秩序维护人员管理及日常班次的安排、突发事件的处理；巡检、记录本班每日工作情况，及时对本班秩序维护人员进行工作考核。定期向秩序维护主管汇报工作情况。</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（3）门岗：负责办公区大门出入口门岗的24小时治安防范工作，负责对办公区办事人员及出入车辆、物品的询查登记放行。负责办公区大门口工作时间段的秩序维护，包括车辆引导、停放管理及客户需求帮助等。</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（4）楼栋内固定岗：负责办公大楼内特定工作区域的安全防范工作。</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（5）巡逻岗：负责办公区域和办公大楼内各点位的巡逻检查工作。</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（6）监控中心（消防监控）值班员：负责监控中心24小时运行值守服务，消防监控值守人员需持证上岗。</w:t>
      </w:r>
    </w:p>
    <w:p>
      <w:pPr>
        <w:spacing w:line="590" w:lineRule="exact"/>
        <w:ind w:firstLine="640" w:firstLineChars="200"/>
        <w:rPr>
          <w:rFonts w:hint="default" w:ascii="仿宋" w:hAnsi="仿宋" w:eastAsia="仿宋"/>
          <w:color w:val="auto"/>
          <w:sz w:val="32"/>
          <w:szCs w:val="32"/>
          <w:shd w:val="clear" w:color="FFFFFF" w:fill="D9D9D9"/>
          <w:lang w:val="en-US" w:eastAsia="zh-CN"/>
        </w:rPr>
      </w:pPr>
      <w:r>
        <w:rPr>
          <w:rFonts w:ascii="仿宋" w:hAnsi="仿宋" w:eastAsia="仿宋"/>
          <w:color w:val="auto"/>
          <w:sz w:val="32"/>
          <w:szCs w:val="32"/>
        </w:rPr>
        <w:t>★</w:t>
      </w:r>
      <w:r>
        <w:rPr>
          <w:rFonts w:hint="eastAsia" w:ascii="仿宋" w:hAnsi="仿宋" w:eastAsia="仿宋"/>
          <w:color w:val="auto"/>
          <w:sz w:val="32"/>
          <w:szCs w:val="32"/>
          <w:shd w:val="clear" w:color="FFFFFF" w:fill="D9D9D9"/>
          <w:lang w:eastAsia="zh-CN"/>
        </w:rPr>
        <w:t>（</w:t>
      </w:r>
      <w:r>
        <w:rPr>
          <w:rFonts w:hint="eastAsia" w:ascii="仿宋" w:hAnsi="仿宋" w:eastAsia="仿宋"/>
          <w:color w:val="auto"/>
          <w:sz w:val="32"/>
          <w:szCs w:val="32"/>
          <w:shd w:val="clear" w:color="FFFFFF" w:fill="D9D9D9"/>
          <w:lang w:val="en-US" w:eastAsia="zh-CN"/>
        </w:rPr>
        <w:t>7</w:t>
      </w:r>
      <w:r>
        <w:rPr>
          <w:rFonts w:hint="eastAsia" w:ascii="仿宋" w:hAnsi="仿宋" w:eastAsia="仿宋"/>
          <w:color w:val="auto"/>
          <w:sz w:val="32"/>
          <w:szCs w:val="32"/>
          <w:shd w:val="clear" w:color="FFFFFF" w:fill="D9D9D9"/>
          <w:lang w:eastAsia="zh-CN"/>
        </w:rPr>
        <w:t>）</w:t>
      </w:r>
      <w:r>
        <w:rPr>
          <w:rFonts w:hint="eastAsia" w:ascii="仿宋" w:hAnsi="仿宋" w:eastAsia="仿宋"/>
          <w:color w:val="auto"/>
          <w:sz w:val="32"/>
          <w:szCs w:val="32"/>
          <w:shd w:val="clear" w:color="FFFFFF" w:fill="D9D9D9"/>
          <w:lang w:val="en-US" w:eastAsia="zh-CN"/>
        </w:rPr>
        <w:t>严格按照国家、省、市及我市新冠疫情防控要求，配合业主认真做好办公区疫情防控相关工作。</w:t>
      </w:r>
    </w:p>
    <w:p>
      <w:pPr>
        <w:spacing w:line="590" w:lineRule="exact"/>
        <w:ind w:firstLine="630" w:firstLineChars="196"/>
        <w:rPr>
          <w:rFonts w:ascii="华文中宋" w:hAnsi="华文中宋" w:eastAsia="华文中宋"/>
          <w:b/>
          <w:color w:val="auto"/>
          <w:sz w:val="28"/>
          <w:szCs w:val="28"/>
        </w:rPr>
      </w:pPr>
      <w:r>
        <w:rPr>
          <w:rFonts w:ascii="华文中宋" w:hAnsi="华文中宋" w:eastAsia="华文中宋"/>
          <w:b/>
          <w:color w:val="auto"/>
          <w:sz w:val="32"/>
          <w:szCs w:val="32"/>
        </w:rPr>
        <w:t>六、保洁服务项目及要求</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（一）保洁作业要求</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1.</w:t>
      </w:r>
      <w:r>
        <w:rPr>
          <w:rFonts w:ascii="仿宋" w:hAnsi="仿宋" w:eastAsia="仿宋"/>
          <w:color w:val="auto"/>
          <w:sz w:val="32"/>
          <w:szCs w:val="32"/>
          <w:lang w:val="zh-CN"/>
        </w:rPr>
        <w:t>地面道路、环境和停车场：每天全面清扫</w:t>
      </w:r>
      <w:r>
        <w:rPr>
          <w:rFonts w:hint="eastAsia" w:ascii="仿宋" w:hAnsi="仿宋" w:eastAsia="仿宋"/>
          <w:color w:val="auto"/>
          <w:sz w:val="32"/>
          <w:szCs w:val="32"/>
          <w:shd w:val="clear" w:color="FFFFFF" w:fill="D9D9D9"/>
          <w:lang w:val="en-US" w:eastAsia="zh-CN"/>
        </w:rPr>
        <w:t>消杀</w:t>
      </w:r>
      <w:r>
        <w:rPr>
          <w:rFonts w:ascii="仿宋" w:hAnsi="仿宋" w:eastAsia="仿宋"/>
          <w:color w:val="auto"/>
          <w:sz w:val="32"/>
          <w:szCs w:val="32"/>
          <w:lang w:val="zh-CN"/>
        </w:rPr>
        <w:t>，早上</w:t>
      </w:r>
      <w:r>
        <w:rPr>
          <w:rFonts w:ascii="仿宋" w:hAnsi="仿宋" w:eastAsia="仿宋"/>
          <w:color w:val="auto"/>
          <w:sz w:val="32"/>
          <w:szCs w:val="32"/>
        </w:rPr>
        <w:t>8:00—10:00地面全面清扫一次，10:00—11:30重点清洗花台栏杆、路灯灯柱、外围窗台、捡拾烟头等垃圾，13:30—15:30地面全面清扫一次，15:30—17:30巡回保洁和清运垃圾。</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2.楼道、地下停车场、梯部及公共场所：</w:t>
      </w:r>
      <w:r>
        <w:rPr>
          <w:rFonts w:ascii="仿宋" w:hAnsi="仿宋" w:eastAsia="仿宋"/>
          <w:color w:val="auto"/>
          <w:sz w:val="32"/>
          <w:szCs w:val="32"/>
          <w:lang w:val="zh-CN"/>
        </w:rPr>
        <w:t>早上</w:t>
      </w:r>
      <w:r>
        <w:rPr>
          <w:rFonts w:ascii="仿宋" w:hAnsi="仿宋" w:eastAsia="仿宋"/>
          <w:color w:val="auto"/>
          <w:sz w:val="32"/>
          <w:szCs w:val="32"/>
        </w:rPr>
        <w:t>8:00—10:00对公共区域全面清扫</w:t>
      </w:r>
      <w:r>
        <w:rPr>
          <w:rFonts w:hint="eastAsia" w:ascii="仿宋" w:hAnsi="仿宋" w:eastAsia="仿宋"/>
          <w:color w:val="auto"/>
          <w:sz w:val="32"/>
          <w:szCs w:val="32"/>
          <w:shd w:val="clear" w:color="FFFFFF" w:fill="D9D9D9"/>
          <w:lang w:val="en-US" w:eastAsia="zh-CN"/>
        </w:rPr>
        <w:t>消杀</w:t>
      </w:r>
      <w:r>
        <w:rPr>
          <w:rFonts w:ascii="仿宋" w:hAnsi="仿宋" w:eastAsia="仿宋"/>
          <w:color w:val="auto"/>
          <w:sz w:val="32"/>
          <w:szCs w:val="32"/>
        </w:rPr>
        <w:t>，10:00—11:30重点清扫楼道、擦抹楼梯扶手等，做好巡回保洁，13:30—15:30全面清扫公共区域</w:t>
      </w:r>
      <w:r>
        <w:rPr>
          <w:rFonts w:hint="eastAsia" w:ascii="仿宋" w:hAnsi="仿宋" w:eastAsia="仿宋"/>
          <w:color w:val="auto"/>
          <w:sz w:val="32"/>
          <w:szCs w:val="32"/>
          <w:shd w:val="clear" w:color="FFFFFF" w:fill="D9D9D9"/>
          <w:lang w:val="en-US" w:eastAsia="zh-CN"/>
        </w:rPr>
        <w:t>并消杀</w:t>
      </w:r>
      <w:r>
        <w:rPr>
          <w:rFonts w:ascii="仿宋" w:hAnsi="仿宋" w:eastAsia="仿宋"/>
          <w:color w:val="auto"/>
          <w:sz w:val="32"/>
          <w:szCs w:val="32"/>
        </w:rPr>
        <w:t>，15:30—17:30做好巡回保洁、清运垃圾；地下停车场应随时保持清洁，每天全面</w:t>
      </w:r>
      <w:r>
        <w:rPr>
          <w:rFonts w:ascii="仿宋" w:hAnsi="仿宋" w:eastAsia="仿宋"/>
          <w:color w:val="auto"/>
          <w:sz w:val="32"/>
          <w:szCs w:val="32"/>
          <w:shd w:val="clear" w:color="FFFFFF" w:fill="D9D9D9"/>
        </w:rPr>
        <w:t>清扫</w:t>
      </w:r>
      <w:r>
        <w:rPr>
          <w:rFonts w:hint="eastAsia" w:ascii="仿宋" w:hAnsi="仿宋" w:eastAsia="仿宋"/>
          <w:color w:val="auto"/>
          <w:sz w:val="32"/>
          <w:szCs w:val="32"/>
          <w:shd w:val="clear" w:color="FFFFFF" w:fill="D9D9D9"/>
          <w:lang w:val="en-US" w:eastAsia="zh-CN"/>
        </w:rPr>
        <w:t>消杀两</w:t>
      </w:r>
      <w:r>
        <w:rPr>
          <w:rFonts w:ascii="仿宋" w:hAnsi="仿宋" w:eastAsia="仿宋"/>
          <w:color w:val="auto"/>
          <w:sz w:val="32"/>
          <w:szCs w:val="32"/>
          <w:shd w:val="clear" w:color="FFFFFF" w:fill="D9D9D9"/>
        </w:rPr>
        <w:t>次</w:t>
      </w:r>
      <w:r>
        <w:rPr>
          <w:rFonts w:ascii="仿宋" w:hAnsi="仿宋" w:eastAsia="仿宋"/>
          <w:color w:val="auto"/>
          <w:sz w:val="32"/>
          <w:szCs w:val="32"/>
          <w:shd w:val="clear" w:color="FFFFFF" w:fill="D9D9D9"/>
          <w:lang w:val="zh-CN"/>
        </w:rPr>
        <w:t>。</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3.</w:t>
      </w:r>
      <w:r>
        <w:rPr>
          <w:rFonts w:ascii="仿宋" w:hAnsi="仿宋" w:eastAsia="仿宋"/>
          <w:color w:val="auto"/>
          <w:sz w:val="32"/>
          <w:szCs w:val="32"/>
          <w:lang w:val="zh-CN"/>
        </w:rPr>
        <w:t>四大办公区部分办公室共</w:t>
      </w:r>
      <w:r>
        <w:rPr>
          <w:rFonts w:ascii="仿宋" w:hAnsi="仿宋" w:eastAsia="仿宋"/>
          <w:color w:val="auto"/>
          <w:sz w:val="32"/>
          <w:szCs w:val="32"/>
        </w:rPr>
        <w:t>71</w:t>
      </w:r>
      <w:r>
        <w:rPr>
          <w:rFonts w:ascii="仿宋" w:hAnsi="仿宋" w:eastAsia="仿宋"/>
          <w:color w:val="auto"/>
          <w:sz w:val="32"/>
          <w:szCs w:val="32"/>
          <w:lang w:val="zh-CN"/>
        </w:rPr>
        <w:t>间：早上8:00前完成办公室的全面清扫。</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4.</w:t>
      </w:r>
      <w:r>
        <w:rPr>
          <w:rFonts w:ascii="仿宋" w:hAnsi="仿宋" w:eastAsia="仿宋"/>
          <w:color w:val="auto"/>
          <w:sz w:val="32"/>
          <w:szCs w:val="32"/>
          <w:lang w:val="zh-CN"/>
        </w:rPr>
        <w:t>电梯轿厢：每天定时保洁、</w:t>
      </w:r>
      <w:r>
        <w:rPr>
          <w:rFonts w:ascii="仿宋" w:hAnsi="仿宋" w:eastAsia="仿宋"/>
          <w:color w:val="auto"/>
          <w:sz w:val="32"/>
          <w:szCs w:val="32"/>
          <w:shd w:val="clear" w:color="FFFFFF" w:fill="D9D9D9"/>
          <w:lang w:val="zh-CN"/>
        </w:rPr>
        <w:t>消</w:t>
      </w:r>
      <w:r>
        <w:rPr>
          <w:rFonts w:hint="eastAsia" w:ascii="仿宋" w:hAnsi="仿宋" w:eastAsia="仿宋"/>
          <w:color w:val="auto"/>
          <w:sz w:val="32"/>
          <w:szCs w:val="32"/>
          <w:shd w:val="clear" w:color="FFFFFF" w:fill="D9D9D9"/>
          <w:lang w:val="en-US" w:eastAsia="zh-CN"/>
        </w:rPr>
        <w:t>杀6</w:t>
      </w:r>
      <w:r>
        <w:rPr>
          <w:rFonts w:ascii="仿宋" w:hAnsi="仿宋" w:eastAsia="仿宋"/>
          <w:color w:val="auto"/>
          <w:sz w:val="32"/>
          <w:szCs w:val="32"/>
          <w:shd w:val="clear" w:color="FFFFFF" w:fill="D9D9D9"/>
          <w:lang w:val="zh-CN"/>
        </w:rPr>
        <w:t>次和</w:t>
      </w:r>
      <w:r>
        <w:rPr>
          <w:rFonts w:ascii="仿宋" w:hAnsi="仿宋" w:eastAsia="仿宋"/>
          <w:color w:val="auto"/>
          <w:sz w:val="32"/>
          <w:szCs w:val="32"/>
          <w:lang w:val="zh-CN"/>
        </w:rPr>
        <w:t>不定时日常清洁，更换地垫，每周整体保洁1次。</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lang w:val="zh-CN"/>
        </w:rPr>
        <w:t>5.卫生间：每天定时保洁不少于3次</w:t>
      </w:r>
      <w:r>
        <w:rPr>
          <w:rFonts w:hint="eastAsia" w:ascii="仿宋" w:hAnsi="仿宋" w:eastAsia="仿宋"/>
          <w:color w:val="auto"/>
          <w:sz w:val="32"/>
          <w:szCs w:val="32"/>
          <w:lang w:val="zh-CN"/>
        </w:rPr>
        <w:t>，</w:t>
      </w:r>
      <w:r>
        <w:rPr>
          <w:rFonts w:hint="eastAsia" w:ascii="仿宋" w:hAnsi="仿宋" w:eastAsia="仿宋"/>
          <w:color w:val="auto"/>
          <w:sz w:val="32"/>
          <w:szCs w:val="32"/>
          <w:shd w:val="clear" w:color="FFFFFF" w:fill="D9D9D9"/>
          <w:lang w:val="en-US" w:eastAsia="zh-CN"/>
        </w:rPr>
        <w:t>消杀不少于2次；</w:t>
      </w:r>
      <w:r>
        <w:rPr>
          <w:rFonts w:ascii="仿宋" w:hAnsi="仿宋" w:eastAsia="仿宋"/>
          <w:color w:val="auto"/>
          <w:sz w:val="32"/>
          <w:szCs w:val="32"/>
        </w:rPr>
        <w:t>8:00—9:00清洁一次，中午清洁一次，15:00—17:30清洁一次、清运垃圾，其余时间不定时巡回保洁。卫生间要定期施放空气清新剂，保持卫生间无异味。</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6.大厅：坐椅、茶几、垃圾桶、各种指示牌、各种设施、设备的开关面每天上午和下午定时全面保洁1次，其余做不定时重点巡回保洁。</w:t>
      </w:r>
    </w:p>
    <w:p>
      <w:pPr>
        <w:spacing w:line="590" w:lineRule="exact"/>
        <w:ind w:firstLine="640" w:firstLineChars="200"/>
        <w:rPr>
          <w:rFonts w:hint="default" w:ascii="仿宋" w:hAnsi="仿宋" w:eastAsia="仿宋"/>
          <w:color w:val="auto"/>
          <w:sz w:val="32"/>
          <w:szCs w:val="32"/>
          <w:lang w:val="en-US" w:eastAsia="zh-CN"/>
        </w:rPr>
      </w:pPr>
      <w:r>
        <w:rPr>
          <w:rFonts w:ascii="仿宋" w:hAnsi="仿宋" w:eastAsia="仿宋"/>
          <w:color w:val="auto"/>
          <w:sz w:val="32"/>
          <w:szCs w:val="32"/>
        </w:rPr>
        <w:t>7.周转房：每天整体保洁，日常饮用水更换，电器、电路等维护，每半月一次全面保洁，具体参照第九每次第二项《考评标准》中周转房管理</w:t>
      </w:r>
      <w:r>
        <w:rPr>
          <w:rFonts w:hint="eastAsia" w:ascii="仿宋" w:hAnsi="仿宋" w:eastAsia="仿宋"/>
          <w:color w:val="auto"/>
          <w:sz w:val="32"/>
          <w:szCs w:val="32"/>
          <w:lang w:eastAsia="zh-CN"/>
        </w:rPr>
        <w:t>，</w:t>
      </w:r>
      <w:r>
        <w:rPr>
          <w:rFonts w:hint="eastAsia" w:ascii="仿宋" w:hAnsi="仿宋" w:eastAsia="仿宋"/>
          <w:color w:val="auto"/>
          <w:sz w:val="32"/>
          <w:szCs w:val="32"/>
          <w:shd w:val="clear" w:color="FFFFFF" w:fill="D9D9D9"/>
          <w:lang w:val="en-US" w:eastAsia="zh-CN"/>
        </w:rPr>
        <w:t>按业主方要求做好消杀工作。</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8.会议室、会议服务间、开水房等：</w:t>
      </w:r>
      <w:r>
        <w:rPr>
          <w:rFonts w:ascii="仿宋" w:hAnsi="仿宋" w:eastAsia="仿宋"/>
          <w:color w:val="auto"/>
          <w:sz w:val="32"/>
          <w:szCs w:val="32"/>
          <w:shd w:val="clear" w:color="FFFFFF" w:fill="D9D9D9"/>
        </w:rPr>
        <w:t>会议</w:t>
      </w:r>
      <w:r>
        <w:rPr>
          <w:rFonts w:hint="eastAsia" w:ascii="仿宋" w:hAnsi="仿宋" w:eastAsia="仿宋"/>
          <w:color w:val="auto"/>
          <w:sz w:val="32"/>
          <w:szCs w:val="32"/>
          <w:shd w:val="clear" w:color="FFFFFF" w:fill="D9D9D9"/>
          <w:lang w:val="en-US" w:eastAsia="zh-CN"/>
        </w:rPr>
        <w:t>前</w:t>
      </w:r>
      <w:r>
        <w:rPr>
          <w:rFonts w:ascii="仿宋" w:hAnsi="仿宋" w:eastAsia="仿宋"/>
          <w:color w:val="auto"/>
          <w:sz w:val="32"/>
          <w:szCs w:val="32"/>
          <w:shd w:val="clear" w:color="FFFFFF" w:fill="D9D9D9"/>
        </w:rPr>
        <w:t>后整体保洁</w:t>
      </w:r>
      <w:r>
        <w:rPr>
          <w:rFonts w:hint="eastAsia" w:ascii="仿宋" w:hAnsi="仿宋" w:eastAsia="仿宋"/>
          <w:color w:val="auto"/>
          <w:sz w:val="32"/>
          <w:szCs w:val="32"/>
          <w:shd w:val="clear" w:color="FFFFFF" w:fill="D9D9D9"/>
          <w:lang w:eastAsia="zh-CN"/>
        </w:rPr>
        <w:t>、</w:t>
      </w:r>
      <w:r>
        <w:rPr>
          <w:rFonts w:hint="eastAsia" w:ascii="仿宋" w:hAnsi="仿宋" w:eastAsia="仿宋"/>
          <w:color w:val="auto"/>
          <w:sz w:val="32"/>
          <w:szCs w:val="32"/>
          <w:shd w:val="clear" w:color="FFFFFF" w:fill="D9D9D9"/>
          <w:lang w:val="en-US" w:eastAsia="zh-CN"/>
        </w:rPr>
        <w:t>消杀；</w:t>
      </w:r>
      <w:r>
        <w:rPr>
          <w:rFonts w:ascii="仿宋" w:hAnsi="仿宋" w:eastAsia="仿宋"/>
          <w:color w:val="auto"/>
          <w:sz w:val="32"/>
          <w:szCs w:val="32"/>
        </w:rPr>
        <w:t>每周一次全面保洁。</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9.其他公共区域：每天计划卫生完成后对门框、窗台、消防栓、指示牌、通风井格栏、垃圾桶的清洁工作不少于2次。</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10.垃圾的清倒：垃圾清运应做到日产日清，不得将垃圾在办公区内放置过夜。垃圾桶内垃圾不超过2/3，每二天清洗、消毒一次。</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11.每周清洁大楼公共区域2米以下的玻璃门窗、幕墙1次，雨季增加至每周2次。</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12.</w:t>
      </w:r>
      <w:r>
        <w:rPr>
          <w:rFonts w:ascii="仿宋" w:hAnsi="仿宋" w:eastAsia="仿宋"/>
          <w:color w:val="auto"/>
          <w:sz w:val="32"/>
          <w:szCs w:val="32"/>
          <w:lang w:val="zh-CN"/>
        </w:rPr>
        <w:t>每月做卫生大扫除一次（包括消防器材、楼梯踏步的扫除等）</w:t>
      </w:r>
      <w:r>
        <w:rPr>
          <w:rFonts w:ascii="仿宋" w:hAnsi="仿宋" w:eastAsia="仿宋"/>
          <w:color w:val="auto"/>
          <w:sz w:val="32"/>
          <w:szCs w:val="32"/>
        </w:rPr>
        <w:t>。</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13.每年在雨季前对化粪池、雨污排水管、污水沟进行一次疏淘。</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14.配合业主方做好办公区环境卫生消杀工作。</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15.各种洁具（抹布、拖布等）按要求摆放整齐、规范，并且做到定期更换，保持清洁、卫生，避免造成清洁对象表面污损。</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（二）保洁人员基本要求及保洁范围</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1.人员配置总体要求：遵纪守法、吃苦耐劳,具有团队合作精神。熟练工应占保洁总人数的30%以上，保洁人员政治审查合格率达100%（中标人在签订物业管理服务合同前应提供相关证明材料），VIP服务人员要求</w:t>
      </w:r>
      <w:r>
        <w:rPr>
          <w:rFonts w:ascii="仿宋" w:hAnsi="仿宋" w:eastAsia="仿宋"/>
          <w:color w:val="auto"/>
          <w:sz w:val="32"/>
          <w:szCs w:val="32"/>
          <w:shd w:val="clear" w:color="FFFFFF" w:fill="D9D9D9"/>
        </w:rPr>
        <w:t>身高1.5</w:t>
      </w:r>
      <w:r>
        <w:rPr>
          <w:rFonts w:hint="eastAsia" w:ascii="仿宋" w:hAnsi="仿宋" w:eastAsia="仿宋"/>
          <w:color w:val="auto"/>
          <w:sz w:val="32"/>
          <w:szCs w:val="32"/>
          <w:shd w:val="clear" w:color="FFFFFF" w:fill="D9D9D9"/>
          <w:lang w:val="en-US" w:eastAsia="zh-CN"/>
        </w:rPr>
        <w:t>5</w:t>
      </w:r>
      <w:r>
        <w:rPr>
          <w:rFonts w:ascii="仿宋" w:hAnsi="仿宋" w:eastAsia="仿宋"/>
          <w:color w:val="auto"/>
          <w:sz w:val="32"/>
          <w:szCs w:val="32"/>
          <w:shd w:val="clear" w:color="FFFFFF" w:fill="D9D9D9"/>
        </w:rPr>
        <w:t>米以上</w:t>
      </w:r>
      <w:r>
        <w:rPr>
          <w:rFonts w:ascii="仿宋" w:hAnsi="仿宋" w:eastAsia="仿宋"/>
          <w:color w:val="auto"/>
          <w:sz w:val="32"/>
          <w:szCs w:val="32"/>
        </w:rPr>
        <w:t>、气质较好，有较强的保密意识。</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2.保洁范围</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（1）市委、政府、人大、政协机关办公区、道路、绿化带、广场、停车场、楼栋内公共区域。</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（2）市委、政府、人大、政协机关办公区VIP办公室共计71间（其中市委25间、政府22间、人大11间、政协13间）。</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（3）市委、政府、人大、政协机关办公区公共卫生间共计23间（其中市委19间、政府2间、人大2间、政协12间）。</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（4）市委、政府、人大、政协机关办公区会议室。</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（5）</w:t>
      </w:r>
      <w:r>
        <w:rPr>
          <w:rFonts w:hint="eastAsia" w:ascii="仿宋" w:hAnsi="仿宋" w:eastAsia="仿宋"/>
          <w:color w:val="auto"/>
          <w:sz w:val="32"/>
          <w:szCs w:val="32"/>
        </w:rPr>
        <w:t>22</w:t>
      </w:r>
      <w:r>
        <w:rPr>
          <w:rFonts w:ascii="仿宋" w:hAnsi="仿宋" w:eastAsia="仿宋"/>
          <w:color w:val="auto"/>
          <w:sz w:val="32"/>
          <w:szCs w:val="32"/>
        </w:rPr>
        <w:t>套周转房。</w:t>
      </w:r>
    </w:p>
    <w:p>
      <w:pPr>
        <w:spacing w:line="590" w:lineRule="exact"/>
        <w:ind w:firstLine="643" w:firstLineChars="200"/>
        <w:rPr>
          <w:rFonts w:ascii="华文中宋" w:hAnsi="华文中宋" w:eastAsia="华文中宋"/>
          <w:b/>
          <w:color w:val="auto"/>
          <w:kern w:val="0"/>
          <w:sz w:val="28"/>
          <w:szCs w:val="28"/>
        </w:rPr>
      </w:pPr>
      <w:r>
        <w:rPr>
          <w:rFonts w:ascii="华文中宋" w:hAnsi="华文中宋" w:eastAsia="华文中宋"/>
          <w:b/>
          <w:color w:val="auto"/>
          <w:sz w:val="32"/>
          <w:szCs w:val="32"/>
        </w:rPr>
        <w:t>七、设施设备的维护运行管理</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（一）总体要求</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1.保证设施设备的正常运行、保护完好，水电气表计量准确;</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2.确保电力、电梯、空调、消防、监控、给排水等系统的运行不中断（外界原因除外）；</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3.设施设备档案完整，其运行、检查、保养等记录齐全；</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4.设施设备标志齐全、规范，责任人明确；</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5.配合做好电梯、空调、消防、监控等设备的保养和维修。</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（二）设施设备的维护工作要求</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1.各种高低压配电箱、柜，总水表后的供水管道水泵、阀门，排水管道等的维护、维修；以及固定安装的供电开关、插座、照明灯具的维护、维修和更换。</w:t>
      </w:r>
    </w:p>
    <w:p>
      <w:pPr>
        <w:spacing w:line="590" w:lineRule="exact"/>
        <w:ind w:firstLine="640" w:firstLineChars="200"/>
        <w:rPr>
          <w:rFonts w:ascii="仿宋" w:hAnsi="仿宋" w:eastAsia="仿宋"/>
          <w:color w:val="auto"/>
          <w:sz w:val="32"/>
          <w:szCs w:val="32"/>
        </w:rPr>
      </w:pPr>
      <w:r>
        <w:rPr>
          <w:rFonts w:hint="eastAsia" w:ascii="仿宋" w:hAnsi="仿宋" w:eastAsia="仿宋"/>
          <w:color w:val="auto"/>
          <w:sz w:val="32"/>
          <w:szCs w:val="32"/>
          <w:shd w:val="clear" w:color="FFFFFF" w:fill="D9D9D9"/>
          <w:lang w:val="en-US" w:eastAsia="zh-CN"/>
        </w:rPr>
        <w:t>2.各办公区的照明设施设备要定时巡查，发现问题及时维修更换，确保办公区各房间的照明设施设备完好，按照节能降耗要求，做好节能降耗工作。</w:t>
      </w:r>
    </w:p>
    <w:p>
      <w:pPr>
        <w:spacing w:line="59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3</w:t>
      </w:r>
      <w:r>
        <w:rPr>
          <w:rFonts w:ascii="仿宋" w:hAnsi="仿宋" w:eastAsia="仿宋"/>
          <w:color w:val="auto"/>
          <w:sz w:val="32"/>
          <w:szCs w:val="32"/>
        </w:rPr>
        <w:t>.电梯、消防设备、监控设备的日常运行、管理和维护（不含维修），以及其他设施设备的日常运行、管理、维护和维修。</w:t>
      </w:r>
      <w:bookmarkStart w:id="237" w:name="_Toc171847839"/>
      <w:bookmarkStart w:id="238" w:name="_Toc171850975"/>
      <w:r>
        <w:rPr>
          <w:rFonts w:ascii="仿宋" w:hAnsi="仿宋" w:eastAsia="仿宋"/>
          <w:color w:val="auto"/>
          <w:sz w:val="32"/>
          <w:szCs w:val="32"/>
        </w:rPr>
        <w:t>(注：维修材料等由业主提供。</w:t>
      </w:r>
      <w:bookmarkEnd w:id="237"/>
      <w:bookmarkEnd w:id="238"/>
      <w:r>
        <w:rPr>
          <w:rFonts w:ascii="仿宋" w:hAnsi="仿宋" w:eastAsia="仿宋"/>
          <w:color w:val="auto"/>
          <w:sz w:val="32"/>
          <w:szCs w:val="32"/>
        </w:rPr>
        <w:t>)</w:t>
      </w:r>
    </w:p>
    <w:p>
      <w:pPr>
        <w:spacing w:line="59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4</w:t>
      </w:r>
      <w:r>
        <w:rPr>
          <w:rFonts w:ascii="仿宋" w:hAnsi="仿宋" w:eastAsia="仿宋"/>
          <w:color w:val="auto"/>
          <w:sz w:val="32"/>
          <w:szCs w:val="32"/>
        </w:rPr>
        <w:t>.做好备用发电机的日常保养（含柴油），做好变压器、开关柜、计量仪表、防雷系统的年度检测。（注：费用由业主支付。）</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（三）人员配置及职责要求</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1.工程人员配置</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本项目需配备设施设备主管、项目工程师、值班电工、电梯安全管理员、空调工、机修工、水电气维修人员等岗位。</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2.职责要求</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1）设施设备主管：负责部门内各班组的管理工作；负责编制所管理设备的年、季、月检修计划及相应的材料、工具准备计划；负责检查设备的使用、维护和保养情况，解决有关技术问题，保证设备处于良好的技术状态；督促检查维保单位的工作完成情况，配合维保单位制定年度维保计划；负责制订系统的运行方案并审阅运行记录，督导员工严格遵守岗位职责，严格执行安全操作规程，杜绝违章操作，保障本项目的设施设备安全、稳定、有序运行。</w:t>
      </w:r>
    </w:p>
    <w:p>
      <w:pPr>
        <w:spacing w:line="590" w:lineRule="exact"/>
        <w:ind w:firstLine="640" w:firstLineChars="200"/>
        <w:rPr>
          <w:rFonts w:ascii="仿宋" w:hAnsi="仿宋" w:eastAsia="仿宋"/>
          <w:color w:val="auto"/>
          <w:sz w:val="32"/>
          <w:szCs w:val="32"/>
        </w:rPr>
      </w:pPr>
      <w:bookmarkStart w:id="239" w:name="_Toc171847842"/>
      <w:bookmarkStart w:id="240" w:name="_Toc171850978"/>
      <w:r>
        <w:rPr>
          <w:rFonts w:ascii="仿宋" w:hAnsi="仿宋" w:eastAsia="仿宋"/>
          <w:color w:val="auto"/>
          <w:sz w:val="32"/>
          <w:szCs w:val="32"/>
        </w:rPr>
        <w:t>（2）项目工程师：且应持有设备类相关专业工程师资格证书，主要负责办公区配电房、电梯、空调、消防、监控及其他设施设备运行的督促检查工作，</w:t>
      </w:r>
      <w:bookmarkEnd w:id="239"/>
      <w:bookmarkEnd w:id="240"/>
      <w:r>
        <w:rPr>
          <w:rFonts w:ascii="仿宋" w:hAnsi="仿宋" w:eastAsia="仿宋"/>
          <w:color w:val="auto"/>
          <w:sz w:val="32"/>
          <w:szCs w:val="32"/>
        </w:rPr>
        <w:t>检查设备的使用、维护和保养情况，提出执行方案，解决有关技术问题，保证设备处于良好的技术状态。</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（3）值班电工：应持有高压进网证，其他工种须执相应的岗位操作证，高压配电房应实行24小时运行值班服务，且运行人员应按照国家相关要求据实配备。</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（4）电梯安全管理员：必须持有电梯安全员证书，负责电梯的日常运行及管理；督导、配合电梯专业维保公司完成电梯保养及相关工作。</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（5）空调工：应持有相关执业证书，负责空调设备的日常运行管理及维护；配合空调专业维保公司完成维修、保养工作，并监督检查保养质量 。</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6）机修工：应持有相关执业证书或操作证书，负责生活给水、排污泵、阀门、管道、卫生间水管等设备的保养和维修工作；参加设施设备的大、中修工作；负责按照日、周、月检要求对主要设施设备进行检查、保养，做好相应记录</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7）水电气维修人员：应持有电工操作证负责电器、照明、管道、通讯设备等的保养和维修工作；负责物业的应急维修、特约维修工作，负责装饰装修管理；定期对责任区域的设施设备进行预防性的检查、养护，及时发现和消除安全隐患。</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★（8）其他：做好业主方招标服务范围内的公共区域及办公区域零星维修维护。</w:t>
      </w:r>
    </w:p>
    <w:p>
      <w:pPr>
        <w:spacing w:line="590" w:lineRule="exact"/>
        <w:ind w:firstLine="643" w:firstLineChars="200"/>
        <w:rPr>
          <w:rFonts w:ascii="华文中宋" w:hAnsi="华文中宋" w:eastAsia="华文中宋"/>
          <w:b/>
          <w:color w:val="auto"/>
          <w:sz w:val="28"/>
          <w:szCs w:val="28"/>
        </w:rPr>
      </w:pPr>
      <w:r>
        <w:rPr>
          <w:rFonts w:ascii="华文中宋" w:hAnsi="华文中宋" w:eastAsia="华文中宋"/>
          <w:b/>
          <w:color w:val="auto"/>
          <w:sz w:val="32"/>
          <w:szCs w:val="32"/>
        </w:rPr>
        <w:t>八、客户服务人员配置要求</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（一）总体要求</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人员配置总体要求：具有团队精神，亲和力强，形象气质佳，身高1.60米以上。</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（二）工作区域人员配置及工作要求</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本项目需配备客户服务主管、客服服务人员和收发员，负责对市委、政府、人大、政协办公区及周转房报修受理，客户咨询接待工作，人大、政协报纸分发工作及配合做好市委、市政府报纸分发工作；负责公司内部各部门总体调度工作、突发事件的处理；及时向上级汇报；</w:t>
      </w:r>
    </w:p>
    <w:p>
      <w:pPr>
        <w:spacing w:line="590" w:lineRule="exact"/>
        <w:ind w:firstLine="643" w:firstLineChars="200"/>
        <w:rPr>
          <w:rFonts w:ascii="华文中宋" w:hAnsi="华文中宋" w:eastAsia="华文中宋"/>
          <w:b/>
          <w:color w:val="auto"/>
          <w:sz w:val="28"/>
          <w:szCs w:val="28"/>
        </w:rPr>
      </w:pPr>
      <w:r>
        <w:rPr>
          <w:rFonts w:ascii="华文中宋" w:hAnsi="华文中宋" w:eastAsia="华文中宋"/>
          <w:b/>
          <w:color w:val="auto"/>
          <w:sz w:val="32"/>
          <w:szCs w:val="32"/>
        </w:rPr>
        <w:t>九、会务服务人员配置及工作要求</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（一）总体要求</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人员配置总体要求：具有团队精神，亲和力强，形象气质佳，身高1. 6米以上。</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（二）工作区域及工作要求</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1.工作区域：市委办公区会议室：共有8间，分别容纳：大礼堂273人、1号96人、2号78人、3号48人、</w:t>
      </w:r>
      <w:r>
        <w:rPr>
          <w:rFonts w:ascii="仿宋" w:hAnsi="仿宋" w:eastAsia="仿宋"/>
          <w:color w:val="auto"/>
          <w:sz w:val="32"/>
          <w:szCs w:val="32"/>
          <w:shd w:val="clear" w:color="FFFFFF" w:fill="D9D9D9"/>
        </w:rPr>
        <w:t>5号</w:t>
      </w:r>
      <w:r>
        <w:rPr>
          <w:rFonts w:hint="eastAsia" w:ascii="仿宋" w:hAnsi="仿宋" w:eastAsia="仿宋"/>
          <w:color w:val="auto"/>
          <w:sz w:val="32"/>
          <w:szCs w:val="32"/>
          <w:shd w:val="clear" w:color="FFFFFF" w:fill="D9D9D9"/>
          <w:lang w:val="en-US" w:eastAsia="zh-CN"/>
        </w:rPr>
        <w:t>86</w:t>
      </w:r>
      <w:r>
        <w:rPr>
          <w:rFonts w:ascii="仿宋" w:hAnsi="仿宋" w:eastAsia="仿宋"/>
          <w:color w:val="auto"/>
          <w:sz w:val="32"/>
          <w:szCs w:val="32"/>
          <w:shd w:val="clear" w:color="FFFFFF" w:fill="D9D9D9"/>
        </w:rPr>
        <w:t>人</w:t>
      </w:r>
      <w:r>
        <w:rPr>
          <w:rFonts w:ascii="仿宋" w:hAnsi="仿宋" w:eastAsia="仿宋"/>
          <w:color w:val="auto"/>
          <w:sz w:val="32"/>
          <w:szCs w:val="32"/>
        </w:rPr>
        <w:t>、6号12人、7号12人、阅览室12人，侯会室3间，9楼提供专人服务；市政府办公区会议室：共有会议室7间，分别容纳：207号93人、202号45人、201号26人、101号36人、109号20人、215号9人、网真5人,会客室1间；市人大含建设局2间）共有会议室5个，分别容纳79人、30人、57人、19人、27人；市政协共有会议室4个，分别容纳100人、40人、20人、20人。</w:t>
      </w:r>
    </w:p>
    <w:p>
      <w:pPr>
        <w:spacing w:line="590" w:lineRule="exact"/>
        <w:ind w:firstLine="640" w:firstLineChars="200"/>
        <w:rPr>
          <w:rFonts w:ascii="仿宋" w:hAnsi="仿宋" w:eastAsia="仿宋"/>
          <w:color w:val="auto"/>
          <w:sz w:val="32"/>
          <w:szCs w:val="32"/>
        </w:rPr>
      </w:pPr>
      <w:bookmarkStart w:id="241" w:name="_Toc243368466"/>
      <w:r>
        <w:rPr>
          <w:rFonts w:ascii="仿宋" w:hAnsi="仿宋" w:eastAsia="仿宋"/>
          <w:color w:val="auto"/>
          <w:sz w:val="32"/>
          <w:szCs w:val="32"/>
        </w:rPr>
        <w:t>2.工作要求：本项目需配备会务服务主管、会务服务音响调控师和会务服务人员，负责对正常工作日工作时间段市委、政府、人大、政协机关办公区会议室的预订，会场安排布置，每次会议的会前检查工作，提供优质的会务服务。做好会服人员的管理、培训工作及日常班次安排、突发事件的处理。</w:t>
      </w:r>
      <w:bookmarkEnd w:id="241"/>
    </w:p>
    <w:p>
      <w:pPr>
        <w:spacing w:line="590" w:lineRule="exact"/>
        <w:ind w:firstLine="643" w:firstLineChars="200"/>
        <w:rPr>
          <w:rFonts w:ascii="华文中宋" w:hAnsi="华文中宋" w:eastAsia="华文中宋"/>
          <w:b/>
          <w:color w:val="auto"/>
          <w:sz w:val="32"/>
          <w:szCs w:val="32"/>
        </w:rPr>
      </w:pPr>
      <w:r>
        <w:rPr>
          <w:rFonts w:ascii="华文中宋" w:hAnsi="华文中宋" w:eastAsia="华文中宋"/>
          <w:b/>
          <w:color w:val="auto"/>
          <w:sz w:val="32"/>
          <w:szCs w:val="32"/>
        </w:rPr>
        <w:t>十、物业服务标准</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（一）参考全国物业管理示范大厦标准；</w:t>
      </w:r>
    </w:p>
    <w:p>
      <w:pPr>
        <w:spacing w:line="590" w:lineRule="exact"/>
        <w:ind w:firstLine="643" w:firstLineChars="200"/>
        <w:rPr>
          <w:rFonts w:ascii="仿宋" w:hAnsi="仿宋" w:eastAsia="仿宋"/>
          <w:b/>
          <w:color w:val="auto"/>
          <w:sz w:val="32"/>
          <w:szCs w:val="32"/>
        </w:rPr>
      </w:pPr>
      <w:r>
        <w:rPr>
          <w:rFonts w:ascii="仿宋" w:hAnsi="仿宋" w:eastAsia="仿宋"/>
          <w:b/>
          <w:color w:val="auto"/>
          <w:sz w:val="32"/>
          <w:szCs w:val="32"/>
        </w:rPr>
        <w:t>（二）考评标准。</w:t>
      </w:r>
    </w:p>
    <w:tbl>
      <w:tblPr>
        <w:tblStyle w:val="49"/>
        <w:tblW w:w="98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3941"/>
        <w:gridCol w:w="790"/>
        <w:gridCol w:w="3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1333" w:type="dxa"/>
            <w:vAlign w:val="center"/>
          </w:tcPr>
          <w:p>
            <w:pPr>
              <w:spacing w:line="240" w:lineRule="exact"/>
              <w:jc w:val="center"/>
              <w:rPr>
                <w:rFonts w:ascii="Times New Roman" w:hAnsi="Times New Roman" w:eastAsia="黑体"/>
                <w:bCs/>
                <w:color w:val="auto"/>
                <w:szCs w:val="21"/>
              </w:rPr>
            </w:pPr>
            <w:r>
              <w:rPr>
                <w:rFonts w:ascii="Times New Roman" w:hAnsi="Times New Roman" w:eastAsia="黑体"/>
                <w:bCs/>
                <w:color w:val="auto"/>
                <w:szCs w:val="21"/>
              </w:rPr>
              <w:t>项目</w:t>
            </w:r>
          </w:p>
        </w:tc>
        <w:tc>
          <w:tcPr>
            <w:tcW w:w="3941" w:type="dxa"/>
            <w:vAlign w:val="center"/>
          </w:tcPr>
          <w:p>
            <w:pPr>
              <w:spacing w:line="240" w:lineRule="exact"/>
              <w:jc w:val="center"/>
              <w:rPr>
                <w:rFonts w:ascii="Times New Roman" w:hAnsi="Times New Roman" w:eastAsia="黑体"/>
                <w:bCs/>
                <w:color w:val="auto"/>
                <w:szCs w:val="21"/>
              </w:rPr>
            </w:pPr>
            <w:r>
              <w:rPr>
                <w:rFonts w:ascii="Times New Roman" w:hAnsi="Times New Roman" w:eastAsia="黑体"/>
                <w:bCs/>
                <w:color w:val="auto"/>
                <w:szCs w:val="21"/>
              </w:rPr>
              <w:t>服务质量标准</w:t>
            </w:r>
          </w:p>
        </w:tc>
        <w:tc>
          <w:tcPr>
            <w:tcW w:w="790" w:type="dxa"/>
            <w:vAlign w:val="center"/>
          </w:tcPr>
          <w:p>
            <w:pPr>
              <w:spacing w:line="240" w:lineRule="exact"/>
              <w:jc w:val="center"/>
              <w:rPr>
                <w:rFonts w:ascii="Times New Roman" w:hAnsi="Times New Roman" w:eastAsia="黑体"/>
                <w:bCs/>
                <w:color w:val="auto"/>
                <w:szCs w:val="21"/>
              </w:rPr>
            </w:pPr>
            <w:r>
              <w:rPr>
                <w:rFonts w:ascii="Times New Roman" w:hAnsi="Times New Roman" w:eastAsia="黑体"/>
                <w:bCs/>
                <w:color w:val="auto"/>
                <w:szCs w:val="21"/>
              </w:rPr>
              <w:t>分值</w:t>
            </w:r>
          </w:p>
        </w:tc>
        <w:tc>
          <w:tcPr>
            <w:tcW w:w="3769" w:type="dxa"/>
            <w:vAlign w:val="center"/>
          </w:tcPr>
          <w:p>
            <w:pPr>
              <w:spacing w:line="240" w:lineRule="exact"/>
              <w:jc w:val="center"/>
              <w:rPr>
                <w:rFonts w:ascii="Times New Roman" w:hAnsi="Times New Roman" w:eastAsia="黑体"/>
                <w:bCs/>
                <w:color w:val="auto"/>
                <w:szCs w:val="21"/>
              </w:rPr>
            </w:pPr>
            <w:r>
              <w:rPr>
                <w:rFonts w:ascii="Times New Roman" w:hAnsi="Times New Roman" w:eastAsia="黑体"/>
                <w:bCs/>
                <w:color w:val="auto"/>
                <w:szCs w:val="21"/>
              </w:rPr>
              <w:t>监督考评标准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1333" w:type="dxa"/>
            <w:vMerge w:val="restart"/>
            <w:vAlign w:val="center"/>
          </w:tcPr>
          <w:p>
            <w:pPr>
              <w:spacing w:line="240" w:lineRule="exact"/>
              <w:jc w:val="center"/>
              <w:rPr>
                <w:rFonts w:ascii="Times New Roman" w:hAnsi="Times New Roman" w:eastAsia="黑体"/>
                <w:bCs/>
                <w:color w:val="auto"/>
                <w:szCs w:val="21"/>
              </w:rPr>
            </w:pPr>
            <w:r>
              <w:rPr>
                <w:rFonts w:ascii="Times New Roman" w:hAnsi="Times New Roman" w:eastAsia="黑体"/>
                <w:bCs/>
                <w:color w:val="auto"/>
                <w:szCs w:val="21"/>
              </w:rPr>
              <w:t>管理制度</w:t>
            </w:r>
          </w:p>
          <w:p>
            <w:pPr>
              <w:spacing w:line="240" w:lineRule="exact"/>
              <w:jc w:val="center"/>
              <w:rPr>
                <w:rFonts w:ascii="Times New Roman" w:hAnsi="Times New Roman" w:eastAsia="黑体"/>
                <w:bCs/>
                <w:color w:val="auto"/>
                <w:szCs w:val="21"/>
              </w:rPr>
            </w:pPr>
            <w:r>
              <w:rPr>
                <w:rFonts w:ascii="Times New Roman" w:hAnsi="Times New Roman" w:eastAsia="黑体"/>
                <w:bCs/>
                <w:color w:val="auto"/>
                <w:szCs w:val="21"/>
              </w:rPr>
              <w:t>的建立健全及综合管理</w:t>
            </w:r>
          </w:p>
          <w:p>
            <w:pPr>
              <w:spacing w:line="240" w:lineRule="exact"/>
              <w:jc w:val="center"/>
              <w:rPr>
                <w:rFonts w:ascii="Times New Roman" w:hAnsi="Times New Roman" w:eastAsia="黑体"/>
                <w:bCs/>
                <w:color w:val="auto"/>
                <w:szCs w:val="21"/>
              </w:rPr>
            </w:pPr>
            <w:r>
              <w:rPr>
                <w:rFonts w:ascii="Times New Roman" w:hAnsi="Times New Roman" w:eastAsia="黑体"/>
                <w:bCs/>
                <w:color w:val="auto"/>
                <w:szCs w:val="21"/>
              </w:rPr>
              <w:t xml:space="preserve"> （4分）</w:t>
            </w: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建立健全物业管理档案，全面负责对机关物业管理、会务接待实施一体化综合管理；</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有一项档案不齐全的扣0.1分；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jc w:val="center"/>
        </w:trPr>
        <w:tc>
          <w:tcPr>
            <w:tcW w:w="1333" w:type="dxa"/>
            <w:vMerge w:val="continue"/>
            <w:vAlign w:val="center"/>
          </w:tcPr>
          <w:p>
            <w:pPr>
              <w:spacing w:line="240" w:lineRule="exact"/>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建立健全本物业内部岗位设置标准、职工管理以及相关物业使用守则等各项制度，并制定具体的落实措施和考核办法；</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缺少一项制度扣0.1分；缺少一项岗位设置标准的扣0.1分；缺少一项考核办法的扣0.2分；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1333" w:type="dxa"/>
            <w:vMerge w:val="continue"/>
            <w:vAlign w:val="center"/>
          </w:tcPr>
          <w:p>
            <w:pPr>
              <w:spacing w:line="240" w:lineRule="exact"/>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物业管理企业内部的管理人员、服务人员及专业技术人员必须持证上岗，专业技术人员必须持有国家认可的专业技术上岗证，全体人员须着装统一、佩戴明显标识；</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1.5</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发现未持证上岗的一人扣0.1分；发现未着工装的一人扣0.1分；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1333" w:type="dxa"/>
            <w:vMerge w:val="continue"/>
            <w:vAlign w:val="center"/>
          </w:tcPr>
          <w:p>
            <w:pPr>
              <w:spacing w:line="240" w:lineRule="exact"/>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负责对本物业的各项服务工作进行巡查、监督，并对物业服务员工进行考核；</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缺少一项巡查记录的扣0.1分；未对员工进行考核的扣每发现一次扣0.2分；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333" w:type="dxa"/>
            <w:vMerge w:val="restart"/>
            <w:vAlign w:val="center"/>
          </w:tcPr>
          <w:p>
            <w:pPr>
              <w:spacing w:line="240" w:lineRule="exact"/>
              <w:jc w:val="center"/>
              <w:rPr>
                <w:rFonts w:ascii="Times New Roman" w:hAnsi="Times New Roman" w:eastAsia="黑体"/>
                <w:bCs/>
                <w:color w:val="auto"/>
                <w:szCs w:val="21"/>
              </w:rPr>
            </w:pPr>
            <w:r>
              <w:rPr>
                <w:rFonts w:ascii="Times New Roman" w:hAnsi="Times New Roman" w:eastAsia="黑体"/>
                <w:bCs/>
                <w:color w:val="auto"/>
                <w:szCs w:val="21"/>
              </w:rPr>
              <w:t>房屋管理</w:t>
            </w:r>
          </w:p>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（3分）</w:t>
            </w: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加强对房屋管理的巡查，主动发现问题，发现违规乱搭乱建，擅自改变房屋用途的，及时向业主方报告；</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发现一处乱搭乱建或改变该房屋用途未报告扣0.1分；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房屋外观完好整洁；外墙瓷片无脱落、无裂缝；玻璃幕墙清洁明亮，无破损、无明显污渍；无乱张贴和乱悬挂现象；</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发现外墙有污渍一处扣0.1分；外墙有瓷片脱落或裂缝一处扣0.1分；玻璃幕墙破损一处或污渍扣0.1分；乱张贴一处扣0.1分；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及时发现房屋公用场所内墙破损、涂料脱落、明显污渍等情况，确保各楼层天花板无破损，无滴水印；</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发现一处有污渍或脱落破损未处理扣除0.5分；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各房顶和天台隔热层无破损，雨水排水管通畅，无阻塞外溢现象。</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一处有破损扣0.1分。一处有雨水排水管不通扣0.5分。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33" w:type="dxa"/>
            <w:vMerge w:val="restart"/>
            <w:vAlign w:val="center"/>
          </w:tcPr>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机电设备管理（12分）</w:t>
            </w:r>
          </w:p>
        </w:tc>
        <w:tc>
          <w:tcPr>
            <w:tcW w:w="3941" w:type="dxa"/>
            <w:vAlign w:val="center"/>
          </w:tcPr>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（一）给排水泵设施</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2.5分</w:t>
            </w:r>
          </w:p>
        </w:tc>
        <w:tc>
          <w:tcPr>
            <w:tcW w:w="3769" w:type="dxa"/>
            <w:vAlign w:val="center"/>
          </w:tcPr>
          <w:p>
            <w:pPr>
              <w:spacing w:line="240" w:lineRule="exact"/>
              <w:ind w:firstLine="472" w:firstLineChars="225"/>
              <w:rPr>
                <w:rFonts w:ascii="Times New Roman" w:hAnsi="Times New Roman" w:eastAsia="楷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供水泵、阀门、水池及其球阀供水管道定期检查保养；</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查记录，每月不少于一次，未达到扣0.1分；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水池水无外溢，供水阀门、管道无渗漏；</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现场检查，发现一处渗漏扣0.1分；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排水泵定期检查无堵塞，排水井定期清理，保证污水排放通畅；</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有记录，每月不少于一次，未达到扣0.1分；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排污管道无渗漏；</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现场检查，发现一处渗漏扣0.1分；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设备房无积水、浸泡现象发生。</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发生一次扣0.1分。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（二）消防系统</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3.5分</w:t>
            </w:r>
          </w:p>
        </w:tc>
        <w:tc>
          <w:tcPr>
            <w:tcW w:w="3769" w:type="dxa"/>
            <w:vAlign w:val="center"/>
          </w:tcPr>
          <w:p>
            <w:pPr>
              <w:spacing w:line="240" w:lineRule="exact"/>
              <w:ind w:firstLine="472" w:firstLineChars="225"/>
              <w:rPr>
                <w:rFonts w:ascii="Times New Roman" w:hAnsi="Times New Roman" w:eastAsia="楷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消防控制中心24小时值班，控制中心消防设备设施完好无损，可随时启动；有异常及时上报业主方；</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无24小时值班，每次扣0.2分；设备设施损坏不能启动，每次扣0.5分；值班记录不全或不实的扣0.1分；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消防值守人员能熟练操作消防设施设备，发生火险等情况能及时正确处理；</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不能熟练操作的，一次扣0.2分；发生火险不能及时正确处理的，一次扣0.5分；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办公区内各种消防设施每月至少检查一次，确保无缺损，保障正常运行；</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无检查记录的扣0.1分，一处运行障碍扣0.1分，一处缺或损坏扣0.1分；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制定突发火灾应急预案，设立《安全疏散线路示意图》，应急照明灯路标完好，紧急疏散通道通畅，无堆放杂物堵塞；</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无应急预案的扣0.5分，无示意图的扣0.3分，一处不符合要求扣0.1分，一处杂物堵塞扣0.1分；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严格消防管理制度，认真巡查火险隐患，确保无火灾事故发生。</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检查一处有隐患扣0.5分，发生火灾事故1分，并追究责任。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（三）供配电系统</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4分</w:t>
            </w:r>
          </w:p>
        </w:tc>
        <w:tc>
          <w:tcPr>
            <w:tcW w:w="3769" w:type="dxa"/>
            <w:vAlign w:val="center"/>
          </w:tcPr>
          <w:p>
            <w:pPr>
              <w:spacing w:line="240" w:lineRule="exact"/>
              <w:ind w:firstLine="472" w:firstLineChars="225"/>
              <w:rPr>
                <w:rFonts w:ascii="Times New Roman" w:hAnsi="Times New Roman" w:eastAsia="楷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保持室内照明灯具、事故照明、各柜指示灯仪表完好；</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抽查发现同时坏3盏以上者扣0.1分，以此类推；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设备运行记录，交接班记录必须完整、准确、清晰；</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如发现虚假、不符等，每次扣0.1分；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配电室内配电柜操作开关设明显标志，停电拉闸，检修拉闸，必须事先通知业主方（特殊及紧急情况除外），并挂警示牌；</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违者每次扣0.1分；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机房内整洁，无乱堆现象、无烟头；保持机身洁净仪表清晰。</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抽查时发现不合格者每项扣0.1分。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（四）电梯管理</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2分</w:t>
            </w:r>
          </w:p>
        </w:tc>
        <w:tc>
          <w:tcPr>
            <w:tcW w:w="3769" w:type="dxa"/>
            <w:vAlign w:val="center"/>
          </w:tcPr>
          <w:p>
            <w:pPr>
              <w:spacing w:line="240" w:lineRule="exact"/>
              <w:ind w:firstLine="472" w:firstLineChars="225"/>
              <w:rPr>
                <w:rFonts w:ascii="Times New Roman" w:hAnsi="Times New Roman" w:eastAsia="楷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电梯轿厢运行平稳，无抖动，及时发现、协助处理并上报电梯摆动或异响等问题；</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未及时发现、协助处理、上报电梯问题每次扣0.1分；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电梯轿厢电风扇，照明，各按键，楼层显示灯完好；每天做好电梯按键的消毒工作，并填写消毒时间；</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抽查时坏三盏以上者扣0.1分，以此类推；发现一次未消毒的扣0.1分；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电梯在运行中突发故障，管理人员须在5分钟内赶到现场协助处理故障；</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超过5分钟扣0.2分，超过10分钟不得分；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停、检修电梯须提前通知业主方，认可后方可执行（紧急情况除外），并按规定设置警示牌；</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不符合者每项扣0.1分；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1333" w:type="dxa"/>
            <w:vMerge w:val="restart"/>
            <w:vAlign w:val="center"/>
          </w:tcPr>
          <w:p>
            <w:pPr>
              <w:spacing w:line="240" w:lineRule="exact"/>
              <w:jc w:val="center"/>
              <w:rPr>
                <w:rFonts w:ascii="Times New Roman" w:hAnsi="Times New Roman" w:eastAsia="黑体"/>
                <w:bCs/>
                <w:color w:val="auto"/>
                <w:szCs w:val="21"/>
              </w:rPr>
            </w:pPr>
            <w:r>
              <w:rPr>
                <w:rFonts w:ascii="Times New Roman" w:hAnsi="Times New Roman" w:eastAsia="黑体"/>
                <w:bCs/>
                <w:color w:val="auto"/>
                <w:szCs w:val="21"/>
              </w:rPr>
              <w:t>公共区域及其设施管理</w:t>
            </w:r>
          </w:p>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（7分）</w:t>
            </w: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大门广场、路面平坦，无损坏，车位线和导向清楚；</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一项不符合要求扣0.1分；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雨水井、污水盖完好无缺，井壁无损，井底无砂石，杂物堵塞；</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一个井不符合要求扣0.1分；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雨水、污水管道无裂，无阻塞，无渗漏，水流畅通；</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一处不符合要求扣0.1分；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电缆沟盖、各阀门盖无损坏，无积水；</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一处不符合扣0.1分；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及时发现单位内围墙及门生锈、裂断、变形等情况，并上报业主方；</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若发现一处未上报扣0.1分；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路灯灯罩无破损，灯柱无歪斜、损坏；</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一盏路灯不符合扣0.1分；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公共场所、楼道照明灯、各类宣传栏照明灯完好，确保照明正常。各门窗配件完好无损；</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一处不符合扣0.1分；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厕所无阻塞，确保排污通畅。厕所门、隔断无损坏；</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发生一处阻塞未及时疏通扣0.1分，一个厕所门或隔断损坏未修复扣0.1分；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楼顶设施：</w:t>
            </w:r>
            <w:r>
              <w:rPr>
                <w:rFonts w:hint="eastAsia" w:ascii="宋体" w:hAnsi="宋体" w:cs="宋体"/>
                <w:bCs/>
                <w:color w:val="auto"/>
                <w:szCs w:val="21"/>
              </w:rPr>
              <w:t>①</w:t>
            </w:r>
            <w:r>
              <w:rPr>
                <w:rFonts w:ascii="Times New Roman" w:hAnsi="Times New Roman" w:eastAsia="楷体"/>
                <w:bCs/>
                <w:color w:val="auto"/>
                <w:szCs w:val="21"/>
              </w:rPr>
              <w:t>供水池设施；</w:t>
            </w:r>
            <w:r>
              <w:rPr>
                <w:rFonts w:hint="eastAsia" w:ascii="宋体" w:hAnsi="宋体" w:cs="宋体"/>
                <w:bCs/>
                <w:color w:val="auto"/>
                <w:szCs w:val="21"/>
              </w:rPr>
              <w:t>②</w:t>
            </w:r>
            <w:r>
              <w:rPr>
                <w:rFonts w:ascii="Times New Roman" w:hAnsi="Times New Roman" w:eastAsia="楷体"/>
                <w:bCs/>
                <w:color w:val="auto"/>
                <w:szCs w:val="21"/>
              </w:rPr>
              <w:t>避雷设施，各项性能完好。</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一项设施出故障未及时修复扣0.1分。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33" w:type="dxa"/>
            <w:vMerge w:val="restart"/>
            <w:vAlign w:val="center"/>
          </w:tcPr>
          <w:p>
            <w:pPr>
              <w:spacing w:line="240" w:lineRule="exact"/>
              <w:ind w:firstLine="472" w:firstLineChars="225"/>
              <w:jc w:val="center"/>
              <w:rPr>
                <w:rFonts w:ascii="Times New Roman" w:hAnsi="Times New Roman" w:eastAsia="楷体"/>
                <w:bCs/>
                <w:color w:val="auto"/>
                <w:szCs w:val="21"/>
              </w:rPr>
            </w:pPr>
          </w:p>
          <w:p>
            <w:pPr>
              <w:spacing w:line="240" w:lineRule="exact"/>
              <w:jc w:val="center"/>
              <w:rPr>
                <w:rFonts w:ascii="Times New Roman" w:hAnsi="Times New Roman" w:eastAsia="黑体"/>
                <w:bCs/>
                <w:color w:val="auto"/>
                <w:szCs w:val="21"/>
              </w:rPr>
            </w:pPr>
          </w:p>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清洁卫生管理（15分）</w:t>
            </w:r>
          </w:p>
        </w:tc>
        <w:tc>
          <w:tcPr>
            <w:tcW w:w="3941" w:type="dxa"/>
            <w:vAlign w:val="center"/>
          </w:tcPr>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（一）公共区域卫生清洁保洁</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8分</w:t>
            </w:r>
          </w:p>
        </w:tc>
        <w:tc>
          <w:tcPr>
            <w:tcW w:w="3769" w:type="dxa"/>
            <w:vAlign w:val="center"/>
          </w:tcPr>
          <w:p>
            <w:pPr>
              <w:spacing w:line="240" w:lineRule="exact"/>
              <w:ind w:firstLine="472" w:firstLineChars="225"/>
              <w:rPr>
                <w:rFonts w:ascii="Times New Roman" w:hAnsi="Times New Roman" w:eastAsia="楷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清洁保洁责任划分到人，责任范围清洁达到标准化。清洁员工作细致，形象良好；</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未明确责任到人、未明确划分责任范围，一处扣0.1分。一处未达到标准保洁扣0.1分；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各责任区域门窗干净明亮、清爽；地面无纸屑、果皮、灰尘、杂物和污渍；楼梯扶手、窗台无灰尘；垃圾筒纸篓内的垃圾不能超过三分之二；屋顶无蛛网；灯内无明显蚊虫。</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2分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一个责任区域一项未做到扣0.2分；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各洗手间清洁明亮，无积水，无污渍，无异味；洗手台保持干净、清爽、无积水。</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2分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一个洗手间一项不符合扣0.5分；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地面保持干燥，尤其下雨天要加强管理，放置地滑警示牌，防止行人摔伤，确保安全；</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未设置警示牌，每次扣0.2分。因地面有水或其他果皮等致使人摔伤全扣，并且承担由此引发的责任；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垃圾站的垃圾做到日产日清，每三天至少清洗一次，外露面无垃圾附着；洁具摆放整齐规范；</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一项未做到扣0.1分；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下雨天提醒和协助进入大楼工作人员套好伞套；</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发现一次未做到扣0.1分；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确保无卫生死角。</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有一处卫生死角扣0.5分。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（二）外围环境保洁</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7分</w:t>
            </w:r>
          </w:p>
        </w:tc>
        <w:tc>
          <w:tcPr>
            <w:tcW w:w="3769" w:type="dxa"/>
            <w:vAlign w:val="center"/>
          </w:tcPr>
          <w:p>
            <w:pPr>
              <w:spacing w:line="240" w:lineRule="exact"/>
              <w:ind w:firstLine="472" w:firstLineChars="225"/>
              <w:rPr>
                <w:rFonts w:ascii="Times New Roman" w:hAnsi="Times New Roman" w:eastAsia="楷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路面无明显泥沙、污垢、口香糖等污物，无1cm以上的石子，每100平方米烟头纸屑不超过3处；</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2分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不符合扣0.5分；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大楼四周绿化带中无白色垃圾，烟头纸屑每100平方米不超过2处；</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2分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发现一处扣0.1分；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各平台、房顶无乱堆放杂物，目视无垃圾、无污渍、无青苔、无积水；</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发现一处扣0.1分；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各明沟（含雨污口）无垃圾、无青苔，保持通畅；</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一条沟不符合扣0.1分；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确保无卫生死角。</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jc w:val="center"/>
        </w:trPr>
        <w:tc>
          <w:tcPr>
            <w:tcW w:w="1333" w:type="dxa"/>
            <w:vMerge w:val="restart"/>
            <w:vAlign w:val="center"/>
          </w:tcPr>
          <w:p>
            <w:pPr>
              <w:spacing w:line="240" w:lineRule="exact"/>
              <w:jc w:val="center"/>
              <w:rPr>
                <w:rFonts w:ascii="Times New Roman" w:hAnsi="Times New Roman" w:eastAsia="黑体"/>
                <w:bCs/>
                <w:color w:val="auto"/>
                <w:szCs w:val="21"/>
              </w:rPr>
            </w:pPr>
            <w:r>
              <w:rPr>
                <w:rFonts w:ascii="Times New Roman" w:hAnsi="Times New Roman" w:eastAsia="黑体"/>
                <w:bCs/>
                <w:color w:val="auto"/>
                <w:szCs w:val="21"/>
              </w:rPr>
              <w:t>安全保卫管理（13.5分）</w:t>
            </w:r>
          </w:p>
          <w:p>
            <w:pPr>
              <w:spacing w:line="240" w:lineRule="exact"/>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按照合同规定标准合理配置保安人员，保安队员年流动率不超过20%，治安案件发生率控制在2‰以内，确保安全稳定；</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未按照合同规定配置保安人员，每人扣0.2分，流动率每超过一个百分点扣0.1分，以此类推；每增加一个案件扣0.5分；发生安全事故一次扣1分，发生重大安全事故扣2分；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保安队员必须熟悉物业环境和工作职责，上班时按规定佩戴装备，文明值勤，不与职工、到访人员发生矛盾和冲突；</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未认真履行职责，干与工作无关的事，发现一次扣0.2分。发现一名队员不礼貌扣0.1分，无理与他人发生冲突一次扣0.5分，发生两次建议辞退；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保安必须实行24小时值班巡逻，认真履行职责，加强重点区域巡逻；</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查值班巡逻日志，当值发生事件无记录扣0.2分，记录不规范扣0.1分，如反映巡逻不到位一次扣0.2分，巡逻乘坐电梯一次扣0.1分；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做好重大活动、会议的安全保卫工作，圆满完成交办的任务；</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因安全保卫工作失误，造成不良影响或财产损失、人员伤亡的一次扣1分，并由物业公司承担相应责任；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严格执行验证登记制度，凡进入办公区域的外来人员、车辆应询问来访目的，查验有关证件，并进行登记；</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未登记每人扣0.2分；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定期组织员工进行思想教育和业务技能培训，提高人员从业素质，确保不发生物品被盗和各类案件及安全事故；</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发生手机钱包及贵重物品被盗事件一次扣0.5分。发生财产被盗和破坏或保安员内部自盗一次扣1分，并追究责任；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9"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及时发现和处理各类安全隐患。定期组织安全教育和应急演练，确保安全教育培训和应急演练每半年一次；</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2分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未及时进行检查维护和处理，造成设施设备损坏或无法正常运行的，维修经费自付，并一次扣0.2分。无安全教育培训记录每次扣0.1分。无安全教育培训记录每次扣0.1分，未进行应急演练扣0.5分；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有群众上访时，做好现场秩序维护工作，确保人身和财产安全，并配合好信访局、公安机关及相关部门进行疏导，防止意外事故发生；</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未及时维护秩序，每次扣0.2分；不主动配合信访局、公安及相关部门疏导，每次扣0.2分。因疏忽而造成意外事故的，扣1分；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做好停车场的管理，正确引导进出各种车辆（含非机动车）按规定停放，提醒车主关好车辆门窗，上好锁，防止损坏、被盗等问题发生；</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2分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发现乱停放车辆，车辆不整齐的一辆扣0.1分；发生车辆碰撞，损坏一次扣0.5分，发生车辆被盗一次扣2分；并由物业公司承担相应责任；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维护办公区域的秩序，及时制止责任区内吵架、打架等滋事行为，及时向班长和相关领导报告或报警；</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发生吵架、打架等滋事情况未及时制止的，每次扣0.分，，造成严重后果的，一次性扣1分；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保证监控室监控人员在岗在位，做好每日监控记录并形成档案。对办公区门禁、监控系统不定期进行调试与维护，保证各项监控设备24小时正常运行，能清楚显示出入人员、车辆画面，录像存储功能正常。</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监控室人员脱岗或无日常监控记录每次扣0.2分，未及时进行调试导致监控系统运转不畅每次扣0.2分，后台录像无法正常存储、调用每次扣0.5分。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333" w:type="dxa"/>
            <w:vMerge w:val="restart"/>
            <w:vAlign w:val="center"/>
          </w:tcPr>
          <w:p>
            <w:pPr>
              <w:spacing w:line="240" w:lineRule="exact"/>
              <w:ind w:firstLine="472" w:firstLineChars="225"/>
              <w:rPr>
                <w:rFonts w:ascii="Times New Roman" w:hAnsi="Times New Roman" w:eastAsia="楷体"/>
                <w:bCs/>
                <w:color w:val="auto"/>
                <w:szCs w:val="21"/>
              </w:rPr>
            </w:pPr>
          </w:p>
          <w:p>
            <w:pPr>
              <w:spacing w:line="240" w:lineRule="exact"/>
              <w:ind w:firstLine="472" w:firstLineChars="225"/>
              <w:rPr>
                <w:rFonts w:ascii="Times New Roman" w:hAnsi="Times New Roman" w:eastAsia="楷体"/>
                <w:bCs/>
                <w:color w:val="auto"/>
                <w:szCs w:val="21"/>
              </w:rPr>
            </w:pPr>
          </w:p>
          <w:p>
            <w:pPr>
              <w:spacing w:line="240" w:lineRule="exact"/>
              <w:jc w:val="center"/>
              <w:rPr>
                <w:rFonts w:ascii="Times New Roman" w:hAnsi="Times New Roman" w:eastAsia="黑体"/>
                <w:bCs/>
                <w:color w:val="auto"/>
                <w:szCs w:val="21"/>
              </w:rPr>
            </w:pPr>
            <w:r>
              <w:rPr>
                <w:rFonts w:ascii="Times New Roman" w:hAnsi="Times New Roman" w:eastAsia="黑体"/>
                <w:bCs/>
                <w:color w:val="auto"/>
                <w:szCs w:val="21"/>
              </w:rPr>
              <w:t>会务管理</w:t>
            </w:r>
          </w:p>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（8．5分）</w:t>
            </w: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做好会议室和候会室的保洁，整洁达到《会议服务工作标准》要求；</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一处不符合扣0.1分；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333" w:type="dxa"/>
            <w:vMerge w:val="continue"/>
            <w:vAlign w:val="center"/>
          </w:tcPr>
          <w:p>
            <w:pPr>
              <w:spacing w:line="240" w:lineRule="exact"/>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各开水间，地面无垃圾、积水，热水器常擦拭，定期清理水垢，各水盆、清洁池明亮无污渍；</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一个开水间一项不符合扣0.1分；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333" w:type="dxa"/>
            <w:vMerge w:val="continue"/>
            <w:vAlign w:val="center"/>
          </w:tcPr>
          <w:p>
            <w:pPr>
              <w:spacing w:line="240" w:lineRule="exact"/>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 xml:space="preserve">按照《都江堰市机关事务中心会务服务确认表》要求，逐项对会前准备进行检查。 </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一处不符合扣0.1分；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按照会议要求做好会前准备，根据会议主办单位的会议人数确认所需要的桌、椅数量，并按要求摆放。备好茶水，并请会议主办单位确认；</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一处不符合扣0.1分；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服务人员应在会议开始半小时前严格按要求到岗，及时开启、检查需要的会议设备，确保各项会议设备运行正常；</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回访不合格一项扣0.1分；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会务服务标准严格按照《成都市机关服务中心会议服务岗位操作规程及服务标准（试行办法）》执行</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3分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一条不符合扣0.5分；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会议结束。参会人员离开后，服务人员着手清场工作，关闭设备及照明，查看有无遗留物品和会议资料，如发现需及时联系。</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抽查不符合，每次扣0.1分。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333" w:type="dxa"/>
            <w:vMerge w:val="restart"/>
            <w:vAlign w:val="center"/>
          </w:tcPr>
          <w:p>
            <w:pPr>
              <w:spacing w:line="240" w:lineRule="exact"/>
              <w:jc w:val="center"/>
              <w:rPr>
                <w:rFonts w:ascii="Times New Roman" w:hAnsi="Times New Roman" w:eastAsia="黑体"/>
                <w:bCs/>
                <w:color w:val="auto"/>
                <w:szCs w:val="21"/>
              </w:rPr>
            </w:pPr>
            <w:r>
              <w:rPr>
                <w:rFonts w:ascii="Times New Roman" w:hAnsi="Times New Roman" w:eastAsia="黑体"/>
                <w:bCs/>
                <w:color w:val="auto"/>
                <w:szCs w:val="21"/>
              </w:rPr>
              <w:t>客服受理</w:t>
            </w:r>
          </w:p>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（3分）</w:t>
            </w: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负责物业管理的服务电话，应执行24小时值班，随时有人接听；</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无24小时服务电话扣0.5分，无人接听电话一次扣0.1分；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耐心礼貌受理各单位服务申请、报修、求助、建议、问询、投诉等各类信息并做好记录，及时分发处理的回访；对安排的有关事务，要及时跟踪，落实和反馈；</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不礼貌或不耐心一次扣0.1分；无记录一次扣0.1分；处理不及时或无回访，一次扣0.1分。无落实或无反馈，一次扣0.1分；</w:t>
            </w:r>
            <w:r>
              <w:rPr>
                <w:rFonts w:ascii="Times New Roman" w:hAnsi="Times New Roman" w:eastAsia="楷体"/>
                <w:bCs/>
                <w:color w:val="auto"/>
                <w:spacing w:val="-12"/>
                <w:szCs w:val="21"/>
              </w:rPr>
              <w:t>在能力范围内未及时处理、反馈，一次扣0.1分；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当接到维修任务时，小修项目及时完成，重大和紧急维修项目应及时报告业主方；</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在能力范围之内，未及时处理，一次扣0.1分；未报告，一次扣0.1分；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发生与物业管理有关的重大突发事件，应立即上报有关部门和领导，并做好处理；</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未及时上报、未处理好，一次扣0.1分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每季发放服务工作征求意见表，及时采纳合理建议，改进存在问题，不断提高管理与服务质量。</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未按时发放意见表扣0.1分，同一问题2次未解决扣0.2分；未征求意见，每次扣0.2分；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3" w:hRule="atLeast"/>
          <w:jc w:val="center"/>
        </w:trPr>
        <w:tc>
          <w:tcPr>
            <w:tcW w:w="1333" w:type="dxa"/>
            <w:vMerge w:val="restart"/>
            <w:vAlign w:val="center"/>
          </w:tcPr>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VIP办公用房及周转房管理、（3分）</w:t>
            </w: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房间内每天清扫一次，每天8：00前完成。确保地面整洁、墙面以及门窗清洁、各种物品摆放整齐，房间内不见杂物、不见漏迹、不见积尘；楼梯过道每天全天保洁（9:00-17:00），确保过道以及过道墙面清洁、地面无杂物、不见明显污迹、不见积尘；各房间地垫至少每月清洗一次。床上用品按季节，冬天每月一次，其它季节每半月清洗一次；按要求，配合业主方清洗窗帘；每日对电器进行日常检查，确保能正常使用；温馨提示牌内容是否更换、植物是否枯萎等。</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2分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水、电维护，定期检查，确保每日水电气三通，特别是水、电。电路以及各种保险、开关每月定期检查、排查，确保安全通电、通水、通气。做好墙面、墙体、窗帘等各种工程维护。</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发现有水、气不通一次扣0.5分，未及时处理水电气事故一次扣0.5分。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333" w:type="dxa"/>
            <w:vMerge w:val="restart"/>
            <w:vAlign w:val="center"/>
          </w:tcPr>
          <w:p>
            <w:pPr>
              <w:spacing w:line="240" w:lineRule="exact"/>
              <w:jc w:val="center"/>
              <w:rPr>
                <w:rFonts w:ascii="Times New Roman" w:hAnsi="Times New Roman" w:eastAsia="黑体"/>
                <w:bCs/>
                <w:color w:val="auto"/>
                <w:szCs w:val="21"/>
              </w:rPr>
            </w:pPr>
            <w:r>
              <w:rPr>
                <w:rFonts w:ascii="Times New Roman" w:hAnsi="Times New Roman" w:eastAsia="黑体"/>
                <w:bCs/>
                <w:color w:val="auto"/>
                <w:szCs w:val="21"/>
              </w:rPr>
              <w:t>节能工作</w:t>
            </w:r>
          </w:p>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（4分）</w:t>
            </w:r>
          </w:p>
        </w:tc>
        <w:tc>
          <w:tcPr>
            <w:tcW w:w="3941" w:type="dxa"/>
            <w:vAlign w:val="center"/>
          </w:tcPr>
          <w:p>
            <w:pPr>
              <w:widowControl/>
              <w:spacing w:line="240" w:lineRule="exact"/>
              <w:jc w:val="left"/>
              <w:rPr>
                <w:rFonts w:ascii="Times New Roman" w:hAnsi="Times New Roman" w:eastAsia="楷体"/>
                <w:bCs/>
                <w:color w:val="auto"/>
                <w:szCs w:val="21"/>
              </w:rPr>
            </w:pPr>
            <w:r>
              <w:rPr>
                <w:rFonts w:ascii="Times New Roman" w:hAnsi="Times New Roman" w:eastAsia="楷体"/>
                <w:bCs/>
                <w:color w:val="auto"/>
                <w:szCs w:val="21"/>
              </w:rPr>
              <w:t>节能管理到位，工作记录健全、档案完整；</w:t>
            </w:r>
          </w:p>
        </w:tc>
        <w:tc>
          <w:tcPr>
            <w:tcW w:w="790" w:type="dxa"/>
            <w:vAlign w:val="center"/>
          </w:tcPr>
          <w:p>
            <w:pPr>
              <w:widowControl/>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widowControl/>
              <w:spacing w:line="240" w:lineRule="exact"/>
              <w:jc w:val="left"/>
              <w:rPr>
                <w:rFonts w:ascii="Times New Roman" w:hAnsi="Times New Roman" w:eastAsia="楷体"/>
                <w:bCs/>
                <w:color w:val="auto"/>
                <w:spacing w:val="-8"/>
                <w:szCs w:val="21"/>
              </w:rPr>
            </w:pPr>
            <w:r>
              <w:rPr>
                <w:rFonts w:ascii="Times New Roman" w:hAnsi="Times New Roman" w:eastAsia="楷体"/>
                <w:bCs/>
                <w:color w:val="auto"/>
                <w:spacing w:val="-8"/>
                <w:szCs w:val="21"/>
              </w:rPr>
              <w:t>工作记录不健全扣0.3分，档案不完整扣0.2分；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widowControl/>
              <w:spacing w:line="240" w:lineRule="exact"/>
              <w:jc w:val="left"/>
              <w:rPr>
                <w:rFonts w:ascii="Times New Roman" w:hAnsi="Times New Roman" w:eastAsia="楷体"/>
                <w:bCs/>
                <w:color w:val="auto"/>
                <w:szCs w:val="21"/>
              </w:rPr>
            </w:pPr>
            <w:r>
              <w:rPr>
                <w:rFonts w:ascii="Times New Roman" w:hAnsi="Times New Roman" w:eastAsia="楷体"/>
                <w:bCs/>
                <w:color w:val="auto"/>
                <w:szCs w:val="21"/>
              </w:rPr>
              <w:t>能耗分析及时；</w:t>
            </w:r>
          </w:p>
        </w:tc>
        <w:tc>
          <w:tcPr>
            <w:tcW w:w="790" w:type="dxa"/>
            <w:vAlign w:val="center"/>
          </w:tcPr>
          <w:p>
            <w:pPr>
              <w:widowControl/>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widowControl/>
              <w:spacing w:line="240" w:lineRule="exact"/>
              <w:jc w:val="left"/>
              <w:rPr>
                <w:rFonts w:ascii="Times New Roman" w:hAnsi="Times New Roman" w:eastAsia="楷体"/>
                <w:bCs/>
                <w:color w:val="auto"/>
                <w:szCs w:val="21"/>
              </w:rPr>
            </w:pPr>
            <w:r>
              <w:rPr>
                <w:rFonts w:ascii="Times New Roman" w:hAnsi="Times New Roman" w:eastAsia="楷体"/>
                <w:bCs/>
                <w:color w:val="auto"/>
                <w:szCs w:val="21"/>
              </w:rPr>
              <w:t>能耗分析不及时扣1分；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widowControl/>
              <w:spacing w:line="240" w:lineRule="exact"/>
              <w:jc w:val="left"/>
              <w:rPr>
                <w:rFonts w:ascii="Times New Roman" w:hAnsi="Times New Roman" w:eastAsia="楷体"/>
                <w:bCs/>
                <w:color w:val="auto"/>
                <w:szCs w:val="21"/>
              </w:rPr>
            </w:pPr>
            <w:r>
              <w:rPr>
                <w:rFonts w:ascii="Times New Roman" w:hAnsi="Times New Roman" w:eastAsia="楷体"/>
                <w:bCs/>
                <w:color w:val="auto"/>
                <w:szCs w:val="21"/>
              </w:rPr>
              <w:t>无重大水、电、气、油等能源资源损失责任事故；</w:t>
            </w:r>
          </w:p>
        </w:tc>
        <w:tc>
          <w:tcPr>
            <w:tcW w:w="790" w:type="dxa"/>
            <w:vAlign w:val="center"/>
          </w:tcPr>
          <w:p>
            <w:pPr>
              <w:widowControl/>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widowControl/>
              <w:spacing w:line="240" w:lineRule="exact"/>
              <w:rPr>
                <w:rFonts w:ascii="Times New Roman" w:hAnsi="Times New Roman" w:eastAsia="楷体"/>
                <w:bCs/>
                <w:color w:val="auto"/>
                <w:szCs w:val="21"/>
              </w:rPr>
            </w:pPr>
            <w:r>
              <w:rPr>
                <w:rFonts w:ascii="Times New Roman" w:hAnsi="Times New Roman" w:eastAsia="楷体"/>
                <w:bCs/>
                <w:color w:val="auto"/>
                <w:szCs w:val="21"/>
              </w:rPr>
              <w:t>发生一次重大水、电、气、油等能源资源损失责任事故的扣1分；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widowControl/>
              <w:spacing w:line="240" w:lineRule="exact"/>
              <w:jc w:val="left"/>
              <w:rPr>
                <w:rFonts w:ascii="Times New Roman" w:hAnsi="Times New Roman" w:eastAsia="楷体"/>
                <w:bCs/>
                <w:color w:val="auto"/>
                <w:szCs w:val="21"/>
              </w:rPr>
            </w:pPr>
            <w:r>
              <w:rPr>
                <w:rFonts w:ascii="Times New Roman" w:hAnsi="Times New Roman" w:eastAsia="楷体"/>
                <w:bCs/>
                <w:color w:val="auto"/>
                <w:szCs w:val="21"/>
              </w:rPr>
              <w:t>因管理原因造成用水和人均综合能耗同比超过上年。</w:t>
            </w:r>
          </w:p>
        </w:tc>
        <w:tc>
          <w:tcPr>
            <w:tcW w:w="790" w:type="dxa"/>
            <w:vAlign w:val="center"/>
          </w:tcPr>
          <w:p>
            <w:pPr>
              <w:widowControl/>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widowControl/>
              <w:spacing w:line="240" w:lineRule="exact"/>
              <w:rPr>
                <w:rFonts w:ascii="Times New Roman" w:hAnsi="Times New Roman" w:eastAsia="楷体"/>
                <w:bCs/>
                <w:color w:val="auto"/>
                <w:szCs w:val="21"/>
              </w:rPr>
            </w:pPr>
            <w:r>
              <w:rPr>
                <w:rFonts w:ascii="Times New Roman" w:hAnsi="Times New Roman" w:eastAsia="楷体"/>
                <w:bCs/>
                <w:color w:val="auto"/>
                <w:szCs w:val="21"/>
              </w:rPr>
              <w:t>因管理原因造成用水和人均综合能耗同比超过上年扣1分。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vAlign w:val="center"/>
          </w:tcPr>
          <w:p>
            <w:pPr>
              <w:spacing w:line="240" w:lineRule="exact"/>
              <w:jc w:val="center"/>
              <w:rPr>
                <w:rFonts w:ascii="Times New Roman" w:hAnsi="Times New Roman" w:eastAsia="黑体"/>
                <w:bCs/>
                <w:color w:val="auto"/>
                <w:szCs w:val="21"/>
              </w:rPr>
            </w:pPr>
            <w:r>
              <w:rPr>
                <w:rFonts w:ascii="Times New Roman" w:hAnsi="Times New Roman" w:eastAsia="黑体"/>
                <w:bCs/>
                <w:color w:val="auto"/>
                <w:szCs w:val="21"/>
              </w:rPr>
              <w:t>重大事故</w:t>
            </w:r>
          </w:p>
          <w:p>
            <w:pPr>
              <w:spacing w:line="240" w:lineRule="exact"/>
              <w:jc w:val="center"/>
              <w:rPr>
                <w:rFonts w:ascii="Times New Roman" w:hAnsi="Times New Roman" w:eastAsia="楷体"/>
                <w:bCs/>
                <w:color w:val="auto"/>
                <w:kern w:val="0"/>
                <w:szCs w:val="21"/>
              </w:rPr>
            </w:pPr>
            <w:r>
              <w:rPr>
                <w:rFonts w:ascii="Times New Roman" w:hAnsi="Times New Roman" w:eastAsia="黑体"/>
                <w:bCs/>
                <w:color w:val="auto"/>
                <w:szCs w:val="21"/>
              </w:rPr>
              <w:t>（5分）</w:t>
            </w:r>
          </w:p>
        </w:tc>
        <w:tc>
          <w:tcPr>
            <w:tcW w:w="3941" w:type="dxa"/>
            <w:vAlign w:val="center"/>
          </w:tcPr>
          <w:p>
            <w:pPr>
              <w:widowControl/>
              <w:spacing w:line="240" w:lineRule="exact"/>
              <w:jc w:val="left"/>
              <w:rPr>
                <w:rFonts w:ascii="Times New Roman" w:hAnsi="Times New Roman" w:eastAsia="楷体"/>
                <w:bCs/>
                <w:color w:val="auto"/>
                <w:szCs w:val="21"/>
              </w:rPr>
            </w:pPr>
            <w:r>
              <w:rPr>
                <w:rFonts w:ascii="Times New Roman" w:hAnsi="Times New Roman" w:eastAsia="楷体"/>
                <w:bCs/>
                <w:color w:val="auto"/>
                <w:szCs w:val="21"/>
              </w:rPr>
              <w:t>办公场所因管理不当造成的安全事故为零。</w:t>
            </w:r>
          </w:p>
        </w:tc>
        <w:tc>
          <w:tcPr>
            <w:tcW w:w="790" w:type="dxa"/>
            <w:vAlign w:val="center"/>
          </w:tcPr>
          <w:p>
            <w:pPr>
              <w:widowControl/>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5</w:t>
            </w:r>
          </w:p>
        </w:tc>
        <w:tc>
          <w:tcPr>
            <w:tcW w:w="3769" w:type="dxa"/>
            <w:vAlign w:val="center"/>
          </w:tcPr>
          <w:p>
            <w:pPr>
              <w:widowControl/>
              <w:spacing w:line="240" w:lineRule="exact"/>
              <w:jc w:val="left"/>
              <w:rPr>
                <w:rFonts w:ascii="Times New Roman" w:hAnsi="Times New Roman" w:eastAsia="楷体"/>
                <w:bCs/>
                <w:color w:val="auto"/>
                <w:szCs w:val="21"/>
              </w:rPr>
            </w:pPr>
            <w:r>
              <w:rPr>
                <w:rFonts w:ascii="Times New Roman" w:hAnsi="Times New Roman" w:eastAsia="楷体"/>
                <w:bCs/>
                <w:color w:val="auto"/>
                <w:kern w:val="0"/>
                <w:szCs w:val="21"/>
              </w:rPr>
              <w:t>出现一次重大事故扣5分，出现一般安全责任事故一次扣1分，并承担相应责任。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33" w:type="dxa"/>
            <w:vMerge w:val="restart"/>
            <w:vAlign w:val="center"/>
          </w:tcPr>
          <w:p>
            <w:pPr>
              <w:spacing w:line="240" w:lineRule="exact"/>
              <w:jc w:val="center"/>
              <w:rPr>
                <w:rFonts w:ascii="Times New Roman" w:hAnsi="Times New Roman" w:eastAsia="黑体"/>
                <w:bCs/>
                <w:color w:val="auto"/>
                <w:szCs w:val="21"/>
              </w:rPr>
            </w:pPr>
            <w:r>
              <w:rPr>
                <w:rFonts w:ascii="Times New Roman" w:hAnsi="Times New Roman" w:eastAsia="黑体"/>
                <w:bCs/>
                <w:color w:val="auto"/>
                <w:szCs w:val="21"/>
              </w:rPr>
              <w:t>满意度测评</w:t>
            </w:r>
          </w:p>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（2分）</w:t>
            </w:r>
          </w:p>
        </w:tc>
        <w:tc>
          <w:tcPr>
            <w:tcW w:w="3941" w:type="dxa"/>
            <w:vAlign w:val="center"/>
          </w:tcPr>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（一）客服评价</w:t>
            </w:r>
          </w:p>
        </w:tc>
        <w:tc>
          <w:tcPr>
            <w:tcW w:w="790" w:type="dxa"/>
            <w:vAlign w:val="center"/>
          </w:tcPr>
          <w:p>
            <w:pPr>
              <w:spacing w:line="240" w:lineRule="exact"/>
              <w:jc w:val="center"/>
              <w:rPr>
                <w:rFonts w:ascii="Times New Roman" w:hAnsi="Times New Roman" w:eastAsia="楷体"/>
                <w:bCs/>
                <w:color w:val="auto"/>
                <w:szCs w:val="21"/>
              </w:rPr>
            </w:pPr>
          </w:p>
        </w:tc>
        <w:tc>
          <w:tcPr>
            <w:tcW w:w="3769" w:type="dxa"/>
            <w:vAlign w:val="center"/>
          </w:tcPr>
          <w:p>
            <w:pPr>
              <w:spacing w:line="240" w:lineRule="exact"/>
              <w:ind w:firstLine="472" w:firstLineChars="225"/>
              <w:rPr>
                <w:rFonts w:ascii="Times New Roman" w:hAnsi="Times New Roman" w:eastAsia="楷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做到文明礼仪、服务技能娴熟、服务意识、服务效率、工作质量高；</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一处不满意扣0.2分；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（二）公共服务和环境维护评价</w:t>
            </w:r>
          </w:p>
        </w:tc>
        <w:tc>
          <w:tcPr>
            <w:tcW w:w="790" w:type="dxa"/>
            <w:vAlign w:val="center"/>
          </w:tcPr>
          <w:p>
            <w:pPr>
              <w:spacing w:line="240" w:lineRule="exact"/>
              <w:jc w:val="center"/>
              <w:rPr>
                <w:rFonts w:ascii="Times New Roman" w:hAnsi="Times New Roman" w:eastAsia="楷体"/>
                <w:bCs/>
                <w:color w:val="auto"/>
                <w:szCs w:val="21"/>
              </w:rPr>
            </w:pPr>
          </w:p>
        </w:tc>
        <w:tc>
          <w:tcPr>
            <w:tcW w:w="3769" w:type="dxa"/>
            <w:vAlign w:val="center"/>
          </w:tcPr>
          <w:p>
            <w:pPr>
              <w:spacing w:line="240" w:lineRule="exact"/>
              <w:ind w:firstLine="472" w:firstLineChars="225"/>
              <w:rPr>
                <w:rFonts w:ascii="Times New Roman" w:hAnsi="Times New Roman" w:eastAsia="楷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做到公共区域、公共卫生间、楼道电梯内清洁，消防设施、车辆管理、门禁管理、应急处理安全。</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测评一处不满意扣0.2分。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vAlign w:val="top"/>
          </w:tcPr>
          <w:p>
            <w:pPr>
              <w:spacing w:line="240" w:lineRule="exact"/>
              <w:jc w:val="center"/>
              <w:rPr>
                <w:rFonts w:ascii="Times New Roman" w:hAnsi="Times New Roman" w:eastAsia="黑体"/>
                <w:bCs/>
                <w:color w:val="auto"/>
                <w:szCs w:val="21"/>
              </w:rPr>
            </w:pPr>
            <w:r>
              <w:rPr>
                <w:rFonts w:ascii="Times New Roman" w:hAnsi="Times New Roman" w:eastAsia="黑体"/>
                <w:bCs/>
                <w:color w:val="auto"/>
                <w:szCs w:val="21"/>
              </w:rPr>
              <w:t>考核领导小组综合评价</w:t>
            </w:r>
          </w:p>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（20分）</w:t>
            </w: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物业公司管理质量、服务质量及满意度综合评价。</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20分</w:t>
            </w:r>
          </w:p>
        </w:tc>
        <w:tc>
          <w:tcPr>
            <w:tcW w:w="3769" w:type="dxa"/>
            <w:vAlign w:val="center"/>
          </w:tcPr>
          <w:p>
            <w:pPr>
              <w:spacing w:line="240" w:lineRule="exact"/>
              <w:ind w:firstLine="472" w:firstLineChars="225"/>
              <w:rPr>
                <w:rFonts w:ascii="Times New Roman" w:hAnsi="Times New Roman" w:eastAsia="楷体"/>
                <w:bCs/>
                <w:color w:val="auto"/>
                <w:szCs w:val="21"/>
              </w:rPr>
            </w:pPr>
          </w:p>
        </w:tc>
      </w:tr>
    </w:tbl>
    <w:p>
      <w:pPr>
        <w:spacing w:line="590" w:lineRule="exact"/>
        <w:ind w:firstLine="643" w:firstLineChars="200"/>
        <w:rPr>
          <w:rFonts w:ascii="华文中宋" w:hAnsi="华文中宋" w:eastAsia="华文中宋"/>
          <w:b/>
          <w:bCs/>
          <w:color w:val="auto"/>
          <w:sz w:val="32"/>
          <w:szCs w:val="32"/>
        </w:rPr>
      </w:pPr>
      <w:r>
        <w:rPr>
          <w:rFonts w:ascii="华文中宋" w:hAnsi="华文中宋" w:eastAsia="华文中宋"/>
          <w:b/>
          <w:bCs/>
          <w:color w:val="auto"/>
          <w:sz w:val="32"/>
          <w:szCs w:val="32"/>
        </w:rPr>
        <w:t>★注：1、考核及物管费支付方式</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办公区物业管理考评、考核标准依据本项目物业管理要求，由采购人制定具体实施办法，按百分制实行月考评、季度考评、年度考核及随机检查，采购人根据工作实际对考评标准不断完善和细化。要求秩序维护有力，办公区秩序良好，杜绝各类安全责任事故；环境卫生清扫保洁合格率达100％；各项服务综合满意率达到95％以上。随机检查：采购人监督管理人员有权随机对中标方的管理及服务进行检查。在随机检查中，如评分标准中机电设备管理、房屋管理、公共区域及其设施管理、清洁卫生管理、安全保卫管理、会务管理、客服受理、VIP办公用房管理、重大事故</w:t>
      </w:r>
      <w:r>
        <w:rPr>
          <w:rFonts w:hint="eastAsia" w:ascii="仿宋" w:hAnsi="仿宋" w:eastAsia="仿宋"/>
          <w:color w:val="auto"/>
          <w:sz w:val="32"/>
          <w:szCs w:val="32"/>
          <w:lang w:eastAsia="zh-CN"/>
        </w:rPr>
        <w:t>、节能工作</w:t>
      </w:r>
      <w:r>
        <w:rPr>
          <w:rFonts w:ascii="仿宋" w:hAnsi="仿宋" w:eastAsia="仿宋"/>
          <w:color w:val="auto"/>
          <w:sz w:val="32"/>
          <w:szCs w:val="32"/>
        </w:rPr>
        <w:t>每扣0.1分，将对中标方项目管理团队罚款20元。如中标方管理团队拒不接受，采购人有权要求更换中标方项目管理团队。月度综合考评在95分以上时，采购人按合同约定的每月物业管理费金额全额支付；月度综合考评在95分-90分之间，采购人按合同约定的每月物业管理费金额的2%进行扣款；月度综合考评在90分-80分之间，采购人按合同约定的每月物业管理费金额的10%进行扣款；月度综合考评在80分-70分之间，采购人按合同约定的每月物业管理费金额的20%进行扣款；月度综合考评在70分以下时，采购人按合同约定的每月物业管理费金额全额扣款；年度综合考评（年度综合评分为当年12个月月考评的平均分）在80分以下时，采购人不再与其续签合同。</w:t>
      </w:r>
    </w:p>
    <w:p>
      <w:pPr>
        <w:spacing w:line="590" w:lineRule="exact"/>
        <w:ind w:firstLine="643" w:firstLineChars="200"/>
        <w:rPr>
          <w:rFonts w:ascii="华文中宋" w:hAnsi="华文中宋" w:eastAsia="华文中宋"/>
          <w:b/>
          <w:color w:val="auto"/>
          <w:sz w:val="28"/>
          <w:szCs w:val="28"/>
        </w:rPr>
      </w:pPr>
      <w:r>
        <w:rPr>
          <w:rFonts w:ascii="华文中宋" w:hAnsi="华文中宋" w:eastAsia="华文中宋"/>
          <w:b/>
          <w:bCs/>
          <w:color w:val="auto"/>
          <w:sz w:val="32"/>
          <w:szCs w:val="32"/>
        </w:rPr>
        <w:t>★2、其他需要说明的事项</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 xml:space="preserve">中标方在管理服务该项目期间若没有达到采购方的服务业标准要求，第一次月考评低于80分给予警告，第二次月考评低于80分的给予严重警告，第三次月考评低于80分的，采购人有权单方面终止合同。 </w:t>
      </w:r>
    </w:p>
    <w:p>
      <w:pPr>
        <w:spacing w:line="590" w:lineRule="exact"/>
        <w:ind w:firstLine="639" w:firstLineChars="199"/>
        <w:rPr>
          <w:rFonts w:ascii="华文中宋" w:hAnsi="华文中宋" w:eastAsia="华文中宋"/>
          <w:b/>
          <w:color w:val="auto"/>
          <w:sz w:val="28"/>
          <w:szCs w:val="28"/>
        </w:rPr>
      </w:pPr>
      <w:r>
        <w:rPr>
          <w:rFonts w:ascii="华文中宋" w:hAnsi="华文中宋" w:eastAsia="华文中宋"/>
          <w:b/>
          <w:color w:val="auto"/>
          <w:sz w:val="32"/>
          <w:szCs w:val="32"/>
        </w:rPr>
        <w:t>★十一、物业管理服务时间</w:t>
      </w:r>
    </w:p>
    <w:p>
      <w:pPr>
        <w:spacing w:line="590" w:lineRule="exact"/>
        <w:ind w:firstLine="640" w:firstLineChars="200"/>
        <w:rPr>
          <w:rFonts w:ascii="Times New Roman" w:hAnsi="Times New Roman" w:eastAsia="仿宋_GB2312"/>
          <w:color w:val="auto"/>
          <w:sz w:val="32"/>
          <w:szCs w:val="32"/>
        </w:rPr>
      </w:pPr>
      <w:bookmarkStart w:id="242" w:name="_Toc233690270"/>
      <w:r>
        <w:rPr>
          <w:rFonts w:ascii="仿宋" w:hAnsi="仿宋" w:eastAsia="仿宋"/>
          <w:color w:val="auto"/>
          <w:sz w:val="32"/>
          <w:szCs w:val="32"/>
        </w:rPr>
        <w:t>物业管理服务时间为2年，服务期内，合同一年一签。合同期内，采购人有权对物业管理工作进行考核，如达不到合同约定的标准，</w:t>
      </w:r>
      <w:r>
        <w:rPr>
          <w:rFonts w:ascii="仿宋" w:hAnsi="仿宋" w:eastAsia="仿宋"/>
          <w:color w:val="FF0000"/>
          <w:sz w:val="32"/>
          <w:szCs w:val="32"/>
        </w:rPr>
        <w:t>则</w:t>
      </w:r>
      <w:r>
        <w:rPr>
          <w:rFonts w:hint="eastAsia" w:ascii="仿宋" w:hAnsi="仿宋" w:eastAsia="仿宋"/>
          <w:color w:val="FF0000"/>
          <w:sz w:val="32"/>
          <w:szCs w:val="32"/>
          <w:lang w:val="en-US" w:eastAsia="zh-CN"/>
        </w:rPr>
        <w:t>按照考核办法扣减费用</w:t>
      </w:r>
      <w:r>
        <w:rPr>
          <w:rFonts w:ascii="仿宋" w:hAnsi="仿宋" w:eastAsia="仿宋"/>
          <w:color w:val="auto"/>
          <w:sz w:val="32"/>
          <w:szCs w:val="32"/>
        </w:rPr>
        <w:t>；年度综合考评在80分以下视为年度考核不合格，采购人有权要求终止合同，由物业公司承担违约责任；若物业管理服务品质优良，在服务期内且总费用不变的情况下（政策性因素除外），采购人可与物业公司续签下一年度《物业服务合同》。</w:t>
      </w:r>
      <w:bookmarkEnd w:id="242"/>
      <w:r>
        <w:rPr>
          <w:rFonts w:ascii="仿宋" w:hAnsi="仿宋" w:eastAsia="仿宋"/>
          <w:color w:val="auto"/>
          <w:sz w:val="32"/>
          <w:szCs w:val="32"/>
        </w:rPr>
        <w:t>第二年如遇国家政策性调整最低工资标准、社保基数等，双方协商可调整物业服务费用，</w:t>
      </w:r>
      <w:r>
        <w:rPr>
          <w:rFonts w:ascii="仿宋" w:hAnsi="仿宋" w:eastAsia="仿宋"/>
          <w:color w:val="FF0000"/>
          <w:sz w:val="32"/>
          <w:szCs w:val="32"/>
        </w:rPr>
        <w:t>但总额不超过</w:t>
      </w:r>
      <w:r>
        <w:rPr>
          <w:rFonts w:hint="eastAsia" w:ascii="仿宋" w:hAnsi="仿宋" w:eastAsia="仿宋"/>
          <w:color w:val="FF0000"/>
          <w:sz w:val="32"/>
          <w:szCs w:val="32"/>
          <w:lang w:val="en-US" w:eastAsia="zh-CN"/>
        </w:rPr>
        <w:t>合同金额的</w:t>
      </w:r>
      <w:r>
        <w:rPr>
          <w:rFonts w:ascii="仿宋" w:hAnsi="仿宋" w:eastAsia="仿宋"/>
          <w:color w:val="FF0000"/>
          <w:sz w:val="32"/>
          <w:szCs w:val="32"/>
        </w:rPr>
        <w:t>10%。</w:t>
      </w:r>
    </w:p>
    <w:p>
      <w:pPr>
        <w:spacing w:line="590" w:lineRule="exact"/>
        <w:ind w:firstLine="639" w:firstLineChars="199"/>
        <w:rPr>
          <w:rFonts w:ascii="华文中宋" w:hAnsi="华文中宋" w:eastAsia="华文中宋"/>
          <w:b/>
          <w:color w:val="auto"/>
          <w:sz w:val="28"/>
          <w:szCs w:val="28"/>
        </w:rPr>
      </w:pPr>
      <w:r>
        <w:rPr>
          <w:rFonts w:ascii="华文中宋" w:hAnsi="华文中宋" w:eastAsia="华文中宋"/>
          <w:b/>
          <w:color w:val="auto"/>
          <w:sz w:val="32"/>
          <w:szCs w:val="32"/>
        </w:rPr>
        <w:t>★十二、其他要求</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（一）投标人应严格遵守和执行《中华人民共和国劳动法》、《成都市劳动用工和社会保险管理暂行规定》、《成都市人民政府关于调整全市最低工资标准的通知》及相关法律、法规；</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（二）</w:t>
      </w:r>
      <w:r>
        <w:rPr>
          <w:rFonts w:hint="eastAsia" w:ascii="仿宋" w:hAnsi="仿宋" w:eastAsia="仿宋"/>
          <w:color w:val="FF0000"/>
          <w:sz w:val="32"/>
          <w:szCs w:val="32"/>
          <w:lang w:val="en-US" w:eastAsia="zh-CN"/>
        </w:rPr>
        <w:t>中标人</w:t>
      </w:r>
      <w:r>
        <w:rPr>
          <w:rFonts w:ascii="仿宋" w:hAnsi="仿宋" w:eastAsia="仿宋"/>
          <w:color w:val="FF0000"/>
          <w:sz w:val="32"/>
          <w:szCs w:val="32"/>
        </w:rPr>
        <w:t>对其</w:t>
      </w:r>
      <w:r>
        <w:rPr>
          <w:rFonts w:ascii="仿宋" w:hAnsi="仿宋" w:eastAsia="仿宋"/>
          <w:color w:val="auto"/>
          <w:sz w:val="32"/>
          <w:szCs w:val="32"/>
        </w:rPr>
        <w:t>物业管理服务人员的疾病和人身安全等负责，采购人对此不承担任何的责任和义务。</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（三）</w:t>
      </w:r>
      <w:r>
        <w:rPr>
          <w:rFonts w:hint="eastAsia" w:ascii="仿宋" w:hAnsi="仿宋" w:eastAsia="仿宋"/>
          <w:color w:val="FF0000"/>
          <w:sz w:val="32"/>
          <w:szCs w:val="32"/>
          <w:lang w:val="en-US" w:eastAsia="zh-CN"/>
        </w:rPr>
        <w:t>中标人原则上须</w:t>
      </w:r>
      <w:r>
        <w:rPr>
          <w:rFonts w:ascii="仿宋" w:hAnsi="仿宋" w:eastAsia="仿宋"/>
          <w:color w:val="FF0000"/>
          <w:sz w:val="32"/>
          <w:szCs w:val="32"/>
        </w:rPr>
        <w:t>接受此前为本项目运行的劳务人员10</w:t>
      </w:r>
      <w:r>
        <w:rPr>
          <w:rFonts w:hint="eastAsia" w:ascii="仿宋" w:hAnsi="仿宋" w:eastAsia="仿宋"/>
          <w:color w:val="FF0000"/>
          <w:sz w:val="32"/>
          <w:szCs w:val="32"/>
          <w:lang w:val="en-US" w:eastAsia="zh-CN"/>
        </w:rPr>
        <w:t>8</w:t>
      </w:r>
      <w:r>
        <w:rPr>
          <w:rFonts w:ascii="仿宋" w:hAnsi="仿宋" w:eastAsia="仿宋"/>
          <w:color w:val="FF0000"/>
          <w:sz w:val="32"/>
          <w:szCs w:val="32"/>
        </w:rPr>
        <w:t>人</w:t>
      </w:r>
      <w:r>
        <w:rPr>
          <w:rFonts w:hint="eastAsia" w:ascii="仿宋" w:hAnsi="仿宋" w:eastAsia="仿宋"/>
          <w:color w:val="auto"/>
          <w:sz w:val="32"/>
          <w:szCs w:val="32"/>
        </w:rPr>
        <w:t>(人员工种见附表)</w:t>
      </w:r>
      <w:r>
        <w:rPr>
          <w:rFonts w:ascii="仿宋" w:hAnsi="仿宋" w:eastAsia="仿宋"/>
          <w:color w:val="auto"/>
          <w:sz w:val="32"/>
          <w:szCs w:val="32"/>
        </w:rPr>
        <w:t>；此次物业管理项目配备劳务人员不少于108人，人员岗位分配由采购人与中标方商议决定，但人员分配应以采购人需求为准。</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（四）中标人所聘用人员年龄必须小于法定退休年龄。</w:t>
      </w:r>
    </w:p>
    <w:p>
      <w:pPr>
        <w:spacing w:line="590" w:lineRule="exact"/>
        <w:ind w:firstLine="640" w:firstLineChars="200"/>
        <w:rPr>
          <w:rFonts w:hint="eastAsia" w:ascii="仿宋" w:hAnsi="仿宋" w:eastAsia="仿宋"/>
          <w:color w:val="auto"/>
          <w:sz w:val="32"/>
          <w:szCs w:val="32"/>
          <w:lang w:eastAsia="zh-CN"/>
        </w:rPr>
      </w:pPr>
      <w:r>
        <w:rPr>
          <w:rFonts w:ascii="仿宋" w:hAnsi="仿宋" w:eastAsia="仿宋"/>
          <w:color w:val="auto"/>
          <w:sz w:val="32"/>
          <w:szCs w:val="32"/>
        </w:rPr>
        <w:t>（五）中标物业公司不得以任何形式、任何理由对此次物业管理项目服务进行转包</w:t>
      </w:r>
      <w:r>
        <w:rPr>
          <w:rFonts w:hint="eastAsia" w:ascii="仿宋" w:hAnsi="仿宋" w:eastAsia="仿宋"/>
          <w:color w:val="auto"/>
          <w:sz w:val="32"/>
          <w:szCs w:val="32"/>
          <w:lang w:eastAsia="zh-CN"/>
        </w:rPr>
        <w:t>，</w:t>
      </w:r>
      <w:r>
        <w:rPr>
          <w:rFonts w:ascii="仿宋" w:hAnsi="仿宋" w:eastAsia="仿宋"/>
          <w:color w:val="auto"/>
          <w:sz w:val="32"/>
          <w:szCs w:val="32"/>
        </w:rPr>
        <w:t>如有违反，立即终止合同</w:t>
      </w:r>
      <w:r>
        <w:rPr>
          <w:rFonts w:hint="eastAsia" w:ascii="仿宋" w:hAnsi="仿宋" w:eastAsia="仿宋"/>
          <w:color w:val="auto"/>
          <w:sz w:val="32"/>
          <w:szCs w:val="32"/>
          <w:lang w:eastAsia="zh-CN"/>
        </w:rPr>
        <w:t>。</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（六）投标人的投标报价是投标人响应招标项目要求的全部工作内容的价格体现，本项目合同履行过程中，除遇不可抗力因素、采购人要求的变更以外，不作任何调整。</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（七）投标人在编制投标报价时应注意，其人员工资标准、劳保、福利等应执行国家和地方政府的相关法律、法规和部门规章。</w:t>
      </w:r>
    </w:p>
    <w:p>
      <w:pPr>
        <w:pStyle w:val="2"/>
        <w:rPr>
          <w:rFonts w:ascii="仿宋" w:hAnsi="仿宋" w:eastAsia="仿宋" w:cs="Times New Roman"/>
          <w:color w:val="auto"/>
          <w:kern w:val="2"/>
          <w:sz w:val="32"/>
          <w:szCs w:val="32"/>
          <w:lang w:val="en-US" w:eastAsia="zh-CN" w:bidi="ar-SA"/>
        </w:rPr>
      </w:pPr>
      <w:r>
        <w:rPr>
          <w:rFonts w:hint="eastAsia" w:ascii="仿宋" w:hAnsi="仿宋" w:eastAsia="仿宋"/>
          <w:color w:val="auto"/>
          <w:sz w:val="32"/>
          <w:szCs w:val="32"/>
          <w:lang w:val="en-US" w:eastAsia="zh-CN"/>
        </w:rPr>
        <w:t xml:space="preserve">     （八）</w:t>
      </w:r>
      <w:r>
        <w:rPr>
          <w:rFonts w:ascii="仿宋" w:hAnsi="仿宋" w:eastAsia="仿宋" w:cs="Times New Roman"/>
          <w:color w:val="auto"/>
          <w:kern w:val="2"/>
          <w:sz w:val="32"/>
          <w:szCs w:val="32"/>
          <w:lang w:val="en-US" w:eastAsia="zh-CN" w:bidi="ar-SA"/>
        </w:rPr>
        <w:t>中标人如因自身原因在履行职务过程中的疏忽、失职、过错等故意或者过失原因给采购人造成损失、侵害或对本项目造成重大事故，采购人有权单方面终止合同，并对中标人追究法律责任。</w:t>
      </w:r>
    </w:p>
    <w:p>
      <w:pPr>
        <w:numPr>
          <w:ilvl w:val="0"/>
          <w:numId w:val="35"/>
        </w:numPr>
        <w:ind w:firstLine="640" w:firstLineChars="200"/>
        <w:rPr>
          <w:rFonts w:hint="eastAsia" w:ascii="仿宋" w:hAnsi="仿宋" w:eastAsia="仿宋"/>
          <w:color w:val="0000FF"/>
          <w:sz w:val="32"/>
          <w:szCs w:val="32"/>
          <w:shd w:val="clear" w:color="auto" w:fill="auto"/>
          <w:lang w:val="en-US" w:eastAsia="zh-CN"/>
        </w:rPr>
      </w:pPr>
      <w:r>
        <w:rPr>
          <w:rFonts w:hint="eastAsia" w:ascii="仿宋" w:hAnsi="仿宋" w:eastAsia="仿宋"/>
          <w:color w:val="0000FF"/>
          <w:sz w:val="32"/>
          <w:szCs w:val="32"/>
          <w:shd w:val="clear" w:color="auto" w:fill="auto"/>
          <w:lang w:val="en-US" w:eastAsia="zh-CN"/>
        </w:rPr>
        <w:t>非中小企业投标的应承诺中标后须将本项目中标总额的30%以上项目分包给一家或者多家中小企业并签订合同。</w:t>
      </w:r>
    </w:p>
    <w:p>
      <w:pPr>
        <w:numPr>
          <w:ilvl w:val="0"/>
          <w:numId w:val="0"/>
        </w:numPr>
        <w:ind w:firstLine="640" w:firstLineChars="200"/>
        <w:rPr>
          <w:rFonts w:hint="eastAsia" w:ascii="仿宋" w:hAnsi="仿宋" w:eastAsia="仿宋" w:cs="Times New Roman"/>
          <w:color w:val="0000FF"/>
          <w:kern w:val="2"/>
          <w:sz w:val="32"/>
          <w:szCs w:val="32"/>
          <w:shd w:val="clear" w:color="auto" w:fill="auto"/>
          <w:lang w:val="en-US" w:eastAsia="zh-CN" w:bidi="ar-SA"/>
        </w:rPr>
      </w:pPr>
      <w:r>
        <w:rPr>
          <w:rFonts w:hint="eastAsia" w:ascii="仿宋" w:hAnsi="仿宋" w:eastAsia="仿宋" w:cs="Times New Roman"/>
          <w:color w:val="0000FF"/>
          <w:kern w:val="2"/>
          <w:sz w:val="32"/>
          <w:szCs w:val="32"/>
          <w:shd w:val="clear" w:color="auto" w:fill="auto"/>
          <w:lang w:val="en-US" w:eastAsia="zh-CN" w:bidi="ar-SA"/>
        </w:rPr>
        <w:t>（十） 中标项目分包合同签订后须到业主单位进行合同与资质备案。</w:t>
      </w:r>
    </w:p>
    <w:p>
      <w:pPr>
        <w:spacing w:line="590" w:lineRule="exact"/>
        <w:ind w:firstLine="639" w:firstLineChars="199"/>
        <w:rPr>
          <w:rFonts w:ascii="华文中宋" w:hAnsi="华文中宋" w:eastAsia="华文中宋"/>
          <w:b/>
          <w:color w:val="auto"/>
          <w:sz w:val="28"/>
          <w:szCs w:val="28"/>
        </w:rPr>
      </w:pPr>
      <w:r>
        <w:rPr>
          <w:rFonts w:ascii="华文中宋" w:hAnsi="华文中宋" w:eastAsia="华文中宋"/>
          <w:b/>
          <w:color w:val="auto"/>
          <w:sz w:val="32"/>
          <w:szCs w:val="32"/>
        </w:rPr>
        <w:t>十三、付款方式</w:t>
      </w:r>
    </w:p>
    <w:p>
      <w:pPr>
        <w:spacing w:line="590" w:lineRule="exact"/>
        <w:ind w:firstLine="640" w:firstLineChars="200"/>
        <w:rPr>
          <w:rFonts w:ascii="仿宋" w:hAnsi="仿宋" w:eastAsia="仿宋"/>
          <w:color w:val="auto"/>
          <w:sz w:val="32"/>
          <w:szCs w:val="32"/>
        </w:rPr>
      </w:pPr>
      <w:r>
        <w:rPr>
          <w:rFonts w:ascii="仿宋" w:hAnsi="仿宋" w:eastAsia="仿宋"/>
          <w:color w:val="auto"/>
          <w:sz w:val="32"/>
          <w:szCs w:val="32"/>
        </w:rPr>
        <w:t>物业管理费经采购人对上一季度的服务质量签字认可后，按季度支付。</w:t>
      </w:r>
    </w:p>
    <w:p>
      <w:pPr>
        <w:spacing w:line="590" w:lineRule="exact"/>
        <w:ind w:firstLine="560" w:firstLineChars="200"/>
        <w:rPr>
          <w:rFonts w:hint="eastAsia" w:ascii="Times New Roman" w:hAnsi="Times New Roman" w:eastAsia="仿宋"/>
          <w:color w:val="auto"/>
          <w:sz w:val="28"/>
          <w:szCs w:val="28"/>
        </w:rPr>
      </w:pPr>
    </w:p>
    <w:p>
      <w:pPr>
        <w:rPr>
          <w:rFonts w:hint="eastAsia"/>
          <w:color w:val="auto"/>
        </w:rPr>
      </w:pPr>
    </w:p>
    <w:p>
      <w:pPr>
        <w:spacing w:line="590" w:lineRule="exact"/>
        <w:rPr>
          <w:rFonts w:hint="eastAsia" w:ascii="Times New Roman" w:hAnsi="Times New Roman" w:eastAsia="仿宋"/>
          <w:color w:val="auto"/>
          <w:sz w:val="28"/>
          <w:szCs w:val="28"/>
        </w:rPr>
      </w:pPr>
    </w:p>
    <w:p>
      <w:pPr>
        <w:spacing w:line="590" w:lineRule="exact"/>
        <w:ind w:firstLine="562" w:firstLineChars="200"/>
        <w:rPr>
          <w:rFonts w:hint="eastAsia" w:ascii="Times New Roman" w:hAnsi="Times New Roman" w:eastAsia="仿宋"/>
          <w:b/>
          <w:color w:val="auto"/>
          <w:sz w:val="28"/>
          <w:szCs w:val="28"/>
        </w:rPr>
      </w:pPr>
      <w:r>
        <w:rPr>
          <w:rFonts w:hint="eastAsia" w:ascii="Times New Roman" w:hAnsi="Times New Roman" w:eastAsia="仿宋"/>
          <w:b/>
          <w:color w:val="auto"/>
          <w:sz w:val="28"/>
          <w:szCs w:val="28"/>
        </w:rPr>
        <w:t>附表：</w:t>
      </w:r>
    </w:p>
    <w:p>
      <w:pPr>
        <w:spacing w:line="590" w:lineRule="exact"/>
        <w:ind w:firstLine="2520" w:firstLineChars="700"/>
        <w:rPr>
          <w:rFonts w:hint="eastAsia" w:ascii="华文中宋" w:hAnsi="华文中宋" w:eastAsia="华文中宋"/>
          <w:color w:val="auto"/>
          <w:sz w:val="36"/>
          <w:szCs w:val="36"/>
        </w:rPr>
      </w:pPr>
      <w:r>
        <w:rPr>
          <w:rFonts w:hint="eastAsia" w:ascii="华文中宋" w:hAnsi="华文中宋" w:eastAsia="华文中宋"/>
          <w:color w:val="auto"/>
          <w:sz w:val="36"/>
          <w:szCs w:val="36"/>
        </w:rPr>
        <w:t>原劳务人员工种构成表</w:t>
      </w:r>
    </w:p>
    <w:tbl>
      <w:tblPr>
        <w:tblStyle w:val="49"/>
        <w:tblW w:w="8820" w:type="dxa"/>
        <w:tblInd w:w="108" w:type="dxa"/>
        <w:tblLayout w:type="fixed"/>
        <w:tblCellMar>
          <w:top w:w="0" w:type="dxa"/>
          <w:left w:w="108" w:type="dxa"/>
          <w:bottom w:w="0" w:type="dxa"/>
          <w:right w:w="108" w:type="dxa"/>
        </w:tblCellMar>
      </w:tblPr>
      <w:tblGrid>
        <w:gridCol w:w="1704"/>
        <w:gridCol w:w="2436"/>
        <w:gridCol w:w="2700"/>
        <w:gridCol w:w="1980"/>
      </w:tblGrid>
      <w:tr>
        <w:tblPrEx>
          <w:tblLayout w:type="fixed"/>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Times New Roman" w:hAnsi="Times New Roman" w:eastAsia="仿宋"/>
                <w:b/>
                <w:color w:val="auto"/>
                <w:sz w:val="28"/>
                <w:szCs w:val="28"/>
              </w:rPr>
            </w:pPr>
            <w:r>
              <w:rPr>
                <w:rFonts w:hint="eastAsia" w:ascii="Times New Roman" w:hAnsi="Times New Roman" w:eastAsia="仿宋"/>
                <w:b/>
                <w:color w:val="auto"/>
                <w:sz w:val="28"/>
                <w:szCs w:val="28"/>
              </w:rPr>
              <w:t>编 号</w:t>
            </w:r>
          </w:p>
        </w:tc>
        <w:tc>
          <w:tcPr>
            <w:tcW w:w="2436"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Times New Roman" w:hAnsi="Times New Roman" w:eastAsia="仿宋"/>
                <w:b/>
                <w:color w:val="auto"/>
                <w:sz w:val="28"/>
                <w:szCs w:val="28"/>
              </w:rPr>
            </w:pPr>
            <w:r>
              <w:rPr>
                <w:rFonts w:hint="eastAsia" w:ascii="Times New Roman" w:hAnsi="Times New Roman" w:eastAsia="仿宋"/>
                <w:b/>
                <w:color w:val="auto"/>
                <w:sz w:val="28"/>
                <w:szCs w:val="28"/>
              </w:rPr>
              <w:t>工 种</w:t>
            </w:r>
          </w:p>
        </w:tc>
        <w:tc>
          <w:tcPr>
            <w:tcW w:w="2700"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Times New Roman" w:hAnsi="Times New Roman" w:eastAsia="仿宋"/>
                <w:b/>
                <w:color w:val="auto"/>
                <w:sz w:val="28"/>
                <w:szCs w:val="28"/>
              </w:rPr>
            </w:pPr>
            <w:r>
              <w:rPr>
                <w:rFonts w:hint="eastAsia" w:ascii="Times New Roman" w:hAnsi="Times New Roman" w:eastAsia="仿宋"/>
                <w:b/>
                <w:color w:val="auto"/>
                <w:sz w:val="28"/>
                <w:szCs w:val="28"/>
              </w:rPr>
              <w:t>人 数</w:t>
            </w:r>
          </w:p>
        </w:tc>
        <w:tc>
          <w:tcPr>
            <w:tcW w:w="1980"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Times New Roman" w:hAnsi="Times New Roman" w:eastAsia="仿宋"/>
                <w:b/>
                <w:color w:val="auto"/>
                <w:sz w:val="28"/>
                <w:szCs w:val="28"/>
              </w:rPr>
            </w:pPr>
            <w:r>
              <w:rPr>
                <w:rFonts w:hint="eastAsia" w:ascii="Times New Roman" w:hAnsi="Times New Roman" w:eastAsia="仿宋"/>
                <w:b/>
                <w:color w:val="auto"/>
                <w:sz w:val="28"/>
                <w:szCs w:val="28"/>
              </w:rPr>
              <w:t>备 注</w:t>
            </w:r>
          </w:p>
        </w:tc>
      </w:tr>
      <w:tr>
        <w:tblPrEx>
          <w:tblLayout w:type="fixed"/>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Times New Roman" w:hAnsi="Times New Roman" w:eastAsia="仿宋"/>
                <w:color w:val="auto"/>
                <w:sz w:val="28"/>
                <w:szCs w:val="28"/>
              </w:rPr>
            </w:pPr>
            <w:r>
              <w:rPr>
                <w:rFonts w:hint="eastAsia" w:ascii="Times New Roman" w:hAnsi="Times New Roman" w:eastAsia="仿宋"/>
                <w:color w:val="auto"/>
                <w:sz w:val="28"/>
                <w:szCs w:val="28"/>
              </w:rPr>
              <w:t>1</w:t>
            </w:r>
          </w:p>
        </w:tc>
        <w:tc>
          <w:tcPr>
            <w:tcW w:w="2436"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Times New Roman" w:hAnsi="Times New Roman" w:eastAsia="仿宋"/>
                <w:color w:val="auto"/>
                <w:sz w:val="28"/>
                <w:szCs w:val="28"/>
              </w:rPr>
            </w:pPr>
            <w:r>
              <w:rPr>
                <w:rFonts w:hint="eastAsia" w:ascii="Times New Roman" w:hAnsi="Times New Roman" w:eastAsia="仿宋"/>
                <w:color w:val="auto"/>
                <w:sz w:val="28"/>
                <w:szCs w:val="28"/>
              </w:rPr>
              <w:t>项目经理</w:t>
            </w:r>
          </w:p>
        </w:tc>
        <w:tc>
          <w:tcPr>
            <w:tcW w:w="2700"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Times New Roman" w:hAnsi="Times New Roman" w:eastAsia="仿宋"/>
                <w:color w:val="auto"/>
                <w:sz w:val="28"/>
                <w:szCs w:val="28"/>
              </w:rPr>
            </w:pPr>
            <w:r>
              <w:rPr>
                <w:rFonts w:hint="eastAsia" w:ascii="Times New Roman" w:hAnsi="Times New Roman" w:eastAsia="仿宋"/>
                <w:color w:val="auto"/>
                <w:sz w:val="28"/>
                <w:szCs w:val="28"/>
              </w:rPr>
              <w:t>1人</w:t>
            </w:r>
          </w:p>
        </w:tc>
        <w:tc>
          <w:tcPr>
            <w:tcW w:w="1980"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Times New Roman" w:hAnsi="Times New Roman" w:eastAsia="仿宋"/>
                <w:color w:val="auto"/>
                <w:sz w:val="28"/>
                <w:szCs w:val="28"/>
              </w:rPr>
            </w:pPr>
          </w:p>
        </w:tc>
      </w:tr>
      <w:tr>
        <w:tblPrEx>
          <w:tblLayout w:type="fixed"/>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Times New Roman" w:hAnsi="Times New Roman" w:eastAsia="仿宋"/>
                <w:color w:val="auto"/>
                <w:sz w:val="28"/>
                <w:szCs w:val="28"/>
              </w:rPr>
            </w:pPr>
            <w:r>
              <w:rPr>
                <w:rFonts w:hint="eastAsia" w:ascii="Times New Roman" w:hAnsi="Times New Roman" w:eastAsia="仿宋"/>
                <w:color w:val="auto"/>
                <w:sz w:val="28"/>
                <w:szCs w:val="28"/>
              </w:rPr>
              <w:t>2</w:t>
            </w:r>
          </w:p>
        </w:tc>
        <w:tc>
          <w:tcPr>
            <w:tcW w:w="2436"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Times New Roman" w:hAnsi="Times New Roman" w:eastAsia="仿宋"/>
                <w:color w:val="auto"/>
                <w:sz w:val="28"/>
                <w:szCs w:val="28"/>
              </w:rPr>
            </w:pPr>
            <w:r>
              <w:rPr>
                <w:rFonts w:hint="eastAsia" w:ascii="Times New Roman" w:hAnsi="Times New Roman" w:eastAsia="仿宋"/>
                <w:color w:val="auto"/>
                <w:sz w:val="28"/>
                <w:szCs w:val="28"/>
              </w:rPr>
              <w:t>管理人员</w:t>
            </w:r>
          </w:p>
        </w:tc>
        <w:tc>
          <w:tcPr>
            <w:tcW w:w="2700"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Times New Roman" w:hAnsi="Times New Roman" w:eastAsia="仿宋"/>
                <w:color w:val="auto"/>
                <w:sz w:val="28"/>
                <w:szCs w:val="28"/>
              </w:rPr>
            </w:pPr>
            <w:r>
              <w:rPr>
                <w:rFonts w:hint="eastAsia" w:ascii="Times New Roman" w:hAnsi="Times New Roman" w:eastAsia="仿宋"/>
                <w:color w:val="auto"/>
                <w:sz w:val="28"/>
                <w:szCs w:val="28"/>
              </w:rPr>
              <w:t>5人</w:t>
            </w:r>
          </w:p>
        </w:tc>
        <w:tc>
          <w:tcPr>
            <w:tcW w:w="1980"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Times New Roman" w:hAnsi="Times New Roman" w:eastAsia="仿宋"/>
                <w:color w:val="auto"/>
                <w:sz w:val="28"/>
                <w:szCs w:val="28"/>
              </w:rPr>
            </w:pPr>
          </w:p>
        </w:tc>
      </w:tr>
      <w:tr>
        <w:tblPrEx>
          <w:tblLayout w:type="fixed"/>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Times New Roman" w:hAnsi="Times New Roman" w:eastAsia="仿宋"/>
                <w:color w:val="auto"/>
                <w:sz w:val="28"/>
                <w:szCs w:val="28"/>
              </w:rPr>
            </w:pPr>
            <w:r>
              <w:rPr>
                <w:rFonts w:hint="eastAsia" w:ascii="Times New Roman" w:hAnsi="Times New Roman" w:eastAsia="仿宋"/>
                <w:color w:val="auto"/>
                <w:sz w:val="28"/>
                <w:szCs w:val="28"/>
              </w:rPr>
              <w:t>3</w:t>
            </w:r>
          </w:p>
        </w:tc>
        <w:tc>
          <w:tcPr>
            <w:tcW w:w="2436"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Times New Roman" w:hAnsi="Times New Roman" w:eastAsia="仿宋"/>
                <w:color w:val="auto"/>
                <w:sz w:val="28"/>
                <w:szCs w:val="28"/>
              </w:rPr>
            </w:pPr>
            <w:r>
              <w:rPr>
                <w:rFonts w:hint="eastAsia" w:ascii="Times New Roman" w:hAnsi="Times New Roman" w:eastAsia="仿宋"/>
                <w:color w:val="auto"/>
                <w:sz w:val="28"/>
                <w:szCs w:val="28"/>
              </w:rPr>
              <w:t>秩序维护人员</w:t>
            </w:r>
          </w:p>
        </w:tc>
        <w:tc>
          <w:tcPr>
            <w:tcW w:w="2700"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Times New Roman" w:hAnsi="Times New Roman" w:eastAsia="仿宋"/>
                <w:color w:val="auto"/>
                <w:sz w:val="28"/>
                <w:szCs w:val="28"/>
              </w:rPr>
            </w:pPr>
            <w:r>
              <w:rPr>
                <w:rFonts w:hint="eastAsia" w:ascii="Times New Roman" w:hAnsi="Times New Roman" w:eastAsia="仿宋"/>
                <w:color w:val="auto"/>
                <w:sz w:val="28"/>
                <w:szCs w:val="28"/>
              </w:rPr>
              <w:t>4</w:t>
            </w:r>
            <w:r>
              <w:rPr>
                <w:rFonts w:hint="eastAsia" w:ascii="Times New Roman" w:hAnsi="Times New Roman" w:eastAsia="仿宋"/>
                <w:color w:val="auto"/>
                <w:sz w:val="28"/>
                <w:szCs w:val="28"/>
                <w:lang w:val="en-US" w:eastAsia="zh-CN"/>
              </w:rPr>
              <w:t>3</w:t>
            </w:r>
            <w:r>
              <w:rPr>
                <w:rFonts w:hint="eastAsia" w:ascii="Times New Roman" w:hAnsi="Times New Roman" w:eastAsia="仿宋"/>
                <w:color w:val="auto"/>
                <w:sz w:val="28"/>
                <w:szCs w:val="28"/>
              </w:rPr>
              <w:t>人</w:t>
            </w:r>
          </w:p>
        </w:tc>
        <w:tc>
          <w:tcPr>
            <w:tcW w:w="1980"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Times New Roman" w:hAnsi="Times New Roman" w:eastAsia="仿宋"/>
                <w:color w:val="auto"/>
                <w:sz w:val="28"/>
                <w:szCs w:val="28"/>
              </w:rPr>
            </w:pPr>
          </w:p>
        </w:tc>
      </w:tr>
      <w:tr>
        <w:tblPrEx>
          <w:tblLayout w:type="fixed"/>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Times New Roman" w:hAnsi="Times New Roman" w:eastAsia="仿宋"/>
                <w:color w:val="auto"/>
                <w:sz w:val="28"/>
                <w:szCs w:val="28"/>
              </w:rPr>
            </w:pPr>
            <w:r>
              <w:rPr>
                <w:rFonts w:hint="eastAsia" w:ascii="Times New Roman" w:hAnsi="Times New Roman" w:eastAsia="仿宋"/>
                <w:color w:val="auto"/>
                <w:sz w:val="28"/>
                <w:szCs w:val="28"/>
              </w:rPr>
              <w:t>4</w:t>
            </w:r>
          </w:p>
        </w:tc>
        <w:tc>
          <w:tcPr>
            <w:tcW w:w="2436"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Times New Roman" w:hAnsi="Times New Roman" w:eastAsia="仿宋"/>
                <w:color w:val="auto"/>
                <w:sz w:val="28"/>
                <w:szCs w:val="28"/>
              </w:rPr>
            </w:pPr>
            <w:r>
              <w:rPr>
                <w:rFonts w:hint="eastAsia" w:ascii="Times New Roman" w:hAnsi="Times New Roman" w:eastAsia="仿宋"/>
                <w:color w:val="auto"/>
                <w:sz w:val="28"/>
                <w:szCs w:val="28"/>
              </w:rPr>
              <w:t>客服服务人员</w:t>
            </w:r>
          </w:p>
        </w:tc>
        <w:tc>
          <w:tcPr>
            <w:tcW w:w="2700"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Times New Roman" w:hAnsi="Times New Roman" w:eastAsia="仿宋"/>
                <w:color w:val="auto"/>
                <w:sz w:val="28"/>
                <w:szCs w:val="28"/>
              </w:rPr>
            </w:pPr>
            <w:r>
              <w:rPr>
                <w:rFonts w:hint="eastAsia" w:ascii="Times New Roman" w:hAnsi="Times New Roman" w:eastAsia="仿宋"/>
                <w:color w:val="auto"/>
                <w:sz w:val="28"/>
                <w:szCs w:val="28"/>
              </w:rPr>
              <w:t>2人</w:t>
            </w:r>
          </w:p>
        </w:tc>
        <w:tc>
          <w:tcPr>
            <w:tcW w:w="1980"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Times New Roman" w:hAnsi="Times New Roman" w:eastAsia="仿宋"/>
                <w:color w:val="auto"/>
                <w:sz w:val="28"/>
                <w:szCs w:val="28"/>
              </w:rPr>
            </w:pPr>
          </w:p>
        </w:tc>
      </w:tr>
      <w:tr>
        <w:tblPrEx>
          <w:tblLayout w:type="fixed"/>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Times New Roman" w:hAnsi="Times New Roman" w:eastAsia="仿宋"/>
                <w:color w:val="auto"/>
                <w:sz w:val="28"/>
                <w:szCs w:val="28"/>
              </w:rPr>
            </w:pPr>
            <w:r>
              <w:rPr>
                <w:rFonts w:hint="eastAsia" w:ascii="Times New Roman" w:hAnsi="Times New Roman" w:eastAsia="仿宋"/>
                <w:color w:val="auto"/>
                <w:sz w:val="28"/>
                <w:szCs w:val="28"/>
              </w:rPr>
              <w:t>5</w:t>
            </w:r>
          </w:p>
        </w:tc>
        <w:tc>
          <w:tcPr>
            <w:tcW w:w="2436"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Times New Roman" w:hAnsi="Times New Roman" w:eastAsia="仿宋"/>
                <w:color w:val="auto"/>
                <w:sz w:val="28"/>
                <w:szCs w:val="28"/>
              </w:rPr>
            </w:pPr>
            <w:r>
              <w:rPr>
                <w:rFonts w:hint="eastAsia" w:ascii="Times New Roman" w:hAnsi="Times New Roman" w:eastAsia="仿宋"/>
                <w:color w:val="auto"/>
                <w:sz w:val="28"/>
                <w:szCs w:val="28"/>
              </w:rPr>
              <w:t>会务服务</w:t>
            </w:r>
          </w:p>
        </w:tc>
        <w:tc>
          <w:tcPr>
            <w:tcW w:w="2700"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Times New Roman" w:hAnsi="Times New Roman" w:eastAsia="仿宋"/>
                <w:color w:val="auto"/>
                <w:sz w:val="28"/>
                <w:szCs w:val="28"/>
              </w:rPr>
            </w:pPr>
            <w:r>
              <w:rPr>
                <w:rFonts w:hint="eastAsia" w:ascii="Times New Roman" w:hAnsi="Times New Roman" w:eastAsia="仿宋"/>
                <w:color w:val="auto"/>
                <w:sz w:val="28"/>
                <w:szCs w:val="28"/>
              </w:rPr>
              <w:t>2</w:t>
            </w:r>
            <w:r>
              <w:rPr>
                <w:rFonts w:hint="eastAsia" w:ascii="Times New Roman" w:hAnsi="Times New Roman" w:eastAsia="仿宋"/>
                <w:color w:val="auto"/>
                <w:sz w:val="28"/>
                <w:szCs w:val="28"/>
                <w:lang w:val="en-US" w:eastAsia="zh-CN"/>
              </w:rPr>
              <w:t>3</w:t>
            </w:r>
            <w:r>
              <w:rPr>
                <w:rFonts w:hint="eastAsia" w:ascii="Times New Roman" w:hAnsi="Times New Roman" w:eastAsia="仿宋"/>
                <w:color w:val="auto"/>
                <w:sz w:val="28"/>
                <w:szCs w:val="28"/>
              </w:rPr>
              <w:t>人</w:t>
            </w:r>
          </w:p>
        </w:tc>
        <w:tc>
          <w:tcPr>
            <w:tcW w:w="1980"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Times New Roman" w:hAnsi="Times New Roman" w:eastAsia="仿宋"/>
                <w:color w:val="auto"/>
                <w:sz w:val="28"/>
                <w:szCs w:val="28"/>
              </w:rPr>
            </w:pPr>
          </w:p>
        </w:tc>
      </w:tr>
      <w:tr>
        <w:tblPrEx>
          <w:tblLayout w:type="fixed"/>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Times New Roman" w:hAnsi="Times New Roman" w:eastAsia="仿宋"/>
                <w:color w:val="auto"/>
                <w:sz w:val="28"/>
                <w:szCs w:val="28"/>
              </w:rPr>
            </w:pPr>
            <w:r>
              <w:rPr>
                <w:rFonts w:hint="eastAsia" w:ascii="Times New Roman" w:hAnsi="Times New Roman" w:eastAsia="仿宋"/>
                <w:color w:val="auto"/>
                <w:sz w:val="28"/>
                <w:szCs w:val="28"/>
              </w:rPr>
              <w:t>6</w:t>
            </w:r>
          </w:p>
        </w:tc>
        <w:tc>
          <w:tcPr>
            <w:tcW w:w="2436"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Times New Roman" w:hAnsi="Times New Roman" w:eastAsia="仿宋"/>
                <w:color w:val="auto"/>
                <w:sz w:val="28"/>
                <w:szCs w:val="28"/>
              </w:rPr>
            </w:pPr>
            <w:r>
              <w:rPr>
                <w:rFonts w:hint="eastAsia" w:ascii="Times New Roman" w:hAnsi="Times New Roman" w:eastAsia="仿宋"/>
                <w:color w:val="auto"/>
                <w:sz w:val="28"/>
                <w:szCs w:val="28"/>
              </w:rPr>
              <w:t>工程人员</w:t>
            </w:r>
          </w:p>
        </w:tc>
        <w:tc>
          <w:tcPr>
            <w:tcW w:w="2700"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Times New Roman" w:hAnsi="Times New Roman" w:eastAsia="仿宋"/>
                <w:color w:val="auto"/>
                <w:sz w:val="28"/>
                <w:szCs w:val="28"/>
              </w:rPr>
            </w:pPr>
            <w:r>
              <w:rPr>
                <w:rFonts w:hint="eastAsia" w:ascii="Times New Roman" w:hAnsi="Times New Roman" w:eastAsia="仿宋"/>
                <w:color w:val="auto"/>
                <w:sz w:val="28"/>
                <w:szCs w:val="28"/>
                <w:lang w:val="en-US" w:eastAsia="zh-CN"/>
              </w:rPr>
              <w:t>7</w:t>
            </w:r>
            <w:r>
              <w:rPr>
                <w:rFonts w:hint="eastAsia" w:ascii="Times New Roman" w:hAnsi="Times New Roman" w:eastAsia="仿宋"/>
                <w:color w:val="auto"/>
                <w:sz w:val="28"/>
                <w:szCs w:val="28"/>
              </w:rPr>
              <w:t>人</w:t>
            </w:r>
          </w:p>
        </w:tc>
        <w:tc>
          <w:tcPr>
            <w:tcW w:w="1980"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Times New Roman" w:hAnsi="Times New Roman" w:eastAsia="仿宋"/>
                <w:color w:val="auto"/>
                <w:sz w:val="28"/>
                <w:szCs w:val="28"/>
              </w:rPr>
            </w:pPr>
          </w:p>
        </w:tc>
      </w:tr>
      <w:tr>
        <w:tblPrEx>
          <w:tblLayout w:type="fixed"/>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Times New Roman" w:hAnsi="Times New Roman" w:eastAsia="仿宋"/>
                <w:color w:val="auto"/>
                <w:sz w:val="28"/>
                <w:szCs w:val="28"/>
              </w:rPr>
            </w:pPr>
            <w:r>
              <w:rPr>
                <w:rFonts w:hint="eastAsia" w:ascii="Times New Roman" w:hAnsi="Times New Roman" w:eastAsia="仿宋"/>
                <w:color w:val="auto"/>
                <w:sz w:val="28"/>
                <w:szCs w:val="28"/>
              </w:rPr>
              <w:t>7</w:t>
            </w:r>
          </w:p>
        </w:tc>
        <w:tc>
          <w:tcPr>
            <w:tcW w:w="2436"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Times New Roman" w:hAnsi="Times New Roman" w:eastAsia="仿宋"/>
                <w:color w:val="auto"/>
                <w:sz w:val="28"/>
                <w:szCs w:val="28"/>
              </w:rPr>
            </w:pPr>
            <w:r>
              <w:rPr>
                <w:rFonts w:hint="eastAsia" w:ascii="Times New Roman" w:hAnsi="Times New Roman" w:eastAsia="仿宋"/>
                <w:color w:val="auto"/>
                <w:sz w:val="28"/>
                <w:szCs w:val="28"/>
              </w:rPr>
              <w:t>保洁人员</w:t>
            </w:r>
          </w:p>
        </w:tc>
        <w:tc>
          <w:tcPr>
            <w:tcW w:w="2700"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Times New Roman" w:hAnsi="Times New Roman" w:eastAsia="仿宋"/>
                <w:color w:val="auto"/>
                <w:sz w:val="28"/>
                <w:szCs w:val="28"/>
              </w:rPr>
            </w:pPr>
            <w:r>
              <w:rPr>
                <w:rFonts w:hint="eastAsia" w:ascii="Times New Roman" w:hAnsi="Times New Roman" w:eastAsia="仿宋"/>
                <w:color w:val="auto"/>
                <w:sz w:val="28"/>
                <w:szCs w:val="28"/>
              </w:rPr>
              <w:t>27人</w:t>
            </w:r>
          </w:p>
        </w:tc>
        <w:tc>
          <w:tcPr>
            <w:tcW w:w="1980" w:type="dxa"/>
            <w:tcBorders>
              <w:top w:val="single" w:color="auto" w:sz="4" w:space="0"/>
              <w:left w:val="single" w:color="auto" w:sz="4" w:space="0"/>
              <w:bottom w:val="single" w:color="auto" w:sz="4" w:space="0"/>
              <w:right w:val="single" w:color="auto" w:sz="4" w:space="0"/>
            </w:tcBorders>
            <w:vAlign w:val="top"/>
          </w:tcPr>
          <w:p>
            <w:pPr>
              <w:spacing w:line="590" w:lineRule="exact"/>
              <w:jc w:val="center"/>
              <w:rPr>
                <w:rFonts w:hint="eastAsia" w:ascii="Times New Roman" w:hAnsi="Times New Roman" w:eastAsia="仿宋"/>
                <w:color w:val="auto"/>
                <w:sz w:val="28"/>
                <w:szCs w:val="28"/>
              </w:rPr>
            </w:pPr>
          </w:p>
        </w:tc>
      </w:tr>
      <w:tr>
        <w:tblPrEx>
          <w:tblLayout w:type="fixed"/>
          <w:tblCellMar>
            <w:top w:w="0" w:type="dxa"/>
            <w:left w:w="108" w:type="dxa"/>
            <w:bottom w:w="0" w:type="dxa"/>
            <w:right w:w="108" w:type="dxa"/>
          </w:tblCellMar>
        </w:tblPrEx>
        <w:tc>
          <w:tcPr>
            <w:tcW w:w="4140" w:type="dxa"/>
            <w:gridSpan w:val="2"/>
            <w:tcBorders>
              <w:top w:val="single" w:color="auto" w:sz="4" w:space="0"/>
              <w:left w:val="single" w:color="auto" w:sz="4" w:space="0"/>
              <w:bottom w:val="single" w:color="auto" w:sz="4" w:space="0"/>
              <w:right w:val="single" w:color="auto" w:sz="4" w:space="0"/>
            </w:tcBorders>
            <w:vAlign w:val="top"/>
          </w:tcPr>
          <w:p>
            <w:pPr>
              <w:spacing w:line="590" w:lineRule="exact"/>
              <w:rPr>
                <w:rFonts w:hint="eastAsia" w:ascii="Times New Roman" w:hAnsi="Times New Roman" w:eastAsia="仿宋"/>
                <w:color w:val="auto"/>
                <w:sz w:val="28"/>
                <w:szCs w:val="28"/>
              </w:rPr>
            </w:pPr>
          </w:p>
        </w:tc>
        <w:tc>
          <w:tcPr>
            <w:tcW w:w="4680" w:type="dxa"/>
            <w:gridSpan w:val="2"/>
            <w:tcBorders>
              <w:top w:val="single" w:color="auto" w:sz="4" w:space="0"/>
              <w:left w:val="single" w:color="auto" w:sz="4" w:space="0"/>
              <w:bottom w:val="single" w:color="auto" w:sz="4" w:space="0"/>
              <w:right w:val="single" w:color="auto" w:sz="4" w:space="0"/>
            </w:tcBorders>
            <w:vAlign w:val="top"/>
          </w:tcPr>
          <w:p>
            <w:pPr>
              <w:spacing w:line="590" w:lineRule="exact"/>
              <w:ind w:left="340"/>
              <w:rPr>
                <w:rFonts w:hint="eastAsia" w:ascii="Times New Roman" w:hAnsi="Times New Roman" w:eastAsia="仿宋"/>
                <w:color w:val="auto"/>
                <w:sz w:val="28"/>
                <w:szCs w:val="28"/>
              </w:rPr>
            </w:pPr>
            <w:r>
              <w:rPr>
                <w:rFonts w:hint="eastAsia" w:ascii="Times New Roman" w:hAnsi="Times New Roman" w:eastAsia="仿宋"/>
                <w:color w:val="auto"/>
                <w:sz w:val="28"/>
                <w:szCs w:val="28"/>
              </w:rPr>
              <w:t>合计：10</w:t>
            </w:r>
            <w:r>
              <w:rPr>
                <w:rFonts w:hint="eastAsia" w:ascii="Times New Roman" w:hAnsi="Times New Roman" w:eastAsia="仿宋"/>
                <w:color w:val="auto"/>
                <w:sz w:val="28"/>
                <w:szCs w:val="28"/>
                <w:lang w:val="en-US" w:eastAsia="zh-CN"/>
              </w:rPr>
              <w:t>8</w:t>
            </w:r>
            <w:r>
              <w:rPr>
                <w:rFonts w:hint="eastAsia" w:ascii="Times New Roman" w:hAnsi="Times New Roman" w:eastAsia="仿宋"/>
                <w:color w:val="auto"/>
                <w:sz w:val="28"/>
                <w:szCs w:val="28"/>
              </w:rPr>
              <w:t>人</w:t>
            </w:r>
          </w:p>
        </w:tc>
      </w:tr>
      <w:bookmarkEnd w:id="222"/>
      <w:bookmarkEnd w:id="223"/>
      <w:bookmarkEnd w:id="224"/>
      <w:bookmarkEnd w:id="225"/>
    </w:tbl>
    <w:p>
      <w:pPr>
        <w:pStyle w:val="5"/>
        <w:numPr>
          <w:ilvl w:val="2"/>
          <w:numId w:val="0"/>
        </w:numPr>
        <w:spacing w:after="200" w:line="560" w:lineRule="exact"/>
        <w:ind w:leftChars="0"/>
        <w:rPr>
          <w:color w:val="auto"/>
        </w:rPr>
      </w:pPr>
      <w:bookmarkStart w:id="243" w:name="_Toc24101"/>
      <w:bookmarkStart w:id="244" w:name="_Toc21821"/>
      <w:bookmarkStart w:id="245" w:name="_Toc5355"/>
      <w:bookmarkStart w:id="246" w:name="_Toc8639"/>
      <w:bookmarkStart w:id="247" w:name="_Toc26497"/>
      <w:r>
        <w:rPr>
          <w:rFonts w:hint="eastAsia"/>
          <w:color w:val="auto"/>
          <w:lang w:eastAsia="zh-CN"/>
        </w:rPr>
        <w:t>十四、</w:t>
      </w:r>
      <w:r>
        <w:rPr>
          <w:rFonts w:hint="eastAsia"/>
          <w:color w:val="auto"/>
        </w:rPr>
        <w:t>报价要求</w:t>
      </w:r>
    </w:p>
    <w:p>
      <w:pPr>
        <w:pStyle w:val="6"/>
        <w:numPr>
          <w:ilvl w:val="3"/>
          <w:numId w:val="0"/>
        </w:numPr>
        <w:spacing w:line="560" w:lineRule="exact"/>
        <w:ind w:leftChars="0"/>
        <w:rPr>
          <w:rFonts w:ascii="宋体" w:hAnsi="宋体"/>
          <w:color w:val="auto"/>
        </w:rPr>
      </w:pPr>
      <w:r>
        <w:rPr>
          <w:rFonts w:hint="eastAsia" w:ascii="宋体" w:hAnsi="宋体"/>
          <w:color w:val="auto"/>
          <w:lang w:val="en-US" w:eastAsia="zh-CN"/>
        </w:rPr>
        <w:t>1.</w:t>
      </w:r>
      <w:r>
        <w:rPr>
          <w:rFonts w:hint="eastAsia" w:ascii="宋体" w:hAnsi="宋体"/>
          <w:color w:val="auto"/>
        </w:rPr>
        <w:t>最高限价</w:t>
      </w:r>
    </w:p>
    <w:p>
      <w:pPr>
        <w:pStyle w:val="85"/>
        <w:tabs>
          <w:tab w:val="left" w:pos="993"/>
          <w:tab w:val="left" w:pos="1134"/>
        </w:tabs>
        <w:spacing w:line="560" w:lineRule="exact"/>
        <w:ind w:firstLine="565" w:firstLineChars="201"/>
        <w:rPr>
          <w:rFonts w:ascii="宋体" w:hAnsi="宋体" w:eastAsia="宋体"/>
          <w:b/>
          <w:color w:val="auto"/>
          <w:sz w:val="28"/>
          <w:szCs w:val="28"/>
        </w:rPr>
      </w:pPr>
      <w:r>
        <w:rPr>
          <w:rFonts w:hint="eastAsia" w:ascii="宋体" w:hAnsi="宋体" w:eastAsia="宋体"/>
          <w:b/>
          <w:color w:val="auto"/>
          <w:sz w:val="28"/>
          <w:szCs w:val="28"/>
        </w:rPr>
        <w:t>★本项目最高限价为人民币</w:t>
      </w:r>
      <w:r>
        <w:rPr>
          <w:rFonts w:hint="eastAsia" w:ascii="宋体" w:hAnsi="宋体"/>
          <w:color w:val="auto"/>
          <w:sz w:val="28"/>
          <w:szCs w:val="28"/>
          <w:lang w:val="en-US" w:eastAsia="zh-CN"/>
        </w:rPr>
        <w:t>4668880</w:t>
      </w:r>
      <w:r>
        <w:rPr>
          <w:rFonts w:hint="eastAsia" w:ascii="宋体" w:hAnsi="宋体"/>
          <w:color w:val="auto"/>
          <w:sz w:val="28"/>
          <w:szCs w:val="28"/>
        </w:rPr>
        <w:t>元</w:t>
      </w:r>
      <w:r>
        <w:rPr>
          <w:rFonts w:hint="eastAsia" w:ascii="宋体" w:hAnsi="宋体"/>
          <w:color w:val="auto"/>
          <w:sz w:val="28"/>
          <w:szCs w:val="28"/>
          <w:lang w:val="en-US" w:eastAsia="zh-CN"/>
        </w:rPr>
        <w:t>/年</w:t>
      </w:r>
      <w:r>
        <w:rPr>
          <w:rFonts w:hint="eastAsia" w:ascii="宋体" w:hAnsi="宋体" w:eastAsia="宋体"/>
          <w:b/>
          <w:color w:val="auto"/>
          <w:sz w:val="28"/>
          <w:szCs w:val="28"/>
        </w:rPr>
        <w:t>，投标人投标报价高于最高限价的，则其投标文件将按无效投标文件处理。</w:t>
      </w:r>
    </w:p>
    <w:p>
      <w:pPr>
        <w:pStyle w:val="6"/>
        <w:numPr>
          <w:ilvl w:val="3"/>
          <w:numId w:val="0"/>
        </w:numPr>
        <w:spacing w:line="560" w:lineRule="exact"/>
        <w:ind w:leftChars="0"/>
        <w:rPr>
          <w:rFonts w:ascii="宋体" w:hAnsi="宋体"/>
          <w:color w:val="auto"/>
        </w:rPr>
      </w:pPr>
      <w:r>
        <w:rPr>
          <w:rFonts w:hint="eastAsia" w:ascii="宋体" w:hAnsi="宋体"/>
          <w:color w:val="auto"/>
          <w:lang w:val="en-US" w:eastAsia="zh-CN"/>
        </w:rPr>
        <w:t>2.</w:t>
      </w:r>
      <w:r>
        <w:rPr>
          <w:rFonts w:hint="eastAsia" w:ascii="宋体" w:hAnsi="宋体"/>
          <w:color w:val="auto"/>
        </w:rPr>
        <w:t>其他要求</w:t>
      </w:r>
    </w:p>
    <w:p>
      <w:pPr>
        <w:pStyle w:val="85"/>
        <w:tabs>
          <w:tab w:val="left" w:pos="993"/>
          <w:tab w:val="left" w:pos="1134"/>
        </w:tabs>
        <w:spacing w:line="560" w:lineRule="exact"/>
        <w:ind w:firstLine="568" w:firstLineChars="202"/>
        <w:rPr>
          <w:rFonts w:hint="eastAsia" w:ascii="宋体" w:hAnsi="宋体" w:eastAsia="宋体"/>
          <w:b/>
          <w:color w:val="auto"/>
          <w:sz w:val="28"/>
          <w:szCs w:val="28"/>
          <w:lang w:val="zh-CN"/>
        </w:rPr>
      </w:pPr>
      <w:r>
        <w:rPr>
          <w:rFonts w:hint="eastAsia" w:ascii="宋体" w:hAnsi="宋体" w:eastAsia="宋体"/>
          <w:b/>
          <w:color w:val="auto"/>
          <w:sz w:val="28"/>
          <w:szCs w:val="28"/>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p>
      <w:pPr>
        <w:pStyle w:val="85"/>
        <w:tabs>
          <w:tab w:val="left" w:pos="993"/>
          <w:tab w:val="left" w:pos="1134"/>
        </w:tabs>
        <w:spacing w:line="560" w:lineRule="exact"/>
        <w:ind w:firstLine="568" w:firstLineChars="202"/>
        <w:rPr>
          <w:rFonts w:hint="eastAsia" w:ascii="宋体" w:hAnsi="宋体" w:eastAsia="宋体"/>
          <w:b/>
          <w:color w:val="0000FF"/>
          <w:sz w:val="28"/>
          <w:szCs w:val="28"/>
          <w:lang w:val="en-US" w:eastAsia="zh-CN"/>
        </w:rPr>
      </w:pPr>
      <w:r>
        <w:rPr>
          <w:rFonts w:hint="eastAsia" w:ascii="宋体" w:hAnsi="宋体" w:eastAsia="宋体"/>
          <w:b/>
          <w:color w:val="0070C0"/>
          <w:sz w:val="28"/>
          <w:szCs w:val="28"/>
          <w:lang w:val="zh-CN"/>
        </w:rPr>
        <w:t>以上打★号要求，招标文件对证明材料有具体要求的，投标文件应按要求提供证明材料，没有具体要求的，以按照</w:t>
      </w:r>
      <w:r>
        <w:rPr>
          <w:rFonts w:hint="eastAsia" w:ascii="宋体" w:hAnsi="宋体" w:eastAsia="宋体"/>
          <w:b/>
          <w:color w:val="FF0000"/>
          <w:sz w:val="28"/>
          <w:szCs w:val="28"/>
          <w:lang w:val="en-US" w:eastAsia="zh-CN"/>
        </w:rPr>
        <w:t>3.3.7</w:t>
      </w:r>
      <w:r>
        <w:rPr>
          <w:rFonts w:hint="eastAsia" w:ascii="宋体" w:hAnsi="宋体" w:eastAsia="宋体"/>
          <w:b/>
          <w:color w:val="0070C0"/>
          <w:sz w:val="28"/>
          <w:szCs w:val="28"/>
          <w:lang w:val="en-US" w:eastAsia="zh-CN"/>
        </w:rPr>
        <w:t>格式提供的承诺为准。</w:t>
      </w:r>
    </w:p>
    <w:p>
      <w:pPr>
        <w:spacing w:line="360" w:lineRule="auto"/>
        <w:ind w:firstLine="565" w:firstLineChars="202"/>
        <w:rPr>
          <w:rFonts w:asciiTheme="minorEastAsia" w:hAnsiTheme="minorEastAsia" w:eastAsiaTheme="minorEastAsia"/>
          <w:color w:val="auto"/>
          <w:sz w:val="28"/>
          <w:szCs w:val="28"/>
        </w:rPr>
      </w:pPr>
    </w:p>
    <w:p>
      <w:pPr>
        <w:spacing w:line="360" w:lineRule="auto"/>
        <w:ind w:firstLine="565" w:firstLineChars="202"/>
        <w:rPr>
          <w:rFonts w:asciiTheme="minorEastAsia" w:hAnsiTheme="minorEastAsia" w:eastAsiaTheme="minorEastAsia"/>
          <w:color w:val="auto"/>
          <w:sz w:val="28"/>
          <w:szCs w:val="28"/>
        </w:rPr>
      </w:pPr>
    </w:p>
    <w:p>
      <w:pPr>
        <w:spacing w:line="360" w:lineRule="auto"/>
        <w:ind w:firstLine="565" w:firstLineChars="202"/>
        <w:rPr>
          <w:rFonts w:asciiTheme="minorEastAsia" w:hAnsiTheme="minorEastAsia" w:eastAsiaTheme="minorEastAsia"/>
          <w:color w:val="auto"/>
          <w:sz w:val="28"/>
          <w:szCs w:val="28"/>
        </w:rPr>
      </w:pPr>
    </w:p>
    <w:p>
      <w:pPr>
        <w:spacing w:line="360" w:lineRule="auto"/>
        <w:ind w:firstLine="565" w:firstLineChars="202"/>
        <w:rPr>
          <w:rFonts w:asciiTheme="minorEastAsia" w:hAnsiTheme="minorEastAsia" w:eastAsiaTheme="minorEastAsia"/>
          <w:color w:val="auto"/>
          <w:sz w:val="28"/>
          <w:szCs w:val="28"/>
        </w:rPr>
      </w:pPr>
    </w:p>
    <w:p>
      <w:pPr>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br w:type="page"/>
      </w:r>
    </w:p>
    <w:p>
      <w:pPr>
        <w:pStyle w:val="2"/>
        <w:rPr>
          <w:color w:val="auto"/>
        </w:rPr>
      </w:pPr>
    </w:p>
    <w:bookmarkEnd w:id="243"/>
    <w:bookmarkEnd w:id="244"/>
    <w:bookmarkEnd w:id="245"/>
    <w:bookmarkEnd w:id="246"/>
    <w:bookmarkEnd w:id="247"/>
    <w:p>
      <w:pPr>
        <w:pStyle w:val="3"/>
        <w:numPr>
          <w:ilvl w:val="0"/>
          <w:numId w:val="0"/>
        </w:numPr>
        <w:spacing w:before="0" w:after="0" w:line="360" w:lineRule="auto"/>
        <w:ind w:leftChars="0"/>
        <w:jc w:val="center"/>
        <w:rPr>
          <w:color w:val="auto"/>
        </w:rPr>
      </w:pPr>
      <w:bookmarkStart w:id="248" w:name="_Toc7093"/>
      <w:bookmarkStart w:id="249" w:name="_Toc10524"/>
      <w:bookmarkStart w:id="250" w:name="_Toc1676"/>
      <w:bookmarkStart w:id="251" w:name="_Toc65573703"/>
      <w:bookmarkStart w:id="252" w:name="_Toc7800"/>
      <w:r>
        <w:rPr>
          <w:rFonts w:hint="eastAsia"/>
          <w:color w:val="auto"/>
          <w:lang w:eastAsia="zh-CN"/>
        </w:rPr>
        <w:t>第</w:t>
      </w:r>
      <w:r>
        <w:rPr>
          <w:rFonts w:hint="eastAsia"/>
          <w:color w:val="auto"/>
          <w:lang w:val="en-US" w:eastAsia="zh-CN"/>
        </w:rPr>
        <w:t>5章</w:t>
      </w:r>
      <w:r>
        <w:rPr>
          <w:rFonts w:hint="eastAsia"/>
          <w:color w:val="auto"/>
        </w:rPr>
        <w:t>资格性审查</w:t>
      </w:r>
      <w:bookmarkEnd w:id="248"/>
      <w:bookmarkEnd w:id="249"/>
      <w:bookmarkEnd w:id="250"/>
      <w:bookmarkEnd w:id="251"/>
      <w:bookmarkEnd w:id="252"/>
    </w:p>
    <w:p>
      <w:pPr>
        <w:tabs>
          <w:tab w:val="left" w:pos="851"/>
        </w:tabs>
        <w:spacing w:line="360" w:lineRule="auto"/>
        <w:ind w:firstLine="565" w:firstLineChars="202"/>
        <w:rPr>
          <w:rFonts w:ascii="宋体" w:hAnsi="宋体"/>
          <w:color w:val="auto"/>
          <w:sz w:val="28"/>
          <w:szCs w:val="28"/>
        </w:rPr>
      </w:pPr>
      <w:r>
        <w:rPr>
          <w:rFonts w:hint="eastAsia" w:ascii="宋体" w:hAnsi="宋体"/>
          <w:color w:val="auto"/>
          <w:sz w:val="28"/>
          <w:szCs w:val="28"/>
        </w:rPr>
        <w:t>资格性审查由采购人组建的资格审查小组依据法律法规和招标文件的规定，对投标保证金(市公资交易中心出具的</w:t>
      </w:r>
      <w:r>
        <w:rPr>
          <w:rFonts w:hint="eastAsia" w:ascii="宋体" w:hAnsi="宋体"/>
          <w:b/>
          <w:color w:val="auto"/>
          <w:sz w:val="28"/>
          <w:szCs w:val="28"/>
        </w:rPr>
        <w:t>《成都市政府采购项目供应商参与及保证金交纳情况表》或投标人递交的投标保函</w:t>
      </w:r>
      <w:r>
        <w:rPr>
          <w:rFonts w:hint="eastAsia" w:ascii="宋体" w:hAnsi="宋体"/>
          <w:color w:val="auto"/>
          <w:sz w:val="28"/>
          <w:szCs w:val="28"/>
        </w:rPr>
        <w:t>)、投标文件中的资格证明等进行审查，以确定投标人是否具备投标资格，并出具资格性审查报告。</w:t>
      </w:r>
    </w:p>
    <w:p>
      <w:pPr>
        <w:tabs>
          <w:tab w:val="left" w:pos="851"/>
        </w:tabs>
        <w:spacing w:line="360" w:lineRule="auto"/>
        <w:ind w:firstLine="565" w:firstLineChars="202"/>
        <w:rPr>
          <w:rFonts w:ascii="宋体" w:hAnsi="宋体"/>
          <w:color w:val="auto"/>
          <w:sz w:val="28"/>
          <w:szCs w:val="28"/>
        </w:rPr>
      </w:pPr>
      <w:r>
        <w:rPr>
          <w:rFonts w:hint="eastAsia" w:ascii="宋体" w:hAnsi="宋体"/>
          <w:color w:val="auto"/>
          <w:sz w:val="28"/>
          <w:szCs w:val="28"/>
        </w:rPr>
        <w:t>资格性审查时因断电、断网、系统故障或其他不可抗力等因素，导致资格审查小组无法通过系统阅读投标文件进行审查的，待系统恢复后继续审查。出现上述情况时，市公资交易中心将以电子邮件形式通知各投标人。资格性审查标准见下表：</w:t>
      </w:r>
    </w:p>
    <w:tbl>
      <w:tblPr>
        <w:tblStyle w:val="49"/>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700"/>
        <w:gridCol w:w="1197"/>
        <w:gridCol w:w="5940"/>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2585" w:type="dxa"/>
            <w:gridSpan w:val="3"/>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b/>
                <w:color w:val="auto"/>
                <w:sz w:val="20"/>
              </w:rPr>
            </w:pPr>
            <w:r>
              <w:rPr>
                <w:b/>
                <w:color w:val="auto"/>
                <w:sz w:val="20"/>
              </w:rPr>
              <w:t>资格性审查项</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color w:val="auto"/>
                <w:sz w:val="20"/>
              </w:rPr>
            </w:pPr>
            <w:r>
              <w:rPr>
                <w:b/>
                <w:color w:val="auto"/>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rPr>
            </w:pPr>
            <w:r>
              <w:rPr>
                <w:color w:val="auto"/>
                <w:sz w:val="20"/>
              </w:rPr>
              <w:t>1</w:t>
            </w:r>
          </w:p>
        </w:tc>
        <w:tc>
          <w:tcPr>
            <w:tcW w:w="1897"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rPr>
            </w:pPr>
            <w:r>
              <w:rPr>
                <w:color w:val="auto"/>
                <w:sz w:val="20"/>
              </w:rPr>
              <w:t>在中华人民共和国境内依法登记注册，并有效存续具有独立法人资格的</w:t>
            </w:r>
            <w:r>
              <w:rPr>
                <w:rFonts w:hint="eastAsia"/>
                <w:color w:val="auto"/>
                <w:sz w:val="20"/>
              </w:rPr>
              <w:t>供应商</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rPr>
            </w:pPr>
            <w:r>
              <w:rPr>
                <w:color w:val="auto"/>
                <w:sz w:val="20"/>
              </w:rPr>
              <w:t>营业执照复印件（正本或副本）或法人证书复印件（正本或副本）</w:t>
            </w:r>
            <w:r>
              <w:rPr>
                <w:rFonts w:hint="eastAsia"/>
                <w:color w:val="auto"/>
                <w:sz w:val="20"/>
              </w:rPr>
              <w:t>。</w:t>
            </w:r>
            <w:r>
              <w:rPr>
                <w:color w:val="auto"/>
                <w:sz w:val="20"/>
              </w:rPr>
              <w:t>【说明：</w:t>
            </w:r>
            <w:r>
              <w:rPr>
                <w:rFonts w:hint="eastAsia" w:ascii="宋体" w:hAnsi="宋体"/>
                <w:color w:val="auto"/>
                <w:sz w:val="20"/>
                <w:szCs w:val="28"/>
              </w:rPr>
              <w:t>①</w:t>
            </w:r>
            <w:r>
              <w:rPr>
                <w:color w:val="auto"/>
                <w:sz w:val="20"/>
              </w:rPr>
              <w:t>营业执照或法人证书载明有期限的，应在有效期限内；</w:t>
            </w:r>
            <w:r>
              <w:rPr>
                <w:rFonts w:hint="eastAsia" w:ascii="宋体" w:hAnsi="宋体"/>
                <w:color w:val="auto"/>
                <w:sz w:val="20"/>
                <w:szCs w:val="28"/>
              </w:rPr>
              <w:t>②</w:t>
            </w:r>
            <w:r>
              <w:rPr>
                <w:color w:val="auto"/>
                <w:sz w:val="20"/>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2</w:t>
            </w:r>
          </w:p>
        </w:tc>
        <w:tc>
          <w:tcPr>
            <w:tcW w:w="700" w:type="dxa"/>
            <w:vMerge w:val="restart"/>
            <w:tcBorders>
              <w:top w:val="single" w:color="auto" w:sz="2" w:space="0"/>
              <w:left w:val="single" w:color="auto" w:sz="2" w:space="0"/>
              <w:right w:val="single" w:color="auto" w:sz="4" w:space="0"/>
            </w:tcBorders>
            <w:vAlign w:val="center"/>
          </w:tcPr>
          <w:p>
            <w:pPr>
              <w:tabs>
                <w:tab w:val="left" w:pos="851"/>
              </w:tabs>
              <w:spacing w:line="360" w:lineRule="auto"/>
              <w:rPr>
                <w:color w:val="auto"/>
                <w:sz w:val="20"/>
              </w:rPr>
            </w:pPr>
            <w:r>
              <w:rPr>
                <w:rFonts w:hint="eastAsia"/>
                <w:color w:val="auto"/>
                <w:sz w:val="20"/>
              </w:rPr>
              <w:t>书面声明材料</w:t>
            </w: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具有良好的商业信誉的证明材料</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投标人具有良好的商业信誉的书面声明材料。【说明：</w:t>
            </w:r>
            <w:r>
              <w:rPr>
                <w:rFonts w:hint="eastAsia" w:ascii="宋体" w:hAnsi="宋体"/>
                <w:color w:val="auto"/>
                <w:sz w:val="20"/>
                <w:szCs w:val="28"/>
              </w:rPr>
              <w:t>①</w:t>
            </w:r>
            <w:r>
              <w:rPr>
                <w:rFonts w:hint="eastAsia"/>
                <w:color w:val="auto"/>
                <w:sz w:val="20"/>
              </w:rPr>
              <w:t>按招标文件第</w:t>
            </w:r>
            <w:r>
              <w:rPr>
                <w:color w:val="auto"/>
                <w:sz w:val="20"/>
              </w:rPr>
              <w:t>3</w:t>
            </w:r>
            <w:r>
              <w:rPr>
                <w:rFonts w:hint="eastAsia"/>
                <w:color w:val="auto"/>
                <w:sz w:val="20"/>
              </w:rPr>
              <w:t>章的内容及要求提供书面声明材料</w:t>
            </w:r>
            <w:r>
              <w:rPr>
                <w:rFonts w:hint="eastAsia" w:ascii="宋体" w:hAnsi="宋体"/>
                <w:color w:val="auto"/>
                <w:sz w:val="20"/>
                <w:szCs w:val="28"/>
              </w:rPr>
              <w:t>；②供应商具有良好的商业信誉</w:t>
            </w:r>
            <w:r>
              <w:rPr>
                <w:rFonts w:hint="eastAsia"/>
                <w:color w:val="auto"/>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auto"/>
                <w:sz w:val="20"/>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auto"/>
                <w:sz w:val="20"/>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参加政府采购活动前三年内，在经营活动中没有重大违法记录</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rPr>
            </w:pPr>
            <w:r>
              <w:rPr>
                <w:color w:val="auto"/>
                <w:sz w:val="20"/>
              </w:rPr>
              <w:t>1.</w:t>
            </w:r>
            <w:r>
              <w:rPr>
                <w:rFonts w:hint="eastAsia"/>
                <w:color w:val="auto"/>
                <w:sz w:val="20"/>
              </w:rPr>
              <w:t>投标人参加政府采购活动前三年内，在经营活动中没有重大违法记录的书面声明材料。【说明：</w:t>
            </w:r>
            <w:r>
              <w:rPr>
                <w:rFonts w:hint="eastAsia" w:ascii="宋体" w:hAnsi="宋体"/>
                <w:color w:val="auto"/>
                <w:sz w:val="20"/>
                <w:szCs w:val="28"/>
              </w:rPr>
              <w:t>①</w:t>
            </w:r>
            <w:r>
              <w:rPr>
                <w:rFonts w:hint="eastAsia"/>
                <w:color w:val="auto"/>
                <w:sz w:val="20"/>
              </w:rPr>
              <w:t>按第</w:t>
            </w:r>
            <w:r>
              <w:rPr>
                <w:color w:val="auto"/>
                <w:sz w:val="20"/>
              </w:rPr>
              <w:t>3</w:t>
            </w:r>
            <w:r>
              <w:rPr>
                <w:rFonts w:hint="eastAsia"/>
                <w:color w:val="auto"/>
                <w:sz w:val="20"/>
              </w:rPr>
              <w:t>章的内容及要求提供书面声明材料；</w:t>
            </w:r>
            <w:r>
              <w:rPr>
                <w:rFonts w:hint="eastAsia" w:ascii="宋体" w:hAnsi="宋体"/>
                <w:color w:val="auto"/>
                <w:sz w:val="20"/>
                <w:szCs w:val="28"/>
              </w:rPr>
              <w:t>②供应商参加政府采购活动前三年内，在经营活动中没有重大违法记录</w:t>
            </w:r>
            <w:r>
              <w:rPr>
                <w:rFonts w:hint="eastAsia"/>
                <w:color w:val="auto"/>
                <w:sz w:val="20"/>
              </w:rPr>
              <w:t>。】</w:t>
            </w:r>
          </w:p>
          <w:p>
            <w:pPr>
              <w:tabs>
                <w:tab w:val="left" w:pos="851"/>
              </w:tabs>
              <w:spacing w:line="360" w:lineRule="auto"/>
              <w:rPr>
                <w:color w:val="auto"/>
                <w:sz w:val="20"/>
              </w:rPr>
            </w:pPr>
            <w:r>
              <w:rPr>
                <w:color w:val="auto"/>
                <w:sz w:val="20"/>
              </w:rPr>
              <w:t xml:space="preserve">2. </w:t>
            </w:r>
            <w:r>
              <w:rPr>
                <w:rFonts w:hint="eastAsia"/>
                <w:color w:val="auto"/>
                <w:sz w:val="20"/>
              </w:rPr>
              <w:t>资格审查小组根据</w:t>
            </w:r>
            <w:r>
              <w:rPr>
                <w:color w:val="auto"/>
                <w:sz w:val="20"/>
              </w:rPr>
              <w:t>“</w:t>
            </w:r>
            <w:r>
              <w:rPr>
                <w:rFonts w:hint="eastAsia"/>
                <w:color w:val="auto"/>
                <w:sz w:val="20"/>
              </w:rPr>
              <w:t>信用中国</w:t>
            </w:r>
            <w:r>
              <w:rPr>
                <w:color w:val="auto"/>
                <w:sz w:val="20"/>
              </w:rPr>
              <w:t>”</w:t>
            </w:r>
            <w:r>
              <w:rPr>
                <w:rFonts w:hint="eastAsia"/>
                <w:color w:val="auto"/>
                <w:sz w:val="20"/>
              </w:rPr>
              <w:t>和</w:t>
            </w:r>
            <w:r>
              <w:rPr>
                <w:color w:val="auto"/>
                <w:sz w:val="20"/>
              </w:rPr>
              <w:t>“</w:t>
            </w:r>
            <w:r>
              <w:rPr>
                <w:rFonts w:hint="eastAsia"/>
                <w:color w:val="auto"/>
                <w:sz w:val="20"/>
              </w:rPr>
              <w:t>中国政府采购网</w:t>
            </w:r>
            <w:r>
              <w:rPr>
                <w:color w:val="auto"/>
                <w:sz w:val="20"/>
              </w:rPr>
              <w:t>”</w:t>
            </w:r>
            <w:r>
              <w:rPr>
                <w:rFonts w:hint="eastAsia"/>
                <w:color w:val="auto"/>
                <w:sz w:val="20"/>
              </w:rPr>
              <w:t>网站的查询结果，在资格审查期间对投标人在参加政府采购活动前三年内，在经营活动中是否有重大违法记录进行审查。【说明：投标人参加政府采购活动前三年内，在经营活动中没有重大违法记录。】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auto"/>
                <w:sz w:val="20"/>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auto"/>
                <w:sz w:val="20"/>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未被列入失信被执行人、重大税收违法案件当事人名单、政府采购严重违法失信行为记录名单</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rPr>
            </w:pPr>
            <w:r>
              <w:rPr>
                <w:color w:val="auto"/>
                <w:sz w:val="20"/>
              </w:rPr>
              <w:t>1.</w:t>
            </w:r>
            <w:r>
              <w:rPr>
                <w:rFonts w:hint="eastAsia"/>
                <w:color w:val="auto"/>
                <w:sz w:val="20"/>
              </w:rPr>
              <w:t>投标人未列入失信被执行人、重大税收违法案件当事人名单、政府采购严重违法失信行为记录名单的书面声明材料。【说明：</w:t>
            </w:r>
            <w:r>
              <w:rPr>
                <w:rFonts w:hint="eastAsia" w:ascii="宋体" w:hAnsi="宋体"/>
                <w:color w:val="auto"/>
                <w:sz w:val="20"/>
                <w:szCs w:val="28"/>
              </w:rPr>
              <w:t>①</w:t>
            </w:r>
            <w:r>
              <w:rPr>
                <w:rFonts w:hint="eastAsia"/>
                <w:color w:val="auto"/>
                <w:sz w:val="20"/>
              </w:rPr>
              <w:t>投标人未列入失信被执行人、重大税收违法案件当事人名单、政府采购严重违法失信行为记录名单；</w:t>
            </w:r>
            <w:r>
              <w:rPr>
                <w:rFonts w:hint="eastAsia" w:ascii="宋体" w:hAnsi="宋体"/>
                <w:color w:val="auto"/>
                <w:sz w:val="20"/>
                <w:szCs w:val="28"/>
              </w:rPr>
              <w:t>②</w:t>
            </w:r>
            <w:r>
              <w:rPr>
                <w:rFonts w:hint="eastAsia"/>
                <w:color w:val="auto"/>
                <w:sz w:val="20"/>
              </w:rPr>
              <w:t>按第</w:t>
            </w:r>
            <w:r>
              <w:rPr>
                <w:color w:val="auto"/>
                <w:sz w:val="20"/>
              </w:rPr>
              <w:t>3</w:t>
            </w:r>
            <w:r>
              <w:rPr>
                <w:rFonts w:hint="eastAsia"/>
                <w:color w:val="auto"/>
                <w:sz w:val="20"/>
              </w:rPr>
              <w:t>章的内容及要求提供书面声明材料。】</w:t>
            </w:r>
          </w:p>
          <w:p>
            <w:pPr>
              <w:tabs>
                <w:tab w:val="left" w:pos="851"/>
              </w:tabs>
              <w:spacing w:line="360" w:lineRule="auto"/>
              <w:rPr>
                <w:color w:val="auto"/>
                <w:sz w:val="20"/>
              </w:rPr>
            </w:pPr>
            <w:r>
              <w:rPr>
                <w:color w:val="auto"/>
                <w:sz w:val="20"/>
              </w:rPr>
              <w:t xml:space="preserve">2. </w:t>
            </w:r>
            <w:r>
              <w:rPr>
                <w:rFonts w:hint="eastAsia"/>
                <w:color w:val="auto"/>
                <w:sz w:val="20"/>
              </w:rPr>
              <w:t>资格审查小组根据</w:t>
            </w:r>
            <w:r>
              <w:rPr>
                <w:color w:val="auto"/>
                <w:sz w:val="20"/>
              </w:rPr>
              <w:t>“</w:t>
            </w:r>
            <w:r>
              <w:rPr>
                <w:rFonts w:hint="eastAsia"/>
                <w:color w:val="auto"/>
                <w:sz w:val="20"/>
              </w:rPr>
              <w:t>信用中国</w:t>
            </w:r>
            <w:r>
              <w:rPr>
                <w:color w:val="auto"/>
                <w:sz w:val="20"/>
              </w:rPr>
              <w:t>”</w:t>
            </w:r>
            <w:r>
              <w:rPr>
                <w:rFonts w:hint="eastAsia"/>
                <w:color w:val="auto"/>
                <w:sz w:val="20"/>
              </w:rPr>
              <w:t>和</w:t>
            </w:r>
            <w:r>
              <w:rPr>
                <w:color w:val="auto"/>
                <w:sz w:val="20"/>
              </w:rPr>
              <w:t>“</w:t>
            </w:r>
            <w:r>
              <w:rPr>
                <w:rFonts w:hint="eastAsia"/>
                <w:color w:val="auto"/>
                <w:sz w:val="20"/>
              </w:rPr>
              <w:t>中国政府采购网</w:t>
            </w:r>
            <w:r>
              <w:rPr>
                <w:color w:val="auto"/>
                <w:sz w:val="20"/>
              </w:rPr>
              <w:t>”</w:t>
            </w:r>
            <w:r>
              <w:rPr>
                <w:rFonts w:hint="eastAsia"/>
                <w:color w:val="auto"/>
                <w:sz w:val="20"/>
              </w:rPr>
              <w:t>网站的查询结果，在资格审查期间对投标人在参加政府采购活动前三年内，在经营活动中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auto"/>
                <w:sz w:val="20"/>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auto"/>
                <w:sz w:val="20"/>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未处于被行政部门禁止参与政府采购活动的期限内</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投标人未处于被行政部门禁止参与政府采购活动的期限内。【说明：</w:t>
            </w:r>
            <w:r>
              <w:rPr>
                <w:rFonts w:hint="eastAsia" w:ascii="宋体" w:hAnsi="宋体"/>
                <w:color w:val="auto"/>
                <w:sz w:val="20"/>
                <w:szCs w:val="28"/>
              </w:rPr>
              <w:t>①</w:t>
            </w:r>
            <w:r>
              <w:rPr>
                <w:rFonts w:hint="eastAsia"/>
                <w:color w:val="auto"/>
                <w:sz w:val="20"/>
              </w:rPr>
              <w:t>按招标文件第</w:t>
            </w:r>
            <w:r>
              <w:rPr>
                <w:color w:val="auto"/>
                <w:sz w:val="20"/>
              </w:rPr>
              <w:t>3</w:t>
            </w:r>
            <w:r>
              <w:rPr>
                <w:rFonts w:hint="eastAsia"/>
                <w:color w:val="auto"/>
                <w:sz w:val="20"/>
              </w:rPr>
              <w:t>章的内容及要求提供书面声明材料</w:t>
            </w:r>
            <w:r>
              <w:rPr>
                <w:rFonts w:hint="eastAsia" w:ascii="宋体" w:hAnsi="宋体"/>
                <w:color w:val="auto"/>
                <w:sz w:val="20"/>
                <w:szCs w:val="28"/>
              </w:rPr>
              <w:t>；②供应商未处于被行政部门禁止参与政府采购活动的期限内。</w:t>
            </w:r>
            <w:r>
              <w:rPr>
                <w:rFonts w:hint="eastAsia"/>
                <w:color w:val="auto"/>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auto"/>
                <w:sz w:val="20"/>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auto"/>
                <w:sz w:val="20"/>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行贿犯罪记录</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在行贿犯罪信息查询期限内，投标人及其现任法定代表人、主要负责人没有行贿犯罪记录的书面声明材料。【说明：</w:t>
            </w:r>
            <w:r>
              <w:rPr>
                <w:rFonts w:hint="eastAsia" w:ascii="宋体" w:hAnsi="宋体"/>
                <w:color w:val="auto"/>
                <w:sz w:val="20"/>
                <w:szCs w:val="28"/>
              </w:rPr>
              <w:t>①</w:t>
            </w:r>
            <w:r>
              <w:rPr>
                <w:rFonts w:hint="eastAsia"/>
                <w:color w:val="auto"/>
                <w:sz w:val="20"/>
              </w:rPr>
              <w:t>按招标文件第</w:t>
            </w:r>
            <w:r>
              <w:rPr>
                <w:color w:val="auto"/>
                <w:sz w:val="20"/>
              </w:rPr>
              <w:t>3</w:t>
            </w:r>
            <w:r>
              <w:rPr>
                <w:rFonts w:hint="eastAsia"/>
                <w:color w:val="auto"/>
                <w:sz w:val="20"/>
              </w:rPr>
              <w:t>章的内容及要求提供书面声明材料，投标文件中不需提供中国裁判文书网（</w:t>
            </w:r>
            <w:r>
              <w:rPr>
                <w:color w:val="auto"/>
                <w:sz w:val="20"/>
              </w:rPr>
              <w:t>https://wenshu.court.gov.cn</w:t>
            </w:r>
            <w:r>
              <w:rPr>
                <w:rFonts w:hint="eastAsia"/>
                <w:color w:val="auto"/>
                <w:sz w:val="20"/>
              </w:rPr>
              <w:t>）查询结果的证明材料；</w:t>
            </w:r>
            <w:r>
              <w:rPr>
                <w:rFonts w:hint="eastAsia" w:ascii="宋体" w:hAnsi="宋体"/>
                <w:color w:val="auto"/>
                <w:sz w:val="20"/>
                <w:szCs w:val="28"/>
              </w:rPr>
              <w:t>②在行贿犯罪信息查询期限内，供应商及其现任法定代表人、主要负责人没有行贿犯罪记录</w:t>
            </w:r>
            <w:r>
              <w:rPr>
                <w:rFonts w:hint="eastAsia"/>
                <w:color w:val="auto"/>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color w:val="auto"/>
                <w:sz w:val="20"/>
              </w:rPr>
            </w:pPr>
          </w:p>
        </w:tc>
        <w:tc>
          <w:tcPr>
            <w:tcW w:w="700" w:type="dxa"/>
            <w:vMerge w:val="continue"/>
            <w:tcBorders>
              <w:left w:val="single" w:color="auto" w:sz="2" w:space="0"/>
              <w:bottom w:val="single" w:color="auto" w:sz="2" w:space="0"/>
              <w:right w:val="single" w:color="auto" w:sz="4" w:space="0"/>
            </w:tcBorders>
            <w:vAlign w:val="center"/>
          </w:tcPr>
          <w:p>
            <w:pPr>
              <w:tabs>
                <w:tab w:val="left" w:pos="851"/>
              </w:tabs>
              <w:spacing w:line="360" w:lineRule="auto"/>
              <w:rPr>
                <w:color w:val="auto"/>
                <w:sz w:val="20"/>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单位负责人为同一人或者存在直接控股、管理关系的不同供应商，不得参加同一项目的投标</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与投标人负责人为同一人或者存在直接控股、管理关系的相关供应商的书面声明材料。【说明：①按招标文件第</w:t>
            </w:r>
            <w:r>
              <w:rPr>
                <w:color w:val="auto"/>
                <w:sz w:val="20"/>
              </w:rPr>
              <w:t>3</w:t>
            </w:r>
            <w:r>
              <w:rPr>
                <w:rFonts w:hint="eastAsia"/>
                <w:color w:val="auto"/>
                <w:sz w:val="20"/>
              </w:rPr>
              <w:t>章的内容及要求提供书面声明材料；②参加投标的供应商中无与投标人的负责人为同一人或者存在直接控股、管理关系的供应商。】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restart"/>
            <w:tcBorders>
              <w:left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3</w:t>
            </w:r>
          </w:p>
        </w:tc>
        <w:tc>
          <w:tcPr>
            <w:tcW w:w="700" w:type="dxa"/>
            <w:vMerge w:val="restart"/>
            <w:tcBorders>
              <w:left w:val="single" w:color="auto" w:sz="2" w:space="0"/>
              <w:right w:val="single" w:color="auto" w:sz="4" w:space="0"/>
            </w:tcBorders>
            <w:vAlign w:val="center"/>
          </w:tcPr>
          <w:p>
            <w:pPr>
              <w:tabs>
                <w:tab w:val="left" w:pos="851"/>
              </w:tabs>
              <w:spacing w:line="360" w:lineRule="auto"/>
              <w:rPr>
                <w:color w:val="auto"/>
                <w:sz w:val="20"/>
              </w:rPr>
            </w:pPr>
            <w:r>
              <w:rPr>
                <w:rFonts w:hint="eastAsia"/>
                <w:color w:val="auto"/>
                <w:sz w:val="20"/>
              </w:rPr>
              <w:t>其他</w:t>
            </w: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具有履行合同所必须的设备和专业技术能力</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采购人对投标人履行合同所必须的设备和专业技术能力无其他特殊要求，投标人具有有效的营业执照或法人证书</w:t>
            </w:r>
            <w:r>
              <w:rPr>
                <w:rFonts w:hint="eastAsia" w:ascii="宋体" w:hAnsi="宋体"/>
                <w:color w:val="auto"/>
                <w:sz w:val="20"/>
                <w:szCs w:val="28"/>
              </w:rPr>
              <w:t>即可，可不提供其他证明材料</w:t>
            </w:r>
            <w:r>
              <w:rPr>
                <w:rFonts w:hint="eastAsia"/>
                <w:color w:val="auto"/>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auto"/>
                <w:sz w:val="20"/>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auto"/>
                <w:sz w:val="20"/>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法律、行政法规规定的其他条件</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采购人对法律、行政法规规定的其他条件无其他特殊要求，投标人具有有效的营业执照或法人证书</w:t>
            </w:r>
            <w:r>
              <w:rPr>
                <w:rFonts w:hint="eastAsia" w:ascii="宋体" w:hAnsi="宋体"/>
                <w:color w:val="auto"/>
                <w:sz w:val="20"/>
                <w:szCs w:val="28"/>
              </w:rPr>
              <w:t>即可，可不提供其他证明材料</w:t>
            </w:r>
            <w:r>
              <w:rPr>
                <w:rFonts w:hint="eastAsia"/>
                <w:color w:val="auto"/>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auto"/>
                <w:sz w:val="20"/>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auto"/>
                <w:sz w:val="20"/>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不属于其他国家相关法律法规规定的禁止参加投标的供应商</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rPr>
            </w:pPr>
            <w:r>
              <w:rPr>
                <w:color w:val="auto"/>
                <w:sz w:val="20"/>
              </w:rPr>
              <w:t>1</w:t>
            </w:r>
            <w:r>
              <w:rPr>
                <w:rFonts w:hint="eastAsia"/>
                <w:color w:val="auto"/>
                <w:sz w:val="20"/>
              </w:rPr>
              <w:t>、根据招标文件的要求不属于禁止参加投标或投标无效的供应商；</w:t>
            </w:r>
          </w:p>
          <w:p>
            <w:pPr>
              <w:tabs>
                <w:tab w:val="left" w:pos="851"/>
              </w:tabs>
              <w:spacing w:line="360" w:lineRule="auto"/>
              <w:rPr>
                <w:color w:val="auto"/>
                <w:sz w:val="20"/>
              </w:rPr>
            </w:pPr>
            <w:r>
              <w:rPr>
                <w:color w:val="auto"/>
                <w:sz w:val="20"/>
              </w:rPr>
              <w:t>2</w:t>
            </w:r>
            <w:r>
              <w:rPr>
                <w:rFonts w:hint="eastAsia"/>
                <w:color w:val="auto"/>
                <w:sz w:val="20"/>
              </w:rPr>
              <w:t>、资格审查小组未发现或者未知晓投标人存在属于国家相关法律法规规定的禁止参加投标或投标无效的供应商。</w:t>
            </w:r>
          </w:p>
          <w:p>
            <w:pPr>
              <w:tabs>
                <w:tab w:val="left" w:pos="851"/>
              </w:tabs>
              <w:spacing w:line="360" w:lineRule="auto"/>
              <w:rPr>
                <w:color w:val="auto"/>
                <w:sz w:val="20"/>
              </w:rPr>
            </w:pPr>
            <w:r>
              <w:rPr>
                <w:rFonts w:hint="eastAsia"/>
                <w:color w:val="auto"/>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auto"/>
                <w:sz w:val="20"/>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auto"/>
                <w:sz w:val="20"/>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联合体投标</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非联合体投标。【说明：无须提供证明材料，上传空白页即可，不对本项上传的材料作资格审查】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auto"/>
                <w:sz w:val="20"/>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auto"/>
                <w:sz w:val="20"/>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资质要求</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auto"/>
                <w:sz w:val="20"/>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auto"/>
                <w:sz w:val="20"/>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投标保证金</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auto"/>
                <w:sz w:val="20"/>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auto"/>
                <w:sz w:val="20"/>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投标文件解密情况</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rPr>
            </w:pPr>
            <w:r>
              <w:rPr>
                <w:rFonts w:hint="eastAsia" w:ascii="宋体" w:hAnsi="宋体"/>
                <w:color w:val="auto"/>
                <w:sz w:val="20"/>
                <w:szCs w:val="28"/>
              </w:rPr>
              <w:t>除因断电、断网、系统故障或其他不可抗力等因素，导致系统无法使用外，投标文件已成功解密。</w:t>
            </w:r>
            <w:r>
              <w:rPr>
                <w:rFonts w:hint="eastAsia"/>
                <w:color w:val="auto"/>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auto"/>
                <w:sz w:val="20"/>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auto"/>
                <w:sz w:val="20"/>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投标文件签章</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投标文件加盖有投标人（法定名称）电子签章。【说明：无须提供证明材料，上传空白页即可，不对本项上传的材料作资格审查】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auto"/>
                <w:sz w:val="20"/>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auto"/>
                <w:sz w:val="20"/>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投标文件资格响应</w:t>
            </w:r>
            <w:r>
              <w:rPr>
                <w:color w:val="auto"/>
                <w:sz w:val="20"/>
              </w:rPr>
              <w:t>文件</w:t>
            </w:r>
            <w:r>
              <w:rPr>
                <w:rFonts w:hint="eastAsia"/>
                <w:color w:val="auto"/>
                <w:sz w:val="20"/>
              </w:rPr>
              <w:t>组成</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符合招标文件</w:t>
            </w:r>
            <w:r>
              <w:rPr>
                <w:color w:val="auto"/>
                <w:sz w:val="20"/>
              </w:rPr>
              <w:t>“2.4.6</w:t>
            </w:r>
            <w:r>
              <w:rPr>
                <w:rFonts w:hint="eastAsia"/>
                <w:color w:val="auto"/>
                <w:sz w:val="20"/>
              </w:rPr>
              <w:t>投标文件的组成</w:t>
            </w:r>
            <w:r>
              <w:rPr>
                <w:color w:val="auto"/>
                <w:sz w:val="20"/>
              </w:rPr>
              <w:t>”</w:t>
            </w:r>
            <w:r>
              <w:rPr>
                <w:rFonts w:hint="eastAsia"/>
                <w:color w:val="auto"/>
                <w:sz w:val="20"/>
              </w:rPr>
              <w:t>规定要求。【说明：无须提供证明材料，上传空白页即可，不对本项上传的材料作资格审查】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auto"/>
                <w:sz w:val="20"/>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auto"/>
                <w:sz w:val="20"/>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投标文件资格响应文件的语言</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语言符合招标文件的要求。【说明：无须提供证明材料，上传空白页即可，不对本项上传的材料作资格审查】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rPr>
            </w:pPr>
            <w:r>
              <w:rPr>
                <w:color w:val="auto"/>
                <w:sz w:val="20"/>
              </w:rPr>
              <w:t>4</w:t>
            </w:r>
          </w:p>
        </w:tc>
        <w:tc>
          <w:tcPr>
            <w:tcW w:w="1897"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具有健全的财务会计制度的证明材料</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rPr>
            </w:pPr>
            <w:r>
              <w:rPr>
                <w:color w:val="auto"/>
                <w:sz w:val="20"/>
              </w:rPr>
              <w:t>20</w:t>
            </w:r>
            <w:r>
              <w:rPr>
                <w:rFonts w:hint="eastAsia"/>
                <w:color w:val="auto"/>
                <w:sz w:val="20"/>
                <w:lang w:val="en-US" w:eastAsia="zh-CN"/>
              </w:rPr>
              <w:t>20年</w:t>
            </w:r>
            <w:r>
              <w:rPr>
                <w:rFonts w:hint="eastAsia"/>
                <w:color w:val="auto"/>
                <w:sz w:val="20"/>
              </w:rPr>
              <w:t>会计年度资产负债表复印件。【说明：投标人成立时间至投标截止时间止不足一年的，提供成立后任意时段的资产负债表复印件。】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rPr>
            </w:pPr>
            <w:r>
              <w:rPr>
                <w:color w:val="auto"/>
                <w:sz w:val="20"/>
              </w:rPr>
              <w:t>5</w:t>
            </w:r>
          </w:p>
        </w:tc>
        <w:tc>
          <w:tcPr>
            <w:tcW w:w="1897"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缴纳社会保障资金的证明材料</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投标人缴纳</w:t>
            </w:r>
            <w:r>
              <w:rPr>
                <w:color w:val="auto"/>
                <w:sz w:val="20"/>
              </w:rPr>
              <w:t>20</w:t>
            </w:r>
            <w:r>
              <w:rPr>
                <w:rFonts w:hint="eastAsia"/>
                <w:color w:val="auto"/>
                <w:sz w:val="20"/>
                <w:lang w:val="en-US" w:eastAsia="zh-CN"/>
              </w:rPr>
              <w:t>20</w:t>
            </w:r>
            <w:r>
              <w:rPr>
                <w:rFonts w:hint="eastAsia"/>
                <w:color w:val="auto"/>
                <w:sz w:val="20"/>
              </w:rPr>
              <w:t>年</w:t>
            </w:r>
            <w:r>
              <w:rPr>
                <w:rFonts w:hint="eastAsia"/>
                <w:color w:val="auto"/>
                <w:sz w:val="20"/>
                <w:lang w:eastAsia="zh-CN"/>
              </w:rPr>
              <w:t>以来</w:t>
            </w:r>
            <w:r>
              <w:rPr>
                <w:rFonts w:hint="eastAsia"/>
                <w:color w:val="auto"/>
                <w:sz w:val="20"/>
              </w:rPr>
              <w:t>任意时段的社保的银行电子回单或行政部门出具的社保缴纳证明材料复印件。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rPr>
            </w:pPr>
            <w:r>
              <w:rPr>
                <w:color w:val="auto"/>
                <w:sz w:val="20"/>
              </w:rPr>
              <w:t>6</w:t>
            </w:r>
          </w:p>
        </w:tc>
        <w:tc>
          <w:tcPr>
            <w:tcW w:w="1897"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缴纳税收的证明材料</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rPr>
            </w:pPr>
            <w:r>
              <w:rPr>
                <w:rFonts w:hint="eastAsia"/>
                <w:color w:val="auto"/>
                <w:sz w:val="20"/>
              </w:rPr>
              <w:t>投标人缴纳</w:t>
            </w:r>
            <w:r>
              <w:rPr>
                <w:color w:val="auto"/>
                <w:sz w:val="20"/>
              </w:rPr>
              <w:t>20</w:t>
            </w:r>
            <w:r>
              <w:rPr>
                <w:rFonts w:hint="eastAsia"/>
                <w:color w:val="auto"/>
                <w:sz w:val="20"/>
                <w:lang w:val="en-US" w:eastAsia="zh-CN"/>
              </w:rPr>
              <w:t>20</w:t>
            </w:r>
            <w:r>
              <w:rPr>
                <w:rFonts w:hint="eastAsia"/>
                <w:color w:val="auto"/>
                <w:sz w:val="20"/>
              </w:rPr>
              <w:t>年</w:t>
            </w:r>
            <w:r>
              <w:rPr>
                <w:rFonts w:hint="eastAsia"/>
                <w:color w:val="auto"/>
                <w:sz w:val="20"/>
                <w:lang w:eastAsia="zh-CN"/>
              </w:rPr>
              <w:t>以来</w:t>
            </w:r>
            <w:r>
              <w:rPr>
                <w:rFonts w:hint="eastAsia"/>
                <w:color w:val="auto"/>
                <w:sz w:val="20"/>
              </w:rPr>
              <w:t>任意时段的税收的银行电子回单或者行政部门出具的纳税证明或完税证明的复印件。</w:t>
            </w:r>
          </w:p>
        </w:tc>
      </w:tr>
    </w:tbl>
    <w:p>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spacing w:line="560" w:lineRule="exact"/>
        <w:ind w:firstLine="565" w:firstLineChars="202"/>
        <w:rPr>
          <w:rFonts w:ascii="宋体" w:hAnsi="宋体"/>
          <w:color w:val="auto"/>
          <w:sz w:val="28"/>
          <w:szCs w:val="28"/>
        </w:rPr>
      </w:pPr>
      <w:r>
        <w:rPr>
          <w:rFonts w:hint="eastAsia" w:ascii="宋体" w:hAnsi="宋体"/>
          <w:color w:val="auto"/>
          <w:sz w:val="28"/>
          <w:szCs w:val="28"/>
        </w:rPr>
        <w:t>二、“信用中国”和“中国政府采购网”网站查询结果，将以纸质截图或将截图保存至电子介质的形式留存。</w:t>
      </w:r>
    </w:p>
    <w:p>
      <w:pPr>
        <w:spacing w:line="560" w:lineRule="exact"/>
        <w:ind w:firstLine="565" w:firstLineChars="202"/>
        <w:rPr>
          <w:rFonts w:ascii="宋体" w:hAnsi="宋体"/>
          <w:color w:val="auto"/>
          <w:sz w:val="28"/>
          <w:szCs w:val="28"/>
        </w:rPr>
      </w:pPr>
      <w:r>
        <w:rPr>
          <w:rFonts w:hint="eastAsia" w:ascii="宋体" w:hAnsi="宋体"/>
          <w:color w:val="auto"/>
          <w:sz w:val="28"/>
          <w:szCs w:val="28"/>
        </w:rPr>
        <w:t>三、投标人的投标文件资格性审查时被判定为无效的，市公资交易中心将通知投标人（以短信、现场公示、电话、“政府采购云平台”等任一方式）。投标人如对资格审查结论有异议的，应及时向市公资交易中心反馈意见。市公资交易中心将及时告知资格审查小组。（说明：无论投标人是否收到通知或提供反馈意见，均不影响资格审查和评标工作，且市公资交易中心对此将不承担任何的责任。投标人对资格审查结论有异议的，其反馈意见仅限于资格审查小组对资格审查结论的正确性进行复核，避免出现审查错误。）</w:t>
      </w:r>
    </w:p>
    <w:p>
      <w:pPr>
        <w:ind w:firstLine="565" w:firstLineChars="202"/>
        <w:rPr>
          <w:color w:val="auto"/>
        </w:rPr>
      </w:pPr>
      <w:r>
        <w:rPr>
          <w:rFonts w:hint="eastAsia" w:ascii="宋体" w:hAnsi="宋体"/>
          <w:color w:val="auto"/>
          <w:sz w:val="28"/>
          <w:szCs w:val="28"/>
        </w:rPr>
        <w:t>四、通过资格性审查的供应商＜3名，采购失败。</w:t>
      </w:r>
    </w:p>
    <w:p>
      <w:pPr>
        <w:rPr>
          <w:color w:val="auto"/>
        </w:rPr>
      </w:pPr>
    </w:p>
    <w:p>
      <w:pPr>
        <w:rPr>
          <w:color w:val="auto"/>
        </w:rPr>
      </w:pPr>
    </w:p>
    <w:p>
      <w:pPr>
        <w:rPr>
          <w:color w:val="auto"/>
        </w:rPr>
      </w:pPr>
    </w:p>
    <w:p>
      <w:pPr>
        <w:rPr>
          <w:color w:val="auto"/>
        </w:rPr>
      </w:pPr>
      <w:r>
        <w:rPr>
          <w:color w:val="auto"/>
        </w:rPr>
        <w:br w:type="page"/>
      </w:r>
    </w:p>
    <w:p>
      <w:pPr>
        <w:rPr>
          <w:color w:val="auto"/>
        </w:rPr>
      </w:pPr>
    </w:p>
    <w:p>
      <w:pPr>
        <w:pStyle w:val="3"/>
        <w:numPr>
          <w:ilvl w:val="0"/>
          <w:numId w:val="0"/>
        </w:numPr>
        <w:spacing w:before="0" w:after="0" w:line="360" w:lineRule="auto"/>
        <w:ind w:leftChars="0"/>
        <w:jc w:val="center"/>
        <w:rPr>
          <w:color w:val="auto"/>
        </w:rPr>
      </w:pPr>
      <w:bookmarkStart w:id="253" w:name="_Toc16118"/>
      <w:bookmarkStart w:id="254" w:name="_Toc18121"/>
      <w:bookmarkStart w:id="255" w:name="_Toc65573704"/>
      <w:bookmarkStart w:id="256" w:name="_Toc11596"/>
      <w:bookmarkStart w:id="257" w:name="_Toc29184"/>
      <w:r>
        <w:rPr>
          <w:rFonts w:hint="eastAsia"/>
          <w:color w:val="auto"/>
          <w:lang w:eastAsia="zh-CN"/>
        </w:rPr>
        <w:t>第</w:t>
      </w:r>
      <w:r>
        <w:rPr>
          <w:rFonts w:hint="eastAsia"/>
          <w:color w:val="auto"/>
          <w:lang w:val="en-US" w:eastAsia="zh-CN"/>
        </w:rPr>
        <w:t>6章</w:t>
      </w:r>
      <w:r>
        <w:rPr>
          <w:rFonts w:hint="eastAsia"/>
          <w:color w:val="auto"/>
        </w:rPr>
        <w:t>评标办法</w:t>
      </w:r>
      <w:bookmarkEnd w:id="253"/>
      <w:bookmarkEnd w:id="254"/>
      <w:bookmarkEnd w:id="255"/>
      <w:bookmarkEnd w:id="256"/>
      <w:bookmarkEnd w:id="257"/>
      <w:bookmarkStart w:id="258" w:name="_Toc183582280"/>
      <w:bookmarkStart w:id="259" w:name="_Toc217446097"/>
      <w:bookmarkStart w:id="260" w:name="_Toc183682415"/>
      <w:bookmarkStart w:id="261" w:name="_Toc208849007"/>
    </w:p>
    <w:p>
      <w:pPr>
        <w:pStyle w:val="4"/>
        <w:numPr>
          <w:ilvl w:val="1"/>
          <w:numId w:val="4"/>
        </w:numPr>
        <w:spacing w:before="0" w:after="0" w:line="560" w:lineRule="exact"/>
        <w:ind w:left="2269" w:hanging="2269"/>
        <w:rPr>
          <w:color w:val="auto"/>
        </w:rPr>
      </w:pPr>
      <w:bookmarkStart w:id="262" w:name="_Toc30790"/>
      <w:bookmarkStart w:id="263" w:name="_Toc10788"/>
      <w:bookmarkStart w:id="264" w:name="_Toc316292248"/>
      <w:bookmarkStart w:id="265" w:name="_Toc13609"/>
      <w:bookmarkStart w:id="266" w:name="_Toc65573705"/>
      <w:bookmarkStart w:id="267" w:name="_Toc315871642"/>
      <w:bookmarkStart w:id="268" w:name="_Toc12005"/>
      <w:r>
        <w:rPr>
          <w:rFonts w:hint="eastAsia"/>
          <w:color w:val="auto"/>
        </w:rPr>
        <w:t>总则</w:t>
      </w:r>
      <w:bookmarkEnd w:id="258"/>
      <w:bookmarkEnd w:id="259"/>
      <w:bookmarkEnd w:id="260"/>
      <w:bookmarkEnd w:id="261"/>
      <w:bookmarkEnd w:id="262"/>
      <w:bookmarkEnd w:id="263"/>
      <w:bookmarkEnd w:id="264"/>
      <w:bookmarkEnd w:id="265"/>
      <w:bookmarkEnd w:id="266"/>
      <w:bookmarkEnd w:id="267"/>
      <w:bookmarkEnd w:id="268"/>
    </w:p>
    <w:p>
      <w:pPr>
        <w:numPr>
          <w:ilvl w:val="0"/>
          <w:numId w:val="36"/>
        </w:numPr>
        <w:tabs>
          <w:tab w:val="left" w:pos="1134"/>
        </w:tabs>
        <w:spacing w:after="200" w:line="560" w:lineRule="exact"/>
        <w:ind w:left="0" w:firstLine="565" w:firstLineChars="202"/>
        <w:jc w:val="left"/>
        <w:rPr>
          <w:rFonts w:ascii="宋体" w:hAnsi="宋体"/>
          <w:color w:val="auto"/>
          <w:sz w:val="28"/>
          <w:szCs w:val="28"/>
        </w:rPr>
      </w:pPr>
      <w:r>
        <w:rPr>
          <w:rFonts w:hint="eastAsia" w:ascii="宋体" w:hAnsi="宋体"/>
          <w:color w:val="auto"/>
          <w:sz w:val="28"/>
          <w:szCs w:val="28"/>
        </w:rPr>
        <w:t>根据《中华人民共和国政府采购法》、《中华人民共和国政府采购法实施条例》和《政府采购货物和服务招标投标管理办法》等法律规章，结合采购项目特点制定本评标办法。</w:t>
      </w:r>
    </w:p>
    <w:p>
      <w:pPr>
        <w:numPr>
          <w:ilvl w:val="0"/>
          <w:numId w:val="36"/>
        </w:numPr>
        <w:tabs>
          <w:tab w:val="left" w:pos="1134"/>
        </w:tabs>
        <w:spacing w:after="200" w:line="560" w:lineRule="exact"/>
        <w:ind w:left="0" w:firstLine="565" w:firstLineChars="202"/>
        <w:jc w:val="left"/>
        <w:rPr>
          <w:rFonts w:ascii="宋体" w:hAnsi="宋体"/>
          <w:color w:val="auto"/>
          <w:sz w:val="28"/>
          <w:szCs w:val="28"/>
        </w:rPr>
      </w:pPr>
      <w:r>
        <w:rPr>
          <w:rFonts w:hint="eastAsia" w:ascii="宋体" w:hAnsi="宋体"/>
          <w:color w:val="auto"/>
          <w:sz w:val="28"/>
          <w:szCs w:val="28"/>
        </w:rPr>
        <w:t>评标工作由市公资交易中心负责组织，具体评标事务由采购人或市公资交易中心依法组建的评标委员会负责。评标委员会由采购人代表和评审专家组成。</w:t>
      </w:r>
    </w:p>
    <w:p>
      <w:pPr>
        <w:numPr>
          <w:ilvl w:val="0"/>
          <w:numId w:val="36"/>
        </w:numPr>
        <w:tabs>
          <w:tab w:val="left" w:pos="1134"/>
        </w:tabs>
        <w:spacing w:after="200" w:line="560" w:lineRule="exact"/>
        <w:ind w:left="0" w:firstLine="565" w:firstLineChars="202"/>
        <w:jc w:val="left"/>
        <w:rPr>
          <w:rFonts w:ascii="宋体" w:hAnsi="宋体"/>
          <w:color w:val="auto"/>
          <w:sz w:val="28"/>
          <w:szCs w:val="28"/>
        </w:rPr>
      </w:pPr>
      <w:r>
        <w:rPr>
          <w:rFonts w:hint="eastAsia" w:ascii="宋体" w:hAnsi="宋体"/>
          <w:color w:val="auto"/>
          <w:sz w:val="28"/>
          <w:szCs w:val="28"/>
        </w:rPr>
        <w:t>评标工作应遵循公平、公正、科学及择优的原则，并以相同的评标程序和标准对待所有的投标人。</w:t>
      </w:r>
    </w:p>
    <w:p>
      <w:pPr>
        <w:numPr>
          <w:ilvl w:val="0"/>
          <w:numId w:val="36"/>
        </w:numPr>
        <w:tabs>
          <w:tab w:val="left" w:pos="1134"/>
        </w:tabs>
        <w:spacing w:after="200" w:line="560" w:lineRule="exact"/>
        <w:ind w:left="0" w:firstLine="565" w:firstLineChars="202"/>
        <w:jc w:val="left"/>
        <w:rPr>
          <w:rFonts w:ascii="宋体" w:hAnsi="宋体"/>
          <w:color w:val="auto"/>
          <w:sz w:val="28"/>
          <w:szCs w:val="28"/>
        </w:rPr>
      </w:pPr>
      <w:r>
        <w:rPr>
          <w:rFonts w:hint="eastAsia" w:ascii="宋体" w:hAnsi="宋体"/>
          <w:color w:val="auto"/>
          <w:sz w:val="28"/>
          <w:szCs w:val="28"/>
        </w:rPr>
        <w:t>评标委员会按照招标文件规定的评标程序、评标方法和标准进行独立评审，并独立履行下列职责：</w:t>
      </w:r>
    </w:p>
    <w:p>
      <w:pPr>
        <w:numPr>
          <w:ilvl w:val="1"/>
          <w:numId w:val="37"/>
        </w:numPr>
        <w:spacing w:after="200" w:line="560" w:lineRule="exact"/>
        <w:ind w:left="0" w:firstLine="567"/>
        <w:rPr>
          <w:rFonts w:ascii="宋体" w:hAnsi="宋体"/>
          <w:color w:val="auto"/>
          <w:sz w:val="28"/>
          <w:szCs w:val="28"/>
        </w:rPr>
      </w:pPr>
      <w:r>
        <w:rPr>
          <w:rFonts w:hint="eastAsia" w:ascii="宋体" w:hAnsi="宋体"/>
          <w:color w:val="auto"/>
          <w:sz w:val="28"/>
          <w:szCs w:val="28"/>
        </w:rPr>
        <w:t>熟悉和理解招标文件；</w:t>
      </w:r>
    </w:p>
    <w:p>
      <w:pPr>
        <w:numPr>
          <w:ilvl w:val="1"/>
          <w:numId w:val="37"/>
        </w:numPr>
        <w:spacing w:after="200" w:line="560" w:lineRule="exact"/>
        <w:ind w:left="0" w:firstLine="567"/>
        <w:rPr>
          <w:rFonts w:ascii="宋体" w:hAnsi="宋体"/>
          <w:color w:val="auto"/>
          <w:sz w:val="28"/>
          <w:szCs w:val="28"/>
        </w:rPr>
      </w:pPr>
      <w:r>
        <w:rPr>
          <w:rFonts w:hint="eastAsia" w:ascii="宋体" w:hAnsi="宋体"/>
          <w:color w:val="auto"/>
          <w:sz w:val="28"/>
          <w:szCs w:val="28"/>
        </w:rPr>
        <w:t>审查、评价投标文件是否符合招标文件的商务、技术等实质性要求；</w:t>
      </w:r>
    </w:p>
    <w:p>
      <w:pPr>
        <w:numPr>
          <w:ilvl w:val="1"/>
          <w:numId w:val="37"/>
        </w:numPr>
        <w:spacing w:after="200" w:line="560" w:lineRule="exact"/>
        <w:ind w:left="0" w:firstLine="567"/>
        <w:rPr>
          <w:rFonts w:ascii="宋体" w:hAnsi="宋体"/>
          <w:color w:val="auto"/>
          <w:sz w:val="28"/>
          <w:szCs w:val="28"/>
        </w:rPr>
      </w:pPr>
      <w:r>
        <w:rPr>
          <w:rFonts w:hint="eastAsia" w:ascii="宋体" w:hAnsi="宋体"/>
          <w:color w:val="auto"/>
          <w:sz w:val="28"/>
          <w:szCs w:val="28"/>
        </w:rPr>
        <w:t>对投标文件进行比较和评价；</w:t>
      </w:r>
    </w:p>
    <w:p>
      <w:pPr>
        <w:numPr>
          <w:ilvl w:val="1"/>
          <w:numId w:val="37"/>
        </w:numPr>
        <w:spacing w:after="200" w:line="560" w:lineRule="exact"/>
        <w:ind w:left="0" w:firstLine="567"/>
        <w:rPr>
          <w:rFonts w:ascii="宋体" w:hAnsi="宋体"/>
          <w:color w:val="auto"/>
          <w:sz w:val="28"/>
          <w:szCs w:val="28"/>
        </w:rPr>
      </w:pPr>
      <w:r>
        <w:rPr>
          <w:rFonts w:hint="eastAsia" w:ascii="宋体" w:hAnsi="宋体"/>
          <w:color w:val="auto"/>
          <w:sz w:val="28"/>
          <w:szCs w:val="28"/>
        </w:rPr>
        <w:t>根据需要要求采购人对招标文件作出解释；根据需要要求投标人对投标文件有关事项作出解释或者澄清；</w:t>
      </w:r>
    </w:p>
    <w:p>
      <w:pPr>
        <w:numPr>
          <w:ilvl w:val="1"/>
          <w:numId w:val="37"/>
        </w:numPr>
        <w:spacing w:after="200" w:line="560" w:lineRule="exact"/>
        <w:ind w:left="0" w:firstLine="567"/>
        <w:rPr>
          <w:rFonts w:ascii="宋体" w:hAnsi="宋体"/>
          <w:color w:val="auto"/>
          <w:sz w:val="28"/>
          <w:szCs w:val="28"/>
        </w:rPr>
      </w:pPr>
      <w:r>
        <w:rPr>
          <w:rFonts w:hint="eastAsia" w:ascii="宋体" w:hAnsi="宋体"/>
          <w:color w:val="auto"/>
          <w:sz w:val="28"/>
          <w:szCs w:val="28"/>
        </w:rPr>
        <w:t>确定中标候选人名单，以及根据采购人委托直接确定中标人；</w:t>
      </w:r>
    </w:p>
    <w:p>
      <w:pPr>
        <w:numPr>
          <w:ilvl w:val="1"/>
          <w:numId w:val="37"/>
        </w:numPr>
        <w:spacing w:after="200" w:line="560" w:lineRule="exact"/>
        <w:ind w:left="0" w:firstLine="567"/>
        <w:rPr>
          <w:rFonts w:ascii="宋体" w:hAnsi="宋体"/>
          <w:color w:val="auto"/>
          <w:sz w:val="28"/>
          <w:szCs w:val="28"/>
        </w:rPr>
      </w:pPr>
      <w:r>
        <w:rPr>
          <w:rFonts w:hint="eastAsia" w:ascii="宋体" w:hAnsi="宋体"/>
          <w:color w:val="auto"/>
          <w:sz w:val="28"/>
          <w:szCs w:val="28"/>
        </w:rPr>
        <w:t>起草评标报告并进行签署；</w:t>
      </w:r>
    </w:p>
    <w:p>
      <w:pPr>
        <w:numPr>
          <w:ilvl w:val="1"/>
          <w:numId w:val="37"/>
        </w:numPr>
        <w:spacing w:after="200" w:line="560" w:lineRule="exact"/>
        <w:ind w:left="0" w:firstLine="567"/>
        <w:rPr>
          <w:rFonts w:ascii="宋体" w:hAnsi="宋体"/>
          <w:color w:val="auto"/>
          <w:sz w:val="28"/>
          <w:szCs w:val="28"/>
        </w:rPr>
      </w:pPr>
      <w:r>
        <w:rPr>
          <w:rFonts w:hint="eastAsia" w:ascii="宋体" w:hAnsi="宋体"/>
          <w:color w:val="auto"/>
          <w:sz w:val="28"/>
          <w:szCs w:val="28"/>
        </w:rPr>
        <w:t>向采购人、市公资交易中心或者财政、监察等有关部门报告或举报非法干预评标工作的行为；</w:t>
      </w:r>
    </w:p>
    <w:p>
      <w:pPr>
        <w:numPr>
          <w:ilvl w:val="1"/>
          <w:numId w:val="37"/>
        </w:numPr>
        <w:spacing w:after="200" w:line="560" w:lineRule="exact"/>
        <w:ind w:left="0" w:firstLine="567"/>
        <w:rPr>
          <w:rFonts w:ascii="宋体" w:hAnsi="宋体"/>
          <w:color w:val="auto"/>
          <w:sz w:val="28"/>
          <w:szCs w:val="28"/>
        </w:rPr>
      </w:pPr>
      <w:r>
        <w:rPr>
          <w:rFonts w:hint="eastAsia" w:ascii="宋体" w:hAnsi="宋体"/>
          <w:color w:val="auto"/>
          <w:sz w:val="28"/>
          <w:szCs w:val="28"/>
        </w:rPr>
        <w:t>向采购人、</w:t>
      </w:r>
      <w:r>
        <w:rPr>
          <w:rFonts w:hint="eastAsia" w:cs="Arial"/>
          <w:color w:val="auto"/>
          <w:sz w:val="28"/>
          <w:szCs w:val="28"/>
        </w:rPr>
        <w:t>市公资交易中心</w:t>
      </w:r>
      <w:r>
        <w:rPr>
          <w:rFonts w:hint="eastAsia" w:ascii="宋体" w:hAnsi="宋体"/>
          <w:color w:val="auto"/>
          <w:sz w:val="28"/>
          <w:szCs w:val="28"/>
        </w:rPr>
        <w:t>或者有关部门报告评标中发现的违法行为。</w:t>
      </w:r>
    </w:p>
    <w:p>
      <w:pPr>
        <w:numPr>
          <w:ilvl w:val="1"/>
          <w:numId w:val="37"/>
        </w:numPr>
        <w:spacing w:after="200" w:line="560" w:lineRule="exact"/>
        <w:ind w:left="0" w:firstLine="567"/>
        <w:rPr>
          <w:rFonts w:ascii="宋体" w:hAnsi="宋体"/>
          <w:color w:val="auto"/>
          <w:sz w:val="28"/>
          <w:szCs w:val="28"/>
        </w:rPr>
      </w:pPr>
      <w:r>
        <w:rPr>
          <w:rFonts w:hint="eastAsia" w:ascii="宋体" w:hAnsi="宋体"/>
          <w:color w:val="auto"/>
          <w:sz w:val="28"/>
          <w:szCs w:val="28"/>
        </w:rPr>
        <w:t>法律、法规和规章规定的其他职责。</w:t>
      </w:r>
    </w:p>
    <w:p>
      <w:pPr>
        <w:numPr>
          <w:ilvl w:val="0"/>
          <w:numId w:val="36"/>
        </w:numPr>
        <w:tabs>
          <w:tab w:val="left" w:pos="1134"/>
        </w:tabs>
        <w:spacing w:after="200" w:line="560" w:lineRule="exact"/>
        <w:ind w:left="0" w:firstLine="565" w:firstLineChars="202"/>
        <w:rPr>
          <w:rFonts w:ascii="宋体" w:hAnsi="宋体"/>
          <w:color w:val="auto"/>
          <w:sz w:val="28"/>
          <w:szCs w:val="28"/>
        </w:rPr>
      </w:pPr>
      <w:r>
        <w:rPr>
          <w:rFonts w:hint="eastAsia" w:ascii="宋体" w:hAnsi="宋体"/>
          <w:color w:val="auto"/>
          <w:sz w:val="28"/>
          <w:szCs w:val="28"/>
        </w:rPr>
        <w:t>评标过程独立、保密。投标人非法干预评标过程的行为将导致其投标文件作为无效处理。</w:t>
      </w:r>
    </w:p>
    <w:p>
      <w:pPr>
        <w:numPr>
          <w:ilvl w:val="0"/>
          <w:numId w:val="36"/>
        </w:numPr>
        <w:tabs>
          <w:tab w:val="left" w:pos="1134"/>
        </w:tabs>
        <w:spacing w:after="200" w:line="560" w:lineRule="exact"/>
        <w:ind w:left="0" w:firstLine="565" w:firstLineChars="202"/>
        <w:rPr>
          <w:rFonts w:ascii="宋体" w:hAnsi="宋体"/>
          <w:color w:val="auto"/>
          <w:sz w:val="28"/>
          <w:szCs w:val="28"/>
        </w:rPr>
      </w:pPr>
      <w:r>
        <w:rPr>
          <w:rFonts w:hint="eastAsia" w:ascii="宋体" w:hAnsi="宋体"/>
          <w:color w:val="auto"/>
          <w:sz w:val="28"/>
          <w:szCs w:val="28"/>
        </w:rPr>
        <w:t>评标委员会决定投标文件的响应性依据投标文件本身的内容，而不寻求外部的证据，招标文件有明确约定的除外。</w:t>
      </w:r>
    </w:p>
    <w:p>
      <w:pPr>
        <w:tabs>
          <w:tab w:val="left" w:pos="1134"/>
        </w:tabs>
        <w:spacing w:line="560" w:lineRule="exact"/>
        <w:ind w:firstLine="560" w:firstLineChars="200"/>
        <w:rPr>
          <w:rFonts w:ascii="宋体" w:hAnsi="宋体"/>
          <w:color w:val="auto"/>
          <w:sz w:val="28"/>
          <w:szCs w:val="28"/>
        </w:rPr>
      </w:pPr>
      <w:r>
        <w:rPr>
          <w:rFonts w:hint="eastAsia" w:ascii="宋体" w:hAnsi="宋体"/>
          <w:color w:val="auto"/>
          <w:sz w:val="28"/>
          <w:szCs w:val="28"/>
        </w:rPr>
        <w:t>七、评标委员会发现招标文件表述不明确或需要说明的事项，可提请采购人和市公资交易中心书面解释说明。</w:t>
      </w:r>
    </w:p>
    <w:p>
      <w:pPr>
        <w:pStyle w:val="4"/>
        <w:numPr>
          <w:ilvl w:val="1"/>
          <w:numId w:val="4"/>
        </w:numPr>
        <w:spacing w:before="0" w:after="0" w:line="560" w:lineRule="exact"/>
        <w:ind w:left="2269" w:hanging="2269"/>
        <w:rPr>
          <w:color w:val="auto"/>
        </w:rPr>
      </w:pPr>
      <w:bookmarkStart w:id="269" w:name="_Toc65573706"/>
      <w:bookmarkStart w:id="270" w:name="_Toc29481"/>
      <w:bookmarkStart w:id="271" w:name="_Toc3818"/>
      <w:bookmarkStart w:id="272" w:name="_Toc7423"/>
      <w:bookmarkStart w:id="273" w:name="_Toc28274"/>
      <w:bookmarkStart w:id="274" w:name="_Toc316292250"/>
      <w:bookmarkStart w:id="275" w:name="_Toc217446098"/>
      <w:bookmarkStart w:id="276" w:name="_Toc315871644"/>
      <w:r>
        <w:rPr>
          <w:rFonts w:hint="eastAsia"/>
          <w:color w:val="auto"/>
        </w:rPr>
        <w:t>评标方法</w:t>
      </w:r>
      <w:bookmarkEnd w:id="269"/>
      <w:bookmarkEnd w:id="270"/>
      <w:bookmarkEnd w:id="271"/>
      <w:bookmarkEnd w:id="272"/>
      <w:bookmarkEnd w:id="273"/>
    </w:p>
    <w:p>
      <w:pPr>
        <w:spacing w:line="560" w:lineRule="exact"/>
        <w:rPr>
          <w:color w:val="auto"/>
        </w:rPr>
      </w:pPr>
      <w:r>
        <w:rPr>
          <w:rFonts w:hint="eastAsia" w:ascii="宋体" w:hAnsi="宋体"/>
          <w:color w:val="auto"/>
          <w:sz w:val="28"/>
          <w:szCs w:val="28"/>
        </w:rPr>
        <w:t xml:space="preserve">  综合评分法。</w:t>
      </w:r>
    </w:p>
    <w:p>
      <w:pPr>
        <w:pStyle w:val="4"/>
        <w:numPr>
          <w:ilvl w:val="1"/>
          <w:numId w:val="4"/>
        </w:numPr>
        <w:spacing w:before="0" w:after="0" w:line="560" w:lineRule="exact"/>
        <w:ind w:left="2269" w:hanging="2269"/>
        <w:rPr>
          <w:color w:val="auto"/>
        </w:rPr>
      </w:pPr>
      <w:bookmarkStart w:id="277" w:name="_Toc10678"/>
      <w:bookmarkStart w:id="278" w:name="_Toc30741"/>
      <w:bookmarkStart w:id="279" w:name="_Toc6803"/>
      <w:bookmarkStart w:id="280" w:name="_Toc65573707"/>
      <w:bookmarkStart w:id="281" w:name="_Toc3207"/>
      <w:r>
        <w:rPr>
          <w:rFonts w:hint="eastAsia"/>
          <w:color w:val="auto"/>
        </w:rPr>
        <w:t>评标程序</w:t>
      </w:r>
      <w:bookmarkEnd w:id="274"/>
      <w:bookmarkEnd w:id="275"/>
      <w:bookmarkEnd w:id="276"/>
      <w:bookmarkEnd w:id="277"/>
      <w:bookmarkEnd w:id="278"/>
      <w:bookmarkEnd w:id="279"/>
      <w:bookmarkEnd w:id="280"/>
      <w:bookmarkEnd w:id="281"/>
    </w:p>
    <w:p>
      <w:pPr>
        <w:pStyle w:val="5"/>
        <w:numPr>
          <w:ilvl w:val="2"/>
          <w:numId w:val="4"/>
        </w:numPr>
        <w:spacing w:after="200" w:line="560" w:lineRule="exact"/>
        <w:ind w:left="0" w:firstLine="0"/>
        <w:rPr>
          <w:color w:val="auto"/>
        </w:rPr>
      </w:pPr>
      <w:bookmarkStart w:id="282" w:name="_Toc316475650"/>
      <w:bookmarkEnd w:id="282"/>
      <w:bookmarkStart w:id="283" w:name="_Toc217446099"/>
      <w:r>
        <w:rPr>
          <w:rFonts w:hint="eastAsia"/>
          <w:color w:val="auto"/>
        </w:rPr>
        <w:t>符合性审查</w:t>
      </w:r>
    </w:p>
    <w:p>
      <w:pPr>
        <w:tabs>
          <w:tab w:val="left" w:pos="851"/>
        </w:tabs>
        <w:spacing w:line="560" w:lineRule="exact"/>
        <w:ind w:firstLine="565" w:firstLineChars="202"/>
        <w:rPr>
          <w:rFonts w:ascii="宋体" w:hAnsi="宋体"/>
          <w:color w:val="auto"/>
          <w:sz w:val="28"/>
          <w:szCs w:val="28"/>
        </w:rPr>
      </w:pPr>
      <w:r>
        <w:rPr>
          <w:rFonts w:hint="eastAsia" w:ascii="宋体" w:hAnsi="宋体"/>
          <w:color w:val="auto"/>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560" w:lineRule="exact"/>
        <w:ind w:firstLine="565" w:firstLineChars="202"/>
        <w:rPr>
          <w:rFonts w:ascii="宋体" w:hAnsi="宋体"/>
          <w:color w:val="auto"/>
          <w:sz w:val="28"/>
          <w:szCs w:val="28"/>
        </w:rPr>
      </w:pPr>
      <w:r>
        <w:rPr>
          <w:rFonts w:hint="eastAsia" w:ascii="宋体" w:hAnsi="宋体"/>
          <w:color w:val="auto"/>
          <w:sz w:val="28"/>
          <w:szCs w:val="28"/>
        </w:rPr>
        <w:t>符合性审查标准见下表（按以下顺序审查）：</w:t>
      </w:r>
    </w:p>
    <w:tbl>
      <w:tblPr>
        <w:tblStyle w:val="49"/>
        <w:tblW w:w="88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862"/>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color w:val="auto"/>
                <w:sz w:val="24"/>
                <w:szCs w:val="28"/>
              </w:rPr>
            </w:pPr>
            <w:r>
              <w:rPr>
                <w:rFonts w:hint="eastAsia" w:ascii="宋体" w:hAnsi="宋体"/>
                <w:b/>
                <w:color w:val="auto"/>
                <w:sz w:val="24"/>
                <w:szCs w:val="28"/>
              </w:rPr>
              <w:t>序号</w:t>
            </w:r>
          </w:p>
        </w:tc>
        <w:tc>
          <w:tcPr>
            <w:tcW w:w="18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b/>
                <w:color w:val="auto"/>
                <w:sz w:val="24"/>
                <w:szCs w:val="28"/>
              </w:rPr>
            </w:pPr>
            <w:r>
              <w:rPr>
                <w:rFonts w:hint="eastAsia" w:ascii="宋体" w:hAnsi="宋体"/>
                <w:b/>
                <w:color w:val="auto"/>
                <w:sz w:val="24"/>
                <w:szCs w:val="28"/>
              </w:rPr>
              <w:t>符合性审查项</w:t>
            </w:r>
          </w:p>
        </w:tc>
        <w:tc>
          <w:tcPr>
            <w:tcW w:w="61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rPr>
                <w:rFonts w:ascii="宋体" w:hAnsi="宋体"/>
                <w:color w:val="auto"/>
                <w:sz w:val="24"/>
                <w:szCs w:val="28"/>
              </w:rPr>
            </w:pPr>
            <w:r>
              <w:rPr>
                <w:rFonts w:hint="eastAsia" w:ascii="宋体" w:hAnsi="宋体"/>
                <w:b/>
                <w:color w:val="auto"/>
                <w:sz w:val="24"/>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auto"/>
                <w:sz w:val="24"/>
                <w:szCs w:val="28"/>
              </w:rPr>
            </w:pPr>
            <w:r>
              <w:rPr>
                <w:rFonts w:hint="eastAsia" w:ascii="宋体" w:hAnsi="宋体"/>
                <w:color w:val="auto"/>
                <w:sz w:val="24"/>
                <w:szCs w:val="28"/>
              </w:rPr>
              <w:t>1</w:t>
            </w:r>
          </w:p>
        </w:tc>
        <w:tc>
          <w:tcPr>
            <w:tcW w:w="18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auto"/>
                <w:sz w:val="24"/>
                <w:szCs w:val="28"/>
              </w:rPr>
            </w:pPr>
            <w:r>
              <w:rPr>
                <w:rFonts w:hint="eastAsia" w:ascii="宋体" w:hAnsi="宋体"/>
                <w:color w:val="auto"/>
                <w:sz w:val="24"/>
                <w:szCs w:val="28"/>
              </w:rPr>
              <w:t>投标文件商务技术</w:t>
            </w:r>
            <w:r>
              <w:rPr>
                <w:rFonts w:ascii="宋体" w:hAnsi="宋体"/>
                <w:color w:val="auto"/>
                <w:sz w:val="24"/>
                <w:szCs w:val="28"/>
              </w:rPr>
              <w:t>响应文件</w:t>
            </w:r>
            <w:r>
              <w:rPr>
                <w:rFonts w:hint="eastAsia" w:ascii="宋体" w:hAnsi="宋体"/>
                <w:color w:val="auto"/>
                <w:sz w:val="24"/>
                <w:szCs w:val="28"/>
              </w:rPr>
              <w:t>及</w:t>
            </w:r>
            <w:r>
              <w:rPr>
                <w:rFonts w:ascii="宋体" w:hAnsi="宋体"/>
                <w:color w:val="auto"/>
                <w:sz w:val="24"/>
                <w:szCs w:val="28"/>
              </w:rPr>
              <w:t>报价要求响应文件</w:t>
            </w:r>
            <w:r>
              <w:rPr>
                <w:rFonts w:hint="eastAsia" w:ascii="宋体" w:hAnsi="宋体"/>
                <w:color w:val="auto"/>
                <w:sz w:val="24"/>
                <w:szCs w:val="28"/>
              </w:rPr>
              <w:t>组成</w:t>
            </w:r>
          </w:p>
        </w:tc>
        <w:tc>
          <w:tcPr>
            <w:tcW w:w="61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auto"/>
                <w:sz w:val="24"/>
                <w:szCs w:val="28"/>
              </w:rPr>
            </w:pPr>
            <w:r>
              <w:rPr>
                <w:rFonts w:hint="eastAsia" w:ascii="宋体" w:hAnsi="宋体"/>
                <w:color w:val="auto"/>
                <w:sz w:val="24"/>
                <w:szCs w:val="28"/>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auto"/>
                <w:sz w:val="24"/>
                <w:szCs w:val="28"/>
              </w:rPr>
            </w:pPr>
            <w:r>
              <w:rPr>
                <w:rFonts w:hint="eastAsia" w:ascii="宋体" w:hAnsi="宋体"/>
                <w:color w:val="auto"/>
                <w:sz w:val="24"/>
                <w:szCs w:val="28"/>
              </w:rPr>
              <w:t xml:space="preserve">2 </w:t>
            </w:r>
          </w:p>
        </w:tc>
        <w:tc>
          <w:tcPr>
            <w:tcW w:w="18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auto"/>
                <w:sz w:val="24"/>
                <w:szCs w:val="28"/>
              </w:rPr>
            </w:pPr>
            <w:r>
              <w:rPr>
                <w:rFonts w:hint="eastAsia" w:ascii="宋体" w:hAnsi="宋体"/>
                <w:color w:val="auto"/>
                <w:sz w:val="24"/>
                <w:szCs w:val="28"/>
              </w:rPr>
              <w:t>投标文件签章投标文件加盖有投标人（法定名称）电子签章。</w:t>
            </w:r>
          </w:p>
        </w:tc>
        <w:tc>
          <w:tcPr>
            <w:tcW w:w="61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auto"/>
                <w:sz w:val="24"/>
                <w:szCs w:val="28"/>
              </w:rPr>
            </w:pPr>
            <w:r>
              <w:rPr>
                <w:rFonts w:hint="eastAsia" w:ascii="宋体" w:hAnsi="宋体"/>
                <w:color w:val="auto"/>
                <w:sz w:val="24"/>
                <w:szCs w:val="28"/>
              </w:rPr>
              <w:t>均按招标文件要求签章。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auto"/>
                <w:sz w:val="24"/>
                <w:szCs w:val="28"/>
              </w:rPr>
            </w:pPr>
            <w:r>
              <w:rPr>
                <w:rFonts w:hint="eastAsia" w:ascii="宋体" w:hAnsi="宋体"/>
                <w:color w:val="auto"/>
                <w:sz w:val="24"/>
                <w:szCs w:val="28"/>
              </w:rPr>
              <w:t>3</w:t>
            </w:r>
          </w:p>
        </w:tc>
        <w:tc>
          <w:tcPr>
            <w:tcW w:w="18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auto"/>
                <w:sz w:val="24"/>
                <w:szCs w:val="28"/>
              </w:rPr>
            </w:pPr>
            <w:r>
              <w:rPr>
                <w:rFonts w:hint="eastAsia" w:ascii="宋体" w:hAnsi="宋体"/>
                <w:color w:val="auto"/>
                <w:sz w:val="24"/>
                <w:szCs w:val="28"/>
              </w:rPr>
              <w:t>投标文件商务技术</w:t>
            </w:r>
            <w:r>
              <w:rPr>
                <w:rFonts w:ascii="宋体" w:hAnsi="宋体"/>
                <w:color w:val="auto"/>
                <w:sz w:val="24"/>
                <w:szCs w:val="28"/>
              </w:rPr>
              <w:t>响应文件</w:t>
            </w:r>
            <w:r>
              <w:rPr>
                <w:rFonts w:hint="eastAsia" w:ascii="宋体" w:hAnsi="宋体"/>
                <w:color w:val="auto"/>
                <w:sz w:val="24"/>
                <w:szCs w:val="28"/>
              </w:rPr>
              <w:t>的计量单位、语言、报价货币、投标有效期</w:t>
            </w:r>
          </w:p>
        </w:tc>
        <w:tc>
          <w:tcPr>
            <w:tcW w:w="61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auto"/>
                <w:sz w:val="24"/>
                <w:szCs w:val="28"/>
              </w:rPr>
            </w:pPr>
            <w:r>
              <w:rPr>
                <w:rFonts w:hint="eastAsia" w:ascii="宋体" w:hAnsi="宋体"/>
                <w:color w:val="auto"/>
                <w:sz w:val="24"/>
                <w:szCs w:val="28"/>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auto"/>
                <w:sz w:val="24"/>
                <w:szCs w:val="28"/>
              </w:rPr>
            </w:pPr>
            <w:r>
              <w:rPr>
                <w:rFonts w:hint="eastAsia" w:ascii="宋体" w:hAnsi="宋体"/>
                <w:color w:val="auto"/>
                <w:sz w:val="24"/>
                <w:szCs w:val="28"/>
              </w:rPr>
              <w:t>4</w:t>
            </w:r>
          </w:p>
        </w:tc>
        <w:tc>
          <w:tcPr>
            <w:tcW w:w="18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auto"/>
                <w:sz w:val="24"/>
                <w:szCs w:val="28"/>
              </w:rPr>
            </w:pPr>
            <w:r>
              <w:rPr>
                <w:rFonts w:hint="eastAsia" w:ascii="宋体" w:hAnsi="宋体"/>
                <w:color w:val="auto"/>
                <w:sz w:val="24"/>
                <w:szCs w:val="28"/>
              </w:rPr>
              <w:t>报价</w:t>
            </w:r>
            <w:r>
              <w:rPr>
                <w:rFonts w:ascii="宋体" w:hAnsi="宋体"/>
                <w:color w:val="auto"/>
                <w:sz w:val="24"/>
                <w:szCs w:val="28"/>
              </w:rPr>
              <w:t>要求响应文件</w:t>
            </w:r>
            <w:r>
              <w:rPr>
                <w:rFonts w:hint="eastAsia" w:ascii="宋体" w:hAnsi="宋体"/>
                <w:color w:val="auto"/>
                <w:sz w:val="24"/>
                <w:szCs w:val="28"/>
              </w:rPr>
              <w:t>的</w:t>
            </w:r>
            <w:r>
              <w:rPr>
                <w:rFonts w:ascii="宋体" w:hAnsi="宋体"/>
                <w:color w:val="auto"/>
                <w:sz w:val="24"/>
                <w:szCs w:val="28"/>
              </w:rPr>
              <w:t>计量单位、语言、报价货币</w:t>
            </w:r>
          </w:p>
        </w:tc>
        <w:tc>
          <w:tcPr>
            <w:tcW w:w="61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auto"/>
                <w:sz w:val="24"/>
                <w:szCs w:val="28"/>
              </w:rPr>
            </w:pPr>
            <w:r>
              <w:rPr>
                <w:rFonts w:hint="eastAsia" w:ascii="宋体" w:hAnsi="宋体"/>
                <w:color w:val="auto"/>
                <w:sz w:val="24"/>
                <w:szCs w:val="28"/>
              </w:rPr>
              <w:t>计量单位、语言、报价货币均符合招标文件的要求。【说明：无须提供证明材料，上传空白页即可，不对本项上传的材料作符合性审查】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auto"/>
                <w:sz w:val="24"/>
                <w:szCs w:val="28"/>
              </w:rPr>
            </w:pPr>
            <w:r>
              <w:rPr>
                <w:rFonts w:ascii="宋体" w:hAnsi="宋体"/>
                <w:color w:val="auto"/>
                <w:sz w:val="24"/>
                <w:szCs w:val="28"/>
              </w:rPr>
              <w:t>5</w:t>
            </w:r>
          </w:p>
        </w:tc>
        <w:tc>
          <w:tcPr>
            <w:tcW w:w="18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auto"/>
                <w:sz w:val="24"/>
                <w:szCs w:val="28"/>
              </w:rPr>
            </w:pPr>
            <w:r>
              <w:rPr>
                <w:rFonts w:hint="eastAsia" w:ascii="宋体" w:hAnsi="宋体"/>
                <w:color w:val="auto"/>
                <w:sz w:val="24"/>
                <w:szCs w:val="28"/>
              </w:rPr>
              <w:t>投标报价</w:t>
            </w:r>
          </w:p>
        </w:tc>
        <w:tc>
          <w:tcPr>
            <w:tcW w:w="61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auto"/>
                <w:sz w:val="24"/>
                <w:szCs w:val="28"/>
              </w:rPr>
            </w:pPr>
            <w:r>
              <w:rPr>
                <w:rFonts w:hint="eastAsia" w:ascii="宋体" w:hAnsi="宋体"/>
                <w:color w:val="000000" w:themeColor="text1"/>
                <w:sz w:val="24"/>
                <w:szCs w:val="28"/>
                <w14:textFill>
                  <w14:solidFill>
                    <w14:schemeClr w14:val="tx1"/>
                  </w14:solidFill>
                </w14:textFill>
              </w:rPr>
              <w:t>开标记录、投标文件【注：（1）投标报价唯一（说明：</w:t>
            </w:r>
            <w:r>
              <w:rPr>
                <w:rFonts w:hint="eastAsia" w:ascii="宋体" w:hAnsi="宋体"/>
                <w:color w:val="000000" w:themeColor="text1"/>
                <w:sz w:val="24"/>
                <w:szCs w:val="28"/>
                <w:lang w:eastAsia="zh-CN"/>
                <w14:textFill>
                  <w14:solidFill>
                    <w14:schemeClr w14:val="tx1"/>
                  </w14:solidFill>
                </w14:textFill>
              </w:rPr>
              <w:t>投标文件报价前后不一致时按</w:t>
            </w:r>
            <w:r>
              <w:rPr>
                <w:rFonts w:hint="eastAsia" w:ascii="宋体" w:hAnsi="宋体"/>
                <w:color w:val="000000" w:themeColor="text1"/>
                <w:sz w:val="24"/>
                <w:szCs w:val="28"/>
                <w:lang w:val="en-US" w:eastAsia="zh-CN"/>
                <w14:textFill>
                  <w14:solidFill>
                    <w14:schemeClr w14:val="tx1"/>
                  </w14:solidFill>
                </w14:textFill>
              </w:rPr>
              <w:t>2.4.8处理；</w:t>
            </w:r>
            <w:r>
              <w:rPr>
                <w:rFonts w:hint="eastAsia" w:ascii="宋体" w:hAnsi="宋体"/>
                <w:color w:val="000000" w:themeColor="text1"/>
                <w:sz w:val="24"/>
                <w:szCs w:val="28"/>
                <w14:textFill>
                  <w14:solidFill>
                    <w14:schemeClr w14:val="tx1"/>
                  </w14:solidFill>
                </w14:textFill>
              </w:rPr>
              <w:t>（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Pr>
                <w:rFonts w:ascii="宋体" w:hAnsi="宋体"/>
                <w:color w:val="000000" w:themeColor="text1"/>
                <w:sz w:val="24"/>
                <w:szCs w:val="28"/>
                <w14:textFill>
                  <w14:solidFill>
                    <w14:schemeClr w14:val="tx1"/>
                  </w14:solidFill>
                </w14:textFill>
              </w:rPr>
              <w:t>5）如因断电、断网、系统故障或其他不可抗力等因素，导致系统无法使用的，由投标人按评标委员会的要求进行澄清或者说明</w:t>
            </w:r>
            <w:r>
              <w:rPr>
                <w:rFonts w:hint="eastAsia" w:ascii="宋体" w:hAnsi="宋体"/>
                <w:color w:val="000000" w:themeColor="text1"/>
                <w:sz w:val="24"/>
                <w:szCs w:val="28"/>
                <w14:textFill>
                  <w14:solidFill>
                    <w14:schemeClr w14:val="tx1"/>
                  </w14:solidFill>
                </w14:textFill>
              </w:rPr>
              <w:t>。（6）无须提供证明材料，上传空白页即可，不对本项上传的材料作符合性审查。】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auto"/>
                <w:sz w:val="24"/>
                <w:szCs w:val="28"/>
              </w:rPr>
            </w:pPr>
            <w:r>
              <w:rPr>
                <w:rFonts w:ascii="宋体" w:hAnsi="宋体"/>
                <w:color w:val="auto"/>
                <w:sz w:val="24"/>
                <w:szCs w:val="28"/>
              </w:rPr>
              <w:t>6</w:t>
            </w:r>
          </w:p>
        </w:tc>
        <w:tc>
          <w:tcPr>
            <w:tcW w:w="18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auto"/>
                <w:sz w:val="24"/>
                <w:szCs w:val="28"/>
              </w:rPr>
            </w:pPr>
            <w:r>
              <w:rPr>
                <w:rFonts w:hint="eastAsia" w:ascii="宋体" w:hAnsi="宋体"/>
                <w:color w:val="auto"/>
                <w:sz w:val="24"/>
                <w:szCs w:val="28"/>
              </w:rPr>
              <w:t>第4章打★号的服务、商务和其他要求</w:t>
            </w:r>
          </w:p>
        </w:tc>
        <w:tc>
          <w:tcPr>
            <w:tcW w:w="61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auto"/>
                <w:sz w:val="24"/>
                <w:szCs w:val="28"/>
              </w:rPr>
            </w:pPr>
            <w:r>
              <w:rPr>
                <w:rFonts w:hint="eastAsia" w:ascii="宋体" w:hAnsi="宋体"/>
                <w:color w:val="auto"/>
                <w:sz w:val="24"/>
                <w:szCs w:val="28"/>
              </w:rPr>
              <w:t>投标文件均实质性响应招标文件中加★号的服务、商务和其他要求。【说明：无须提供证明材料，上传空白页即可，不对本项上传的材料作符合性审查】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hint="eastAsia" w:ascii="宋体" w:hAnsi="宋体" w:eastAsia="宋体"/>
                <w:color w:val="auto"/>
                <w:sz w:val="24"/>
                <w:szCs w:val="28"/>
                <w:lang w:val="en-US" w:eastAsia="zh-CN"/>
              </w:rPr>
            </w:pPr>
            <w:r>
              <w:rPr>
                <w:rFonts w:hint="eastAsia" w:ascii="宋体" w:hAnsi="宋体"/>
                <w:color w:val="auto"/>
                <w:sz w:val="24"/>
                <w:szCs w:val="28"/>
                <w:lang w:val="en-US" w:eastAsia="zh-CN"/>
              </w:rPr>
              <w:t>7</w:t>
            </w:r>
          </w:p>
        </w:tc>
        <w:tc>
          <w:tcPr>
            <w:tcW w:w="18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auto"/>
                <w:sz w:val="24"/>
                <w:szCs w:val="28"/>
              </w:rPr>
            </w:pPr>
            <w:r>
              <w:rPr>
                <w:rFonts w:hint="eastAsia" w:ascii="宋体" w:hAnsi="宋体"/>
                <w:color w:val="auto"/>
                <w:sz w:val="24"/>
                <w:szCs w:val="28"/>
              </w:rPr>
              <w:t>不属于禁止参加投标或投标无效的供应商</w:t>
            </w:r>
          </w:p>
        </w:tc>
        <w:tc>
          <w:tcPr>
            <w:tcW w:w="61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auto"/>
                <w:sz w:val="24"/>
                <w:szCs w:val="28"/>
              </w:rPr>
            </w:pPr>
            <w:r>
              <w:rPr>
                <w:rFonts w:hint="eastAsia" w:ascii="宋体" w:hAnsi="宋体"/>
                <w:color w:val="auto"/>
                <w:sz w:val="24"/>
                <w:szCs w:val="28"/>
              </w:rPr>
              <w:t>（1）根据招标文件的要求不属于禁止参加投标或投标无效的供应商；</w:t>
            </w:r>
          </w:p>
          <w:p>
            <w:pPr>
              <w:tabs>
                <w:tab w:val="left" w:pos="851"/>
              </w:tabs>
              <w:spacing w:line="360" w:lineRule="auto"/>
              <w:rPr>
                <w:rFonts w:ascii="宋体" w:hAnsi="宋体"/>
                <w:color w:val="auto"/>
                <w:sz w:val="24"/>
                <w:szCs w:val="28"/>
              </w:rPr>
            </w:pPr>
            <w:r>
              <w:rPr>
                <w:rFonts w:hint="eastAsia" w:ascii="宋体" w:hAnsi="宋体"/>
                <w:color w:val="auto"/>
                <w:sz w:val="24"/>
                <w:szCs w:val="28"/>
              </w:rPr>
              <w:t>（2）评标委员会未发现或者未知晓投标人存在属于国家相关法律法规规定的禁止参加投标或投标无效的供应商。</w:t>
            </w:r>
          </w:p>
          <w:p>
            <w:pPr>
              <w:tabs>
                <w:tab w:val="left" w:pos="851"/>
              </w:tabs>
              <w:spacing w:line="360" w:lineRule="auto"/>
              <w:rPr>
                <w:rFonts w:ascii="宋体" w:hAnsi="宋体"/>
                <w:color w:val="auto"/>
                <w:sz w:val="24"/>
                <w:szCs w:val="28"/>
              </w:rPr>
            </w:pPr>
            <w:r>
              <w:rPr>
                <w:rFonts w:hint="eastAsia" w:ascii="宋体" w:hAnsi="宋体"/>
                <w:color w:val="auto"/>
                <w:sz w:val="24"/>
                <w:szCs w:val="28"/>
              </w:rPr>
              <w:t>【说明：无须提供证明材料，上传空白页即可，不对本项上传的材料作符合性审查】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hint="eastAsia" w:ascii="宋体" w:hAnsi="宋体" w:eastAsia="宋体"/>
                <w:color w:val="auto"/>
                <w:sz w:val="24"/>
                <w:szCs w:val="28"/>
                <w:lang w:val="en-US" w:eastAsia="zh-CN"/>
              </w:rPr>
            </w:pPr>
            <w:r>
              <w:rPr>
                <w:rFonts w:hint="eastAsia" w:ascii="宋体" w:hAnsi="宋体"/>
                <w:color w:val="auto"/>
                <w:sz w:val="24"/>
                <w:szCs w:val="28"/>
                <w:lang w:val="en-US" w:eastAsia="zh-CN"/>
              </w:rPr>
              <w:t>8</w:t>
            </w:r>
          </w:p>
        </w:tc>
        <w:tc>
          <w:tcPr>
            <w:tcW w:w="18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auto"/>
                <w:sz w:val="24"/>
                <w:szCs w:val="28"/>
              </w:rPr>
            </w:pPr>
            <w:r>
              <w:rPr>
                <w:rFonts w:hint="eastAsia" w:ascii="宋体" w:hAnsi="宋体"/>
                <w:color w:val="auto"/>
                <w:sz w:val="24"/>
                <w:szCs w:val="28"/>
                <w:lang w:eastAsia="zh-CN"/>
              </w:rPr>
              <w:t>相应的</w:t>
            </w:r>
            <w:r>
              <w:rPr>
                <w:rFonts w:hint="eastAsia" w:ascii="宋体" w:hAnsi="宋体"/>
                <w:color w:val="auto"/>
                <w:sz w:val="24"/>
                <w:szCs w:val="28"/>
              </w:rPr>
              <w:t>法定代表人身份证复印件或护照复印件</w:t>
            </w:r>
          </w:p>
        </w:tc>
        <w:tc>
          <w:tcPr>
            <w:tcW w:w="618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auto"/>
                <w:sz w:val="24"/>
                <w:szCs w:val="28"/>
              </w:rPr>
            </w:pPr>
            <w:r>
              <w:rPr>
                <w:rFonts w:hint="eastAsia" w:ascii="宋体" w:hAnsi="宋体"/>
                <w:color w:val="auto"/>
                <w:sz w:val="24"/>
                <w:szCs w:val="28"/>
              </w:rPr>
              <w:t>身份证复印件或护照复印件【注：法定代表人身份证复印件（身份证两面均应复印，在有效期内）或护照复印件（法定代表人为外籍人士的，按此提供）。】。</w:t>
            </w:r>
          </w:p>
        </w:tc>
      </w:tr>
    </w:tbl>
    <w:p>
      <w:pPr>
        <w:tabs>
          <w:tab w:val="left" w:pos="851"/>
        </w:tabs>
        <w:spacing w:line="560" w:lineRule="exact"/>
        <w:ind w:firstLine="560" w:firstLineChars="200"/>
        <w:rPr>
          <w:rFonts w:ascii="宋体" w:hAnsi="宋体"/>
          <w:color w:val="auto"/>
          <w:sz w:val="28"/>
          <w:szCs w:val="28"/>
        </w:rPr>
      </w:pPr>
      <w:r>
        <w:rPr>
          <w:rFonts w:hint="eastAsia" w:ascii="宋体" w:hAnsi="宋体"/>
          <w:color w:val="auto"/>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560" w:lineRule="exact"/>
        <w:ind w:firstLine="565" w:firstLineChars="202"/>
        <w:rPr>
          <w:rFonts w:ascii="宋体" w:hAnsi="宋体"/>
          <w:color w:val="auto"/>
          <w:sz w:val="28"/>
          <w:szCs w:val="28"/>
        </w:rPr>
      </w:pPr>
      <w:r>
        <w:rPr>
          <w:rFonts w:hint="eastAsia" w:ascii="宋体" w:hAnsi="宋体"/>
          <w:color w:val="auto"/>
          <w:sz w:val="28"/>
          <w:szCs w:val="28"/>
        </w:rPr>
        <w:t>二、投标人的投标文件符合性审查时被判定为无效投标文件的，市公资交易中心将通知投标人（以短信、现场公示、电话、“政府采购云平台”等任一方式）。投标人如对评审结论有异议的，应及时向市公资交易中心反馈意见。市公资交易中心在评审结束前将收到的反馈意见及时告知评标委员会。（说明：无论投标人是否收到通知或提供反馈意见，均不影响评标委员会的评标工作，且市公资交易中心对此将不承担任何的责任。投标人对评审结论有异议的，其反馈意见仅限于评标委员会对评审结论的正确性进行复核，避免出现评审错误。）</w:t>
      </w:r>
    </w:p>
    <w:p>
      <w:pPr>
        <w:tabs>
          <w:tab w:val="left" w:pos="851"/>
        </w:tabs>
        <w:spacing w:line="560" w:lineRule="exact"/>
        <w:ind w:firstLine="565" w:firstLineChars="202"/>
        <w:rPr>
          <w:rFonts w:ascii="宋体" w:hAnsi="宋体"/>
          <w:color w:val="auto"/>
          <w:sz w:val="28"/>
          <w:szCs w:val="28"/>
        </w:rPr>
      </w:pPr>
      <w:r>
        <w:rPr>
          <w:rFonts w:hint="eastAsia" w:ascii="宋体" w:hAnsi="宋体"/>
          <w:color w:val="auto"/>
          <w:sz w:val="28"/>
          <w:szCs w:val="28"/>
        </w:rPr>
        <w:t>三、通过符合性审查的供应商＜3名，本项目采购失败。</w:t>
      </w:r>
    </w:p>
    <w:p>
      <w:pPr>
        <w:pStyle w:val="5"/>
        <w:numPr>
          <w:ilvl w:val="2"/>
          <w:numId w:val="4"/>
        </w:numPr>
        <w:spacing w:after="200" w:line="560" w:lineRule="exact"/>
        <w:ind w:left="0" w:firstLine="0"/>
        <w:rPr>
          <w:color w:val="auto"/>
        </w:rPr>
      </w:pPr>
      <w:r>
        <w:rPr>
          <w:rFonts w:hint="eastAsia"/>
          <w:color w:val="auto"/>
        </w:rPr>
        <w:t>解释、澄清有关问题</w:t>
      </w:r>
    </w:p>
    <w:p>
      <w:pPr>
        <w:numPr>
          <w:ilvl w:val="0"/>
          <w:numId w:val="38"/>
        </w:numPr>
        <w:tabs>
          <w:tab w:val="left" w:pos="1134"/>
        </w:tabs>
        <w:spacing w:after="200" w:line="560" w:lineRule="exact"/>
        <w:ind w:left="0" w:firstLine="525"/>
        <w:rPr>
          <w:rFonts w:ascii="宋体" w:hAnsi="宋体"/>
          <w:color w:val="auto"/>
          <w:sz w:val="28"/>
          <w:szCs w:val="28"/>
        </w:rPr>
      </w:pPr>
      <w:r>
        <w:rPr>
          <w:rFonts w:hint="eastAsia" w:ascii="宋体" w:hAnsi="宋体"/>
          <w:color w:val="auto"/>
          <w:sz w:val="28"/>
          <w:szCs w:val="28"/>
        </w:rPr>
        <w:t>评标过程中，评标委员会认为招标文件有关事项表述不明确或需要说明的，可以提请市公资交易中心书面解释。市公资交易中心的解释不得改变招标文件的原义或者影响公平、公正，解释事项如果涉及投标人权益的以有利于投标人的原则进行解释。</w:t>
      </w:r>
    </w:p>
    <w:p>
      <w:pPr>
        <w:numPr>
          <w:ilvl w:val="0"/>
          <w:numId w:val="38"/>
        </w:numPr>
        <w:tabs>
          <w:tab w:val="left" w:pos="1134"/>
        </w:tabs>
        <w:spacing w:after="200" w:line="560" w:lineRule="exact"/>
        <w:ind w:left="0" w:firstLine="525"/>
        <w:rPr>
          <w:rFonts w:ascii="宋体" w:hAnsi="宋体"/>
          <w:color w:val="auto"/>
          <w:sz w:val="28"/>
          <w:szCs w:val="28"/>
        </w:rPr>
      </w:pPr>
      <w:r>
        <w:rPr>
          <w:rFonts w:hint="eastAsia" w:ascii="宋体" w:hAnsi="宋体"/>
          <w:color w:val="auto"/>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38"/>
        </w:numPr>
        <w:tabs>
          <w:tab w:val="left" w:pos="1134"/>
        </w:tabs>
        <w:spacing w:after="200" w:line="560" w:lineRule="exact"/>
        <w:ind w:left="0" w:firstLine="525"/>
        <w:rPr>
          <w:rFonts w:ascii="宋体" w:hAnsi="宋体"/>
          <w:color w:val="auto"/>
          <w:sz w:val="28"/>
          <w:szCs w:val="28"/>
        </w:rPr>
      </w:pPr>
      <w:r>
        <w:rPr>
          <w:rFonts w:hint="eastAsia" w:ascii="宋体" w:hAnsi="宋体"/>
          <w:color w:val="auto"/>
          <w:sz w:val="28"/>
          <w:szCs w:val="28"/>
        </w:rPr>
        <w:t>澄清应当不超出投标文件的范围、不实质性改变投标文件的内容、不影响投标人的公平竞争、不导致投标文件从不响应招标文件变为响应招标文件的条件。下列内容不得澄清：</w:t>
      </w:r>
    </w:p>
    <w:p>
      <w:pPr>
        <w:pStyle w:val="157"/>
        <w:numPr>
          <w:ilvl w:val="0"/>
          <w:numId w:val="39"/>
        </w:numPr>
        <w:tabs>
          <w:tab w:val="left" w:pos="1260"/>
        </w:tabs>
        <w:spacing w:after="200" w:line="560" w:lineRule="exact"/>
        <w:ind w:left="0" w:firstLine="525" w:firstLineChars="0"/>
        <w:rPr>
          <w:rFonts w:ascii="宋体" w:hAnsi="宋体"/>
          <w:color w:val="auto"/>
          <w:sz w:val="28"/>
          <w:szCs w:val="28"/>
        </w:rPr>
      </w:pPr>
      <w:r>
        <w:rPr>
          <w:rFonts w:hint="eastAsia" w:ascii="宋体" w:hAnsi="宋体"/>
          <w:color w:val="auto"/>
          <w:sz w:val="28"/>
          <w:szCs w:val="28"/>
        </w:rPr>
        <w:t>投标人投标文件中不响应招标文件规定的技术参数指标和商务应答；</w:t>
      </w:r>
    </w:p>
    <w:p>
      <w:pPr>
        <w:pStyle w:val="157"/>
        <w:numPr>
          <w:ilvl w:val="0"/>
          <w:numId w:val="39"/>
        </w:numPr>
        <w:tabs>
          <w:tab w:val="left" w:pos="1260"/>
        </w:tabs>
        <w:spacing w:after="200" w:line="560" w:lineRule="exact"/>
        <w:ind w:left="0" w:firstLine="525" w:firstLineChars="0"/>
        <w:rPr>
          <w:rFonts w:ascii="宋体" w:hAnsi="宋体"/>
          <w:color w:val="auto"/>
          <w:sz w:val="28"/>
          <w:szCs w:val="28"/>
        </w:rPr>
      </w:pPr>
      <w:r>
        <w:rPr>
          <w:rFonts w:hint="eastAsia" w:ascii="宋体" w:hAnsi="宋体"/>
          <w:color w:val="auto"/>
          <w:sz w:val="28"/>
          <w:szCs w:val="28"/>
        </w:rPr>
        <w:t>投标人投标文件中未提供的证明其是否符合招标文件资格性、符合性规定要求的相关材料。</w:t>
      </w:r>
    </w:p>
    <w:p>
      <w:pPr>
        <w:pStyle w:val="157"/>
        <w:numPr>
          <w:ilvl w:val="0"/>
          <w:numId w:val="39"/>
        </w:numPr>
        <w:tabs>
          <w:tab w:val="left" w:pos="1260"/>
        </w:tabs>
        <w:spacing w:after="200" w:line="560" w:lineRule="exact"/>
        <w:ind w:left="0" w:firstLine="525" w:firstLineChars="0"/>
        <w:rPr>
          <w:rFonts w:ascii="宋体" w:hAnsi="宋体"/>
          <w:color w:val="auto"/>
          <w:sz w:val="28"/>
          <w:szCs w:val="28"/>
        </w:rPr>
      </w:pPr>
      <w:r>
        <w:rPr>
          <w:rFonts w:hint="eastAsia" w:ascii="宋体" w:hAnsi="宋体"/>
          <w:color w:val="auto"/>
          <w:sz w:val="28"/>
          <w:szCs w:val="28"/>
        </w:rPr>
        <w:t>投标人投标文件中的材料因印刷、影印等不清晰而难以辨认的。</w:t>
      </w:r>
    </w:p>
    <w:p>
      <w:pPr>
        <w:numPr>
          <w:ilvl w:val="0"/>
          <w:numId w:val="38"/>
        </w:numPr>
        <w:tabs>
          <w:tab w:val="left" w:pos="1134"/>
        </w:tabs>
        <w:spacing w:after="200" w:line="560" w:lineRule="exact"/>
        <w:ind w:left="0" w:firstLine="525"/>
        <w:rPr>
          <w:rFonts w:ascii="宋体" w:hAnsi="宋体"/>
          <w:color w:val="auto"/>
          <w:sz w:val="28"/>
          <w:szCs w:val="28"/>
        </w:rPr>
      </w:pPr>
      <w:r>
        <w:rPr>
          <w:rFonts w:hint="eastAsia" w:ascii="宋体" w:hAnsi="宋体"/>
          <w:color w:val="auto"/>
          <w:sz w:val="28"/>
          <w:szCs w:val="28"/>
        </w:rPr>
        <w:t>投标文件报价出现下列情况的，不需要投标人澄清，按以下原则处理：</w:t>
      </w:r>
    </w:p>
    <w:p>
      <w:pPr>
        <w:pStyle w:val="157"/>
        <w:numPr>
          <w:ilvl w:val="0"/>
          <w:numId w:val="40"/>
        </w:numPr>
        <w:tabs>
          <w:tab w:val="left" w:pos="1050"/>
        </w:tabs>
        <w:spacing w:after="200" w:line="560" w:lineRule="exact"/>
        <w:ind w:left="0" w:firstLine="525" w:firstLineChars="0"/>
        <w:rPr>
          <w:rFonts w:ascii="宋体" w:hAnsi="宋体"/>
          <w:color w:val="auto"/>
          <w:sz w:val="28"/>
          <w:szCs w:val="28"/>
        </w:rPr>
      </w:pPr>
      <w:r>
        <w:rPr>
          <w:rFonts w:hint="eastAsia" w:ascii="宋体" w:hAnsi="宋体"/>
          <w:color w:val="auto"/>
          <w:sz w:val="28"/>
          <w:szCs w:val="28"/>
        </w:rPr>
        <w:t>大写金额和小写金额不一致的，以大写金额为准，但大写金额出现文字错误，导致金额无法判断的除外；</w:t>
      </w:r>
    </w:p>
    <w:p>
      <w:pPr>
        <w:pStyle w:val="157"/>
        <w:numPr>
          <w:ilvl w:val="0"/>
          <w:numId w:val="40"/>
        </w:numPr>
        <w:tabs>
          <w:tab w:val="left" w:pos="1050"/>
        </w:tabs>
        <w:spacing w:after="200" w:line="560" w:lineRule="exact"/>
        <w:ind w:left="0" w:firstLine="525" w:firstLineChars="0"/>
        <w:rPr>
          <w:rFonts w:ascii="宋体" w:hAnsi="宋体"/>
          <w:color w:val="auto"/>
          <w:sz w:val="28"/>
          <w:szCs w:val="28"/>
        </w:rPr>
      </w:pPr>
      <w:r>
        <w:rPr>
          <w:rFonts w:hint="eastAsia" w:ascii="宋体" w:hAnsi="宋体"/>
          <w:color w:val="auto"/>
          <w:sz w:val="28"/>
          <w:szCs w:val="28"/>
        </w:rPr>
        <w:t>单价金额小数点或者百分比有明显错位的，以总价为准，并修改单价；</w:t>
      </w:r>
    </w:p>
    <w:p>
      <w:pPr>
        <w:pStyle w:val="157"/>
        <w:numPr>
          <w:ilvl w:val="0"/>
          <w:numId w:val="40"/>
        </w:numPr>
        <w:tabs>
          <w:tab w:val="left" w:pos="1050"/>
        </w:tabs>
        <w:spacing w:after="200" w:line="560" w:lineRule="exact"/>
        <w:ind w:left="0" w:firstLine="525" w:firstLineChars="0"/>
        <w:rPr>
          <w:rFonts w:ascii="宋体" w:hAnsi="宋体"/>
          <w:color w:val="auto"/>
          <w:sz w:val="28"/>
          <w:szCs w:val="28"/>
        </w:rPr>
      </w:pPr>
      <w:r>
        <w:rPr>
          <w:rFonts w:hint="eastAsia" w:ascii="宋体" w:hAnsi="宋体"/>
          <w:color w:val="auto"/>
          <w:sz w:val="28"/>
          <w:szCs w:val="28"/>
        </w:rPr>
        <w:t>总价金额与按单价汇总金额不一致的，以单价金额计算结果为准。</w:t>
      </w:r>
    </w:p>
    <w:p>
      <w:pPr>
        <w:spacing w:line="560" w:lineRule="exact"/>
        <w:ind w:firstLine="560"/>
        <w:rPr>
          <w:color w:val="auto"/>
          <w:sz w:val="28"/>
          <w:szCs w:val="28"/>
        </w:rPr>
      </w:pPr>
      <w:r>
        <w:rPr>
          <w:rFonts w:hint="eastAsia"/>
          <w:color w:val="auto"/>
          <w:sz w:val="28"/>
          <w:szCs w:val="28"/>
        </w:rPr>
        <w:t>同时出现两种以上不一致的，按照前款规定的顺序修正。修正后的报价经投标人确认后产生约束力，投标人不确认的，其投标无效。</w:t>
      </w:r>
    </w:p>
    <w:p>
      <w:pPr>
        <w:spacing w:line="560" w:lineRule="exact"/>
        <w:ind w:firstLine="560" w:firstLineChars="200"/>
        <w:rPr>
          <w:color w:val="auto"/>
          <w:sz w:val="28"/>
          <w:szCs w:val="28"/>
        </w:rPr>
      </w:pPr>
      <w:r>
        <w:rPr>
          <w:rFonts w:hint="eastAsia"/>
          <w:color w:val="auto"/>
          <w:sz w:val="28"/>
          <w:szCs w:val="28"/>
        </w:rPr>
        <w:t>五、对不同语言文本投标文件的解释发生异议的，以中文文本为准。</w:t>
      </w:r>
    </w:p>
    <w:p>
      <w:pPr>
        <w:tabs>
          <w:tab w:val="left" w:pos="720"/>
        </w:tabs>
        <w:spacing w:line="560" w:lineRule="exact"/>
        <w:ind w:firstLine="560" w:firstLineChars="200"/>
        <w:rPr>
          <w:color w:val="auto"/>
          <w:sz w:val="28"/>
          <w:szCs w:val="28"/>
        </w:rPr>
      </w:pPr>
      <w:r>
        <w:rPr>
          <w:rFonts w:hint="eastAsia"/>
          <w:color w:val="auto"/>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tabs>
          <w:tab w:val="left" w:pos="851"/>
        </w:tabs>
        <w:spacing w:line="560" w:lineRule="exact"/>
        <w:ind w:firstLine="551" w:firstLineChars="196"/>
        <w:rPr>
          <w:rFonts w:ascii="宋体" w:hAnsi="宋体"/>
          <w:b/>
          <w:color w:val="auto"/>
          <w:sz w:val="28"/>
          <w:szCs w:val="28"/>
        </w:rPr>
      </w:pPr>
      <w:r>
        <w:rPr>
          <w:rFonts w:hint="eastAsia" w:ascii="宋体" w:hAnsi="宋体"/>
          <w:b/>
          <w:color w:val="auto"/>
          <w:sz w:val="28"/>
          <w:szCs w:val="28"/>
        </w:rPr>
        <w:t>评标委员会应当积极履行澄清、说明或者更正的职责，不得滥用权力。</w:t>
      </w:r>
    </w:p>
    <w:p>
      <w:pPr>
        <w:pStyle w:val="5"/>
        <w:numPr>
          <w:ilvl w:val="2"/>
          <w:numId w:val="4"/>
        </w:numPr>
        <w:spacing w:after="200" w:line="560" w:lineRule="exact"/>
        <w:ind w:left="851"/>
        <w:rPr>
          <w:color w:val="auto"/>
        </w:rPr>
      </w:pPr>
      <w:bookmarkStart w:id="284" w:name="_Toc315871649"/>
      <w:bookmarkEnd w:id="284"/>
      <w:bookmarkStart w:id="285" w:name="_Toc315871650"/>
      <w:bookmarkEnd w:id="285"/>
      <w:bookmarkStart w:id="286" w:name="_Toc315871651"/>
      <w:bookmarkEnd w:id="286"/>
      <w:bookmarkStart w:id="287" w:name="_Toc315871652"/>
      <w:bookmarkEnd w:id="287"/>
      <w:bookmarkStart w:id="288" w:name="_Toc316292253"/>
      <w:bookmarkStart w:id="289" w:name="_Toc315871647"/>
      <w:bookmarkStart w:id="290" w:name="_Toc315871653"/>
      <w:bookmarkStart w:id="291" w:name="_Toc316292255"/>
      <w:r>
        <w:rPr>
          <w:rFonts w:hint="eastAsia"/>
          <w:color w:val="auto"/>
        </w:rPr>
        <w:t>比较与评价</w:t>
      </w:r>
      <w:bookmarkEnd w:id="288"/>
      <w:bookmarkEnd w:id="289"/>
    </w:p>
    <w:p>
      <w:pPr>
        <w:tabs>
          <w:tab w:val="left" w:pos="851"/>
        </w:tabs>
        <w:spacing w:line="560" w:lineRule="exact"/>
        <w:ind w:firstLine="565" w:firstLineChars="202"/>
        <w:rPr>
          <w:rFonts w:ascii="宋体" w:hAnsi="宋体"/>
          <w:color w:val="auto"/>
          <w:sz w:val="28"/>
          <w:szCs w:val="28"/>
        </w:rPr>
      </w:pPr>
      <w:r>
        <w:rPr>
          <w:rFonts w:hint="eastAsia" w:ascii="宋体" w:hAnsi="宋体"/>
          <w:color w:val="auto"/>
          <w:sz w:val="28"/>
          <w:szCs w:val="28"/>
        </w:rPr>
        <w:t>按招标文件中规定的评标细则及标准，对符合性检查合格的投标文件进行商务和服务评估，综合比较与评价。</w:t>
      </w:r>
    </w:p>
    <w:p>
      <w:pPr>
        <w:pStyle w:val="5"/>
        <w:numPr>
          <w:ilvl w:val="2"/>
          <w:numId w:val="4"/>
        </w:numPr>
        <w:spacing w:after="200" w:line="560" w:lineRule="exact"/>
        <w:ind w:left="0" w:firstLine="0"/>
        <w:rPr>
          <w:color w:val="auto"/>
        </w:rPr>
      </w:pPr>
      <w:r>
        <w:rPr>
          <w:rFonts w:hint="eastAsia"/>
          <w:color w:val="auto"/>
        </w:rPr>
        <w:t>复核</w:t>
      </w:r>
    </w:p>
    <w:p>
      <w:pPr>
        <w:tabs>
          <w:tab w:val="left" w:pos="851"/>
        </w:tabs>
        <w:spacing w:line="560" w:lineRule="exact"/>
        <w:ind w:firstLine="565" w:firstLineChars="202"/>
        <w:rPr>
          <w:rFonts w:ascii="宋体" w:hAnsi="宋体"/>
          <w:color w:val="auto"/>
          <w:sz w:val="28"/>
          <w:szCs w:val="28"/>
        </w:rPr>
      </w:pPr>
      <w:r>
        <w:rPr>
          <w:rFonts w:hint="eastAsia" w:ascii="宋体" w:hAnsi="宋体"/>
          <w:color w:val="auto"/>
          <w:sz w:val="28"/>
          <w:szCs w:val="28"/>
        </w:rPr>
        <w:t>评分汇总结束后，评标委员会应当进行复核，特别要对拟推荐为中标候选供应商的、报价最低的、投标文件被认定为无效的进行重点复核。</w:t>
      </w:r>
    </w:p>
    <w:p>
      <w:pPr>
        <w:tabs>
          <w:tab w:val="left" w:pos="851"/>
        </w:tabs>
        <w:spacing w:line="560" w:lineRule="exact"/>
        <w:ind w:firstLine="565" w:firstLineChars="202"/>
        <w:rPr>
          <w:rFonts w:ascii="宋体" w:hAnsi="宋体"/>
          <w:color w:val="auto"/>
          <w:sz w:val="28"/>
          <w:szCs w:val="28"/>
        </w:rPr>
      </w:pPr>
      <w:r>
        <w:rPr>
          <w:rFonts w:hint="eastAsia" w:ascii="宋体" w:hAnsi="宋体"/>
          <w:color w:val="auto"/>
          <w:sz w:val="28"/>
          <w:szCs w:val="28"/>
        </w:rPr>
        <w:t>评标结果汇总完成后，评标委员会拟出具评审报告前，</w:t>
      </w:r>
      <w:r>
        <w:rPr>
          <w:rFonts w:hint="eastAsia" w:cs="Arial"/>
          <w:color w:val="auto"/>
          <w:sz w:val="28"/>
          <w:szCs w:val="28"/>
        </w:rPr>
        <w:t>市公资交易中心</w:t>
      </w:r>
      <w:r>
        <w:rPr>
          <w:rFonts w:hint="eastAsia" w:ascii="宋体" w:hAnsi="宋体"/>
          <w:color w:val="auto"/>
          <w:sz w:val="28"/>
          <w:szCs w:val="28"/>
        </w:rPr>
        <w:t>应当组织2名以上的工作人员，在采购现场监督人员的监督之下，依据有关的法律制度和采购文件对评审结果进行复核，出具复核报告。</w:t>
      </w:r>
    </w:p>
    <w:p>
      <w:pPr>
        <w:tabs>
          <w:tab w:val="left" w:pos="851"/>
        </w:tabs>
        <w:spacing w:line="560" w:lineRule="exact"/>
        <w:ind w:firstLine="560" w:firstLineChars="200"/>
        <w:rPr>
          <w:rFonts w:ascii="宋体" w:hAnsi="宋体"/>
          <w:color w:val="auto"/>
          <w:sz w:val="28"/>
          <w:szCs w:val="28"/>
        </w:rPr>
      </w:pPr>
      <w:r>
        <w:rPr>
          <w:rFonts w:hint="eastAsia" w:ascii="宋体" w:hAnsi="宋体"/>
          <w:color w:val="auto"/>
          <w:sz w:val="28"/>
          <w:szCs w:val="28"/>
        </w:rPr>
        <w:t>评标结果汇总完成后，除下列情形外，任何人不得修改评标结果：</w:t>
      </w:r>
    </w:p>
    <w:p>
      <w:pPr>
        <w:pStyle w:val="85"/>
        <w:numPr>
          <w:ilvl w:val="0"/>
          <w:numId w:val="41"/>
        </w:numPr>
        <w:tabs>
          <w:tab w:val="left" w:pos="851"/>
          <w:tab w:val="left" w:pos="1276"/>
        </w:tabs>
        <w:spacing w:after="200" w:line="560" w:lineRule="exact"/>
        <w:ind w:left="0" w:firstLine="424" w:firstLineChars="0"/>
        <w:rPr>
          <w:rFonts w:ascii="宋体" w:hAnsi="宋体"/>
          <w:color w:val="auto"/>
          <w:sz w:val="28"/>
          <w:szCs w:val="28"/>
        </w:rPr>
      </w:pPr>
      <w:r>
        <w:rPr>
          <w:rFonts w:hint="eastAsia" w:ascii="宋体" w:hAnsi="宋体"/>
          <w:color w:val="auto"/>
          <w:sz w:val="28"/>
          <w:szCs w:val="28"/>
        </w:rPr>
        <w:t>分值汇总计算错误的；</w:t>
      </w:r>
    </w:p>
    <w:p>
      <w:pPr>
        <w:pStyle w:val="85"/>
        <w:numPr>
          <w:ilvl w:val="0"/>
          <w:numId w:val="41"/>
        </w:numPr>
        <w:tabs>
          <w:tab w:val="left" w:pos="851"/>
          <w:tab w:val="left" w:pos="1276"/>
        </w:tabs>
        <w:spacing w:after="200" w:line="560" w:lineRule="exact"/>
        <w:ind w:left="0" w:firstLine="424" w:firstLineChars="0"/>
        <w:rPr>
          <w:rFonts w:ascii="宋体" w:hAnsi="宋体"/>
          <w:color w:val="auto"/>
          <w:sz w:val="28"/>
          <w:szCs w:val="28"/>
        </w:rPr>
      </w:pPr>
      <w:r>
        <w:rPr>
          <w:rFonts w:hint="eastAsia" w:ascii="宋体" w:hAnsi="宋体"/>
          <w:color w:val="auto"/>
          <w:sz w:val="28"/>
          <w:szCs w:val="28"/>
        </w:rPr>
        <w:t>分项评分超出评分标准范围的；</w:t>
      </w:r>
    </w:p>
    <w:p>
      <w:pPr>
        <w:pStyle w:val="85"/>
        <w:numPr>
          <w:ilvl w:val="0"/>
          <w:numId w:val="41"/>
        </w:numPr>
        <w:tabs>
          <w:tab w:val="left" w:pos="851"/>
          <w:tab w:val="left" w:pos="1276"/>
          <w:tab w:val="left" w:pos="1418"/>
        </w:tabs>
        <w:spacing w:after="200" w:line="560" w:lineRule="exact"/>
        <w:ind w:left="0" w:firstLine="424" w:firstLineChars="0"/>
        <w:rPr>
          <w:rFonts w:ascii="宋体" w:hAnsi="宋体"/>
          <w:color w:val="auto"/>
          <w:sz w:val="28"/>
          <w:szCs w:val="28"/>
        </w:rPr>
      </w:pPr>
      <w:r>
        <w:rPr>
          <w:rFonts w:hint="eastAsia" w:ascii="宋体" w:hAnsi="宋体"/>
          <w:color w:val="auto"/>
          <w:sz w:val="28"/>
          <w:szCs w:val="28"/>
        </w:rPr>
        <w:t>评标委员会成员对客观评审因素评分不一致的；</w:t>
      </w:r>
    </w:p>
    <w:p>
      <w:pPr>
        <w:pStyle w:val="85"/>
        <w:numPr>
          <w:ilvl w:val="0"/>
          <w:numId w:val="41"/>
        </w:numPr>
        <w:tabs>
          <w:tab w:val="left" w:pos="851"/>
          <w:tab w:val="left" w:pos="1276"/>
        </w:tabs>
        <w:spacing w:after="200" w:line="560" w:lineRule="exact"/>
        <w:ind w:left="0" w:firstLine="426" w:firstLineChars="0"/>
        <w:rPr>
          <w:rFonts w:ascii="宋体" w:hAnsi="宋体"/>
          <w:color w:val="auto"/>
          <w:sz w:val="28"/>
          <w:szCs w:val="28"/>
        </w:rPr>
      </w:pPr>
      <w:r>
        <w:rPr>
          <w:rFonts w:hint="eastAsia" w:ascii="宋体" w:hAnsi="宋体"/>
          <w:color w:val="auto"/>
          <w:sz w:val="28"/>
          <w:szCs w:val="28"/>
        </w:rPr>
        <w:t>经评标委员会认定评分畸高、畸低的。</w:t>
      </w:r>
    </w:p>
    <w:p>
      <w:pPr>
        <w:tabs>
          <w:tab w:val="left" w:pos="851"/>
        </w:tabs>
        <w:spacing w:line="560" w:lineRule="exact"/>
        <w:ind w:firstLine="565" w:firstLineChars="202"/>
        <w:rPr>
          <w:rFonts w:ascii="宋体" w:hAnsi="宋体"/>
          <w:color w:val="auto"/>
          <w:sz w:val="28"/>
          <w:szCs w:val="28"/>
        </w:rPr>
      </w:pPr>
      <w:r>
        <w:rPr>
          <w:rFonts w:hint="eastAsia" w:ascii="宋体" w:hAnsi="宋体"/>
          <w:color w:val="auto"/>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pStyle w:val="5"/>
        <w:numPr>
          <w:ilvl w:val="2"/>
          <w:numId w:val="4"/>
        </w:numPr>
        <w:spacing w:after="200" w:line="560" w:lineRule="exact"/>
        <w:ind w:left="0" w:firstLine="0"/>
        <w:rPr>
          <w:color w:val="auto"/>
        </w:rPr>
      </w:pPr>
      <w:r>
        <w:rPr>
          <w:rFonts w:hint="eastAsia"/>
          <w:color w:val="auto"/>
        </w:rPr>
        <w:t>确定中标候选人名单</w:t>
      </w:r>
    </w:p>
    <w:p>
      <w:pPr>
        <w:tabs>
          <w:tab w:val="left" w:pos="851"/>
        </w:tabs>
        <w:spacing w:line="560" w:lineRule="exact"/>
        <w:ind w:firstLine="565" w:firstLineChars="202"/>
        <w:rPr>
          <w:rFonts w:ascii="宋体" w:hAnsi="宋体"/>
          <w:color w:val="auto"/>
          <w:sz w:val="28"/>
          <w:szCs w:val="28"/>
        </w:rPr>
      </w:pPr>
      <w:r>
        <w:rPr>
          <w:rFonts w:hint="eastAsia" w:ascii="宋体" w:hAnsi="宋体"/>
          <w:color w:val="auto"/>
          <w:sz w:val="28"/>
          <w:szCs w:val="28"/>
        </w:rPr>
        <w:t>按投标人综合得分从高到低进行排序，确定1至3名中标候选人。综合得分相同的，按投标报价由低到高顺序排列，得分且投标报价相同的并列。</w:t>
      </w:r>
      <w:r>
        <w:rPr>
          <w:rFonts w:hint="eastAsia" w:ascii="Helvetica" w:hAnsi="Helvetica" w:cs="Helvetica"/>
          <w:color w:val="auto"/>
          <w:kern w:val="0"/>
          <w:sz w:val="28"/>
          <w:szCs w:val="28"/>
        </w:rPr>
        <w:t>投标文件满足招标文件全部实质性要求，且按照评审因素的量化指标评审得分最高的投标人为排名第一的中标候选人。</w:t>
      </w:r>
    </w:p>
    <w:p>
      <w:pPr>
        <w:pStyle w:val="5"/>
        <w:numPr>
          <w:ilvl w:val="2"/>
          <w:numId w:val="4"/>
        </w:numPr>
        <w:spacing w:after="200" w:line="560" w:lineRule="exact"/>
        <w:ind w:left="0" w:firstLine="0"/>
        <w:rPr>
          <w:color w:val="auto"/>
        </w:rPr>
      </w:pPr>
      <w:r>
        <w:rPr>
          <w:rFonts w:hint="eastAsia"/>
          <w:color w:val="auto"/>
        </w:rPr>
        <w:t>编写评标报告</w:t>
      </w:r>
      <w:bookmarkEnd w:id="290"/>
      <w:bookmarkEnd w:id="291"/>
    </w:p>
    <w:p>
      <w:pPr>
        <w:spacing w:line="560" w:lineRule="exact"/>
        <w:ind w:firstLine="560" w:firstLineChars="200"/>
        <w:rPr>
          <w:rFonts w:ascii="宋体" w:hAnsi="宋体"/>
          <w:color w:val="auto"/>
          <w:sz w:val="28"/>
          <w:szCs w:val="28"/>
        </w:rPr>
      </w:pPr>
      <w:r>
        <w:rPr>
          <w:rFonts w:hint="eastAsia" w:ascii="宋体" w:hAnsi="宋体"/>
          <w:color w:val="auto"/>
          <w:sz w:val="28"/>
          <w:szCs w:val="28"/>
        </w:rPr>
        <w:t>评标报告是评标委员会根据全体评标成员签字的原始评标记录和评标结果编写的报告，其主要内容包括：</w:t>
      </w:r>
    </w:p>
    <w:p>
      <w:pPr>
        <w:numPr>
          <w:ilvl w:val="0"/>
          <w:numId w:val="42"/>
        </w:numPr>
        <w:tabs>
          <w:tab w:val="left" w:pos="1155"/>
        </w:tabs>
        <w:spacing w:after="200" w:line="560" w:lineRule="exact"/>
        <w:ind w:left="0" w:firstLine="525"/>
        <w:rPr>
          <w:rFonts w:ascii="宋体" w:hAnsi="宋体"/>
          <w:color w:val="auto"/>
          <w:sz w:val="28"/>
          <w:szCs w:val="28"/>
        </w:rPr>
      </w:pPr>
      <w:r>
        <w:rPr>
          <w:rFonts w:hint="eastAsia" w:ascii="宋体" w:hAnsi="宋体"/>
          <w:color w:val="auto"/>
          <w:sz w:val="28"/>
          <w:szCs w:val="28"/>
        </w:rPr>
        <w:t>招标公告刊登的媒体名称、开标日期和地点；</w:t>
      </w:r>
    </w:p>
    <w:p>
      <w:pPr>
        <w:numPr>
          <w:ilvl w:val="0"/>
          <w:numId w:val="42"/>
        </w:numPr>
        <w:tabs>
          <w:tab w:val="left" w:pos="1155"/>
        </w:tabs>
        <w:spacing w:after="200" w:line="560" w:lineRule="exact"/>
        <w:ind w:left="0" w:firstLine="525"/>
        <w:rPr>
          <w:rFonts w:ascii="宋体" w:hAnsi="宋体"/>
          <w:color w:val="auto"/>
          <w:sz w:val="28"/>
          <w:szCs w:val="28"/>
        </w:rPr>
      </w:pPr>
      <w:r>
        <w:rPr>
          <w:rFonts w:hint="eastAsia" w:ascii="宋体" w:hAnsi="宋体"/>
          <w:color w:val="auto"/>
          <w:sz w:val="28"/>
          <w:szCs w:val="28"/>
        </w:rPr>
        <w:t>投标人名单和评标委员会成员名单；</w:t>
      </w:r>
    </w:p>
    <w:p>
      <w:pPr>
        <w:numPr>
          <w:ilvl w:val="0"/>
          <w:numId w:val="42"/>
        </w:numPr>
        <w:tabs>
          <w:tab w:val="left" w:pos="1155"/>
        </w:tabs>
        <w:spacing w:after="200" w:line="560" w:lineRule="exact"/>
        <w:ind w:left="0" w:firstLine="525"/>
        <w:rPr>
          <w:rFonts w:ascii="宋体" w:hAnsi="宋体"/>
          <w:color w:val="auto"/>
          <w:sz w:val="28"/>
          <w:szCs w:val="28"/>
        </w:rPr>
      </w:pPr>
      <w:r>
        <w:rPr>
          <w:rFonts w:hint="eastAsia" w:ascii="宋体" w:hAnsi="宋体"/>
          <w:color w:val="auto"/>
          <w:sz w:val="28"/>
          <w:szCs w:val="28"/>
        </w:rPr>
        <w:t>评标方法和标准；</w:t>
      </w:r>
    </w:p>
    <w:p>
      <w:pPr>
        <w:numPr>
          <w:ilvl w:val="0"/>
          <w:numId w:val="42"/>
        </w:numPr>
        <w:tabs>
          <w:tab w:val="left" w:pos="1155"/>
        </w:tabs>
        <w:spacing w:after="200" w:line="560" w:lineRule="exact"/>
        <w:ind w:left="0" w:firstLine="525"/>
        <w:rPr>
          <w:rFonts w:ascii="宋体" w:hAnsi="宋体"/>
          <w:color w:val="auto"/>
          <w:sz w:val="28"/>
          <w:szCs w:val="28"/>
        </w:rPr>
      </w:pPr>
      <w:r>
        <w:rPr>
          <w:rFonts w:hint="eastAsia" w:ascii="宋体" w:hAnsi="宋体"/>
          <w:color w:val="auto"/>
          <w:sz w:val="28"/>
          <w:szCs w:val="28"/>
        </w:rPr>
        <w:t>开标记录和评标情况及说明，包括投标无效投标人名单及原因；</w:t>
      </w:r>
    </w:p>
    <w:p>
      <w:pPr>
        <w:numPr>
          <w:ilvl w:val="0"/>
          <w:numId w:val="42"/>
        </w:numPr>
        <w:tabs>
          <w:tab w:val="left" w:pos="1155"/>
        </w:tabs>
        <w:spacing w:after="200" w:line="560" w:lineRule="exact"/>
        <w:ind w:left="0" w:firstLine="525"/>
        <w:rPr>
          <w:rFonts w:ascii="宋体" w:hAnsi="宋体"/>
          <w:color w:val="auto"/>
          <w:sz w:val="28"/>
          <w:szCs w:val="28"/>
        </w:rPr>
      </w:pPr>
      <w:r>
        <w:rPr>
          <w:rFonts w:hint="eastAsia" w:ascii="宋体" w:hAnsi="宋体"/>
          <w:color w:val="auto"/>
          <w:sz w:val="28"/>
          <w:szCs w:val="28"/>
        </w:rPr>
        <w:t>评标结果，确定的中标候选人名单或者经采购人委托直接确定的中标人；</w:t>
      </w:r>
    </w:p>
    <w:p>
      <w:pPr>
        <w:numPr>
          <w:ilvl w:val="0"/>
          <w:numId w:val="42"/>
        </w:numPr>
        <w:tabs>
          <w:tab w:val="left" w:pos="1155"/>
        </w:tabs>
        <w:spacing w:after="200" w:line="560" w:lineRule="exact"/>
        <w:ind w:left="0" w:firstLine="525"/>
        <w:rPr>
          <w:rFonts w:ascii="宋体" w:hAnsi="宋体"/>
          <w:color w:val="auto"/>
          <w:sz w:val="28"/>
          <w:szCs w:val="28"/>
        </w:rPr>
      </w:pPr>
      <w:r>
        <w:rPr>
          <w:rFonts w:hint="eastAsia" w:ascii="宋体" w:hAnsi="宋体"/>
          <w:color w:val="auto"/>
          <w:sz w:val="28"/>
          <w:szCs w:val="28"/>
        </w:rPr>
        <w:t xml:space="preserve">其他需要说明的情况，包括评标过程中投标人根据评标委员会要求进行的澄清、说明或者补正，评标委员会成员的更换等； </w:t>
      </w:r>
    </w:p>
    <w:p>
      <w:pPr>
        <w:numPr>
          <w:ilvl w:val="0"/>
          <w:numId w:val="42"/>
        </w:numPr>
        <w:tabs>
          <w:tab w:val="left" w:pos="1155"/>
        </w:tabs>
        <w:spacing w:after="200" w:line="560" w:lineRule="exact"/>
        <w:ind w:left="0" w:firstLine="525"/>
        <w:rPr>
          <w:rFonts w:ascii="宋体" w:hAnsi="宋体"/>
          <w:color w:val="auto"/>
          <w:sz w:val="28"/>
          <w:szCs w:val="28"/>
        </w:rPr>
      </w:pPr>
      <w:r>
        <w:rPr>
          <w:rFonts w:hint="eastAsia" w:ascii="宋体" w:hAnsi="宋体"/>
          <w:color w:val="auto"/>
          <w:sz w:val="28"/>
          <w:szCs w:val="28"/>
        </w:rPr>
        <w:t>报价最高的投标人为中标候选人的，评标委员会应当对其报价的合理性予以特别说明。</w:t>
      </w:r>
    </w:p>
    <w:p>
      <w:pPr>
        <w:tabs>
          <w:tab w:val="left" w:pos="1155"/>
        </w:tabs>
        <w:spacing w:line="560" w:lineRule="exact"/>
        <w:ind w:firstLine="523" w:firstLineChars="187"/>
        <w:rPr>
          <w:rFonts w:ascii="宋体" w:hAnsi="宋体"/>
          <w:color w:val="auto"/>
          <w:sz w:val="28"/>
          <w:szCs w:val="28"/>
        </w:rPr>
      </w:pPr>
      <w:r>
        <w:rPr>
          <w:rFonts w:hint="eastAsia" w:ascii="宋体" w:hAnsi="宋体"/>
          <w:color w:val="auto"/>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4"/>
        <w:numPr>
          <w:ilvl w:val="1"/>
          <w:numId w:val="4"/>
        </w:numPr>
        <w:spacing w:line="560" w:lineRule="exact"/>
        <w:ind w:left="2269" w:hanging="2269"/>
        <w:rPr>
          <w:color w:val="auto"/>
        </w:rPr>
      </w:pPr>
      <w:bookmarkStart w:id="292" w:name="_Toc7609"/>
      <w:bookmarkStart w:id="293" w:name="_Toc65573708"/>
      <w:bookmarkStart w:id="294" w:name="_Toc27797"/>
      <w:bookmarkStart w:id="295" w:name="_Toc479753445"/>
      <w:bookmarkStart w:id="296" w:name="_Toc11482"/>
      <w:bookmarkStart w:id="297" w:name="_Toc30340"/>
      <w:bookmarkStart w:id="298" w:name="_Toc315871654"/>
      <w:bookmarkStart w:id="299" w:name="_Toc316292256"/>
      <w:bookmarkStart w:id="300" w:name="_Toc217446103"/>
      <w:r>
        <w:rPr>
          <w:rFonts w:hint="eastAsia"/>
          <w:color w:val="auto"/>
        </w:rPr>
        <w:t>评标争议处理规则</w:t>
      </w:r>
      <w:bookmarkEnd w:id="292"/>
      <w:bookmarkEnd w:id="293"/>
      <w:bookmarkEnd w:id="294"/>
      <w:bookmarkEnd w:id="295"/>
      <w:bookmarkEnd w:id="296"/>
      <w:bookmarkEnd w:id="297"/>
    </w:p>
    <w:p>
      <w:pPr>
        <w:tabs>
          <w:tab w:val="left" w:pos="1155"/>
        </w:tabs>
        <w:spacing w:line="560" w:lineRule="exact"/>
        <w:ind w:firstLine="523" w:firstLineChars="187"/>
        <w:rPr>
          <w:rFonts w:ascii="宋体" w:hAnsi="宋体"/>
          <w:color w:val="auto"/>
          <w:sz w:val="28"/>
          <w:szCs w:val="28"/>
        </w:rPr>
      </w:pPr>
      <w:r>
        <w:rPr>
          <w:rFonts w:hint="eastAsia" w:ascii="宋体" w:hAnsi="宋体"/>
          <w:color w:val="auto"/>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color w:val="auto"/>
          <w:sz w:val="28"/>
          <w:szCs w:val="28"/>
        </w:rPr>
        <w:t>持不同意见的评标委员会成员应当在评标报告上签署不同意见及理由，否则视为同意评标报告。</w:t>
      </w:r>
      <w:r>
        <w:rPr>
          <w:rFonts w:hint="eastAsia" w:ascii="宋体" w:hAnsi="宋体"/>
          <w:color w:val="auto"/>
          <w:sz w:val="28"/>
          <w:szCs w:val="28"/>
        </w:rPr>
        <w:t>持不同意见的评标委员会成员认为认定过程和结果不符合法律法规或者招标文件规定的，应当及时向采购人或</w:t>
      </w:r>
      <w:r>
        <w:rPr>
          <w:rFonts w:hint="eastAsia" w:cs="Arial"/>
          <w:color w:val="auto"/>
          <w:sz w:val="28"/>
          <w:szCs w:val="28"/>
        </w:rPr>
        <w:t>市公资交易中心</w:t>
      </w:r>
      <w:r>
        <w:rPr>
          <w:rFonts w:hint="eastAsia" w:ascii="宋体" w:hAnsi="宋体"/>
          <w:color w:val="auto"/>
          <w:sz w:val="28"/>
          <w:szCs w:val="28"/>
        </w:rPr>
        <w:t>书面反映。采购人或</w:t>
      </w:r>
      <w:r>
        <w:rPr>
          <w:rFonts w:hint="eastAsia" w:cs="Arial"/>
          <w:color w:val="auto"/>
          <w:sz w:val="28"/>
          <w:szCs w:val="28"/>
        </w:rPr>
        <w:t>市公资交易中心</w:t>
      </w:r>
      <w:r>
        <w:rPr>
          <w:rFonts w:hint="eastAsia" w:ascii="宋体" w:hAnsi="宋体"/>
          <w:color w:val="auto"/>
          <w:sz w:val="28"/>
          <w:szCs w:val="28"/>
        </w:rPr>
        <w:t>收到书面反映后，应当书面报告采购项目同级财政部门依法处理。</w:t>
      </w:r>
    </w:p>
    <w:p>
      <w:pPr>
        <w:pStyle w:val="4"/>
        <w:numPr>
          <w:ilvl w:val="1"/>
          <w:numId w:val="4"/>
        </w:numPr>
        <w:spacing w:before="0" w:after="0" w:line="560" w:lineRule="exact"/>
        <w:ind w:left="2269" w:hanging="2269"/>
        <w:rPr>
          <w:color w:val="auto"/>
        </w:rPr>
      </w:pPr>
      <w:bookmarkStart w:id="301" w:name="_Toc25222"/>
      <w:bookmarkStart w:id="302" w:name="_Toc23552"/>
      <w:bookmarkStart w:id="303" w:name="_Toc6600"/>
      <w:bookmarkStart w:id="304" w:name="_Toc18642"/>
      <w:bookmarkStart w:id="305" w:name="_Toc65573709"/>
      <w:r>
        <w:rPr>
          <w:rFonts w:hint="eastAsia"/>
          <w:color w:val="auto"/>
        </w:rPr>
        <w:t>评标细则及标准</w:t>
      </w:r>
      <w:bookmarkEnd w:id="298"/>
      <w:bookmarkEnd w:id="299"/>
      <w:bookmarkEnd w:id="300"/>
      <w:bookmarkEnd w:id="301"/>
      <w:bookmarkEnd w:id="302"/>
      <w:bookmarkEnd w:id="303"/>
      <w:bookmarkEnd w:id="304"/>
      <w:bookmarkEnd w:id="305"/>
    </w:p>
    <w:p>
      <w:pPr>
        <w:numPr>
          <w:ilvl w:val="0"/>
          <w:numId w:val="43"/>
        </w:numPr>
        <w:tabs>
          <w:tab w:val="left" w:pos="1155"/>
        </w:tabs>
        <w:spacing w:after="200" w:line="560" w:lineRule="exact"/>
        <w:ind w:left="0" w:firstLine="567"/>
        <w:rPr>
          <w:rFonts w:ascii="宋体" w:hAnsi="宋体"/>
          <w:color w:val="auto"/>
          <w:sz w:val="28"/>
          <w:szCs w:val="28"/>
        </w:rPr>
      </w:pPr>
      <w:r>
        <w:rPr>
          <w:rFonts w:hint="eastAsia" w:ascii="宋体" w:hAnsi="宋体"/>
          <w:color w:val="auto"/>
          <w:sz w:val="28"/>
          <w:szCs w:val="28"/>
        </w:rPr>
        <w:t>评标委员会只对通过初审的投标文件，根据招标文件的要求采用相同的评标程序、评分办法及标准进行评价和比较。</w:t>
      </w:r>
    </w:p>
    <w:p>
      <w:pPr>
        <w:numPr>
          <w:ilvl w:val="0"/>
          <w:numId w:val="43"/>
        </w:numPr>
        <w:tabs>
          <w:tab w:val="left" w:pos="1155"/>
        </w:tabs>
        <w:spacing w:after="200" w:line="560" w:lineRule="exact"/>
        <w:ind w:left="0" w:firstLine="567"/>
        <w:rPr>
          <w:rFonts w:ascii="宋体" w:hAnsi="宋体"/>
          <w:color w:val="auto"/>
          <w:sz w:val="28"/>
          <w:szCs w:val="28"/>
        </w:rPr>
      </w:pPr>
      <w:r>
        <w:rPr>
          <w:rFonts w:hint="eastAsia" w:ascii="宋体" w:hAnsi="宋体"/>
          <w:color w:val="auto"/>
          <w:sz w:val="28"/>
          <w:szCs w:val="28"/>
        </w:rPr>
        <w:t>本次综合评分的因素是：价格、服务、商务等。</w:t>
      </w:r>
    </w:p>
    <w:p>
      <w:pPr>
        <w:numPr>
          <w:ilvl w:val="0"/>
          <w:numId w:val="43"/>
        </w:numPr>
        <w:tabs>
          <w:tab w:val="left" w:pos="1155"/>
        </w:tabs>
        <w:spacing w:after="200" w:line="560" w:lineRule="exact"/>
        <w:ind w:left="0" w:firstLine="525"/>
        <w:rPr>
          <w:rFonts w:ascii="宋体" w:hAnsi="宋体"/>
          <w:color w:val="auto"/>
          <w:sz w:val="28"/>
          <w:szCs w:val="28"/>
        </w:rPr>
      </w:pPr>
      <w:bookmarkStart w:id="306" w:name="_Toc217102344"/>
      <w:bookmarkStart w:id="307" w:name="_Toc310176995"/>
      <w:bookmarkStart w:id="308" w:name="_Toc218498587"/>
      <w:r>
        <w:rPr>
          <w:rFonts w:hint="eastAsia" w:ascii="宋体" w:hAnsi="宋体"/>
          <w:color w:val="auto"/>
          <w:sz w:val="28"/>
          <w:szCs w:val="28"/>
        </w:rPr>
        <w:t>评标委员会成员应依据招标文件规定的评分标准和方法独立打分。</w:t>
      </w:r>
    </w:p>
    <w:p>
      <w:pPr>
        <w:pStyle w:val="5"/>
        <w:numPr>
          <w:ilvl w:val="2"/>
          <w:numId w:val="4"/>
        </w:numPr>
        <w:spacing w:after="200" w:line="560" w:lineRule="exact"/>
        <w:ind w:left="0" w:firstLine="0"/>
        <w:rPr>
          <w:color w:val="auto"/>
        </w:rPr>
      </w:pPr>
      <w:r>
        <w:rPr>
          <w:rFonts w:hint="eastAsia"/>
          <w:color w:val="auto"/>
        </w:rPr>
        <w:t>评分办法</w:t>
      </w:r>
      <w:bookmarkEnd w:id="306"/>
      <w:bookmarkEnd w:id="307"/>
      <w:bookmarkEnd w:id="308"/>
    </w:p>
    <w:p>
      <w:pPr>
        <w:spacing w:line="560" w:lineRule="exact"/>
        <w:ind w:firstLine="630" w:firstLineChars="225"/>
        <w:rPr>
          <w:rFonts w:ascii="宋体" w:hAnsi="宋体"/>
          <w:color w:val="auto"/>
          <w:sz w:val="28"/>
          <w:szCs w:val="28"/>
        </w:rPr>
      </w:pPr>
      <w:r>
        <w:rPr>
          <w:rFonts w:hint="eastAsia" w:ascii="宋体" w:hAnsi="宋体"/>
          <w:color w:val="auto"/>
          <w:sz w:val="28"/>
          <w:szCs w:val="28"/>
        </w:rPr>
        <w:t xml:space="preserve">本次评标采用综合评分法，由评标委员会各成员独立对通过初审（资格检查和符合性检查）的投标人的投标文件进行评审和打分，    </w:t>
      </w:r>
    </w:p>
    <w:p>
      <w:pPr>
        <w:spacing w:line="560" w:lineRule="exact"/>
        <w:ind w:firstLine="630" w:firstLineChars="225"/>
        <w:rPr>
          <w:rFonts w:ascii="宋体" w:hAnsi="宋体"/>
          <w:color w:val="auto"/>
          <w:sz w:val="28"/>
          <w:szCs w:val="28"/>
        </w:rPr>
      </w:pPr>
      <w:r>
        <w:rPr>
          <w:rFonts w:hint="eastAsia" w:ascii="宋体" w:hAnsi="宋体"/>
          <w:color w:val="auto"/>
          <w:sz w:val="28"/>
          <w:szCs w:val="28"/>
        </w:rPr>
        <w:t>评标得分＝（A</w:t>
      </w:r>
      <w:r>
        <w:rPr>
          <w:rFonts w:hint="eastAsia" w:ascii="宋体" w:hAnsi="宋体"/>
          <w:color w:val="auto"/>
          <w:sz w:val="28"/>
          <w:szCs w:val="28"/>
          <w:vertAlign w:val="subscript"/>
        </w:rPr>
        <w:t>1</w:t>
      </w:r>
      <w:r>
        <w:rPr>
          <w:rFonts w:hint="eastAsia" w:ascii="宋体" w:hAnsi="宋体"/>
          <w:color w:val="auto"/>
          <w:sz w:val="28"/>
          <w:szCs w:val="28"/>
        </w:rPr>
        <w:t>＋A</w:t>
      </w:r>
      <w:r>
        <w:rPr>
          <w:rFonts w:hint="eastAsia" w:ascii="宋体" w:hAnsi="宋体"/>
          <w:color w:val="auto"/>
          <w:sz w:val="28"/>
          <w:szCs w:val="28"/>
          <w:vertAlign w:val="subscript"/>
        </w:rPr>
        <w:t>2</w:t>
      </w:r>
      <w:r>
        <w:rPr>
          <w:rFonts w:hint="eastAsia" w:ascii="宋体" w:hAnsi="宋体"/>
          <w:color w:val="auto"/>
          <w:sz w:val="28"/>
          <w:szCs w:val="28"/>
        </w:rPr>
        <w:t>＋……＋A</w:t>
      </w:r>
      <w:r>
        <w:rPr>
          <w:rFonts w:hint="eastAsia" w:ascii="宋体" w:hAnsi="宋体"/>
          <w:color w:val="auto"/>
          <w:sz w:val="28"/>
          <w:szCs w:val="28"/>
          <w:vertAlign w:val="subscript"/>
        </w:rPr>
        <w:t>n</w:t>
      </w:r>
      <w:r>
        <w:rPr>
          <w:rFonts w:hint="eastAsia" w:ascii="宋体" w:hAnsi="宋体"/>
          <w:color w:val="auto"/>
          <w:sz w:val="28"/>
          <w:szCs w:val="28"/>
        </w:rPr>
        <w:t>）/n</w:t>
      </w:r>
      <w:r>
        <w:rPr>
          <w:rFonts w:hint="eastAsia" w:ascii="宋体" w:hAnsi="宋体"/>
          <w:color w:val="auto"/>
          <w:sz w:val="28"/>
          <w:szCs w:val="28"/>
          <w:vertAlign w:val="subscript"/>
        </w:rPr>
        <w:t>1</w:t>
      </w:r>
      <w:r>
        <w:rPr>
          <w:rFonts w:hint="eastAsia" w:ascii="宋体" w:hAnsi="宋体"/>
          <w:color w:val="auto"/>
          <w:sz w:val="28"/>
          <w:szCs w:val="28"/>
        </w:rPr>
        <w:t>+（B</w:t>
      </w:r>
      <w:r>
        <w:rPr>
          <w:rFonts w:hint="eastAsia" w:ascii="宋体" w:hAnsi="宋体"/>
          <w:color w:val="auto"/>
          <w:sz w:val="28"/>
          <w:szCs w:val="28"/>
          <w:vertAlign w:val="subscript"/>
        </w:rPr>
        <w:t>1</w:t>
      </w:r>
      <w:r>
        <w:rPr>
          <w:rFonts w:hint="eastAsia" w:ascii="宋体" w:hAnsi="宋体"/>
          <w:color w:val="auto"/>
          <w:sz w:val="28"/>
          <w:szCs w:val="28"/>
        </w:rPr>
        <w:t>＋B</w:t>
      </w:r>
      <w:r>
        <w:rPr>
          <w:rFonts w:hint="eastAsia" w:ascii="宋体" w:hAnsi="宋体"/>
          <w:color w:val="auto"/>
          <w:sz w:val="28"/>
          <w:szCs w:val="28"/>
          <w:vertAlign w:val="subscript"/>
        </w:rPr>
        <w:t>2</w:t>
      </w:r>
      <w:r>
        <w:rPr>
          <w:rFonts w:hint="eastAsia" w:ascii="宋体" w:hAnsi="宋体"/>
          <w:color w:val="auto"/>
          <w:sz w:val="28"/>
          <w:szCs w:val="28"/>
        </w:rPr>
        <w:t>＋……＋B</w:t>
      </w:r>
      <w:r>
        <w:rPr>
          <w:rFonts w:hint="eastAsia" w:ascii="宋体" w:hAnsi="宋体"/>
          <w:color w:val="auto"/>
          <w:sz w:val="28"/>
          <w:szCs w:val="28"/>
          <w:vertAlign w:val="subscript"/>
        </w:rPr>
        <w:t>n</w:t>
      </w:r>
      <w:r>
        <w:rPr>
          <w:rFonts w:hint="eastAsia" w:ascii="宋体" w:hAnsi="宋体"/>
          <w:color w:val="auto"/>
          <w:sz w:val="28"/>
          <w:szCs w:val="28"/>
        </w:rPr>
        <w:t>）/ n</w:t>
      </w:r>
      <w:r>
        <w:rPr>
          <w:rFonts w:hint="eastAsia" w:ascii="宋体" w:hAnsi="宋体"/>
          <w:color w:val="auto"/>
          <w:sz w:val="28"/>
          <w:szCs w:val="28"/>
          <w:vertAlign w:val="subscript"/>
        </w:rPr>
        <w:t>2</w:t>
      </w:r>
      <w:r>
        <w:rPr>
          <w:rFonts w:hint="eastAsia" w:ascii="宋体" w:hAnsi="宋体"/>
          <w:color w:val="auto"/>
          <w:sz w:val="28"/>
          <w:szCs w:val="28"/>
        </w:rPr>
        <w:t>+（C</w:t>
      </w:r>
      <w:r>
        <w:rPr>
          <w:rFonts w:hint="eastAsia" w:ascii="宋体" w:hAnsi="宋体"/>
          <w:color w:val="auto"/>
          <w:sz w:val="28"/>
          <w:szCs w:val="28"/>
          <w:vertAlign w:val="subscript"/>
        </w:rPr>
        <w:t>1</w:t>
      </w:r>
      <w:r>
        <w:rPr>
          <w:rFonts w:hint="eastAsia" w:ascii="宋体" w:hAnsi="宋体"/>
          <w:color w:val="auto"/>
          <w:sz w:val="28"/>
          <w:szCs w:val="28"/>
        </w:rPr>
        <w:t>＋C</w:t>
      </w:r>
      <w:r>
        <w:rPr>
          <w:rFonts w:hint="eastAsia" w:ascii="宋体" w:hAnsi="宋体"/>
          <w:color w:val="auto"/>
          <w:sz w:val="28"/>
          <w:szCs w:val="28"/>
          <w:vertAlign w:val="subscript"/>
        </w:rPr>
        <w:t>2</w:t>
      </w:r>
      <w:r>
        <w:rPr>
          <w:rFonts w:hint="eastAsia" w:ascii="宋体" w:hAnsi="宋体"/>
          <w:color w:val="auto"/>
          <w:sz w:val="28"/>
          <w:szCs w:val="28"/>
        </w:rPr>
        <w:t>＋……＋C</w:t>
      </w:r>
      <w:r>
        <w:rPr>
          <w:rFonts w:hint="eastAsia" w:ascii="宋体" w:hAnsi="宋体"/>
          <w:color w:val="auto"/>
          <w:sz w:val="28"/>
          <w:szCs w:val="28"/>
          <w:vertAlign w:val="subscript"/>
        </w:rPr>
        <w:t>n</w:t>
      </w:r>
      <w:r>
        <w:rPr>
          <w:rFonts w:hint="eastAsia" w:ascii="宋体" w:hAnsi="宋体"/>
          <w:color w:val="auto"/>
          <w:sz w:val="28"/>
          <w:szCs w:val="28"/>
        </w:rPr>
        <w:t>）/ n</w:t>
      </w:r>
      <w:r>
        <w:rPr>
          <w:rFonts w:hint="eastAsia" w:ascii="宋体" w:hAnsi="宋体"/>
          <w:color w:val="auto"/>
          <w:sz w:val="28"/>
          <w:szCs w:val="28"/>
          <w:vertAlign w:val="subscript"/>
        </w:rPr>
        <w:t>3</w:t>
      </w:r>
    </w:p>
    <w:p>
      <w:pPr>
        <w:widowControl/>
        <w:spacing w:line="560" w:lineRule="exact"/>
        <w:ind w:firstLine="560" w:firstLineChars="200"/>
        <w:rPr>
          <w:rFonts w:ascii="宋体" w:hAnsi="宋体"/>
          <w:color w:val="auto"/>
          <w:sz w:val="28"/>
          <w:szCs w:val="28"/>
        </w:rPr>
      </w:pPr>
      <w:r>
        <w:rPr>
          <w:rFonts w:hint="eastAsia" w:ascii="宋体" w:hAnsi="宋体"/>
          <w:color w:val="auto"/>
          <w:sz w:val="28"/>
          <w:szCs w:val="28"/>
        </w:rPr>
        <w:t>A</w:t>
      </w:r>
      <w:r>
        <w:rPr>
          <w:rFonts w:hint="eastAsia" w:ascii="宋体" w:hAnsi="宋体"/>
          <w:color w:val="auto"/>
          <w:sz w:val="28"/>
          <w:szCs w:val="28"/>
          <w:vertAlign w:val="subscript"/>
        </w:rPr>
        <w:t>1</w:t>
      </w:r>
      <w:r>
        <w:rPr>
          <w:rFonts w:hint="eastAsia" w:ascii="宋体" w:hAnsi="宋体"/>
          <w:color w:val="auto"/>
          <w:sz w:val="28"/>
          <w:szCs w:val="28"/>
        </w:rPr>
        <w:t>、A</w:t>
      </w:r>
      <w:r>
        <w:rPr>
          <w:rFonts w:hint="eastAsia" w:ascii="宋体" w:hAnsi="宋体"/>
          <w:color w:val="auto"/>
          <w:sz w:val="28"/>
          <w:szCs w:val="28"/>
          <w:vertAlign w:val="subscript"/>
        </w:rPr>
        <w:t>2</w:t>
      </w:r>
      <w:r>
        <w:rPr>
          <w:rFonts w:hint="eastAsia" w:ascii="宋体" w:hAnsi="宋体"/>
          <w:color w:val="auto"/>
          <w:sz w:val="28"/>
          <w:szCs w:val="28"/>
        </w:rPr>
        <w:t>……A</w:t>
      </w:r>
      <w:r>
        <w:rPr>
          <w:rFonts w:hint="eastAsia" w:ascii="宋体" w:hAnsi="宋体"/>
          <w:color w:val="auto"/>
          <w:sz w:val="28"/>
          <w:szCs w:val="28"/>
          <w:vertAlign w:val="subscript"/>
        </w:rPr>
        <w:t>n</w:t>
      </w:r>
      <w:r>
        <w:rPr>
          <w:rFonts w:hint="eastAsia" w:ascii="宋体" w:hAnsi="宋体"/>
          <w:color w:val="auto"/>
          <w:sz w:val="28"/>
          <w:szCs w:val="28"/>
        </w:rPr>
        <w:t>分别为每个</w:t>
      </w:r>
      <w:r>
        <w:rPr>
          <w:rFonts w:hint="eastAsia" w:ascii="宋体" w:hAnsi="宋体" w:cs="宋体"/>
          <w:color w:val="auto"/>
          <w:kern w:val="0"/>
          <w:sz w:val="28"/>
          <w:szCs w:val="28"/>
        </w:rPr>
        <w:t>经济类</w:t>
      </w:r>
      <w:r>
        <w:rPr>
          <w:rFonts w:hint="eastAsia" w:ascii="宋体" w:hAnsi="宋体"/>
          <w:color w:val="auto"/>
          <w:sz w:val="28"/>
          <w:szCs w:val="28"/>
        </w:rPr>
        <w:t>评委的打分，n</w:t>
      </w:r>
      <w:r>
        <w:rPr>
          <w:rFonts w:hint="eastAsia" w:ascii="宋体" w:hAnsi="宋体"/>
          <w:color w:val="auto"/>
          <w:sz w:val="28"/>
          <w:szCs w:val="28"/>
          <w:vertAlign w:val="subscript"/>
        </w:rPr>
        <w:t>1</w:t>
      </w:r>
      <w:r>
        <w:rPr>
          <w:rFonts w:hint="eastAsia" w:ascii="宋体" w:hAnsi="宋体"/>
          <w:color w:val="auto"/>
          <w:sz w:val="28"/>
          <w:szCs w:val="28"/>
        </w:rPr>
        <w:t>为</w:t>
      </w:r>
      <w:r>
        <w:rPr>
          <w:rFonts w:hint="eastAsia" w:ascii="宋体" w:hAnsi="宋体" w:cs="宋体"/>
          <w:color w:val="auto"/>
          <w:kern w:val="0"/>
          <w:sz w:val="28"/>
          <w:szCs w:val="28"/>
        </w:rPr>
        <w:t>经济类</w:t>
      </w:r>
      <w:r>
        <w:rPr>
          <w:rFonts w:hint="eastAsia" w:ascii="宋体" w:hAnsi="宋体"/>
          <w:color w:val="auto"/>
          <w:sz w:val="28"/>
          <w:szCs w:val="28"/>
        </w:rPr>
        <w:t>评委人数；B</w:t>
      </w:r>
      <w:r>
        <w:rPr>
          <w:rFonts w:hint="eastAsia" w:ascii="宋体" w:hAnsi="宋体"/>
          <w:color w:val="auto"/>
          <w:sz w:val="28"/>
          <w:szCs w:val="28"/>
          <w:vertAlign w:val="subscript"/>
        </w:rPr>
        <w:t>1</w:t>
      </w:r>
      <w:r>
        <w:rPr>
          <w:rFonts w:hint="eastAsia" w:ascii="宋体" w:hAnsi="宋体"/>
          <w:color w:val="auto"/>
          <w:sz w:val="28"/>
          <w:szCs w:val="28"/>
        </w:rPr>
        <w:t>、B</w:t>
      </w:r>
      <w:r>
        <w:rPr>
          <w:rFonts w:hint="eastAsia" w:ascii="宋体" w:hAnsi="宋体"/>
          <w:color w:val="auto"/>
          <w:sz w:val="28"/>
          <w:szCs w:val="28"/>
          <w:vertAlign w:val="subscript"/>
        </w:rPr>
        <w:t>2</w:t>
      </w:r>
      <w:r>
        <w:rPr>
          <w:rFonts w:hint="eastAsia" w:ascii="宋体" w:hAnsi="宋体"/>
          <w:color w:val="auto"/>
          <w:sz w:val="28"/>
          <w:szCs w:val="28"/>
        </w:rPr>
        <w:t>＋……B</w:t>
      </w:r>
      <w:r>
        <w:rPr>
          <w:rFonts w:hint="eastAsia" w:ascii="宋体" w:hAnsi="宋体"/>
          <w:color w:val="auto"/>
          <w:sz w:val="28"/>
          <w:szCs w:val="28"/>
          <w:vertAlign w:val="subscript"/>
        </w:rPr>
        <w:t>n</w:t>
      </w:r>
      <w:r>
        <w:rPr>
          <w:rFonts w:hint="eastAsia" w:ascii="宋体" w:hAnsi="宋体"/>
          <w:color w:val="auto"/>
          <w:sz w:val="28"/>
          <w:szCs w:val="28"/>
        </w:rPr>
        <w:t xml:space="preserve"> 分别为每个技术类评委（含采购人代表）的打分，n</w:t>
      </w:r>
      <w:r>
        <w:rPr>
          <w:rFonts w:hint="eastAsia" w:ascii="宋体" w:hAnsi="宋体"/>
          <w:color w:val="auto"/>
          <w:sz w:val="28"/>
          <w:szCs w:val="28"/>
          <w:vertAlign w:val="subscript"/>
        </w:rPr>
        <w:t>2</w:t>
      </w:r>
      <w:r>
        <w:rPr>
          <w:rFonts w:hint="eastAsia" w:ascii="宋体" w:hAnsi="宋体"/>
          <w:color w:val="auto"/>
          <w:sz w:val="28"/>
          <w:szCs w:val="28"/>
        </w:rPr>
        <w:t>为</w:t>
      </w:r>
      <w:r>
        <w:rPr>
          <w:rFonts w:hint="eastAsia" w:ascii="宋体" w:hAnsi="宋体" w:cs="宋体"/>
          <w:color w:val="auto"/>
          <w:kern w:val="0"/>
          <w:sz w:val="28"/>
          <w:szCs w:val="28"/>
        </w:rPr>
        <w:t>技术类</w:t>
      </w:r>
      <w:r>
        <w:rPr>
          <w:rFonts w:hint="eastAsia" w:ascii="宋体" w:hAnsi="宋体"/>
          <w:color w:val="auto"/>
          <w:sz w:val="28"/>
          <w:szCs w:val="28"/>
        </w:rPr>
        <w:t>评委（含采购人代表）人数；C</w:t>
      </w:r>
      <w:r>
        <w:rPr>
          <w:rFonts w:hint="eastAsia" w:ascii="宋体" w:hAnsi="宋体"/>
          <w:color w:val="auto"/>
          <w:sz w:val="28"/>
          <w:szCs w:val="28"/>
          <w:vertAlign w:val="subscript"/>
        </w:rPr>
        <w:t>1</w:t>
      </w:r>
      <w:r>
        <w:rPr>
          <w:rFonts w:hint="eastAsia" w:ascii="宋体" w:hAnsi="宋体"/>
          <w:color w:val="auto"/>
          <w:sz w:val="28"/>
          <w:szCs w:val="28"/>
        </w:rPr>
        <w:t>、C</w:t>
      </w:r>
      <w:r>
        <w:rPr>
          <w:rFonts w:hint="eastAsia" w:ascii="宋体" w:hAnsi="宋体"/>
          <w:color w:val="auto"/>
          <w:sz w:val="28"/>
          <w:szCs w:val="28"/>
          <w:vertAlign w:val="subscript"/>
        </w:rPr>
        <w:t>2</w:t>
      </w:r>
      <w:r>
        <w:rPr>
          <w:rFonts w:hint="eastAsia" w:ascii="宋体" w:hAnsi="宋体"/>
          <w:color w:val="auto"/>
          <w:sz w:val="28"/>
          <w:szCs w:val="28"/>
        </w:rPr>
        <w:t>……C</w:t>
      </w:r>
      <w:r>
        <w:rPr>
          <w:rFonts w:hint="eastAsia" w:ascii="宋体" w:hAnsi="宋体"/>
          <w:color w:val="auto"/>
          <w:sz w:val="28"/>
          <w:szCs w:val="28"/>
          <w:vertAlign w:val="subscript"/>
        </w:rPr>
        <w:t>n</w:t>
      </w:r>
      <w:r>
        <w:rPr>
          <w:rFonts w:hint="eastAsia" w:ascii="宋体" w:hAnsi="宋体"/>
          <w:color w:val="auto"/>
          <w:sz w:val="28"/>
          <w:szCs w:val="28"/>
        </w:rPr>
        <w:t xml:space="preserve"> 分别为评审委员会每个成员的打分，n</w:t>
      </w:r>
      <w:r>
        <w:rPr>
          <w:rFonts w:hint="eastAsia" w:ascii="宋体" w:hAnsi="宋体"/>
          <w:color w:val="auto"/>
          <w:sz w:val="28"/>
          <w:szCs w:val="28"/>
          <w:vertAlign w:val="subscript"/>
        </w:rPr>
        <w:t>3</w:t>
      </w:r>
      <w:r>
        <w:rPr>
          <w:rFonts w:hint="eastAsia" w:ascii="宋体" w:hAnsi="宋体"/>
          <w:color w:val="auto"/>
          <w:sz w:val="28"/>
          <w:szCs w:val="28"/>
        </w:rPr>
        <w:t>为评委人数。</w:t>
      </w:r>
    </w:p>
    <w:p>
      <w:pPr>
        <w:pStyle w:val="5"/>
        <w:numPr>
          <w:ilvl w:val="2"/>
          <w:numId w:val="4"/>
        </w:numPr>
        <w:spacing w:after="200"/>
        <w:ind w:left="0" w:firstLine="0"/>
        <w:rPr>
          <w:color w:val="auto"/>
        </w:rPr>
      </w:pPr>
      <w:r>
        <w:rPr>
          <w:rFonts w:hint="eastAsia"/>
          <w:color w:val="auto"/>
        </w:rPr>
        <w:t>评分标准</w:t>
      </w:r>
    </w:p>
    <w:tbl>
      <w:tblPr>
        <w:tblStyle w:val="49"/>
        <w:tblW w:w="95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727"/>
        <w:gridCol w:w="1399"/>
        <w:gridCol w:w="5677"/>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序号</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评审项目</w:t>
            </w:r>
          </w:p>
        </w:tc>
        <w:tc>
          <w:tcPr>
            <w:tcW w:w="567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评分标准</w:t>
            </w:r>
          </w:p>
        </w:tc>
        <w:tc>
          <w:tcPr>
            <w:tcW w:w="78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color w:val="auto"/>
                <w:sz w:val="21"/>
                <w:szCs w:val="21"/>
                <w:lang w:eastAsia="zh-CN"/>
              </w:rPr>
              <w:t>报价</w:t>
            </w:r>
          </w:p>
        </w:tc>
        <w:tc>
          <w:tcPr>
            <w:tcW w:w="5677" w:type="dxa"/>
            <w:tcBorders>
              <w:top w:val="single" w:color="auto" w:sz="4" w:space="0"/>
              <w:left w:val="single" w:color="auto" w:sz="4" w:space="0"/>
              <w:bottom w:val="single" w:color="auto" w:sz="4" w:space="0"/>
              <w:right w:val="single" w:color="auto" w:sz="4" w:space="0"/>
            </w:tcBorders>
            <w:vAlign w:val="center"/>
          </w:tcPr>
          <w:p>
            <w:pPr>
              <w:pStyle w:val="155"/>
              <w:ind w:firstLine="0" w:firstLineChars="0"/>
              <w:jc w:val="left"/>
              <w:rPr>
                <w:rFonts w:hint="eastAsia" w:ascii="宋体" w:hAnsi="宋体" w:eastAsia="宋体" w:cs="宋体"/>
                <w:b/>
                <w:bCs/>
                <w:color w:val="auto"/>
                <w:sz w:val="21"/>
                <w:szCs w:val="21"/>
              </w:rPr>
            </w:pPr>
            <w:r>
              <w:rPr>
                <w:rFonts w:ascii="宋体" w:hAnsi="宋体" w:eastAsia="宋体" w:cs="宋体"/>
                <w:sz w:val="24"/>
                <w:szCs w:val="24"/>
              </w:rPr>
              <w:t>（1）以本次有效的最低投标报价为基准价，投标报价得分=（基准价/投标报价）*10</w:t>
            </w:r>
            <w:r>
              <w:rPr>
                <w:rFonts w:ascii="宋体" w:hAnsi="宋体" w:eastAsia="宋体" w:cs="宋体"/>
                <w:sz w:val="24"/>
                <w:szCs w:val="24"/>
              </w:rPr>
              <w:br w:type="textWrapping"/>
            </w:r>
            <w:r>
              <w:rPr>
                <w:rFonts w:ascii="宋体" w:hAnsi="宋体" w:eastAsia="宋体" w:cs="宋体"/>
                <w:sz w:val="24"/>
                <w:szCs w:val="24"/>
              </w:rPr>
              <w:t>（2）投标人如为监狱企业、小型和微型企业、残疾人福利性企业的，则给予其投标报价10%的价格扣除，用扣除后的价格参与评审；[说明：投标人为监狱企业的，提供由省级以上监狱管理局、戒毒管理局（含新疆生产建设兵团）出具的投标人属于监狱企业的证明文件复印件。]</w:t>
            </w:r>
            <w:r>
              <w:rPr>
                <w:rFonts w:ascii="宋体" w:hAnsi="宋体" w:eastAsia="宋体" w:cs="宋体"/>
                <w:sz w:val="24"/>
                <w:szCs w:val="24"/>
              </w:rPr>
              <w:br w:type="textWrapping"/>
            </w:r>
            <w:r>
              <w:rPr>
                <w:rFonts w:ascii="宋体" w:hAnsi="宋体" w:eastAsia="宋体" w:cs="宋体"/>
                <w:color w:val="0000FF"/>
                <w:sz w:val="24"/>
                <w:szCs w:val="24"/>
              </w:rPr>
              <w:t>（3）投标人如为大中型企业的，分包意向协议约定小微企业的合同份额占到合同总金额30%以上的，则给予其投标报价3%的价格扣除，用扣除后的价格参加评审。[说明：以投标文件里提供的分包意向协议相应内容和相应的小微企业按招标文件格式要求提供的相应承诺函为准。]</w:t>
            </w:r>
            <w:r>
              <w:rPr>
                <w:rFonts w:ascii="宋体" w:hAnsi="宋体" w:eastAsia="宋体" w:cs="宋体"/>
                <w:sz w:val="24"/>
                <w:szCs w:val="24"/>
              </w:rPr>
              <w:br w:type="textWrapping"/>
            </w:r>
            <w:r>
              <w:rPr>
                <w:rFonts w:ascii="宋体" w:hAnsi="宋体" w:eastAsia="宋体" w:cs="宋体"/>
                <w:sz w:val="24"/>
                <w:szCs w:val="24"/>
              </w:rPr>
              <w:t>四舍五入，保留小数点后两位。</w:t>
            </w:r>
            <w:r>
              <w:rPr>
                <w:rFonts w:ascii="宋体" w:hAnsi="宋体" w:eastAsia="宋体" w:cs="宋体"/>
                <w:sz w:val="24"/>
                <w:szCs w:val="24"/>
              </w:rPr>
              <w:br w:type="textWrapping"/>
            </w:r>
            <w:r>
              <w:rPr>
                <w:rFonts w:ascii="宋体" w:hAnsi="宋体" w:eastAsia="宋体" w:cs="宋体"/>
                <w:sz w:val="24"/>
                <w:szCs w:val="24"/>
              </w:rPr>
              <w:t>小型和微型企业或残疾人福利性单位的认定以按招标文件格式要求提供的相应承诺函为准。</w:t>
            </w:r>
          </w:p>
        </w:tc>
        <w:tc>
          <w:tcPr>
            <w:tcW w:w="78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color w:val="auto"/>
                <w:kern w:val="2"/>
                <w:sz w:val="21"/>
                <w:szCs w:val="21"/>
              </w:rPr>
            </w:pPr>
            <w:r>
              <w:rPr>
                <w:rFonts w:hint="eastAsia" w:ascii="宋体" w:hAnsi="宋体" w:eastAsia="宋体" w:cs="宋体"/>
                <w:bCs/>
                <w:color w:val="auto"/>
                <w:kern w:val="2"/>
                <w:sz w:val="21"/>
                <w:szCs w:val="21"/>
              </w:rPr>
              <w:t>1</w:t>
            </w:r>
            <w:r>
              <w:rPr>
                <w:rFonts w:hint="eastAsia" w:ascii="宋体" w:hAnsi="宋体" w:eastAsia="宋体" w:cs="宋体"/>
                <w:bCs/>
                <w:color w:val="auto"/>
                <w:kern w:val="2"/>
                <w:sz w:val="21"/>
                <w:szCs w:val="21"/>
                <w:lang w:val="en-US" w:eastAsia="zh-CN"/>
              </w:rPr>
              <w:t>0</w:t>
            </w:r>
            <w:r>
              <w:rPr>
                <w:rFonts w:hint="eastAsia" w:ascii="宋体" w:hAnsi="宋体" w:eastAsia="宋体" w:cs="宋体"/>
                <w:bCs/>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2" w:type="dxa"/>
            <w:vMerge w:val="restart"/>
            <w:tcBorders>
              <w:top w:val="single" w:color="auto" w:sz="4" w:space="0"/>
              <w:left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2</w:t>
            </w:r>
          </w:p>
        </w:tc>
        <w:tc>
          <w:tcPr>
            <w:tcW w:w="727" w:type="dxa"/>
            <w:vMerge w:val="restart"/>
            <w:tcBorders>
              <w:top w:val="single" w:color="auto" w:sz="4" w:space="0"/>
              <w:left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技术</w:t>
            </w:r>
            <w:r>
              <w:rPr>
                <w:rFonts w:hint="eastAsia" w:ascii="宋体" w:hAnsi="宋体" w:eastAsia="宋体" w:cs="宋体"/>
                <w:b/>
                <w:color w:val="auto"/>
                <w:sz w:val="21"/>
                <w:szCs w:val="21"/>
                <w:lang w:eastAsia="zh-CN"/>
              </w:rPr>
              <w:t>或者服务水平</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outlineLvl w:val="2"/>
              <w:rPr>
                <w:rFonts w:hint="eastAsia" w:ascii="宋体" w:hAnsi="宋体" w:eastAsia="宋体" w:cs="宋体"/>
                <w:bCs/>
                <w:color w:val="auto"/>
                <w:kern w:val="2"/>
                <w:sz w:val="21"/>
                <w:szCs w:val="21"/>
                <w:lang w:eastAsia="zh-CN"/>
              </w:rPr>
            </w:pPr>
            <w:r>
              <w:rPr>
                <w:rFonts w:hint="eastAsia" w:ascii="宋体" w:hAnsi="宋体" w:eastAsia="宋体" w:cs="宋体"/>
                <w:color w:val="auto"/>
                <w:kern w:val="2"/>
                <w:sz w:val="21"/>
                <w:szCs w:val="21"/>
              </w:rPr>
              <w:t>物业管理服务</w:t>
            </w:r>
            <w:r>
              <w:rPr>
                <w:rFonts w:hint="eastAsia" w:ascii="宋体" w:hAnsi="宋体" w:eastAsia="宋体" w:cs="宋体"/>
                <w:color w:val="auto"/>
                <w:kern w:val="2"/>
                <w:sz w:val="21"/>
                <w:szCs w:val="21"/>
                <w:lang w:eastAsia="zh-CN"/>
              </w:rPr>
              <w:t>整体实施方案</w:t>
            </w:r>
          </w:p>
        </w:tc>
        <w:tc>
          <w:tcPr>
            <w:tcW w:w="5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2"/>
              <w:rPr>
                <w:rFonts w:hint="eastAsia"/>
                <w:color w:val="auto"/>
                <w:lang w:eastAsia="zh-CN"/>
              </w:rPr>
            </w:pPr>
            <w:r>
              <w:rPr>
                <w:rFonts w:hint="eastAsia"/>
                <w:color w:val="auto"/>
                <w:lang w:eastAsia="zh-CN"/>
              </w:rPr>
              <w:t>投标人针对本项目拟出的服务方案进行评分；</w:t>
            </w:r>
          </w:p>
          <w:p>
            <w:pPr>
              <w:pStyle w:val="2"/>
              <w:keepNext w:val="0"/>
              <w:keepLines w:val="0"/>
              <w:pageBreakBefore w:val="0"/>
              <w:widowControl w:val="0"/>
              <w:kinsoku/>
              <w:wordWrap/>
              <w:overflowPunct/>
              <w:topLinePunct w:val="0"/>
              <w:autoSpaceDE/>
              <w:autoSpaceDN/>
              <w:bidi w:val="0"/>
              <w:adjustRightInd/>
              <w:snapToGrid/>
              <w:spacing w:after="0" w:afterLines="0"/>
              <w:textAlignment w:val="auto"/>
              <w:rPr>
                <w:rFonts w:hint="eastAsia"/>
                <w:color w:val="auto"/>
                <w:lang w:val="en-US" w:eastAsia="zh-CN"/>
              </w:rPr>
            </w:pPr>
            <w:r>
              <w:rPr>
                <w:rFonts w:hint="eastAsia"/>
                <w:color w:val="auto"/>
                <w:lang w:val="en-US" w:eastAsia="zh-CN"/>
              </w:rPr>
              <w:t>1、提供方案得2分；</w:t>
            </w:r>
          </w:p>
          <w:p>
            <w:pPr>
              <w:pStyle w:val="2"/>
              <w:keepNext w:val="0"/>
              <w:keepLines w:val="0"/>
              <w:pageBreakBefore w:val="0"/>
              <w:widowControl w:val="0"/>
              <w:kinsoku/>
              <w:wordWrap/>
              <w:overflowPunct/>
              <w:topLinePunct w:val="0"/>
              <w:autoSpaceDE/>
              <w:autoSpaceDN/>
              <w:bidi w:val="0"/>
              <w:adjustRightInd/>
              <w:snapToGrid/>
              <w:spacing w:after="0" w:afterLines="0"/>
              <w:textAlignment w:val="auto"/>
              <w:rPr>
                <w:rFonts w:hint="eastAsia"/>
                <w:color w:val="auto"/>
                <w:lang w:val="en-US" w:eastAsia="zh-CN"/>
              </w:rPr>
            </w:pPr>
            <w:r>
              <w:rPr>
                <w:rFonts w:hint="eastAsia"/>
                <w:color w:val="auto"/>
                <w:lang w:val="en-US" w:eastAsia="zh-CN"/>
              </w:rPr>
              <w:t>2、方案中体现</w:t>
            </w:r>
            <w:r>
              <w:rPr>
                <w:rFonts w:hint="eastAsia"/>
                <w:color w:val="auto"/>
              </w:rPr>
              <w:t>“服务定位和提高服务水平措施”、“针对项目认识和特点分析”、“总体物业管理服务理念”、“项目管理重点和管理目标”</w:t>
            </w:r>
            <w:r>
              <w:rPr>
                <w:rFonts w:hint="eastAsia"/>
                <w:color w:val="auto"/>
                <w:lang w:eastAsia="zh-CN"/>
              </w:rPr>
              <w:t>四个方面，每具备一个方面且符合项目采购需求的，加</w:t>
            </w:r>
            <w:r>
              <w:rPr>
                <w:rFonts w:hint="eastAsia"/>
                <w:color w:val="auto"/>
                <w:lang w:val="en-US" w:eastAsia="zh-CN"/>
              </w:rPr>
              <w:t>1分，最多加4分</w:t>
            </w:r>
            <w:r>
              <w:rPr>
                <w:rFonts w:hint="eastAsia" w:ascii="宋体" w:hAnsi="宋体" w:eastAsia="宋体" w:cs="宋体"/>
                <w:bCs/>
                <w:color w:val="auto"/>
                <w:kern w:val="2"/>
                <w:sz w:val="21"/>
                <w:szCs w:val="21"/>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afterLines="0"/>
              <w:textAlignment w:val="auto"/>
              <w:rPr>
                <w:rFonts w:hint="eastAsia"/>
                <w:color w:val="auto"/>
                <w:lang w:eastAsia="zh-CN"/>
              </w:rPr>
            </w:pPr>
            <w:r>
              <w:rPr>
                <w:rFonts w:hint="eastAsia"/>
                <w:color w:val="auto"/>
                <w:lang w:val="en-US" w:eastAsia="zh-CN"/>
              </w:rPr>
              <w:t>3、</w:t>
            </w:r>
            <w:r>
              <w:rPr>
                <w:rFonts w:hint="eastAsia"/>
                <w:color w:val="auto"/>
              </w:rPr>
              <w:t>投标人具有“物业管理专业办公软件”或能实现类似功能的软件得1分</w:t>
            </w:r>
            <w:r>
              <w:rPr>
                <w:rFonts w:hint="eastAsia"/>
                <w:color w:val="auto"/>
                <w:lang w:eastAsia="zh-CN"/>
              </w:rPr>
              <w:t>。（注：</w:t>
            </w:r>
            <w:r>
              <w:rPr>
                <w:rFonts w:hint="eastAsia"/>
                <w:color w:val="auto"/>
              </w:rPr>
              <w:t>提供相关证明材料复印件并加盖投标人鲜章</w:t>
            </w:r>
            <w:r>
              <w:rPr>
                <w:rFonts w:hint="eastAsia"/>
                <w:color w:val="auto"/>
                <w:lang w:eastAsia="zh-CN"/>
              </w:rPr>
              <w:t>）</w:t>
            </w:r>
          </w:p>
          <w:p>
            <w:pPr>
              <w:rPr>
                <w:rFonts w:hint="eastAsia"/>
                <w:color w:val="auto"/>
              </w:rPr>
            </w:pPr>
            <w:r>
              <w:rPr>
                <w:rFonts w:hint="eastAsia" w:ascii="宋体" w:hAnsi="宋体" w:eastAsia="宋体" w:cs="宋体"/>
                <w:color w:val="auto"/>
                <w:kern w:val="2"/>
                <w:sz w:val="21"/>
                <w:szCs w:val="21"/>
                <w:lang w:val="en-US" w:eastAsia="zh-CN"/>
              </w:rPr>
              <w:t>（说明：不符合采购需求是指存在不适用项目实际情况、凭空编造、逻辑漏洞、原理错误情形。下同）</w:t>
            </w:r>
          </w:p>
        </w:tc>
        <w:tc>
          <w:tcPr>
            <w:tcW w:w="78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Cs/>
                <w:color w:val="auto"/>
                <w:kern w:val="2"/>
                <w:sz w:val="21"/>
                <w:szCs w:val="21"/>
              </w:rPr>
            </w:pPr>
            <w:r>
              <w:rPr>
                <w:rFonts w:hint="eastAsia" w:ascii="宋体" w:hAnsi="宋体" w:cs="宋体"/>
                <w:color w:val="auto"/>
                <w:kern w:val="2"/>
                <w:sz w:val="21"/>
                <w:szCs w:val="21"/>
                <w:lang w:val="en-US" w:eastAsia="zh-CN"/>
              </w:rPr>
              <w:t>7</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2" w:type="dxa"/>
            <w:vMerge w:val="continue"/>
            <w:tcBorders>
              <w:left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
                <w:color w:val="auto"/>
                <w:sz w:val="21"/>
                <w:szCs w:val="21"/>
              </w:rPr>
            </w:pPr>
          </w:p>
        </w:tc>
        <w:tc>
          <w:tcPr>
            <w:tcW w:w="727" w:type="dxa"/>
            <w:vMerge w:val="continue"/>
            <w:tcBorders>
              <w:left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
                <w:color w:val="auto"/>
                <w:sz w:val="21"/>
                <w:szCs w:val="21"/>
              </w:rPr>
            </w:pPr>
          </w:p>
        </w:tc>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ind w:left="-80" w:leftChars="0"/>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团队配置</w:t>
            </w:r>
          </w:p>
        </w:tc>
        <w:tc>
          <w:tcPr>
            <w:tcW w:w="5677"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宋体" w:hAnsi="宋体" w:eastAsia="宋体" w:cs="宋体"/>
                <w:color w:val="auto"/>
                <w:lang w:val="en-US" w:eastAsia="zh-CN"/>
              </w:rPr>
            </w:pPr>
            <w:r>
              <w:rPr>
                <w:rFonts w:ascii="宋体" w:hAnsi="宋体" w:eastAsia="宋体" w:cs="宋体"/>
                <w:color w:val="auto"/>
                <w:sz w:val="24"/>
                <w:szCs w:val="24"/>
              </w:rPr>
              <w:t>1、拟派项目负责人具有中级及以上职称证书的得2分</w:t>
            </w:r>
            <w:r>
              <w:rPr>
                <w:rFonts w:hint="eastAsia" w:ascii="宋体" w:hAnsi="宋体" w:eastAsia="宋体" w:cs="宋体"/>
                <w:bCs/>
                <w:color w:val="auto"/>
                <w:kern w:val="2"/>
                <w:sz w:val="21"/>
                <w:szCs w:val="21"/>
                <w:lang w:val="en-US" w:eastAsia="zh-CN" w:bidi="ar-SA"/>
              </w:rPr>
              <w:t>；</w:t>
            </w:r>
            <w:r>
              <w:rPr>
                <w:rFonts w:ascii="宋体" w:hAnsi="宋体" w:eastAsia="宋体" w:cs="宋体"/>
                <w:color w:val="auto"/>
                <w:sz w:val="24"/>
                <w:szCs w:val="24"/>
              </w:rPr>
              <w:br w:type="textWrapping"/>
            </w:r>
            <w:r>
              <w:rPr>
                <w:rFonts w:ascii="宋体" w:hAnsi="宋体" w:eastAsia="宋体" w:cs="宋体"/>
                <w:color w:val="auto"/>
                <w:sz w:val="24"/>
                <w:szCs w:val="24"/>
              </w:rPr>
              <w:t>2、拟派项目工程人员中，具有特种设备操作员证（高压或低压）的得1分，具有电梯安全管理员证书的得0.5分，具有制冷设备维修工职业资格中级</w:t>
            </w:r>
            <w:r>
              <w:rPr>
                <w:rFonts w:hint="eastAsia" w:ascii="宋体" w:hAnsi="宋体" w:cs="宋体"/>
                <w:color w:val="auto"/>
                <w:sz w:val="24"/>
                <w:szCs w:val="24"/>
                <w:lang w:val="en-US" w:eastAsia="zh-CN"/>
              </w:rPr>
              <w:t>/</w:t>
            </w:r>
            <w:r>
              <w:rPr>
                <w:rFonts w:ascii="宋体" w:hAnsi="宋体" w:eastAsia="宋体" w:cs="宋体"/>
                <w:color w:val="auto"/>
                <w:sz w:val="24"/>
                <w:szCs w:val="24"/>
              </w:rPr>
              <w:t>四级及以上的，得0.5分，本项最多得2分。</w:t>
            </w:r>
            <w:r>
              <w:rPr>
                <w:rFonts w:ascii="宋体" w:hAnsi="宋体" w:eastAsia="宋体" w:cs="宋体"/>
                <w:color w:val="auto"/>
                <w:sz w:val="24"/>
                <w:szCs w:val="24"/>
              </w:rPr>
              <w:br w:type="textWrapping"/>
            </w:r>
            <w:r>
              <w:rPr>
                <w:rFonts w:ascii="宋体" w:hAnsi="宋体" w:eastAsia="宋体" w:cs="宋体"/>
                <w:color w:val="auto"/>
                <w:sz w:val="24"/>
                <w:szCs w:val="24"/>
              </w:rPr>
              <w:t>（说明：提供有效证书复印件）</w:t>
            </w:r>
          </w:p>
        </w:tc>
        <w:tc>
          <w:tcPr>
            <w:tcW w:w="78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4</w:t>
            </w:r>
            <w:r>
              <w:rPr>
                <w:rFonts w:hint="eastAsia" w:ascii="宋体" w:hAnsi="宋体" w:eastAsia="宋体" w:cs="宋体"/>
                <w:bCs/>
                <w:color w:val="auto"/>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2" w:type="dxa"/>
            <w:vMerge w:val="continue"/>
            <w:tcBorders>
              <w:left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
                <w:color w:val="auto"/>
                <w:sz w:val="21"/>
                <w:szCs w:val="21"/>
              </w:rPr>
            </w:pPr>
          </w:p>
        </w:tc>
        <w:tc>
          <w:tcPr>
            <w:tcW w:w="727" w:type="dxa"/>
            <w:vMerge w:val="continue"/>
            <w:tcBorders>
              <w:left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
                <w:color w:val="auto"/>
                <w:sz w:val="21"/>
                <w:szCs w:val="21"/>
              </w:rPr>
            </w:pPr>
          </w:p>
        </w:tc>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ind w:left="-80" w:leftChars="0"/>
              <w:jc w:val="center"/>
              <w:rPr>
                <w:rFonts w:hint="eastAsia" w:ascii="宋体" w:hAnsi="宋体" w:eastAsia="宋体" w:cs="宋体"/>
                <w:bCs/>
                <w:color w:val="auto"/>
                <w:kern w:val="2"/>
                <w:sz w:val="21"/>
                <w:szCs w:val="21"/>
                <w:lang w:eastAsia="zh-CN"/>
              </w:rPr>
            </w:pPr>
            <w:r>
              <w:rPr>
                <w:rFonts w:hint="eastAsia" w:ascii="宋体" w:hAnsi="宋体" w:eastAsia="宋体" w:cs="宋体"/>
                <w:bCs/>
                <w:color w:val="auto"/>
                <w:kern w:val="2"/>
                <w:sz w:val="21"/>
                <w:szCs w:val="21"/>
                <w:lang w:eastAsia="zh-CN"/>
              </w:rPr>
              <w:t>秩序维护方案</w:t>
            </w:r>
          </w:p>
        </w:tc>
        <w:tc>
          <w:tcPr>
            <w:tcW w:w="567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根据投标人针对本项目的秩序维护方案进行评分；</w:t>
            </w:r>
          </w:p>
          <w:p>
            <w:pPr>
              <w:widowControl w:val="0"/>
              <w:adjustRightInd/>
              <w:snapToGrid/>
              <w:spacing w:line="240" w:lineRule="auto"/>
              <w:jc w:val="both"/>
              <w:rPr>
                <w:rFonts w:hint="eastAsia" w:ascii="宋体" w:hAnsi="宋体" w:eastAsia="宋体" w:cs="宋体"/>
                <w:bCs/>
                <w:color w:val="auto"/>
                <w:kern w:val="2"/>
                <w:sz w:val="21"/>
                <w:szCs w:val="21"/>
                <w:lang w:val="en-US" w:eastAsia="zh-CN"/>
              </w:rPr>
            </w:pPr>
            <w:r>
              <w:rPr>
                <w:rFonts w:hint="eastAsia" w:ascii="宋体" w:hAnsi="宋体" w:eastAsia="宋体" w:cs="宋体"/>
                <w:bCs/>
                <w:color w:val="auto"/>
                <w:kern w:val="2"/>
                <w:sz w:val="21"/>
                <w:szCs w:val="21"/>
                <w:lang w:eastAsia="zh-CN"/>
              </w:rPr>
              <w:t>包含秩序维护方案的得</w:t>
            </w:r>
            <w:r>
              <w:rPr>
                <w:rFonts w:hint="eastAsia" w:ascii="宋体" w:hAnsi="宋体" w:cs="宋体"/>
                <w:bCs/>
                <w:color w:val="auto"/>
                <w:kern w:val="2"/>
                <w:sz w:val="21"/>
                <w:szCs w:val="21"/>
                <w:lang w:val="en-US" w:eastAsia="zh-CN"/>
              </w:rPr>
              <w:t>2</w:t>
            </w:r>
            <w:r>
              <w:rPr>
                <w:rFonts w:hint="eastAsia" w:ascii="宋体" w:hAnsi="宋体" w:eastAsia="宋体" w:cs="宋体"/>
                <w:bCs/>
                <w:color w:val="auto"/>
                <w:kern w:val="2"/>
                <w:sz w:val="21"/>
                <w:szCs w:val="21"/>
                <w:lang w:val="en-US" w:eastAsia="zh-CN"/>
              </w:rPr>
              <w:t>分；</w:t>
            </w:r>
          </w:p>
          <w:p>
            <w:pPr>
              <w:widowControl w:val="0"/>
              <w:adjustRightInd/>
              <w:snapToGrid/>
              <w:spacing w:line="240" w:lineRule="auto"/>
              <w:jc w:val="both"/>
              <w:rPr>
                <w:rFonts w:hint="eastAsia" w:ascii="宋体" w:hAnsi="宋体" w:eastAsia="宋体" w:cs="宋体"/>
                <w:bCs/>
                <w:color w:val="auto"/>
                <w:kern w:val="2"/>
                <w:sz w:val="21"/>
                <w:szCs w:val="21"/>
                <w:lang w:val="en-US" w:eastAsia="zh-CN"/>
              </w:rPr>
            </w:pPr>
            <w:r>
              <w:rPr>
                <w:rFonts w:hint="eastAsia" w:ascii="宋体" w:hAnsi="宋体" w:eastAsia="宋体" w:cs="宋体"/>
                <w:bCs/>
                <w:color w:val="auto"/>
                <w:kern w:val="2"/>
                <w:sz w:val="21"/>
                <w:szCs w:val="21"/>
                <w:lang w:val="en-US" w:eastAsia="zh-CN"/>
              </w:rPr>
              <w:t>在此基础上：</w:t>
            </w:r>
          </w:p>
          <w:p>
            <w:pPr>
              <w:widowControl w:val="0"/>
              <w:adjustRightInd/>
              <w:snapToGrid/>
              <w:spacing w:line="240" w:lineRule="auto"/>
              <w:jc w:val="both"/>
              <w:rPr>
                <w:rFonts w:hint="eastAsia" w:ascii="宋体" w:hAnsi="宋体" w:eastAsia="宋体" w:cs="宋体"/>
                <w:color w:val="auto"/>
                <w:kern w:val="2"/>
                <w:sz w:val="21"/>
                <w:szCs w:val="21"/>
              </w:rPr>
            </w:pPr>
            <w:r>
              <w:rPr>
                <w:rFonts w:hint="eastAsia" w:ascii="宋体" w:hAnsi="宋体" w:eastAsia="宋体" w:cs="宋体"/>
                <w:bCs/>
                <w:color w:val="auto"/>
                <w:kern w:val="2"/>
                <w:sz w:val="21"/>
                <w:szCs w:val="21"/>
                <w:lang w:val="en-US" w:eastAsia="zh-CN"/>
              </w:rPr>
              <w:t>方案中</w:t>
            </w:r>
            <w:r>
              <w:rPr>
                <w:rFonts w:hint="eastAsia" w:ascii="宋体" w:hAnsi="宋体" w:eastAsia="宋体" w:cs="宋体"/>
                <w:bCs/>
                <w:color w:val="auto"/>
                <w:kern w:val="2"/>
                <w:sz w:val="21"/>
                <w:szCs w:val="21"/>
              </w:rPr>
              <w:t>体现 “治安防范及指引”、“安全管理”、“礼仪标准”、“安全事故防范”、“车辆管理”</w:t>
            </w:r>
            <w:r>
              <w:rPr>
                <w:rFonts w:hint="eastAsia" w:ascii="宋体" w:hAnsi="宋体" w:eastAsia="宋体" w:cs="宋体"/>
                <w:bCs/>
                <w:color w:val="auto"/>
                <w:kern w:val="2"/>
                <w:sz w:val="21"/>
                <w:szCs w:val="21"/>
                <w:lang w:val="en-US" w:eastAsia="zh-CN"/>
              </w:rPr>
              <w:t>5</w:t>
            </w:r>
            <w:r>
              <w:rPr>
                <w:rFonts w:hint="eastAsia" w:ascii="宋体" w:hAnsi="宋体" w:eastAsia="宋体" w:cs="宋体"/>
                <w:bCs/>
                <w:color w:val="auto"/>
                <w:kern w:val="2"/>
                <w:sz w:val="21"/>
                <w:szCs w:val="21"/>
              </w:rPr>
              <w:t>个方面要素的，每具备一个要素且符合采购需求的加1分，最多加</w:t>
            </w:r>
            <w:r>
              <w:rPr>
                <w:rFonts w:hint="eastAsia" w:ascii="宋体" w:hAnsi="宋体" w:eastAsia="宋体" w:cs="宋体"/>
                <w:bCs/>
                <w:color w:val="auto"/>
                <w:kern w:val="2"/>
                <w:sz w:val="21"/>
                <w:szCs w:val="21"/>
                <w:lang w:val="en-US" w:eastAsia="zh-CN"/>
              </w:rPr>
              <w:t>5</w:t>
            </w:r>
            <w:r>
              <w:rPr>
                <w:rFonts w:hint="eastAsia" w:ascii="宋体" w:hAnsi="宋体" w:eastAsia="宋体" w:cs="宋体"/>
                <w:bCs/>
                <w:color w:val="auto"/>
                <w:kern w:val="2"/>
                <w:sz w:val="21"/>
                <w:szCs w:val="21"/>
              </w:rPr>
              <w:t>分。</w:t>
            </w:r>
          </w:p>
        </w:tc>
        <w:tc>
          <w:tcPr>
            <w:tcW w:w="78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Cs/>
                <w:color w:val="auto"/>
                <w:kern w:val="2"/>
                <w:sz w:val="21"/>
                <w:szCs w:val="21"/>
              </w:rPr>
            </w:pP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2" w:type="dxa"/>
            <w:vMerge w:val="continue"/>
            <w:tcBorders>
              <w:left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
                <w:color w:val="auto"/>
                <w:sz w:val="21"/>
                <w:szCs w:val="21"/>
              </w:rPr>
            </w:pPr>
          </w:p>
        </w:tc>
        <w:tc>
          <w:tcPr>
            <w:tcW w:w="727" w:type="dxa"/>
            <w:vMerge w:val="continue"/>
            <w:tcBorders>
              <w:left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
                <w:color w:val="auto"/>
                <w:sz w:val="21"/>
                <w:szCs w:val="21"/>
              </w:rPr>
            </w:pPr>
          </w:p>
        </w:tc>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环境卫生服务方案</w:t>
            </w:r>
          </w:p>
        </w:tc>
        <w:tc>
          <w:tcPr>
            <w:tcW w:w="567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根据投标人针对本项目</w:t>
            </w:r>
            <w:r>
              <w:rPr>
                <w:rFonts w:hint="eastAsia" w:ascii="宋体" w:hAnsi="宋体" w:eastAsia="宋体" w:cs="宋体"/>
                <w:color w:val="auto"/>
                <w:kern w:val="2"/>
                <w:sz w:val="21"/>
                <w:szCs w:val="21"/>
                <w:lang w:eastAsia="zh-CN"/>
              </w:rPr>
              <w:t>制定</w:t>
            </w:r>
            <w:r>
              <w:rPr>
                <w:rFonts w:hint="eastAsia" w:ascii="宋体" w:hAnsi="宋体" w:eastAsia="宋体" w:cs="宋体"/>
                <w:color w:val="auto"/>
                <w:kern w:val="2"/>
                <w:sz w:val="21"/>
                <w:szCs w:val="21"/>
              </w:rPr>
              <w:t>的环境</w:t>
            </w:r>
            <w:r>
              <w:rPr>
                <w:rFonts w:hint="eastAsia" w:ascii="宋体" w:hAnsi="宋体" w:eastAsia="宋体" w:cs="宋体"/>
                <w:color w:val="auto"/>
                <w:kern w:val="2"/>
                <w:sz w:val="21"/>
                <w:szCs w:val="21"/>
                <w:lang w:eastAsia="zh-CN"/>
              </w:rPr>
              <w:t>卫生服务</w:t>
            </w:r>
            <w:r>
              <w:rPr>
                <w:rFonts w:hint="eastAsia" w:ascii="宋体" w:hAnsi="宋体" w:eastAsia="宋体" w:cs="宋体"/>
                <w:color w:val="auto"/>
                <w:kern w:val="2"/>
                <w:sz w:val="21"/>
                <w:szCs w:val="21"/>
              </w:rPr>
              <w:t>方案进行评分；</w:t>
            </w:r>
          </w:p>
          <w:p>
            <w:pPr>
              <w:widowControl w:val="0"/>
              <w:adjustRightInd/>
              <w:snapToGrid/>
              <w:spacing w:line="240" w:lineRule="auto"/>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eastAsia="zh-CN"/>
              </w:rPr>
              <w:t>包含</w:t>
            </w:r>
            <w:r>
              <w:rPr>
                <w:rFonts w:hint="eastAsia" w:ascii="宋体" w:hAnsi="宋体" w:eastAsia="宋体" w:cs="宋体"/>
                <w:color w:val="auto"/>
                <w:kern w:val="2"/>
                <w:sz w:val="21"/>
                <w:szCs w:val="21"/>
                <w:lang w:eastAsia="zh-CN"/>
              </w:rPr>
              <w:t>环境卫生服务方案</w:t>
            </w:r>
            <w:r>
              <w:rPr>
                <w:rFonts w:hint="eastAsia" w:ascii="宋体" w:hAnsi="宋体" w:eastAsia="宋体" w:cs="宋体"/>
                <w:bCs/>
                <w:color w:val="auto"/>
                <w:kern w:val="2"/>
                <w:sz w:val="21"/>
                <w:szCs w:val="21"/>
                <w:lang w:eastAsia="zh-CN"/>
              </w:rPr>
              <w:t>的得</w:t>
            </w:r>
            <w:r>
              <w:rPr>
                <w:rFonts w:hint="eastAsia" w:ascii="宋体" w:hAnsi="宋体" w:cs="宋体"/>
                <w:bCs/>
                <w:color w:val="auto"/>
                <w:kern w:val="2"/>
                <w:sz w:val="21"/>
                <w:szCs w:val="21"/>
                <w:lang w:val="en-US" w:eastAsia="zh-CN"/>
              </w:rPr>
              <w:t>2</w:t>
            </w:r>
            <w:r>
              <w:rPr>
                <w:rFonts w:hint="eastAsia" w:ascii="宋体" w:hAnsi="宋体" w:eastAsia="宋体" w:cs="宋体"/>
                <w:bCs/>
                <w:color w:val="auto"/>
                <w:kern w:val="2"/>
                <w:sz w:val="21"/>
                <w:szCs w:val="21"/>
                <w:lang w:val="en-US" w:eastAsia="zh-CN"/>
              </w:rPr>
              <w:t>分；</w:t>
            </w:r>
          </w:p>
          <w:p>
            <w:pPr>
              <w:widowControl w:val="0"/>
              <w:adjustRightInd/>
              <w:snapToGrid/>
              <w:spacing w:line="240" w:lineRule="auto"/>
              <w:jc w:val="both"/>
              <w:rPr>
                <w:rFonts w:hint="eastAsia" w:ascii="宋体" w:hAnsi="宋体" w:eastAsia="宋体" w:cs="宋体"/>
                <w:bCs/>
                <w:color w:val="auto"/>
                <w:kern w:val="2"/>
                <w:sz w:val="21"/>
                <w:szCs w:val="21"/>
                <w:lang w:eastAsia="zh-CN"/>
              </w:rPr>
            </w:pPr>
            <w:r>
              <w:rPr>
                <w:rFonts w:hint="eastAsia" w:ascii="宋体" w:hAnsi="宋体" w:eastAsia="宋体" w:cs="宋体"/>
                <w:bCs/>
                <w:color w:val="auto"/>
                <w:kern w:val="2"/>
                <w:sz w:val="21"/>
                <w:szCs w:val="21"/>
                <w:lang w:eastAsia="zh-CN"/>
              </w:rPr>
              <w:t>在此基础上：</w:t>
            </w:r>
          </w:p>
          <w:p>
            <w:pPr>
              <w:pStyle w:val="2"/>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kern w:val="2"/>
                <w:sz w:val="21"/>
                <w:szCs w:val="21"/>
                <w:lang w:eastAsia="zh-CN"/>
              </w:rPr>
              <w:t>方案中体现</w:t>
            </w:r>
            <w:r>
              <w:rPr>
                <w:rFonts w:hint="eastAsia" w:ascii="宋体" w:hAnsi="宋体" w:eastAsia="宋体" w:cs="宋体"/>
                <w:bCs/>
                <w:color w:val="auto"/>
                <w:kern w:val="2"/>
                <w:sz w:val="21"/>
                <w:szCs w:val="21"/>
              </w:rPr>
              <w:t>“卫生保洁”、“垃圾分类及清运”、“消毒和灭虫除害”</w:t>
            </w:r>
            <w:r>
              <w:rPr>
                <w:rFonts w:hint="eastAsia" w:ascii="宋体" w:hAnsi="宋体" w:eastAsia="宋体" w:cs="宋体"/>
                <w:bCs/>
                <w:color w:val="auto"/>
                <w:kern w:val="2"/>
                <w:sz w:val="21"/>
                <w:szCs w:val="21"/>
                <w:lang w:val="en-US" w:eastAsia="zh-CN"/>
              </w:rPr>
              <w:t>3</w:t>
            </w:r>
            <w:r>
              <w:rPr>
                <w:rFonts w:hint="eastAsia" w:ascii="宋体" w:hAnsi="宋体" w:eastAsia="宋体" w:cs="宋体"/>
                <w:bCs/>
                <w:color w:val="auto"/>
                <w:kern w:val="2"/>
                <w:sz w:val="21"/>
                <w:szCs w:val="21"/>
              </w:rPr>
              <w:t>个方面要素，每具备一个要素且符合采购需求的加1分，最多加</w:t>
            </w:r>
            <w:r>
              <w:rPr>
                <w:rFonts w:hint="eastAsia" w:ascii="宋体" w:hAnsi="宋体" w:eastAsia="宋体" w:cs="宋体"/>
                <w:bCs/>
                <w:color w:val="auto"/>
                <w:kern w:val="2"/>
                <w:sz w:val="21"/>
                <w:szCs w:val="21"/>
                <w:lang w:val="en-US" w:eastAsia="zh-CN"/>
              </w:rPr>
              <w:t>3</w:t>
            </w:r>
            <w:r>
              <w:rPr>
                <w:rFonts w:hint="eastAsia" w:ascii="宋体" w:hAnsi="宋体" w:eastAsia="宋体" w:cs="宋体"/>
                <w:bCs/>
                <w:color w:val="auto"/>
                <w:kern w:val="2"/>
                <w:sz w:val="21"/>
                <w:szCs w:val="21"/>
              </w:rPr>
              <w:t>分。</w:t>
            </w:r>
          </w:p>
        </w:tc>
        <w:tc>
          <w:tcPr>
            <w:tcW w:w="78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Cs/>
                <w:color w:val="auto"/>
                <w:kern w:val="2"/>
                <w:sz w:val="21"/>
                <w:szCs w:val="21"/>
                <w:lang w:val="en-US" w:eastAsia="zh-CN" w:bidi="ar-SA"/>
              </w:rPr>
            </w:pP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2" w:type="dxa"/>
            <w:vMerge w:val="continue"/>
            <w:tcBorders>
              <w:left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
                <w:color w:val="auto"/>
                <w:sz w:val="21"/>
                <w:szCs w:val="21"/>
              </w:rPr>
            </w:pPr>
          </w:p>
        </w:tc>
        <w:tc>
          <w:tcPr>
            <w:tcW w:w="727" w:type="dxa"/>
            <w:vMerge w:val="continue"/>
            <w:tcBorders>
              <w:left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
                <w:color w:val="auto"/>
                <w:sz w:val="21"/>
                <w:szCs w:val="21"/>
              </w:rPr>
            </w:pPr>
          </w:p>
        </w:tc>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Cs/>
                <w:color w:val="auto"/>
                <w:kern w:val="2"/>
                <w:sz w:val="21"/>
                <w:szCs w:val="21"/>
              </w:rPr>
            </w:pPr>
            <w:r>
              <w:rPr>
                <w:rFonts w:hint="eastAsia" w:ascii="宋体" w:hAnsi="宋体" w:eastAsia="宋体" w:cs="宋体"/>
                <w:color w:val="auto"/>
                <w:kern w:val="2"/>
                <w:sz w:val="21"/>
                <w:szCs w:val="21"/>
              </w:rPr>
              <w:t>设施运行</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维护</w:t>
            </w:r>
            <w:r>
              <w:rPr>
                <w:rFonts w:hint="eastAsia" w:ascii="宋体" w:hAnsi="宋体" w:eastAsia="宋体" w:cs="宋体"/>
                <w:color w:val="auto"/>
                <w:kern w:val="2"/>
                <w:sz w:val="21"/>
                <w:szCs w:val="21"/>
                <w:lang w:eastAsia="zh-CN"/>
              </w:rPr>
              <w:t>管理</w:t>
            </w:r>
            <w:r>
              <w:rPr>
                <w:rFonts w:hint="eastAsia" w:ascii="宋体" w:hAnsi="宋体" w:eastAsia="宋体" w:cs="宋体"/>
                <w:color w:val="auto"/>
                <w:kern w:val="2"/>
                <w:sz w:val="21"/>
                <w:szCs w:val="21"/>
              </w:rPr>
              <w:t>方案</w:t>
            </w:r>
          </w:p>
        </w:tc>
        <w:tc>
          <w:tcPr>
            <w:tcW w:w="567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根据投标人针对本项目</w:t>
            </w:r>
            <w:r>
              <w:rPr>
                <w:rFonts w:hint="eastAsia" w:ascii="宋体" w:hAnsi="宋体" w:eastAsia="宋体" w:cs="宋体"/>
                <w:color w:val="auto"/>
                <w:kern w:val="2"/>
                <w:sz w:val="21"/>
                <w:szCs w:val="21"/>
                <w:lang w:eastAsia="zh-CN"/>
              </w:rPr>
              <w:t>制定的</w:t>
            </w:r>
            <w:r>
              <w:rPr>
                <w:rFonts w:hint="eastAsia" w:ascii="宋体" w:hAnsi="宋体" w:eastAsia="宋体" w:cs="宋体"/>
                <w:color w:val="auto"/>
                <w:kern w:val="2"/>
                <w:sz w:val="21"/>
                <w:szCs w:val="21"/>
              </w:rPr>
              <w:t>设施运行</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维护</w:t>
            </w:r>
            <w:r>
              <w:rPr>
                <w:rFonts w:hint="eastAsia" w:ascii="宋体" w:hAnsi="宋体" w:eastAsia="宋体" w:cs="宋体"/>
                <w:color w:val="auto"/>
                <w:kern w:val="2"/>
                <w:sz w:val="21"/>
                <w:szCs w:val="21"/>
                <w:lang w:eastAsia="zh-CN"/>
              </w:rPr>
              <w:t>管理</w:t>
            </w:r>
            <w:r>
              <w:rPr>
                <w:rFonts w:hint="eastAsia" w:ascii="宋体" w:hAnsi="宋体" w:eastAsia="宋体" w:cs="宋体"/>
                <w:color w:val="auto"/>
                <w:kern w:val="2"/>
                <w:sz w:val="21"/>
                <w:szCs w:val="21"/>
              </w:rPr>
              <w:t>方案进行评分；</w:t>
            </w:r>
          </w:p>
          <w:p>
            <w:pPr>
              <w:widowControl w:val="0"/>
              <w:adjustRightInd/>
              <w:snapToGrid/>
              <w:spacing w:line="240" w:lineRule="auto"/>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eastAsia="zh-CN"/>
              </w:rPr>
              <w:t>包含</w:t>
            </w:r>
            <w:r>
              <w:rPr>
                <w:rFonts w:hint="eastAsia" w:ascii="宋体" w:hAnsi="宋体" w:eastAsia="宋体" w:cs="宋体"/>
                <w:color w:val="auto"/>
                <w:kern w:val="2"/>
                <w:sz w:val="21"/>
                <w:szCs w:val="21"/>
              </w:rPr>
              <w:t>设施运行</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维护</w:t>
            </w:r>
            <w:r>
              <w:rPr>
                <w:rFonts w:hint="eastAsia" w:ascii="宋体" w:hAnsi="宋体" w:eastAsia="宋体" w:cs="宋体"/>
                <w:color w:val="auto"/>
                <w:kern w:val="2"/>
                <w:sz w:val="21"/>
                <w:szCs w:val="21"/>
                <w:lang w:eastAsia="zh-CN"/>
              </w:rPr>
              <w:t>管理</w:t>
            </w:r>
            <w:r>
              <w:rPr>
                <w:rFonts w:hint="eastAsia" w:ascii="宋体" w:hAnsi="宋体" w:eastAsia="宋体" w:cs="宋体"/>
                <w:color w:val="auto"/>
                <w:kern w:val="2"/>
                <w:sz w:val="21"/>
                <w:szCs w:val="21"/>
              </w:rPr>
              <w:t>方案</w:t>
            </w:r>
            <w:r>
              <w:rPr>
                <w:rFonts w:hint="eastAsia" w:ascii="宋体" w:hAnsi="宋体" w:eastAsia="宋体" w:cs="宋体"/>
                <w:bCs/>
                <w:color w:val="auto"/>
                <w:kern w:val="2"/>
                <w:sz w:val="21"/>
                <w:szCs w:val="21"/>
                <w:lang w:eastAsia="zh-CN"/>
              </w:rPr>
              <w:t>的得</w:t>
            </w:r>
            <w:r>
              <w:rPr>
                <w:rFonts w:hint="eastAsia" w:ascii="宋体" w:hAnsi="宋体" w:cs="宋体"/>
                <w:bCs/>
                <w:color w:val="auto"/>
                <w:kern w:val="2"/>
                <w:sz w:val="21"/>
                <w:szCs w:val="21"/>
                <w:lang w:val="en-US" w:eastAsia="zh-CN"/>
              </w:rPr>
              <w:t>2</w:t>
            </w:r>
            <w:r>
              <w:rPr>
                <w:rFonts w:hint="eastAsia" w:ascii="宋体" w:hAnsi="宋体" w:eastAsia="宋体" w:cs="宋体"/>
                <w:bCs/>
                <w:color w:val="auto"/>
                <w:kern w:val="2"/>
                <w:sz w:val="21"/>
                <w:szCs w:val="21"/>
                <w:lang w:val="en-US" w:eastAsia="zh-CN"/>
              </w:rPr>
              <w:t>分；</w:t>
            </w:r>
          </w:p>
          <w:p>
            <w:pPr>
              <w:widowControl w:val="0"/>
              <w:adjustRightInd/>
              <w:snapToGrid/>
              <w:spacing w:line="240" w:lineRule="auto"/>
              <w:jc w:val="both"/>
              <w:rPr>
                <w:rFonts w:hint="eastAsia" w:ascii="宋体" w:hAnsi="宋体" w:eastAsia="宋体" w:cs="宋体"/>
                <w:bCs/>
                <w:color w:val="auto"/>
                <w:kern w:val="2"/>
                <w:sz w:val="21"/>
                <w:szCs w:val="21"/>
                <w:lang w:eastAsia="zh-CN"/>
              </w:rPr>
            </w:pPr>
            <w:r>
              <w:rPr>
                <w:rFonts w:hint="eastAsia" w:ascii="宋体" w:hAnsi="宋体" w:eastAsia="宋体" w:cs="宋体"/>
                <w:bCs/>
                <w:color w:val="auto"/>
                <w:kern w:val="2"/>
                <w:sz w:val="21"/>
                <w:szCs w:val="21"/>
              </w:rPr>
              <w:t>在此基础上</w:t>
            </w:r>
            <w:r>
              <w:rPr>
                <w:rFonts w:hint="eastAsia" w:ascii="宋体" w:hAnsi="宋体" w:eastAsia="宋体" w:cs="宋体"/>
                <w:bCs/>
                <w:color w:val="auto"/>
                <w:kern w:val="2"/>
                <w:sz w:val="21"/>
                <w:szCs w:val="21"/>
                <w:lang w:eastAsia="zh-CN"/>
              </w:rPr>
              <w:t>：</w:t>
            </w:r>
          </w:p>
          <w:p>
            <w:pPr>
              <w:widowControl w:val="0"/>
              <w:adjustRightInd/>
              <w:snapToGrid/>
              <w:spacing w:line="240" w:lineRule="auto"/>
              <w:jc w:val="both"/>
              <w:rPr>
                <w:rFonts w:hint="eastAsia" w:ascii="宋体" w:hAnsi="宋体" w:eastAsia="宋体" w:cs="宋体"/>
                <w:color w:val="auto"/>
                <w:kern w:val="2"/>
                <w:sz w:val="21"/>
                <w:szCs w:val="21"/>
              </w:rPr>
            </w:pPr>
            <w:r>
              <w:rPr>
                <w:rFonts w:hint="eastAsia" w:ascii="宋体" w:hAnsi="宋体" w:eastAsia="宋体" w:cs="宋体"/>
                <w:bCs/>
                <w:color w:val="auto"/>
                <w:kern w:val="2"/>
                <w:sz w:val="21"/>
                <w:szCs w:val="21"/>
              </w:rPr>
              <w:t>方案中体现“设施设备档案完整”、“设施设备标志齐全、规范，责任人明确”、“房屋日常管理”、“维修人员在15分钟内到达现场抢修处理，维修合格率100%”、“综合维修人员值班”5个方面要素，每具备一个要素且符合采购需求的加1分，最多加5分。</w:t>
            </w:r>
          </w:p>
        </w:tc>
        <w:tc>
          <w:tcPr>
            <w:tcW w:w="78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Cs/>
                <w:color w:val="auto"/>
                <w:kern w:val="2"/>
                <w:sz w:val="21"/>
                <w:szCs w:val="21"/>
              </w:rPr>
            </w:pPr>
            <w:r>
              <w:rPr>
                <w:rFonts w:hint="eastAsia" w:ascii="宋体" w:hAnsi="宋体" w:cs="宋体"/>
                <w:color w:val="auto"/>
                <w:kern w:val="2"/>
                <w:sz w:val="21"/>
                <w:szCs w:val="21"/>
                <w:lang w:val="en-US" w:eastAsia="zh-CN"/>
              </w:rPr>
              <w:t>7</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2" w:type="dxa"/>
            <w:vMerge w:val="continue"/>
            <w:tcBorders>
              <w:left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
                <w:color w:val="auto"/>
                <w:sz w:val="21"/>
                <w:szCs w:val="21"/>
              </w:rPr>
            </w:pPr>
          </w:p>
        </w:tc>
        <w:tc>
          <w:tcPr>
            <w:tcW w:w="727" w:type="dxa"/>
            <w:vMerge w:val="continue"/>
            <w:tcBorders>
              <w:left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
                <w:color w:val="auto"/>
                <w:sz w:val="21"/>
                <w:szCs w:val="21"/>
              </w:rPr>
            </w:pPr>
          </w:p>
        </w:tc>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Cs/>
                <w:color w:val="auto"/>
                <w:kern w:val="2"/>
                <w:sz w:val="21"/>
                <w:szCs w:val="21"/>
              </w:rPr>
            </w:pPr>
            <w:r>
              <w:rPr>
                <w:rFonts w:hint="eastAsia" w:ascii="宋体" w:hAnsi="宋体" w:eastAsia="宋体" w:cs="宋体"/>
                <w:color w:val="auto"/>
                <w:kern w:val="2"/>
                <w:sz w:val="21"/>
                <w:szCs w:val="21"/>
                <w:lang w:eastAsia="zh-CN"/>
              </w:rPr>
              <w:t>客服及会议</w:t>
            </w:r>
            <w:r>
              <w:rPr>
                <w:rFonts w:hint="eastAsia" w:ascii="宋体" w:hAnsi="宋体" w:eastAsia="宋体" w:cs="宋体"/>
                <w:color w:val="auto"/>
                <w:kern w:val="2"/>
                <w:sz w:val="21"/>
                <w:szCs w:val="21"/>
              </w:rPr>
              <w:t>服务方案</w:t>
            </w:r>
          </w:p>
        </w:tc>
        <w:tc>
          <w:tcPr>
            <w:tcW w:w="5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根据投标人针对本项目</w:t>
            </w:r>
            <w:r>
              <w:rPr>
                <w:rFonts w:hint="eastAsia" w:ascii="宋体" w:hAnsi="宋体" w:eastAsia="宋体" w:cs="宋体"/>
                <w:bCs/>
                <w:color w:val="auto"/>
                <w:kern w:val="2"/>
                <w:sz w:val="21"/>
                <w:szCs w:val="21"/>
                <w:lang w:eastAsia="zh-CN"/>
              </w:rPr>
              <w:t>制定</w:t>
            </w:r>
            <w:r>
              <w:rPr>
                <w:rFonts w:hint="eastAsia" w:ascii="宋体" w:hAnsi="宋体" w:eastAsia="宋体" w:cs="宋体"/>
                <w:bCs/>
                <w:color w:val="auto"/>
                <w:kern w:val="2"/>
                <w:sz w:val="21"/>
                <w:szCs w:val="21"/>
              </w:rPr>
              <w:t>的</w:t>
            </w:r>
            <w:r>
              <w:rPr>
                <w:rFonts w:hint="eastAsia" w:ascii="宋体" w:hAnsi="宋体" w:eastAsia="宋体" w:cs="宋体"/>
                <w:color w:val="auto"/>
                <w:kern w:val="2"/>
                <w:sz w:val="21"/>
                <w:szCs w:val="21"/>
                <w:lang w:eastAsia="zh-CN"/>
              </w:rPr>
              <w:t>客服及会务</w:t>
            </w:r>
            <w:r>
              <w:rPr>
                <w:rFonts w:hint="eastAsia" w:ascii="宋体" w:hAnsi="宋体" w:eastAsia="宋体" w:cs="宋体"/>
                <w:color w:val="auto"/>
                <w:kern w:val="2"/>
                <w:sz w:val="21"/>
                <w:szCs w:val="21"/>
              </w:rPr>
              <w:t>服务方案</w:t>
            </w:r>
            <w:r>
              <w:rPr>
                <w:rFonts w:hint="eastAsia" w:ascii="宋体" w:hAnsi="宋体" w:eastAsia="宋体" w:cs="宋体"/>
                <w:bCs/>
                <w:color w:val="auto"/>
                <w:kern w:val="2"/>
                <w:sz w:val="21"/>
                <w:szCs w:val="21"/>
              </w:rPr>
              <w:t>进行评分；</w:t>
            </w:r>
          </w:p>
          <w:p>
            <w:pPr>
              <w:pStyle w:val="2"/>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宋体" w:hAnsi="宋体" w:eastAsia="宋体" w:cs="宋体"/>
                <w:color w:val="auto"/>
              </w:rPr>
            </w:pPr>
            <w:r>
              <w:rPr>
                <w:rFonts w:hint="eastAsia" w:ascii="宋体" w:hAnsi="宋体" w:eastAsia="宋体" w:cs="宋体"/>
                <w:bCs/>
                <w:color w:val="auto"/>
                <w:kern w:val="2"/>
                <w:sz w:val="21"/>
                <w:szCs w:val="21"/>
                <w:lang w:eastAsia="zh-CN"/>
              </w:rPr>
              <w:t>包含</w:t>
            </w:r>
            <w:r>
              <w:rPr>
                <w:rFonts w:hint="eastAsia" w:ascii="宋体" w:hAnsi="宋体" w:eastAsia="宋体" w:cs="宋体"/>
                <w:color w:val="auto"/>
                <w:kern w:val="2"/>
                <w:sz w:val="21"/>
                <w:szCs w:val="21"/>
                <w:lang w:eastAsia="zh-CN"/>
              </w:rPr>
              <w:t>客服及会务</w:t>
            </w:r>
            <w:r>
              <w:rPr>
                <w:rFonts w:hint="eastAsia" w:ascii="宋体" w:hAnsi="宋体" w:eastAsia="宋体" w:cs="宋体"/>
                <w:color w:val="auto"/>
                <w:kern w:val="2"/>
                <w:sz w:val="21"/>
                <w:szCs w:val="21"/>
              </w:rPr>
              <w:t>服务方案</w:t>
            </w:r>
            <w:r>
              <w:rPr>
                <w:rFonts w:hint="eastAsia" w:ascii="宋体" w:hAnsi="宋体" w:eastAsia="宋体" w:cs="宋体"/>
                <w:bCs/>
                <w:color w:val="auto"/>
                <w:kern w:val="2"/>
                <w:sz w:val="21"/>
                <w:szCs w:val="21"/>
                <w:lang w:eastAsia="zh-CN"/>
              </w:rPr>
              <w:t>的得</w:t>
            </w:r>
            <w:r>
              <w:rPr>
                <w:rFonts w:hint="eastAsia" w:ascii="宋体" w:hAnsi="宋体" w:cs="宋体"/>
                <w:bCs/>
                <w:color w:val="auto"/>
                <w:kern w:val="2"/>
                <w:sz w:val="21"/>
                <w:szCs w:val="21"/>
                <w:lang w:val="en-US" w:eastAsia="zh-CN"/>
              </w:rPr>
              <w:t>2</w:t>
            </w:r>
            <w:r>
              <w:rPr>
                <w:rFonts w:hint="eastAsia" w:ascii="宋体" w:hAnsi="宋体" w:eastAsia="宋体" w:cs="宋体"/>
                <w:bCs/>
                <w:color w:val="auto"/>
                <w:kern w:val="2"/>
                <w:sz w:val="21"/>
                <w:szCs w:val="21"/>
                <w:lang w:val="en-US" w:eastAsia="zh-CN"/>
              </w:rPr>
              <w:t>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kern w:val="2"/>
                <w:sz w:val="21"/>
                <w:szCs w:val="21"/>
                <w:lang w:eastAsia="zh-CN"/>
              </w:rPr>
            </w:pPr>
            <w:r>
              <w:rPr>
                <w:rFonts w:hint="eastAsia" w:ascii="宋体" w:hAnsi="宋体" w:eastAsia="宋体" w:cs="宋体"/>
                <w:bCs/>
                <w:color w:val="auto"/>
                <w:kern w:val="2"/>
                <w:sz w:val="21"/>
                <w:szCs w:val="21"/>
              </w:rPr>
              <w:t>在此基础上</w:t>
            </w:r>
            <w:r>
              <w:rPr>
                <w:rFonts w:hint="eastAsia" w:ascii="宋体" w:hAnsi="宋体" w:eastAsia="宋体" w:cs="宋体"/>
                <w:bCs/>
                <w:color w:val="auto"/>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rPr>
            </w:pPr>
            <w:r>
              <w:rPr>
                <w:rFonts w:hint="eastAsia" w:ascii="宋体" w:hAnsi="宋体" w:eastAsia="宋体" w:cs="宋体"/>
                <w:bCs/>
                <w:color w:val="auto"/>
                <w:kern w:val="2"/>
                <w:sz w:val="21"/>
                <w:szCs w:val="21"/>
              </w:rPr>
              <w:t>方案中体现“客服接待”、“收发服务”、</w:t>
            </w:r>
            <w:r>
              <w:rPr>
                <w:rFonts w:hint="eastAsia" w:ascii="宋体" w:hAnsi="宋体" w:eastAsia="宋体" w:cs="宋体"/>
                <w:bCs/>
                <w:color w:val="auto"/>
                <w:kern w:val="2"/>
                <w:sz w:val="21"/>
                <w:szCs w:val="21"/>
                <w:lang w:eastAsia="zh-CN"/>
              </w:rPr>
              <w:t>“档案管理”、</w:t>
            </w:r>
            <w:r>
              <w:rPr>
                <w:rFonts w:hint="eastAsia" w:ascii="宋体" w:hAnsi="宋体" w:eastAsia="宋体" w:cs="宋体"/>
                <w:bCs/>
                <w:color w:val="auto"/>
                <w:kern w:val="2"/>
                <w:sz w:val="21"/>
                <w:szCs w:val="21"/>
              </w:rPr>
              <w:t>“</w:t>
            </w:r>
            <w:r>
              <w:rPr>
                <w:rFonts w:hint="eastAsia" w:ascii="宋体" w:hAnsi="宋体" w:eastAsia="宋体" w:cs="宋体"/>
                <w:bCs/>
                <w:color w:val="auto"/>
                <w:kern w:val="2"/>
                <w:sz w:val="21"/>
                <w:szCs w:val="21"/>
                <w:lang w:eastAsia="zh-CN"/>
              </w:rPr>
              <w:t>会议服务</w:t>
            </w:r>
            <w:r>
              <w:rPr>
                <w:rFonts w:hint="eastAsia" w:ascii="宋体" w:hAnsi="宋体" w:eastAsia="宋体" w:cs="宋体"/>
                <w:bCs/>
                <w:color w:val="auto"/>
                <w:kern w:val="2"/>
                <w:sz w:val="21"/>
                <w:szCs w:val="21"/>
              </w:rPr>
              <w:t>”</w:t>
            </w:r>
            <w:r>
              <w:rPr>
                <w:rFonts w:hint="eastAsia" w:ascii="宋体" w:hAnsi="宋体" w:eastAsia="宋体" w:cs="宋体"/>
                <w:bCs/>
                <w:color w:val="auto"/>
                <w:kern w:val="2"/>
                <w:sz w:val="21"/>
                <w:szCs w:val="21"/>
                <w:lang w:val="en-US" w:eastAsia="zh-CN"/>
              </w:rPr>
              <w:t>4</w:t>
            </w:r>
            <w:r>
              <w:rPr>
                <w:rFonts w:hint="eastAsia" w:ascii="宋体" w:hAnsi="宋体" w:eastAsia="宋体" w:cs="宋体"/>
                <w:bCs/>
                <w:color w:val="auto"/>
                <w:kern w:val="2"/>
                <w:sz w:val="21"/>
                <w:szCs w:val="21"/>
              </w:rPr>
              <w:t>个</w:t>
            </w:r>
            <w:r>
              <w:rPr>
                <w:rFonts w:hint="eastAsia" w:ascii="宋体" w:hAnsi="宋体" w:eastAsia="宋体" w:cs="宋体"/>
                <w:bCs/>
                <w:color w:val="auto"/>
                <w:kern w:val="2"/>
                <w:sz w:val="21"/>
                <w:szCs w:val="21"/>
                <w:lang w:eastAsia="zh-CN"/>
              </w:rPr>
              <w:t>方面</w:t>
            </w:r>
            <w:r>
              <w:rPr>
                <w:rFonts w:hint="eastAsia" w:ascii="宋体" w:hAnsi="宋体" w:eastAsia="宋体" w:cs="宋体"/>
                <w:bCs/>
                <w:color w:val="auto"/>
                <w:kern w:val="2"/>
                <w:sz w:val="21"/>
                <w:szCs w:val="21"/>
              </w:rPr>
              <w:t>要素的，每具备一个要素且符合采购需求的加1分，最多加</w:t>
            </w:r>
            <w:r>
              <w:rPr>
                <w:rFonts w:hint="eastAsia" w:ascii="宋体" w:hAnsi="宋体" w:eastAsia="宋体" w:cs="宋体"/>
                <w:bCs/>
                <w:color w:val="auto"/>
                <w:kern w:val="2"/>
                <w:sz w:val="21"/>
                <w:szCs w:val="21"/>
                <w:lang w:val="en-US" w:eastAsia="zh-CN"/>
              </w:rPr>
              <w:t>4</w:t>
            </w:r>
            <w:r>
              <w:rPr>
                <w:rFonts w:hint="eastAsia" w:ascii="宋体" w:hAnsi="宋体" w:eastAsia="宋体" w:cs="宋体"/>
                <w:bCs/>
                <w:color w:val="auto"/>
                <w:kern w:val="2"/>
                <w:sz w:val="21"/>
                <w:szCs w:val="21"/>
              </w:rPr>
              <w:t>分。</w:t>
            </w:r>
          </w:p>
        </w:tc>
        <w:tc>
          <w:tcPr>
            <w:tcW w:w="78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Cs/>
                <w:color w:val="auto"/>
                <w:kern w:val="2"/>
                <w:sz w:val="21"/>
                <w:szCs w:val="21"/>
              </w:rPr>
            </w:pPr>
            <w:r>
              <w:rPr>
                <w:rFonts w:hint="eastAsia" w:ascii="宋体" w:hAnsi="宋体" w:cs="宋体"/>
                <w:bCs/>
                <w:color w:val="auto"/>
                <w:kern w:val="2"/>
                <w:sz w:val="21"/>
                <w:szCs w:val="21"/>
                <w:lang w:val="en-US" w:eastAsia="zh-CN"/>
              </w:rPr>
              <w:t>6</w:t>
            </w:r>
            <w:r>
              <w:rPr>
                <w:rFonts w:hint="eastAsia" w:ascii="宋体" w:hAnsi="宋体" w:eastAsia="宋体" w:cs="宋体"/>
                <w:bCs/>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2" w:type="dxa"/>
            <w:vMerge w:val="continue"/>
            <w:tcBorders>
              <w:left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
                <w:color w:val="auto"/>
                <w:sz w:val="21"/>
                <w:szCs w:val="21"/>
              </w:rPr>
            </w:pPr>
          </w:p>
        </w:tc>
        <w:tc>
          <w:tcPr>
            <w:tcW w:w="727" w:type="dxa"/>
            <w:vMerge w:val="continue"/>
            <w:tcBorders>
              <w:left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
                <w:color w:val="auto"/>
                <w:sz w:val="21"/>
                <w:szCs w:val="21"/>
              </w:rPr>
            </w:pPr>
          </w:p>
        </w:tc>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color w:val="auto"/>
                <w:kern w:val="2"/>
                <w:sz w:val="21"/>
                <w:szCs w:val="21"/>
                <w:lang w:eastAsia="zh-CN"/>
              </w:rPr>
            </w:pPr>
            <w:r>
              <w:rPr>
                <w:rFonts w:hint="eastAsia" w:ascii="宋体" w:hAnsi="宋体" w:cs="宋体"/>
                <w:color w:val="auto"/>
                <w:kern w:val="2"/>
                <w:sz w:val="21"/>
                <w:szCs w:val="21"/>
                <w:lang w:eastAsia="zh-CN"/>
              </w:rPr>
              <w:t>疫情防控方案</w:t>
            </w:r>
          </w:p>
        </w:tc>
        <w:tc>
          <w:tcPr>
            <w:tcW w:w="5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w:t>
            </w:r>
            <w:r>
              <w:rPr>
                <w:rFonts w:hint="eastAsia" w:ascii="宋体" w:hAnsi="宋体" w:eastAsia="宋体" w:cs="宋体"/>
                <w:color w:val="auto"/>
                <w:lang w:eastAsia="zh-CN"/>
              </w:rPr>
              <w:t>投标人提供了疫情防控方案的得</w:t>
            </w:r>
            <w:r>
              <w:rPr>
                <w:rFonts w:hint="eastAsia" w:ascii="宋体" w:hAnsi="宋体" w:eastAsia="宋体" w:cs="宋体"/>
                <w:color w:val="auto"/>
                <w:lang w:val="en-US" w:eastAsia="zh-CN"/>
              </w:rPr>
              <w:t>1分；</w:t>
            </w:r>
          </w:p>
          <w:p>
            <w:pPr>
              <w:pStyle w:val="2"/>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在此基础上：</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rPr>
            </w:pPr>
            <w:r>
              <w:rPr>
                <w:rFonts w:hint="eastAsia" w:ascii="宋体" w:hAnsi="宋体" w:eastAsia="宋体" w:cs="宋体"/>
                <w:color w:val="auto"/>
                <w:lang w:val="en-US" w:eastAsia="zh-CN"/>
              </w:rPr>
              <w:t>方案中体现“成立疫情防控工作组并建立疫情防控机制”、“制定疫情防控措施”、“制定防疫物资保障方案”3</w:t>
            </w:r>
            <w:r>
              <w:rPr>
                <w:rFonts w:hint="eastAsia" w:ascii="宋体" w:hAnsi="宋体" w:eastAsia="宋体" w:cs="宋体"/>
                <w:color w:val="auto"/>
              </w:rPr>
              <w:t>个</w:t>
            </w:r>
            <w:r>
              <w:rPr>
                <w:rFonts w:hint="eastAsia" w:ascii="宋体" w:hAnsi="宋体" w:eastAsia="宋体" w:cs="宋体"/>
                <w:color w:val="auto"/>
                <w:lang w:eastAsia="zh-CN"/>
              </w:rPr>
              <w:t>方面</w:t>
            </w:r>
            <w:r>
              <w:rPr>
                <w:rFonts w:hint="eastAsia" w:ascii="宋体" w:hAnsi="宋体" w:eastAsia="宋体" w:cs="宋体"/>
                <w:color w:val="auto"/>
              </w:rPr>
              <w:t>要素的，每具备一个要素且符合采购需求的加1分，最多加</w:t>
            </w:r>
            <w:r>
              <w:rPr>
                <w:rFonts w:hint="eastAsia" w:ascii="宋体" w:hAnsi="宋体" w:eastAsia="宋体" w:cs="宋体"/>
                <w:color w:val="auto"/>
                <w:lang w:val="en-US" w:eastAsia="zh-CN"/>
              </w:rPr>
              <w:t>3</w:t>
            </w:r>
            <w:r>
              <w:rPr>
                <w:rFonts w:hint="eastAsia" w:ascii="宋体" w:hAnsi="宋体" w:eastAsia="宋体" w:cs="宋体"/>
                <w:color w:val="auto"/>
              </w:rPr>
              <w:t>分。</w:t>
            </w:r>
          </w:p>
          <w:p>
            <w:pPr>
              <w:widowControl/>
              <w:outlineLvl w:val="3"/>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rPr>
              <w:t>2、</w:t>
            </w:r>
            <w:r>
              <w:rPr>
                <w:rFonts w:hint="eastAsia" w:ascii="宋体" w:hAnsi="宋体" w:cs="宋体"/>
                <w:bCs/>
                <w:color w:val="auto"/>
                <w:kern w:val="2"/>
                <w:sz w:val="21"/>
                <w:szCs w:val="21"/>
                <w:lang w:val="en-US" w:eastAsia="zh-CN"/>
              </w:rPr>
              <w:t>供应商有</w:t>
            </w:r>
            <w:r>
              <w:rPr>
                <w:rFonts w:hint="eastAsia" w:ascii="宋体" w:hAnsi="宋体" w:eastAsia="宋体" w:cs="宋体"/>
                <w:bCs/>
                <w:color w:val="auto"/>
                <w:kern w:val="2"/>
                <w:sz w:val="21"/>
                <w:szCs w:val="21"/>
                <w:lang w:val="en-US" w:eastAsia="zh-CN"/>
              </w:rPr>
              <w:t>获得过行政主管部门颁发的</w:t>
            </w:r>
            <w:r>
              <w:rPr>
                <w:rFonts w:hint="eastAsia" w:ascii="宋体" w:hAnsi="宋体" w:cs="宋体"/>
                <w:bCs/>
                <w:color w:val="auto"/>
                <w:kern w:val="2"/>
                <w:sz w:val="21"/>
                <w:szCs w:val="21"/>
                <w:lang w:val="en-US" w:eastAsia="zh-CN"/>
              </w:rPr>
              <w:t>关于</w:t>
            </w:r>
            <w:r>
              <w:rPr>
                <w:rFonts w:hint="eastAsia" w:ascii="宋体" w:hAnsi="宋体" w:eastAsia="宋体" w:cs="宋体"/>
                <w:bCs/>
                <w:color w:val="auto"/>
                <w:kern w:val="2"/>
                <w:sz w:val="21"/>
                <w:szCs w:val="21"/>
                <w:lang w:val="en-US" w:eastAsia="zh-CN"/>
              </w:rPr>
              <w:t>疫情</w:t>
            </w:r>
            <w:r>
              <w:rPr>
                <w:rFonts w:hint="eastAsia" w:ascii="宋体" w:hAnsi="宋体" w:cs="宋体"/>
                <w:bCs/>
                <w:color w:val="auto"/>
                <w:kern w:val="2"/>
                <w:sz w:val="21"/>
                <w:szCs w:val="21"/>
                <w:lang w:val="en-US" w:eastAsia="zh-CN"/>
              </w:rPr>
              <w:t>防控相关表彰奖励</w:t>
            </w:r>
            <w:r>
              <w:rPr>
                <w:rFonts w:hint="eastAsia" w:ascii="宋体" w:hAnsi="宋体" w:eastAsia="宋体" w:cs="宋体"/>
                <w:bCs/>
                <w:color w:val="auto"/>
                <w:kern w:val="2"/>
                <w:sz w:val="21"/>
                <w:szCs w:val="21"/>
                <w:lang w:val="en-US" w:eastAsia="zh-CN"/>
              </w:rPr>
              <w:t>的，得3分。</w:t>
            </w:r>
            <w:r>
              <w:rPr>
                <w:rFonts w:hint="eastAsia" w:ascii="宋体" w:hAnsi="宋体" w:cs="宋体"/>
                <w:bCs/>
                <w:color w:val="auto"/>
                <w:kern w:val="2"/>
                <w:sz w:val="21"/>
                <w:szCs w:val="21"/>
                <w:lang w:val="en-US" w:eastAsia="zh-CN"/>
              </w:rPr>
              <w:t>（提供相应证书或证明文件复印件）</w:t>
            </w:r>
          </w:p>
        </w:tc>
        <w:tc>
          <w:tcPr>
            <w:tcW w:w="78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Cs/>
                <w:color w:val="auto"/>
                <w:kern w:val="2"/>
                <w:sz w:val="21"/>
                <w:szCs w:val="21"/>
                <w:lang w:val="en-US" w:eastAsia="zh-CN"/>
              </w:rPr>
            </w:pPr>
            <w:r>
              <w:rPr>
                <w:rFonts w:hint="eastAsia" w:ascii="宋体" w:hAnsi="宋体" w:cs="宋体"/>
                <w:color w:val="auto"/>
                <w:kern w:val="2"/>
                <w:sz w:val="21"/>
                <w:szCs w:val="21"/>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2" w:type="dxa"/>
            <w:vMerge w:val="continue"/>
            <w:tcBorders>
              <w:left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
                <w:color w:val="auto"/>
                <w:sz w:val="21"/>
                <w:szCs w:val="21"/>
              </w:rPr>
            </w:pPr>
          </w:p>
        </w:tc>
        <w:tc>
          <w:tcPr>
            <w:tcW w:w="727" w:type="dxa"/>
            <w:vMerge w:val="continue"/>
            <w:tcBorders>
              <w:left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
                <w:color w:val="auto"/>
                <w:sz w:val="21"/>
                <w:szCs w:val="21"/>
              </w:rPr>
            </w:pPr>
          </w:p>
        </w:tc>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Cs/>
                <w:color w:val="auto"/>
                <w:kern w:val="2"/>
                <w:sz w:val="21"/>
                <w:szCs w:val="21"/>
                <w:lang w:eastAsia="zh-CN"/>
              </w:rPr>
            </w:pPr>
            <w:r>
              <w:rPr>
                <w:rFonts w:hint="eastAsia" w:ascii="宋体" w:hAnsi="宋体" w:eastAsia="宋体" w:cs="宋体"/>
                <w:bCs/>
                <w:color w:val="auto"/>
                <w:kern w:val="2"/>
                <w:sz w:val="21"/>
                <w:szCs w:val="21"/>
                <w:lang w:eastAsia="zh-CN"/>
              </w:rPr>
              <w:t>应急预案</w:t>
            </w:r>
          </w:p>
        </w:tc>
        <w:tc>
          <w:tcPr>
            <w:tcW w:w="5677" w:type="dxa"/>
            <w:tcBorders>
              <w:top w:val="single" w:color="auto" w:sz="4" w:space="0"/>
              <w:left w:val="single" w:color="auto" w:sz="4" w:space="0"/>
              <w:bottom w:val="single" w:color="auto" w:sz="4" w:space="0"/>
              <w:right w:val="single" w:color="auto" w:sz="4" w:space="0"/>
            </w:tcBorders>
            <w:vAlign w:val="center"/>
          </w:tcPr>
          <w:p>
            <w:pPr>
              <w:pStyle w:val="155"/>
              <w:ind w:left="0" w:leftChars="0" w:firstLine="0" w:firstLineChars="0"/>
              <w:jc w:val="left"/>
              <w:rPr>
                <w:rFonts w:hint="eastAsia" w:ascii="宋体" w:hAnsi="宋体" w:eastAsia="宋体" w:cs="宋体"/>
                <w:bCs/>
                <w:color w:val="auto"/>
                <w:szCs w:val="21"/>
                <w:lang w:val="en-US" w:eastAsia="zh-CN"/>
              </w:rPr>
            </w:pPr>
            <w:r>
              <w:rPr>
                <w:rFonts w:hint="eastAsia" w:ascii="宋体" w:hAnsi="宋体" w:eastAsia="宋体" w:cs="宋体"/>
                <w:bCs/>
                <w:color w:val="auto"/>
                <w:szCs w:val="21"/>
              </w:rPr>
              <w:t>投标人提供</w:t>
            </w:r>
            <w:r>
              <w:rPr>
                <w:rFonts w:hint="eastAsia" w:ascii="宋体" w:hAnsi="宋体" w:eastAsia="宋体" w:cs="宋体"/>
                <w:bCs/>
                <w:color w:val="auto"/>
                <w:szCs w:val="21"/>
                <w:lang w:eastAsia="zh-CN"/>
              </w:rPr>
              <w:t>了</w:t>
            </w:r>
            <w:r>
              <w:rPr>
                <w:rFonts w:hint="eastAsia" w:ascii="宋体" w:hAnsi="宋体" w:eastAsia="宋体" w:cs="宋体"/>
                <w:bCs/>
                <w:color w:val="auto"/>
                <w:szCs w:val="21"/>
              </w:rPr>
              <w:t>应急</w:t>
            </w:r>
            <w:r>
              <w:rPr>
                <w:rFonts w:hint="eastAsia" w:ascii="宋体" w:hAnsi="宋体" w:eastAsia="宋体" w:cs="宋体"/>
                <w:bCs/>
                <w:color w:val="auto"/>
                <w:szCs w:val="21"/>
                <w:lang w:eastAsia="zh-CN"/>
              </w:rPr>
              <w:t>预</w:t>
            </w:r>
            <w:r>
              <w:rPr>
                <w:rFonts w:hint="eastAsia" w:ascii="宋体" w:hAnsi="宋体" w:eastAsia="宋体" w:cs="宋体"/>
                <w:bCs/>
                <w:color w:val="auto"/>
                <w:szCs w:val="21"/>
              </w:rPr>
              <w:t>案</w:t>
            </w:r>
            <w:r>
              <w:rPr>
                <w:rFonts w:hint="eastAsia" w:ascii="宋体" w:hAnsi="宋体" w:eastAsia="宋体" w:cs="宋体"/>
                <w:bCs/>
                <w:color w:val="auto"/>
                <w:szCs w:val="21"/>
                <w:lang w:eastAsia="zh-CN"/>
              </w:rPr>
              <w:t>的得</w:t>
            </w:r>
            <w:r>
              <w:rPr>
                <w:rFonts w:hint="eastAsia" w:ascii="宋体" w:hAnsi="宋体" w:cs="宋体"/>
                <w:bCs/>
                <w:color w:val="auto"/>
                <w:szCs w:val="21"/>
                <w:lang w:val="en-US" w:eastAsia="zh-CN"/>
              </w:rPr>
              <w:t>2</w:t>
            </w:r>
            <w:r>
              <w:rPr>
                <w:rFonts w:hint="eastAsia" w:ascii="宋体" w:hAnsi="宋体" w:eastAsia="宋体" w:cs="宋体"/>
                <w:bCs/>
                <w:color w:val="auto"/>
                <w:szCs w:val="21"/>
                <w:lang w:val="en-US" w:eastAsia="zh-CN"/>
              </w:rPr>
              <w:t>分；</w:t>
            </w:r>
          </w:p>
          <w:p>
            <w:pPr>
              <w:pStyle w:val="155"/>
              <w:ind w:left="0" w:leftChars="0" w:firstLine="0" w:firstLineChars="0"/>
              <w:jc w:val="left"/>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在此基础上</w:t>
            </w:r>
            <w:r>
              <w:rPr>
                <w:rFonts w:hint="eastAsia" w:ascii="宋体" w:hAnsi="宋体" w:cs="宋体"/>
                <w:bCs/>
                <w:color w:val="auto"/>
                <w:szCs w:val="21"/>
                <w:lang w:val="en-US" w:eastAsia="zh-CN"/>
              </w:rPr>
              <w:t>：</w:t>
            </w:r>
          </w:p>
          <w:p>
            <w:pPr>
              <w:pStyle w:val="155"/>
              <w:ind w:left="0" w:leftChars="0" w:firstLine="0" w:firstLineChars="0"/>
              <w:jc w:val="left"/>
              <w:rPr>
                <w:rFonts w:hint="eastAsia" w:ascii="宋体" w:hAnsi="宋体" w:eastAsia="宋体" w:cs="宋体"/>
                <w:color w:val="auto"/>
                <w:kern w:val="2"/>
                <w:sz w:val="21"/>
                <w:szCs w:val="21"/>
              </w:rPr>
            </w:pPr>
            <w:r>
              <w:rPr>
                <w:rFonts w:hint="eastAsia" w:ascii="宋体" w:hAnsi="宋体" w:eastAsia="宋体" w:cs="宋体"/>
                <w:bCs/>
                <w:color w:val="auto"/>
                <w:szCs w:val="21"/>
                <w:lang w:val="en-US" w:eastAsia="zh-CN"/>
              </w:rPr>
              <w:t>方案中体现</w:t>
            </w:r>
            <w:r>
              <w:rPr>
                <w:rFonts w:hint="eastAsia" w:ascii="宋体" w:hAnsi="宋体" w:eastAsia="宋体" w:cs="宋体"/>
                <w:bCs/>
                <w:color w:val="auto"/>
                <w:szCs w:val="21"/>
              </w:rPr>
              <w:t>“发生各类维稳事件”、“发生消防安全事故”、“公共卫生事件和公共治安事件”、“自然灾害”、“电梯系统故障”、“水电气系统、雨污管网系统故障事故”</w:t>
            </w:r>
            <w:r>
              <w:rPr>
                <w:rFonts w:hint="eastAsia" w:ascii="宋体" w:hAnsi="宋体" w:eastAsia="宋体" w:cs="宋体"/>
                <w:bCs/>
                <w:color w:val="auto"/>
                <w:szCs w:val="21"/>
                <w:lang w:val="en-US" w:eastAsia="zh-CN"/>
              </w:rPr>
              <w:t>6</w:t>
            </w:r>
            <w:r>
              <w:rPr>
                <w:rFonts w:hint="eastAsia" w:ascii="宋体" w:hAnsi="宋体" w:eastAsia="宋体" w:cs="宋体"/>
                <w:bCs/>
                <w:color w:val="auto"/>
                <w:szCs w:val="21"/>
              </w:rPr>
              <w:t>个方面要素</w:t>
            </w:r>
            <w:r>
              <w:rPr>
                <w:rFonts w:hint="eastAsia" w:ascii="宋体" w:hAnsi="宋体" w:eastAsia="宋体" w:cs="宋体"/>
                <w:bCs/>
                <w:color w:val="auto"/>
                <w:szCs w:val="21"/>
                <w:lang w:eastAsia="zh-CN"/>
              </w:rPr>
              <w:t>的</w:t>
            </w:r>
            <w:r>
              <w:rPr>
                <w:rFonts w:hint="eastAsia" w:ascii="宋体" w:hAnsi="宋体" w:eastAsia="宋体" w:cs="宋体"/>
                <w:bCs/>
                <w:color w:val="auto"/>
                <w:szCs w:val="21"/>
              </w:rPr>
              <w:t>，每具</w:t>
            </w:r>
            <w:r>
              <w:rPr>
                <w:rFonts w:hint="eastAsia" w:ascii="宋体" w:hAnsi="宋体" w:eastAsia="宋体" w:cs="宋体"/>
                <w:bCs/>
                <w:color w:val="auto"/>
                <w:szCs w:val="21"/>
                <w:lang w:eastAsia="zh-CN"/>
              </w:rPr>
              <w:t>备</w:t>
            </w:r>
            <w:r>
              <w:rPr>
                <w:rFonts w:hint="eastAsia" w:ascii="宋体" w:hAnsi="宋体" w:eastAsia="宋体" w:cs="宋体"/>
                <w:bCs/>
                <w:color w:val="auto"/>
                <w:szCs w:val="21"/>
              </w:rPr>
              <w:t>一个要素且</w:t>
            </w:r>
            <w:r>
              <w:rPr>
                <w:rFonts w:hint="eastAsia" w:ascii="宋体" w:hAnsi="宋体" w:eastAsia="宋体" w:cs="宋体"/>
                <w:bCs/>
                <w:color w:val="auto"/>
                <w:kern w:val="2"/>
                <w:sz w:val="21"/>
                <w:szCs w:val="21"/>
              </w:rPr>
              <w:t>符合采购需求的</w:t>
            </w:r>
            <w:r>
              <w:rPr>
                <w:rFonts w:hint="eastAsia" w:ascii="宋体" w:hAnsi="宋体" w:eastAsia="宋体" w:cs="宋体"/>
                <w:bCs/>
                <w:color w:val="auto"/>
                <w:szCs w:val="21"/>
                <w:lang w:eastAsia="zh-CN"/>
              </w:rPr>
              <w:t>，加</w:t>
            </w:r>
            <w:r>
              <w:rPr>
                <w:rFonts w:hint="eastAsia" w:ascii="宋体" w:hAnsi="宋体" w:eastAsia="宋体" w:cs="宋体"/>
                <w:bCs/>
                <w:color w:val="auto"/>
                <w:szCs w:val="21"/>
              </w:rPr>
              <w:t>1分，最多</w:t>
            </w:r>
            <w:r>
              <w:rPr>
                <w:rFonts w:hint="eastAsia" w:ascii="宋体" w:hAnsi="宋体" w:eastAsia="宋体" w:cs="宋体"/>
                <w:bCs/>
                <w:color w:val="auto"/>
                <w:szCs w:val="21"/>
                <w:lang w:eastAsia="zh-CN"/>
              </w:rPr>
              <w:t>加</w:t>
            </w:r>
            <w:r>
              <w:rPr>
                <w:rFonts w:hint="eastAsia" w:ascii="宋体" w:hAnsi="宋体" w:eastAsia="宋体" w:cs="宋体"/>
                <w:bCs/>
                <w:color w:val="auto"/>
                <w:szCs w:val="21"/>
                <w:lang w:val="en-US" w:eastAsia="zh-CN"/>
              </w:rPr>
              <w:t>6</w:t>
            </w:r>
            <w:r>
              <w:rPr>
                <w:rFonts w:hint="eastAsia" w:ascii="宋体" w:hAnsi="宋体" w:eastAsia="宋体" w:cs="宋体"/>
                <w:bCs/>
                <w:color w:val="auto"/>
                <w:szCs w:val="21"/>
              </w:rPr>
              <w:t>分。</w:t>
            </w:r>
            <w:bookmarkStart w:id="397" w:name="_GoBack"/>
            <w:bookmarkEnd w:id="397"/>
          </w:p>
        </w:tc>
        <w:tc>
          <w:tcPr>
            <w:tcW w:w="78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Cs/>
                <w:color w:val="auto"/>
                <w:kern w:val="2"/>
                <w:sz w:val="21"/>
                <w:szCs w:val="21"/>
              </w:rPr>
            </w:pPr>
            <w:r>
              <w:rPr>
                <w:rFonts w:hint="eastAsia" w:ascii="宋体" w:hAnsi="宋体" w:cs="宋体"/>
                <w:bCs/>
                <w:color w:val="auto"/>
                <w:kern w:val="2"/>
                <w:sz w:val="21"/>
                <w:szCs w:val="21"/>
                <w:lang w:val="en-US" w:eastAsia="zh-CN"/>
              </w:rPr>
              <w:t>8</w:t>
            </w:r>
            <w:r>
              <w:rPr>
                <w:rFonts w:hint="eastAsia" w:ascii="宋体" w:hAnsi="宋体" w:eastAsia="宋体" w:cs="宋体"/>
                <w:bCs/>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2" w:type="dxa"/>
            <w:vMerge w:val="continue"/>
            <w:tcBorders>
              <w:left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
                <w:color w:val="auto"/>
                <w:sz w:val="21"/>
                <w:szCs w:val="21"/>
              </w:rPr>
            </w:pPr>
          </w:p>
        </w:tc>
        <w:tc>
          <w:tcPr>
            <w:tcW w:w="727" w:type="dxa"/>
            <w:vMerge w:val="continue"/>
            <w:tcBorders>
              <w:left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
                <w:color w:val="auto"/>
                <w:sz w:val="21"/>
                <w:szCs w:val="21"/>
              </w:rPr>
            </w:pPr>
          </w:p>
        </w:tc>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规章管理</w:t>
            </w:r>
          </w:p>
          <w:p>
            <w:pPr>
              <w:widowControl w:val="0"/>
              <w:adjustRightInd/>
              <w:snapToGrid/>
              <w:spacing w:line="240" w:lineRule="auto"/>
              <w:jc w:val="center"/>
              <w:rPr>
                <w:rFonts w:hint="eastAsia" w:ascii="宋体" w:hAnsi="宋体" w:eastAsia="宋体" w:cs="宋体"/>
                <w:bCs/>
                <w:color w:val="auto"/>
                <w:kern w:val="2"/>
                <w:sz w:val="21"/>
                <w:szCs w:val="21"/>
              </w:rPr>
            </w:pPr>
            <w:r>
              <w:rPr>
                <w:rFonts w:hint="eastAsia" w:ascii="宋体" w:hAnsi="宋体" w:eastAsia="宋体" w:cs="宋体"/>
                <w:color w:val="auto"/>
                <w:kern w:val="2"/>
                <w:sz w:val="21"/>
                <w:szCs w:val="21"/>
              </w:rPr>
              <w:t>制度</w:t>
            </w:r>
          </w:p>
        </w:tc>
        <w:tc>
          <w:tcPr>
            <w:tcW w:w="567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both"/>
              <w:rPr>
                <w:rFonts w:hint="eastAsia" w:ascii="宋体" w:hAnsi="宋体" w:eastAsia="宋体" w:cs="宋体"/>
                <w:bCs/>
                <w:color w:val="auto"/>
                <w:szCs w:val="21"/>
                <w:lang w:val="en-US" w:eastAsia="zh-CN"/>
              </w:rPr>
            </w:pPr>
            <w:r>
              <w:rPr>
                <w:rFonts w:hint="eastAsia" w:ascii="宋体" w:hAnsi="宋体" w:eastAsia="宋体" w:cs="宋体"/>
                <w:bCs/>
                <w:color w:val="auto"/>
                <w:szCs w:val="21"/>
              </w:rPr>
              <w:t>投标人提供</w:t>
            </w:r>
            <w:r>
              <w:rPr>
                <w:rFonts w:hint="eastAsia" w:ascii="宋体" w:hAnsi="宋体" w:eastAsia="宋体" w:cs="宋体"/>
                <w:bCs/>
                <w:color w:val="auto"/>
                <w:szCs w:val="21"/>
                <w:lang w:eastAsia="zh-CN"/>
              </w:rPr>
              <w:t>了</w:t>
            </w:r>
            <w:r>
              <w:rPr>
                <w:rFonts w:hint="eastAsia" w:ascii="宋体" w:hAnsi="宋体" w:eastAsia="宋体" w:cs="宋体"/>
                <w:color w:val="auto"/>
                <w:kern w:val="2"/>
                <w:sz w:val="21"/>
                <w:szCs w:val="21"/>
              </w:rPr>
              <w:t>规章管理制度</w:t>
            </w:r>
            <w:r>
              <w:rPr>
                <w:rFonts w:hint="eastAsia" w:ascii="宋体" w:hAnsi="宋体" w:eastAsia="宋体" w:cs="宋体"/>
                <w:color w:val="auto"/>
                <w:kern w:val="2"/>
                <w:sz w:val="21"/>
                <w:szCs w:val="21"/>
                <w:lang w:eastAsia="zh-CN"/>
              </w:rPr>
              <w:t>的</w:t>
            </w:r>
            <w:r>
              <w:rPr>
                <w:rFonts w:hint="eastAsia" w:ascii="宋体" w:hAnsi="宋体" w:eastAsia="宋体" w:cs="宋体"/>
                <w:bCs/>
                <w:color w:val="auto"/>
                <w:szCs w:val="21"/>
                <w:lang w:eastAsia="zh-CN"/>
              </w:rPr>
              <w:t>得</w:t>
            </w:r>
            <w:r>
              <w:rPr>
                <w:rFonts w:hint="eastAsia" w:ascii="宋体" w:hAnsi="宋体" w:cs="宋体"/>
                <w:bCs/>
                <w:color w:val="auto"/>
                <w:szCs w:val="21"/>
                <w:lang w:val="en-US" w:eastAsia="zh-CN"/>
              </w:rPr>
              <w:t>1</w:t>
            </w:r>
            <w:r>
              <w:rPr>
                <w:rFonts w:hint="eastAsia" w:ascii="宋体" w:hAnsi="宋体" w:eastAsia="宋体" w:cs="宋体"/>
                <w:bCs/>
                <w:color w:val="auto"/>
                <w:szCs w:val="21"/>
                <w:lang w:val="en-US" w:eastAsia="zh-CN"/>
              </w:rPr>
              <w:t>分；</w:t>
            </w:r>
          </w:p>
          <w:p>
            <w:pPr>
              <w:widowControl w:val="0"/>
              <w:adjustRightInd/>
              <w:snapToGrid/>
              <w:spacing w:line="240" w:lineRule="auto"/>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在此基础上方案中</w:t>
            </w:r>
            <w:r>
              <w:rPr>
                <w:rFonts w:hint="eastAsia" w:ascii="宋体" w:hAnsi="宋体" w:cs="宋体"/>
                <w:color w:val="auto"/>
                <w:kern w:val="2"/>
                <w:sz w:val="21"/>
                <w:szCs w:val="21"/>
                <w:lang w:eastAsia="zh-CN"/>
              </w:rPr>
              <w:t>：</w:t>
            </w:r>
          </w:p>
          <w:p>
            <w:pPr>
              <w:widowControl w:val="0"/>
              <w:adjustRightInd/>
              <w:snapToGrid/>
              <w:spacing w:line="240" w:lineRule="auto"/>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rPr>
              <w:t>有具体的人员考核制度，考核制度考虑全面、考核标准细化量化、符合本项目特点的加1分；</w:t>
            </w:r>
          </w:p>
          <w:p>
            <w:pPr>
              <w:widowControl w:val="0"/>
              <w:adjustRightInd/>
              <w:snapToGrid/>
              <w:spacing w:line="240" w:lineRule="auto"/>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rPr>
              <w:t>、包括有接待、会议、查询服务管理制度；仪容仪表管理制度；工程维修管理制度；保洁管理制度；秩序维护管理制度，且满足采购人需求，具有针对性的加1分。</w:t>
            </w:r>
          </w:p>
        </w:tc>
        <w:tc>
          <w:tcPr>
            <w:tcW w:w="78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Cs/>
                <w:color w:val="auto"/>
                <w:kern w:val="2"/>
                <w:sz w:val="21"/>
                <w:szCs w:val="21"/>
              </w:rPr>
            </w:pPr>
            <w:r>
              <w:rPr>
                <w:rFonts w:hint="eastAsia" w:ascii="宋体" w:hAnsi="宋体" w:cs="宋体"/>
                <w:color w:val="auto"/>
                <w:kern w:val="2"/>
                <w:sz w:val="21"/>
                <w:szCs w:val="21"/>
                <w:lang w:val="en-US" w:eastAsia="zh-CN"/>
              </w:rPr>
              <w:t>3</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2" w:type="dxa"/>
            <w:vMerge w:val="continue"/>
            <w:tcBorders>
              <w:left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
                <w:color w:val="auto"/>
                <w:sz w:val="21"/>
                <w:szCs w:val="21"/>
              </w:rPr>
            </w:pPr>
          </w:p>
        </w:tc>
        <w:tc>
          <w:tcPr>
            <w:tcW w:w="727" w:type="dxa"/>
            <w:vMerge w:val="continue"/>
            <w:tcBorders>
              <w:left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
                <w:color w:val="auto"/>
                <w:sz w:val="21"/>
                <w:szCs w:val="21"/>
              </w:rPr>
            </w:pPr>
          </w:p>
        </w:tc>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Cs/>
                <w:color w:val="auto"/>
                <w:kern w:val="2"/>
                <w:sz w:val="21"/>
                <w:szCs w:val="21"/>
              </w:rPr>
            </w:pPr>
            <w:r>
              <w:rPr>
                <w:rFonts w:hint="eastAsia" w:ascii="宋体" w:hAnsi="宋体" w:eastAsia="宋体" w:cs="宋体"/>
                <w:color w:val="auto"/>
                <w:kern w:val="2"/>
                <w:sz w:val="21"/>
                <w:szCs w:val="21"/>
              </w:rPr>
              <w:t>培训方案</w:t>
            </w:r>
          </w:p>
        </w:tc>
        <w:tc>
          <w:tcPr>
            <w:tcW w:w="567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rPr>
                <w:rFonts w:hint="eastAsia" w:ascii="宋体" w:hAnsi="宋体" w:eastAsia="宋体" w:cs="宋体"/>
                <w:bCs/>
                <w:color w:val="auto"/>
                <w:szCs w:val="21"/>
                <w:lang w:val="en-US" w:eastAsia="zh-CN"/>
              </w:rPr>
            </w:pPr>
            <w:r>
              <w:rPr>
                <w:rFonts w:hint="eastAsia" w:ascii="宋体" w:hAnsi="宋体" w:eastAsia="宋体" w:cs="宋体"/>
                <w:bCs/>
                <w:color w:val="auto"/>
                <w:szCs w:val="21"/>
              </w:rPr>
              <w:t>投标人提供</w:t>
            </w:r>
            <w:r>
              <w:rPr>
                <w:rFonts w:hint="eastAsia" w:ascii="宋体" w:hAnsi="宋体" w:eastAsia="宋体" w:cs="宋体"/>
                <w:bCs/>
                <w:color w:val="auto"/>
                <w:szCs w:val="21"/>
                <w:lang w:eastAsia="zh-CN"/>
              </w:rPr>
              <w:t>了</w:t>
            </w:r>
            <w:r>
              <w:rPr>
                <w:rFonts w:hint="eastAsia" w:ascii="宋体" w:hAnsi="宋体" w:eastAsia="宋体" w:cs="宋体"/>
                <w:color w:val="auto"/>
                <w:kern w:val="2"/>
                <w:sz w:val="21"/>
                <w:szCs w:val="21"/>
              </w:rPr>
              <w:t>培训方案</w:t>
            </w:r>
            <w:r>
              <w:rPr>
                <w:rFonts w:hint="eastAsia" w:ascii="宋体" w:hAnsi="宋体" w:eastAsia="宋体" w:cs="宋体"/>
                <w:color w:val="auto"/>
                <w:kern w:val="2"/>
                <w:sz w:val="21"/>
                <w:szCs w:val="21"/>
                <w:lang w:eastAsia="zh-CN"/>
              </w:rPr>
              <w:t>的</w:t>
            </w:r>
            <w:r>
              <w:rPr>
                <w:rFonts w:hint="eastAsia" w:ascii="宋体" w:hAnsi="宋体" w:eastAsia="宋体" w:cs="宋体"/>
                <w:bCs/>
                <w:color w:val="auto"/>
                <w:szCs w:val="21"/>
                <w:lang w:eastAsia="zh-CN"/>
              </w:rPr>
              <w:t>得</w:t>
            </w:r>
            <w:r>
              <w:rPr>
                <w:rFonts w:hint="eastAsia" w:ascii="宋体" w:hAnsi="宋体" w:eastAsia="宋体" w:cs="宋体"/>
                <w:bCs/>
                <w:color w:val="auto"/>
                <w:szCs w:val="21"/>
                <w:lang w:val="en-US" w:eastAsia="zh-CN"/>
              </w:rPr>
              <w:t>1分；</w:t>
            </w:r>
          </w:p>
          <w:p>
            <w:pPr>
              <w:widowControl w:val="0"/>
              <w:adjustRightInd/>
              <w:snapToGrid/>
              <w:spacing w:line="240" w:lineRule="auto"/>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在此基础上</w:t>
            </w:r>
            <w:r>
              <w:rPr>
                <w:rFonts w:hint="eastAsia" w:ascii="宋体" w:hAnsi="宋体" w:cs="宋体"/>
                <w:bCs/>
                <w:color w:val="auto"/>
                <w:szCs w:val="21"/>
                <w:lang w:val="en-US" w:eastAsia="zh-CN"/>
              </w:rPr>
              <w:t>：</w:t>
            </w:r>
          </w:p>
          <w:p>
            <w:pPr>
              <w:widowControl w:val="0"/>
              <w:adjustRightInd/>
              <w:snapToGrid/>
              <w:spacing w:line="24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方案中体现有针对各岗位人员的培训内容及计划，包括年度培训、月度培训、入职培训的，且满足采购人需求的加2分。</w:t>
            </w:r>
          </w:p>
        </w:tc>
        <w:tc>
          <w:tcPr>
            <w:tcW w:w="78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Cs/>
                <w:color w:val="auto"/>
                <w:kern w:val="2"/>
                <w:sz w:val="21"/>
                <w:szCs w:val="21"/>
              </w:rPr>
            </w:pPr>
            <w:r>
              <w:rPr>
                <w:rFonts w:hint="eastAsia" w:ascii="宋体" w:hAnsi="宋体" w:eastAsia="宋体" w:cs="宋体"/>
                <w:color w:val="auto"/>
                <w:kern w:val="2"/>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2" w:type="dxa"/>
            <w:vMerge w:val="restart"/>
            <w:tcBorders>
              <w:top w:val="single" w:color="auto" w:sz="4" w:space="0"/>
              <w:left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3</w:t>
            </w:r>
          </w:p>
        </w:tc>
        <w:tc>
          <w:tcPr>
            <w:tcW w:w="727" w:type="dxa"/>
            <w:vMerge w:val="restart"/>
            <w:tcBorders>
              <w:top w:val="single" w:color="auto" w:sz="4" w:space="0"/>
              <w:left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
                <w:color w:val="auto"/>
                <w:sz w:val="21"/>
                <w:szCs w:val="21"/>
                <w:lang w:eastAsia="zh-CN"/>
              </w:rPr>
            </w:pPr>
            <w:r>
              <w:rPr>
                <w:rFonts w:hint="eastAsia" w:ascii="宋体" w:hAnsi="宋体" w:eastAsia="宋体" w:cs="宋体"/>
                <w:b w:val="0"/>
                <w:bCs/>
                <w:color w:val="auto"/>
                <w:sz w:val="21"/>
                <w:szCs w:val="21"/>
                <w:lang w:eastAsia="zh-CN"/>
              </w:rPr>
              <w:t>履约能力</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color w:val="auto"/>
                <w:kern w:val="2"/>
                <w:sz w:val="21"/>
                <w:szCs w:val="21"/>
              </w:rPr>
            </w:pPr>
            <w:r>
              <w:rPr>
                <w:rFonts w:hint="eastAsia" w:ascii="宋体" w:hAnsi="宋体" w:cs="宋体"/>
                <w:bCs/>
                <w:color w:val="auto"/>
                <w:kern w:val="2"/>
                <w:sz w:val="21"/>
                <w:szCs w:val="21"/>
                <w:lang w:eastAsia="zh-CN"/>
              </w:rPr>
              <w:t>项目</w:t>
            </w:r>
            <w:r>
              <w:rPr>
                <w:rFonts w:hint="eastAsia" w:ascii="宋体" w:hAnsi="宋体" w:eastAsia="宋体" w:cs="宋体"/>
                <w:bCs/>
                <w:color w:val="auto"/>
                <w:kern w:val="2"/>
                <w:sz w:val="21"/>
                <w:szCs w:val="21"/>
              </w:rPr>
              <w:t>业绩</w:t>
            </w:r>
          </w:p>
        </w:tc>
        <w:tc>
          <w:tcPr>
            <w:tcW w:w="5677" w:type="dxa"/>
            <w:tcBorders>
              <w:top w:val="single" w:color="auto" w:sz="4" w:space="0"/>
              <w:left w:val="single" w:color="auto" w:sz="4" w:space="0"/>
              <w:bottom w:val="single" w:color="auto" w:sz="4" w:space="0"/>
              <w:right w:val="single" w:color="auto" w:sz="4" w:space="0"/>
            </w:tcBorders>
            <w:vAlign w:val="center"/>
          </w:tcPr>
          <w:p>
            <w:pPr>
              <w:pStyle w:val="155"/>
              <w:ind w:firstLine="0" w:firstLineChars="0"/>
              <w:jc w:val="left"/>
              <w:rPr>
                <w:rFonts w:hint="eastAsia" w:ascii="宋体" w:hAnsi="宋体" w:eastAsia="宋体" w:cs="宋体"/>
                <w:bCs/>
                <w:color w:val="auto"/>
                <w:szCs w:val="21"/>
                <w:lang w:val="en-US" w:eastAsia="zh-CN"/>
              </w:rPr>
            </w:pPr>
            <w:r>
              <w:rPr>
                <w:rFonts w:hint="eastAsia" w:ascii="宋体" w:hAnsi="宋体" w:eastAsia="宋体" w:cs="宋体"/>
                <w:bCs/>
                <w:color w:val="auto"/>
                <w:szCs w:val="21"/>
                <w:lang w:eastAsia="zh-CN"/>
              </w:rPr>
              <w:t>以投标人</w:t>
            </w:r>
            <w:r>
              <w:rPr>
                <w:rFonts w:hint="eastAsia" w:ascii="宋体" w:hAnsi="宋体" w:eastAsia="宋体" w:cs="宋体"/>
                <w:bCs/>
                <w:color w:val="auto"/>
                <w:szCs w:val="21"/>
                <w:lang w:val="en-US" w:eastAsia="zh-CN"/>
              </w:rPr>
              <w:t>2018年以来的类似非住宅项目业绩计算【合同中须同时包含有秩序维护（或安保服务）、环境维护（或环境卫生、保洁、清洁类服务）、设施设备维护、客服会议服务内容】，每有1个得1分，本项最多得9分。</w:t>
            </w:r>
          </w:p>
          <w:p>
            <w:pPr>
              <w:pStyle w:val="155"/>
              <w:ind w:firstLine="0" w:firstLineChars="0"/>
              <w:jc w:val="left"/>
              <w:rPr>
                <w:rFonts w:hint="eastAsia" w:ascii="宋体" w:hAnsi="宋体" w:eastAsia="宋体" w:cs="宋体"/>
                <w:color w:val="auto"/>
                <w:szCs w:val="21"/>
              </w:rPr>
            </w:pPr>
            <w:r>
              <w:rPr>
                <w:rFonts w:hint="eastAsia" w:ascii="宋体" w:hAnsi="宋体" w:eastAsia="宋体" w:cs="宋体"/>
                <w:bCs/>
                <w:color w:val="auto"/>
                <w:szCs w:val="21"/>
                <w:lang w:val="en-US" w:eastAsia="zh-CN"/>
              </w:rPr>
              <w:t>提供项目业绩合同复印件和合同资金支付的银行票据复印件</w:t>
            </w:r>
            <w:r>
              <w:rPr>
                <w:rFonts w:hint="eastAsia" w:ascii="宋体" w:hAnsi="宋体" w:eastAsia="宋体" w:cs="宋体"/>
                <w:bCs/>
                <w:color w:val="auto"/>
                <w:szCs w:val="21"/>
              </w:rPr>
              <w:t>（</w:t>
            </w:r>
            <w:r>
              <w:rPr>
                <w:rFonts w:hint="eastAsia" w:ascii="宋体" w:hAnsi="宋体" w:eastAsia="宋体" w:cs="宋体"/>
                <w:bCs/>
                <w:color w:val="auto"/>
                <w:szCs w:val="21"/>
                <w:lang w:eastAsia="zh-CN"/>
              </w:rPr>
              <w:t>合同资金</w:t>
            </w:r>
            <w:r>
              <w:rPr>
                <w:rFonts w:hint="eastAsia" w:ascii="宋体" w:hAnsi="宋体" w:eastAsia="宋体" w:cs="宋体"/>
                <w:bCs/>
                <w:color w:val="auto"/>
                <w:szCs w:val="21"/>
              </w:rPr>
              <w:t>为分期付款的，至少</w:t>
            </w:r>
            <w:r>
              <w:rPr>
                <w:rFonts w:hint="eastAsia" w:ascii="宋体" w:hAnsi="宋体" w:eastAsia="宋体" w:cs="宋体"/>
                <w:bCs/>
                <w:color w:val="auto"/>
                <w:szCs w:val="21"/>
                <w:lang w:eastAsia="zh-CN"/>
              </w:rPr>
              <w:t>应</w:t>
            </w:r>
            <w:r>
              <w:rPr>
                <w:rFonts w:hint="eastAsia" w:ascii="宋体" w:hAnsi="宋体" w:eastAsia="宋体" w:cs="宋体"/>
                <w:bCs/>
                <w:color w:val="auto"/>
                <w:szCs w:val="21"/>
              </w:rPr>
              <w:t>提供一次</w:t>
            </w:r>
            <w:r>
              <w:rPr>
                <w:rFonts w:hint="eastAsia" w:ascii="宋体" w:hAnsi="宋体" w:eastAsia="宋体" w:cs="宋体"/>
                <w:bCs/>
                <w:color w:val="auto"/>
                <w:szCs w:val="21"/>
                <w:lang w:eastAsia="zh-CN"/>
              </w:rPr>
              <w:t>合同资金支付的银行票据复印件</w:t>
            </w:r>
            <w:r>
              <w:rPr>
                <w:rFonts w:hint="eastAsia" w:ascii="宋体" w:hAnsi="宋体" w:eastAsia="宋体" w:cs="宋体"/>
                <w:bCs/>
                <w:color w:val="auto"/>
                <w:szCs w:val="21"/>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Cs/>
                <w:color w:val="auto"/>
                <w:kern w:val="2"/>
                <w:sz w:val="21"/>
                <w:szCs w:val="21"/>
              </w:rPr>
            </w:pPr>
            <w:r>
              <w:rPr>
                <w:rFonts w:hint="eastAsia" w:ascii="宋体" w:hAnsi="宋体" w:cs="宋体"/>
                <w:bCs/>
                <w:color w:val="auto"/>
                <w:kern w:val="2"/>
                <w:sz w:val="21"/>
                <w:szCs w:val="21"/>
                <w:lang w:val="en-US" w:eastAsia="zh-CN"/>
              </w:rPr>
              <w:t>9</w:t>
            </w:r>
            <w:r>
              <w:rPr>
                <w:rFonts w:hint="eastAsia" w:ascii="宋体" w:hAnsi="宋体" w:eastAsia="宋体" w:cs="宋体"/>
                <w:bCs/>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jc w:val="center"/>
        </w:trPr>
        <w:tc>
          <w:tcPr>
            <w:tcW w:w="1002" w:type="dxa"/>
            <w:vMerge w:val="continue"/>
            <w:tcBorders>
              <w:left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
                <w:color w:val="auto"/>
                <w:sz w:val="21"/>
                <w:szCs w:val="21"/>
                <w:lang w:val="en-US" w:eastAsia="zh-CN"/>
              </w:rPr>
            </w:pPr>
          </w:p>
        </w:tc>
        <w:tc>
          <w:tcPr>
            <w:tcW w:w="727" w:type="dxa"/>
            <w:vMerge w:val="continue"/>
            <w:tcBorders>
              <w:left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 w:val="0"/>
                <w:bCs/>
                <w:color w:val="auto"/>
                <w:sz w:val="21"/>
                <w:szCs w:val="21"/>
                <w:lang w:eastAsia="zh-CN"/>
              </w:rPr>
            </w:pPr>
          </w:p>
        </w:tc>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rPr>
                <w:rFonts w:hint="eastAsia" w:ascii="宋体" w:hAnsi="宋体" w:cs="宋体"/>
                <w:bCs/>
                <w:color w:val="auto"/>
                <w:kern w:val="2"/>
                <w:sz w:val="21"/>
                <w:szCs w:val="21"/>
                <w:lang w:eastAsia="zh-CN"/>
              </w:rPr>
            </w:pPr>
            <w:r>
              <w:rPr>
                <w:rFonts w:hint="eastAsia" w:ascii="宋体" w:hAnsi="宋体" w:eastAsia="宋体" w:cs="宋体"/>
                <w:bCs/>
                <w:color w:val="auto"/>
                <w:kern w:val="2"/>
                <w:sz w:val="21"/>
                <w:szCs w:val="21"/>
                <w:lang w:eastAsia="zh-CN"/>
              </w:rPr>
              <w:t>资信</w:t>
            </w:r>
          </w:p>
        </w:tc>
        <w:tc>
          <w:tcPr>
            <w:tcW w:w="567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投标人获得市级及以上政府部门颁发的“安全生产先进集体”表彰的，得</w:t>
            </w:r>
            <w:r>
              <w:rPr>
                <w:rFonts w:hint="eastAsia" w:ascii="宋体" w:hAnsi="宋体" w:eastAsia="宋体" w:cs="宋体"/>
                <w:lang w:val="en-US" w:eastAsia="zh-CN"/>
              </w:rPr>
              <w:t>4</w:t>
            </w:r>
            <w:r>
              <w:rPr>
                <w:rFonts w:hint="eastAsia" w:ascii="宋体" w:hAnsi="宋体" w:eastAsia="宋体" w:cs="宋体"/>
              </w:rPr>
              <w:t>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投标人服务的物业管理项目在服务期内有成功创建市级</w:t>
            </w:r>
            <w:r>
              <w:rPr>
                <w:rFonts w:hint="eastAsia" w:ascii="宋体" w:hAnsi="宋体" w:cs="宋体"/>
                <w:lang w:val="en-US" w:eastAsia="zh-CN"/>
              </w:rPr>
              <w:t>及</w:t>
            </w:r>
            <w:r>
              <w:rPr>
                <w:rFonts w:hint="eastAsia" w:ascii="宋体" w:hAnsi="宋体" w:eastAsia="宋体" w:cs="宋体"/>
              </w:rPr>
              <w:t>以上“节约型公共机构示范单位”称号的，每有1个得</w:t>
            </w:r>
            <w:r>
              <w:rPr>
                <w:rFonts w:hint="eastAsia" w:ascii="宋体" w:hAnsi="宋体" w:eastAsia="宋体" w:cs="宋体"/>
                <w:lang w:val="en-US" w:eastAsia="zh-CN"/>
              </w:rPr>
              <w:t>1</w:t>
            </w:r>
            <w:r>
              <w:rPr>
                <w:rFonts w:hint="eastAsia" w:ascii="宋体" w:hAnsi="宋体" w:eastAsia="宋体" w:cs="宋体"/>
              </w:rPr>
              <w:t>分，最多得</w:t>
            </w:r>
            <w:r>
              <w:rPr>
                <w:rFonts w:hint="eastAsia" w:ascii="宋体" w:hAnsi="宋体" w:eastAsia="宋体" w:cs="宋体"/>
                <w:lang w:val="en-US" w:eastAsia="zh-CN"/>
              </w:rPr>
              <w:t>4</w:t>
            </w:r>
            <w:r>
              <w:rPr>
                <w:rFonts w:hint="eastAsia" w:ascii="宋体" w:hAnsi="宋体" w:eastAsia="宋体" w:cs="宋体"/>
              </w:rPr>
              <w:t>分。</w:t>
            </w:r>
          </w:p>
          <w:p>
            <w:pPr>
              <w:rPr>
                <w:rFonts w:hint="eastAsia" w:ascii="宋体" w:hAnsi="宋体" w:eastAsia="宋体" w:cs="宋体"/>
                <w:bCs/>
                <w:color w:val="auto"/>
                <w:szCs w:val="21"/>
                <w:lang w:val="en-US" w:eastAsia="zh-CN"/>
              </w:rPr>
            </w:pPr>
            <w:r>
              <w:rPr>
                <w:rFonts w:hint="eastAsia" w:ascii="宋体" w:hAnsi="宋体" w:eastAsia="宋体" w:cs="宋体"/>
                <w:b w:val="0"/>
                <w:bCs/>
                <w:sz w:val="21"/>
                <w:szCs w:val="21"/>
                <w:lang w:val="en-US" w:eastAsia="zh-CN"/>
              </w:rPr>
              <w:t>注：评分项第（1）项提供相关文件或获奖证书或奖牌复印件，且相关文件或获奖证书或奖牌须反映投标人单位名称；评分项第（2）项提供：</w:t>
            </w:r>
            <w:r>
              <w:rPr>
                <w:rFonts w:hint="eastAsia" w:ascii="宋体" w:hAnsi="宋体" w:eastAsia="宋体" w:cs="宋体"/>
                <w:b w:val="0"/>
                <w:bCs/>
                <w:color w:val="FF0000"/>
                <w:sz w:val="21"/>
                <w:szCs w:val="21"/>
              </w:rPr>
              <w:t>①</w:t>
            </w:r>
            <w:r>
              <w:rPr>
                <w:rFonts w:hint="eastAsia" w:ascii="宋体" w:hAnsi="宋体" w:eastAsia="宋体" w:cs="宋体"/>
                <w:b w:val="0"/>
                <w:bCs/>
                <w:color w:val="FF0000"/>
                <w:lang w:val="en-US" w:eastAsia="zh-CN"/>
              </w:rPr>
              <w:t>投标人服务的且获得称号时间在投标人服务期内的物业服务合同复印件；</w:t>
            </w:r>
            <w:r>
              <w:rPr>
                <w:rFonts w:hint="eastAsia" w:ascii="宋体" w:hAnsi="宋体" w:eastAsia="宋体" w:cs="宋体"/>
                <w:b w:val="0"/>
                <w:bCs/>
                <w:color w:val="FF0000"/>
                <w:sz w:val="21"/>
                <w:szCs w:val="21"/>
              </w:rPr>
              <w:t>②</w:t>
            </w:r>
            <w:r>
              <w:rPr>
                <w:rFonts w:hint="eastAsia" w:ascii="宋体" w:hAnsi="宋体" w:eastAsia="宋体" w:cs="宋体"/>
                <w:b w:val="0"/>
                <w:bCs/>
                <w:color w:val="FF0000"/>
                <w:lang w:val="en-US" w:eastAsia="zh-CN"/>
              </w:rPr>
              <w:t>提供相关文件或获奖证书或奖牌复印件。</w:t>
            </w:r>
          </w:p>
        </w:tc>
        <w:tc>
          <w:tcPr>
            <w:tcW w:w="78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rPr>
                <w:rFonts w:hint="eastAsia" w:ascii="宋体" w:hAnsi="宋体" w:cs="宋体"/>
                <w:bCs/>
                <w:color w:val="auto"/>
                <w:kern w:val="2"/>
                <w:sz w:val="21"/>
                <w:szCs w:val="21"/>
                <w:lang w:val="en-US" w:eastAsia="zh-CN"/>
              </w:rPr>
            </w:pPr>
            <w:r>
              <w:rPr>
                <w:rStyle w:val="47"/>
                <w:rFonts w:hint="eastAsia" w:ascii="宋体" w:hAnsi="宋体" w:eastAsia="宋体" w:cs="宋体"/>
                <w:color w:val="auto"/>
                <w:lang w:val="en-US" w:eastAsia="zh-CN"/>
              </w:rPr>
              <w:t>8</w:t>
            </w:r>
            <w:r>
              <w:rPr>
                <w:rStyle w:val="47"/>
                <w:rFonts w:hint="eastAsia" w:ascii="宋体" w:hAnsi="宋体" w:eastAsia="宋体"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2" w:hRule="atLeast"/>
          <w:jc w:val="center"/>
        </w:trPr>
        <w:tc>
          <w:tcPr>
            <w:tcW w:w="1002" w:type="dxa"/>
            <w:vMerge w:val="continue"/>
            <w:tcBorders>
              <w:left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
                <w:color w:val="auto"/>
                <w:sz w:val="21"/>
                <w:szCs w:val="21"/>
                <w:lang w:val="en-US" w:eastAsia="zh-CN"/>
              </w:rPr>
            </w:pPr>
          </w:p>
        </w:tc>
        <w:tc>
          <w:tcPr>
            <w:tcW w:w="727" w:type="dxa"/>
            <w:vMerge w:val="continue"/>
            <w:tcBorders>
              <w:left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 w:val="0"/>
                <w:bCs/>
                <w:color w:val="auto"/>
                <w:sz w:val="21"/>
                <w:szCs w:val="21"/>
                <w:lang w:eastAsia="zh-CN"/>
              </w:rPr>
            </w:pPr>
          </w:p>
        </w:tc>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rPr>
                <w:rFonts w:hint="eastAsia" w:ascii="宋体" w:hAnsi="宋体" w:cs="宋体"/>
                <w:bCs/>
                <w:color w:val="auto"/>
                <w:kern w:val="2"/>
                <w:sz w:val="21"/>
                <w:szCs w:val="21"/>
                <w:lang w:eastAsia="zh-CN"/>
              </w:rPr>
            </w:pPr>
            <w:r>
              <w:rPr>
                <w:rFonts w:hint="eastAsia" w:ascii="宋体" w:hAnsi="宋体" w:cs="宋体"/>
                <w:bCs/>
                <w:color w:val="auto"/>
                <w:kern w:val="2"/>
                <w:sz w:val="21"/>
                <w:szCs w:val="21"/>
                <w:lang w:eastAsia="zh-CN"/>
              </w:rPr>
              <w:t>体系文件</w:t>
            </w:r>
          </w:p>
        </w:tc>
        <w:tc>
          <w:tcPr>
            <w:tcW w:w="567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lang w:eastAsia="zh-CN"/>
              </w:rPr>
            </w:pPr>
            <w:r>
              <w:rPr>
                <w:rFonts w:hint="eastAsia" w:ascii="宋体" w:hAnsi="宋体" w:eastAsia="宋体" w:cs="宋体"/>
                <w:lang w:val="en-US" w:eastAsia="zh-CN"/>
              </w:rPr>
              <w:t>（1）投标人获得GB/T24001系列或ISO14001</w:t>
            </w:r>
            <w:r>
              <w:rPr>
                <w:rFonts w:hint="eastAsia" w:ascii="宋体" w:hAnsi="宋体" w:eastAsia="宋体" w:cs="宋体"/>
              </w:rPr>
              <w:t>环境管理体系</w:t>
            </w:r>
            <w:r>
              <w:rPr>
                <w:rFonts w:hint="eastAsia" w:ascii="宋体" w:hAnsi="宋体" w:eastAsia="宋体" w:cs="宋体"/>
                <w:lang w:val="en-US" w:eastAsia="zh-CN"/>
              </w:rPr>
              <w:t>认证得2分</w:t>
            </w:r>
            <w:r>
              <w:rPr>
                <w:rFonts w:hint="eastAsia" w:ascii="宋体" w:hAnsi="宋体" w:eastAsia="宋体" w:cs="宋体"/>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）投标人获得</w:t>
            </w:r>
            <w:r>
              <w:rPr>
                <w:rFonts w:hint="eastAsia" w:ascii="宋体" w:hAnsi="宋体" w:eastAsia="宋体" w:cs="宋体"/>
                <w:lang w:val="en-US" w:eastAsia="zh-CN"/>
              </w:rPr>
              <w:t>GB/T19001系列或ISO9001</w:t>
            </w:r>
            <w:r>
              <w:rPr>
                <w:rFonts w:hint="eastAsia" w:ascii="宋体" w:hAnsi="宋体" w:eastAsia="宋体" w:cs="宋体"/>
              </w:rPr>
              <w:t>质量管理体系认证</w:t>
            </w:r>
            <w:r>
              <w:rPr>
                <w:rFonts w:hint="eastAsia" w:ascii="宋体" w:hAnsi="宋体" w:eastAsia="宋体" w:cs="宋体"/>
                <w:lang w:eastAsia="zh-CN"/>
              </w:rPr>
              <w:t>得</w:t>
            </w:r>
            <w:r>
              <w:rPr>
                <w:rFonts w:hint="eastAsia" w:ascii="宋体" w:hAnsi="宋体" w:eastAsia="宋体" w:cs="宋体"/>
                <w:lang w:val="en-US" w:eastAsia="zh-CN"/>
              </w:rPr>
              <w:t>2分；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（3）投标人获得GB/T45001系列或ISO45001</w:t>
            </w:r>
            <w:r>
              <w:rPr>
                <w:rFonts w:hint="eastAsia" w:ascii="宋体" w:hAnsi="宋体" w:eastAsia="宋体" w:cs="宋体"/>
              </w:rPr>
              <w:t>职业健康安全管理体系认证</w:t>
            </w:r>
            <w:r>
              <w:rPr>
                <w:rFonts w:hint="eastAsia" w:ascii="宋体" w:hAnsi="宋体" w:eastAsia="宋体" w:cs="宋体"/>
                <w:lang w:eastAsia="zh-CN"/>
              </w:rPr>
              <w:t>得</w:t>
            </w:r>
            <w:r>
              <w:rPr>
                <w:rFonts w:hint="eastAsia" w:ascii="宋体" w:hAnsi="宋体" w:eastAsia="宋体" w:cs="宋体"/>
                <w:lang w:val="en-US" w:eastAsia="zh-CN"/>
              </w:rPr>
              <w:t>2分；</w:t>
            </w:r>
          </w:p>
          <w:p>
            <w:pPr>
              <w:pStyle w:val="2"/>
              <w:rPr>
                <w:rFonts w:hint="eastAsia" w:ascii="宋体" w:hAnsi="宋体" w:eastAsia="宋体" w:cs="宋体"/>
                <w:lang w:val="en-US" w:eastAsia="zh-CN"/>
              </w:rPr>
            </w:pPr>
            <w:r>
              <w:rPr>
                <w:rFonts w:hint="eastAsia" w:ascii="宋体" w:hAnsi="宋体" w:eastAsia="宋体" w:cs="宋体"/>
                <w:lang w:val="en-US" w:eastAsia="zh-CN"/>
              </w:rPr>
              <w:t>（4）投标人具有在有效期内的GB/T31950-2015企业诚信管理体系认证证书的，得1分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供应商具有</w:t>
            </w:r>
            <w:r>
              <w:rPr>
                <w:rFonts w:hint="eastAsia" w:ascii="宋体" w:hAnsi="宋体" w:eastAsia="宋体" w:cs="宋体"/>
                <w:lang w:val="en-US" w:eastAsia="zh-CN"/>
              </w:rPr>
              <w:t>ISO50001能源管理体系认证</w:t>
            </w:r>
            <w:r>
              <w:rPr>
                <w:rFonts w:hint="eastAsia" w:ascii="宋体" w:hAnsi="宋体" w:eastAsia="宋体" w:cs="宋体"/>
              </w:rPr>
              <w:t>得</w:t>
            </w:r>
            <w:r>
              <w:rPr>
                <w:rFonts w:hint="eastAsia" w:ascii="宋体" w:hAnsi="宋体" w:eastAsia="宋体" w:cs="宋体"/>
                <w:lang w:val="en-US" w:eastAsia="zh-CN"/>
              </w:rPr>
              <w:t>2</w:t>
            </w:r>
            <w:r>
              <w:rPr>
                <w:rFonts w:hint="eastAsia" w:ascii="宋体" w:hAnsi="宋体" w:eastAsia="宋体" w:cs="宋体"/>
              </w:rPr>
              <w:t>分。</w:t>
            </w:r>
          </w:p>
          <w:p>
            <w:pPr>
              <w:pStyle w:val="2"/>
              <w:rPr>
                <w:rFonts w:hint="eastAsia" w:ascii="宋体" w:hAnsi="宋体" w:eastAsia="宋体" w:cs="宋体"/>
                <w:bCs/>
                <w:color w:val="auto"/>
                <w:szCs w:val="21"/>
                <w:lang w:val="en-US" w:eastAsia="zh-CN"/>
              </w:rPr>
            </w:pPr>
            <w:r>
              <w:rPr>
                <w:rFonts w:hint="eastAsia" w:ascii="宋体" w:hAnsi="宋体" w:eastAsia="宋体" w:cs="宋体"/>
                <w:b w:val="0"/>
                <w:bCs/>
                <w:sz w:val="21"/>
                <w:szCs w:val="21"/>
                <w:lang w:val="en-US" w:eastAsia="zh-CN"/>
              </w:rPr>
              <w:t>注：提供有效证书复印件，复印件加盖投标人公章鲜章</w:t>
            </w:r>
          </w:p>
        </w:tc>
        <w:tc>
          <w:tcPr>
            <w:tcW w:w="78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rPr>
                <w:rFonts w:hint="eastAsia" w:ascii="宋体" w:hAnsi="宋体" w:cs="宋体"/>
                <w:bCs/>
                <w:color w:val="auto"/>
                <w:kern w:val="2"/>
                <w:sz w:val="21"/>
                <w:szCs w:val="21"/>
                <w:lang w:val="en-US" w:eastAsia="zh-CN"/>
              </w:rPr>
            </w:pPr>
            <w:r>
              <w:rPr>
                <w:rStyle w:val="47"/>
                <w:rFonts w:hint="eastAsia" w:ascii="宋体" w:hAnsi="宋体" w:eastAsia="宋体" w:cs="宋体"/>
                <w:color w:val="auto"/>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5" w:hRule="atLeast"/>
          <w:jc w:val="center"/>
        </w:trPr>
        <w:tc>
          <w:tcPr>
            <w:tcW w:w="1002" w:type="dxa"/>
            <w:vMerge w:val="continue"/>
            <w:tcBorders>
              <w:left w:val="single" w:color="auto" w:sz="4" w:space="0"/>
              <w:right w:val="single" w:color="auto" w:sz="4" w:space="0"/>
            </w:tcBorders>
            <w:vAlign w:val="center"/>
          </w:tcPr>
          <w:p>
            <w:pPr>
              <w:widowControl w:val="0"/>
              <w:adjustRightInd/>
              <w:snapToGrid/>
              <w:spacing w:line="240" w:lineRule="auto"/>
              <w:jc w:val="both"/>
              <w:rPr>
                <w:rFonts w:hint="eastAsia" w:ascii="宋体" w:hAnsi="宋体" w:eastAsia="宋体" w:cs="宋体"/>
                <w:b/>
                <w:color w:val="auto"/>
                <w:sz w:val="21"/>
                <w:szCs w:val="21"/>
              </w:rPr>
            </w:pPr>
          </w:p>
        </w:tc>
        <w:tc>
          <w:tcPr>
            <w:tcW w:w="727" w:type="dxa"/>
            <w:vMerge w:val="continue"/>
            <w:tcBorders>
              <w:left w:val="single" w:color="auto" w:sz="4" w:space="0"/>
              <w:right w:val="single" w:color="auto" w:sz="4" w:space="0"/>
            </w:tcBorders>
            <w:vAlign w:val="center"/>
          </w:tcPr>
          <w:p>
            <w:pPr>
              <w:widowControl w:val="0"/>
              <w:adjustRightInd/>
              <w:snapToGrid/>
              <w:spacing w:line="240" w:lineRule="auto"/>
              <w:jc w:val="both"/>
              <w:rPr>
                <w:rFonts w:hint="eastAsia" w:ascii="宋体" w:hAnsi="宋体" w:eastAsia="宋体" w:cs="宋体"/>
                <w:b/>
                <w:color w:val="auto"/>
                <w:sz w:val="21"/>
                <w:szCs w:val="21"/>
              </w:rPr>
            </w:pPr>
          </w:p>
        </w:tc>
        <w:tc>
          <w:tcPr>
            <w:tcW w:w="1399" w:type="dxa"/>
            <w:tcBorders>
              <w:top w:val="single" w:color="auto" w:sz="4" w:space="0"/>
              <w:left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Cs/>
                <w:color w:val="auto"/>
                <w:kern w:val="2"/>
                <w:sz w:val="21"/>
                <w:szCs w:val="21"/>
                <w:lang w:eastAsia="zh-CN"/>
              </w:rPr>
            </w:pPr>
            <w:r>
              <w:rPr>
                <w:rFonts w:hint="eastAsia" w:ascii="宋体" w:hAnsi="宋体" w:cs="宋体"/>
                <w:bCs/>
                <w:color w:val="auto"/>
                <w:kern w:val="2"/>
                <w:sz w:val="21"/>
                <w:szCs w:val="21"/>
                <w:lang w:eastAsia="zh-CN"/>
              </w:rPr>
              <w:t>用户单位评价</w:t>
            </w:r>
          </w:p>
        </w:tc>
        <w:tc>
          <w:tcPr>
            <w:tcW w:w="5677" w:type="dxa"/>
            <w:vMerge w:val="restart"/>
            <w:tcBorders>
              <w:top w:val="single" w:color="auto" w:sz="4" w:space="0"/>
              <w:left w:val="single" w:color="auto" w:sz="4" w:space="0"/>
              <w:right w:val="single" w:color="auto" w:sz="4" w:space="0"/>
            </w:tcBorders>
            <w:vAlign w:val="top"/>
          </w:tcPr>
          <w:p>
            <w:pPr>
              <w:pStyle w:val="2"/>
              <w:keepNext w:val="0"/>
              <w:keepLines w:val="0"/>
              <w:pageBreakBefore w:val="0"/>
              <w:widowControl w:val="0"/>
              <w:kinsoku/>
              <w:wordWrap/>
              <w:overflowPunct/>
              <w:topLinePunct w:val="0"/>
              <w:autoSpaceDE/>
              <w:autoSpaceDN/>
              <w:bidi w:val="0"/>
              <w:adjustRightInd/>
              <w:snapToGrid/>
              <w:spacing w:after="0" w:afterLines="0"/>
              <w:ind w:firstLine="40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根据业主用户出具的投标人2018年以来服务过的类似项目的综合评价书面证明评分；每有一个合同项目的综合评价书面证明为满意的，得1分，本项最多得5分。</w:t>
            </w:r>
          </w:p>
          <w:p>
            <w:pPr>
              <w:rPr>
                <w:rFonts w:hint="eastAsia" w:ascii="宋体" w:hAnsi="宋体" w:eastAsia="宋体" w:cs="宋体"/>
                <w:b w:val="0"/>
                <w:bCs/>
                <w:color w:val="auto"/>
                <w:sz w:val="21"/>
                <w:szCs w:val="21"/>
                <w:lang w:eastAsia="zh-CN"/>
              </w:rPr>
            </w:pPr>
            <w:r>
              <w:rPr>
                <w:rFonts w:hint="eastAsia" w:ascii="宋体" w:hAnsi="宋体" w:eastAsia="宋体" w:cs="宋体"/>
                <w:b w:val="0"/>
                <w:bCs/>
                <w:sz w:val="21"/>
                <w:szCs w:val="21"/>
                <w:lang w:eastAsia="zh-CN"/>
              </w:rPr>
              <w:t>注：</w:t>
            </w:r>
            <w:r>
              <w:rPr>
                <w:rFonts w:hint="eastAsia" w:ascii="宋体" w:hAnsi="宋体" w:eastAsia="宋体" w:cs="宋体"/>
                <w:b w:val="0"/>
                <w:bCs/>
                <w:sz w:val="21"/>
                <w:szCs w:val="21"/>
                <w:lang w:val="en-US" w:eastAsia="zh-CN"/>
              </w:rPr>
              <w:t>提供合同和综合评价书面证明材料复印件，复印件加盖投标人公章鲜章。</w:t>
            </w:r>
          </w:p>
        </w:tc>
        <w:tc>
          <w:tcPr>
            <w:tcW w:w="78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rPr>
                <w:rStyle w:val="47"/>
                <w:rFonts w:hint="eastAsia" w:ascii="宋体" w:hAnsi="宋体" w:eastAsia="宋体" w:cs="宋体"/>
                <w:color w:val="auto"/>
                <w:lang w:val="en-US" w:eastAsia="zh-CN"/>
              </w:rPr>
            </w:pPr>
            <w:r>
              <w:rPr>
                <w:rStyle w:val="47"/>
                <w:rFonts w:hint="eastAsia" w:ascii="宋体" w:hAnsi="宋体" w:eastAsia="宋体" w:cs="宋体"/>
                <w:color w:val="auto"/>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2" w:type="dxa"/>
            <w:vMerge w:val="restart"/>
            <w:tcBorders>
              <w:left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Cs/>
                <w:color w:val="auto"/>
                <w:kern w:val="2"/>
                <w:sz w:val="21"/>
                <w:szCs w:val="21"/>
                <w:lang w:val="en-US" w:eastAsia="zh-CN"/>
              </w:rPr>
            </w:pPr>
            <w:r>
              <w:rPr>
                <w:rFonts w:hint="eastAsia" w:ascii="宋体" w:hAnsi="宋体" w:eastAsia="宋体" w:cs="宋体"/>
                <w:bCs/>
                <w:color w:val="auto"/>
                <w:kern w:val="2"/>
                <w:sz w:val="21"/>
                <w:szCs w:val="21"/>
                <w:lang w:val="en-US" w:eastAsia="zh-CN"/>
              </w:rPr>
              <w:t>4</w:t>
            </w:r>
          </w:p>
        </w:tc>
        <w:tc>
          <w:tcPr>
            <w:tcW w:w="727" w:type="dxa"/>
            <w:vMerge w:val="restart"/>
            <w:tcBorders>
              <w:left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Cs/>
                <w:color w:val="auto"/>
                <w:kern w:val="2"/>
                <w:sz w:val="21"/>
                <w:szCs w:val="21"/>
                <w:lang w:eastAsia="zh-CN"/>
              </w:rPr>
            </w:pPr>
            <w:r>
              <w:rPr>
                <w:rFonts w:hint="eastAsia" w:ascii="宋体" w:hAnsi="宋体" w:eastAsia="宋体" w:cs="宋体"/>
                <w:bCs/>
                <w:color w:val="auto"/>
                <w:kern w:val="2"/>
                <w:sz w:val="21"/>
                <w:szCs w:val="21"/>
                <w:lang w:eastAsia="zh-CN"/>
              </w:rPr>
              <w:t>扶持政策</w:t>
            </w:r>
          </w:p>
        </w:tc>
        <w:tc>
          <w:tcPr>
            <w:tcW w:w="1399" w:type="dxa"/>
            <w:tcBorders>
              <w:left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Cs/>
                <w:color w:val="auto"/>
                <w:kern w:val="2"/>
                <w:sz w:val="21"/>
                <w:szCs w:val="21"/>
                <w:lang w:eastAsia="zh-CN"/>
              </w:rPr>
            </w:pPr>
            <w:r>
              <w:rPr>
                <w:rFonts w:hint="eastAsia" w:ascii="宋体" w:hAnsi="宋体" w:eastAsia="宋体" w:cs="宋体"/>
                <w:bCs/>
                <w:color w:val="auto"/>
                <w:kern w:val="2"/>
                <w:sz w:val="21"/>
                <w:szCs w:val="21"/>
              </w:rPr>
              <w:t>扶持不发达地区</w:t>
            </w:r>
            <w:r>
              <w:rPr>
                <w:rFonts w:hint="eastAsia" w:ascii="宋体" w:hAnsi="宋体" w:eastAsia="宋体" w:cs="宋体"/>
                <w:bCs/>
                <w:color w:val="auto"/>
                <w:kern w:val="2"/>
                <w:sz w:val="21"/>
                <w:szCs w:val="21"/>
                <w:lang w:eastAsia="zh-CN"/>
              </w:rPr>
              <w:t>或</w:t>
            </w:r>
            <w:r>
              <w:rPr>
                <w:rFonts w:hint="eastAsia" w:ascii="宋体" w:hAnsi="宋体" w:eastAsia="宋体" w:cs="宋体"/>
                <w:bCs/>
                <w:color w:val="auto"/>
                <w:kern w:val="2"/>
                <w:sz w:val="21"/>
                <w:szCs w:val="21"/>
              </w:rPr>
              <w:t>少数民族</w:t>
            </w:r>
            <w:r>
              <w:rPr>
                <w:rFonts w:hint="eastAsia" w:ascii="宋体" w:hAnsi="宋体" w:eastAsia="宋体" w:cs="宋体"/>
                <w:bCs/>
                <w:color w:val="auto"/>
                <w:kern w:val="2"/>
                <w:sz w:val="21"/>
                <w:szCs w:val="21"/>
                <w:lang w:eastAsia="zh-CN"/>
              </w:rPr>
              <w:t>地区</w:t>
            </w:r>
          </w:p>
        </w:tc>
        <w:tc>
          <w:tcPr>
            <w:tcW w:w="5677"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eastAsia="zh-CN"/>
              </w:rPr>
              <w:t>供应商注册地为</w:t>
            </w:r>
            <w:r>
              <w:rPr>
                <w:rFonts w:hint="eastAsia" w:ascii="宋体" w:hAnsi="宋体" w:eastAsia="宋体" w:cs="宋体"/>
                <w:color w:val="auto"/>
                <w:kern w:val="2"/>
                <w:sz w:val="21"/>
                <w:szCs w:val="21"/>
              </w:rPr>
              <w:t>少数民族</w:t>
            </w:r>
            <w:r>
              <w:rPr>
                <w:rFonts w:hint="eastAsia" w:ascii="宋体" w:hAnsi="宋体" w:eastAsia="宋体" w:cs="宋体"/>
                <w:color w:val="auto"/>
                <w:kern w:val="2"/>
                <w:sz w:val="21"/>
                <w:szCs w:val="21"/>
                <w:lang w:eastAsia="zh-CN"/>
              </w:rPr>
              <w:t>或不发达</w:t>
            </w:r>
            <w:r>
              <w:rPr>
                <w:rFonts w:hint="eastAsia" w:ascii="宋体" w:hAnsi="宋体" w:eastAsia="宋体" w:cs="宋体"/>
                <w:color w:val="auto"/>
                <w:kern w:val="2"/>
                <w:sz w:val="21"/>
                <w:szCs w:val="21"/>
              </w:rPr>
              <w:t>地区</w:t>
            </w:r>
            <w:r>
              <w:rPr>
                <w:rFonts w:hint="eastAsia" w:ascii="宋体" w:hAnsi="宋体" w:eastAsia="宋体" w:cs="宋体"/>
                <w:color w:val="auto"/>
                <w:kern w:val="2"/>
                <w:sz w:val="21"/>
                <w:szCs w:val="21"/>
                <w:lang w:eastAsia="zh-CN"/>
              </w:rPr>
              <w:t>的</w:t>
            </w:r>
            <w:r>
              <w:rPr>
                <w:rFonts w:hint="eastAsia" w:ascii="宋体" w:hAnsi="宋体" w:eastAsia="宋体" w:cs="宋体"/>
                <w:color w:val="auto"/>
                <w:kern w:val="2"/>
                <w:sz w:val="21"/>
                <w:szCs w:val="21"/>
              </w:rPr>
              <w:t>得1分。</w:t>
            </w:r>
          </w:p>
          <w:p>
            <w:pPr>
              <w:adjustRightInd/>
              <w:snapToGrid/>
              <w:spacing w:line="240" w:lineRule="auto"/>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（说明：</w:t>
            </w:r>
            <w:r>
              <w:rPr>
                <w:rFonts w:hint="eastAsia" w:ascii="宋体" w:hAnsi="宋体" w:eastAsia="宋体" w:cs="宋体"/>
                <w:color w:val="auto"/>
                <w:kern w:val="2"/>
                <w:sz w:val="21"/>
                <w:szCs w:val="21"/>
                <w:lang w:eastAsia="zh-CN"/>
              </w:rPr>
              <w:t>在投标文件中承诺</w:t>
            </w:r>
            <w:r>
              <w:rPr>
                <w:rFonts w:hint="eastAsia" w:ascii="宋体" w:hAnsi="宋体" w:eastAsia="宋体" w:cs="宋体"/>
                <w:color w:val="auto"/>
                <w:kern w:val="2"/>
                <w:sz w:val="21"/>
                <w:szCs w:val="21"/>
              </w:rPr>
              <w:t>。）</w:t>
            </w:r>
          </w:p>
        </w:tc>
        <w:tc>
          <w:tcPr>
            <w:tcW w:w="78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rPr>
                <w:rStyle w:val="47"/>
                <w:rFonts w:hint="eastAsia" w:ascii="宋体" w:hAnsi="宋体" w:eastAsia="宋体" w:cs="宋体"/>
                <w:color w:val="auto"/>
              </w:rPr>
            </w:pPr>
            <w:r>
              <w:rPr>
                <w:rStyle w:val="47"/>
                <w:rFonts w:hint="eastAsia" w:ascii="宋体" w:hAnsi="宋体" w:eastAsia="宋体" w:cs="宋体"/>
                <w:color w:val="auto"/>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jc w:val="center"/>
        </w:trPr>
        <w:tc>
          <w:tcPr>
            <w:tcW w:w="1002" w:type="dxa"/>
            <w:vMerge w:val="continue"/>
            <w:tcBorders>
              <w:left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Cs/>
                <w:color w:val="auto"/>
                <w:kern w:val="2"/>
                <w:sz w:val="21"/>
                <w:szCs w:val="21"/>
              </w:rPr>
            </w:pPr>
          </w:p>
        </w:tc>
        <w:tc>
          <w:tcPr>
            <w:tcW w:w="727" w:type="dxa"/>
            <w:vMerge w:val="continue"/>
            <w:tcBorders>
              <w:left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Cs/>
                <w:color w:val="auto"/>
                <w:kern w:val="2"/>
                <w:sz w:val="21"/>
                <w:szCs w:val="21"/>
              </w:rPr>
            </w:pPr>
          </w:p>
        </w:tc>
        <w:tc>
          <w:tcPr>
            <w:tcW w:w="1399" w:type="dxa"/>
            <w:tcBorders>
              <w:left w:val="single" w:color="auto" w:sz="4" w:space="0"/>
              <w:right w:val="single" w:color="auto" w:sz="4" w:space="0"/>
            </w:tcBorders>
            <w:vAlign w:val="center"/>
          </w:tcPr>
          <w:p>
            <w:pPr>
              <w:widowControl w:val="0"/>
              <w:adjustRightInd/>
              <w:snapToGrid/>
              <w:spacing w:line="240" w:lineRule="auto"/>
              <w:jc w:val="center"/>
              <w:rPr>
                <w:rFonts w:hint="eastAsia" w:ascii="宋体" w:hAnsi="宋体" w:eastAsia="宋体" w:cs="宋体"/>
                <w:bCs/>
                <w:color w:val="auto"/>
                <w:kern w:val="2"/>
                <w:sz w:val="21"/>
                <w:szCs w:val="21"/>
                <w:lang w:eastAsia="zh-CN"/>
              </w:rPr>
            </w:pPr>
            <w:r>
              <w:rPr>
                <w:rFonts w:hint="eastAsia" w:ascii="宋体" w:hAnsi="宋体" w:eastAsia="宋体" w:cs="宋体"/>
                <w:bCs/>
                <w:color w:val="auto"/>
                <w:kern w:val="2"/>
                <w:sz w:val="21"/>
                <w:szCs w:val="21"/>
                <w:lang w:eastAsia="zh-CN"/>
              </w:rPr>
              <w:t>贫困地区物业公司</w:t>
            </w:r>
          </w:p>
        </w:tc>
        <w:tc>
          <w:tcPr>
            <w:tcW w:w="5677"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eastAsia="zh-CN"/>
              </w:rPr>
              <w:t>投标人注册地在</w:t>
            </w:r>
            <w:r>
              <w:rPr>
                <w:rFonts w:hint="eastAsia" w:ascii="宋体" w:hAnsi="宋体" w:eastAsia="宋体" w:cs="宋体"/>
                <w:color w:val="auto"/>
                <w:lang w:val="en-US" w:eastAsia="zh-CN"/>
              </w:rPr>
              <w:t>832个国家级贫困县域内，且投标人聘用建档立卡贫困人员的，得1分。</w:t>
            </w:r>
          </w:p>
          <w:p>
            <w:pPr>
              <w:pStyle w:val="2"/>
              <w:rPr>
                <w:rFonts w:hint="eastAsia" w:ascii="宋体" w:hAnsi="宋体" w:eastAsia="宋体" w:cs="宋体"/>
                <w:color w:val="auto"/>
                <w:lang w:val="en-US" w:eastAsia="zh-CN"/>
              </w:rPr>
            </w:pPr>
            <w:r>
              <w:rPr>
                <w:rFonts w:hint="eastAsia" w:ascii="宋体" w:hAnsi="宋体" w:eastAsia="宋体" w:cs="宋体"/>
                <w:color w:val="auto"/>
                <w:kern w:val="2"/>
                <w:sz w:val="21"/>
                <w:szCs w:val="21"/>
                <w:lang w:val="en-US" w:eastAsia="zh-CN"/>
              </w:rPr>
              <w:t>（说明：1、提供营业执照复印件，且注册地在832个国家级贫困县域内。2、提供注册所在县扶贫部门出具的聘用建档立卡贫困人员具体数量的证明材料复印件。）</w:t>
            </w:r>
          </w:p>
        </w:tc>
        <w:tc>
          <w:tcPr>
            <w:tcW w:w="78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240" w:lineRule="auto"/>
              <w:jc w:val="center"/>
              <w:rPr>
                <w:rStyle w:val="47"/>
                <w:rFonts w:hint="eastAsia" w:ascii="宋体" w:hAnsi="宋体" w:eastAsia="宋体" w:cs="宋体"/>
                <w:color w:val="auto"/>
                <w:lang w:val="en-US" w:eastAsia="zh-CN"/>
              </w:rPr>
            </w:pPr>
            <w:r>
              <w:rPr>
                <w:rStyle w:val="47"/>
                <w:rFonts w:hint="eastAsia" w:ascii="宋体" w:hAnsi="宋体" w:eastAsia="宋体" w:cs="宋体"/>
                <w:color w:val="auto"/>
                <w:lang w:val="en-US" w:eastAsia="zh-CN"/>
              </w:rPr>
              <w:t>1分</w:t>
            </w:r>
          </w:p>
        </w:tc>
      </w:tr>
    </w:tbl>
    <w:p>
      <w:pPr>
        <w:rPr>
          <w:color w:val="auto"/>
        </w:rPr>
      </w:pPr>
    </w:p>
    <w:p>
      <w:pPr>
        <w:spacing w:line="560" w:lineRule="exact"/>
        <w:ind w:firstLine="560" w:firstLineChars="200"/>
        <w:rPr>
          <w:rFonts w:ascii="宋体" w:hAnsi="宋体"/>
          <w:color w:val="auto"/>
          <w:sz w:val="28"/>
        </w:rPr>
      </w:pPr>
      <w:r>
        <w:rPr>
          <w:rFonts w:hint="eastAsia" w:ascii="宋体" w:hAnsi="宋体"/>
          <w:color w:val="auto"/>
          <w:sz w:val="28"/>
        </w:rPr>
        <w:t>说明：</w:t>
      </w:r>
    </w:p>
    <w:p>
      <w:pPr>
        <w:spacing w:line="560" w:lineRule="exact"/>
        <w:ind w:firstLine="560" w:firstLineChars="200"/>
        <w:rPr>
          <w:rFonts w:ascii="宋体" w:hAnsi="宋体"/>
          <w:color w:val="auto"/>
          <w:sz w:val="28"/>
        </w:rPr>
      </w:pPr>
      <w:r>
        <w:rPr>
          <w:rFonts w:hint="eastAsia" w:ascii="宋体" w:hAnsi="宋体"/>
          <w:color w:val="auto"/>
          <w:sz w:val="28"/>
        </w:rPr>
        <w:t>1、评分的取值按四舍五入法，保留小数点后两位；</w:t>
      </w:r>
    </w:p>
    <w:p>
      <w:pPr>
        <w:spacing w:line="560" w:lineRule="exact"/>
        <w:ind w:firstLine="560" w:firstLineChars="200"/>
        <w:rPr>
          <w:rFonts w:ascii="宋体" w:hAnsi="宋体"/>
          <w:color w:val="auto"/>
          <w:sz w:val="28"/>
        </w:rPr>
      </w:pPr>
      <w:r>
        <w:rPr>
          <w:rFonts w:hint="eastAsia" w:ascii="宋体" w:hAnsi="宋体"/>
          <w:color w:val="auto"/>
          <w:sz w:val="28"/>
        </w:rPr>
        <w:t>2、评分标准中要求提供复印件的证明材料须清晰可辨。</w:t>
      </w:r>
    </w:p>
    <w:p>
      <w:pPr>
        <w:pStyle w:val="4"/>
        <w:numPr>
          <w:ilvl w:val="1"/>
          <w:numId w:val="4"/>
        </w:numPr>
        <w:spacing w:before="0" w:after="0" w:line="560" w:lineRule="exact"/>
        <w:ind w:left="2269" w:hanging="2127"/>
        <w:rPr>
          <w:color w:val="auto"/>
        </w:rPr>
      </w:pPr>
      <w:bookmarkStart w:id="309" w:name="_Toc320624290"/>
      <w:bookmarkEnd w:id="309"/>
      <w:bookmarkStart w:id="310" w:name="_Toc315871725"/>
      <w:bookmarkEnd w:id="310"/>
      <w:bookmarkStart w:id="311" w:name="_Toc320624295"/>
      <w:bookmarkEnd w:id="311"/>
      <w:bookmarkStart w:id="312" w:name="_Toc315871656"/>
      <w:bookmarkEnd w:id="312"/>
      <w:bookmarkStart w:id="313" w:name="_Toc320624280"/>
      <w:bookmarkEnd w:id="313"/>
      <w:bookmarkStart w:id="314" w:name="_Toc315871658"/>
      <w:bookmarkEnd w:id="314"/>
      <w:bookmarkStart w:id="315" w:name="_Toc320624285"/>
      <w:bookmarkEnd w:id="315"/>
      <w:bookmarkStart w:id="316" w:name="_Toc320624240"/>
      <w:bookmarkEnd w:id="316"/>
      <w:bookmarkStart w:id="317" w:name="_Toc315871657"/>
      <w:bookmarkEnd w:id="317"/>
      <w:bookmarkStart w:id="318" w:name="_Toc320624260"/>
      <w:bookmarkEnd w:id="318"/>
      <w:bookmarkStart w:id="319" w:name="_Toc320624255"/>
      <w:bookmarkEnd w:id="319"/>
      <w:bookmarkStart w:id="320" w:name="_Toc320624265"/>
      <w:bookmarkEnd w:id="320"/>
      <w:bookmarkStart w:id="321" w:name="_Toc320624275"/>
      <w:bookmarkEnd w:id="321"/>
      <w:bookmarkStart w:id="322" w:name="_Toc318206701"/>
      <w:bookmarkEnd w:id="322"/>
      <w:bookmarkStart w:id="323" w:name="_Toc23841"/>
      <w:bookmarkStart w:id="324" w:name="_Toc19565"/>
      <w:bookmarkStart w:id="325" w:name="_Toc316292258"/>
      <w:bookmarkStart w:id="326" w:name="_Toc15076"/>
      <w:bookmarkStart w:id="327" w:name="_Toc315871726"/>
      <w:bookmarkStart w:id="328" w:name="_Toc18803"/>
      <w:bookmarkStart w:id="329" w:name="_Toc65573710"/>
      <w:bookmarkStart w:id="330" w:name="_Toc217446060"/>
      <w:r>
        <w:rPr>
          <w:rFonts w:hint="eastAsia"/>
          <w:color w:val="auto"/>
        </w:rPr>
        <w:t>废标</w:t>
      </w:r>
      <w:bookmarkEnd w:id="323"/>
      <w:bookmarkEnd w:id="324"/>
      <w:bookmarkEnd w:id="325"/>
      <w:bookmarkEnd w:id="326"/>
      <w:bookmarkEnd w:id="327"/>
      <w:bookmarkEnd w:id="328"/>
      <w:bookmarkEnd w:id="329"/>
    </w:p>
    <w:p>
      <w:pPr>
        <w:spacing w:line="560" w:lineRule="exact"/>
        <w:ind w:firstLine="560" w:firstLineChars="200"/>
        <w:rPr>
          <w:rFonts w:ascii="宋体" w:hAnsi="宋体"/>
          <w:color w:val="auto"/>
          <w:sz w:val="28"/>
          <w:szCs w:val="28"/>
        </w:rPr>
      </w:pPr>
      <w:r>
        <w:rPr>
          <w:rFonts w:hint="eastAsia" w:ascii="宋体" w:hAnsi="宋体"/>
          <w:color w:val="auto"/>
          <w:sz w:val="28"/>
          <w:szCs w:val="28"/>
        </w:rPr>
        <w:t>本次政府采购活动中，出现下列情形之一的，予以废标：</w:t>
      </w:r>
    </w:p>
    <w:p>
      <w:pPr>
        <w:numPr>
          <w:ilvl w:val="0"/>
          <w:numId w:val="44"/>
        </w:numPr>
        <w:tabs>
          <w:tab w:val="left" w:pos="1155"/>
        </w:tabs>
        <w:spacing w:after="200" w:line="560" w:lineRule="exact"/>
        <w:ind w:left="0" w:firstLine="525"/>
        <w:rPr>
          <w:rFonts w:ascii="宋体" w:hAnsi="宋体"/>
          <w:color w:val="auto"/>
          <w:sz w:val="28"/>
          <w:szCs w:val="28"/>
        </w:rPr>
      </w:pPr>
      <w:r>
        <w:rPr>
          <w:rFonts w:hint="eastAsia" w:ascii="宋体" w:hAnsi="宋体"/>
          <w:color w:val="auto"/>
          <w:sz w:val="28"/>
          <w:szCs w:val="28"/>
        </w:rPr>
        <w:t>符合专业条件的投标人或者对招标文件作实质响应的投标人不足三家的；</w:t>
      </w:r>
    </w:p>
    <w:p>
      <w:pPr>
        <w:numPr>
          <w:ilvl w:val="0"/>
          <w:numId w:val="44"/>
        </w:numPr>
        <w:tabs>
          <w:tab w:val="left" w:pos="1155"/>
        </w:tabs>
        <w:spacing w:after="200" w:line="560" w:lineRule="exact"/>
        <w:ind w:left="0" w:firstLine="525"/>
        <w:rPr>
          <w:rFonts w:ascii="宋体" w:hAnsi="宋体"/>
          <w:color w:val="auto"/>
          <w:sz w:val="28"/>
          <w:szCs w:val="28"/>
        </w:rPr>
      </w:pPr>
      <w:r>
        <w:rPr>
          <w:rFonts w:hint="eastAsia" w:ascii="宋体" w:hAnsi="宋体"/>
          <w:color w:val="auto"/>
          <w:sz w:val="28"/>
          <w:szCs w:val="28"/>
        </w:rPr>
        <w:t>出现影响采购公正的违法、违规行为的；</w:t>
      </w:r>
    </w:p>
    <w:p>
      <w:pPr>
        <w:numPr>
          <w:ilvl w:val="0"/>
          <w:numId w:val="44"/>
        </w:numPr>
        <w:tabs>
          <w:tab w:val="left" w:pos="1155"/>
        </w:tabs>
        <w:spacing w:after="200" w:line="560" w:lineRule="exact"/>
        <w:ind w:left="0" w:firstLine="525"/>
        <w:rPr>
          <w:rFonts w:ascii="宋体" w:hAnsi="宋体"/>
          <w:color w:val="auto"/>
          <w:sz w:val="28"/>
          <w:szCs w:val="28"/>
        </w:rPr>
      </w:pPr>
      <w:r>
        <w:rPr>
          <w:rFonts w:hint="eastAsia" w:ascii="宋体" w:hAnsi="宋体"/>
          <w:color w:val="auto"/>
          <w:sz w:val="28"/>
          <w:szCs w:val="28"/>
        </w:rPr>
        <w:t>投标人的报价均超过了采购预算，采购人不能支付的；</w:t>
      </w:r>
    </w:p>
    <w:p>
      <w:pPr>
        <w:numPr>
          <w:ilvl w:val="0"/>
          <w:numId w:val="44"/>
        </w:numPr>
        <w:tabs>
          <w:tab w:val="left" w:pos="1155"/>
        </w:tabs>
        <w:spacing w:after="200" w:line="560" w:lineRule="exact"/>
        <w:ind w:left="0" w:firstLine="525"/>
        <w:rPr>
          <w:rFonts w:ascii="宋体" w:hAnsi="宋体"/>
          <w:color w:val="auto"/>
          <w:sz w:val="28"/>
          <w:szCs w:val="28"/>
        </w:rPr>
      </w:pPr>
      <w:r>
        <w:rPr>
          <w:rFonts w:hint="eastAsia" w:ascii="宋体" w:hAnsi="宋体"/>
          <w:color w:val="auto"/>
          <w:sz w:val="28"/>
          <w:szCs w:val="28"/>
        </w:rPr>
        <w:t>因重大变故，采购任务取消的；</w:t>
      </w:r>
    </w:p>
    <w:p>
      <w:pPr>
        <w:numPr>
          <w:ilvl w:val="0"/>
          <w:numId w:val="44"/>
        </w:numPr>
        <w:tabs>
          <w:tab w:val="left" w:pos="1155"/>
        </w:tabs>
        <w:spacing w:after="200" w:line="560" w:lineRule="exact"/>
        <w:ind w:left="0" w:firstLine="525"/>
        <w:rPr>
          <w:rFonts w:ascii="宋体" w:hAnsi="宋体"/>
          <w:color w:val="auto"/>
          <w:sz w:val="28"/>
          <w:szCs w:val="28"/>
        </w:rPr>
      </w:pPr>
      <w:r>
        <w:rPr>
          <w:rFonts w:hint="eastAsia" w:ascii="宋体" w:hAnsi="宋体"/>
          <w:color w:val="auto"/>
          <w:sz w:val="28"/>
          <w:szCs w:val="28"/>
        </w:rPr>
        <w:t>废标后，市公资交易中心将在“四川政府采购网”和“</w:t>
      </w:r>
      <w:r>
        <w:rPr>
          <w:rFonts w:hint="eastAsia" w:ascii="宋体" w:hAnsi="宋体"/>
          <w:color w:val="auto"/>
          <w:sz w:val="28"/>
          <w:szCs w:val="28"/>
          <w:lang w:eastAsia="zh-CN"/>
        </w:rPr>
        <w:t>都江堰市公共资源交易服务中心</w:t>
      </w:r>
      <w:r>
        <w:rPr>
          <w:rFonts w:hint="eastAsia" w:ascii="宋体" w:hAnsi="宋体"/>
          <w:color w:val="auto"/>
          <w:sz w:val="28"/>
          <w:szCs w:val="28"/>
        </w:rPr>
        <w:t>”网站上公告。</w:t>
      </w:r>
    </w:p>
    <w:p>
      <w:pPr>
        <w:pStyle w:val="4"/>
        <w:numPr>
          <w:ilvl w:val="1"/>
          <w:numId w:val="4"/>
        </w:numPr>
        <w:spacing w:before="0" w:after="0" w:line="560" w:lineRule="exact"/>
        <w:ind w:left="2269" w:hanging="2127"/>
        <w:rPr>
          <w:color w:val="auto"/>
        </w:rPr>
      </w:pPr>
      <w:bookmarkStart w:id="331" w:name="_Toc19880"/>
      <w:bookmarkStart w:id="332" w:name="_Toc27932"/>
      <w:bookmarkStart w:id="333" w:name="_Toc65573711"/>
      <w:bookmarkStart w:id="334" w:name="_Toc315871727"/>
      <w:bookmarkStart w:id="335" w:name="_Toc8992"/>
      <w:bookmarkStart w:id="336" w:name="_Toc3782"/>
      <w:bookmarkStart w:id="337" w:name="_Toc316292259"/>
      <w:r>
        <w:rPr>
          <w:rFonts w:hint="eastAsia"/>
          <w:color w:val="auto"/>
        </w:rPr>
        <w:t>定标</w:t>
      </w:r>
      <w:bookmarkEnd w:id="330"/>
      <w:bookmarkEnd w:id="331"/>
      <w:bookmarkEnd w:id="332"/>
      <w:bookmarkEnd w:id="333"/>
      <w:bookmarkEnd w:id="334"/>
      <w:bookmarkEnd w:id="335"/>
      <w:bookmarkEnd w:id="336"/>
      <w:bookmarkEnd w:id="337"/>
      <w:bookmarkStart w:id="338" w:name="_Toc217446061"/>
    </w:p>
    <w:p>
      <w:pPr>
        <w:pStyle w:val="5"/>
        <w:numPr>
          <w:ilvl w:val="2"/>
          <w:numId w:val="4"/>
        </w:numPr>
        <w:spacing w:after="200" w:line="560" w:lineRule="exact"/>
        <w:ind w:left="0" w:firstLine="0"/>
        <w:rPr>
          <w:color w:val="auto"/>
        </w:rPr>
      </w:pPr>
      <w:bookmarkStart w:id="339" w:name="_Toc315871728"/>
      <w:bookmarkStart w:id="340" w:name="_Toc316292260"/>
      <w:r>
        <w:rPr>
          <w:rFonts w:hint="eastAsia"/>
          <w:color w:val="auto"/>
        </w:rPr>
        <w:t>定标原则</w:t>
      </w:r>
      <w:bookmarkEnd w:id="338"/>
      <w:bookmarkEnd w:id="339"/>
      <w:bookmarkEnd w:id="340"/>
    </w:p>
    <w:p>
      <w:pPr>
        <w:spacing w:line="560" w:lineRule="exact"/>
        <w:ind w:firstLine="560" w:firstLineChars="200"/>
        <w:rPr>
          <w:rFonts w:ascii="宋体" w:hAnsi="宋体"/>
          <w:color w:val="auto"/>
          <w:sz w:val="28"/>
          <w:szCs w:val="28"/>
        </w:rPr>
      </w:pPr>
      <w:bookmarkStart w:id="341" w:name="_Toc217446062"/>
      <w:bookmarkStart w:id="342" w:name="_Toc315871729"/>
      <w:bookmarkStart w:id="343" w:name="_Toc316292261"/>
      <w:r>
        <w:rPr>
          <w:rFonts w:hint="eastAsia" w:ascii="宋体" w:hAnsi="宋体"/>
          <w:color w:val="auto"/>
          <w:sz w:val="28"/>
          <w:szCs w:val="28"/>
        </w:rPr>
        <w:t>本项目根据评标委员会确定的中标候选人名单，采购人按顺序确定1名中标人。中标候选供应商并列的，</w:t>
      </w:r>
      <w:r>
        <w:rPr>
          <w:rFonts w:hint="eastAsia" w:ascii="宋体"/>
          <w:color w:val="auto"/>
          <w:sz w:val="28"/>
          <w:szCs w:val="28"/>
        </w:rPr>
        <w:t>由采购人采取随机抽取的方式确定中标人</w:t>
      </w:r>
      <w:r>
        <w:rPr>
          <w:rFonts w:hint="eastAsia" w:ascii="宋体" w:hAnsi="宋体"/>
          <w:color w:val="auto"/>
          <w:sz w:val="28"/>
          <w:szCs w:val="28"/>
        </w:rPr>
        <w:t>。</w:t>
      </w:r>
    </w:p>
    <w:p>
      <w:pPr>
        <w:spacing w:line="560" w:lineRule="exact"/>
        <w:ind w:firstLine="560" w:firstLineChars="200"/>
        <w:rPr>
          <w:rFonts w:ascii="宋体" w:hAnsi="宋体"/>
          <w:color w:val="auto"/>
          <w:sz w:val="28"/>
          <w:szCs w:val="28"/>
        </w:rPr>
      </w:pPr>
      <w:r>
        <w:rPr>
          <w:rFonts w:hint="eastAsia" w:cs="Helvetica" w:asciiTheme="minorEastAsia" w:hAnsiTheme="minorEastAsia" w:eastAsiaTheme="minorEastAsia"/>
          <w:color w:val="auto"/>
          <w:kern w:val="0"/>
          <w:sz w:val="28"/>
          <w:szCs w:val="28"/>
        </w:rPr>
        <w:t>采购人在收到评标报告</w:t>
      </w:r>
      <w:r>
        <w:rPr>
          <w:rFonts w:hint="eastAsia" w:cs="宋体" w:asciiTheme="minorEastAsia" w:hAnsiTheme="minorEastAsia" w:eastAsiaTheme="minorEastAsia"/>
          <w:color w:val="auto"/>
          <w:kern w:val="0"/>
          <w:sz w:val="28"/>
          <w:szCs w:val="28"/>
        </w:rPr>
        <w:t>5</w:t>
      </w:r>
      <w:r>
        <w:rPr>
          <w:rFonts w:hint="eastAsia" w:cs="Helvetica" w:asciiTheme="minorEastAsia" w:hAnsiTheme="minorEastAsia" w:eastAsiaTheme="minorEastAsia"/>
          <w:color w:val="auto"/>
          <w:kern w:val="0"/>
          <w:sz w:val="28"/>
          <w:szCs w:val="28"/>
        </w:rPr>
        <w:t>个工作日内未按评标报告推荐的中标候选人顺序确定中标人，又不能说明合法理由的，视同按评标报告推荐的顺序确定排名第一的中标候选人为中标人。</w:t>
      </w:r>
    </w:p>
    <w:p>
      <w:pPr>
        <w:pStyle w:val="5"/>
        <w:numPr>
          <w:ilvl w:val="2"/>
          <w:numId w:val="4"/>
        </w:numPr>
        <w:spacing w:after="200" w:line="560" w:lineRule="exact"/>
        <w:ind w:left="0" w:firstLine="0"/>
        <w:rPr>
          <w:color w:val="auto"/>
        </w:rPr>
      </w:pPr>
      <w:r>
        <w:rPr>
          <w:rFonts w:hint="eastAsia"/>
          <w:color w:val="auto"/>
        </w:rPr>
        <w:t>定标程序</w:t>
      </w:r>
      <w:bookmarkEnd w:id="341"/>
      <w:bookmarkEnd w:id="342"/>
      <w:bookmarkEnd w:id="343"/>
    </w:p>
    <w:bookmarkEnd w:id="283"/>
    <w:p>
      <w:pPr>
        <w:spacing w:line="560" w:lineRule="exact"/>
        <w:ind w:firstLine="560" w:firstLineChars="200"/>
        <w:rPr>
          <w:rFonts w:ascii="宋体" w:hAnsi="宋体"/>
          <w:color w:val="auto"/>
          <w:kern w:val="0"/>
          <w:sz w:val="28"/>
          <w:szCs w:val="28"/>
        </w:rPr>
      </w:pPr>
      <w:bookmarkStart w:id="344" w:name="_Toc316292262"/>
      <w:bookmarkStart w:id="345" w:name="_Toc315871730"/>
      <w:r>
        <w:rPr>
          <w:rFonts w:hint="eastAsia" w:ascii="宋体" w:hAnsi="宋体"/>
          <w:color w:val="auto"/>
          <w:kern w:val="0"/>
          <w:sz w:val="28"/>
          <w:szCs w:val="28"/>
        </w:rPr>
        <w:t>一、评审委员会将评审情况写出书面报告。</w:t>
      </w:r>
    </w:p>
    <w:p>
      <w:pPr>
        <w:spacing w:line="560" w:lineRule="exact"/>
        <w:ind w:firstLine="560" w:firstLineChars="200"/>
        <w:rPr>
          <w:rFonts w:ascii="宋体" w:hAnsi="宋体"/>
          <w:color w:val="auto"/>
          <w:kern w:val="0"/>
          <w:sz w:val="28"/>
          <w:szCs w:val="28"/>
        </w:rPr>
      </w:pPr>
      <w:r>
        <w:rPr>
          <w:rFonts w:hint="eastAsia" w:ascii="宋体" w:hAnsi="宋体"/>
          <w:color w:val="auto"/>
          <w:kern w:val="0"/>
          <w:sz w:val="28"/>
          <w:szCs w:val="28"/>
        </w:rPr>
        <w:t>二、市公资交易中心在评审结束之日起2个工作日内将评审报告送采购人。</w:t>
      </w:r>
    </w:p>
    <w:p>
      <w:pPr>
        <w:pStyle w:val="2"/>
        <w:spacing w:line="560" w:lineRule="exact"/>
        <w:ind w:firstLine="560" w:firstLineChars="200"/>
        <w:rPr>
          <w:rFonts w:ascii="宋体" w:hAnsi="宋体"/>
          <w:color w:val="auto"/>
          <w:sz w:val="28"/>
          <w:szCs w:val="28"/>
        </w:rPr>
      </w:pPr>
      <w:r>
        <w:rPr>
          <w:rFonts w:hint="eastAsia" w:ascii="宋体" w:hAnsi="宋体"/>
          <w:color w:val="auto"/>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line="560" w:lineRule="exact"/>
        <w:ind w:firstLine="560" w:firstLineChars="200"/>
        <w:jc w:val="left"/>
        <w:rPr>
          <w:rFonts w:ascii="宋体" w:hAnsi="宋体"/>
          <w:color w:val="auto"/>
          <w:kern w:val="0"/>
          <w:sz w:val="28"/>
          <w:szCs w:val="28"/>
        </w:rPr>
      </w:pPr>
      <w:r>
        <w:rPr>
          <w:rFonts w:hint="eastAsia" w:ascii="宋体" w:hAnsi="宋体"/>
          <w:color w:val="auto"/>
          <w:kern w:val="0"/>
          <w:sz w:val="28"/>
          <w:szCs w:val="28"/>
        </w:rPr>
        <w:t>四、根据采购人确定的中标（成交）人，市公资交易中心在“四川政府采购网”和“</w:t>
      </w:r>
      <w:r>
        <w:rPr>
          <w:rFonts w:hint="eastAsia" w:ascii="宋体" w:hAnsi="宋体"/>
          <w:color w:val="auto"/>
          <w:kern w:val="0"/>
          <w:sz w:val="28"/>
          <w:szCs w:val="28"/>
          <w:lang w:eastAsia="zh-CN"/>
        </w:rPr>
        <w:t>都江堰市公共资源交易服务中心</w:t>
      </w:r>
      <w:r>
        <w:rPr>
          <w:rFonts w:hint="eastAsia" w:ascii="宋体" w:hAnsi="宋体"/>
          <w:color w:val="auto"/>
          <w:kern w:val="0"/>
          <w:sz w:val="28"/>
          <w:szCs w:val="28"/>
        </w:rPr>
        <w:t>”网站上发布中标（成交）公告，同时向中标（成交）人发出中标（成交）通知书。</w:t>
      </w:r>
    </w:p>
    <w:p>
      <w:pPr>
        <w:tabs>
          <w:tab w:val="left" w:pos="1155"/>
        </w:tabs>
        <w:spacing w:line="560" w:lineRule="exact"/>
        <w:ind w:firstLine="565" w:firstLineChars="202"/>
        <w:rPr>
          <w:rFonts w:ascii="宋体" w:hAnsi="宋体"/>
          <w:color w:val="auto"/>
          <w:kern w:val="0"/>
          <w:sz w:val="28"/>
          <w:szCs w:val="28"/>
        </w:rPr>
      </w:pPr>
      <w:r>
        <w:rPr>
          <w:rFonts w:hint="eastAsia" w:ascii="宋体" w:hAnsi="宋体"/>
          <w:color w:val="auto"/>
          <w:kern w:val="0"/>
          <w:sz w:val="28"/>
          <w:szCs w:val="28"/>
        </w:rPr>
        <w:t>五、采购人、市公资交易中心不解释中标（成交）或未中标（成交）原因，不退回投标文件和其他投标资料。</w:t>
      </w:r>
    </w:p>
    <w:p>
      <w:pPr>
        <w:pStyle w:val="4"/>
        <w:numPr>
          <w:ilvl w:val="1"/>
          <w:numId w:val="4"/>
        </w:numPr>
        <w:spacing w:before="0" w:after="0" w:line="560" w:lineRule="exact"/>
        <w:ind w:left="2269" w:hanging="2269"/>
        <w:rPr>
          <w:color w:val="auto"/>
        </w:rPr>
      </w:pPr>
      <w:bookmarkStart w:id="346" w:name="_Toc20789"/>
      <w:bookmarkStart w:id="347" w:name="_Toc31963"/>
      <w:bookmarkStart w:id="348" w:name="_Toc24014"/>
      <w:bookmarkStart w:id="349" w:name="_Toc65573712"/>
      <w:bookmarkStart w:id="350" w:name="_Toc1482"/>
      <w:r>
        <w:rPr>
          <w:rFonts w:hint="eastAsia"/>
          <w:color w:val="auto"/>
        </w:rPr>
        <w:t>评标专家在政府采购活动中承担以下义务</w:t>
      </w:r>
      <w:bookmarkEnd w:id="344"/>
      <w:bookmarkEnd w:id="345"/>
      <w:bookmarkEnd w:id="346"/>
      <w:bookmarkEnd w:id="347"/>
      <w:bookmarkEnd w:id="348"/>
      <w:bookmarkEnd w:id="349"/>
      <w:bookmarkEnd w:id="350"/>
    </w:p>
    <w:p>
      <w:pPr>
        <w:numPr>
          <w:ilvl w:val="0"/>
          <w:numId w:val="45"/>
        </w:numPr>
        <w:tabs>
          <w:tab w:val="left" w:pos="1155"/>
        </w:tabs>
        <w:spacing w:after="200" w:line="560" w:lineRule="exact"/>
        <w:ind w:left="0" w:firstLine="525"/>
        <w:rPr>
          <w:rFonts w:ascii="宋体" w:hAnsi="宋体"/>
          <w:color w:val="auto"/>
          <w:sz w:val="28"/>
          <w:szCs w:val="28"/>
        </w:rPr>
      </w:pPr>
      <w:r>
        <w:rPr>
          <w:rFonts w:hint="eastAsia" w:ascii="宋体" w:hAnsi="宋体"/>
          <w:color w:val="auto"/>
          <w:sz w:val="28"/>
          <w:szCs w:val="28"/>
        </w:rPr>
        <w:t>遵纪守法，客观、公正、廉洁地履行职责。</w:t>
      </w:r>
    </w:p>
    <w:p>
      <w:pPr>
        <w:numPr>
          <w:ilvl w:val="0"/>
          <w:numId w:val="45"/>
        </w:numPr>
        <w:tabs>
          <w:tab w:val="left" w:pos="1155"/>
        </w:tabs>
        <w:spacing w:after="200" w:line="560" w:lineRule="exact"/>
        <w:ind w:left="0" w:firstLine="525"/>
        <w:rPr>
          <w:rFonts w:ascii="宋体" w:hAnsi="宋体"/>
          <w:color w:val="auto"/>
          <w:sz w:val="28"/>
          <w:szCs w:val="28"/>
        </w:rPr>
      </w:pPr>
      <w:r>
        <w:rPr>
          <w:rFonts w:hint="eastAsia" w:ascii="宋体" w:hAnsi="宋体"/>
          <w:color w:val="auto"/>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pPr>
        <w:numPr>
          <w:ilvl w:val="0"/>
          <w:numId w:val="45"/>
        </w:numPr>
        <w:tabs>
          <w:tab w:val="left" w:pos="1155"/>
        </w:tabs>
        <w:spacing w:after="200" w:line="560" w:lineRule="exact"/>
        <w:ind w:left="0" w:firstLine="525"/>
        <w:rPr>
          <w:rFonts w:ascii="宋体" w:hAnsi="宋体"/>
          <w:color w:val="auto"/>
          <w:sz w:val="28"/>
          <w:szCs w:val="28"/>
        </w:rPr>
      </w:pPr>
      <w:r>
        <w:rPr>
          <w:rFonts w:hint="eastAsia" w:ascii="宋体" w:hAnsi="宋体"/>
          <w:color w:val="auto"/>
          <w:sz w:val="28"/>
          <w:szCs w:val="28"/>
        </w:rPr>
        <w:t>保守秘密。不得泄漏投标人的投标文件及知悉的商业秘密，不得向投标人透露评审情况。</w:t>
      </w:r>
    </w:p>
    <w:p>
      <w:pPr>
        <w:numPr>
          <w:ilvl w:val="0"/>
          <w:numId w:val="45"/>
        </w:numPr>
        <w:tabs>
          <w:tab w:val="left" w:pos="1155"/>
        </w:tabs>
        <w:spacing w:after="200" w:line="560" w:lineRule="exact"/>
        <w:ind w:left="0" w:firstLine="525"/>
        <w:rPr>
          <w:rFonts w:ascii="宋体" w:hAnsi="宋体"/>
          <w:color w:val="auto"/>
          <w:sz w:val="28"/>
          <w:szCs w:val="28"/>
        </w:rPr>
      </w:pPr>
      <w:r>
        <w:rPr>
          <w:rFonts w:hint="eastAsia" w:ascii="宋体" w:hAnsi="宋体"/>
          <w:color w:val="auto"/>
          <w:sz w:val="28"/>
          <w:szCs w:val="28"/>
        </w:rPr>
        <w:t>发现投标人在政府采购活动中有不正当竞争或恶意串通等违规行为，及时向政府采购评审工作的组织者或财政部门报告并加以制止。</w:t>
      </w:r>
    </w:p>
    <w:p>
      <w:pPr>
        <w:numPr>
          <w:ilvl w:val="0"/>
          <w:numId w:val="45"/>
        </w:numPr>
        <w:tabs>
          <w:tab w:val="left" w:pos="1155"/>
        </w:tabs>
        <w:spacing w:after="200" w:line="560" w:lineRule="exact"/>
        <w:ind w:left="0" w:firstLine="525"/>
        <w:rPr>
          <w:rFonts w:ascii="宋体" w:hAnsi="宋体"/>
          <w:color w:val="auto"/>
          <w:sz w:val="28"/>
          <w:szCs w:val="28"/>
        </w:rPr>
      </w:pPr>
      <w:r>
        <w:rPr>
          <w:rFonts w:hint="eastAsia" w:ascii="宋体" w:hAnsi="宋体"/>
          <w:color w:val="auto"/>
          <w:sz w:val="28"/>
          <w:szCs w:val="28"/>
        </w:rPr>
        <w:t>发现采购人、市公资交易中心及其工作人员在政府采购活动中有干预评审、发表倾向性和歧视性言论、受贿或者接受投标人的其他好处及其他违法违规行为，及时向财政部门报告。</w:t>
      </w:r>
    </w:p>
    <w:p>
      <w:pPr>
        <w:numPr>
          <w:ilvl w:val="0"/>
          <w:numId w:val="45"/>
        </w:numPr>
        <w:tabs>
          <w:tab w:val="left" w:pos="1155"/>
        </w:tabs>
        <w:spacing w:after="200" w:line="560" w:lineRule="exact"/>
        <w:ind w:left="0" w:firstLine="525"/>
        <w:rPr>
          <w:rFonts w:ascii="宋体" w:hAnsi="宋体"/>
          <w:color w:val="auto"/>
          <w:sz w:val="28"/>
          <w:szCs w:val="28"/>
        </w:rPr>
      </w:pPr>
      <w:r>
        <w:rPr>
          <w:rFonts w:hint="eastAsia" w:ascii="宋体" w:hAnsi="宋体"/>
          <w:color w:val="auto"/>
          <w:sz w:val="28"/>
          <w:szCs w:val="28"/>
        </w:rPr>
        <w:t>解答有关方面对政府采购评审工作中有关问题的询问，配合采购人或者市公资交易中心答复投标人的询问、质疑，配合财政部门的投诉处理工作等事宜。</w:t>
      </w:r>
    </w:p>
    <w:p>
      <w:pPr>
        <w:numPr>
          <w:ilvl w:val="0"/>
          <w:numId w:val="45"/>
        </w:numPr>
        <w:tabs>
          <w:tab w:val="left" w:pos="1155"/>
        </w:tabs>
        <w:spacing w:after="200" w:line="560" w:lineRule="exact"/>
        <w:ind w:left="0" w:firstLine="525"/>
        <w:rPr>
          <w:rFonts w:ascii="宋体" w:hAnsi="宋体"/>
          <w:color w:val="auto"/>
          <w:sz w:val="28"/>
          <w:szCs w:val="28"/>
        </w:rPr>
      </w:pPr>
      <w:r>
        <w:rPr>
          <w:rFonts w:hint="eastAsia" w:ascii="宋体" w:hAnsi="宋体"/>
          <w:color w:val="auto"/>
          <w:sz w:val="28"/>
          <w:szCs w:val="28"/>
        </w:rPr>
        <w:t>法律、法规和规章规定的其他义务。</w:t>
      </w:r>
    </w:p>
    <w:p>
      <w:pPr>
        <w:pStyle w:val="4"/>
        <w:numPr>
          <w:ilvl w:val="1"/>
          <w:numId w:val="4"/>
        </w:numPr>
        <w:spacing w:before="0" w:after="0" w:line="560" w:lineRule="exact"/>
        <w:ind w:left="2269" w:hanging="2269"/>
        <w:rPr>
          <w:color w:val="auto"/>
        </w:rPr>
      </w:pPr>
      <w:bookmarkStart w:id="351" w:name="_Toc3861"/>
      <w:bookmarkStart w:id="352" w:name="_Toc65573713"/>
      <w:bookmarkStart w:id="353" w:name="_Toc31664"/>
      <w:bookmarkStart w:id="354" w:name="_Toc7637"/>
      <w:bookmarkStart w:id="355" w:name="_Toc9396"/>
      <w:r>
        <w:rPr>
          <w:rFonts w:hint="eastAsia"/>
          <w:color w:val="auto"/>
        </w:rPr>
        <w:t>评标委员会及其成员不得有下列行为：</w:t>
      </w:r>
      <w:bookmarkEnd w:id="351"/>
      <w:bookmarkEnd w:id="352"/>
      <w:bookmarkEnd w:id="353"/>
      <w:bookmarkEnd w:id="354"/>
      <w:bookmarkEnd w:id="355"/>
    </w:p>
    <w:p>
      <w:pPr>
        <w:tabs>
          <w:tab w:val="left" w:pos="1418"/>
        </w:tabs>
        <w:spacing w:line="560" w:lineRule="exact"/>
        <w:ind w:firstLine="560" w:firstLineChars="200"/>
        <w:rPr>
          <w:color w:val="auto"/>
          <w:sz w:val="28"/>
          <w:szCs w:val="28"/>
        </w:rPr>
      </w:pPr>
      <w:r>
        <w:rPr>
          <w:rFonts w:hint="eastAsia"/>
          <w:color w:val="auto"/>
          <w:sz w:val="28"/>
          <w:szCs w:val="28"/>
        </w:rPr>
        <w:t>一、确定参与评标至评标结束前私自接触投标人；</w:t>
      </w:r>
    </w:p>
    <w:p>
      <w:pPr>
        <w:tabs>
          <w:tab w:val="left" w:pos="1418"/>
        </w:tabs>
        <w:spacing w:line="560" w:lineRule="exact"/>
        <w:ind w:firstLine="560" w:firstLineChars="200"/>
        <w:rPr>
          <w:color w:val="auto"/>
          <w:sz w:val="28"/>
          <w:szCs w:val="28"/>
        </w:rPr>
      </w:pPr>
      <w:r>
        <w:rPr>
          <w:rFonts w:hint="eastAsia"/>
          <w:color w:val="auto"/>
          <w:sz w:val="28"/>
          <w:szCs w:val="28"/>
        </w:rPr>
        <w:t>二、接受投标人提出的与投标文件不一致的澄清或者说明，除招标文件明确可以澄清的除外；</w:t>
      </w:r>
    </w:p>
    <w:p>
      <w:pPr>
        <w:tabs>
          <w:tab w:val="left" w:pos="1418"/>
        </w:tabs>
        <w:spacing w:line="560" w:lineRule="exact"/>
        <w:ind w:firstLine="560" w:firstLineChars="200"/>
        <w:rPr>
          <w:color w:val="auto"/>
          <w:sz w:val="28"/>
          <w:szCs w:val="28"/>
        </w:rPr>
      </w:pPr>
      <w:r>
        <w:rPr>
          <w:rFonts w:hint="eastAsia"/>
          <w:color w:val="auto"/>
          <w:sz w:val="28"/>
          <w:szCs w:val="28"/>
        </w:rPr>
        <w:t>三、违反评标纪律发表倾向性意见或者征询采购人的倾向性意见；</w:t>
      </w:r>
    </w:p>
    <w:p>
      <w:pPr>
        <w:tabs>
          <w:tab w:val="left" w:pos="1418"/>
        </w:tabs>
        <w:spacing w:line="560" w:lineRule="exact"/>
        <w:ind w:firstLine="560" w:firstLineChars="200"/>
        <w:rPr>
          <w:color w:val="auto"/>
          <w:sz w:val="28"/>
          <w:szCs w:val="28"/>
        </w:rPr>
      </w:pPr>
      <w:r>
        <w:rPr>
          <w:rFonts w:hint="eastAsia"/>
          <w:color w:val="auto"/>
          <w:sz w:val="28"/>
          <w:szCs w:val="28"/>
        </w:rPr>
        <w:t>四、对需要专业判断的主观评审因素协商评分；</w:t>
      </w:r>
    </w:p>
    <w:p>
      <w:pPr>
        <w:tabs>
          <w:tab w:val="left" w:pos="1418"/>
        </w:tabs>
        <w:spacing w:line="560" w:lineRule="exact"/>
        <w:ind w:firstLine="560" w:firstLineChars="200"/>
        <w:rPr>
          <w:color w:val="auto"/>
          <w:sz w:val="28"/>
          <w:szCs w:val="28"/>
        </w:rPr>
      </w:pPr>
      <w:r>
        <w:rPr>
          <w:rFonts w:hint="eastAsia"/>
          <w:color w:val="auto"/>
          <w:sz w:val="28"/>
          <w:szCs w:val="28"/>
        </w:rPr>
        <w:t>五、在评标过程中擅离职守，影响评标程序正常进行的；</w:t>
      </w:r>
    </w:p>
    <w:p>
      <w:pPr>
        <w:tabs>
          <w:tab w:val="left" w:pos="1276"/>
          <w:tab w:val="left" w:pos="1418"/>
        </w:tabs>
        <w:spacing w:line="560" w:lineRule="exact"/>
        <w:ind w:firstLine="560" w:firstLineChars="200"/>
        <w:rPr>
          <w:color w:val="auto"/>
          <w:sz w:val="28"/>
          <w:szCs w:val="28"/>
        </w:rPr>
      </w:pPr>
      <w:r>
        <w:rPr>
          <w:rFonts w:hint="eastAsia"/>
          <w:color w:val="auto"/>
          <w:sz w:val="28"/>
          <w:szCs w:val="28"/>
        </w:rPr>
        <w:t>六、记录、复制或者带走任何评标资料；</w:t>
      </w:r>
    </w:p>
    <w:p>
      <w:pPr>
        <w:tabs>
          <w:tab w:val="left" w:pos="993"/>
          <w:tab w:val="left" w:pos="1276"/>
          <w:tab w:val="left" w:pos="1418"/>
        </w:tabs>
        <w:spacing w:line="560" w:lineRule="exact"/>
        <w:ind w:firstLine="560" w:firstLineChars="200"/>
        <w:rPr>
          <w:color w:val="auto"/>
          <w:sz w:val="28"/>
          <w:szCs w:val="28"/>
        </w:rPr>
      </w:pPr>
      <w:r>
        <w:rPr>
          <w:rFonts w:hint="eastAsia"/>
          <w:color w:val="auto"/>
          <w:sz w:val="28"/>
          <w:szCs w:val="28"/>
        </w:rPr>
        <w:t>七、其他不遵守评标纪律的行为。</w:t>
      </w:r>
    </w:p>
    <w:p>
      <w:pPr>
        <w:tabs>
          <w:tab w:val="left" w:pos="1155"/>
        </w:tabs>
        <w:spacing w:line="560" w:lineRule="exact"/>
        <w:ind w:left="142" w:firstLine="565" w:firstLineChars="202"/>
        <w:rPr>
          <w:color w:val="auto"/>
          <w:sz w:val="28"/>
          <w:szCs w:val="28"/>
        </w:rPr>
      </w:pPr>
      <w:r>
        <w:rPr>
          <w:rFonts w:hint="eastAsia"/>
          <w:color w:val="auto"/>
          <w:sz w:val="28"/>
          <w:szCs w:val="28"/>
        </w:rPr>
        <w:t>评标委员会成员有前款第一至五项行为之一的，其评审意见无效，并不得获取评审劳务报酬和报销异地评审差旅费。</w:t>
      </w:r>
    </w:p>
    <w:p>
      <w:pPr>
        <w:pStyle w:val="4"/>
        <w:numPr>
          <w:ilvl w:val="1"/>
          <w:numId w:val="4"/>
        </w:numPr>
        <w:spacing w:before="0" w:after="0" w:line="560" w:lineRule="exact"/>
        <w:ind w:left="2269" w:hanging="2127"/>
        <w:rPr>
          <w:color w:val="auto"/>
        </w:rPr>
      </w:pPr>
      <w:bookmarkStart w:id="356" w:name="_Toc494464930"/>
      <w:bookmarkStart w:id="357" w:name="_Toc22920"/>
      <w:bookmarkStart w:id="358" w:name="_Toc65573714"/>
      <w:bookmarkStart w:id="359" w:name="_Toc15267"/>
      <w:bookmarkStart w:id="360" w:name="_Toc16147"/>
      <w:bookmarkStart w:id="361" w:name="_Toc6837"/>
      <w:r>
        <w:rPr>
          <w:rFonts w:hint="eastAsia"/>
          <w:color w:val="auto"/>
        </w:rPr>
        <w:t>评审专家在政府采购活动中应当遵守以下工作纪律</w:t>
      </w:r>
      <w:bookmarkEnd w:id="356"/>
      <w:bookmarkEnd w:id="357"/>
      <w:bookmarkEnd w:id="358"/>
      <w:bookmarkEnd w:id="359"/>
      <w:bookmarkEnd w:id="360"/>
      <w:bookmarkEnd w:id="361"/>
    </w:p>
    <w:p>
      <w:pPr>
        <w:numPr>
          <w:ilvl w:val="0"/>
          <w:numId w:val="46"/>
        </w:numPr>
        <w:tabs>
          <w:tab w:val="left" w:pos="1155"/>
        </w:tabs>
        <w:spacing w:after="200" w:line="560" w:lineRule="exact"/>
        <w:ind w:left="0" w:firstLine="527"/>
        <w:rPr>
          <w:rFonts w:ascii="宋体" w:hAnsi="宋体"/>
          <w:color w:val="auto"/>
          <w:sz w:val="28"/>
          <w:szCs w:val="28"/>
        </w:rPr>
      </w:pPr>
      <w:r>
        <w:rPr>
          <w:rFonts w:hint="eastAsia" w:ascii="宋体" w:hAnsi="宋体"/>
          <w:color w:val="auto"/>
          <w:sz w:val="28"/>
          <w:szCs w:val="28"/>
        </w:rPr>
        <w:t>遵行《政府采购法》第十二条和《政府采购法实施条例》第九条及政府采购相关法律法规关于回避的规定。</w:t>
      </w:r>
    </w:p>
    <w:p>
      <w:pPr>
        <w:numPr>
          <w:ilvl w:val="0"/>
          <w:numId w:val="46"/>
        </w:numPr>
        <w:tabs>
          <w:tab w:val="left" w:pos="1155"/>
        </w:tabs>
        <w:spacing w:after="200" w:line="560" w:lineRule="exact"/>
        <w:ind w:left="0" w:firstLine="527"/>
        <w:rPr>
          <w:rFonts w:ascii="宋体" w:hAnsi="宋体"/>
          <w:color w:val="auto"/>
          <w:sz w:val="28"/>
          <w:szCs w:val="28"/>
        </w:rPr>
      </w:pPr>
      <w:r>
        <w:rPr>
          <w:rFonts w:hint="eastAsia" w:ascii="宋体" w:hAnsi="宋体"/>
          <w:color w:val="auto"/>
          <w:sz w:val="28"/>
          <w:szCs w:val="28"/>
        </w:rPr>
        <w:t>应邀按时参加评审和咨询活动，遵守评标区管理规定。</w:t>
      </w:r>
    </w:p>
    <w:p>
      <w:pPr>
        <w:numPr>
          <w:ilvl w:val="0"/>
          <w:numId w:val="46"/>
        </w:numPr>
        <w:tabs>
          <w:tab w:val="left" w:pos="1155"/>
        </w:tabs>
        <w:spacing w:after="200" w:line="560" w:lineRule="exact"/>
        <w:ind w:left="0" w:firstLine="527"/>
        <w:rPr>
          <w:rFonts w:ascii="宋体" w:hAnsi="宋体"/>
          <w:color w:val="auto"/>
          <w:sz w:val="28"/>
          <w:szCs w:val="28"/>
        </w:rPr>
      </w:pPr>
      <w:r>
        <w:rPr>
          <w:rFonts w:hint="eastAsia" w:ascii="宋体" w:hAnsi="宋体"/>
          <w:color w:val="auto"/>
          <w:sz w:val="28"/>
          <w:szCs w:val="28"/>
        </w:rPr>
        <w:t>进入评标区之前应将所有的通信设备存入公资交易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hint="eastAsia" w:cs="Arial"/>
          <w:color w:val="auto"/>
          <w:sz w:val="28"/>
          <w:szCs w:val="28"/>
        </w:rPr>
        <w:t>市公资交易中心</w:t>
      </w:r>
      <w:r>
        <w:rPr>
          <w:rFonts w:hint="eastAsia" w:ascii="宋体" w:hAnsi="宋体"/>
          <w:color w:val="auto"/>
          <w:sz w:val="28"/>
          <w:szCs w:val="28"/>
        </w:rPr>
        <w:t>，不得私自转托他人。</w:t>
      </w:r>
    </w:p>
    <w:p>
      <w:pPr>
        <w:numPr>
          <w:ilvl w:val="0"/>
          <w:numId w:val="46"/>
        </w:numPr>
        <w:tabs>
          <w:tab w:val="left" w:pos="1155"/>
        </w:tabs>
        <w:spacing w:after="200" w:line="560" w:lineRule="exact"/>
        <w:ind w:left="0" w:firstLine="527"/>
        <w:rPr>
          <w:rFonts w:ascii="宋体" w:hAnsi="宋体"/>
          <w:color w:val="auto"/>
          <w:sz w:val="28"/>
          <w:szCs w:val="28"/>
        </w:rPr>
      </w:pPr>
      <w:r>
        <w:rPr>
          <w:rFonts w:hint="eastAsia" w:ascii="宋体" w:hAnsi="宋体"/>
          <w:color w:val="auto"/>
          <w:sz w:val="28"/>
          <w:szCs w:val="28"/>
        </w:rPr>
        <w:t>不得参加与自己有利害关系的政府采购项目的评审活动。对与自己有利害关系的评审项目，如受到邀请，应主动提出回避。财政部门、采购人或</w:t>
      </w:r>
      <w:r>
        <w:rPr>
          <w:rFonts w:hint="eastAsia" w:cs="Arial"/>
          <w:color w:val="auto"/>
          <w:sz w:val="28"/>
          <w:szCs w:val="28"/>
        </w:rPr>
        <w:t>市公资交易中心</w:t>
      </w:r>
      <w:r>
        <w:rPr>
          <w:rFonts w:hint="eastAsia" w:ascii="宋体" w:hAnsi="宋体"/>
          <w:color w:val="auto"/>
          <w:sz w:val="28"/>
          <w:szCs w:val="28"/>
        </w:rPr>
        <w:t>也可要求该评审专家回避。</w:t>
      </w:r>
    </w:p>
    <w:p>
      <w:pPr>
        <w:numPr>
          <w:ilvl w:val="0"/>
          <w:numId w:val="46"/>
        </w:numPr>
        <w:tabs>
          <w:tab w:val="left" w:pos="1155"/>
        </w:tabs>
        <w:spacing w:after="200" w:line="560" w:lineRule="exact"/>
        <w:ind w:left="0" w:firstLine="527"/>
        <w:rPr>
          <w:rFonts w:ascii="宋体" w:hAnsi="宋体"/>
          <w:color w:val="auto"/>
          <w:sz w:val="28"/>
          <w:szCs w:val="28"/>
        </w:rPr>
      </w:pPr>
      <w:r>
        <w:rPr>
          <w:rFonts w:hint="eastAsia" w:ascii="宋体" w:hAnsi="宋体"/>
          <w:color w:val="auto"/>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numPr>
          <w:ilvl w:val="0"/>
          <w:numId w:val="46"/>
        </w:numPr>
        <w:tabs>
          <w:tab w:val="left" w:pos="1155"/>
        </w:tabs>
        <w:spacing w:after="200" w:line="560" w:lineRule="exact"/>
        <w:ind w:left="0" w:firstLine="527"/>
        <w:rPr>
          <w:rFonts w:ascii="宋体" w:hAnsi="宋体"/>
          <w:color w:val="auto"/>
          <w:sz w:val="28"/>
          <w:szCs w:val="28"/>
        </w:rPr>
      </w:pPr>
      <w:r>
        <w:rPr>
          <w:rFonts w:hint="eastAsia" w:ascii="宋体" w:hAnsi="宋体"/>
          <w:color w:val="auto"/>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numPr>
          <w:ilvl w:val="0"/>
          <w:numId w:val="46"/>
        </w:numPr>
        <w:tabs>
          <w:tab w:val="left" w:pos="1155"/>
        </w:tabs>
        <w:spacing w:after="200" w:line="560" w:lineRule="exact"/>
        <w:ind w:left="0" w:firstLine="527"/>
        <w:rPr>
          <w:rFonts w:ascii="宋体" w:hAnsi="宋体"/>
          <w:color w:val="auto"/>
          <w:sz w:val="28"/>
          <w:szCs w:val="28"/>
        </w:rPr>
      </w:pPr>
      <w:r>
        <w:rPr>
          <w:rFonts w:hint="eastAsia" w:ascii="宋体" w:hAnsi="宋体"/>
          <w:color w:val="auto"/>
          <w:sz w:val="28"/>
          <w:szCs w:val="28"/>
        </w:rPr>
        <w:t>在评标过程中和评标结束后，不得记录、复制或带走任何评标资料，除因规定的义务外，不得向外界透露评标内容。</w:t>
      </w:r>
    </w:p>
    <w:p>
      <w:pPr>
        <w:numPr>
          <w:ilvl w:val="0"/>
          <w:numId w:val="46"/>
        </w:numPr>
        <w:tabs>
          <w:tab w:val="left" w:pos="1155"/>
        </w:tabs>
        <w:spacing w:after="200" w:line="560" w:lineRule="exact"/>
        <w:ind w:left="0" w:firstLine="527"/>
        <w:rPr>
          <w:rFonts w:ascii="宋体" w:hAnsi="宋体"/>
          <w:color w:val="auto"/>
          <w:sz w:val="28"/>
          <w:szCs w:val="28"/>
        </w:rPr>
      </w:pPr>
      <w:r>
        <w:rPr>
          <w:rFonts w:hint="eastAsia" w:ascii="宋体" w:hAnsi="宋体"/>
          <w:color w:val="auto"/>
          <w:sz w:val="28"/>
          <w:szCs w:val="28"/>
        </w:rPr>
        <w:t>服从评标现场</w:t>
      </w:r>
      <w:r>
        <w:rPr>
          <w:rFonts w:hint="eastAsia" w:cs="Arial"/>
          <w:color w:val="auto"/>
          <w:sz w:val="28"/>
          <w:szCs w:val="28"/>
        </w:rPr>
        <w:t>市公资交易中心</w:t>
      </w:r>
      <w:r>
        <w:rPr>
          <w:rFonts w:hint="eastAsia" w:ascii="宋体" w:hAnsi="宋体"/>
          <w:color w:val="auto"/>
          <w:sz w:val="28"/>
          <w:szCs w:val="28"/>
        </w:rPr>
        <w:t>的现场秩序管理，接受评标现场监督人员的合法监督。</w:t>
      </w:r>
    </w:p>
    <w:p>
      <w:pPr>
        <w:numPr>
          <w:ilvl w:val="0"/>
          <w:numId w:val="46"/>
        </w:numPr>
        <w:tabs>
          <w:tab w:val="left" w:pos="1155"/>
        </w:tabs>
        <w:spacing w:after="200" w:line="560" w:lineRule="exact"/>
        <w:ind w:left="0" w:firstLine="527"/>
        <w:rPr>
          <w:rFonts w:ascii="宋体" w:hAnsi="宋体"/>
          <w:color w:val="auto"/>
          <w:sz w:val="28"/>
          <w:szCs w:val="28"/>
        </w:rPr>
      </w:pPr>
      <w:r>
        <w:rPr>
          <w:rFonts w:hint="eastAsia" w:ascii="宋体" w:hAnsi="宋体"/>
          <w:color w:val="auto"/>
          <w:sz w:val="28"/>
          <w:szCs w:val="28"/>
        </w:rPr>
        <w:t>遵守有关廉洁自律规定，不得私下接触投标人，不得收受投标人及有关业务单位和个人的财物或好处，不得接受采购组织单位的请托。</w:t>
      </w:r>
    </w:p>
    <w:p>
      <w:pPr>
        <w:numPr>
          <w:ilvl w:val="0"/>
          <w:numId w:val="46"/>
        </w:numPr>
        <w:tabs>
          <w:tab w:val="left" w:pos="1155"/>
        </w:tabs>
        <w:spacing w:after="200" w:line="560" w:lineRule="exact"/>
        <w:ind w:left="0" w:firstLine="527"/>
        <w:rPr>
          <w:rFonts w:ascii="宋体" w:hAnsi="宋体"/>
          <w:color w:val="auto"/>
          <w:sz w:val="28"/>
          <w:szCs w:val="28"/>
        </w:rPr>
      </w:pPr>
      <w:r>
        <w:rPr>
          <w:rFonts w:hint="eastAsia" w:ascii="宋体" w:hAnsi="宋体"/>
          <w:color w:val="auto"/>
          <w:sz w:val="28"/>
          <w:szCs w:val="28"/>
        </w:rPr>
        <w:t>在咨询工作中，严格执行国家产业政策和产品标准，认真听取咨询方的合理要求，提出科学合理的、无倾向性和歧视性的咨询方案，并对所提出的意见和建议承担个人责任。</w:t>
      </w:r>
    </w:p>
    <w:p>
      <w:pPr>
        <w:numPr>
          <w:ilvl w:val="0"/>
          <w:numId w:val="46"/>
        </w:numPr>
        <w:tabs>
          <w:tab w:val="left" w:pos="1155"/>
        </w:tabs>
        <w:spacing w:after="200" w:line="560" w:lineRule="exact"/>
        <w:ind w:left="0" w:firstLine="527"/>
        <w:rPr>
          <w:rFonts w:ascii="宋体" w:hAnsi="宋体"/>
          <w:color w:val="auto"/>
          <w:sz w:val="28"/>
          <w:szCs w:val="28"/>
        </w:rPr>
      </w:pPr>
      <w:r>
        <w:rPr>
          <w:rFonts w:hint="eastAsia" w:ascii="宋体" w:hAnsi="宋体"/>
          <w:color w:val="auto"/>
          <w:sz w:val="28"/>
          <w:szCs w:val="28"/>
        </w:rPr>
        <w:t>有关部门（机构）制定的其他评审工作纪律。</w:t>
      </w:r>
      <w:bookmarkEnd w:id="0"/>
      <w:bookmarkEnd w:id="1"/>
      <w:bookmarkEnd w:id="2"/>
      <w:bookmarkEnd w:id="3"/>
      <w:bookmarkStart w:id="362" w:name="_Toc19415"/>
      <w:r>
        <w:rPr>
          <w:color w:val="auto"/>
        </w:rPr>
        <w:br w:type="page"/>
      </w:r>
    </w:p>
    <w:p>
      <w:pPr>
        <w:pStyle w:val="3"/>
        <w:numPr>
          <w:ilvl w:val="0"/>
          <w:numId w:val="0"/>
        </w:numPr>
        <w:spacing w:before="0" w:after="0" w:line="360" w:lineRule="auto"/>
        <w:ind w:left="-142" w:leftChars="0"/>
        <w:jc w:val="center"/>
        <w:rPr>
          <w:color w:val="auto"/>
          <w:sz w:val="24"/>
        </w:rPr>
      </w:pPr>
      <w:bookmarkStart w:id="363" w:name="_Toc27722"/>
      <w:bookmarkStart w:id="364" w:name="_Toc20535"/>
      <w:bookmarkStart w:id="365" w:name="_Toc65573715"/>
      <w:bookmarkStart w:id="366" w:name="_Toc1640"/>
      <w:r>
        <w:rPr>
          <w:rFonts w:hint="eastAsia"/>
          <w:color w:val="auto"/>
          <w:lang w:eastAsia="zh-CN"/>
        </w:rPr>
        <w:t>第</w:t>
      </w:r>
      <w:r>
        <w:rPr>
          <w:rFonts w:hint="eastAsia"/>
          <w:color w:val="auto"/>
          <w:lang w:val="en-US" w:eastAsia="zh-CN"/>
        </w:rPr>
        <w:t>7章</w:t>
      </w:r>
      <w:r>
        <w:rPr>
          <w:rFonts w:hint="eastAsia"/>
          <w:color w:val="auto"/>
        </w:rPr>
        <w:t>拟签订合同文本</w:t>
      </w:r>
      <w:bookmarkEnd w:id="362"/>
      <w:bookmarkEnd w:id="363"/>
      <w:bookmarkEnd w:id="364"/>
      <w:bookmarkEnd w:id="365"/>
      <w:bookmarkEnd w:id="366"/>
    </w:p>
    <w:p>
      <w:pPr>
        <w:spacing w:line="400" w:lineRule="exact"/>
        <w:jc w:val="center"/>
        <w:rPr>
          <w:b/>
          <w:color w:val="auto"/>
          <w:sz w:val="32"/>
        </w:rPr>
      </w:pPr>
      <w:bookmarkStart w:id="367" w:name="_Toc316475675"/>
      <w:bookmarkEnd w:id="367"/>
      <w:bookmarkStart w:id="368" w:name="_Toc316475671"/>
      <w:bookmarkEnd w:id="368"/>
      <w:bookmarkStart w:id="369" w:name="_Toc316475669"/>
      <w:bookmarkEnd w:id="369"/>
      <w:bookmarkStart w:id="370" w:name="_Toc316475762"/>
      <w:bookmarkEnd w:id="370"/>
      <w:bookmarkStart w:id="371" w:name="_Toc316475754"/>
      <w:bookmarkEnd w:id="371"/>
      <w:bookmarkStart w:id="372" w:name="_Toc316475751"/>
      <w:bookmarkEnd w:id="372"/>
      <w:bookmarkStart w:id="373" w:name="_Toc316475760"/>
      <w:bookmarkEnd w:id="373"/>
      <w:bookmarkStart w:id="374" w:name="_Toc316475667"/>
      <w:bookmarkEnd w:id="374"/>
      <w:bookmarkStart w:id="375" w:name="_Toc316475756"/>
      <w:bookmarkEnd w:id="375"/>
      <w:bookmarkStart w:id="376" w:name="_Toc316475672"/>
      <w:bookmarkEnd w:id="376"/>
      <w:bookmarkStart w:id="377" w:name="_Toc316475761"/>
      <w:bookmarkEnd w:id="377"/>
      <w:bookmarkStart w:id="378" w:name="_Toc316475758"/>
      <w:bookmarkEnd w:id="378"/>
      <w:bookmarkStart w:id="379" w:name="_Toc316475764"/>
      <w:bookmarkEnd w:id="379"/>
      <w:bookmarkStart w:id="380" w:name="_Toc316475665"/>
      <w:bookmarkEnd w:id="380"/>
      <w:bookmarkStart w:id="381" w:name="_Toc316475668"/>
      <w:bookmarkEnd w:id="381"/>
      <w:bookmarkStart w:id="382" w:name="_Toc316475752"/>
      <w:bookmarkEnd w:id="382"/>
      <w:bookmarkStart w:id="383" w:name="_Toc316475757"/>
      <w:bookmarkEnd w:id="383"/>
      <w:bookmarkStart w:id="384" w:name="_Toc316475666"/>
      <w:bookmarkEnd w:id="384"/>
      <w:bookmarkStart w:id="385" w:name="_Toc316475759"/>
      <w:bookmarkEnd w:id="385"/>
      <w:bookmarkStart w:id="386" w:name="_Toc316475763"/>
      <w:bookmarkEnd w:id="386"/>
      <w:bookmarkStart w:id="387" w:name="_Toc316475674"/>
      <w:bookmarkEnd w:id="387"/>
      <w:bookmarkStart w:id="388" w:name="_Toc316475755"/>
      <w:bookmarkEnd w:id="388"/>
      <w:bookmarkStart w:id="389" w:name="_Toc316475677"/>
      <w:bookmarkEnd w:id="389"/>
      <w:bookmarkStart w:id="390" w:name="_Toc316475676"/>
      <w:bookmarkEnd w:id="390"/>
      <w:bookmarkStart w:id="391" w:name="_Toc316475670"/>
      <w:bookmarkEnd w:id="391"/>
      <w:bookmarkStart w:id="392" w:name="_Toc316475673"/>
      <w:bookmarkEnd w:id="392"/>
      <w:bookmarkStart w:id="393" w:name="_Toc316475664"/>
      <w:bookmarkEnd w:id="393"/>
      <w:bookmarkStart w:id="394" w:name="_Toc316475753"/>
      <w:bookmarkEnd w:id="394"/>
      <w:bookmarkStart w:id="395" w:name="_Toc3546"/>
      <w:bookmarkStart w:id="396" w:name="_Toc11710"/>
    </w:p>
    <w:p>
      <w:pPr>
        <w:pStyle w:val="213"/>
        <w:widowControl w:val="0"/>
        <w:autoSpaceDE w:val="0"/>
        <w:autoSpaceDN w:val="0"/>
        <w:spacing w:before="0" w:after="0" w:line="600" w:lineRule="exact"/>
        <w:ind w:firstLine="723" w:firstLineChars="200"/>
        <w:jc w:val="center"/>
        <w:rPr>
          <w:rFonts w:hint="eastAsia" w:ascii="宋体" w:hAnsi="宋体" w:eastAsia="宋体" w:cs="宋体"/>
          <w:b/>
          <w:color w:val="auto"/>
          <w:sz w:val="36"/>
          <w:szCs w:val="36"/>
          <w:lang w:eastAsia="zh-CN"/>
        </w:rPr>
      </w:pPr>
      <w:r>
        <w:rPr>
          <w:rFonts w:hint="eastAsia" w:ascii="宋体" w:hAnsi="宋体" w:eastAsia="宋体" w:cs="宋体"/>
          <w:b/>
          <w:color w:val="auto"/>
          <w:sz w:val="36"/>
          <w:szCs w:val="36"/>
          <w:lang w:val="en-US" w:eastAsia="zh-CN"/>
        </w:rPr>
        <w:t>都江堰市机关事务中心</w:t>
      </w:r>
      <w:r>
        <w:rPr>
          <w:rFonts w:hint="eastAsia" w:ascii="宋体" w:hAnsi="宋体" w:eastAsia="宋体" w:cs="宋体"/>
          <w:b/>
          <w:color w:val="auto"/>
          <w:sz w:val="36"/>
          <w:szCs w:val="36"/>
          <w:lang w:eastAsia="zh-CN"/>
        </w:rPr>
        <w:t>物业管理服务合同</w:t>
      </w:r>
    </w:p>
    <w:p>
      <w:pPr>
        <w:pStyle w:val="213"/>
        <w:widowControl w:val="0"/>
        <w:autoSpaceDE w:val="0"/>
        <w:autoSpaceDN w:val="0"/>
        <w:spacing w:before="0" w:after="0" w:line="600" w:lineRule="exact"/>
        <w:ind w:firstLine="723" w:firstLineChars="200"/>
        <w:jc w:val="center"/>
        <w:rPr>
          <w:rFonts w:hint="eastAsia" w:ascii="宋体" w:hAnsi="宋体" w:eastAsia="宋体" w:cs="宋体"/>
          <w:b/>
          <w:color w:val="auto"/>
          <w:sz w:val="36"/>
          <w:szCs w:val="36"/>
          <w:lang w:eastAsia="zh-CN"/>
        </w:rPr>
      </w:pPr>
    </w:p>
    <w:p>
      <w:pPr>
        <w:pStyle w:val="213"/>
        <w:widowControl w:val="0"/>
        <w:autoSpaceDE w:val="0"/>
        <w:autoSpaceDN w:val="0"/>
        <w:spacing w:before="0" w:after="0" w:line="600" w:lineRule="exact"/>
        <w:ind w:firstLine="476" w:firstLineChars="200"/>
        <w:jc w:val="both"/>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eastAsia="zh-CN"/>
        </w:rPr>
        <w:t>合同编号</w:t>
      </w:r>
      <w:r>
        <w:rPr>
          <w:rFonts w:hint="eastAsia" w:ascii="宋体" w:hAnsi="宋体" w:eastAsia="宋体" w:cs="宋体"/>
          <w:color w:val="auto"/>
          <w:spacing w:val="-1"/>
          <w:sz w:val="24"/>
          <w:szCs w:val="24"/>
          <w:u w:val="single"/>
          <w:lang w:val="en-US" w:eastAsia="zh-CN"/>
        </w:rPr>
        <w:t xml:space="preserve">              </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 xml:space="preserve">           </w:t>
      </w:r>
    </w:p>
    <w:p>
      <w:pPr>
        <w:pStyle w:val="213"/>
        <w:widowControl w:val="0"/>
        <w:autoSpaceDE w:val="0"/>
        <w:autoSpaceDN w:val="0"/>
        <w:spacing w:before="0" w:after="0" w:line="600" w:lineRule="exact"/>
        <w:ind w:firstLine="476" w:firstLineChars="200"/>
        <w:jc w:val="left"/>
        <w:rPr>
          <w:rFonts w:hint="default" w:ascii="宋体" w:hAnsi="宋体" w:eastAsia="宋体" w:cs="宋体"/>
          <w:color w:val="auto"/>
          <w:spacing w:val="-1"/>
          <w:sz w:val="24"/>
          <w:szCs w:val="24"/>
          <w:u w:val="single"/>
          <w:lang w:val="en-US" w:eastAsia="zh-CN"/>
        </w:rPr>
      </w:pPr>
      <w:r>
        <w:rPr>
          <w:rFonts w:hint="eastAsia" w:ascii="宋体" w:hAnsi="宋体" w:eastAsia="宋体" w:cs="宋体"/>
          <w:color w:val="auto"/>
          <w:spacing w:val="-1"/>
          <w:sz w:val="24"/>
          <w:szCs w:val="24"/>
          <w:lang w:eastAsia="zh-CN"/>
        </w:rPr>
        <w:t>签订地点：</w:t>
      </w:r>
      <w:r>
        <w:rPr>
          <w:rFonts w:hint="eastAsia" w:ascii="宋体" w:hAnsi="宋体" w:eastAsia="宋体" w:cs="宋体"/>
          <w:color w:val="auto"/>
          <w:spacing w:val="-1"/>
          <w:sz w:val="24"/>
          <w:szCs w:val="24"/>
          <w:u w:val="single"/>
          <w:lang w:val="en-US" w:eastAsia="zh-CN"/>
        </w:rPr>
        <w:t xml:space="preserve">            </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签订时间：</w:t>
      </w:r>
      <w:r>
        <w:rPr>
          <w:rFonts w:hint="eastAsia" w:ascii="宋体" w:hAnsi="宋体" w:eastAsia="宋体" w:cs="宋体"/>
          <w:color w:val="auto"/>
          <w:spacing w:val="-1"/>
          <w:sz w:val="24"/>
          <w:szCs w:val="24"/>
          <w:lang w:val="en-US" w:eastAsia="zh-CN"/>
        </w:rPr>
        <w:t xml:space="preserve">    </w:t>
      </w:r>
      <w:r>
        <w:rPr>
          <w:rFonts w:hint="eastAsia" w:ascii="宋体" w:hAnsi="宋体" w:eastAsia="宋体" w:cs="宋体"/>
          <w:color w:val="auto"/>
          <w:spacing w:val="-1"/>
          <w:sz w:val="24"/>
          <w:szCs w:val="24"/>
          <w:lang w:eastAsia="zh-CN"/>
        </w:rPr>
        <w:t>年</w:t>
      </w:r>
      <w:r>
        <w:rPr>
          <w:rFonts w:hint="eastAsia" w:ascii="宋体" w:hAnsi="宋体" w:eastAsia="宋体" w:cs="宋体"/>
          <w:color w:val="auto"/>
          <w:spacing w:val="-1"/>
          <w:sz w:val="24"/>
          <w:szCs w:val="24"/>
          <w:lang w:val="en-US" w:eastAsia="zh-CN"/>
        </w:rPr>
        <w:t xml:space="preserve">   </w:t>
      </w:r>
      <w:r>
        <w:rPr>
          <w:rFonts w:hint="eastAsia" w:ascii="宋体" w:hAnsi="宋体" w:eastAsia="宋体" w:cs="宋体"/>
          <w:color w:val="auto"/>
          <w:spacing w:val="-1"/>
          <w:sz w:val="24"/>
          <w:szCs w:val="24"/>
          <w:lang w:eastAsia="zh-CN"/>
        </w:rPr>
        <w:t>月</w:t>
      </w:r>
      <w:r>
        <w:rPr>
          <w:rFonts w:hint="eastAsia" w:ascii="宋体" w:hAnsi="宋体" w:eastAsia="宋体" w:cs="宋体"/>
          <w:color w:val="auto"/>
          <w:spacing w:val="-1"/>
          <w:sz w:val="24"/>
          <w:szCs w:val="24"/>
          <w:lang w:val="en-US" w:eastAsia="zh-CN"/>
        </w:rPr>
        <w:t xml:space="preserve">   </w:t>
      </w:r>
      <w:r>
        <w:rPr>
          <w:rFonts w:hint="eastAsia" w:ascii="宋体" w:hAnsi="宋体" w:eastAsia="宋体" w:cs="宋体"/>
          <w:color w:val="auto"/>
          <w:spacing w:val="-1"/>
          <w:sz w:val="24"/>
          <w:szCs w:val="24"/>
          <w:lang w:eastAsia="zh-CN"/>
        </w:rPr>
        <w:t>日</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采购人（甲方）：</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供应商（乙方）：</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eastAsia="zh-CN"/>
        </w:rPr>
        <w:t>依据《中华人民共和国民法典》《中华人民共和国政府采购法》与项目行业有关的法律法规</w:t>
      </w:r>
      <w:r>
        <w:rPr>
          <w:rFonts w:hint="eastAsia" w:ascii="宋体" w:hAnsi="宋体" w:eastAsia="宋体" w:cs="宋体"/>
          <w:color w:val="auto"/>
          <w:spacing w:val="-1"/>
          <w:sz w:val="24"/>
          <w:szCs w:val="24"/>
          <w:lang w:val="en-US" w:eastAsia="zh-Hans"/>
        </w:rPr>
        <w:t>规章的规定</w:t>
      </w:r>
      <w:r>
        <w:rPr>
          <w:rFonts w:hint="eastAsia" w:ascii="宋体" w:hAnsi="宋体" w:eastAsia="宋体" w:cs="宋体"/>
          <w:color w:val="auto"/>
          <w:spacing w:val="-1"/>
          <w:sz w:val="24"/>
          <w:szCs w:val="24"/>
          <w:lang w:eastAsia="zh-CN"/>
        </w:rPr>
        <w:t>，以及都江堰市机关事务中心物业管理服务项目（采购编号：</w:t>
      </w:r>
      <w:r>
        <w:rPr>
          <w:rFonts w:hint="eastAsia" w:ascii="宋体" w:hAnsi="宋体" w:eastAsia="宋体" w:cs="宋体"/>
          <w:color w:val="auto"/>
          <w:spacing w:val="-1"/>
          <w:sz w:val="24"/>
          <w:szCs w:val="24"/>
          <w:u w:val="single"/>
          <w:lang w:val="en-US" w:eastAsia="zh-CN"/>
        </w:rPr>
        <w:t xml:space="preserve">                    </w:t>
      </w:r>
      <w:r>
        <w:rPr>
          <w:rFonts w:hint="eastAsia" w:ascii="宋体" w:hAnsi="宋体" w:eastAsia="宋体" w:cs="宋体"/>
          <w:color w:val="auto"/>
          <w:spacing w:val="-1"/>
          <w:sz w:val="24"/>
          <w:szCs w:val="24"/>
          <w:lang w:eastAsia="zh-CN"/>
        </w:rPr>
        <w:t>）的《招标文件》</w:t>
      </w:r>
      <w:r>
        <w:rPr>
          <w:rFonts w:hint="default"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eastAsia="zh-CN"/>
        </w:rPr>
        <w:t>乙方的《投标文件》及《中标通知书》，甲、乙双方同意签订本合同。详细技术说明及其他有关合同项目的特定信息由合同附件予以说明，合同附件及本项目的《招标文件》《投标文件》《中标通知书》等均为本合同的组成部分</w:t>
      </w:r>
      <w:r>
        <w:rPr>
          <w:rFonts w:hint="default"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Hans"/>
        </w:rPr>
        <w:t>具有同等法律效力</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 xml:space="preserve"> </w:t>
      </w:r>
    </w:p>
    <w:p>
      <w:pPr>
        <w:pStyle w:val="213"/>
        <w:widowControl w:val="0"/>
        <w:autoSpaceDE w:val="0"/>
        <w:autoSpaceDN w:val="0"/>
        <w:spacing w:before="0" w:after="0" w:line="600" w:lineRule="exact"/>
        <w:ind w:firstLine="478"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b/>
          <w:bCs/>
          <w:color w:val="auto"/>
          <w:spacing w:val="-1"/>
          <w:sz w:val="24"/>
          <w:szCs w:val="24"/>
          <w:lang w:eastAsia="zh-CN"/>
        </w:rPr>
        <w:t>第一条  项目基本情况</w:t>
      </w:r>
    </w:p>
    <w:p>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物业类型：办公楼。</w:t>
      </w:r>
    </w:p>
    <w:p>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 xml:space="preserve">物业基本情况 </w:t>
      </w:r>
    </w:p>
    <w:p>
      <w:pPr>
        <w:spacing w:line="590" w:lineRule="exact"/>
        <w:ind w:firstLine="476" w:firstLineChars="200"/>
        <w:rPr>
          <w:rFonts w:hint="eastAsia" w:ascii="宋体" w:hAnsi="宋体" w:eastAsia="宋体" w:cs="宋体"/>
          <w:color w:val="auto"/>
          <w:spacing w:val="-1"/>
          <w:kern w:val="0"/>
          <w:sz w:val="24"/>
          <w:szCs w:val="24"/>
          <w:lang w:val="ru-RU" w:eastAsia="zh-CN" w:bidi="ar-SA"/>
        </w:rPr>
      </w:pPr>
      <w:r>
        <w:rPr>
          <w:rFonts w:hint="eastAsia" w:ascii="宋体" w:hAnsi="宋体" w:eastAsia="宋体" w:cs="宋体"/>
          <w:color w:val="auto"/>
          <w:spacing w:val="-1"/>
          <w:kern w:val="0"/>
          <w:sz w:val="24"/>
          <w:szCs w:val="24"/>
          <w:lang w:val="ru-RU" w:eastAsia="zh-CN" w:bidi="ar-SA"/>
        </w:rPr>
        <w:t>1.市委机关办公区，都江堰大道215号， 1栋楼，共11层，占地面积12546.07平方米，建筑面积11693.15平方米，道路、广场面积4903.6平方米，楼栋内公共区域面积2189.27平方米。车位123个（包含地上106个，地下17个）。会议室8间，侯会室3间。</w:t>
      </w:r>
    </w:p>
    <w:p>
      <w:pPr>
        <w:spacing w:line="590" w:lineRule="exact"/>
        <w:ind w:firstLine="476" w:firstLineChars="200"/>
        <w:rPr>
          <w:rFonts w:hint="eastAsia" w:ascii="宋体" w:hAnsi="宋体" w:eastAsia="宋体" w:cs="宋体"/>
          <w:color w:val="auto"/>
          <w:spacing w:val="-1"/>
          <w:kern w:val="0"/>
          <w:sz w:val="24"/>
          <w:szCs w:val="24"/>
          <w:lang w:val="ru-RU" w:eastAsia="zh-CN" w:bidi="ar-SA"/>
        </w:rPr>
      </w:pPr>
      <w:r>
        <w:rPr>
          <w:rFonts w:hint="eastAsia" w:ascii="宋体" w:hAnsi="宋体" w:eastAsia="宋体" w:cs="宋体"/>
          <w:color w:val="auto"/>
          <w:spacing w:val="-1"/>
          <w:kern w:val="0"/>
          <w:sz w:val="24"/>
          <w:szCs w:val="24"/>
          <w:lang w:val="ru-RU" w:eastAsia="zh-CN" w:bidi="ar-SA"/>
        </w:rPr>
        <w:t>2.市政府机关办公区（含武装部部分办公区），都江堰大道231号，1栋楼，共2层，占地面积约5557.5平方米，建筑面积约3449.16平方米，道路、广场面积2424.72平方米，楼栋内公共区域面积约787.59平方米。车位40个。会议室7间，会客室1间。</w:t>
      </w:r>
    </w:p>
    <w:p>
      <w:pPr>
        <w:spacing w:line="590" w:lineRule="exact"/>
        <w:ind w:firstLine="476" w:firstLineChars="200"/>
        <w:rPr>
          <w:rFonts w:hint="eastAsia" w:ascii="宋体" w:hAnsi="宋体" w:eastAsia="宋体" w:cs="宋体"/>
          <w:color w:val="auto"/>
          <w:spacing w:val="-1"/>
          <w:kern w:val="0"/>
          <w:sz w:val="24"/>
          <w:szCs w:val="24"/>
          <w:lang w:val="ru-RU" w:eastAsia="zh-CN" w:bidi="ar-SA"/>
        </w:rPr>
      </w:pPr>
      <w:r>
        <w:rPr>
          <w:rFonts w:hint="eastAsia" w:ascii="宋体" w:hAnsi="宋体" w:eastAsia="宋体" w:cs="宋体"/>
          <w:color w:val="auto"/>
          <w:spacing w:val="-1"/>
          <w:kern w:val="0"/>
          <w:sz w:val="24"/>
          <w:szCs w:val="24"/>
          <w:lang w:val="ru-RU" w:eastAsia="zh-CN" w:bidi="ar-SA"/>
        </w:rPr>
        <w:t>3.市人大机关办公区，建新路1号，共4栋楼，A栋3层，B栋2层，C栋2层，D栋2层，占地面积9417.32平方米，建筑面积1098.6平方米，道路、广场面积3847.3平方米，楼栋内公共区域面积220平方米，车位45个。会议室5间。</w:t>
      </w:r>
    </w:p>
    <w:p>
      <w:pPr>
        <w:spacing w:line="590" w:lineRule="exact"/>
        <w:ind w:firstLine="476" w:firstLineChars="200"/>
        <w:rPr>
          <w:rFonts w:hint="eastAsia" w:ascii="宋体" w:hAnsi="宋体" w:eastAsia="宋体" w:cs="宋体"/>
          <w:color w:val="auto"/>
          <w:spacing w:val="-1"/>
          <w:kern w:val="0"/>
          <w:sz w:val="24"/>
          <w:szCs w:val="24"/>
          <w:lang w:val="ru-RU" w:eastAsia="zh-CN" w:bidi="ar-SA"/>
        </w:rPr>
      </w:pPr>
      <w:r>
        <w:rPr>
          <w:rFonts w:hint="eastAsia" w:ascii="宋体" w:hAnsi="宋体" w:eastAsia="宋体" w:cs="宋体"/>
          <w:color w:val="auto"/>
          <w:spacing w:val="-1"/>
          <w:kern w:val="0"/>
          <w:sz w:val="24"/>
          <w:szCs w:val="24"/>
          <w:lang w:val="ru-RU" w:eastAsia="zh-CN" w:bidi="ar-SA"/>
        </w:rPr>
        <w:t xml:space="preserve">4. 市政协机关办公区，沙西线金融中心第6幢综合楼，共1栋楼6层，建筑面积4451.94平方米，楼栋内公共区域面积735平方米。 </w:t>
      </w:r>
    </w:p>
    <w:p>
      <w:pPr>
        <w:spacing w:line="590" w:lineRule="exact"/>
        <w:ind w:firstLine="476" w:firstLineChars="200"/>
        <w:rPr>
          <w:rFonts w:hint="eastAsia" w:ascii="宋体" w:hAnsi="宋体" w:eastAsia="宋体" w:cs="宋体"/>
          <w:color w:val="auto"/>
          <w:spacing w:val="-1"/>
          <w:kern w:val="0"/>
          <w:sz w:val="24"/>
          <w:szCs w:val="24"/>
          <w:lang w:val="ru-RU" w:eastAsia="zh-CN" w:bidi="ar-SA"/>
        </w:rPr>
      </w:pPr>
      <w:r>
        <w:rPr>
          <w:rFonts w:hint="eastAsia" w:ascii="宋体" w:hAnsi="宋体" w:eastAsia="宋体" w:cs="宋体"/>
          <w:color w:val="auto"/>
          <w:spacing w:val="-1"/>
          <w:kern w:val="0"/>
          <w:sz w:val="24"/>
          <w:szCs w:val="24"/>
          <w:lang w:val="ru-RU" w:eastAsia="zh-CN" w:bidi="ar-SA"/>
        </w:rPr>
        <w:t>5.周转房，永友路618号，兴堰丽景B区2栋2单元，建筑面积2500.8平方米，共1栋楼，11层楼，22套房。</w:t>
      </w:r>
    </w:p>
    <w:p>
      <w:pPr>
        <w:spacing w:line="590" w:lineRule="exact"/>
        <w:ind w:firstLine="476" w:firstLineChars="200"/>
        <w:rPr>
          <w:rFonts w:hint="eastAsia" w:ascii="宋体" w:hAnsi="宋体" w:eastAsia="宋体" w:cs="宋体"/>
          <w:color w:val="auto"/>
          <w:spacing w:val="-1"/>
          <w:kern w:val="0"/>
          <w:sz w:val="24"/>
          <w:szCs w:val="24"/>
          <w:lang w:val="ru-RU" w:eastAsia="zh-CN" w:bidi="ar-SA"/>
        </w:rPr>
      </w:pPr>
      <w:r>
        <w:rPr>
          <w:rFonts w:hint="eastAsia" w:ascii="宋体" w:hAnsi="宋体" w:eastAsia="宋体" w:cs="宋体"/>
          <w:color w:val="auto"/>
          <w:spacing w:val="-1"/>
          <w:kern w:val="0"/>
          <w:sz w:val="24"/>
          <w:szCs w:val="24"/>
          <w:lang w:val="ru-RU" w:eastAsia="zh-CN" w:bidi="ar-SA"/>
        </w:rPr>
        <w:t>6.配合做好电梯、空调、消防、弱电系统、外网机房的维修保养和配电房年检工作。绿化、接待服务不属于本次招标范围。</w:t>
      </w:r>
    </w:p>
    <w:p>
      <w:pPr>
        <w:spacing w:line="590" w:lineRule="exact"/>
        <w:ind w:firstLine="476" w:firstLineChars="200"/>
        <w:rPr>
          <w:rFonts w:hint="eastAsia" w:ascii="宋体" w:hAnsi="宋体" w:eastAsia="宋体" w:cs="宋体"/>
          <w:color w:val="auto"/>
          <w:spacing w:val="-1"/>
          <w:kern w:val="0"/>
          <w:sz w:val="24"/>
          <w:szCs w:val="24"/>
          <w:lang w:val="ru-RU" w:eastAsia="zh-CN" w:bidi="ar-SA"/>
        </w:rPr>
      </w:pPr>
      <w:r>
        <w:rPr>
          <w:rFonts w:hint="eastAsia" w:ascii="宋体" w:hAnsi="宋体" w:eastAsia="宋体" w:cs="宋体"/>
          <w:color w:val="auto"/>
          <w:spacing w:val="-1"/>
          <w:kern w:val="0"/>
          <w:sz w:val="24"/>
          <w:szCs w:val="24"/>
          <w:lang w:val="ru-RU" w:eastAsia="zh-CN" w:bidi="ar-SA"/>
        </w:rPr>
        <w:t>7.设施设备情况</w:t>
      </w:r>
    </w:p>
    <w:p>
      <w:pPr>
        <w:spacing w:line="590" w:lineRule="exact"/>
        <w:ind w:firstLine="476" w:firstLineChars="200"/>
        <w:rPr>
          <w:rFonts w:hint="eastAsia" w:ascii="宋体" w:hAnsi="宋体" w:eastAsia="宋体" w:cs="宋体"/>
          <w:color w:val="auto"/>
          <w:spacing w:val="-1"/>
          <w:kern w:val="0"/>
          <w:sz w:val="24"/>
          <w:szCs w:val="24"/>
          <w:lang w:val="ru-RU" w:eastAsia="zh-CN" w:bidi="ar-SA"/>
        </w:rPr>
      </w:pPr>
      <w:r>
        <w:rPr>
          <w:rFonts w:hint="eastAsia" w:ascii="宋体" w:hAnsi="宋体" w:eastAsia="宋体" w:cs="宋体"/>
          <w:color w:val="auto"/>
          <w:spacing w:val="-1"/>
          <w:kern w:val="0"/>
          <w:sz w:val="24"/>
          <w:szCs w:val="24"/>
          <w:lang w:val="ru-RU" w:eastAsia="zh-CN" w:bidi="ar-SA"/>
        </w:rPr>
        <w:t>（1）市委机关办公区设施、设备清单（详见表1）</w:t>
      </w:r>
    </w:p>
    <w:p>
      <w:pPr>
        <w:spacing w:line="590" w:lineRule="exact"/>
        <w:ind w:firstLine="476" w:firstLineChars="200"/>
        <w:rPr>
          <w:rFonts w:hint="eastAsia" w:ascii="宋体" w:hAnsi="宋体" w:eastAsia="宋体" w:cs="宋体"/>
          <w:color w:val="auto"/>
          <w:spacing w:val="-1"/>
          <w:kern w:val="0"/>
          <w:sz w:val="24"/>
          <w:szCs w:val="24"/>
          <w:lang w:val="ru-RU" w:eastAsia="zh-CN" w:bidi="ar-SA"/>
        </w:rPr>
      </w:pPr>
      <w:r>
        <w:rPr>
          <w:rFonts w:hint="eastAsia" w:ascii="宋体" w:hAnsi="宋体" w:eastAsia="宋体" w:cs="宋体"/>
          <w:color w:val="auto"/>
          <w:spacing w:val="-1"/>
          <w:kern w:val="0"/>
          <w:sz w:val="24"/>
          <w:szCs w:val="24"/>
          <w:lang w:val="ru-RU" w:eastAsia="zh-CN" w:bidi="ar-SA"/>
        </w:rPr>
        <w:t>（2）市政府机关办公区设施、设备清单（详见表2）</w:t>
      </w:r>
    </w:p>
    <w:p>
      <w:pPr>
        <w:spacing w:line="590" w:lineRule="exact"/>
        <w:ind w:firstLine="476" w:firstLineChars="200"/>
        <w:rPr>
          <w:rFonts w:hint="eastAsia" w:ascii="宋体" w:hAnsi="宋体" w:eastAsia="宋体" w:cs="宋体"/>
          <w:color w:val="auto"/>
          <w:spacing w:val="-1"/>
          <w:kern w:val="0"/>
          <w:sz w:val="24"/>
          <w:szCs w:val="24"/>
          <w:lang w:val="ru-RU" w:eastAsia="zh-CN" w:bidi="ar-SA"/>
        </w:rPr>
      </w:pPr>
      <w:r>
        <w:rPr>
          <w:rFonts w:hint="eastAsia" w:ascii="宋体" w:hAnsi="宋体" w:eastAsia="宋体" w:cs="宋体"/>
          <w:color w:val="auto"/>
          <w:spacing w:val="-1"/>
          <w:kern w:val="0"/>
          <w:sz w:val="24"/>
          <w:szCs w:val="24"/>
          <w:lang w:val="ru-RU" w:eastAsia="zh-CN" w:bidi="ar-SA"/>
        </w:rPr>
        <w:t>（3）市人大机关办公区设施、设备清单（详见表3）</w:t>
      </w:r>
    </w:p>
    <w:p>
      <w:pPr>
        <w:spacing w:line="590" w:lineRule="exact"/>
        <w:ind w:firstLine="476" w:firstLineChars="200"/>
        <w:rPr>
          <w:rFonts w:hint="eastAsia" w:ascii="宋体" w:hAnsi="宋体" w:eastAsia="宋体" w:cs="宋体"/>
          <w:color w:val="auto"/>
          <w:spacing w:val="-1"/>
          <w:kern w:val="0"/>
          <w:sz w:val="24"/>
          <w:szCs w:val="24"/>
          <w:lang w:val="ru-RU" w:eastAsia="zh-CN" w:bidi="ar-SA"/>
        </w:rPr>
      </w:pPr>
      <w:r>
        <w:rPr>
          <w:rFonts w:hint="eastAsia" w:ascii="宋体" w:hAnsi="宋体" w:eastAsia="宋体" w:cs="宋体"/>
          <w:color w:val="auto"/>
          <w:spacing w:val="-1"/>
          <w:kern w:val="0"/>
          <w:sz w:val="24"/>
          <w:szCs w:val="24"/>
          <w:lang w:val="ru-RU" w:eastAsia="zh-CN" w:bidi="ar-SA"/>
        </w:rPr>
        <w:t>（4）市政协机关办公区设施、设备清单（详见表4）</w:t>
      </w:r>
    </w:p>
    <w:p>
      <w:pPr>
        <w:spacing w:line="590" w:lineRule="exact"/>
        <w:ind w:firstLine="476" w:firstLineChars="200"/>
        <w:rPr>
          <w:rFonts w:hint="eastAsia" w:ascii="宋体" w:hAnsi="宋体" w:eastAsia="宋体" w:cs="宋体"/>
          <w:color w:val="auto"/>
          <w:spacing w:val="-1"/>
          <w:kern w:val="0"/>
          <w:sz w:val="24"/>
          <w:szCs w:val="24"/>
          <w:lang w:val="ru-RU" w:eastAsia="zh-CN" w:bidi="ar-SA"/>
        </w:rPr>
      </w:pPr>
      <w:r>
        <w:rPr>
          <w:rFonts w:hint="eastAsia" w:ascii="宋体" w:hAnsi="宋体" w:eastAsia="宋体" w:cs="宋体"/>
          <w:color w:val="auto"/>
          <w:spacing w:val="-1"/>
          <w:kern w:val="0"/>
          <w:sz w:val="24"/>
          <w:szCs w:val="24"/>
          <w:lang w:val="ru-RU" w:eastAsia="zh-CN" w:bidi="ar-SA"/>
        </w:rPr>
        <w:t>（5）周转房设施、设备清单（详见表5）</w:t>
      </w:r>
    </w:p>
    <w:p>
      <w:pPr>
        <w:pStyle w:val="2"/>
        <w:rPr>
          <w:rFonts w:hint="eastAsia" w:ascii="宋体" w:hAnsi="宋体" w:eastAsia="宋体" w:cs="宋体"/>
          <w:color w:val="auto"/>
          <w:spacing w:val="-1"/>
          <w:kern w:val="0"/>
          <w:sz w:val="24"/>
          <w:szCs w:val="24"/>
          <w:lang w:val="ru-RU" w:eastAsia="zh-CN" w:bidi="ar-SA"/>
        </w:rPr>
        <w:sectPr>
          <w:pgSz w:w="11906" w:h="16838"/>
          <w:pgMar w:top="1440" w:right="1800" w:bottom="1440" w:left="1800" w:header="851" w:footer="992" w:gutter="0"/>
          <w:cols w:space="425" w:num="1"/>
          <w:docGrid w:type="lines" w:linePitch="312" w:charSpace="0"/>
        </w:sectPr>
      </w:pPr>
    </w:p>
    <w:p>
      <w:pPr>
        <w:rPr>
          <w:rFonts w:hint="eastAsia"/>
          <w:color w:val="auto"/>
          <w:lang w:val="ru-RU" w:eastAsia="zh-CN"/>
        </w:rPr>
      </w:pPr>
    </w:p>
    <w:p>
      <w:pPr>
        <w:snapToGrid w:val="0"/>
        <w:spacing w:line="660" w:lineRule="exact"/>
        <w:rPr>
          <w:rFonts w:ascii="Times New Roman" w:hAnsi="Times New Roman" w:eastAsia="黑体"/>
          <w:color w:val="auto"/>
          <w:kern w:val="0"/>
          <w:sz w:val="28"/>
          <w:szCs w:val="28"/>
        </w:rPr>
      </w:pPr>
      <w:r>
        <w:rPr>
          <w:rFonts w:ascii="Times New Roman" w:hAnsi="Times New Roman" w:eastAsia="黑体"/>
          <w:color w:val="auto"/>
          <w:sz w:val="28"/>
          <w:szCs w:val="28"/>
        </w:rPr>
        <w:t>表1</w:t>
      </w:r>
    </w:p>
    <w:p>
      <w:pPr>
        <w:snapToGrid w:val="0"/>
        <w:spacing w:line="660" w:lineRule="exact"/>
        <w:jc w:val="center"/>
        <w:rPr>
          <w:rFonts w:ascii="Times New Roman" w:hAnsi="Times New Roman" w:eastAsia="方正小标宋简体"/>
          <w:color w:val="auto"/>
          <w:kern w:val="0"/>
          <w:sz w:val="32"/>
          <w:szCs w:val="32"/>
        </w:rPr>
      </w:pPr>
      <w:r>
        <w:rPr>
          <w:rFonts w:ascii="Times New Roman" w:hAnsi="Times New Roman" w:eastAsia="方正小标宋简体"/>
          <w:color w:val="auto"/>
          <w:kern w:val="0"/>
          <w:sz w:val="32"/>
          <w:szCs w:val="32"/>
        </w:rPr>
        <w:t>市委机关办公区设施、设备清单</w:t>
      </w:r>
    </w:p>
    <w:p>
      <w:pPr>
        <w:snapToGrid w:val="0"/>
        <w:spacing w:line="660" w:lineRule="exact"/>
        <w:jc w:val="center"/>
        <w:rPr>
          <w:rFonts w:ascii="Times New Roman" w:hAnsi="Times New Roman" w:eastAsia="方正小标宋简体"/>
          <w:color w:val="auto"/>
          <w:kern w:val="0"/>
          <w:sz w:val="44"/>
          <w:szCs w:val="44"/>
        </w:rPr>
      </w:pPr>
    </w:p>
    <w:tbl>
      <w:tblPr>
        <w:tblStyle w:val="49"/>
        <w:tblW w:w="14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35"/>
        <w:gridCol w:w="2525"/>
        <w:gridCol w:w="7807"/>
        <w:gridCol w:w="1653"/>
        <w:gridCol w:w="65"/>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黑体"/>
                <w:color w:val="auto"/>
                <w:kern w:val="0"/>
                <w:szCs w:val="21"/>
              </w:rPr>
            </w:pPr>
            <w:r>
              <w:rPr>
                <w:rFonts w:ascii="Times New Roman" w:hAnsi="Times New Roman" w:eastAsia="黑体"/>
                <w:color w:val="auto"/>
                <w:kern w:val="0"/>
                <w:szCs w:val="21"/>
              </w:rPr>
              <w:t>序号</w:t>
            </w:r>
          </w:p>
        </w:tc>
        <w:tc>
          <w:tcPr>
            <w:tcW w:w="2560" w:type="dxa"/>
            <w:gridSpan w:val="2"/>
            <w:vAlign w:val="center"/>
          </w:tcPr>
          <w:p>
            <w:pPr>
              <w:widowControl/>
              <w:spacing w:line="240" w:lineRule="exact"/>
              <w:jc w:val="center"/>
              <w:rPr>
                <w:rFonts w:ascii="Times New Roman" w:hAnsi="Times New Roman" w:eastAsia="黑体"/>
                <w:color w:val="auto"/>
                <w:kern w:val="0"/>
                <w:szCs w:val="21"/>
              </w:rPr>
            </w:pPr>
            <w:r>
              <w:rPr>
                <w:rFonts w:ascii="Times New Roman" w:hAnsi="Times New Roman" w:eastAsia="黑体"/>
                <w:color w:val="auto"/>
                <w:kern w:val="0"/>
                <w:szCs w:val="21"/>
              </w:rPr>
              <w:t>项目名称</w:t>
            </w:r>
          </w:p>
        </w:tc>
        <w:tc>
          <w:tcPr>
            <w:tcW w:w="7807" w:type="dxa"/>
            <w:vAlign w:val="center"/>
          </w:tcPr>
          <w:p>
            <w:pPr>
              <w:widowControl/>
              <w:spacing w:line="240" w:lineRule="exact"/>
              <w:jc w:val="center"/>
              <w:rPr>
                <w:rFonts w:ascii="Times New Roman" w:hAnsi="Times New Roman" w:eastAsia="黑体"/>
                <w:color w:val="auto"/>
                <w:kern w:val="0"/>
                <w:szCs w:val="21"/>
              </w:rPr>
            </w:pPr>
            <w:r>
              <w:rPr>
                <w:rFonts w:ascii="Times New Roman" w:hAnsi="Times New Roman" w:eastAsia="黑体"/>
                <w:color w:val="auto"/>
                <w:kern w:val="0"/>
                <w:szCs w:val="21"/>
              </w:rPr>
              <w:t>项目规格、参数及内容</w:t>
            </w:r>
          </w:p>
        </w:tc>
        <w:tc>
          <w:tcPr>
            <w:tcW w:w="1653" w:type="dxa"/>
            <w:vAlign w:val="center"/>
          </w:tcPr>
          <w:p>
            <w:pPr>
              <w:widowControl/>
              <w:spacing w:line="240" w:lineRule="exact"/>
              <w:jc w:val="center"/>
              <w:rPr>
                <w:rFonts w:ascii="Times New Roman" w:hAnsi="Times New Roman" w:eastAsia="黑体"/>
                <w:color w:val="auto"/>
                <w:kern w:val="0"/>
                <w:szCs w:val="21"/>
              </w:rPr>
            </w:pPr>
            <w:r>
              <w:rPr>
                <w:rFonts w:ascii="Times New Roman" w:hAnsi="Times New Roman" w:eastAsia="黑体"/>
                <w:color w:val="auto"/>
                <w:kern w:val="0"/>
                <w:szCs w:val="21"/>
              </w:rPr>
              <w:t>数量</w:t>
            </w:r>
          </w:p>
        </w:tc>
        <w:tc>
          <w:tcPr>
            <w:tcW w:w="1500" w:type="dxa"/>
            <w:gridSpan w:val="2"/>
            <w:vAlign w:val="center"/>
          </w:tcPr>
          <w:p>
            <w:pPr>
              <w:widowControl/>
              <w:spacing w:line="240" w:lineRule="exact"/>
              <w:jc w:val="center"/>
              <w:rPr>
                <w:rFonts w:ascii="Times New Roman" w:hAnsi="Times New Roman" w:eastAsia="黑体"/>
                <w:color w:val="auto"/>
                <w:kern w:val="0"/>
                <w:szCs w:val="21"/>
              </w:rPr>
            </w:pPr>
            <w:r>
              <w:rPr>
                <w:rFonts w:ascii="Times New Roman" w:hAnsi="Times New Roman" w:eastAsia="黑体"/>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4400" w:type="dxa"/>
            <w:gridSpan w:val="7"/>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空调清单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w:t>
            </w:r>
          </w:p>
        </w:tc>
        <w:tc>
          <w:tcPr>
            <w:tcW w:w="2560" w:type="dxa"/>
            <w:gridSpan w:val="2"/>
            <w:vMerge w:val="restart"/>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空调</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挂式</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112台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w:t>
            </w:r>
          </w:p>
        </w:tc>
        <w:tc>
          <w:tcPr>
            <w:tcW w:w="2560" w:type="dxa"/>
            <w:gridSpan w:val="2"/>
            <w:vMerge w:val="continue"/>
            <w:vAlign w:val="center"/>
          </w:tcPr>
          <w:p>
            <w:pPr>
              <w:widowControl/>
              <w:spacing w:line="240" w:lineRule="exact"/>
              <w:jc w:val="center"/>
              <w:rPr>
                <w:rFonts w:ascii="Times New Roman" w:hAnsi="Times New Roman" w:eastAsia="楷体"/>
                <w:color w:val="auto"/>
                <w:kern w:val="0"/>
                <w:szCs w:val="21"/>
              </w:rPr>
            </w:pP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柜式</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110台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4400" w:type="dxa"/>
            <w:gridSpan w:val="7"/>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供配电系统设备清单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箱式高压开关站</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HXGN-12，10KV/630A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高压计量箱</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10KV/630A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高压互感器</w:t>
            </w:r>
          </w:p>
        </w:tc>
        <w:tc>
          <w:tcPr>
            <w:tcW w:w="7807" w:type="dxa"/>
            <w:vAlign w:val="center"/>
          </w:tcPr>
          <w:p>
            <w:pPr>
              <w:widowControl/>
              <w:spacing w:line="240" w:lineRule="exact"/>
              <w:jc w:val="center"/>
              <w:rPr>
                <w:rFonts w:ascii="Times New Roman" w:hAnsi="Times New Roman" w:eastAsia="楷体"/>
                <w:color w:val="auto"/>
                <w:kern w:val="0"/>
                <w:szCs w:val="21"/>
              </w:rPr>
            </w:pP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直流屏</w:t>
            </w:r>
          </w:p>
        </w:tc>
        <w:tc>
          <w:tcPr>
            <w:tcW w:w="7807" w:type="dxa"/>
            <w:vAlign w:val="center"/>
          </w:tcPr>
          <w:p>
            <w:pPr>
              <w:widowControl/>
              <w:spacing w:line="240" w:lineRule="exact"/>
              <w:jc w:val="center"/>
              <w:rPr>
                <w:rFonts w:ascii="Times New Roman" w:hAnsi="Times New Roman" w:eastAsia="楷体"/>
                <w:color w:val="auto"/>
                <w:kern w:val="0"/>
                <w:szCs w:val="21"/>
              </w:rPr>
            </w:pP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箱式变压器（油式）</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ZBW，1600KVA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8</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交流低压开关柜</w:t>
            </w:r>
          </w:p>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（手摇断路器）</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GGD01，380V/630A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9</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交流低压开关柜（断路器）</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GGD02，380V/630A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10</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交流低压开关柜（断路器）</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GGD03，380V/630A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11</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交流低压电容补偿柜</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GGJ04，380V/630A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12</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交流低压电容补偿柜</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GGJ05，380V/630A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13</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交流低压开关进线柜</w:t>
            </w:r>
          </w:p>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（断路器）</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GCS01、380V/630A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14</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交流低压开关柜（断路器）</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GCS02，380V/630A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15</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交流低压开关柜（断路器）</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GCS03，380V/630A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16</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交流低压开关柜（断路器）</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GCS04，380V/630A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17</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交流低压开关柜（断路器）</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GCS05，380V/630A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18</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交流低压开关柜（断路器）</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GCS06，380V/630A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19</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消防应急照明柜(EPS)</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JHE-H，220V/4KW、220V/8KW、220V/8KW、220V/2KW</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9台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20</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配电柜</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XXL，125A、125A、200A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21</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配电箱</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XXM，40A、32A、20A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w:t>
            </w:r>
            <w:r>
              <w:rPr>
                <w:rFonts w:hint="eastAsia" w:ascii="Times New Roman" w:hAnsi="Times New Roman" w:eastAsia="楷体"/>
                <w:color w:val="auto"/>
                <w:kern w:val="0"/>
                <w:szCs w:val="21"/>
                <w:lang w:val="en-US" w:eastAsia="zh-CN"/>
              </w:rPr>
              <w:t>5</w:t>
            </w:r>
            <w:r>
              <w:rPr>
                <w:rFonts w:ascii="Times New Roman" w:hAnsi="Times New Roman" w:eastAsia="楷体"/>
                <w:color w:val="auto"/>
                <w:kern w:val="0"/>
                <w:szCs w:val="21"/>
              </w:rPr>
              <w:t>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4400" w:type="dxa"/>
            <w:gridSpan w:val="7"/>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给排水、雨污、消防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22</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供水泵</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50GDL18-15X4、5.5kw</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23</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ABB变频一拖二控制柜</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ACS5100</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24</w:t>
            </w:r>
          </w:p>
        </w:tc>
        <w:tc>
          <w:tcPr>
            <w:tcW w:w="2560" w:type="dxa"/>
            <w:gridSpan w:val="2"/>
            <w:vMerge w:val="restart"/>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配电柜</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XM、380V/63A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25</w:t>
            </w:r>
          </w:p>
        </w:tc>
        <w:tc>
          <w:tcPr>
            <w:tcW w:w="2560" w:type="dxa"/>
            <w:gridSpan w:val="2"/>
            <w:vMerge w:val="continue"/>
            <w:vAlign w:val="center"/>
          </w:tcPr>
          <w:p>
            <w:pPr>
              <w:widowControl/>
              <w:spacing w:line="240" w:lineRule="exact"/>
              <w:jc w:val="center"/>
              <w:rPr>
                <w:rFonts w:ascii="Times New Roman" w:hAnsi="Times New Roman" w:eastAsia="楷体"/>
                <w:color w:val="auto"/>
                <w:kern w:val="0"/>
                <w:szCs w:val="21"/>
              </w:rPr>
            </w:pPr>
          </w:p>
        </w:tc>
        <w:tc>
          <w:tcPr>
            <w:tcW w:w="7807" w:type="dxa"/>
            <w:vAlign w:val="center"/>
          </w:tcPr>
          <w:p>
            <w:pPr>
              <w:widowControl/>
              <w:spacing w:line="240" w:lineRule="exact"/>
              <w:jc w:val="center"/>
              <w:rPr>
                <w:rFonts w:ascii="Times New Roman" w:hAnsi="Times New Roman" w:eastAsia="楷体"/>
                <w:color w:val="auto"/>
                <w:kern w:val="0"/>
                <w:szCs w:val="21"/>
              </w:rPr>
            </w:pPr>
          </w:p>
        </w:tc>
        <w:tc>
          <w:tcPr>
            <w:tcW w:w="1653" w:type="dxa"/>
            <w:vAlign w:val="center"/>
          </w:tcPr>
          <w:p>
            <w:pPr>
              <w:widowControl/>
              <w:spacing w:line="240" w:lineRule="exact"/>
              <w:jc w:val="center"/>
              <w:rPr>
                <w:rFonts w:ascii="Times New Roman" w:hAnsi="Times New Roman" w:eastAsia="楷体"/>
                <w:color w:val="auto"/>
                <w:kern w:val="0"/>
                <w:szCs w:val="21"/>
              </w:rPr>
            </w:pP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26</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无负压变频给水设备</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WBH-6800*1800</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27</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给水管道井</w:t>
            </w:r>
          </w:p>
        </w:tc>
        <w:tc>
          <w:tcPr>
            <w:tcW w:w="7807" w:type="dxa"/>
            <w:vAlign w:val="center"/>
          </w:tcPr>
          <w:p>
            <w:pPr>
              <w:widowControl/>
              <w:spacing w:line="240" w:lineRule="exact"/>
              <w:jc w:val="center"/>
              <w:rPr>
                <w:rFonts w:ascii="Times New Roman" w:hAnsi="Times New Roman" w:eastAsia="楷体"/>
                <w:color w:val="auto"/>
                <w:kern w:val="0"/>
                <w:szCs w:val="21"/>
              </w:rPr>
            </w:pPr>
          </w:p>
        </w:tc>
        <w:tc>
          <w:tcPr>
            <w:tcW w:w="1653" w:type="dxa"/>
            <w:vAlign w:val="center"/>
          </w:tcPr>
          <w:p>
            <w:pPr>
              <w:widowControl/>
              <w:spacing w:line="240" w:lineRule="exact"/>
              <w:jc w:val="center"/>
              <w:rPr>
                <w:rFonts w:ascii="Times New Roman" w:hAnsi="Times New Roman" w:eastAsia="楷体"/>
                <w:color w:val="auto"/>
                <w:kern w:val="0"/>
                <w:szCs w:val="21"/>
              </w:rPr>
            </w:pPr>
            <w:r>
              <w:rPr>
                <w:rFonts w:hint="eastAsia" w:ascii="Times New Roman" w:hAnsi="Times New Roman" w:eastAsia="楷体"/>
                <w:color w:val="auto"/>
                <w:kern w:val="0"/>
                <w:szCs w:val="21"/>
                <w:lang w:val="en-US" w:eastAsia="zh-CN"/>
              </w:rPr>
              <w:t>11</w:t>
            </w:r>
            <w:r>
              <w:rPr>
                <w:rFonts w:ascii="Times New Roman" w:hAnsi="Times New Roman" w:eastAsia="楷体"/>
                <w:color w:val="auto"/>
                <w:kern w:val="0"/>
                <w:szCs w:val="21"/>
              </w:rPr>
              <w:t>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28</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污水泵</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QDX1.5，1.5KW</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8台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29</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雨水井</w:t>
            </w:r>
          </w:p>
        </w:tc>
        <w:tc>
          <w:tcPr>
            <w:tcW w:w="7807" w:type="dxa"/>
            <w:vAlign w:val="center"/>
          </w:tcPr>
          <w:p>
            <w:pPr>
              <w:widowControl/>
              <w:spacing w:line="240" w:lineRule="exact"/>
              <w:jc w:val="center"/>
              <w:rPr>
                <w:rFonts w:ascii="Times New Roman" w:hAnsi="Times New Roman" w:eastAsia="楷体"/>
                <w:color w:val="auto"/>
                <w:kern w:val="0"/>
                <w:szCs w:val="21"/>
              </w:rPr>
            </w:pP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11个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30</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污水井</w:t>
            </w:r>
          </w:p>
        </w:tc>
        <w:tc>
          <w:tcPr>
            <w:tcW w:w="7807" w:type="dxa"/>
            <w:vAlign w:val="center"/>
          </w:tcPr>
          <w:p>
            <w:pPr>
              <w:widowControl/>
              <w:spacing w:line="240" w:lineRule="exact"/>
              <w:jc w:val="center"/>
              <w:rPr>
                <w:rFonts w:ascii="Times New Roman" w:hAnsi="Times New Roman" w:eastAsia="楷体"/>
                <w:color w:val="auto"/>
                <w:kern w:val="0"/>
                <w:szCs w:val="21"/>
              </w:rPr>
            </w:pP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16个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31</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水鼻子</w:t>
            </w:r>
          </w:p>
        </w:tc>
        <w:tc>
          <w:tcPr>
            <w:tcW w:w="7807" w:type="dxa"/>
            <w:vAlign w:val="center"/>
          </w:tcPr>
          <w:p>
            <w:pPr>
              <w:widowControl/>
              <w:spacing w:line="240" w:lineRule="exact"/>
              <w:jc w:val="center"/>
              <w:rPr>
                <w:rFonts w:ascii="Times New Roman" w:hAnsi="Times New Roman" w:eastAsia="楷体"/>
                <w:color w:val="auto"/>
                <w:kern w:val="0"/>
                <w:szCs w:val="21"/>
              </w:rPr>
            </w:pP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71个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32</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化粪池</w:t>
            </w:r>
          </w:p>
        </w:tc>
        <w:tc>
          <w:tcPr>
            <w:tcW w:w="7807" w:type="dxa"/>
            <w:vAlign w:val="center"/>
          </w:tcPr>
          <w:p>
            <w:pPr>
              <w:widowControl/>
              <w:spacing w:line="240" w:lineRule="exact"/>
              <w:jc w:val="center"/>
              <w:rPr>
                <w:rFonts w:ascii="Times New Roman" w:hAnsi="Times New Roman" w:eastAsia="楷体"/>
                <w:color w:val="auto"/>
                <w:kern w:val="0"/>
                <w:szCs w:val="21"/>
              </w:rPr>
            </w:pP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33</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集水坑</w:t>
            </w:r>
          </w:p>
        </w:tc>
        <w:tc>
          <w:tcPr>
            <w:tcW w:w="7807" w:type="dxa"/>
            <w:vAlign w:val="center"/>
          </w:tcPr>
          <w:p>
            <w:pPr>
              <w:widowControl/>
              <w:spacing w:line="240" w:lineRule="exact"/>
              <w:jc w:val="center"/>
              <w:rPr>
                <w:rFonts w:ascii="Times New Roman" w:hAnsi="Times New Roman" w:eastAsia="楷体"/>
                <w:color w:val="auto"/>
                <w:kern w:val="0"/>
                <w:szCs w:val="21"/>
              </w:rPr>
            </w:pP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34</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消火栓泵</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XBCB/30-1000LX4，380V/87KW</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35</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喷淋泵</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XBCB/30-1000LX5，380V/87kw</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36</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动力配电柜</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XXL，200A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37</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变频控制装置</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SFR-M</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38</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湿式报警阀</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KXT，DN150，1.6MPa，含压力开关、警铃、延时器等</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hint="eastAsia" w:ascii="Times New Roman" w:hAnsi="Times New Roman" w:eastAsia="楷体"/>
                <w:color w:val="auto"/>
                <w:kern w:val="0"/>
                <w:szCs w:val="21"/>
                <w:lang w:val="en-US" w:eastAsia="zh-CN"/>
              </w:rPr>
              <w:t>8</w:t>
            </w:r>
            <w:r>
              <w:rPr>
                <w:rFonts w:ascii="Times New Roman" w:hAnsi="Times New Roman" w:eastAsia="楷体"/>
                <w:color w:val="auto"/>
                <w:kern w:val="0"/>
                <w:szCs w:val="21"/>
              </w:rPr>
              <w:t>套</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39</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消防水池</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200立方</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40</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消防补水泵</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Y100L-2，3KW</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41</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消防补水箱</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20m3</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42</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稳压罐</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QKYZ(W)L800，设计压力1MPa，4L/S，0.83m3</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hint="eastAsia" w:ascii="Times New Roman" w:hAnsi="Times New Roman" w:eastAsia="楷体"/>
                <w:color w:val="auto"/>
                <w:kern w:val="0"/>
                <w:szCs w:val="21"/>
                <w:lang w:val="en-US" w:eastAsia="zh-CN"/>
              </w:rPr>
              <w:t>2</w:t>
            </w:r>
            <w:r>
              <w:rPr>
                <w:rFonts w:ascii="Times New Roman" w:hAnsi="Times New Roman" w:eastAsia="楷体"/>
                <w:color w:val="auto"/>
                <w:kern w:val="0"/>
                <w:szCs w:val="21"/>
              </w:rPr>
              <w:t>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43</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消防控制显示装置</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JC-EFM01</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44</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火灾报警控制器</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JB-3208G，含消防电话总控、主控消防泵等设备</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1套</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45</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排烟风机</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5.5kw</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46</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正压送风机</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11kw</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hint="eastAsia" w:ascii="Times New Roman" w:hAnsi="Times New Roman" w:eastAsia="楷体"/>
                <w:color w:val="auto"/>
                <w:kern w:val="0"/>
                <w:szCs w:val="21"/>
                <w:lang w:val="en-US" w:eastAsia="zh-CN"/>
              </w:rPr>
              <w:t>4</w:t>
            </w:r>
            <w:r>
              <w:rPr>
                <w:rFonts w:ascii="Times New Roman" w:hAnsi="Times New Roman" w:eastAsia="楷体"/>
                <w:color w:val="auto"/>
                <w:kern w:val="0"/>
                <w:szCs w:val="21"/>
              </w:rPr>
              <w:t>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47</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七氟丙烷灭火系统</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HFC-227ea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1套</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48</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室内消火栓箱</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SG21A65，每套含1只水枪，1条水袋</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93套</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49</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室外消火栓</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DN150</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hint="eastAsia" w:ascii="Times New Roman" w:hAnsi="Times New Roman" w:eastAsia="楷体"/>
                <w:color w:val="auto"/>
                <w:kern w:val="0"/>
                <w:szCs w:val="21"/>
                <w:lang w:val="en-US" w:eastAsia="zh-CN"/>
              </w:rPr>
              <w:t>6</w:t>
            </w:r>
            <w:r>
              <w:rPr>
                <w:rFonts w:ascii="Times New Roman" w:hAnsi="Times New Roman" w:eastAsia="楷体"/>
                <w:color w:val="auto"/>
                <w:kern w:val="0"/>
                <w:szCs w:val="21"/>
              </w:rPr>
              <w:t>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50</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安全信号阀</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DN100、DN50</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w:t>
            </w:r>
            <w:r>
              <w:rPr>
                <w:rFonts w:hint="eastAsia" w:ascii="Times New Roman" w:hAnsi="Times New Roman" w:eastAsia="楷体"/>
                <w:color w:val="auto"/>
                <w:kern w:val="0"/>
                <w:szCs w:val="21"/>
                <w:lang w:val="en-US" w:eastAsia="zh-CN"/>
              </w:rPr>
              <w:t>3</w:t>
            </w:r>
            <w:r>
              <w:rPr>
                <w:rFonts w:ascii="Times New Roman" w:hAnsi="Times New Roman" w:eastAsia="楷体"/>
                <w:color w:val="auto"/>
                <w:kern w:val="0"/>
                <w:szCs w:val="21"/>
              </w:rPr>
              <w:t>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51</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水流指示器</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DN100、DN50</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52</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喷头</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DN15</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hint="eastAsia" w:ascii="Times New Roman" w:hAnsi="Times New Roman" w:eastAsia="楷体"/>
                <w:color w:val="auto"/>
                <w:kern w:val="0"/>
                <w:szCs w:val="21"/>
                <w:lang w:val="en-US" w:eastAsia="zh-CN"/>
              </w:rPr>
              <w:t>952</w:t>
            </w:r>
            <w:r>
              <w:rPr>
                <w:rFonts w:ascii="Times New Roman" w:hAnsi="Times New Roman" w:eastAsia="楷体"/>
                <w:color w:val="auto"/>
                <w:kern w:val="0"/>
                <w:szCs w:val="21"/>
              </w:rPr>
              <w:t>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53</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减压阀组</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DN150</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4套</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54</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消防水泵接合器</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DN150</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55</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点型光电感烟探测器</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Fs1015</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27</w:t>
            </w:r>
            <w:r>
              <w:rPr>
                <w:rFonts w:hint="eastAsia" w:ascii="Times New Roman" w:hAnsi="Times New Roman" w:eastAsia="楷体"/>
                <w:color w:val="auto"/>
                <w:kern w:val="0"/>
                <w:szCs w:val="21"/>
                <w:lang w:val="en-US" w:eastAsia="zh-CN"/>
              </w:rPr>
              <w:t>6</w:t>
            </w:r>
            <w:r>
              <w:rPr>
                <w:rFonts w:ascii="Times New Roman" w:hAnsi="Times New Roman" w:eastAsia="楷体"/>
                <w:color w:val="auto"/>
                <w:kern w:val="0"/>
                <w:szCs w:val="21"/>
              </w:rPr>
              <w:t>套</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56</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吸顶式扬声器</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FSN-FG01</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48套</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57</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手动报警按钮</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LD2000E-A</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67套</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58</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声光报警器</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AFN-Fs10</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41只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59</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编码型信号单输入模块</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AFN-Fs1229</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27只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60</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单输入单输出控制模块</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AFN-Fs1230</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71只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61</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总线隔离模块</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AFN-M1207</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62</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消防电话分机（带座）</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AFN-FH06</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63</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消防电话分机（移动式）</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AFN-FH03</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64</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灭火器</w:t>
            </w:r>
          </w:p>
        </w:tc>
        <w:tc>
          <w:tcPr>
            <w:tcW w:w="7807" w:type="dxa"/>
            <w:vAlign w:val="center"/>
          </w:tcPr>
          <w:p>
            <w:pPr>
              <w:widowControl/>
              <w:spacing w:line="240" w:lineRule="exact"/>
              <w:jc w:val="center"/>
              <w:rPr>
                <w:rFonts w:ascii="Times New Roman" w:hAnsi="Times New Roman" w:eastAsia="楷体"/>
                <w:color w:val="auto"/>
                <w:kern w:val="0"/>
                <w:szCs w:val="21"/>
              </w:rPr>
            </w:pP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327只</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4400" w:type="dxa"/>
            <w:gridSpan w:val="7"/>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65</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电梯</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型号：MAX；额定载重：1000kg；额定速度：1.75m/s；制造方式：并联；制造编号：12226533002；生产日期：2012年12月；</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66</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电梯控制柜</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型号：MC；形式：微机控制；制造编号：12226533002；生产日期：2012年12月；</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2组</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67</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外挂电梯</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型号：WSC-100-175-A;速度：1.75m/s；载重量：1000KG;出厂日期：2017年9月</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2台</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4400" w:type="dxa"/>
            <w:gridSpan w:val="7"/>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监控设备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68</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监控设备</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品牌： 海康威视</w:t>
            </w: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1套</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4400" w:type="dxa"/>
            <w:gridSpan w:val="7"/>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道闸、伸缩门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69</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伸缩门（大门）</w:t>
            </w:r>
          </w:p>
        </w:tc>
        <w:tc>
          <w:tcPr>
            <w:tcW w:w="7807" w:type="dxa"/>
            <w:vAlign w:val="center"/>
          </w:tcPr>
          <w:p>
            <w:pPr>
              <w:widowControl/>
              <w:spacing w:line="240" w:lineRule="exact"/>
              <w:jc w:val="center"/>
              <w:rPr>
                <w:rFonts w:ascii="Times New Roman" w:hAnsi="Times New Roman" w:eastAsia="楷体"/>
                <w:color w:val="auto"/>
                <w:kern w:val="0"/>
                <w:szCs w:val="21"/>
              </w:rPr>
            </w:pP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1道</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70</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伸缩门（侧门）</w:t>
            </w:r>
          </w:p>
        </w:tc>
        <w:tc>
          <w:tcPr>
            <w:tcW w:w="7807" w:type="dxa"/>
            <w:vAlign w:val="center"/>
          </w:tcPr>
          <w:p>
            <w:pPr>
              <w:widowControl/>
              <w:spacing w:line="240" w:lineRule="exact"/>
              <w:jc w:val="center"/>
              <w:rPr>
                <w:rFonts w:ascii="Times New Roman" w:hAnsi="Times New Roman" w:eastAsia="楷体"/>
                <w:color w:val="auto"/>
                <w:kern w:val="0"/>
                <w:szCs w:val="21"/>
              </w:rPr>
            </w:pP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1道</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0"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71</w:t>
            </w:r>
          </w:p>
        </w:tc>
        <w:tc>
          <w:tcPr>
            <w:tcW w:w="2560"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道闸</w:t>
            </w:r>
          </w:p>
        </w:tc>
        <w:tc>
          <w:tcPr>
            <w:tcW w:w="7807" w:type="dxa"/>
            <w:vAlign w:val="center"/>
          </w:tcPr>
          <w:p>
            <w:pPr>
              <w:widowControl/>
              <w:spacing w:line="240" w:lineRule="exact"/>
              <w:jc w:val="center"/>
              <w:rPr>
                <w:rFonts w:ascii="Times New Roman" w:hAnsi="Times New Roman" w:eastAsia="楷体"/>
                <w:color w:val="auto"/>
                <w:kern w:val="0"/>
                <w:szCs w:val="21"/>
              </w:rPr>
            </w:pPr>
          </w:p>
        </w:tc>
        <w:tc>
          <w:tcPr>
            <w:tcW w:w="1653"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4道</w:t>
            </w:r>
          </w:p>
        </w:tc>
        <w:tc>
          <w:tcPr>
            <w:tcW w:w="1500" w:type="dxa"/>
            <w:gridSpan w:val="2"/>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4400" w:type="dxa"/>
            <w:gridSpan w:val="7"/>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照明系统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5"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72</w:t>
            </w:r>
          </w:p>
        </w:tc>
        <w:tc>
          <w:tcPr>
            <w:tcW w:w="2525"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高杆灯</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65W</w:t>
            </w:r>
          </w:p>
        </w:tc>
        <w:tc>
          <w:tcPr>
            <w:tcW w:w="1718"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8盏</w:t>
            </w:r>
          </w:p>
        </w:tc>
        <w:tc>
          <w:tcPr>
            <w:tcW w:w="1435" w:type="dxa"/>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5"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73</w:t>
            </w:r>
          </w:p>
        </w:tc>
        <w:tc>
          <w:tcPr>
            <w:tcW w:w="2525"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草坪灯</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7W</w:t>
            </w:r>
          </w:p>
        </w:tc>
        <w:tc>
          <w:tcPr>
            <w:tcW w:w="1718"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14盏</w:t>
            </w:r>
          </w:p>
        </w:tc>
        <w:tc>
          <w:tcPr>
            <w:tcW w:w="1435" w:type="dxa"/>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5"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74</w:t>
            </w:r>
          </w:p>
        </w:tc>
        <w:tc>
          <w:tcPr>
            <w:tcW w:w="2525"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格珊灯</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T8-18W</w:t>
            </w:r>
          </w:p>
        </w:tc>
        <w:tc>
          <w:tcPr>
            <w:tcW w:w="1718"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w:t>
            </w:r>
            <w:r>
              <w:rPr>
                <w:rFonts w:hint="eastAsia" w:ascii="Times New Roman" w:hAnsi="Times New Roman" w:eastAsia="楷体"/>
                <w:color w:val="auto"/>
                <w:kern w:val="0"/>
                <w:szCs w:val="21"/>
                <w:lang w:val="en-US" w:eastAsia="zh-CN"/>
              </w:rPr>
              <w:t>91</w:t>
            </w:r>
            <w:r>
              <w:rPr>
                <w:rFonts w:ascii="Times New Roman" w:hAnsi="Times New Roman" w:eastAsia="楷体"/>
                <w:color w:val="auto"/>
                <w:kern w:val="0"/>
                <w:szCs w:val="21"/>
              </w:rPr>
              <w:t>盏</w:t>
            </w:r>
          </w:p>
        </w:tc>
        <w:tc>
          <w:tcPr>
            <w:tcW w:w="1435" w:type="dxa"/>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5"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75</w:t>
            </w:r>
          </w:p>
        </w:tc>
        <w:tc>
          <w:tcPr>
            <w:tcW w:w="2525"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节能灯</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7W、23W</w:t>
            </w:r>
          </w:p>
        </w:tc>
        <w:tc>
          <w:tcPr>
            <w:tcW w:w="1718"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790盏</w:t>
            </w:r>
          </w:p>
        </w:tc>
        <w:tc>
          <w:tcPr>
            <w:tcW w:w="1435" w:type="dxa"/>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5"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76</w:t>
            </w:r>
          </w:p>
        </w:tc>
        <w:tc>
          <w:tcPr>
            <w:tcW w:w="2525"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一体灯</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T5-18W</w:t>
            </w:r>
          </w:p>
        </w:tc>
        <w:tc>
          <w:tcPr>
            <w:tcW w:w="1718"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w:t>
            </w:r>
            <w:r>
              <w:rPr>
                <w:rFonts w:hint="eastAsia" w:ascii="Times New Roman" w:hAnsi="Times New Roman" w:eastAsia="楷体"/>
                <w:color w:val="auto"/>
                <w:kern w:val="0"/>
                <w:szCs w:val="21"/>
                <w:lang w:val="en-US" w:eastAsia="zh-CN"/>
              </w:rPr>
              <w:t>43</w:t>
            </w:r>
            <w:r>
              <w:rPr>
                <w:rFonts w:ascii="Times New Roman" w:hAnsi="Times New Roman" w:eastAsia="楷体"/>
                <w:color w:val="auto"/>
                <w:kern w:val="0"/>
                <w:szCs w:val="21"/>
              </w:rPr>
              <w:t>盏</w:t>
            </w:r>
          </w:p>
        </w:tc>
        <w:tc>
          <w:tcPr>
            <w:tcW w:w="1435" w:type="dxa"/>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5"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77</w:t>
            </w:r>
          </w:p>
        </w:tc>
        <w:tc>
          <w:tcPr>
            <w:tcW w:w="2525"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双灯管日光灯</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hint="eastAsia" w:ascii="Times New Roman" w:hAnsi="Times New Roman" w:eastAsia="楷体"/>
                <w:color w:val="auto"/>
                <w:kern w:val="0"/>
                <w:szCs w:val="21"/>
                <w:lang w:val="en-US" w:eastAsia="zh-CN"/>
              </w:rPr>
              <w:t>LED</w:t>
            </w:r>
            <w:r>
              <w:rPr>
                <w:rFonts w:ascii="Times New Roman" w:hAnsi="Times New Roman" w:eastAsia="楷体"/>
                <w:color w:val="auto"/>
                <w:kern w:val="0"/>
                <w:szCs w:val="21"/>
              </w:rPr>
              <w:t>T8-</w:t>
            </w:r>
            <w:r>
              <w:rPr>
                <w:rFonts w:hint="eastAsia" w:ascii="Times New Roman" w:hAnsi="Times New Roman" w:eastAsia="楷体"/>
                <w:color w:val="auto"/>
                <w:kern w:val="0"/>
                <w:szCs w:val="21"/>
                <w:lang w:val="en-US" w:eastAsia="zh-CN"/>
              </w:rPr>
              <w:t>15</w:t>
            </w:r>
            <w:r>
              <w:rPr>
                <w:rFonts w:ascii="Times New Roman" w:hAnsi="Times New Roman" w:eastAsia="楷体"/>
                <w:color w:val="auto"/>
                <w:kern w:val="0"/>
                <w:szCs w:val="21"/>
              </w:rPr>
              <w:t>w</w:t>
            </w:r>
          </w:p>
        </w:tc>
        <w:tc>
          <w:tcPr>
            <w:tcW w:w="1718"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76盏</w:t>
            </w:r>
          </w:p>
        </w:tc>
        <w:tc>
          <w:tcPr>
            <w:tcW w:w="1435" w:type="dxa"/>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5"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78</w:t>
            </w:r>
          </w:p>
        </w:tc>
        <w:tc>
          <w:tcPr>
            <w:tcW w:w="2525"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平板灯</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LED-4</w:t>
            </w:r>
            <w:r>
              <w:rPr>
                <w:rFonts w:hint="eastAsia" w:ascii="Times New Roman" w:hAnsi="Times New Roman" w:eastAsia="楷体"/>
                <w:color w:val="auto"/>
                <w:kern w:val="0"/>
                <w:szCs w:val="21"/>
                <w:lang w:val="en-US" w:eastAsia="zh-CN"/>
              </w:rPr>
              <w:t>8</w:t>
            </w:r>
            <w:r>
              <w:rPr>
                <w:rFonts w:ascii="Times New Roman" w:hAnsi="Times New Roman" w:eastAsia="楷体"/>
                <w:color w:val="auto"/>
                <w:kern w:val="0"/>
                <w:szCs w:val="21"/>
              </w:rPr>
              <w:t>W</w:t>
            </w:r>
          </w:p>
        </w:tc>
        <w:tc>
          <w:tcPr>
            <w:tcW w:w="1718"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w:t>
            </w:r>
            <w:r>
              <w:rPr>
                <w:rFonts w:hint="eastAsia" w:ascii="Times New Roman" w:hAnsi="Times New Roman" w:eastAsia="楷体"/>
                <w:color w:val="auto"/>
                <w:kern w:val="0"/>
                <w:szCs w:val="21"/>
                <w:lang w:val="en-US" w:eastAsia="zh-CN"/>
              </w:rPr>
              <w:t>9</w:t>
            </w:r>
            <w:r>
              <w:rPr>
                <w:rFonts w:ascii="Times New Roman" w:hAnsi="Times New Roman" w:eastAsia="楷体"/>
                <w:color w:val="auto"/>
                <w:kern w:val="0"/>
                <w:szCs w:val="21"/>
              </w:rPr>
              <w:t>盏</w:t>
            </w:r>
          </w:p>
        </w:tc>
        <w:tc>
          <w:tcPr>
            <w:tcW w:w="1435" w:type="dxa"/>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5"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79</w:t>
            </w:r>
          </w:p>
        </w:tc>
        <w:tc>
          <w:tcPr>
            <w:tcW w:w="2525"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筒灯</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LED-9W</w:t>
            </w:r>
          </w:p>
        </w:tc>
        <w:tc>
          <w:tcPr>
            <w:tcW w:w="1718"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185盏</w:t>
            </w:r>
          </w:p>
        </w:tc>
        <w:tc>
          <w:tcPr>
            <w:tcW w:w="1435" w:type="dxa"/>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5"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80</w:t>
            </w:r>
          </w:p>
        </w:tc>
        <w:tc>
          <w:tcPr>
            <w:tcW w:w="2525"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筒灯</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LED-18W、LED-3W、LED-16W</w:t>
            </w:r>
          </w:p>
        </w:tc>
        <w:tc>
          <w:tcPr>
            <w:tcW w:w="1718" w:type="dxa"/>
            <w:gridSpan w:val="2"/>
            <w:vAlign w:val="center"/>
          </w:tcPr>
          <w:p>
            <w:pPr>
              <w:widowControl/>
              <w:spacing w:line="240" w:lineRule="exact"/>
              <w:jc w:val="center"/>
              <w:rPr>
                <w:rFonts w:ascii="Times New Roman" w:hAnsi="Times New Roman" w:eastAsia="楷体"/>
                <w:color w:val="auto"/>
                <w:kern w:val="0"/>
                <w:szCs w:val="21"/>
              </w:rPr>
            </w:pPr>
            <w:r>
              <w:rPr>
                <w:rFonts w:hint="eastAsia" w:ascii="Times New Roman" w:hAnsi="Times New Roman" w:eastAsia="楷体"/>
                <w:color w:val="auto"/>
                <w:kern w:val="0"/>
                <w:szCs w:val="21"/>
                <w:lang w:val="en-US" w:eastAsia="zh-CN"/>
              </w:rPr>
              <w:t>90</w:t>
            </w:r>
            <w:r>
              <w:rPr>
                <w:rFonts w:ascii="Times New Roman" w:hAnsi="Times New Roman" w:eastAsia="楷体"/>
                <w:color w:val="auto"/>
                <w:kern w:val="0"/>
                <w:szCs w:val="21"/>
              </w:rPr>
              <w:t>盏</w:t>
            </w:r>
          </w:p>
        </w:tc>
        <w:tc>
          <w:tcPr>
            <w:tcW w:w="1435" w:type="dxa"/>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5"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81</w:t>
            </w:r>
          </w:p>
        </w:tc>
        <w:tc>
          <w:tcPr>
            <w:tcW w:w="2525"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射灯</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35W</w:t>
            </w:r>
          </w:p>
        </w:tc>
        <w:tc>
          <w:tcPr>
            <w:tcW w:w="1718"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35盏</w:t>
            </w:r>
          </w:p>
        </w:tc>
        <w:tc>
          <w:tcPr>
            <w:tcW w:w="1435" w:type="dxa"/>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5"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82</w:t>
            </w:r>
          </w:p>
        </w:tc>
        <w:tc>
          <w:tcPr>
            <w:tcW w:w="2525"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灯珠</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12V-35W</w:t>
            </w:r>
          </w:p>
        </w:tc>
        <w:tc>
          <w:tcPr>
            <w:tcW w:w="1718"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12盏</w:t>
            </w:r>
          </w:p>
        </w:tc>
        <w:tc>
          <w:tcPr>
            <w:tcW w:w="1435" w:type="dxa"/>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5"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83</w:t>
            </w:r>
          </w:p>
        </w:tc>
        <w:tc>
          <w:tcPr>
            <w:tcW w:w="2525"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U形灯</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36W</w:t>
            </w:r>
          </w:p>
        </w:tc>
        <w:tc>
          <w:tcPr>
            <w:tcW w:w="1718"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12盏</w:t>
            </w:r>
          </w:p>
        </w:tc>
        <w:tc>
          <w:tcPr>
            <w:tcW w:w="1435" w:type="dxa"/>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5"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84</w:t>
            </w:r>
          </w:p>
        </w:tc>
        <w:tc>
          <w:tcPr>
            <w:tcW w:w="2525"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吸顶灯</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LED-4W</w:t>
            </w:r>
          </w:p>
        </w:tc>
        <w:tc>
          <w:tcPr>
            <w:tcW w:w="1718"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20盏</w:t>
            </w:r>
          </w:p>
        </w:tc>
        <w:tc>
          <w:tcPr>
            <w:tcW w:w="1435" w:type="dxa"/>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4400" w:type="dxa"/>
            <w:gridSpan w:val="7"/>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会议音响系统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5"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85</w:t>
            </w:r>
          </w:p>
        </w:tc>
        <w:tc>
          <w:tcPr>
            <w:tcW w:w="2525"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会议音箱设备</w:t>
            </w:r>
          </w:p>
        </w:tc>
        <w:tc>
          <w:tcPr>
            <w:tcW w:w="7807" w:type="dxa"/>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1号、2号</w:t>
            </w:r>
            <w:r>
              <w:rPr>
                <w:rFonts w:hint="eastAsia" w:ascii="Times New Roman" w:hAnsi="Times New Roman" w:eastAsia="楷体"/>
                <w:color w:val="auto"/>
                <w:kern w:val="0"/>
                <w:szCs w:val="21"/>
              </w:rPr>
              <w:t>、</w:t>
            </w:r>
            <w:r>
              <w:rPr>
                <w:rFonts w:ascii="Times New Roman" w:hAnsi="Times New Roman" w:eastAsia="楷体"/>
                <w:color w:val="auto"/>
                <w:kern w:val="0"/>
                <w:szCs w:val="21"/>
              </w:rPr>
              <w:t>3号会议室，大礼堂</w:t>
            </w:r>
          </w:p>
        </w:tc>
        <w:tc>
          <w:tcPr>
            <w:tcW w:w="1718" w:type="dxa"/>
            <w:gridSpan w:val="2"/>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4套</w:t>
            </w:r>
          </w:p>
        </w:tc>
        <w:tc>
          <w:tcPr>
            <w:tcW w:w="1435" w:type="dxa"/>
            <w:vAlign w:val="center"/>
          </w:tcPr>
          <w:p>
            <w:pPr>
              <w:widowControl/>
              <w:spacing w:line="240" w:lineRule="exact"/>
              <w:jc w:val="center"/>
              <w:rPr>
                <w:rFonts w:ascii="Times New Roman" w:hAnsi="Times New Roman" w:eastAsia="楷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4400" w:type="dxa"/>
            <w:gridSpan w:val="7"/>
            <w:vAlign w:val="center"/>
          </w:tcPr>
          <w:p>
            <w:pPr>
              <w:widowControl/>
              <w:spacing w:line="240" w:lineRule="exact"/>
              <w:jc w:val="center"/>
              <w:rPr>
                <w:rFonts w:hint="default" w:ascii="Times New Roman" w:hAnsi="Times New Roman" w:eastAsia="楷体"/>
                <w:color w:val="auto"/>
                <w:kern w:val="0"/>
                <w:szCs w:val="21"/>
                <w:lang w:val="en-US" w:eastAsia="zh-CN"/>
              </w:rPr>
            </w:pPr>
            <w:r>
              <w:rPr>
                <w:rFonts w:hint="eastAsia" w:ascii="Times New Roman" w:hAnsi="Times New Roman" w:eastAsia="楷体"/>
                <w:color w:val="auto"/>
                <w:kern w:val="0"/>
                <w:szCs w:val="21"/>
                <w:lang w:val="en-US" w:eastAsia="zh-CN"/>
              </w:rPr>
              <w:t>发电设备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15" w:type="dxa"/>
            <w:gridSpan w:val="2"/>
            <w:vAlign w:val="center"/>
          </w:tcPr>
          <w:p>
            <w:pPr>
              <w:widowControl/>
              <w:spacing w:line="240" w:lineRule="exact"/>
              <w:jc w:val="center"/>
              <w:rPr>
                <w:rFonts w:hint="default" w:ascii="Times New Roman" w:hAnsi="Times New Roman" w:eastAsia="楷体"/>
                <w:color w:val="auto"/>
                <w:kern w:val="0"/>
                <w:szCs w:val="21"/>
                <w:lang w:val="en-US" w:eastAsia="zh-CN"/>
              </w:rPr>
            </w:pPr>
            <w:r>
              <w:rPr>
                <w:rFonts w:hint="eastAsia" w:ascii="Times New Roman" w:hAnsi="Times New Roman" w:eastAsia="楷体"/>
                <w:color w:val="auto"/>
                <w:kern w:val="0"/>
                <w:szCs w:val="21"/>
                <w:lang w:val="en-US" w:eastAsia="zh-CN"/>
              </w:rPr>
              <w:t>86</w:t>
            </w:r>
          </w:p>
        </w:tc>
        <w:tc>
          <w:tcPr>
            <w:tcW w:w="2525" w:type="dxa"/>
            <w:vAlign w:val="center"/>
          </w:tcPr>
          <w:p>
            <w:pPr>
              <w:widowControl/>
              <w:spacing w:line="240" w:lineRule="exact"/>
              <w:jc w:val="center"/>
              <w:rPr>
                <w:rFonts w:hint="default" w:ascii="Times New Roman" w:hAnsi="Times New Roman" w:eastAsia="楷体"/>
                <w:color w:val="auto"/>
                <w:kern w:val="0"/>
                <w:szCs w:val="21"/>
                <w:lang w:val="en-US" w:eastAsia="zh-CN"/>
              </w:rPr>
            </w:pPr>
            <w:r>
              <w:rPr>
                <w:rFonts w:hint="eastAsia" w:ascii="Times New Roman" w:hAnsi="Times New Roman" w:eastAsia="楷体"/>
                <w:color w:val="auto"/>
                <w:kern w:val="0"/>
                <w:szCs w:val="21"/>
                <w:lang w:val="en-US" w:eastAsia="zh-CN"/>
              </w:rPr>
              <w:t>太阳能光伏发电设备</w:t>
            </w:r>
          </w:p>
        </w:tc>
        <w:tc>
          <w:tcPr>
            <w:tcW w:w="7807" w:type="dxa"/>
            <w:vAlign w:val="center"/>
          </w:tcPr>
          <w:p>
            <w:pPr>
              <w:widowControl/>
              <w:spacing w:line="240" w:lineRule="exact"/>
              <w:jc w:val="center"/>
              <w:rPr>
                <w:rFonts w:hint="default" w:ascii="Times New Roman" w:hAnsi="Times New Roman" w:eastAsia="楷体"/>
                <w:color w:val="auto"/>
                <w:kern w:val="0"/>
                <w:szCs w:val="21"/>
                <w:lang w:val="en-US" w:eastAsia="zh-CN"/>
              </w:rPr>
            </w:pPr>
            <w:r>
              <w:rPr>
                <w:rFonts w:hint="eastAsia" w:ascii="Times New Roman" w:hAnsi="Times New Roman" w:eastAsia="楷体"/>
                <w:color w:val="auto"/>
                <w:kern w:val="0"/>
                <w:szCs w:val="21"/>
                <w:lang w:val="en-US" w:eastAsia="zh-CN"/>
              </w:rPr>
              <w:t>20千瓦光伏发电机组</w:t>
            </w:r>
          </w:p>
        </w:tc>
        <w:tc>
          <w:tcPr>
            <w:tcW w:w="1718" w:type="dxa"/>
            <w:gridSpan w:val="2"/>
            <w:vAlign w:val="center"/>
          </w:tcPr>
          <w:p>
            <w:pPr>
              <w:widowControl/>
              <w:spacing w:line="240" w:lineRule="exact"/>
              <w:jc w:val="center"/>
              <w:rPr>
                <w:rFonts w:hint="default" w:ascii="Times New Roman" w:hAnsi="Times New Roman" w:eastAsia="楷体"/>
                <w:color w:val="auto"/>
                <w:kern w:val="0"/>
                <w:szCs w:val="21"/>
                <w:lang w:val="en-US" w:eastAsia="zh-CN"/>
              </w:rPr>
            </w:pPr>
            <w:r>
              <w:rPr>
                <w:rFonts w:hint="eastAsia" w:ascii="Times New Roman" w:hAnsi="Times New Roman" w:eastAsia="楷体"/>
                <w:color w:val="auto"/>
                <w:kern w:val="0"/>
                <w:szCs w:val="21"/>
                <w:lang w:val="en-US" w:eastAsia="zh-CN"/>
              </w:rPr>
              <w:t>1套</w:t>
            </w:r>
          </w:p>
        </w:tc>
        <w:tc>
          <w:tcPr>
            <w:tcW w:w="1435" w:type="dxa"/>
            <w:vAlign w:val="center"/>
          </w:tcPr>
          <w:p>
            <w:pPr>
              <w:widowControl/>
              <w:spacing w:line="240" w:lineRule="exact"/>
              <w:jc w:val="center"/>
              <w:rPr>
                <w:rFonts w:ascii="Times New Roman" w:hAnsi="Times New Roman" w:eastAsia="楷体"/>
                <w:color w:val="auto"/>
                <w:kern w:val="0"/>
                <w:szCs w:val="21"/>
              </w:rPr>
            </w:pPr>
          </w:p>
        </w:tc>
      </w:tr>
    </w:tbl>
    <w:p>
      <w:pPr>
        <w:snapToGrid w:val="0"/>
        <w:spacing w:line="590" w:lineRule="exact"/>
        <w:rPr>
          <w:rFonts w:ascii="Times New Roman" w:hAnsi="Times New Roman" w:eastAsia="楷体_GB2312"/>
          <w:bCs/>
          <w:color w:val="auto"/>
          <w:kern w:val="0"/>
          <w:sz w:val="28"/>
          <w:szCs w:val="28"/>
        </w:rPr>
      </w:pPr>
    </w:p>
    <w:p>
      <w:pPr>
        <w:snapToGrid w:val="0"/>
        <w:spacing w:line="590" w:lineRule="exact"/>
        <w:rPr>
          <w:rFonts w:ascii="Times New Roman" w:hAnsi="Times New Roman" w:eastAsia="楷体_GB2312"/>
          <w:bCs/>
          <w:color w:val="auto"/>
          <w:kern w:val="0"/>
          <w:sz w:val="28"/>
          <w:szCs w:val="28"/>
        </w:rPr>
      </w:pPr>
    </w:p>
    <w:p>
      <w:pPr>
        <w:snapToGrid w:val="0"/>
        <w:spacing w:line="590" w:lineRule="exact"/>
        <w:rPr>
          <w:rFonts w:ascii="Times New Roman" w:hAnsi="Times New Roman" w:eastAsia="楷体_GB2312"/>
          <w:bCs/>
          <w:color w:val="auto"/>
          <w:kern w:val="0"/>
          <w:sz w:val="28"/>
          <w:szCs w:val="28"/>
        </w:rPr>
      </w:pPr>
    </w:p>
    <w:p>
      <w:pPr>
        <w:snapToGrid w:val="0"/>
        <w:spacing w:line="590" w:lineRule="exact"/>
        <w:rPr>
          <w:rFonts w:ascii="Times New Roman" w:hAnsi="Times New Roman" w:eastAsia="楷体_GB2312"/>
          <w:bCs/>
          <w:color w:val="auto"/>
          <w:kern w:val="0"/>
          <w:sz w:val="28"/>
          <w:szCs w:val="28"/>
        </w:rPr>
      </w:pPr>
    </w:p>
    <w:p>
      <w:pPr>
        <w:snapToGrid w:val="0"/>
        <w:spacing w:line="590" w:lineRule="exact"/>
        <w:rPr>
          <w:rFonts w:ascii="Times New Roman" w:hAnsi="Times New Roman" w:eastAsia="楷体_GB2312"/>
          <w:bCs/>
          <w:color w:val="auto"/>
          <w:kern w:val="0"/>
          <w:sz w:val="28"/>
          <w:szCs w:val="28"/>
        </w:rPr>
      </w:pPr>
    </w:p>
    <w:p>
      <w:pPr>
        <w:snapToGrid w:val="0"/>
        <w:spacing w:line="590" w:lineRule="exact"/>
        <w:rPr>
          <w:rFonts w:ascii="Times New Roman" w:hAnsi="Times New Roman" w:eastAsia="楷体_GB2312"/>
          <w:bCs/>
          <w:color w:val="auto"/>
          <w:kern w:val="0"/>
          <w:sz w:val="28"/>
          <w:szCs w:val="28"/>
        </w:rPr>
      </w:pPr>
    </w:p>
    <w:p>
      <w:pPr>
        <w:snapToGrid w:val="0"/>
        <w:spacing w:line="590" w:lineRule="exact"/>
        <w:rPr>
          <w:rFonts w:ascii="Times New Roman" w:hAnsi="Times New Roman" w:eastAsia="楷体_GB2312"/>
          <w:bCs/>
          <w:color w:val="auto"/>
          <w:kern w:val="0"/>
          <w:sz w:val="28"/>
          <w:szCs w:val="28"/>
        </w:rPr>
      </w:pPr>
    </w:p>
    <w:p>
      <w:pPr>
        <w:snapToGrid w:val="0"/>
        <w:spacing w:line="590" w:lineRule="exact"/>
        <w:rPr>
          <w:rFonts w:ascii="Times New Roman" w:hAnsi="Times New Roman" w:eastAsia="楷体_GB2312"/>
          <w:bCs/>
          <w:color w:val="auto"/>
          <w:kern w:val="0"/>
          <w:sz w:val="28"/>
          <w:szCs w:val="28"/>
        </w:rPr>
      </w:pPr>
    </w:p>
    <w:p>
      <w:pPr>
        <w:tabs>
          <w:tab w:val="left" w:pos="8085"/>
        </w:tabs>
        <w:snapToGrid w:val="0"/>
        <w:spacing w:line="590" w:lineRule="exact"/>
        <w:rPr>
          <w:rFonts w:ascii="Times New Roman" w:hAnsi="Times New Roman" w:eastAsia="楷体_GB2312"/>
          <w:bCs/>
          <w:color w:val="auto"/>
          <w:kern w:val="0"/>
          <w:sz w:val="28"/>
          <w:szCs w:val="28"/>
        </w:rPr>
      </w:pPr>
      <w:r>
        <w:rPr>
          <w:rFonts w:ascii="Times New Roman" w:hAnsi="Times New Roman" w:eastAsia="楷体_GB2312"/>
          <w:bCs/>
          <w:color w:val="auto"/>
          <w:kern w:val="0"/>
          <w:sz w:val="28"/>
          <w:szCs w:val="28"/>
        </w:rPr>
        <w:tab/>
      </w:r>
    </w:p>
    <w:p>
      <w:pPr>
        <w:tabs>
          <w:tab w:val="left" w:pos="8085"/>
        </w:tabs>
        <w:snapToGrid w:val="0"/>
        <w:spacing w:line="590" w:lineRule="exact"/>
        <w:rPr>
          <w:rFonts w:ascii="Times New Roman" w:hAnsi="Times New Roman" w:eastAsia="楷体_GB2312"/>
          <w:bCs/>
          <w:color w:val="auto"/>
          <w:kern w:val="0"/>
          <w:sz w:val="28"/>
          <w:szCs w:val="28"/>
        </w:rPr>
      </w:pPr>
    </w:p>
    <w:p>
      <w:pPr>
        <w:tabs>
          <w:tab w:val="left" w:pos="8085"/>
        </w:tabs>
        <w:snapToGrid w:val="0"/>
        <w:spacing w:line="590" w:lineRule="exact"/>
        <w:rPr>
          <w:rFonts w:ascii="Times New Roman" w:hAnsi="Times New Roman" w:eastAsia="楷体_GB2312"/>
          <w:bCs/>
          <w:color w:val="auto"/>
          <w:kern w:val="0"/>
          <w:sz w:val="28"/>
          <w:szCs w:val="28"/>
        </w:rPr>
      </w:pPr>
    </w:p>
    <w:p>
      <w:pPr>
        <w:snapToGrid w:val="0"/>
        <w:spacing w:line="660" w:lineRule="exact"/>
        <w:rPr>
          <w:rFonts w:ascii="Times New Roman" w:hAnsi="Times New Roman" w:eastAsia="方正小标宋简体"/>
          <w:color w:val="auto"/>
          <w:kern w:val="0"/>
          <w:sz w:val="28"/>
          <w:szCs w:val="28"/>
        </w:rPr>
      </w:pPr>
      <w:r>
        <w:rPr>
          <w:rFonts w:ascii="Times New Roman" w:hAnsi="Times New Roman" w:eastAsia="黑体"/>
          <w:color w:val="auto"/>
          <w:sz w:val="28"/>
          <w:szCs w:val="28"/>
        </w:rPr>
        <w:t>表2</w:t>
      </w:r>
    </w:p>
    <w:p>
      <w:pPr>
        <w:snapToGrid w:val="0"/>
        <w:spacing w:line="660" w:lineRule="exact"/>
        <w:jc w:val="center"/>
        <w:rPr>
          <w:rFonts w:ascii="Times New Roman" w:hAnsi="Times New Roman" w:eastAsia="方正小标宋简体"/>
          <w:color w:val="auto"/>
          <w:kern w:val="0"/>
          <w:sz w:val="32"/>
          <w:szCs w:val="32"/>
        </w:rPr>
      </w:pPr>
      <w:r>
        <w:rPr>
          <w:rFonts w:ascii="Times New Roman" w:hAnsi="Times New Roman" w:eastAsia="方正小标宋简体"/>
          <w:color w:val="auto"/>
          <w:kern w:val="0"/>
          <w:sz w:val="32"/>
          <w:szCs w:val="32"/>
        </w:rPr>
        <w:t>市政府机关办公区设施、设备清单</w:t>
      </w:r>
    </w:p>
    <w:p>
      <w:pPr>
        <w:snapToGrid w:val="0"/>
        <w:spacing w:line="660" w:lineRule="exact"/>
        <w:jc w:val="center"/>
        <w:rPr>
          <w:rFonts w:ascii="Times New Roman" w:hAnsi="Times New Roman" w:eastAsia="方正小标宋简体"/>
          <w:color w:val="auto"/>
          <w:kern w:val="0"/>
          <w:sz w:val="44"/>
          <w:szCs w:val="44"/>
        </w:rPr>
      </w:pPr>
    </w:p>
    <w:tbl>
      <w:tblPr>
        <w:tblStyle w:val="49"/>
        <w:tblW w:w="14415" w:type="dxa"/>
        <w:tblInd w:w="91" w:type="dxa"/>
        <w:tblLayout w:type="fixed"/>
        <w:tblCellMar>
          <w:top w:w="0" w:type="dxa"/>
          <w:left w:w="108" w:type="dxa"/>
          <w:bottom w:w="0" w:type="dxa"/>
          <w:right w:w="108" w:type="dxa"/>
        </w:tblCellMar>
      </w:tblPr>
      <w:tblGrid>
        <w:gridCol w:w="885"/>
        <w:gridCol w:w="2550"/>
        <w:gridCol w:w="10"/>
        <w:gridCol w:w="7640"/>
        <w:gridCol w:w="1820"/>
        <w:gridCol w:w="1510"/>
      </w:tblGrid>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黑体"/>
                <w:bCs/>
                <w:color w:val="auto"/>
                <w:kern w:val="0"/>
                <w:szCs w:val="21"/>
              </w:rPr>
            </w:pPr>
            <w:r>
              <w:rPr>
                <w:rFonts w:ascii="Times New Roman" w:hAnsi="Times New Roman" w:eastAsia="黑体"/>
                <w:bCs/>
                <w:color w:val="auto"/>
                <w:kern w:val="0"/>
                <w:szCs w:val="21"/>
              </w:rPr>
              <w:t>序号</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bCs/>
                <w:color w:val="auto"/>
                <w:kern w:val="0"/>
                <w:szCs w:val="21"/>
              </w:rPr>
            </w:pPr>
            <w:r>
              <w:rPr>
                <w:rFonts w:ascii="Times New Roman" w:hAnsi="Times New Roman" w:eastAsia="黑体"/>
                <w:bCs/>
                <w:color w:val="auto"/>
                <w:kern w:val="0"/>
                <w:szCs w:val="21"/>
              </w:rPr>
              <w:t>项目名称</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bCs/>
                <w:color w:val="auto"/>
                <w:kern w:val="0"/>
                <w:szCs w:val="21"/>
              </w:rPr>
            </w:pPr>
            <w:r>
              <w:rPr>
                <w:rFonts w:ascii="Times New Roman" w:hAnsi="Times New Roman" w:eastAsia="黑体"/>
                <w:bCs/>
                <w:color w:val="auto"/>
                <w:kern w:val="0"/>
                <w:szCs w:val="21"/>
              </w:rPr>
              <w:t>项目特征及内容</w:t>
            </w:r>
          </w:p>
        </w:tc>
        <w:tc>
          <w:tcPr>
            <w:tcW w:w="1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bCs/>
                <w:color w:val="auto"/>
                <w:kern w:val="0"/>
                <w:szCs w:val="21"/>
              </w:rPr>
            </w:pPr>
            <w:r>
              <w:rPr>
                <w:rFonts w:ascii="Times New Roman" w:hAnsi="Times New Roman" w:eastAsia="黑体"/>
                <w:bCs/>
                <w:color w:val="auto"/>
                <w:kern w:val="0"/>
                <w:szCs w:val="21"/>
              </w:rPr>
              <w:t>数量</w:t>
            </w:r>
          </w:p>
        </w:tc>
        <w:tc>
          <w:tcPr>
            <w:tcW w:w="15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bCs/>
                <w:color w:val="auto"/>
                <w:kern w:val="0"/>
                <w:szCs w:val="21"/>
              </w:rPr>
            </w:pPr>
            <w:r>
              <w:rPr>
                <w:rFonts w:ascii="Times New Roman" w:hAnsi="Times New Roman" w:eastAsia="黑体"/>
                <w:bCs/>
                <w:color w:val="auto"/>
                <w:kern w:val="0"/>
                <w:szCs w:val="21"/>
              </w:rPr>
              <w:t>备注</w:t>
            </w:r>
          </w:p>
        </w:tc>
      </w:tr>
      <w:tr>
        <w:tblPrEx>
          <w:tblLayout w:type="fixed"/>
          <w:tblCellMar>
            <w:top w:w="0" w:type="dxa"/>
            <w:left w:w="108" w:type="dxa"/>
            <w:bottom w:w="0" w:type="dxa"/>
            <w:right w:w="108" w:type="dxa"/>
          </w:tblCellMar>
        </w:tblPrEx>
        <w:trPr>
          <w:trHeight w:val="240" w:hRule="atLeast"/>
        </w:trPr>
        <w:tc>
          <w:tcPr>
            <w:tcW w:w="14415"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空调清单</w:t>
            </w:r>
          </w:p>
        </w:tc>
      </w:tr>
      <w:tr>
        <w:tblPrEx>
          <w:tblLayout w:type="fixed"/>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w:t>
            </w:r>
          </w:p>
        </w:tc>
        <w:tc>
          <w:tcPr>
            <w:tcW w:w="2560" w:type="dxa"/>
            <w:gridSpan w:val="2"/>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空调</w:t>
            </w:r>
          </w:p>
        </w:tc>
        <w:tc>
          <w:tcPr>
            <w:tcW w:w="76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挂式</w:t>
            </w:r>
          </w:p>
        </w:tc>
        <w:tc>
          <w:tcPr>
            <w:tcW w:w="18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23台</w:t>
            </w:r>
          </w:p>
        </w:tc>
        <w:tc>
          <w:tcPr>
            <w:tcW w:w="151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w:t>
            </w:r>
          </w:p>
        </w:tc>
        <w:tc>
          <w:tcPr>
            <w:tcW w:w="2560" w:type="dxa"/>
            <w:gridSpan w:val="2"/>
            <w:vMerge w:val="continue"/>
            <w:tcBorders>
              <w:top w:val="nil"/>
              <w:left w:val="single" w:color="auto" w:sz="4" w:space="0"/>
              <w:bottom w:val="single" w:color="000000"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76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柜式</w:t>
            </w:r>
          </w:p>
        </w:tc>
        <w:tc>
          <w:tcPr>
            <w:tcW w:w="18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3</w:t>
            </w:r>
            <w:r>
              <w:rPr>
                <w:rFonts w:hint="eastAsia" w:ascii="Times New Roman" w:hAnsi="Times New Roman" w:eastAsia="楷体"/>
                <w:bCs/>
                <w:color w:val="auto"/>
                <w:kern w:val="0"/>
                <w:szCs w:val="21"/>
                <w:lang w:val="en-US" w:eastAsia="zh-CN"/>
              </w:rPr>
              <w:t>4</w:t>
            </w:r>
            <w:r>
              <w:rPr>
                <w:rFonts w:ascii="Times New Roman" w:hAnsi="Times New Roman" w:eastAsia="楷体"/>
                <w:bCs/>
                <w:color w:val="auto"/>
                <w:kern w:val="0"/>
                <w:szCs w:val="21"/>
              </w:rPr>
              <w:t>台</w:t>
            </w:r>
          </w:p>
        </w:tc>
        <w:tc>
          <w:tcPr>
            <w:tcW w:w="151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14415" w:type="dxa"/>
            <w:gridSpan w:val="6"/>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配电房主要设备清单</w:t>
            </w:r>
          </w:p>
        </w:tc>
      </w:tr>
      <w:tr>
        <w:tblPrEx>
          <w:tblLayout w:type="fixed"/>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3</w:t>
            </w:r>
          </w:p>
        </w:tc>
        <w:tc>
          <w:tcPr>
            <w:tcW w:w="256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高压熔断器</w:t>
            </w:r>
          </w:p>
        </w:tc>
        <w:tc>
          <w:tcPr>
            <w:tcW w:w="76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10KV/630A</w:t>
            </w:r>
          </w:p>
        </w:tc>
        <w:tc>
          <w:tcPr>
            <w:tcW w:w="18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1套</w:t>
            </w:r>
          </w:p>
        </w:tc>
        <w:tc>
          <w:tcPr>
            <w:tcW w:w="151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4</w:t>
            </w:r>
          </w:p>
        </w:tc>
        <w:tc>
          <w:tcPr>
            <w:tcW w:w="256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高压计量箱</w:t>
            </w:r>
          </w:p>
        </w:tc>
        <w:tc>
          <w:tcPr>
            <w:tcW w:w="76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10KV/630A</w:t>
            </w:r>
          </w:p>
        </w:tc>
        <w:tc>
          <w:tcPr>
            <w:tcW w:w="18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1台</w:t>
            </w:r>
          </w:p>
        </w:tc>
        <w:tc>
          <w:tcPr>
            <w:tcW w:w="151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5</w:t>
            </w:r>
          </w:p>
        </w:tc>
        <w:tc>
          <w:tcPr>
            <w:tcW w:w="256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台式变压器（油式）</w:t>
            </w:r>
          </w:p>
        </w:tc>
        <w:tc>
          <w:tcPr>
            <w:tcW w:w="76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S9，250KVA</w:t>
            </w:r>
          </w:p>
        </w:tc>
        <w:tc>
          <w:tcPr>
            <w:tcW w:w="18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1台</w:t>
            </w:r>
          </w:p>
        </w:tc>
        <w:tc>
          <w:tcPr>
            <w:tcW w:w="151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6</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1AA01交流低压开关柜（断路器）</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GGD，380V/400A</w:t>
            </w:r>
          </w:p>
        </w:tc>
        <w:tc>
          <w:tcPr>
            <w:tcW w:w="1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1台</w:t>
            </w:r>
          </w:p>
        </w:tc>
        <w:tc>
          <w:tcPr>
            <w:tcW w:w="15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7</w:t>
            </w:r>
          </w:p>
        </w:tc>
        <w:tc>
          <w:tcPr>
            <w:tcW w:w="2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1AA02交流低压开关柜（断路器）</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GGD，380V/400A</w:t>
            </w:r>
          </w:p>
        </w:tc>
        <w:tc>
          <w:tcPr>
            <w:tcW w:w="1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1台</w:t>
            </w:r>
          </w:p>
        </w:tc>
        <w:tc>
          <w:tcPr>
            <w:tcW w:w="15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8</w:t>
            </w:r>
          </w:p>
        </w:tc>
        <w:tc>
          <w:tcPr>
            <w:tcW w:w="256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1AA03交流低压开关柜（断路器）</w:t>
            </w:r>
          </w:p>
        </w:tc>
        <w:tc>
          <w:tcPr>
            <w:tcW w:w="76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GGD，380V/400A</w:t>
            </w:r>
          </w:p>
        </w:tc>
        <w:tc>
          <w:tcPr>
            <w:tcW w:w="18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1台</w:t>
            </w:r>
          </w:p>
        </w:tc>
        <w:tc>
          <w:tcPr>
            <w:tcW w:w="151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9</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1AA04交流低压开关柜（断路器）</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GGD，380V/400A</w:t>
            </w:r>
          </w:p>
        </w:tc>
        <w:tc>
          <w:tcPr>
            <w:tcW w:w="1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1台</w:t>
            </w:r>
          </w:p>
        </w:tc>
        <w:tc>
          <w:tcPr>
            <w:tcW w:w="15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10</w:t>
            </w:r>
          </w:p>
        </w:tc>
        <w:tc>
          <w:tcPr>
            <w:tcW w:w="256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配电柜</w:t>
            </w:r>
          </w:p>
        </w:tc>
        <w:tc>
          <w:tcPr>
            <w:tcW w:w="76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XXL，250A</w:t>
            </w:r>
          </w:p>
        </w:tc>
        <w:tc>
          <w:tcPr>
            <w:tcW w:w="18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1台</w:t>
            </w:r>
          </w:p>
        </w:tc>
        <w:tc>
          <w:tcPr>
            <w:tcW w:w="151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11</w:t>
            </w:r>
          </w:p>
        </w:tc>
        <w:tc>
          <w:tcPr>
            <w:tcW w:w="256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配电箱</w:t>
            </w:r>
          </w:p>
        </w:tc>
        <w:tc>
          <w:tcPr>
            <w:tcW w:w="76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XXM，32A、63A、100A</w:t>
            </w:r>
          </w:p>
        </w:tc>
        <w:tc>
          <w:tcPr>
            <w:tcW w:w="182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楷体"/>
                <w:bCs/>
                <w:color w:val="auto"/>
                <w:kern w:val="0"/>
                <w:szCs w:val="21"/>
                <w:lang w:val="en-US"/>
              </w:rPr>
            </w:pPr>
            <w:r>
              <w:rPr>
                <w:rFonts w:ascii="Times New Roman" w:hAnsi="Times New Roman" w:eastAsia="楷体"/>
                <w:bCs/>
                <w:color w:val="auto"/>
                <w:kern w:val="0"/>
                <w:szCs w:val="21"/>
              </w:rPr>
              <w:t>1</w:t>
            </w:r>
            <w:r>
              <w:rPr>
                <w:rFonts w:hint="eastAsia" w:ascii="Times New Roman" w:hAnsi="Times New Roman" w:eastAsia="楷体"/>
                <w:bCs/>
                <w:color w:val="auto"/>
                <w:kern w:val="0"/>
                <w:szCs w:val="21"/>
                <w:lang w:val="en-US" w:eastAsia="zh-CN"/>
              </w:rPr>
              <w:t>6个</w:t>
            </w:r>
          </w:p>
        </w:tc>
        <w:tc>
          <w:tcPr>
            <w:tcW w:w="151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14415"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给排水、雨污、消防</w:t>
            </w:r>
          </w:p>
        </w:tc>
      </w:tr>
      <w:tr>
        <w:tblPrEx>
          <w:tblLayout w:type="fixed"/>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12</w:t>
            </w:r>
          </w:p>
        </w:tc>
        <w:tc>
          <w:tcPr>
            <w:tcW w:w="256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雨水井</w:t>
            </w:r>
          </w:p>
        </w:tc>
        <w:tc>
          <w:tcPr>
            <w:tcW w:w="76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8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3个</w:t>
            </w:r>
          </w:p>
        </w:tc>
        <w:tc>
          <w:tcPr>
            <w:tcW w:w="151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13</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污水井</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10个</w:t>
            </w:r>
          </w:p>
        </w:tc>
        <w:tc>
          <w:tcPr>
            <w:tcW w:w="15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14</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给水井</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3个</w:t>
            </w:r>
          </w:p>
        </w:tc>
        <w:tc>
          <w:tcPr>
            <w:tcW w:w="15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15</w:t>
            </w:r>
          </w:p>
        </w:tc>
        <w:tc>
          <w:tcPr>
            <w:tcW w:w="256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化粪池</w:t>
            </w:r>
          </w:p>
        </w:tc>
        <w:tc>
          <w:tcPr>
            <w:tcW w:w="76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8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1个</w:t>
            </w:r>
          </w:p>
        </w:tc>
        <w:tc>
          <w:tcPr>
            <w:tcW w:w="151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16</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室内消火栓箱</w:t>
            </w:r>
          </w:p>
        </w:tc>
        <w:tc>
          <w:tcPr>
            <w:tcW w:w="76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SG21A65，每套含1只水枪，1条水袋</w:t>
            </w: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6套</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17</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室外消火栓</w:t>
            </w:r>
          </w:p>
        </w:tc>
        <w:tc>
          <w:tcPr>
            <w:tcW w:w="76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DN63</w:t>
            </w: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2台</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18</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消防管道井</w:t>
            </w:r>
          </w:p>
        </w:tc>
        <w:tc>
          <w:tcPr>
            <w:tcW w:w="76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1个</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19</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灭火器</w:t>
            </w:r>
          </w:p>
        </w:tc>
        <w:tc>
          <w:tcPr>
            <w:tcW w:w="76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49只</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14415"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道闸、伸缩门</w:t>
            </w: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20</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伸缩门（大门）</w:t>
            </w:r>
          </w:p>
        </w:tc>
        <w:tc>
          <w:tcPr>
            <w:tcW w:w="76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1道</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21</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道闸</w:t>
            </w:r>
          </w:p>
        </w:tc>
        <w:tc>
          <w:tcPr>
            <w:tcW w:w="76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8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1道</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14415"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监控设备</w:t>
            </w: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22</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监控设备</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品牌： 海康威视</w:t>
            </w:r>
          </w:p>
        </w:tc>
        <w:tc>
          <w:tcPr>
            <w:tcW w:w="1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1套</w:t>
            </w:r>
          </w:p>
        </w:tc>
        <w:tc>
          <w:tcPr>
            <w:tcW w:w="15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14415"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照明系统</w:t>
            </w: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23</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楷体"/>
                <w:bCs/>
                <w:color w:val="auto"/>
                <w:kern w:val="0"/>
                <w:szCs w:val="21"/>
                <w:lang w:val="en-US" w:eastAsia="zh-CN"/>
              </w:rPr>
            </w:pPr>
            <w:r>
              <w:rPr>
                <w:rFonts w:ascii="Times New Roman" w:hAnsi="Times New Roman" w:eastAsia="楷体"/>
                <w:bCs/>
                <w:color w:val="auto"/>
                <w:kern w:val="0"/>
                <w:szCs w:val="21"/>
              </w:rPr>
              <w:t>格珊灯</w:t>
            </w:r>
            <w:r>
              <w:rPr>
                <w:rFonts w:hint="eastAsia" w:ascii="Times New Roman" w:hAnsi="Times New Roman" w:eastAsia="楷体"/>
                <w:bCs/>
                <w:color w:val="auto"/>
                <w:kern w:val="0"/>
                <w:szCs w:val="21"/>
                <w:lang w:val="en-US" w:eastAsia="zh-CN"/>
              </w:rPr>
              <w:t>+LED平板灯</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楷体"/>
                <w:bCs/>
                <w:color w:val="auto"/>
                <w:kern w:val="0"/>
                <w:szCs w:val="21"/>
                <w:lang w:val="en-US" w:eastAsia="zh-CN"/>
              </w:rPr>
            </w:pPr>
            <w:r>
              <w:rPr>
                <w:rFonts w:ascii="Times New Roman" w:hAnsi="Times New Roman" w:eastAsia="楷体"/>
                <w:bCs/>
                <w:color w:val="auto"/>
                <w:kern w:val="0"/>
                <w:szCs w:val="21"/>
              </w:rPr>
              <w:t>LED、T8-9W、T8-18W</w:t>
            </w:r>
            <w:r>
              <w:rPr>
                <w:rFonts w:hint="eastAsia" w:ascii="Times New Roman" w:hAnsi="Times New Roman" w:eastAsia="楷体"/>
                <w:bCs/>
                <w:color w:val="auto"/>
                <w:kern w:val="0"/>
                <w:szCs w:val="21"/>
                <w:lang w:eastAsia="zh-CN"/>
              </w:rPr>
              <w:t>、</w:t>
            </w:r>
            <w:r>
              <w:rPr>
                <w:rFonts w:hint="eastAsia" w:ascii="Times New Roman" w:hAnsi="Times New Roman" w:eastAsia="楷体"/>
                <w:bCs/>
                <w:color w:val="auto"/>
                <w:kern w:val="0"/>
                <w:szCs w:val="21"/>
                <w:lang w:val="en-US" w:eastAsia="zh-CN"/>
              </w:rPr>
              <w:t>48W</w:t>
            </w:r>
          </w:p>
        </w:tc>
        <w:tc>
          <w:tcPr>
            <w:tcW w:w="1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w:t>
            </w:r>
            <w:r>
              <w:rPr>
                <w:rFonts w:hint="eastAsia" w:ascii="Times New Roman" w:hAnsi="Times New Roman" w:eastAsia="楷体"/>
                <w:bCs/>
                <w:color w:val="auto"/>
                <w:kern w:val="0"/>
                <w:szCs w:val="21"/>
                <w:lang w:val="en-US" w:eastAsia="zh-CN"/>
              </w:rPr>
              <w:t>12</w:t>
            </w:r>
            <w:r>
              <w:rPr>
                <w:rFonts w:ascii="Times New Roman" w:hAnsi="Times New Roman" w:eastAsia="楷体"/>
                <w:bCs/>
                <w:color w:val="auto"/>
                <w:kern w:val="0"/>
                <w:szCs w:val="21"/>
              </w:rPr>
              <w:t>盏</w:t>
            </w:r>
          </w:p>
        </w:tc>
        <w:tc>
          <w:tcPr>
            <w:tcW w:w="15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24</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吸顶灯</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LED-12W、LED-25W</w:t>
            </w:r>
          </w:p>
        </w:tc>
        <w:tc>
          <w:tcPr>
            <w:tcW w:w="1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40盏</w:t>
            </w:r>
          </w:p>
        </w:tc>
        <w:tc>
          <w:tcPr>
            <w:tcW w:w="15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25</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球形灯</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LED-5W、LED-3W</w:t>
            </w:r>
          </w:p>
        </w:tc>
        <w:tc>
          <w:tcPr>
            <w:tcW w:w="1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191盏</w:t>
            </w:r>
          </w:p>
        </w:tc>
        <w:tc>
          <w:tcPr>
            <w:tcW w:w="15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26</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围墙节能灯</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LED-24W</w:t>
            </w:r>
          </w:p>
        </w:tc>
        <w:tc>
          <w:tcPr>
            <w:tcW w:w="1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9盏</w:t>
            </w:r>
          </w:p>
        </w:tc>
        <w:tc>
          <w:tcPr>
            <w:tcW w:w="15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27</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射灯</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LED-12W、LED-3W</w:t>
            </w:r>
          </w:p>
        </w:tc>
        <w:tc>
          <w:tcPr>
            <w:tcW w:w="1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78盏</w:t>
            </w:r>
          </w:p>
        </w:tc>
        <w:tc>
          <w:tcPr>
            <w:tcW w:w="15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28</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筒灯</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LED-3W</w:t>
            </w:r>
          </w:p>
        </w:tc>
        <w:tc>
          <w:tcPr>
            <w:tcW w:w="1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w:t>
            </w:r>
            <w:r>
              <w:rPr>
                <w:rFonts w:hint="eastAsia" w:ascii="Times New Roman" w:hAnsi="Times New Roman" w:eastAsia="楷体"/>
                <w:bCs/>
                <w:color w:val="auto"/>
                <w:kern w:val="0"/>
                <w:szCs w:val="21"/>
                <w:lang w:val="en-US" w:eastAsia="zh-CN"/>
              </w:rPr>
              <w:t>6</w:t>
            </w:r>
            <w:r>
              <w:rPr>
                <w:rFonts w:ascii="Times New Roman" w:hAnsi="Times New Roman" w:eastAsia="楷体"/>
                <w:bCs/>
                <w:color w:val="auto"/>
                <w:kern w:val="0"/>
                <w:szCs w:val="21"/>
              </w:rPr>
              <w:t>盏</w:t>
            </w:r>
          </w:p>
        </w:tc>
        <w:tc>
          <w:tcPr>
            <w:tcW w:w="15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29</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节能灯</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8W、23W、65W、13W</w:t>
            </w:r>
          </w:p>
        </w:tc>
        <w:tc>
          <w:tcPr>
            <w:tcW w:w="1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74盏</w:t>
            </w:r>
          </w:p>
        </w:tc>
        <w:tc>
          <w:tcPr>
            <w:tcW w:w="15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30</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吸顶灯</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32W、25W</w:t>
            </w:r>
          </w:p>
        </w:tc>
        <w:tc>
          <w:tcPr>
            <w:tcW w:w="1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hint="eastAsia" w:ascii="Times New Roman" w:hAnsi="Times New Roman" w:eastAsia="楷体"/>
                <w:bCs/>
                <w:color w:val="auto"/>
                <w:kern w:val="0"/>
                <w:szCs w:val="21"/>
                <w:lang w:val="en-US" w:eastAsia="zh-CN"/>
              </w:rPr>
              <w:t>5</w:t>
            </w:r>
            <w:r>
              <w:rPr>
                <w:rFonts w:ascii="Times New Roman" w:hAnsi="Times New Roman" w:eastAsia="楷体"/>
                <w:bCs/>
                <w:color w:val="auto"/>
                <w:kern w:val="0"/>
                <w:szCs w:val="21"/>
              </w:rPr>
              <w:t>盏</w:t>
            </w:r>
          </w:p>
        </w:tc>
        <w:tc>
          <w:tcPr>
            <w:tcW w:w="15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14415"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会议音响系统</w:t>
            </w:r>
          </w:p>
        </w:tc>
      </w:tr>
      <w:tr>
        <w:tblPrEx>
          <w:tblLayout w:type="fixed"/>
          <w:tblCellMar>
            <w:top w:w="0" w:type="dxa"/>
            <w:left w:w="108" w:type="dxa"/>
            <w:bottom w:w="0" w:type="dxa"/>
            <w:right w:w="108" w:type="dxa"/>
          </w:tblCellMar>
        </w:tblPrEx>
        <w:trPr>
          <w:trHeight w:val="24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31</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会议音箱设备</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201、202、207会议室</w:t>
            </w:r>
          </w:p>
        </w:tc>
        <w:tc>
          <w:tcPr>
            <w:tcW w:w="18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3套</w:t>
            </w:r>
          </w:p>
        </w:tc>
        <w:tc>
          <w:tcPr>
            <w:tcW w:w="15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bl>
    <w:p>
      <w:pPr>
        <w:snapToGrid w:val="0"/>
        <w:spacing w:line="590" w:lineRule="exact"/>
        <w:rPr>
          <w:rFonts w:ascii="Times New Roman" w:hAnsi="Times New Roman" w:eastAsia="楷体_GB2312"/>
          <w:bCs/>
          <w:color w:val="auto"/>
          <w:kern w:val="0"/>
          <w:sz w:val="28"/>
          <w:szCs w:val="28"/>
        </w:rPr>
      </w:pPr>
    </w:p>
    <w:p>
      <w:pPr>
        <w:snapToGrid w:val="0"/>
        <w:spacing w:line="590" w:lineRule="exact"/>
        <w:rPr>
          <w:rFonts w:ascii="Times New Roman" w:hAnsi="Times New Roman" w:eastAsia="楷体_GB2312"/>
          <w:bCs/>
          <w:color w:val="auto"/>
          <w:kern w:val="0"/>
          <w:sz w:val="28"/>
          <w:szCs w:val="28"/>
        </w:rPr>
      </w:pPr>
    </w:p>
    <w:p>
      <w:pPr>
        <w:snapToGrid w:val="0"/>
        <w:spacing w:line="590" w:lineRule="exact"/>
        <w:rPr>
          <w:rFonts w:ascii="Times New Roman" w:hAnsi="Times New Roman" w:eastAsia="楷体_GB2312"/>
          <w:bCs/>
          <w:color w:val="auto"/>
          <w:kern w:val="0"/>
          <w:sz w:val="28"/>
          <w:szCs w:val="28"/>
        </w:rPr>
      </w:pPr>
    </w:p>
    <w:p>
      <w:pPr>
        <w:snapToGrid w:val="0"/>
        <w:spacing w:line="590" w:lineRule="exact"/>
        <w:rPr>
          <w:rFonts w:ascii="Times New Roman" w:hAnsi="Times New Roman" w:eastAsia="楷体_GB2312"/>
          <w:bCs/>
          <w:color w:val="auto"/>
          <w:kern w:val="0"/>
          <w:sz w:val="28"/>
          <w:szCs w:val="28"/>
        </w:rPr>
      </w:pPr>
    </w:p>
    <w:p>
      <w:pPr>
        <w:snapToGrid w:val="0"/>
        <w:spacing w:line="590" w:lineRule="exact"/>
        <w:rPr>
          <w:rFonts w:ascii="Times New Roman" w:hAnsi="Times New Roman" w:eastAsia="楷体_GB2312"/>
          <w:bCs/>
          <w:color w:val="auto"/>
          <w:kern w:val="0"/>
          <w:sz w:val="28"/>
          <w:szCs w:val="28"/>
        </w:rPr>
      </w:pPr>
    </w:p>
    <w:p>
      <w:pPr>
        <w:snapToGrid w:val="0"/>
        <w:spacing w:line="590" w:lineRule="exact"/>
        <w:rPr>
          <w:rFonts w:ascii="Times New Roman" w:hAnsi="Times New Roman" w:eastAsia="楷体_GB2312"/>
          <w:bCs/>
          <w:color w:val="auto"/>
          <w:kern w:val="0"/>
          <w:sz w:val="28"/>
          <w:szCs w:val="28"/>
        </w:rPr>
      </w:pPr>
    </w:p>
    <w:p>
      <w:pPr>
        <w:snapToGrid w:val="0"/>
        <w:spacing w:line="660" w:lineRule="exact"/>
        <w:rPr>
          <w:rFonts w:ascii="Times New Roman" w:hAnsi="Times New Roman" w:eastAsia="方正小标宋简体"/>
          <w:color w:val="auto"/>
          <w:kern w:val="0"/>
          <w:sz w:val="28"/>
          <w:szCs w:val="28"/>
        </w:rPr>
      </w:pPr>
      <w:r>
        <w:rPr>
          <w:rFonts w:ascii="Times New Roman" w:hAnsi="Times New Roman" w:eastAsia="黑体"/>
          <w:bCs/>
          <w:color w:val="auto"/>
          <w:kern w:val="0"/>
          <w:sz w:val="28"/>
          <w:szCs w:val="28"/>
        </w:rPr>
        <w:t>表3</w:t>
      </w:r>
    </w:p>
    <w:p>
      <w:pPr>
        <w:snapToGrid w:val="0"/>
        <w:spacing w:line="660" w:lineRule="exact"/>
        <w:jc w:val="center"/>
        <w:rPr>
          <w:rFonts w:ascii="Times New Roman" w:hAnsi="Times New Roman" w:eastAsia="方正小标宋简体"/>
          <w:color w:val="auto"/>
          <w:kern w:val="0"/>
          <w:sz w:val="32"/>
          <w:szCs w:val="32"/>
        </w:rPr>
      </w:pPr>
      <w:r>
        <w:rPr>
          <w:rFonts w:ascii="Times New Roman" w:hAnsi="Times New Roman" w:eastAsia="方正小标宋简体"/>
          <w:color w:val="auto"/>
          <w:kern w:val="0"/>
          <w:sz w:val="32"/>
          <w:szCs w:val="32"/>
        </w:rPr>
        <w:t>市人大机关办公区设施、设备清单</w:t>
      </w:r>
    </w:p>
    <w:p>
      <w:pPr>
        <w:snapToGrid w:val="0"/>
        <w:spacing w:line="660" w:lineRule="exact"/>
        <w:jc w:val="center"/>
        <w:rPr>
          <w:rFonts w:ascii="Times New Roman" w:hAnsi="Times New Roman" w:eastAsia="方正小标宋简体"/>
          <w:color w:val="auto"/>
          <w:kern w:val="0"/>
          <w:sz w:val="44"/>
          <w:szCs w:val="44"/>
        </w:rPr>
      </w:pPr>
    </w:p>
    <w:tbl>
      <w:tblPr>
        <w:tblStyle w:val="49"/>
        <w:tblW w:w="14220" w:type="dxa"/>
        <w:tblInd w:w="91" w:type="dxa"/>
        <w:tblLayout w:type="fixed"/>
        <w:tblCellMar>
          <w:top w:w="0" w:type="dxa"/>
          <w:left w:w="108" w:type="dxa"/>
          <w:bottom w:w="0" w:type="dxa"/>
          <w:right w:w="108" w:type="dxa"/>
        </w:tblCellMar>
      </w:tblPr>
      <w:tblGrid>
        <w:gridCol w:w="880"/>
        <w:gridCol w:w="35"/>
        <w:gridCol w:w="2525"/>
        <w:gridCol w:w="7640"/>
        <w:gridCol w:w="85"/>
        <w:gridCol w:w="1355"/>
        <w:gridCol w:w="85"/>
        <w:gridCol w:w="1615"/>
      </w:tblGrid>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黑体"/>
                <w:bCs/>
                <w:color w:val="auto"/>
                <w:kern w:val="0"/>
                <w:szCs w:val="21"/>
              </w:rPr>
            </w:pPr>
            <w:r>
              <w:rPr>
                <w:rFonts w:ascii="Times New Roman" w:hAnsi="Times New Roman" w:eastAsia="黑体"/>
                <w:bCs/>
                <w:color w:val="auto"/>
                <w:kern w:val="0"/>
                <w:szCs w:val="21"/>
              </w:rPr>
              <w:t>序号</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bCs/>
                <w:color w:val="auto"/>
                <w:kern w:val="0"/>
                <w:szCs w:val="21"/>
              </w:rPr>
            </w:pPr>
            <w:r>
              <w:rPr>
                <w:rFonts w:ascii="Times New Roman" w:hAnsi="Times New Roman" w:eastAsia="黑体"/>
                <w:bCs/>
                <w:color w:val="auto"/>
                <w:kern w:val="0"/>
                <w:szCs w:val="21"/>
              </w:rPr>
              <w:t>项目名称</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bCs/>
                <w:color w:val="auto"/>
                <w:kern w:val="0"/>
                <w:szCs w:val="21"/>
              </w:rPr>
            </w:pPr>
            <w:r>
              <w:rPr>
                <w:rFonts w:ascii="Times New Roman" w:hAnsi="Times New Roman" w:eastAsia="黑体"/>
                <w:bCs/>
                <w:color w:val="auto"/>
                <w:kern w:val="0"/>
                <w:szCs w:val="21"/>
              </w:rPr>
              <w:t>项目特征及内容</w:t>
            </w:r>
          </w:p>
        </w:tc>
        <w:tc>
          <w:tcPr>
            <w:tcW w:w="14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bCs/>
                <w:color w:val="auto"/>
                <w:kern w:val="0"/>
                <w:szCs w:val="21"/>
              </w:rPr>
            </w:pPr>
            <w:r>
              <w:rPr>
                <w:rFonts w:ascii="Times New Roman" w:hAnsi="Times New Roman" w:eastAsia="黑体"/>
                <w:bCs/>
                <w:color w:val="auto"/>
                <w:kern w:val="0"/>
                <w:szCs w:val="21"/>
              </w:rPr>
              <w:t>数量</w:t>
            </w:r>
          </w:p>
        </w:tc>
        <w:tc>
          <w:tcPr>
            <w:tcW w:w="17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bCs/>
                <w:color w:val="auto"/>
                <w:kern w:val="0"/>
                <w:szCs w:val="21"/>
              </w:rPr>
            </w:pPr>
            <w:r>
              <w:rPr>
                <w:rFonts w:ascii="Times New Roman" w:hAnsi="Times New Roman" w:eastAsia="黑体"/>
                <w:bCs/>
                <w:color w:val="auto"/>
                <w:kern w:val="0"/>
                <w:szCs w:val="21"/>
              </w:rPr>
              <w:t>备注</w:t>
            </w:r>
          </w:p>
        </w:tc>
      </w:tr>
      <w:tr>
        <w:tblPrEx>
          <w:tblLayout w:type="fixed"/>
          <w:tblCellMar>
            <w:top w:w="0" w:type="dxa"/>
            <w:left w:w="108" w:type="dxa"/>
            <w:bottom w:w="0" w:type="dxa"/>
            <w:right w:w="108" w:type="dxa"/>
          </w:tblCellMar>
        </w:tblPrEx>
        <w:trPr>
          <w:trHeight w:val="240" w:hRule="atLeast"/>
        </w:trPr>
        <w:tc>
          <w:tcPr>
            <w:tcW w:w="142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空调清单</w:t>
            </w:r>
          </w:p>
        </w:tc>
      </w:tr>
      <w:tr>
        <w:tblPrEx>
          <w:tblLayout w:type="fixed"/>
          <w:tblCellMar>
            <w:top w:w="0" w:type="dxa"/>
            <w:left w:w="108" w:type="dxa"/>
            <w:bottom w:w="0" w:type="dxa"/>
            <w:right w:w="108" w:type="dxa"/>
          </w:tblCellMar>
        </w:tblPrEx>
        <w:trPr>
          <w:trHeight w:val="240" w:hRule="atLeast"/>
        </w:trPr>
        <w:tc>
          <w:tcPr>
            <w:tcW w:w="8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w:t>
            </w:r>
          </w:p>
        </w:tc>
        <w:tc>
          <w:tcPr>
            <w:tcW w:w="2560" w:type="dxa"/>
            <w:gridSpan w:val="2"/>
            <w:vMerge w:val="restart"/>
            <w:tcBorders>
              <w:top w:val="nil"/>
              <w:left w:val="single" w:color="auto" w:sz="4" w:space="0"/>
              <w:bottom w:val="nil"/>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空调</w:t>
            </w:r>
          </w:p>
        </w:tc>
        <w:tc>
          <w:tcPr>
            <w:tcW w:w="76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挂式</w:t>
            </w:r>
          </w:p>
        </w:tc>
        <w:tc>
          <w:tcPr>
            <w:tcW w:w="144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3</w:t>
            </w:r>
            <w:r>
              <w:rPr>
                <w:rFonts w:hint="eastAsia" w:ascii="Times New Roman" w:hAnsi="Times New Roman" w:eastAsia="楷体"/>
                <w:bCs/>
                <w:color w:val="auto"/>
                <w:kern w:val="0"/>
                <w:szCs w:val="21"/>
                <w:lang w:val="en-US" w:eastAsia="zh-CN"/>
              </w:rPr>
              <w:t>3</w:t>
            </w:r>
            <w:r>
              <w:rPr>
                <w:rFonts w:ascii="Times New Roman" w:hAnsi="Times New Roman" w:eastAsia="楷体"/>
                <w:bCs/>
                <w:color w:val="auto"/>
                <w:kern w:val="0"/>
                <w:szCs w:val="21"/>
              </w:rPr>
              <w:t>台</w:t>
            </w:r>
          </w:p>
        </w:tc>
        <w:tc>
          <w:tcPr>
            <w:tcW w:w="170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w:t>
            </w:r>
          </w:p>
        </w:tc>
        <w:tc>
          <w:tcPr>
            <w:tcW w:w="2560" w:type="dxa"/>
            <w:gridSpan w:val="2"/>
            <w:vMerge w:val="continue"/>
            <w:tcBorders>
              <w:top w:val="nil"/>
              <w:left w:val="single" w:color="auto" w:sz="4" w:space="0"/>
              <w:bottom w:val="nil"/>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76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柜式</w:t>
            </w:r>
          </w:p>
        </w:tc>
        <w:tc>
          <w:tcPr>
            <w:tcW w:w="144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hint="eastAsia" w:ascii="Times New Roman" w:hAnsi="Times New Roman" w:eastAsia="楷体"/>
                <w:bCs/>
                <w:color w:val="auto"/>
                <w:kern w:val="0"/>
                <w:szCs w:val="21"/>
                <w:lang w:val="en-US" w:eastAsia="zh-CN"/>
              </w:rPr>
              <w:t>30</w:t>
            </w:r>
            <w:r>
              <w:rPr>
                <w:rFonts w:ascii="Times New Roman" w:hAnsi="Times New Roman" w:eastAsia="楷体"/>
                <w:bCs/>
                <w:color w:val="auto"/>
                <w:kern w:val="0"/>
                <w:szCs w:val="21"/>
              </w:rPr>
              <w:t>台</w:t>
            </w:r>
          </w:p>
        </w:tc>
        <w:tc>
          <w:tcPr>
            <w:tcW w:w="170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14220" w:type="dxa"/>
            <w:gridSpan w:val="8"/>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配电房主要设备清单</w:t>
            </w:r>
          </w:p>
        </w:tc>
      </w:tr>
      <w:tr>
        <w:tblPrEx>
          <w:tblLayout w:type="fixed"/>
          <w:tblCellMar>
            <w:top w:w="0" w:type="dxa"/>
            <w:left w:w="108" w:type="dxa"/>
            <w:bottom w:w="0" w:type="dxa"/>
            <w:right w:w="108" w:type="dxa"/>
          </w:tblCellMar>
        </w:tblPrEx>
        <w:trPr>
          <w:trHeight w:val="240" w:hRule="atLeast"/>
        </w:trPr>
        <w:tc>
          <w:tcPr>
            <w:tcW w:w="8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3</w:t>
            </w:r>
          </w:p>
        </w:tc>
        <w:tc>
          <w:tcPr>
            <w:tcW w:w="2560"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配电柜</w:t>
            </w:r>
          </w:p>
        </w:tc>
        <w:tc>
          <w:tcPr>
            <w:tcW w:w="76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XXL，400A</w:t>
            </w:r>
          </w:p>
        </w:tc>
        <w:tc>
          <w:tcPr>
            <w:tcW w:w="144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1台</w:t>
            </w:r>
          </w:p>
        </w:tc>
        <w:tc>
          <w:tcPr>
            <w:tcW w:w="170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4</w:t>
            </w:r>
          </w:p>
        </w:tc>
        <w:tc>
          <w:tcPr>
            <w:tcW w:w="256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配电箱</w:t>
            </w:r>
          </w:p>
        </w:tc>
        <w:tc>
          <w:tcPr>
            <w:tcW w:w="76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XXM，63A</w:t>
            </w:r>
          </w:p>
        </w:tc>
        <w:tc>
          <w:tcPr>
            <w:tcW w:w="144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6台</w:t>
            </w:r>
          </w:p>
        </w:tc>
        <w:tc>
          <w:tcPr>
            <w:tcW w:w="170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5</w:t>
            </w:r>
          </w:p>
        </w:tc>
        <w:tc>
          <w:tcPr>
            <w:tcW w:w="2560"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配电箱</w:t>
            </w:r>
          </w:p>
        </w:tc>
        <w:tc>
          <w:tcPr>
            <w:tcW w:w="76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XXM，63A</w:t>
            </w:r>
          </w:p>
        </w:tc>
        <w:tc>
          <w:tcPr>
            <w:tcW w:w="144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7台</w:t>
            </w:r>
          </w:p>
        </w:tc>
        <w:tc>
          <w:tcPr>
            <w:tcW w:w="170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14220" w:type="dxa"/>
            <w:gridSpan w:val="8"/>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给排水、雨污、消防</w:t>
            </w: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6</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雨水井</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4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8个</w:t>
            </w:r>
          </w:p>
        </w:tc>
        <w:tc>
          <w:tcPr>
            <w:tcW w:w="17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7</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污水井</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4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7个</w:t>
            </w:r>
          </w:p>
        </w:tc>
        <w:tc>
          <w:tcPr>
            <w:tcW w:w="17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8</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给水井</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4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1个</w:t>
            </w:r>
          </w:p>
        </w:tc>
        <w:tc>
          <w:tcPr>
            <w:tcW w:w="17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9</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沟盖</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4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9个</w:t>
            </w:r>
          </w:p>
        </w:tc>
        <w:tc>
          <w:tcPr>
            <w:tcW w:w="17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10</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灭火器</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4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50只</w:t>
            </w:r>
          </w:p>
        </w:tc>
        <w:tc>
          <w:tcPr>
            <w:tcW w:w="17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楷体"/>
                <w:bCs/>
                <w:color w:val="auto"/>
                <w:kern w:val="0"/>
                <w:szCs w:val="21"/>
                <w:lang w:val="en-US" w:eastAsia="zh-CN"/>
              </w:rPr>
            </w:pPr>
            <w:r>
              <w:rPr>
                <w:rFonts w:hint="eastAsia" w:ascii="Times New Roman" w:hAnsi="Times New Roman" w:eastAsia="楷体"/>
                <w:bCs/>
                <w:color w:val="auto"/>
                <w:kern w:val="0"/>
                <w:szCs w:val="21"/>
                <w:lang w:val="en-US" w:eastAsia="zh-CN"/>
              </w:rPr>
              <w:t>11</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楷体"/>
                <w:bCs/>
                <w:color w:val="auto"/>
                <w:kern w:val="0"/>
                <w:szCs w:val="21"/>
                <w:lang w:val="en-US" w:eastAsia="zh-CN"/>
              </w:rPr>
            </w:pPr>
            <w:r>
              <w:rPr>
                <w:rFonts w:hint="eastAsia" w:ascii="Times New Roman" w:hAnsi="Times New Roman" w:eastAsia="楷体"/>
                <w:bCs/>
                <w:color w:val="auto"/>
                <w:kern w:val="0"/>
                <w:szCs w:val="21"/>
                <w:lang w:val="en-US" w:eastAsia="zh-CN"/>
              </w:rPr>
              <w:t>室外消火栓</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4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楷体"/>
                <w:bCs/>
                <w:color w:val="auto"/>
                <w:kern w:val="0"/>
                <w:szCs w:val="21"/>
                <w:lang w:val="en-US" w:eastAsia="zh-CN"/>
              </w:rPr>
            </w:pPr>
            <w:r>
              <w:rPr>
                <w:rFonts w:hint="eastAsia" w:ascii="Times New Roman" w:hAnsi="Times New Roman" w:eastAsia="楷体"/>
                <w:bCs/>
                <w:color w:val="auto"/>
                <w:kern w:val="0"/>
                <w:szCs w:val="21"/>
                <w:lang w:val="en-US" w:eastAsia="zh-CN"/>
              </w:rPr>
              <w:t>2个</w:t>
            </w:r>
          </w:p>
        </w:tc>
        <w:tc>
          <w:tcPr>
            <w:tcW w:w="17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142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道闸、伸缩门</w:t>
            </w: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楷体"/>
                <w:bCs/>
                <w:color w:val="auto"/>
                <w:kern w:val="0"/>
                <w:szCs w:val="21"/>
                <w:lang w:val="en-US" w:eastAsia="zh-CN"/>
              </w:rPr>
            </w:pPr>
            <w:r>
              <w:rPr>
                <w:rFonts w:ascii="Times New Roman" w:hAnsi="Times New Roman" w:eastAsia="楷体"/>
                <w:bCs/>
                <w:color w:val="auto"/>
                <w:kern w:val="0"/>
                <w:szCs w:val="21"/>
              </w:rPr>
              <w:t>1</w:t>
            </w:r>
            <w:r>
              <w:rPr>
                <w:rFonts w:hint="eastAsia" w:ascii="Times New Roman" w:hAnsi="Times New Roman" w:eastAsia="楷体"/>
                <w:bCs/>
                <w:color w:val="auto"/>
                <w:kern w:val="0"/>
                <w:szCs w:val="21"/>
                <w:lang w:val="en-US" w:eastAsia="zh-CN"/>
              </w:rPr>
              <w:t>2</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伸缩门</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4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1道</w:t>
            </w:r>
          </w:p>
        </w:tc>
        <w:tc>
          <w:tcPr>
            <w:tcW w:w="17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楷体"/>
                <w:bCs/>
                <w:color w:val="auto"/>
                <w:kern w:val="0"/>
                <w:szCs w:val="21"/>
                <w:lang w:val="en-US" w:eastAsia="zh-CN"/>
              </w:rPr>
            </w:pPr>
            <w:r>
              <w:rPr>
                <w:rFonts w:ascii="Times New Roman" w:hAnsi="Times New Roman" w:eastAsia="楷体"/>
                <w:bCs/>
                <w:color w:val="auto"/>
                <w:kern w:val="0"/>
                <w:szCs w:val="21"/>
              </w:rPr>
              <w:t>1</w:t>
            </w:r>
            <w:r>
              <w:rPr>
                <w:rFonts w:hint="eastAsia" w:ascii="Times New Roman" w:hAnsi="Times New Roman" w:eastAsia="楷体"/>
                <w:bCs/>
                <w:color w:val="auto"/>
                <w:kern w:val="0"/>
                <w:szCs w:val="21"/>
                <w:lang w:val="en-US" w:eastAsia="zh-CN"/>
              </w:rPr>
              <w:t>3</w:t>
            </w:r>
          </w:p>
        </w:tc>
        <w:tc>
          <w:tcPr>
            <w:tcW w:w="25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道闸</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4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1道</w:t>
            </w:r>
          </w:p>
        </w:tc>
        <w:tc>
          <w:tcPr>
            <w:tcW w:w="17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142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监控设备</w:t>
            </w:r>
          </w:p>
        </w:tc>
      </w:tr>
      <w:tr>
        <w:tblPrEx>
          <w:tblLayout w:type="fixed"/>
          <w:tblCellMar>
            <w:top w:w="0" w:type="dxa"/>
            <w:left w:w="108" w:type="dxa"/>
            <w:bottom w:w="0" w:type="dxa"/>
            <w:right w:w="108" w:type="dxa"/>
          </w:tblCellMar>
        </w:tblPrEx>
        <w:trPr>
          <w:trHeight w:val="240" w:hRule="atLeast"/>
        </w:trPr>
        <w:tc>
          <w:tcPr>
            <w:tcW w:w="9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楷体"/>
                <w:bCs/>
                <w:color w:val="auto"/>
                <w:kern w:val="0"/>
                <w:szCs w:val="21"/>
                <w:lang w:val="en-US" w:eastAsia="zh-CN"/>
              </w:rPr>
            </w:pPr>
            <w:r>
              <w:rPr>
                <w:rFonts w:ascii="Times New Roman" w:hAnsi="Times New Roman" w:eastAsia="楷体"/>
                <w:bCs/>
                <w:color w:val="auto"/>
                <w:kern w:val="0"/>
                <w:szCs w:val="21"/>
              </w:rPr>
              <w:t>1</w:t>
            </w:r>
            <w:r>
              <w:rPr>
                <w:rFonts w:hint="eastAsia" w:ascii="Times New Roman" w:hAnsi="Times New Roman" w:eastAsia="楷体"/>
                <w:bCs/>
                <w:color w:val="auto"/>
                <w:kern w:val="0"/>
                <w:szCs w:val="21"/>
                <w:lang w:val="en-US" w:eastAsia="zh-CN"/>
              </w:rPr>
              <w:t>4</w:t>
            </w:r>
          </w:p>
        </w:tc>
        <w:tc>
          <w:tcPr>
            <w:tcW w:w="25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监控设备</w:t>
            </w:r>
          </w:p>
        </w:tc>
        <w:tc>
          <w:tcPr>
            <w:tcW w:w="77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品牌： 海康威视</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1套</w:t>
            </w:r>
          </w:p>
        </w:tc>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142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照明系统</w:t>
            </w:r>
          </w:p>
        </w:tc>
      </w:tr>
      <w:tr>
        <w:tblPrEx>
          <w:tblLayout w:type="fixed"/>
          <w:tblCellMar>
            <w:top w:w="0" w:type="dxa"/>
            <w:left w:w="108" w:type="dxa"/>
            <w:bottom w:w="0" w:type="dxa"/>
            <w:right w:w="108" w:type="dxa"/>
          </w:tblCellMar>
        </w:tblPrEx>
        <w:trPr>
          <w:trHeight w:val="240" w:hRule="atLeast"/>
        </w:trPr>
        <w:tc>
          <w:tcPr>
            <w:tcW w:w="9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楷体"/>
                <w:bCs/>
                <w:color w:val="auto"/>
                <w:kern w:val="0"/>
                <w:szCs w:val="21"/>
                <w:lang w:val="en-US" w:eastAsia="zh-CN"/>
              </w:rPr>
            </w:pPr>
            <w:r>
              <w:rPr>
                <w:rFonts w:ascii="Times New Roman" w:hAnsi="Times New Roman" w:eastAsia="楷体"/>
                <w:bCs/>
                <w:color w:val="auto"/>
                <w:kern w:val="0"/>
                <w:szCs w:val="21"/>
              </w:rPr>
              <w:t>1</w:t>
            </w:r>
            <w:r>
              <w:rPr>
                <w:rFonts w:hint="eastAsia" w:ascii="Times New Roman" w:hAnsi="Times New Roman" w:eastAsia="楷体"/>
                <w:bCs/>
                <w:color w:val="auto"/>
                <w:kern w:val="0"/>
                <w:szCs w:val="21"/>
                <w:lang w:val="en-US" w:eastAsia="zh-CN"/>
              </w:rPr>
              <w:t>5</w:t>
            </w:r>
          </w:p>
        </w:tc>
        <w:tc>
          <w:tcPr>
            <w:tcW w:w="25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U形灯</w:t>
            </w:r>
          </w:p>
        </w:tc>
        <w:tc>
          <w:tcPr>
            <w:tcW w:w="77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36W</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12</w:t>
            </w:r>
            <w:r>
              <w:rPr>
                <w:rFonts w:hint="eastAsia" w:ascii="Times New Roman" w:hAnsi="Times New Roman" w:eastAsia="楷体"/>
                <w:bCs/>
                <w:color w:val="auto"/>
                <w:kern w:val="0"/>
                <w:szCs w:val="21"/>
                <w:lang w:val="en-US" w:eastAsia="zh-CN"/>
              </w:rPr>
              <w:t>7</w:t>
            </w:r>
            <w:r>
              <w:rPr>
                <w:rFonts w:ascii="Times New Roman" w:hAnsi="Times New Roman" w:eastAsia="楷体"/>
                <w:bCs/>
                <w:color w:val="auto"/>
                <w:kern w:val="0"/>
                <w:szCs w:val="21"/>
              </w:rPr>
              <w:t>盏</w:t>
            </w:r>
          </w:p>
        </w:tc>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9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楷体"/>
                <w:bCs/>
                <w:color w:val="auto"/>
                <w:kern w:val="0"/>
                <w:szCs w:val="21"/>
                <w:lang w:val="en-US" w:eastAsia="zh-CN"/>
              </w:rPr>
            </w:pPr>
            <w:r>
              <w:rPr>
                <w:rFonts w:ascii="Times New Roman" w:hAnsi="Times New Roman" w:eastAsia="楷体"/>
                <w:bCs/>
                <w:color w:val="auto"/>
                <w:kern w:val="0"/>
                <w:szCs w:val="21"/>
              </w:rPr>
              <w:t>1</w:t>
            </w:r>
            <w:r>
              <w:rPr>
                <w:rFonts w:hint="eastAsia" w:ascii="Times New Roman" w:hAnsi="Times New Roman" w:eastAsia="楷体"/>
                <w:bCs/>
                <w:color w:val="auto"/>
                <w:kern w:val="0"/>
                <w:szCs w:val="21"/>
                <w:lang w:val="en-US" w:eastAsia="zh-CN"/>
              </w:rPr>
              <w:t>6</w:t>
            </w:r>
          </w:p>
        </w:tc>
        <w:tc>
          <w:tcPr>
            <w:tcW w:w="25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节能灯</w:t>
            </w:r>
          </w:p>
        </w:tc>
        <w:tc>
          <w:tcPr>
            <w:tcW w:w="77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8W</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228盏</w:t>
            </w:r>
          </w:p>
        </w:tc>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9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楷体"/>
                <w:bCs/>
                <w:color w:val="auto"/>
                <w:kern w:val="0"/>
                <w:szCs w:val="21"/>
                <w:lang w:val="en-US" w:eastAsia="zh-CN"/>
              </w:rPr>
            </w:pPr>
            <w:r>
              <w:rPr>
                <w:rFonts w:hint="eastAsia" w:ascii="Times New Roman" w:hAnsi="Times New Roman" w:eastAsia="楷体"/>
                <w:bCs/>
                <w:color w:val="auto"/>
                <w:kern w:val="0"/>
                <w:szCs w:val="21"/>
                <w:lang w:val="en-US" w:eastAsia="zh-CN"/>
              </w:rPr>
              <w:t>17</w:t>
            </w:r>
          </w:p>
        </w:tc>
        <w:tc>
          <w:tcPr>
            <w:tcW w:w="25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格珊灯</w:t>
            </w:r>
          </w:p>
        </w:tc>
        <w:tc>
          <w:tcPr>
            <w:tcW w:w="77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T8-18W</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w:t>
            </w:r>
            <w:r>
              <w:rPr>
                <w:rFonts w:hint="eastAsia" w:ascii="Times New Roman" w:hAnsi="Times New Roman" w:eastAsia="楷体"/>
                <w:bCs/>
                <w:color w:val="auto"/>
                <w:kern w:val="0"/>
                <w:szCs w:val="21"/>
                <w:lang w:val="en-US" w:eastAsia="zh-CN"/>
              </w:rPr>
              <w:t>6</w:t>
            </w:r>
            <w:r>
              <w:rPr>
                <w:rFonts w:ascii="Times New Roman" w:hAnsi="Times New Roman" w:eastAsia="楷体"/>
                <w:bCs/>
                <w:color w:val="auto"/>
                <w:kern w:val="0"/>
                <w:szCs w:val="21"/>
              </w:rPr>
              <w:t>盏</w:t>
            </w:r>
          </w:p>
        </w:tc>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9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楷体"/>
                <w:bCs/>
                <w:color w:val="auto"/>
                <w:kern w:val="0"/>
                <w:szCs w:val="21"/>
                <w:lang w:val="en-US" w:eastAsia="zh-CN"/>
              </w:rPr>
            </w:pPr>
            <w:r>
              <w:rPr>
                <w:rFonts w:hint="eastAsia" w:ascii="Times New Roman" w:hAnsi="Times New Roman" w:eastAsia="楷体"/>
                <w:bCs/>
                <w:color w:val="auto"/>
                <w:kern w:val="0"/>
                <w:szCs w:val="21"/>
                <w:lang w:val="en-US" w:eastAsia="zh-CN"/>
              </w:rPr>
              <w:t>18</w:t>
            </w:r>
          </w:p>
        </w:tc>
        <w:tc>
          <w:tcPr>
            <w:tcW w:w="25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双灯管日光灯</w:t>
            </w:r>
          </w:p>
        </w:tc>
        <w:tc>
          <w:tcPr>
            <w:tcW w:w="77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T8-36W</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12盏</w:t>
            </w:r>
          </w:p>
        </w:tc>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9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楷体"/>
                <w:bCs/>
                <w:color w:val="auto"/>
                <w:kern w:val="0"/>
                <w:szCs w:val="21"/>
                <w:lang w:val="en-US" w:eastAsia="zh-CN"/>
              </w:rPr>
            </w:pPr>
            <w:r>
              <w:rPr>
                <w:rFonts w:hint="eastAsia" w:ascii="Times New Roman" w:hAnsi="Times New Roman" w:eastAsia="楷体"/>
                <w:bCs/>
                <w:color w:val="auto"/>
                <w:kern w:val="0"/>
                <w:szCs w:val="21"/>
                <w:lang w:val="en-US" w:eastAsia="zh-CN"/>
              </w:rPr>
              <w:t>19</w:t>
            </w:r>
          </w:p>
        </w:tc>
        <w:tc>
          <w:tcPr>
            <w:tcW w:w="25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节能灯</w:t>
            </w:r>
          </w:p>
        </w:tc>
        <w:tc>
          <w:tcPr>
            <w:tcW w:w="77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23W、65W</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19盏</w:t>
            </w:r>
          </w:p>
        </w:tc>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9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楷体"/>
                <w:bCs/>
                <w:color w:val="auto"/>
                <w:kern w:val="0"/>
                <w:szCs w:val="21"/>
                <w:lang w:val="en-US" w:eastAsia="zh-CN"/>
              </w:rPr>
            </w:pPr>
            <w:r>
              <w:rPr>
                <w:rFonts w:hint="eastAsia" w:ascii="Times New Roman" w:hAnsi="Times New Roman" w:eastAsia="楷体"/>
                <w:bCs/>
                <w:color w:val="auto"/>
                <w:kern w:val="0"/>
                <w:szCs w:val="21"/>
                <w:lang w:val="en-US" w:eastAsia="zh-CN"/>
              </w:rPr>
              <w:t>20</w:t>
            </w:r>
          </w:p>
        </w:tc>
        <w:tc>
          <w:tcPr>
            <w:tcW w:w="25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吸顶灯</w:t>
            </w:r>
          </w:p>
        </w:tc>
        <w:tc>
          <w:tcPr>
            <w:tcW w:w="77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LED-40W、LED-18W</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32盏</w:t>
            </w:r>
          </w:p>
        </w:tc>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240" w:hRule="atLeast"/>
        </w:trPr>
        <w:tc>
          <w:tcPr>
            <w:tcW w:w="142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楷体"/>
                <w:bCs/>
                <w:color w:val="auto"/>
                <w:kern w:val="0"/>
                <w:szCs w:val="21"/>
                <w:lang w:val="en-US" w:eastAsia="zh-CN"/>
              </w:rPr>
            </w:pPr>
            <w:r>
              <w:rPr>
                <w:rFonts w:hint="eastAsia" w:ascii="Times New Roman" w:hAnsi="Times New Roman" w:eastAsia="楷体"/>
                <w:bCs/>
                <w:color w:val="auto"/>
                <w:kern w:val="0"/>
                <w:szCs w:val="21"/>
                <w:lang w:val="en-US" w:eastAsia="zh-CN"/>
              </w:rPr>
              <w:t>显示设备</w:t>
            </w:r>
          </w:p>
        </w:tc>
      </w:tr>
      <w:tr>
        <w:tblPrEx>
          <w:tblLayout w:type="fixed"/>
          <w:tblCellMar>
            <w:top w:w="0" w:type="dxa"/>
            <w:left w:w="108" w:type="dxa"/>
            <w:bottom w:w="0" w:type="dxa"/>
            <w:right w:w="108" w:type="dxa"/>
          </w:tblCellMar>
        </w:tblPrEx>
        <w:trPr>
          <w:trHeight w:val="240" w:hRule="atLeast"/>
        </w:trPr>
        <w:tc>
          <w:tcPr>
            <w:tcW w:w="9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楷体"/>
                <w:bCs/>
                <w:color w:val="auto"/>
                <w:kern w:val="0"/>
                <w:szCs w:val="21"/>
                <w:lang w:val="en-US" w:eastAsia="zh-CN"/>
              </w:rPr>
            </w:pPr>
            <w:r>
              <w:rPr>
                <w:rFonts w:hint="eastAsia" w:ascii="Times New Roman" w:hAnsi="Times New Roman" w:eastAsia="楷体"/>
                <w:bCs/>
                <w:color w:val="auto"/>
                <w:kern w:val="0"/>
                <w:szCs w:val="21"/>
                <w:lang w:val="en-US" w:eastAsia="zh-CN"/>
              </w:rPr>
              <w:t>21</w:t>
            </w:r>
          </w:p>
        </w:tc>
        <w:tc>
          <w:tcPr>
            <w:tcW w:w="25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楷体"/>
                <w:bCs/>
                <w:color w:val="auto"/>
                <w:kern w:val="0"/>
                <w:szCs w:val="21"/>
                <w:lang w:val="en-US" w:eastAsia="zh-CN"/>
              </w:rPr>
            </w:pPr>
            <w:r>
              <w:rPr>
                <w:rFonts w:hint="eastAsia" w:ascii="Times New Roman" w:hAnsi="Times New Roman" w:eastAsia="楷体"/>
                <w:bCs/>
                <w:color w:val="auto"/>
                <w:kern w:val="0"/>
                <w:szCs w:val="21"/>
                <w:lang w:val="en-US" w:eastAsia="zh-CN"/>
              </w:rPr>
              <w:t>电视机</w:t>
            </w:r>
          </w:p>
        </w:tc>
        <w:tc>
          <w:tcPr>
            <w:tcW w:w="77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楷体"/>
                <w:bCs/>
                <w:color w:val="auto"/>
                <w:kern w:val="0"/>
                <w:szCs w:val="21"/>
                <w:lang w:val="en-US" w:eastAsia="zh-CN"/>
              </w:rPr>
            </w:pPr>
            <w:r>
              <w:rPr>
                <w:rFonts w:hint="eastAsia" w:ascii="Times New Roman" w:hAnsi="Times New Roman" w:eastAsia="楷体"/>
                <w:bCs/>
                <w:color w:val="auto"/>
                <w:kern w:val="0"/>
                <w:szCs w:val="21"/>
                <w:lang w:val="en-US" w:eastAsia="zh-CN"/>
              </w:rPr>
              <w:t>LED平板电视机</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楷体"/>
                <w:bCs/>
                <w:color w:val="auto"/>
                <w:kern w:val="0"/>
                <w:szCs w:val="21"/>
                <w:lang w:val="en-US" w:eastAsia="zh-CN"/>
              </w:rPr>
            </w:pPr>
            <w:r>
              <w:rPr>
                <w:rFonts w:hint="eastAsia" w:ascii="Times New Roman" w:hAnsi="Times New Roman" w:eastAsia="楷体"/>
                <w:bCs/>
                <w:color w:val="auto"/>
                <w:kern w:val="0"/>
                <w:szCs w:val="21"/>
                <w:lang w:val="en-US" w:eastAsia="zh-CN"/>
              </w:rPr>
              <w:t>6</w:t>
            </w:r>
          </w:p>
        </w:tc>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bl>
    <w:p>
      <w:pPr>
        <w:snapToGrid w:val="0"/>
        <w:spacing w:line="590" w:lineRule="exact"/>
        <w:rPr>
          <w:rFonts w:ascii="Times New Roman" w:hAnsi="Times New Roman" w:eastAsia="黑体"/>
          <w:bCs/>
          <w:color w:val="auto"/>
          <w:kern w:val="0"/>
          <w:sz w:val="28"/>
          <w:szCs w:val="28"/>
        </w:rPr>
      </w:pPr>
    </w:p>
    <w:p>
      <w:pPr>
        <w:snapToGrid w:val="0"/>
        <w:spacing w:line="590" w:lineRule="exact"/>
        <w:rPr>
          <w:rFonts w:ascii="Times New Roman" w:hAnsi="Times New Roman" w:eastAsia="黑体"/>
          <w:bCs/>
          <w:color w:val="auto"/>
          <w:kern w:val="0"/>
          <w:sz w:val="28"/>
          <w:szCs w:val="28"/>
        </w:rPr>
      </w:pPr>
    </w:p>
    <w:p>
      <w:pPr>
        <w:snapToGrid w:val="0"/>
        <w:spacing w:line="590" w:lineRule="exact"/>
        <w:rPr>
          <w:rFonts w:ascii="Times New Roman" w:hAnsi="Times New Roman" w:eastAsia="黑体"/>
          <w:bCs/>
          <w:color w:val="auto"/>
          <w:kern w:val="0"/>
          <w:sz w:val="28"/>
          <w:szCs w:val="28"/>
        </w:rPr>
      </w:pPr>
    </w:p>
    <w:p>
      <w:pPr>
        <w:snapToGrid w:val="0"/>
        <w:spacing w:line="590" w:lineRule="exact"/>
        <w:rPr>
          <w:rFonts w:ascii="Times New Roman" w:hAnsi="Times New Roman" w:eastAsia="黑体"/>
          <w:bCs/>
          <w:color w:val="auto"/>
          <w:kern w:val="0"/>
          <w:sz w:val="28"/>
          <w:szCs w:val="28"/>
        </w:rPr>
      </w:pPr>
    </w:p>
    <w:p>
      <w:pPr>
        <w:snapToGrid w:val="0"/>
        <w:spacing w:line="590" w:lineRule="exact"/>
        <w:rPr>
          <w:rFonts w:ascii="Times New Roman" w:hAnsi="Times New Roman" w:eastAsia="黑体"/>
          <w:bCs/>
          <w:color w:val="auto"/>
          <w:kern w:val="0"/>
          <w:sz w:val="28"/>
          <w:szCs w:val="28"/>
        </w:rPr>
      </w:pPr>
    </w:p>
    <w:p>
      <w:pPr>
        <w:snapToGrid w:val="0"/>
        <w:spacing w:line="590" w:lineRule="exact"/>
        <w:rPr>
          <w:rFonts w:ascii="Times New Roman" w:hAnsi="Times New Roman" w:eastAsia="黑体"/>
          <w:bCs/>
          <w:color w:val="auto"/>
          <w:kern w:val="0"/>
          <w:sz w:val="28"/>
          <w:szCs w:val="28"/>
        </w:rPr>
      </w:pPr>
    </w:p>
    <w:p>
      <w:pPr>
        <w:snapToGrid w:val="0"/>
        <w:spacing w:line="590" w:lineRule="exact"/>
        <w:rPr>
          <w:rFonts w:ascii="Times New Roman" w:hAnsi="Times New Roman" w:eastAsia="黑体"/>
          <w:bCs/>
          <w:color w:val="auto"/>
          <w:kern w:val="0"/>
          <w:sz w:val="28"/>
          <w:szCs w:val="28"/>
        </w:rPr>
      </w:pPr>
    </w:p>
    <w:p>
      <w:pPr>
        <w:snapToGrid w:val="0"/>
        <w:spacing w:line="590" w:lineRule="exact"/>
        <w:rPr>
          <w:rFonts w:ascii="Times New Roman" w:hAnsi="Times New Roman" w:eastAsia="黑体"/>
          <w:bCs/>
          <w:color w:val="auto"/>
          <w:kern w:val="0"/>
          <w:sz w:val="28"/>
          <w:szCs w:val="28"/>
        </w:rPr>
      </w:pPr>
    </w:p>
    <w:p>
      <w:pPr>
        <w:snapToGrid w:val="0"/>
        <w:spacing w:line="590" w:lineRule="exact"/>
        <w:rPr>
          <w:rFonts w:ascii="Times New Roman" w:hAnsi="Times New Roman" w:eastAsia="黑体"/>
          <w:bCs/>
          <w:color w:val="auto"/>
          <w:kern w:val="0"/>
          <w:sz w:val="28"/>
          <w:szCs w:val="28"/>
        </w:rPr>
      </w:pPr>
    </w:p>
    <w:p>
      <w:pPr>
        <w:snapToGrid w:val="0"/>
        <w:spacing w:line="590" w:lineRule="exact"/>
        <w:rPr>
          <w:rFonts w:ascii="Times New Roman" w:hAnsi="Times New Roman" w:eastAsia="黑体"/>
          <w:bCs/>
          <w:color w:val="auto"/>
          <w:kern w:val="0"/>
          <w:sz w:val="28"/>
          <w:szCs w:val="28"/>
        </w:rPr>
      </w:pPr>
    </w:p>
    <w:p>
      <w:pPr>
        <w:snapToGrid w:val="0"/>
        <w:spacing w:line="590" w:lineRule="exact"/>
        <w:rPr>
          <w:rFonts w:ascii="Times New Roman" w:hAnsi="Times New Roman" w:eastAsia="黑体"/>
          <w:bCs/>
          <w:color w:val="auto"/>
          <w:kern w:val="0"/>
          <w:sz w:val="28"/>
          <w:szCs w:val="28"/>
        </w:rPr>
      </w:pPr>
    </w:p>
    <w:p>
      <w:pPr>
        <w:snapToGrid w:val="0"/>
        <w:spacing w:line="660" w:lineRule="exact"/>
        <w:rPr>
          <w:rFonts w:ascii="Times New Roman" w:hAnsi="Times New Roman" w:eastAsia="方正小标宋简体"/>
          <w:color w:val="auto"/>
          <w:kern w:val="0"/>
          <w:sz w:val="28"/>
          <w:szCs w:val="28"/>
        </w:rPr>
      </w:pPr>
      <w:r>
        <w:rPr>
          <w:rFonts w:ascii="Times New Roman" w:hAnsi="Times New Roman" w:eastAsia="黑体"/>
          <w:bCs/>
          <w:color w:val="auto"/>
          <w:kern w:val="0"/>
          <w:sz w:val="28"/>
          <w:szCs w:val="28"/>
        </w:rPr>
        <w:t>表4</w:t>
      </w:r>
    </w:p>
    <w:p>
      <w:pPr>
        <w:snapToGrid w:val="0"/>
        <w:spacing w:line="660" w:lineRule="exact"/>
        <w:jc w:val="center"/>
        <w:rPr>
          <w:rFonts w:ascii="Times New Roman" w:hAnsi="Times New Roman" w:eastAsia="方正小标宋简体"/>
          <w:color w:val="auto"/>
          <w:kern w:val="0"/>
          <w:sz w:val="32"/>
          <w:szCs w:val="32"/>
        </w:rPr>
      </w:pPr>
      <w:r>
        <w:rPr>
          <w:rFonts w:ascii="Times New Roman" w:hAnsi="Times New Roman" w:eastAsia="方正小标宋简体"/>
          <w:color w:val="auto"/>
          <w:kern w:val="0"/>
          <w:sz w:val="32"/>
          <w:szCs w:val="32"/>
        </w:rPr>
        <w:t>市政协机关办公区设施、设备清单</w:t>
      </w:r>
    </w:p>
    <w:p>
      <w:pPr>
        <w:snapToGrid w:val="0"/>
        <w:spacing w:line="660" w:lineRule="exact"/>
        <w:jc w:val="center"/>
        <w:rPr>
          <w:rFonts w:ascii="Times New Roman" w:hAnsi="Times New Roman" w:eastAsia="方正小标宋简体"/>
          <w:color w:val="auto"/>
          <w:kern w:val="0"/>
          <w:sz w:val="44"/>
          <w:szCs w:val="44"/>
        </w:rPr>
      </w:pPr>
    </w:p>
    <w:tbl>
      <w:tblPr>
        <w:tblStyle w:val="49"/>
        <w:tblW w:w="14220" w:type="dxa"/>
        <w:tblInd w:w="91" w:type="dxa"/>
        <w:tblLayout w:type="fixed"/>
        <w:tblCellMar>
          <w:top w:w="0" w:type="dxa"/>
          <w:left w:w="108" w:type="dxa"/>
          <w:bottom w:w="0" w:type="dxa"/>
          <w:right w:w="108" w:type="dxa"/>
        </w:tblCellMar>
      </w:tblPr>
      <w:tblGrid>
        <w:gridCol w:w="880"/>
        <w:gridCol w:w="2560"/>
        <w:gridCol w:w="7640"/>
        <w:gridCol w:w="1440"/>
        <w:gridCol w:w="1700"/>
      </w:tblGrid>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黑体"/>
                <w:color w:val="auto"/>
                <w:kern w:val="0"/>
                <w:szCs w:val="21"/>
              </w:rPr>
            </w:pPr>
            <w:r>
              <w:rPr>
                <w:rFonts w:ascii="Times New Roman" w:hAnsi="Times New Roman" w:eastAsia="黑体"/>
                <w:color w:val="auto"/>
                <w:kern w:val="0"/>
                <w:szCs w:val="21"/>
              </w:rPr>
              <w:t>序号</w:t>
            </w:r>
          </w:p>
        </w:tc>
        <w:tc>
          <w:tcPr>
            <w:tcW w:w="2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color w:val="auto"/>
                <w:kern w:val="0"/>
                <w:szCs w:val="21"/>
              </w:rPr>
            </w:pPr>
            <w:r>
              <w:rPr>
                <w:rFonts w:ascii="Times New Roman" w:hAnsi="Times New Roman" w:eastAsia="黑体"/>
                <w:color w:val="auto"/>
                <w:kern w:val="0"/>
                <w:szCs w:val="21"/>
              </w:rPr>
              <w:t>项目名称</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color w:val="auto"/>
                <w:kern w:val="0"/>
                <w:szCs w:val="21"/>
              </w:rPr>
            </w:pPr>
            <w:r>
              <w:rPr>
                <w:rFonts w:ascii="Times New Roman" w:hAnsi="Times New Roman" w:eastAsia="黑体"/>
                <w:color w:val="auto"/>
                <w:kern w:val="0"/>
                <w:szCs w:val="21"/>
              </w:rPr>
              <w:t>项目特征及内容</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color w:val="auto"/>
                <w:kern w:val="0"/>
                <w:szCs w:val="21"/>
              </w:rPr>
            </w:pPr>
            <w:r>
              <w:rPr>
                <w:rFonts w:ascii="Times New Roman" w:hAnsi="Times New Roman" w:eastAsia="黑体"/>
                <w:color w:val="auto"/>
                <w:kern w:val="0"/>
                <w:szCs w:val="21"/>
              </w:rPr>
              <w:t>数量</w:t>
            </w:r>
          </w:p>
        </w:tc>
        <w:tc>
          <w:tcPr>
            <w:tcW w:w="1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黑体"/>
                <w:color w:val="auto"/>
                <w:kern w:val="0"/>
                <w:szCs w:val="21"/>
              </w:rPr>
            </w:pPr>
            <w:r>
              <w:rPr>
                <w:rFonts w:ascii="Times New Roman" w:hAnsi="Times New Roman" w:eastAsia="黑体"/>
                <w:color w:val="auto"/>
                <w:kern w:val="0"/>
                <w:szCs w:val="21"/>
              </w:rPr>
              <w:t>备注</w:t>
            </w:r>
          </w:p>
        </w:tc>
      </w:tr>
      <w:tr>
        <w:tblPrEx>
          <w:tblLayout w:type="fixed"/>
          <w:tblCellMar>
            <w:top w:w="0" w:type="dxa"/>
            <w:left w:w="108" w:type="dxa"/>
            <w:bottom w:w="0" w:type="dxa"/>
            <w:right w:w="108" w:type="dxa"/>
          </w:tblCellMar>
        </w:tblPrEx>
        <w:trPr>
          <w:trHeight w:val="240" w:hRule="atLeast"/>
        </w:trPr>
        <w:tc>
          <w:tcPr>
            <w:tcW w:w="14220"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空调</w:t>
            </w: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w:t>
            </w:r>
          </w:p>
        </w:tc>
        <w:tc>
          <w:tcPr>
            <w:tcW w:w="2560" w:type="dxa"/>
            <w:vMerge w:val="restart"/>
            <w:tcBorders>
              <w:top w:val="single" w:color="auto" w:sz="4" w:space="0"/>
              <w:left w:val="nil"/>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空调</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柜式</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39台</w:t>
            </w:r>
          </w:p>
        </w:tc>
        <w:tc>
          <w:tcPr>
            <w:tcW w:w="1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w:t>
            </w:r>
          </w:p>
        </w:tc>
        <w:tc>
          <w:tcPr>
            <w:tcW w:w="2560" w:type="dxa"/>
            <w:vMerge w:val="continue"/>
            <w:tcBorders>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挂机</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30台</w:t>
            </w:r>
          </w:p>
        </w:tc>
        <w:tc>
          <w:tcPr>
            <w:tcW w:w="1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p>
        </w:tc>
      </w:tr>
      <w:tr>
        <w:tblPrEx>
          <w:tblLayout w:type="fixed"/>
          <w:tblCellMar>
            <w:top w:w="0" w:type="dxa"/>
            <w:left w:w="108" w:type="dxa"/>
            <w:bottom w:w="0" w:type="dxa"/>
            <w:right w:w="108" w:type="dxa"/>
          </w:tblCellMar>
        </w:tblPrEx>
        <w:trPr>
          <w:trHeight w:val="240" w:hRule="atLeast"/>
        </w:trPr>
        <w:tc>
          <w:tcPr>
            <w:tcW w:w="14220"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电梯</w:t>
            </w: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w:t>
            </w:r>
          </w:p>
        </w:tc>
        <w:tc>
          <w:tcPr>
            <w:tcW w:w="2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电梯</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产品名称：曳引式电梯；产品型号：BLT-QS;载重量：1750KG；DHN-141923T12﹟；出厂日期：2015年8月</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3台</w:t>
            </w:r>
          </w:p>
        </w:tc>
        <w:tc>
          <w:tcPr>
            <w:tcW w:w="1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p>
        </w:tc>
      </w:tr>
      <w:tr>
        <w:tblPrEx>
          <w:tblLayout w:type="fixed"/>
          <w:tblCellMar>
            <w:top w:w="0" w:type="dxa"/>
            <w:left w:w="108" w:type="dxa"/>
            <w:bottom w:w="0" w:type="dxa"/>
            <w:right w:w="108" w:type="dxa"/>
          </w:tblCellMar>
        </w:tblPrEx>
        <w:trPr>
          <w:trHeight w:val="240" w:hRule="atLeast"/>
        </w:trPr>
        <w:tc>
          <w:tcPr>
            <w:tcW w:w="14220"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监控设备</w:t>
            </w: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4</w:t>
            </w:r>
          </w:p>
        </w:tc>
        <w:tc>
          <w:tcPr>
            <w:tcW w:w="2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监控设备</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品牌： 海康威视</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1套</w:t>
            </w:r>
          </w:p>
        </w:tc>
        <w:tc>
          <w:tcPr>
            <w:tcW w:w="1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p>
        </w:tc>
      </w:tr>
      <w:tr>
        <w:tblPrEx>
          <w:tblLayout w:type="fixed"/>
          <w:tblCellMar>
            <w:top w:w="0" w:type="dxa"/>
            <w:left w:w="108" w:type="dxa"/>
            <w:bottom w:w="0" w:type="dxa"/>
            <w:right w:w="108" w:type="dxa"/>
          </w:tblCellMar>
        </w:tblPrEx>
        <w:trPr>
          <w:trHeight w:val="240" w:hRule="atLeast"/>
        </w:trPr>
        <w:tc>
          <w:tcPr>
            <w:tcW w:w="14220"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配电房主要设备清单</w:t>
            </w: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w:t>
            </w:r>
          </w:p>
        </w:tc>
        <w:tc>
          <w:tcPr>
            <w:tcW w:w="2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配电柜</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XXL，250A</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6台</w:t>
            </w:r>
          </w:p>
        </w:tc>
        <w:tc>
          <w:tcPr>
            <w:tcW w:w="1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w:t>
            </w:r>
          </w:p>
        </w:tc>
        <w:tc>
          <w:tcPr>
            <w:tcW w:w="2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配电箱</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XXM，63A、32A、</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10台</w:t>
            </w:r>
          </w:p>
        </w:tc>
        <w:tc>
          <w:tcPr>
            <w:tcW w:w="1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p>
        </w:tc>
      </w:tr>
      <w:tr>
        <w:tblPrEx>
          <w:tblLayout w:type="fixed"/>
          <w:tblCellMar>
            <w:top w:w="0" w:type="dxa"/>
            <w:left w:w="108" w:type="dxa"/>
            <w:bottom w:w="0" w:type="dxa"/>
            <w:right w:w="108" w:type="dxa"/>
          </w:tblCellMar>
        </w:tblPrEx>
        <w:trPr>
          <w:trHeight w:val="240" w:hRule="atLeast"/>
        </w:trPr>
        <w:tc>
          <w:tcPr>
            <w:tcW w:w="14220"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道闸、伸缩门</w:t>
            </w: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7</w:t>
            </w:r>
          </w:p>
        </w:tc>
        <w:tc>
          <w:tcPr>
            <w:tcW w:w="2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伸缩门</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1道</w:t>
            </w:r>
          </w:p>
        </w:tc>
        <w:tc>
          <w:tcPr>
            <w:tcW w:w="1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8</w:t>
            </w:r>
          </w:p>
        </w:tc>
        <w:tc>
          <w:tcPr>
            <w:tcW w:w="2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道闸</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1道</w:t>
            </w:r>
          </w:p>
        </w:tc>
        <w:tc>
          <w:tcPr>
            <w:tcW w:w="1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p>
        </w:tc>
      </w:tr>
      <w:tr>
        <w:tblPrEx>
          <w:tblLayout w:type="fixed"/>
          <w:tblCellMar>
            <w:top w:w="0" w:type="dxa"/>
            <w:left w:w="108" w:type="dxa"/>
            <w:bottom w:w="0" w:type="dxa"/>
            <w:right w:w="108" w:type="dxa"/>
          </w:tblCellMar>
        </w:tblPrEx>
        <w:trPr>
          <w:trHeight w:val="240" w:hRule="atLeast"/>
        </w:trPr>
        <w:tc>
          <w:tcPr>
            <w:tcW w:w="14220"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照明系统</w:t>
            </w: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9</w:t>
            </w:r>
          </w:p>
        </w:tc>
        <w:tc>
          <w:tcPr>
            <w:tcW w:w="2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平板灯</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600*600mm</w:t>
            </w:r>
            <w:r>
              <w:rPr>
                <w:rFonts w:ascii="Times New Roman" w:hAnsi="Times New Roman" w:eastAsia="楷体"/>
                <w:color w:val="auto"/>
                <w:szCs w:val="21"/>
              </w:rPr>
              <w:t xml:space="preserve"> </w:t>
            </w:r>
            <w:r>
              <w:rPr>
                <w:rFonts w:ascii="Times New Roman" w:hAnsi="Times New Roman" w:eastAsia="楷体"/>
                <w:color w:val="auto"/>
                <w:kern w:val="0"/>
                <w:szCs w:val="21"/>
              </w:rPr>
              <w:t>LED-48W</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hint="eastAsia" w:ascii="Times New Roman" w:hAnsi="Times New Roman" w:eastAsia="楷体"/>
                <w:color w:val="auto"/>
                <w:kern w:val="0"/>
                <w:szCs w:val="21"/>
                <w:lang w:val="en-US" w:eastAsia="zh-CN"/>
              </w:rPr>
              <w:t>48</w:t>
            </w:r>
            <w:r>
              <w:rPr>
                <w:rFonts w:ascii="Times New Roman" w:hAnsi="Times New Roman" w:eastAsia="楷体"/>
                <w:color w:val="auto"/>
                <w:kern w:val="0"/>
                <w:szCs w:val="21"/>
              </w:rPr>
              <w:t>盏</w:t>
            </w:r>
          </w:p>
        </w:tc>
        <w:tc>
          <w:tcPr>
            <w:tcW w:w="1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10</w:t>
            </w:r>
          </w:p>
        </w:tc>
        <w:tc>
          <w:tcPr>
            <w:tcW w:w="2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平板灯</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300*600mm</w:t>
            </w:r>
            <w:r>
              <w:rPr>
                <w:rFonts w:ascii="Times New Roman" w:hAnsi="Times New Roman" w:eastAsia="楷体"/>
                <w:color w:val="auto"/>
                <w:szCs w:val="21"/>
              </w:rPr>
              <w:t xml:space="preserve"> </w:t>
            </w:r>
            <w:r>
              <w:rPr>
                <w:rFonts w:ascii="Times New Roman" w:hAnsi="Times New Roman" w:eastAsia="楷体"/>
                <w:color w:val="auto"/>
                <w:kern w:val="0"/>
                <w:szCs w:val="21"/>
              </w:rPr>
              <w:t>LED-24W</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85盏</w:t>
            </w:r>
          </w:p>
        </w:tc>
        <w:tc>
          <w:tcPr>
            <w:tcW w:w="1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11</w:t>
            </w:r>
          </w:p>
        </w:tc>
        <w:tc>
          <w:tcPr>
            <w:tcW w:w="2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筒灯</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LED-12W</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121盏</w:t>
            </w:r>
          </w:p>
        </w:tc>
        <w:tc>
          <w:tcPr>
            <w:tcW w:w="1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12</w:t>
            </w:r>
          </w:p>
        </w:tc>
        <w:tc>
          <w:tcPr>
            <w:tcW w:w="2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高杆灯</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23W节能灯</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5盏</w:t>
            </w:r>
          </w:p>
        </w:tc>
        <w:tc>
          <w:tcPr>
            <w:tcW w:w="1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p>
        </w:tc>
      </w:tr>
      <w:tr>
        <w:tblPrEx>
          <w:tblLayout w:type="fixed"/>
          <w:tblCellMar>
            <w:top w:w="0" w:type="dxa"/>
            <w:left w:w="108" w:type="dxa"/>
            <w:bottom w:w="0" w:type="dxa"/>
            <w:right w:w="108" w:type="dxa"/>
          </w:tblCellMar>
        </w:tblPrEx>
        <w:trPr>
          <w:trHeight w:val="240" w:hRule="atLeast"/>
        </w:trPr>
        <w:tc>
          <w:tcPr>
            <w:tcW w:w="14220"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会议音响系统</w:t>
            </w:r>
          </w:p>
        </w:tc>
      </w:tr>
      <w:tr>
        <w:tblPrEx>
          <w:tblLayout w:type="fixed"/>
          <w:tblCellMar>
            <w:top w:w="0" w:type="dxa"/>
            <w:left w:w="108" w:type="dxa"/>
            <w:bottom w:w="0" w:type="dxa"/>
            <w:right w:w="108" w:type="dxa"/>
          </w:tblCellMar>
        </w:tblPrEx>
        <w:trPr>
          <w:trHeight w:val="24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13</w:t>
            </w:r>
          </w:p>
        </w:tc>
        <w:tc>
          <w:tcPr>
            <w:tcW w:w="25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会议音箱设备</w:t>
            </w:r>
          </w:p>
        </w:tc>
        <w:tc>
          <w:tcPr>
            <w:tcW w:w="76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3楼会议室、5楼会议室</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r>
              <w:rPr>
                <w:rFonts w:ascii="Times New Roman" w:hAnsi="Times New Roman" w:eastAsia="楷体"/>
                <w:color w:val="auto"/>
                <w:kern w:val="0"/>
                <w:szCs w:val="21"/>
              </w:rPr>
              <w:t>2套</w:t>
            </w:r>
          </w:p>
        </w:tc>
        <w:tc>
          <w:tcPr>
            <w:tcW w:w="17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楷体"/>
                <w:color w:val="auto"/>
                <w:kern w:val="0"/>
                <w:szCs w:val="21"/>
              </w:rPr>
            </w:pPr>
          </w:p>
        </w:tc>
      </w:tr>
    </w:tbl>
    <w:p>
      <w:pPr>
        <w:keepNext/>
        <w:keepLines/>
        <w:spacing w:before="260" w:after="260" w:line="660" w:lineRule="exact"/>
        <w:outlineLvl w:val="1"/>
        <w:rPr>
          <w:rFonts w:ascii="Times New Roman" w:hAnsi="Times New Roman" w:eastAsia="黑体"/>
          <w:bCs/>
          <w:color w:val="auto"/>
          <w:sz w:val="28"/>
          <w:szCs w:val="28"/>
        </w:rPr>
      </w:pPr>
      <w:r>
        <w:rPr>
          <w:rFonts w:ascii="Times New Roman" w:hAnsi="Times New Roman" w:eastAsia="黑体"/>
          <w:bCs/>
          <w:color w:val="auto"/>
          <w:sz w:val="28"/>
          <w:szCs w:val="28"/>
        </w:rPr>
        <w:t>表5</w:t>
      </w:r>
    </w:p>
    <w:p>
      <w:pPr>
        <w:keepNext/>
        <w:keepLines/>
        <w:spacing w:line="660" w:lineRule="exact"/>
        <w:jc w:val="center"/>
        <w:outlineLvl w:val="1"/>
        <w:rPr>
          <w:rFonts w:ascii="Times New Roman" w:hAnsi="Times New Roman" w:eastAsia="方正小标宋简体"/>
          <w:bCs/>
          <w:color w:val="auto"/>
          <w:sz w:val="32"/>
          <w:szCs w:val="32"/>
        </w:rPr>
      </w:pPr>
      <w:r>
        <w:rPr>
          <w:rFonts w:ascii="Times New Roman" w:hAnsi="Times New Roman" w:eastAsia="方正小标宋简体"/>
          <w:bCs/>
          <w:color w:val="auto"/>
          <w:sz w:val="32"/>
          <w:szCs w:val="32"/>
        </w:rPr>
        <w:t>周转房设施、设备清单</w:t>
      </w:r>
    </w:p>
    <w:tbl>
      <w:tblPr>
        <w:tblStyle w:val="49"/>
        <w:tblpPr w:leftFromText="180" w:rightFromText="180" w:vertAnchor="text" w:horzAnchor="page" w:tblpX="1468" w:tblpY="367"/>
        <w:tblOverlap w:val="never"/>
        <w:tblW w:w="14325" w:type="dxa"/>
        <w:tblInd w:w="0" w:type="dxa"/>
        <w:tblLayout w:type="fixed"/>
        <w:tblCellMar>
          <w:top w:w="0" w:type="dxa"/>
          <w:left w:w="108" w:type="dxa"/>
          <w:bottom w:w="0" w:type="dxa"/>
          <w:right w:w="108" w:type="dxa"/>
        </w:tblCellMar>
      </w:tblPr>
      <w:tblGrid>
        <w:gridCol w:w="990"/>
        <w:gridCol w:w="2565"/>
        <w:gridCol w:w="7635"/>
        <w:gridCol w:w="1440"/>
        <w:gridCol w:w="1695"/>
      </w:tblGrid>
      <w:tr>
        <w:tblPrEx>
          <w:tblLayout w:type="fixed"/>
          <w:tblCellMar>
            <w:top w:w="0" w:type="dxa"/>
            <w:left w:w="108" w:type="dxa"/>
            <w:bottom w:w="0" w:type="dxa"/>
            <w:right w:w="108" w:type="dxa"/>
          </w:tblCellMar>
        </w:tblPrEx>
        <w:trPr>
          <w:trHeight w:val="490" w:hRule="atLeast"/>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黑体"/>
                <w:bCs/>
                <w:color w:val="auto"/>
                <w:kern w:val="0"/>
                <w:szCs w:val="21"/>
              </w:rPr>
            </w:pPr>
            <w:r>
              <w:rPr>
                <w:rFonts w:ascii="Times New Roman" w:hAnsi="Times New Roman" w:eastAsia="黑体"/>
                <w:bCs/>
                <w:color w:val="auto"/>
                <w:kern w:val="0"/>
                <w:szCs w:val="21"/>
              </w:rPr>
              <w:t>序号</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黑体"/>
                <w:bCs/>
                <w:color w:val="auto"/>
                <w:kern w:val="0"/>
                <w:szCs w:val="21"/>
              </w:rPr>
            </w:pPr>
            <w:r>
              <w:rPr>
                <w:rFonts w:ascii="Times New Roman" w:hAnsi="Times New Roman" w:eastAsia="黑体"/>
                <w:bCs/>
                <w:color w:val="auto"/>
                <w:kern w:val="0"/>
                <w:szCs w:val="21"/>
              </w:rPr>
              <w:t>项目名称</w:t>
            </w:r>
          </w:p>
        </w:tc>
        <w:tc>
          <w:tcPr>
            <w:tcW w:w="7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黑体"/>
                <w:bCs/>
                <w:color w:val="auto"/>
                <w:kern w:val="0"/>
                <w:szCs w:val="21"/>
              </w:rPr>
            </w:pPr>
            <w:r>
              <w:rPr>
                <w:rFonts w:ascii="Times New Roman" w:hAnsi="Times New Roman" w:eastAsia="黑体"/>
                <w:bCs/>
                <w:color w:val="auto"/>
                <w:kern w:val="0"/>
                <w:szCs w:val="21"/>
              </w:rPr>
              <w:t>项目特征及内容</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黑体"/>
                <w:bCs/>
                <w:color w:val="auto"/>
                <w:kern w:val="0"/>
                <w:szCs w:val="21"/>
              </w:rPr>
            </w:pPr>
            <w:r>
              <w:rPr>
                <w:rFonts w:ascii="Times New Roman" w:hAnsi="Times New Roman" w:eastAsia="黑体"/>
                <w:bCs/>
                <w:color w:val="auto"/>
                <w:kern w:val="0"/>
                <w:szCs w:val="21"/>
              </w:rPr>
              <w:t>数量</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黑体"/>
                <w:bCs/>
                <w:color w:val="auto"/>
                <w:kern w:val="0"/>
                <w:szCs w:val="21"/>
              </w:rPr>
            </w:pPr>
            <w:r>
              <w:rPr>
                <w:rFonts w:ascii="Times New Roman" w:hAnsi="Times New Roman" w:eastAsia="黑体"/>
                <w:bCs/>
                <w:color w:val="auto"/>
                <w:kern w:val="0"/>
                <w:szCs w:val="21"/>
              </w:rPr>
              <w:t>备注</w:t>
            </w:r>
          </w:p>
        </w:tc>
      </w:tr>
      <w:tr>
        <w:tblPrEx>
          <w:tblLayout w:type="fixed"/>
          <w:tblCellMar>
            <w:top w:w="0" w:type="dxa"/>
            <w:left w:w="108" w:type="dxa"/>
            <w:bottom w:w="0" w:type="dxa"/>
            <w:right w:w="108" w:type="dxa"/>
          </w:tblCellMar>
        </w:tblPrEx>
        <w:trPr>
          <w:trHeight w:val="540" w:hRule="atLeast"/>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w:t>
            </w:r>
          </w:p>
        </w:tc>
        <w:tc>
          <w:tcPr>
            <w:tcW w:w="25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空调</w:t>
            </w:r>
          </w:p>
        </w:tc>
        <w:tc>
          <w:tcPr>
            <w:tcW w:w="7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挂式</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66台</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品牌：格力</w:t>
            </w:r>
          </w:p>
        </w:tc>
      </w:tr>
      <w:tr>
        <w:tblPrEx>
          <w:tblLayout w:type="fixed"/>
          <w:tblCellMar>
            <w:top w:w="0" w:type="dxa"/>
            <w:left w:w="108" w:type="dxa"/>
            <w:bottom w:w="0" w:type="dxa"/>
            <w:right w:w="108" w:type="dxa"/>
          </w:tblCellMar>
        </w:tblPrEx>
        <w:trPr>
          <w:trHeight w:val="450" w:hRule="atLeast"/>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w:t>
            </w:r>
          </w:p>
        </w:tc>
        <w:tc>
          <w:tcPr>
            <w:tcW w:w="25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7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柜式</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27台</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品牌：格力</w:t>
            </w:r>
          </w:p>
        </w:tc>
      </w:tr>
      <w:tr>
        <w:tblPrEx>
          <w:tblLayout w:type="fixed"/>
          <w:tblCellMar>
            <w:top w:w="0" w:type="dxa"/>
            <w:left w:w="108" w:type="dxa"/>
            <w:bottom w:w="0" w:type="dxa"/>
            <w:right w:w="108" w:type="dxa"/>
          </w:tblCellMar>
        </w:tblPrEx>
        <w:trPr>
          <w:trHeight w:val="460" w:hRule="atLeast"/>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3</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道闸</w:t>
            </w:r>
          </w:p>
        </w:tc>
        <w:tc>
          <w:tcPr>
            <w:tcW w:w="7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1台</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r>
      <w:tr>
        <w:tblPrEx>
          <w:tblLayout w:type="fixed"/>
          <w:tblCellMar>
            <w:top w:w="0" w:type="dxa"/>
            <w:left w:w="108" w:type="dxa"/>
            <w:bottom w:w="0" w:type="dxa"/>
            <w:right w:w="108" w:type="dxa"/>
          </w:tblCellMar>
        </w:tblPrEx>
        <w:trPr>
          <w:trHeight w:val="500" w:hRule="atLeast"/>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4</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电视机</w:t>
            </w:r>
          </w:p>
        </w:tc>
        <w:tc>
          <w:tcPr>
            <w:tcW w:w="7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87台</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品牌：海信</w:t>
            </w:r>
          </w:p>
        </w:tc>
      </w:tr>
      <w:tr>
        <w:tblPrEx>
          <w:tblLayout w:type="fixed"/>
          <w:tblCellMar>
            <w:top w:w="0" w:type="dxa"/>
            <w:left w:w="108" w:type="dxa"/>
            <w:bottom w:w="0" w:type="dxa"/>
            <w:right w:w="108" w:type="dxa"/>
          </w:tblCellMar>
        </w:tblPrEx>
        <w:trPr>
          <w:trHeight w:val="470" w:hRule="atLeast"/>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5</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电热水器</w:t>
            </w:r>
          </w:p>
        </w:tc>
        <w:tc>
          <w:tcPr>
            <w:tcW w:w="7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7台</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品牌：海尔</w:t>
            </w:r>
          </w:p>
        </w:tc>
      </w:tr>
      <w:tr>
        <w:tblPrEx>
          <w:tblLayout w:type="fixed"/>
          <w:tblCellMar>
            <w:top w:w="0" w:type="dxa"/>
            <w:left w:w="108" w:type="dxa"/>
            <w:bottom w:w="0" w:type="dxa"/>
            <w:right w:w="108" w:type="dxa"/>
          </w:tblCellMar>
        </w:tblPrEx>
        <w:trPr>
          <w:trHeight w:val="480" w:hRule="atLeast"/>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6</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天然气热水器</w:t>
            </w:r>
          </w:p>
        </w:tc>
        <w:tc>
          <w:tcPr>
            <w:tcW w:w="7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22台</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品牌：欧眯嘉</w:t>
            </w:r>
          </w:p>
        </w:tc>
      </w:tr>
      <w:tr>
        <w:tblPrEx>
          <w:tblLayout w:type="fixed"/>
          <w:tblCellMar>
            <w:top w:w="0" w:type="dxa"/>
            <w:left w:w="108" w:type="dxa"/>
            <w:bottom w:w="0" w:type="dxa"/>
            <w:right w:w="108" w:type="dxa"/>
          </w:tblCellMar>
        </w:tblPrEx>
        <w:trPr>
          <w:trHeight w:val="615" w:hRule="atLeast"/>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7</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电梯</w:t>
            </w:r>
          </w:p>
        </w:tc>
        <w:tc>
          <w:tcPr>
            <w:tcW w:w="7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型号：GTW8-81P5；额定载重：800kg；速度：1.5m/s</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1台</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楷体"/>
                <w:bCs/>
                <w:color w:val="auto"/>
                <w:kern w:val="0"/>
                <w:szCs w:val="21"/>
              </w:rPr>
            </w:pPr>
            <w:r>
              <w:rPr>
                <w:rFonts w:ascii="Times New Roman" w:hAnsi="Times New Roman" w:eastAsia="楷体"/>
                <w:bCs/>
                <w:color w:val="auto"/>
                <w:kern w:val="0"/>
                <w:szCs w:val="21"/>
              </w:rPr>
              <w:t>品牌：四川快速电梯有限公司</w:t>
            </w:r>
          </w:p>
        </w:tc>
      </w:tr>
    </w:tbl>
    <w:p>
      <w:pPr>
        <w:spacing w:line="480" w:lineRule="exact"/>
        <w:ind w:firstLine="480" w:firstLineChars="200"/>
        <w:rPr>
          <w:rFonts w:hint="eastAsia" w:ascii="宋体" w:hAnsi="宋体" w:eastAsia="宋体" w:cs="宋体"/>
          <w:color w:val="auto"/>
          <w:sz w:val="24"/>
          <w:lang w:val="en-US" w:eastAsia="zh-CN"/>
        </w:rPr>
      </w:pPr>
    </w:p>
    <w:p>
      <w:pPr>
        <w:spacing w:line="480" w:lineRule="exact"/>
        <w:ind w:firstLine="480" w:firstLineChars="200"/>
        <w:rPr>
          <w:rFonts w:hint="eastAsia" w:ascii="宋体" w:hAnsi="宋体" w:eastAsia="宋体" w:cs="宋体"/>
          <w:color w:val="auto"/>
          <w:sz w:val="24"/>
          <w:lang w:val="en-US" w:eastAsia="zh-CN"/>
        </w:rPr>
      </w:pPr>
    </w:p>
    <w:p>
      <w:pPr>
        <w:spacing w:line="480" w:lineRule="exact"/>
        <w:ind w:firstLine="480" w:firstLineChars="200"/>
        <w:rPr>
          <w:rFonts w:hint="eastAsia" w:ascii="宋体" w:hAnsi="宋体" w:eastAsia="宋体" w:cs="宋体"/>
          <w:color w:val="auto"/>
          <w:sz w:val="24"/>
          <w:lang w:val="en-US" w:eastAsia="zh-CN"/>
        </w:rPr>
      </w:pPr>
    </w:p>
    <w:p>
      <w:pPr>
        <w:spacing w:line="480" w:lineRule="exact"/>
        <w:ind w:firstLine="480" w:firstLineChars="200"/>
        <w:rPr>
          <w:rFonts w:hint="eastAsia" w:ascii="宋体" w:hAnsi="宋体" w:eastAsia="宋体" w:cs="宋体"/>
          <w:color w:val="auto"/>
          <w:sz w:val="24"/>
          <w:lang w:val="en-US" w:eastAsia="zh-CN"/>
        </w:rPr>
      </w:pPr>
    </w:p>
    <w:p>
      <w:pPr>
        <w:spacing w:line="480" w:lineRule="exact"/>
        <w:ind w:firstLine="480" w:firstLineChars="200"/>
        <w:rPr>
          <w:rFonts w:hint="eastAsia" w:ascii="宋体" w:hAnsi="宋体" w:eastAsia="宋体" w:cs="宋体"/>
          <w:color w:val="auto"/>
          <w:sz w:val="24"/>
          <w:lang w:val="en-US" w:eastAsia="zh-CN"/>
        </w:rPr>
        <w:sectPr>
          <w:pgSz w:w="16838" w:h="11906" w:orient="landscape"/>
          <w:pgMar w:top="1800" w:right="1440" w:bottom="1800" w:left="1440" w:header="851" w:footer="992" w:gutter="0"/>
          <w:cols w:space="425" w:num="1"/>
          <w:docGrid w:type="lines" w:linePitch="312" w:charSpace="0"/>
        </w:sectPr>
      </w:pPr>
    </w:p>
    <w:p>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其他概况</w:t>
      </w:r>
    </w:p>
    <w:p>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本项目</w:t>
      </w:r>
      <w:r>
        <w:rPr>
          <w:rFonts w:hint="eastAsia" w:ascii="宋体" w:hAnsi="宋体" w:eastAsia="宋体" w:cs="宋体"/>
          <w:color w:val="auto"/>
          <w:sz w:val="24"/>
          <w:lang w:eastAsia="zh-CN"/>
        </w:rPr>
        <w:t>甲方</w:t>
      </w:r>
      <w:r>
        <w:rPr>
          <w:rFonts w:hint="eastAsia" w:ascii="宋体" w:hAnsi="宋体" w:eastAsia="宋体" w:cs="宋体"/>
          <w:color w:val="auto"/>
          <w:sz w:val="24"/>
        </w:rPr>
        <w:t>免费向</w:t>
      </w:r>
      <w:r>
        <w:rPr>
          <w:rFonts w:hint="eastAsia" w:ascii="宋体" w:hAnsi="宋体" w:eastAsia="宋体" w:cs="宋体"/>
          <w:color w:val="auto"/>
          <w:sz w:val="24"/>
          <w:lang w:eastAsia="zh-CN"/>
        </w:rPr>
        <w:t>乙方</w:t>
      </w:r>
      <w:r>
        <w:rPr>
          <w:rFonts w:hint="eastAsia" w:ascii="宋体" w:hAnsi="宋体" w:eastAsia="宋体" w:cs="宋体"/>
          <w:color w:val="auto"/>
          <w:sz w:val="24"/>
        </w:rPr>
        <w:t>提供相应的办公用房，但不提供物业管理人员住宿用房。</w:t>
      </w:r>
    </w:p>
    <w:p>
      <w:pPr>
        <w:pStyle w:val="213"/>
        <w:widowControl w:val="0"/>
        <w:autoSpaceDE w:val="0"/>
        <w:autoSpaceDN w:val="0"/>
        <w:spacing w:before="0" w:after="0" w:line="600" w:lineRule="exact"/>
        <w:ind w:firstLine="480" w:firstLineChars="200"/>
        <w:jc w:val="left"/>
        <w:rPr>
          <w:rFonts w:hint="eastAsia" w:ascii="宋体" w:hAnsi="宋体" w:eastAsia="宋体" w:cs="宋体"/>
          <w:b/>
          <w:bCs/>
          <w:color w:val="auto"/>
          <w:spacing w:val="-1"/>
          <w:sz w:val="24"/>
          <w:szCs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本项目公共能耗由</w:t>
      </w:r>
      <w:r>
        <w:rPr>
          <w:rFonts w:hint="eastAsia" w:ascii="宋体" w:hAnsi="宋体" w:eastAsia="宋体" w:cs="宋体"/>
          <w:color w:val="auto"/>
          <w:sz w:val="24"/>
          <w:lang w:eastAsia="zh-CN"/>
        </w:rPr>
        <w:t>甲方</w:t>
      </w:r>
      <w:r>
        <w:rPr>
          <w:rFonts w:hint="eastAsia" w:ascii="宋体" w:hAnsi="宋体" w:eastAsia="宋体" w:cs="宋体"/>
          <w:color w:val="auto"/>
          <w:sz w:val="24"/>
        </w:rPr>
        <w:t>承担。</w:t>
      </w:r>
    </w:p>
    <w:p>
      <w:pPr>
        <w:pStyle w:val="213"/>
        <w:widowControl w:val="0"/>
        <w:autoSpaceDE w:val="0"/>
        <w:autoSpaceDN w:val="0"/>
        <w:spacing w:before="0" w:after="0" w:line="600" w:lineRule="exact"/>
        <w:ind w:firstLine="478"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b/>
          <w:bCs/>
          <w:color w:val="auto"/>
          <w:spacing w:val="-1"/>
          <w:sz w:val="24"/>
          <w:szCs w:val="24"/>
          <w:lang w:eastAsia="zh-CN"/>
        </w:rPr>
        <w:t>第二条  合同期限</w:t>
      </w:r>
    </w:p>
    <w:p>
      <w:pPr>
        <w:pStyle w:val="213"/>
        <w:widowControl w:val="0"/>
        <w:autoSpaceDE w:val="0"/>
        <w:autoSpaceDN w:val="0"/>
        <w:spacing w:before="0" w:after="0" w:line="600" w:lineRule="exact"/>
        <w:ind w:left="719" w:leftChars="228" w:hanging="240" w:hangingChars="1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本项目期限为两年，合同一年一签，本次合同委托管理的期限为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日至</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w:t>
      </w:r>
      <w:r>
        <w:rPr>
          <w:rFonts w:hint="eastAsia" w:ascii="宋体" w:hAnsi="宋体" w:eastAsia="宋体" w:cs="宋体"/>
          <w:color w:val="auto"/>
          <w:sz w:val="24"/>
          <w:szCs w:val="24"/>
          <w:lang w:eastAsia="zh-CN"/>
        </w:rPr>
        <w:t>。</w:t>
      </w:r>
    </w:p>
    <w:p>
      <w:pPr>
        <w:pStyle w:val="213"/>
        <w:widowControl w:val="0"/>
        <w:autoSpaceDE w:val="0"/>
        <w:autoSpaceDN w:val="0"/>
        <w:spacing w:before="0" w:after="0" w:line="600" w:lineRule="exact"/>
        <w:ind w:firstLine="478"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b/>
          <w:bCs/>
          <w:color w:val="auto"/>
          <w:spacing w:val="-1"/>
          <w:sz w:val="24"/>
          <w:szCs w:val="24"/>
          <w:lang w:eastAsia="zh-CN"/>
        </w:rPr>
        <w:t>第三条  服务内容与质量标准</w:t>
      </w:r>
    </w:p>
    <w:p>
      <w:pPr>
        <w:spacing w:line="360"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eastAsia="zh-CN"/>
        </w:rPr>
        <w:t>（一）</w:t>
      </w:r>
      <w:r>
        <w:rPr>
          <w:rFonts w:hint="eastAsia" w:ascii="宋体" w:hAnsi="宋体" w:eastAsia="宋体" w:cs="宋体"/>
          <w:b w:val="0"/>
          <w:bCs w:val="0"/>
          <w:color w:val="auto"/>
          <w:sz w:val="24"/>
        </w:rPr>
        <w:t>物业管理</w:t>
      </w:r>
      <w:r>
        <w:rPr>
          <w:rFonts w:hint="eastAsia" w:ascii="宋体" w:hAnsi="宋体" w:cs="宋体"/>
          <w:b w:val="0"/>
          <w:bCs w:val="0"/>
          <w:color w:val="auto"/>
          <w:sz w:val="24"/>
          <w:lang w:val="en-US" w:eastAsia="zh-CN"/>
        </w:rPr>
        <w:t>服务</w:t>
      </w:r>
      <w:r>
        <w:rPr>
          <w:rFonts w:hint="eastAsia" w:ascii="宋体" w:hAnsi="宋体" w:eastAsia="宋体" w:cs="宋体"/>
          <w:b w:val="0"/>
          <w:bCs w:val="0"/>
          <w:color w:val="auto"/>
          <w:sz w:val="24"/>
        </w:rPr>
        <w:t>要求</w:t>
      </w:r>
    </w:p>
    <w:p>
      <w:pPr>
        <w:spacing w:line="590" w:lineRule="exact"/>
        <w:ind w:firstLine="480" w:firstLineChars="200"/>
        <w:rPr>
          <w:rFonts w:hint="eastAsia" w:ascii="宋体" w:hAnsi="宋体" w:eastAsia="宋体" w:cs="宋体"/>
          <w:color w:val="auto"/>
          <w:kern w:val="0"/>
          <w:sz w:val="24"/>
          <w:szCs w:val="24"/>
          <w:lang w:val="ru-RU" w:eastAsia="zh-CN" w:bidi="ar-SA"/>
        </w:rPr>
      </w:pPr>
      <w:r>
        <w:rPr>
          <w:rFonts w:hint="eastAsia" w:ascii="宋体" w:hAnsi="宋体" w:eastAsia="宋体" w:cs="宋体"/>
          <w:color w:val="auto"/>
          <w:kern w:val="0"/>
          <w:sz w:val="24"/>
          <w:szCs w:val="24"/>
          <w:lang w:val="ru-RU" w:eastAsia="zh-CN" w:bidi="ar-SA"/>
        </w:rPr>
        <w:t>1.服务事项：建筑物管理及维护，设施设备运行管理及维护，治安保卫、</w:t>
      </w:r>
      <w:r>
        <w:rPr>
          <w:rFonts w:hint="eastAsia" w:ascii="宋体" w:hAnsi="宋体" w:eastAsia="宋体" w:cs="宋体"/>
          <w:color w:val="auto"/>
          <w:kern w:val="0"/>
          <w:sz w:val="24"/>
          <w:szCs w:val="24"/>
          <w:lang w:val="en-US" w:eastAsia="zh-CN" w:bidi="ar-SA"/>
        </w:rPr>
        <w:t>疫情防控</w:t>
      </w:r>
      <w:r>
        <w:rPr>
          <w:rFonts w:hint="eastAsia" w:ascii="宋体" w:hAnsi="宋体" w:eastAsia="宋体" w:cs="宋体"/>
          <w:color w:val="auto"/>
          <w:kern w:val="0"/>
          <w:sz w:val="24"/>
          <w:szCs w:val="24"/>
          <w:lang w:val="ru-RU" w:eastAsia="zh-CN" w:bidi="ar-SA"/>
        </w:rPr>
        <w:t>，卫生保洁、会务服务和客服服务等。</w:t>
      </w:r>
    </w:p>
    <w:p>
      <w:pPr>
        <w:spacing w:line="590" w:lineRule="exact"/>
        <w:ind w:firstLine="480" w:firstLineChars="200"/>
        <w:rPr>
          <w:rFonts w:hint="eastAsia" w:ascii="宋体" w:hAnsi="宋体" w:eastAsia="宋体" w:cs="宋体"/>
          <w:color w:val="auto"/>
          <w:kern w:val="0"/>
          <w:sz w:val="24"/>
          <w:szCs w:val="24"/>
          <w:lang w:val="ru-RU" w:eastAsia="zh-CN" w:bidi="ar-SA"/>
        </w:rPr>
      </w:pPr>
      <w:r>
        <w:rPr>
          <w:rFonts w:hint="eastAsia" w:ascii="宋体" w:hAnsi="宋体" w:eastAsia="宋体" w:cs="宋体"/>
          <w:color w:val="auto"/>
          <w:kern w:val="0"/>
          <w:sz w:val="24"/>
          <w:szCs w:val="24"/>
          <w:lang w:val="ru-RU" w:eastAsia="zh-CN" w:bidi="ar-SA"/>
        </w:rPr>
        <w:t>2.服务要求：按照要求</w:t>
      </w:r>
      <w:r>
        <w:rPr>
          <w:rFonts w:hint="eastAsia" w:ascii="宋体" w:hAnsi="宋体" w:eastAsia="宋体" w:cs="宋体"/>
          <w:color w:val="auto"/>
          <w:kern w:val="0"/>
          <w:sz w:val="24"/>
          <w:szCs w:val="24"/>
          <w:lang w:val="en-US" w:eastAsia="zh-CN" w:bidi="ar-SA"/>
        </w:rPr>
        <w:t>加强</w:t>
      </w:r>
      <w:r>
        <w:rPr>
          <w:rFonts w:hint="eastAsia" w:ascii="宋体" w:hAnsi="宋体" w:eastAsia="宋体" w:cs="宋体"/>
          <w:color w:val="auto"/>
          <w:kern w:val="0"/>
          <w:sz w:val="24"/>
          <w:szCs w:val="24"/>
          <w:lang w:val="ru-RU" w:eastAsia="zh-CN" w:bidi="ar-SA"/>
        </w:rPr>
        <w:t>楼宇治安、</w:t>
      </w:r>
      <w:r>
        <w:rPr>
          <w:rFonts w:hint="eastAsia" w:ascii="宋体" w:hAnsi="宋体" w:eastAsia="宋体" w:cs="宋体"/>
          <w:color w:val="auto"/>
          <w:kern w:val="0"/>
          <w:sz w:val="24"/>
          <w:szCs w:val="24"/>
          <w:lang w:val="en-US" w:eastAsia="zh-CN" w:bidi="ar-SA"/>
        </w:rPr>
        <w:t>疾病防控、</w:t>
      </w:r>
      <w:r>
        <w:rPr>
          <w:rFonts w:hint="eastAsia" w:ascii="宋体" w:hAnsi="宋体" w:eastAsia="宋体" w:cs="宋体"/>
          <w:color w:val="auto"/>
          <w:kern w:val="0"/>
          <w:sz w:val="24"/>
          <w:szCs w:val="24"/>
          <w:lang w:val="ru-RU" w:eastAsia="zh-CN" w:bidi="ar-SA"/>
        </w:rPr>
        <w:t>清洁消毒、来信来访、突发事件处置、</w:t>
      </w:r>
      <w:r>
        <w:rPr>
          <w:rFonts w:hint="eastAsia" w:ascii="宋体" w:hAnsi="宋体" w:eastAsia="宋体" w:cs="宋体"/>
          <w:color w:val="auto"/>
          <w:kern w:val="0"/>
          <w:sz w:val="24"/>
          <w:szCs w:val="24"/>
          <w:lang w:val="en-US" w:eastAsia="zh-CN" w:bidi="ar-SA"/>
        </w:rPr>
        <w:t>会务服务、客服服务</w:t>
      </w:r>
      <w:r>
        <w:rPr>
          <w:rFonts w:hint="eastAsia" w:ascii="宋体" w:hAnsi="宋体" w:eastAsia="宋体" w:cs="宋体"/>
          <w:color w:val="auto"/>
          <w:kern w:val="0"/>
          <w:sz w:val="24"/>
          <w:szCs w:val="24"/>
          <w:lang w:val="ru-RU" w:eastAsia="zh-CN" w:bidi="ar-SA"/>
        </w:rPr>
        <w:t>等</w:t>
      </w:r>
      <w:r>
        <w:rPr>
          <w:rFonts w:hint="eastAsia" w:ascii="宋体" w:hAnsi="宋体" w:eastAsia="宋体" w:cs="宋体"/>
          <w:color w:val="auto"/>
          <w:kern w:val="0"/>
          <w:sz w:val="24"/>
          <w:szCs w:val="24"/>
          <w:lang w:val="en-US" w:eastAsia="zh-CN" w:bidi="ar-SA"/>
        </w:rPr>
        <w:t>工作</w:t>
      </w:r>
      <w:r>
        <w:rPr>
          <w:rFonts w:hint="eastAsia" w:ascii="宋体" w:hAnsi="宋体" w:eastAsia="宋体" w:cs="宋体"/>
          <w:color w:val="auto"/>
          <w:kern w:val="0"/>
          <w:sz w:val="24"/>
          <w:szCs w:val="24"/>
          <w:lang w:val="ru-RU" w:eastAsia="zh-CN" w:bidi="ar-SA"/>
        </w:rPr>
        <w:t>，</w:t>
      </w:r>
      <w:r>
        <w:rPr>
          <w:rFonts w:hint="eastAsia" w:ascii="宋体" w:hAnsi="宋体" w:eastAsia="宋体" w:cs="宋体"/>
          <w:color w:val="auto"/>
          <w:kern w:val="0"/>
          <w:sz w:val="24"/>
          <w:szCs w:val="24"/>
          <w:lang w:val="en-US" w:eastAsia="zh-CN" w:bidi="ar-SA"/>
        </w:rPr>
        <w:t>做好“四大办”集中办公区的</w:t>
      </w:r>
      <w:r>
        <w:rPr>
          <w:rFonts w:hint="eastAsia" w:ascii="宋体" w:hAnsi="宋体" w:eastAsia="宋体" w:cs="宋体"/>
          <w:color w:val="auto"/>
          <w:kern w:val="0"/>
          <w:sz w:val="24"/>
          <w:szCs w:val="24"/>
          <w:lang w:val="ru-RU" w:eastAsia="zh-CN" w:bidi="ar-SA"/>
        </w:rPr>
        <w:t>秩序</w:t>
      </w:r>
      <w:r>
        <w:rPr>
          <w:rFonts w:hint="eastAsia" w:ascii="宋体" w:hAnsi="宋体" w:eastAsia="宋体" w:cs="宋体"/>
          <w:color w:val="auto"/>
          <w:kern w:val="0"/>
          <w:sz w:val="24"/>
          <w:szCs w:val="24"/>
          <w:lang w:val="en-US" w:eastAsia="zh-CN" w:bidi="ar-SA"/>
        </w:rPr>
        <w:t>维护</w:t>
      </w:r>
      <w:r>
        <w:rPr>
          <w:rFonts w:hint="eastAsia" w:ascii="宋体" w:hAnsi="宋体" w:eastAsia="宋体" w:cs="宋体"/>
          <w:color w:val="auto"/>
          <w:kern w:val="0"/>
          <w:sz w:val="24"/>
          <w:szCs w:val="24"/>
          <w:lang w:val="ru-RU" w:eastAsia="zh-CN" w:bidi="ar-SA"/>
        </w:rPr>
        <w:t>、保持环境整洁、提供优质</w:t>
      </w:r>
      <w:r>
        <w:rPr>
          <w:rFonts w:hint="eastAsia" w:ascii="宋体" w:hAnsi="宋体" w:eastAsia="宋体" w:cs="宋体"/>
          <w:color w:val="auto"/>
          <w:kern w:val="0"/>
          <w:sz w:val="24"/>
          <w:szCs w:val="24"/>
          <w:lang w:val="en-US" w:eastAsia="zh-CN" w:bidi="ar-SA"/>
        </w:rPr>
        <w:t>高效的</w:t>
      </w:r>
      <w:r>
        <w:rPr>
          <w:rFonts w:hint="eastAsia" w:ascii="宋体" w:hAnsi="宋体" w:eastAsia="宋体" w:cs="宋体"/>
          <w:color w:val="auto"/>
          <w:kern w:val="0"/>
          <w:sz w:val="24"/>
          <w:szCs w:val="24"/>
          <w:lang w:val="ru-RU" w:eastAsia="zh-CN" w:bidi="ar-SA"/>
        </w:rPr>
        <w:t>服务；做好节能降耗工作，构建节约型机关。</w:t>
      </w:r>
    </w:p>
    <w:p>
      <w:pPr>
        <w:spacing w:line="590" w:lineRule="exact"/>
        <w:ind w:firstLine="480" w:firstLineChars="200"/>
        <w:rPr>
          <w:rFonts w:hint="eastAsia" w:ascii="宋体" w:hAnsi="宋体" w:eastAsia="宋体" w:cs="宋体"/>
          <w:color w:val="auto"/>
          <w:kern w:val="0"/>
          <w:sz w:val="24"/>
          <w:szCs w:val="24"/>
          <w:lang w:val="ru-RU" w:eastAsia="zh-CN" w:bidi="ar-SA"/>
        </w:rPr>
      </w:pPr>
      <w:r>
        <w:rPr>
          <w:rFonts w:hint="eastAsia" w:ascii="宋体" w:hAnsi="宋体" w:eastAsia="宋体" w:cs="宋体"/>
          <w:color w:val="auto"/>
          <w:kern w:val="0"/>
          <w:sz w:val="24"/>
          <w:szCs w:val="24"/>
          <w:lang w:val="ru-RU" w:eastAsia="zh-CN" w:bidi="ar-SA"/>
        </w:rPr>
        <w:t>3.人员设定要求：定岗定员、班次排定、员工福利待遇应符合国家、</w:t>
      </w:r>
      <w:r>
        <w:rPr>
          <w:rFonts w:hint="eastAsia" w:ascii="宋体" w:hAnsi="宋体" w:eastAsia="宋体" w:cs="宋体"/>
          <w:color w:val="auto"/>
          <w:kern w:val="0"/>
          <w:sz w:val="24"/>
          <w:szCs w:val="24"/>
          <w:lang w:val="en-US" w:eastAsia="zh-CN" w:bidi="ar-SA"/>
        </w:rPr>
        <w:t>省、市</w:t>
      </w:r>
      <w:r>
        <w:rPr>
          <w:rFonts w:hint="eastAsia" w:ascii="宋体" w:hAnsi="宋体" w:eastAsia="宋体" w:cs="宋体"/>
          <w:color w:val="auto"/>
          <w:kern w:val="0"/>
          <w:sz w:val="24"/>
          <w:szCs w:val="24"/>
          <w:lang w:val="ru-RU" w:eastAsia="zh-CN" w:bidi="ar-SA"/>
        </w:rPr>
        <w:t>及我市现行法律法规</w:t>
      </w:r>
      <w:r>
        <w:rPr>
          <w:rFonts w:hint="eastAsia" w:ascii="宋体" w:hAnsi="宋体" w:cs="宋体"/>
          <w:color w:val="auto"/>
          <w:kern w:val="0"/>
          <w:sz w:val="24"/>
          <w:szCs w:val="24"/>
          <w:lang w:val="en-US" w:eastAsia="zh-Hans" w:bidi="ar-SA"/>
        </w:rPr>
        <w:t>规章</w:t>
      </w:r>
      <w:r>
        <w:rPr>
          <w:rFonts w:hint="eastAsia" w:ascii="宋体" w:hAnsi="宋体" w:eastAsia="宋体" w:cs="宋体"/>
          <w:color w:val="auto"/>
          <w:kern w:val="0"/>
          <w:sz w:val="24"/>
          <w:szCs w:val="24"/>
          <w:lang w:val="ru-RU" w:eastAsia="zh-CN" w:bidi="ar-SA"/>
        </w:rPr>
        <w:t>的相关规定。</w:t>
      </w:r>
    </w:p>
    <w:p>
      <w:pPr>
        <w:spacing w:line="590" w:lineRule="exact"/>
        <w:ind w:firstLine="480" w:firstLineChars="200"/>
        <w:rPr>
          <w:rFonts w:hint="eastAsia" w:ascii="宋体" w:hAnsi="宋体" w:eastAsia="宋体" w:cs="宋体"/>
          <w:color w:val="auto"/>
          <w:kern w:val="0"/>
          <w:sz w:val="24"/>
          <w:szCs w:val="24"/>
          <w:lang w:val="ru-RU" w:eastAsia="zh-CN" w:bidi="ar-SA"/>
        </w:rPr>
      </w:pPr>
      <w:r>
        <w:rPr>
          <w:rFonts w:hint="eastAsia" w:ascii="宋体" w:hAnsi="宋体" w:eastAsia="宋体" w:cs="宋体"/>
          <w:color w:val="auto"/>
          <w:kern w:val="0"/>
          <w:sz w:val="24"/>
          <w:szCs w:val="24"/>
          <w:lang w:val="ru-RU" w:eastAsia="zh-CN" w:bidi="ar-SA"/>
        </w:rPr>
        <w:t>（二）物业管理人员总体要求</w:t>
      </w:r>
    </w:p>
    <w:p>
      <w:pPr>
        <w:spacing w:line="590" w:lineRule="exact"/>
        <w:ind w:firstLine="480" w:firstLineChars="200"/>
        <w:rPr>
          <w:rFonts w:hint="eastAsia" w:ascii="宋体" w:hAnsi="宋体" w:eastAsia="宋体" w:cs="宋体"/>
          <w:color w:val="auto"/>
          <w:kern w:val="0"/>
          <w:sz w:val="24"/>
          <w:szCs w:val="24"/>
          <w:lang w:val="ru-RU" w:eastAsia="zh-CN" w:bidi="ar-SA"/>
        </w:rPr>
      </w:pPr>
      <w:r>
        <w:rPr>
          <w:rFonts w:hint="eastAsia" w:ascii="宋体" w:hAnsi="宋体" w:eastAsia="宋体" w:cs="宋体"/>
          <w:color w:val="auto"/>
          <w:kern w:val="0"/>
          <w:sz w:val="24"/>
          <w:szCs w:val="24"/>
          <w:lang w:val="ru-RU" w:eastAsia="zh-CN" w:bidi="ar-SA"/>
        </w:rPr>
        <w:t>1.统一着装，整洁大方，佩证齐全；</w:t>
      </w:r>
    </w:p>
    <w:p>
      <w:pPr>
        <w:spacing w:line="590" w:lineRule="exact"/>
        <w:ind w:firstLine="480" w:firstLineChars="200"/>
        <w:rPr>
          <w:rFonts w:hint="eastAsia" w:ascii="宋体" w:hAnsi="宋体" w:eastAsia="宋体" w:cs="宋体"/>
          <w:color w:val="auto"/>
          <w:kern w:val="0"/>
          <w:sz w:val="24"/>
          <w:szCs w:val="24"/>
          <w:lang w:val="ru-RU" w:eastAsia="zh-CN" w:bidi="ar-SA"/>
        </w:rPr>
      </w:pPr>
      <w:r>
        <w:rPr>
          <w:rFonts w:hint="eastAsia" w:ascii="宋体" w:hAnsi="宋体" w:eastAsia="宋体" w:cs="宋体"/>
          <w:color w:val="auto"/>
          <w:kern w:val="0"/>
          <w:sz w:val="24"/>
          <w:szCs w:val="24"/>
          <w:lang w:val="ru-RU" w:eastAsia="zh-CN" w:bidi="ar-SA"/>
        </w:rPr>
        <w:t>2.文明礼貌，行为规范，主动热情；</w:t>
      </w:r>
    </w:p>
    <w:p>
      <w:pPr>
        <w:spacing w:line="590" w:lineRule="exact"/>
        <w:ind w:firstLine="480" w:firstLineChars="200"/>
        <w:rPr>
          <w:rFonts w:hint="eastAsia" w:ascii="宋体" w:hAnsi="宋体" w:eastAsia="宋体" w:cs="宋体"/>
          <w:color w:val="auto"/>
          <w:kern w:val="0"/>
          <w:sz w:val="24"/>
          <w:szCs w:val="24"/>
          <w:lang w:val="ru-RU" w:eastAsia="zh-CN" w:bidi="ar-SA"/>
        </w:rPr>
      </w:pPr>
      <w:r>
        <w:rPr>
          <w:rFonts w:hint="eastAsia" w:ascii="宋体" w:hAnsi="宋体" w:eastAsia="宋体" w:cs="宋体"/>
          <w:color w:val="auto"/>
          <w:kern w:val="0"/>
          <w:sz w:val="24"/>
          <w:szCs w:val="24"/>
          <w:lang w:val="ru-RU" w:eastAsia="zh-CN" w:bidi="ar-SA"/>
        </w:rPr>
        <w:t>3.尽职尽责，</w:t>
      </w:r>
      <w:r>
        <w:rPr>
          <w:rFonts w:hint="eastAsia" w:ascii="宋体" w:hAnsi="宋体" w:eastAsia="宋体" w:cs="宋体"/>
          <w:color w:val="auto"/>
          <w:kern w:val="0"/>
          <w:sz w:val="24"/>
          <w:szCs w:val="24"/>
          <w:lang w:val="zh-CN" w:eastAsia="zh-CN" w:bidi="ar-SA"/>
        </w:rPr>
        <w:t>勤奋工作，规范操作</w:t>
      </w:r>
      <w:r>
        <w:rPr>
          <w:rFonts w:hint="eastAsia" w:ascii="宋体" w:hAnsi="宋体" w:eastAsia="宋体" w:cs="宋体"/>
          <w:color w:val="auto"/>
          <w:kern w:val="0"/>
          <w:sz w:val="24"/>
          <w:szCs w:val="24"/>
          <w:lang w:val="ru-RU" w:eastAsia="zh-CN" w:bidi="ar-SA"/>
        </w:rPr>
        <w:t>；</w:t>
      </w:r>
    </w:p>
    <w:p>
      <w:pPr>
        <w:spacing w:line="590" w:lineRule="exact"/>
        <w:ind w:firstLine="480" w:firstLineChars="200"/>
        <w:rPr>
          <w:rFonts w:hint="eastAsia" w:ascii="宋体" w:hAnsi="宋体" w:eastAsia="宋体" w:cs="宋体"/>
          <w:color w:val="auto"/>
          <w:kern w:val="0"/>
          <w:sz w:val="24"/>
          <w:szCs w:val="24"/>
          <w:lang w:val="ru-RU" w:eastAsia="zh-CN" w:bidi="ar-SA"/>
        </w:rPr>
      </w:pPr>
      <w:r>
        <w:rPr>
          <w:rFonts w:hint="eastAsia" w:ascii="宋体" w:hAnsi="宋体" w:eastAsia="宋体" w:cs="宋体"/>
          <w:color w:val="auto"/>
          <w:kern w:val="0"/>
          <w:sz w:val="24"/>
          <w:szCs w:val="24"/>
          <w:lang w:val="ru-RU" w:eastAsia="zh-CN" w:bidi="ar-SA"/>
        </w:rPr>
        <w:t>4.遵章守纪，厉行节约，爱护公物。</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lang w:eastAsia="zh-CN"/>
        </w:rPr>
        <w:t>（二）</w:t>
      </w:r>
      <w:r>
        <w:rPr>
          <w:rFonts w:hint="eastAsia" w:ascii="宋体" w:hAnsi="宋体" w:eastAsia="宋体" w:cs="宋体"/>
          <w:b/>
          <w:bCs/>
          <w:color w:val="auto"/>
          <w:sz w:val="24"/>
        </w:rPr>
        <w:t>建筑物管理及维护</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1.加强对办公楼、附属房屋及周转房的管理巡查，主动发现问题，发现违规乱搭乱建，擅自改变房屋用途的，及时向</w:t>
      </w:r>
      <w:r>
        <w:rPr>
          <w:rFonts w:hint="eastAsia" w:ascii="宋体" w:hAnsi="宋体" w:cs="宋体"/>
          <w:color w:val="auto"/>
          <w:sz w:val="24"/>
          <w:lang w:val="en-US" w:eastAsia="zh-CN"/>
        </w:rPr>
        <w:t>甲方</w:t>
      </w:r>
      <w:r>
        <w:rPr>
          <w:rFonts w:hint="eastAsia" w:ascii="宋体" w:hAnsi="宋体" w:eastAsia="宋体" w:cs="宋体"/>
          <w:color w:val="auto"/>
          <w:sz w:val="24"/>
        </w:rPr>
        <w:t>报告；</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2.对房屋外观的完好整洁、外墙瓷片、玻璃幕墙要做好巡查，发现问题</w:t>
      </w:r>
      <w:r>
        <w:rPr>
          <w:rFonts w:hint="eastAsia" w:ascii="宋体" w:hAnsi="宋体" w:cs="宋体"/>
          <w:color w:val="auto"/>
          <w:sz w:val="24"/>
          <w:lang w:val="en-US" w:eastAsia="zh-Hans"/>
        </w:rPr>
        <w:t>或安全隐患应</w:t>
      </w:r>
      <w:r>
        <w:rPr>
          <w:rFonts w:hint="eastAsia" w:ascii="宋体" w:hAnsi="宋体" w:eastAsia="宋体" w:cs="宋体"/>
          <w:color w:val="auto"/>
          <w:sz w:val="24"/>
        </w:rPr>
        <w:t>及时处理，如遇无法处理的问题</w:t>
      </w:r>
      <w:r>
        <w:rPr>
          <w:rFonts w:hint="eastAsia" w:ascii="宋体" w:hAnsi="宋体" w:cs="宋体"/>
          <w:color w:val="auto"/>
          <w:sz w:val="24"/>
          <w:lang w:val="en-US" w:eastAsia="zh-Hans"/>
        </w:rPr>
        <w:t>或安全隐患的</w:t>
      </w:r>
      <w:r>
        <w:rPr>
          <w:rFonts w:hint="eastAsia" w:ascii="宋体" w:hAnsi="宋体" w:eastAsia="宋体" w:cs="宋体"/>
          <w:color w:val="auto"/>
          <w:sz w:val="24"/>
        </w:rPr>
        <w:t>及时报告</w:t>
      </w:r>
      <w:r>
        <w:rPr>
          <w:rFonts w:hint="eastAsia" w:ascii="宋体" w:hAnsi="宋体" w:cs="宋体"/>
          <w:color w:val="auto"/>
          <w:sz w:val="24"/>
          <w:lang w:val="en-US" w:eastAsia="zh-CN"/>
        </w:rPr>
        <w:t>甲方</w:t>
      </w:r>
      <w:r>
        <w:rPr>
          <w:rFonts w:hint="eastAsia" w:ascii="宋体" w:hAnsi="宋体" w:eastAsia="宋体" w:cs="宋体"/>
          <w:color w:val="auto"/>
          <w:sz w:val="24"/>
        </w:rPr>
        <w:t>，并进行登记，要做到无破损、无裂痕、无明显污渍、无乱张贴和乱悬挂现象；</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3.如发现房屋公用场所内墙、天花板破损、涂料脱落、明显污渍等情况要及时处理，如遇无法处理的问题及时报告</w:t>
      </w:r>
      <w:r>
        <w:rPr>
          <w:rFonts w:hint="eastAsia" w:ascii="宋体" w:hAnsi="宋体" w:cs="宋体"/>
          <w:color w:val="auto"/>
          <w:sz w:val="24"/>
          <w:lang w:val="en-US" w:eastAsia="zh-CN"/>
        </w:rPr>
        <w:t>甲方</w:t>
      </w:r>
      <w:r>
        <w:rPr>
          <w:rFonts w:hint="eastAsia" w:ascii="宋体" w:hAnsi="宋体" w:eastAsia="宋体" w:cs="宋体"/>
          <w:color w:val="auto"/>
          <w:sz w:val="24"/>
        </w:rPr>
        <w:t>，并进行登记，确保各楼层内墙、天花板无破损，无明显污渍；</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对各房顶和天台隔热层、雨水排水管道、房屋的给排水管道、各用水点的水龙头及办公楼、附属房屋和周转房的电线及用电情况要做到每周一小查，一月一大查，并做好检查登记，要确保管道通畅，无阻塞外溢及无漏电现象</w:t>
      </w:r>
      <w:r>
        <w:rPr>
          <w:rFonts w:hint="default" w:ascii="宋体" w:hAnsi="宋体" w:cs="宋体"/>
          <w:color w:val="auto"/>
          <w:sz w:val="24"/>
        </w:rPr>
        <w:t>，</w:t>
      </w:r>
      <w:r>
        <w:rPr>
          <w:rFonts w:hint="eastAsia" w:ascii="宋体" w:hAnsi="宋体" w:cs="宋体"/>
          <w:color w:val="auto"/>
          <w:sz w:val="24"/>
          <w:lang w:val="en-US" w:eastAsia="zh-Hans"/>
        </w:rPr>
        <w:t>消除安全隐患</w:t>
      </w:r>
      <w:r>
        <w:rPr>
          <w:rFonts w:hint="eastAsia" w:ascii="宋体" w:hAnsi="宋体" w:eastAsia="宋体" w:cs="宋体"/>
          <w:color w:val="auto"/>
          <w:sz w:val="24"/>
        </w:rPr>
        <w:t>。</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lang w:eastAsia="zh-CN"/>
        </w:rPr>
        <w:t>（三）</w:t>
      </w:r>
      <w:r>
        <w:rPr>
          <w:rFonts w:hint="eastAsia" w:ascii="宋体" w:hAnsi="宋体" w:eastAsia="宋体" w:cs="宋体"/>
          <w:b/>
          <w:bCs/>
          <w:color w:val="auto"/>
          <w:sz w:val="24"/>
        </w:rPr>
        <w:t>设施设备的维护运行管理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总体要求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保证设施设备的正常运行、保护完好，水电气表计量准确;</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rPr>
        <w:t>确保电力、电梯、空调、消防、监控、给排水等系统的运行不中断（外界原因</w:t>
      </w:r>
      <w:r>
        <w:rPr>
          <w:rFonts w:hint="eastAsia" w:ascii="宋体" w:hAnsi="宋体" w:cs="宋体"/>
          <w:color w:val="auto"/>
          <w:sz w:val="24"/>
          <w:lang w:val="en-US" w:eastAsia="zh-Hans"/>
        </w:rPr>
        <w:t>或不可抗力</w:t>
      </w:r>
      <w:r>
        <w:rPr>
          <w:rFonts w:hint="eastAsia" w:ascii="宋体" w:hAnsi="宋体" w:eastAsia="宋体" w:cs="宋体"/>
          <w:color w:val="auto"/>
          <w:sz w:val="24"/>
        </w:rPr>
        <w:t>除外）；</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rPr>
        <w:t>设施设备档案完整，其运行、检查、保养等记录齐全；</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w:t>
      </w:r>
      <w:r>
        <w:rPr>
          <w:rFonts w:hint="eastAsia" w:ascii="宋体" w:hAnsi="宋体" w:eastAsia="宋体" w:cs="宋体"/>
          <w:color w:val="auto"/>
          <w:sz w:val="24"/>
        </w:rPr>
        <w:t>设施设备标志齐全、规范，明确责任人；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w:t>
      </w:r>
      <w:r>
        <w:rPr>
          <w:rFonts w:hint="eastAsia" w:ascii="宋体" w:hAnsi="宋体" w:eastAsia="宋体" w:cs="宋体"/>
          <w:color w:val="auto"/>
          <w:sz w:val="24"/>
        </w:rPr>
        <w:t>配合做好电梯、空调、消防、监控等设备的保养和维修。</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设施设备的维护工作要求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各种高低压配电箱、柜，总水表后的供水管道水泵、阀门，排水管道等的维护、维修；以及固定安装的供电开关、插座、照明灯具的维护、维修和更换。</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（2）各办公区的照明设施设备要定时巡查，发现问题及时维修更换，确保办公区各房间的照明设施设备完好，按照节能降耗要求，做好节能降耗工作。</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电梯、消防设备、监控设备的日常运行、管理和维护（不含维修），以及其他设施设备的日常运行、管理、维护和维修。(注：维修材料等由</w:t>
      </w:r>
      <w:r>
        <w:rPr>
          <w:rFonts w:hint="eastAsia" w:ascii="宋体" w:hAnsi="宋体" w:cs="宋体"/>
          <w:color w:val="auto"/>
          <w:sz w:val="24"/>
          <w:lang w:val="en-US" w:eastAsia="zh-CN"/>
        </w:rPr>
        <w:t>甲方</w:t>
      </w:r>
      <w:r>
        <w:rPr>
          <w:rFonts w:hint="eastAsia" w:ascii="宋体" w:hAnsi="宋体" w:eastAsia="宋体" w:cs="宋体"/>
          <w:color w:val="auto"/>
          <w:sz w:val="24"/>
        </w:rPr>
        <w:t>提供。)</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做好备用发电机的日常保养，做好变压器、开关柜、计量仪表、防雷系统</w:t>
      </w:r>
      <w:r>
        <w:rPr>
          <w:rFonts w:hint="eastAsia" w:ascii="宋体" w:hAnsi="宋体" w:cs="宋体"/>
          <w:color w:val="auto"/>
          <w:sz w:val="24"/>
          <w:lang w:eastAsia="zh-CN"/>
        </w:rPr>
        <w:t>、</w:t>
      </w:r>
      <w:r>
        <w:rPr>
          <w:rFonts w:hint="eastAsia" w:ascii="宋体" w:hAnsi="宋体" w:cs="宋体"/>
          <w:color w:val="auto"/>
          <w:sz w:val="24"/>
          <w:lang w:val="en-US" w:eastAsia="zh-CN"/>
        </w:rPr>
        <w:t>电梯</w:t>
      </w:r>
      <w:r>
        <w:rPr>
          <w:rFonts w:hint="eastAsia" w:ascii="宋体" w:hAnsi="宋体" w:eastAsia="宋体" w:cs="宋体"/>
          <w:color w:val="auto"/>
          <w:sz w:val="24"/>
        </w:rPr>
        <w:t>的年度检测。（注：费用由</w:t>
      </w:r>
      <w:r>
        <w:rPr>
          <w:rFonts w:hint="eastAsia" w:ascii="宋体" w:hAnsi="宋体" w:cs="宋体"/>
          <w:color w:val="auto"/>
          <w:sz w:val="24"/>
          <w:lang w:val="en-US" w:eastAsia="zh-CN"/>
        </w:rPr>
        <w:t>甲方</w:t>
      </w:r>
      <w:r>
        <w:rPr>
          <w:rFonts w:hint="eastAsia" w:ascii="宋体" w:hAnsi="宋体" w:eastAsia="宋体" w:cs="宋体"/>
          <w:color w:val="auto"/>
          <w:sz w:val="24"/>
        </w:rPr>
        <w:t>支付。）</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人员配置及职责要求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工程人员配置</w:t>
      </w:r>
      <w:r>
        <w:rPr>
          <w:rFonts w:hint="eastAsia" w:ascii="宋体" w:hAnsi="宋体" w:eastAsia="宋体" w:cs="宋体"/>
          <w:color w:val="auto"/>
          <w:sz w:val="24"/>
          <w:lang w:eastAsia="zh-CN"/>
        </w:rPr>
        <w:t>：</w:t>
      </w:r>
      <w:r>
        <w:rPr>
          <w:rFonts w:hint="eastAsia" w:ascii="宋体" w:hAnsi="宋体" w:eastAsia="宋体" w:cs="宋体"/>
          <w:color w:val="auto"/>
          <w:sz w:val="24"/>
        </w:rPr>
        <w:t>本项目需配备设施设备主管、项目工程师、值班电工、电梯安全管理员、空调工、机修工、水电气维修人员等岗位。</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rPr>
        <w:t>职责要求</w:t>
      </w:r>
    </w:p>
    <w:p>
      <w:pPr>
        <w:spacing w:line="360" w:lineRule="auto"/>
        <w:ind w:firstLine="480" w:firstLineChars="200"/>
        <w:rPr>
          <w:rFonts w:hint="eastAsia" w:ascii="宋体" w:hAnsi="宋体" w:eastAsia="宋体" w:cs="宋体"/>
          <w:color w:val="auto"/>
          <w:sz w:val="24"/>
        </w:rPr>
      </w:pPr>
      <w:r>
        <w:rPr>
          <w:rFonts w:hint="default" w:ascii="Calibri" w:hAnsi="Calibri" w:eastAsia="宋体" w:cs="Calibri"/>
          <w:color w:val="auto"/>
          <w:sz w:val="24"/>
        </w:rPr>
        <w:t>①</w:t>
      </w:r>
      <w:r>
        <w:rPr>
          <w:rFonts w:hint="eastAsia" w:ascii="宋体" w:hAnsi="宋体" w:eastAsia="宋体" w:cs="宋体"/>
          <w:color w:val="auto"/>
          <w:sz w:val="24"/>
        </w:rPr>
        <w:t>设施设备主管：负责部门内各班组的管理工作；负责编制所管理设备的年、季、月检修计划及相应的材料、工具准备计划；负责检查设备的使用、维护和保养情况，解决有关技术问题，保证设备处于良好的</w:t>
      </w:r>
      <w:r>
        <w:rPr>
          <w:rFonts w:hint="eastAsia" w:ascii="宋体" w:hAnsi="宋体" w:cs="宋体"/>
          <w:color w:val="auto"/>
          <w:sz w:val="24"/>
          <w:lang w:val="en-US" w:eastAsia="zh-Hans"/>
        </w:rPr>
        <w:t>运行</w:t>
      </w:r>
      <w:r>
        <w:rPr>
          <w:rFonts w:hint="eastAsia" w:ascii="宋体" w:hAnsi="宋体" w:eastAsia="宋体" w:cs="宋体"/>
          <w:color w:val="auto"/>
          <w:sz w:val="24"/>
        </w:rPr>
        <w:t>技术状态；督促检查维保单位的工作完成情况，配合维保单位制定年度维保计划；负责制订系统的运行方案并审阅运行记录，督导员工严格遵守岗位职责，严格执行安全操作规程，杜绝违章操作，保障本项目的设施设备安全、稳定、有序运行。</w:t>
      </w:r>
    </w:p>
    <w:p>
      <w:pPr>
        <w:spacing w:line="360" w:lineRule="auto"/>
        <w:ind w:firstLine="480" w:firstLineChars="200"/>
        <w:rPr>
          <w:rFonts w:hint="eastAsia" w:ascii="宋体" w:hAnsi="宋体" w:eastAsia="宋体" w:cs="宋体"/>
          <w:color w:val="auto"/>
          <w:sz w:val="24"/>
        </w:rPr>
      </w:pPr>
      <w:r>
        <w:rPr>
          <w:rFonts w:hint="default" w:ascii="Calibri" w:hAnsi="Calibri" w:eastAsia="宋体" w:cs="Calibri"/>
          <w:color w:val="auto"/>
          <w:sz w:val="24"/>
        </w:rPr>
        <w:t>②</w:t>
      </w:r>
      <w:r>
        <w:rPr>
          <w:rFonts w:hint="eastAsia" w:ascii="宋体" w:hAnsi="宋体" w:eastAsia="宋体" w:cs="宋体"/>
          <w:color w:val="auto"/>
          <w:sz w:val="24"/>
        </w:rPr>
        <w:t>项目工程师：且应持有设备类相关专业工程师资格证书，主要负责办公区配电房、电梯、空调、消防、监控及其他设施设备运行的督促检查工作，检查设备的使用、维护和保养情况，提出执行方案，解决有关技术问题，保证设备处于良好的</w:t>
      </w:r>
      <w:r>
        <w:rPr>
          <w:rFonts w:hint="eastAsia" w:ascii="宋体" w:hAnsi="宋体" w:cs="宋体"/>
          <w:color w:val="auto"/>
          <w:sz w:val="24"/>
          <w:lang w:val="en-US" w:eastAsia="zh-Hans"/>
        </w:rPr>
        <w:t>运行</w:t>
      </w:r>
      <w:r>
        <w:rPr>
          <w:rFonts w:hint="eastAsia" w:ascii="宋体" w:hAnsi="宋体" w:eastAsia="宋体" w:cs="宋体"/>
          <w:color w:val="auto"/>
          <w:sz w:val="24"/>
        </w:rPr>
        <w:t>技术状态。</w:t>
      </w:r>
    </w:p>
    <w:p>
      <w:pPr>
        <w:spacing w:line="360" w:lineRule="auto"/>
        <w:ind w:firstLine="480" w:firstLineChars="200"/>
        <w:rPr>
          <w:rFonts w:hint="eastAsia" w:ascii="宋体" w:hAnsi="宋体" w:eastAsia="宋体" w:cs="宋体"/>
          <w:color w:val="auto"/>
          <w:sz w:val="24"/>
        </w:rPr>
      </w:pPr>
      <w:r>
        <w:rPr>
          <w:rFonts w:hint="default" w:ascii="Calibri" w:hAnsi="Calibri" w:eastAsia="宋体" w:cs="Calibri"/>
          <w:color w:val="auto"/>
          <w:sz w:val="24"/>
        </w:rPr>
        <w:t>③</w:t>
      </w:r>
      <w:r>
        <w:rPr>
          <w:rFonts w:hint="eastAsia" w:ascii="宋体" w:hAnsi="宋体" w:eastAsia="宋体" w:cs="宋体"/>
          <w:color w:val="auto"/>
          <w:sz w:val="24"/>
        </w:rPr>
        <w:t>值班电工：应持有高压进网证，其他工种须执相应的岗位操作证，高压配电房应实行24小时运行值班服务，且运行人员应按照国家相关要求据实配备。</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4 \* GB3 \* MERGEFORMAT </w:instrText>
      </w:r>
      <w:r>
        <w:rPr>
          <w:rFonts w:hint="eastAsia" w:ascii="宋体" w:hAnsi="宋体" w:eastAsia="宋体" w:cs="宋体"/>
          <w:color w:val="auto"/>
          <w:sz w:val="24"/>
        </w:rPr>
        <w:fldChar w:fldCharType="separate"/>
      </w:r>
      <w:r>
        <w:rPr>
          <w:color w:val="auto"/>
        </w:rPr>
        <w:t>④</w:t>
      </w:r>
      <w:r>
        <w:rPr>
          <w:rFonts w:hint="eastAsia" w:ascii="宋体" w:hAnsi="宋体" w:eastAsia="宋体" w:cs="宋体"/>
          <w:color w:val="auto"/>
          <w:sz w:val="24"/>
        </w:rPr>
        <w:fldChar w:fldCharType="end"/>
      </w:r>
      <w:r>
        <w:rPr>
          <w:rFonts w:hint="eastAsia" w:ascii="宋体" w:hAnsi="宋体" w:eastAsia="宋体" w:cs="宋体"/>
          <w:color w:val="auto"/>
          <w:sz w:val="24"/>
        </w:rPr>
        <w:t>电梯安全管理员：必须持有电梯安全员证书，负责电梯的日常运行及管理；督导、配合电梯专业维保公司完成电梯保养及相关工作。</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5 \* GB3 \* MERGEFORMAT </w:instrText>
      </w:r>
      <w:r>
        <w:rPr>
          <w:rFonts w:hint="eastAsia" w:ascii="宋体" w:hAnsi="宋体" w:eastAsia="宋体" w:cs="宋体"/>
          <w:color w:val="auto"/>
          <w:sz w:val="24"/>
        </w:rPr>
        <w:fldChar w:fldCharType="separate"/>
      </w:r>
      <w:r>
        <w:rPr>
          <w:color w:val="auto"/>
        </w:rPr>
        <w:t>⑤</w:t>
      </w:r>
      <w:r>
        <w:rPr>
          <w:rFonts w:hint="eastAsia" w:ascii="宋体" w:hAnsi="宋体" w:eastAsia="宋体" w:cs="宋体"/>
          <w:color w:val="auto"/>
          <w:sz w:val="24"/>
        </w:rPr>
        <w:fldChar w:fldCharType="end"/>
      </w:r>
      <w:r>
        <w:rPr>
          <w:rFonts w:hint="eastAsia" w:ascii="宋体" w:hAnsi="宋体" w:eastAsia="宋体" w:cs="宋体"/>
          <w:color w:val="auto"/>
          <w:sz w:val="24"/>
        </w:rPr>
        <w:t>空调工：应持有相关执业证书，负责空调设备的日常运行管理及维护；配合空调专业维保公司完成维修、保养工作，并监督检查保养质量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6 \* GB3 \* MERGEFORMAT </w:instrText>
      </w:r>
      <w:r>
        <w:rPr>
          <w:rFonts w:hint="eastAsia" w:ascii="宋体" w:hAnsi="宋体" w:eastAsia="宋体" w:cs="宋体"/>
          <w:color w:val="auto"/>
          <w:sz w:val="24"/>
        </w:rPr>
        <w:fldChar w:fldCharType="separate"/>
      </w:r>
      <w:r>
        <w:rPr>
          <w:color w:val="auto"/>
        </w:rPr>
        <w:t>⑥</w:t>
      </w:r>
      <w:r>
        <w:rPr>
          <w:rFonts w:hint="eastAsia" w:ascii="宋体" w:hAnsi="宋体" w:eastAsia="宋体" w:cs="宋体"/>
          <w:color w:val="auto"/>
          <w:sz w:val="24"/>
        </w:rPr>
        <w:fldChar w:fldCharType="end"/>
      </w:r>
      <w:r>
        <w:rPr>
          <w:rFonts w:hint="eastAsia" w:ascii="宋体" w:hAnsi="宋体" w:eastAsia="宋体" w:cs="宋体"/>
          <w:color w:val="auto"/>
          <w:sz w:val="24"/>
        </w:rPr>
        <w:t>机修工：应持有相关执业证书或操作证书，负责生活给水、排污泵、阀门、管道、卫生间水管等设备的保养和维修工作；参加设施设备的大、中修工作；负责按照日、周、月检要求对主要设施设备进行检查、保养，做好相应记录</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7 \* GB3 \* MERGEFORMAT </w:instrText>
      </w:r>
      <w:r>
        <w:rPr>
          <w:rFonts w:hint="eastAsia" w:ascii="宋体" w:hAnsi="宋体" w:eastAsia="宋体" w:cs="宋体"/>
          <w:color w:val="auto"/>
          <w:sz w:val="24"/>
        </w:rPr>
        <w:fldChar w:fldCharType="separate"/>
      </w:r>
      <w:r>
        <w:rPr>
          <w:color w:val="auto"/>
        </w:rPr>
        <w:t>⑦</w:t>
      </w:r>
      <w:r>
        <w:rPr>
          <w:rFonts w:hint="eastAsia" w:ascii="宋体" w:hAnsi="宋体" w:eastAsia="宋体" w:cs="宋体"/>
          <w:color w:val="auto"/>
          <w:sz w:val="24"/>
        </w:rPr>
        <w:fldChar w:fldCharType="end"/>
      </w:r>
      <w:r>
        <w:rPr>
          <w:rFonts w:hint="eastAsia" w:ascii="宋体" w:hAnsi="宋体" w:eastAsia="宋体" w:cs="宋体"/>
          <w:color w:val="auto"/>
          <w:sz w:val="24"/>
        </w:rPr>
        <w:t>水电气维修人员：应持有电工操作证负责电器、照明、管道、通讯设备等的保养和维修工作；负责物业的应急维修、特约维修工作，负责装饰装修管理；定期对责任区域的设施设备进行预防性的检查、养护，及时发现和消除安全隐患。</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 = 8 \* GB3 \* MERGEFORMAT </w:instrText>
      </w:r>
      <w:r>
        <w:rPr>
          <w:rFonts w:hint="eastAsia" w:ascii="宋体" w:hAnsi="宋体" w:eastAsia="宋体" w:cs="宋体"/>
          <w:color w:val="auto"/>
          <w:sz w:val="24"/>
          <w:lang w:val="en-US" w:eastAsia="zh-CN"/>
        </w:rPr>
        <w:fldChar w:fldCharType="separate"/>
      </w:r>
      <w:r>
        <w:rPr>
          <w:color w:val="auto"/>
        </w:rPr>
        <w:t>⑧</w:t>
      </w:r>
      <w:r>
        <w:rPr>
          <w:rFonts w:hint="eastAsia" w:ascii="宋体" w:hAnsi="宋体" w:eastAsia="宋体" w:cs="宋体"/>
          <w:color w:val="auto"/>
          <w:sz w:val="24"/>
          <w:lang w:val="en-US" w:eastAsia="zh-CN"/>
        </w:rPr>
        <w:fldChar w:fldCharType="end"/>
      </w:r>
      <w:r>
        <w:rPr>
          <w:rFonts w:hint="eastAsia" w:ascii="宋体" w:hAnsi="宋体" w:eastAsia="宋体" w:cs="宋体"/>
          <w:color w:val="auto"/>
          <w:sz w:val="24"/>
        </w:rPr>
        <w:t>其他：做好</w:t>
      </w:r>
      <w:r>
        <w:rPr>
          <w:rFonts w:hint="eastAsia" w:ascii="宋体" w:hAnsi="宋体" w:eastAsia="宋体" w:cs="宋体"/>
          <w:color w:val="auto"/>
          <w:sz w:val="24"/>
          <w:lang w:eastAsia="zh-CN"/>
        </w:rPr>
        <w:t>甲</w:t>
      </w:r>
      <w:r>
        <w:rPr>
          <w:rFonts w:hint="eastAsia" w:ascii="宋体" w:hAnsi="宋体" w:eastAsia="宋体" w:cs="宋体"/>
          <w:color w:val="auto"/>
          <w:sz w:val="24"/>
        </w:rPr>
        <w:t>方招标服务范围内的公共区域及办公区域</w:t>
      </w:r>
      <w:r>
        <w:rPr>
          <w:rFonts w:hint="eastAsia" w:ascii="宋体" w:hAnsi="宋体" w:cs="宋体"/>
          <w:color w:val="auto"/>
          <w:sz w:val="24"/>
          <w:lang w:val="en-US" w:eastAsia="zh-Hans"/>
        </w:rPr>
        <w:t>其他</w:t>
      </w:r>
      <w:r>
        <w:rPr>
          <w:rFonts w:hint="eastAsia" w:ascii="宋体" w:hAnsi="宋体" w:eastAsia="宋体" w:cs="宋体"/>
          <w:color w:val="auto"/>
          <w:sz w:val="24"/>
        </w:rPr>
        <w:t>维修维护</w:t>
      </w:r>
      <w:r>
        <w:rPr>
          <w:rFonts w:hint="eastAsia" w:ascii="宋体" w:hAnsi="宋体" w:cs="宋体"/>
          <w:color w:val="auto"/>
          <w:sz w:val="24"/>
          <w:lang w:val="en-US" w:eastAsia="zh-Hans"/>
        </w:rPr>
        <w:t>服务</w:t>
      </w:r>
      <w:r>
        <w:rPr>
          <w:rFonts w:hint="eastAsia" w:ascii="宋体" w:hAnsi="宋体" w:eastAsia="宋体" w:cs="宋体"/>
          <w:color w:val="auto"/>
          <w:sz w:val="24"/>
          <w:lang w:eastAsia="zh-CN"/>
        </w:rPr>
        <w:t>。</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lang w:eastAsia="zh-CN"/>
        </w:rPr>
        <w:t>（四）</w:t>
      </w:r>
      <w:r>
        <w:rPr>
          <w:rFonts w:hint="eastAsia" w:ascii="宋体" w:hAnsi="宋体" w:eastAsia="宋体" w:cs="宋体"/>
          <w:b/>
          <w:bCs/>
          <w:color w:val="auto"/>
          <w:sz w:val="24"/>
        </w:rPr>
        <w:t>秩序维护服务项目及基本要求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秩序维护服务项目及基本要求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秩序维护人员配置总体要求：符合公安部门有关要求，人员持证上岗率达100%</w:t>
      </w:r>
      <w:r>
        <w:rPr>
          <w:rFonts w:hint="eastAsia" w:ascii="宋体" w:hAnsi="宋体" w:eastAsia="宋体" w:cs="宋体"/>
          <w:color w:val="auto"/>
          <w:sz w:val="24"/>
          <w:lang w:eastAsia="zh-CN"/>
        </w:rPr>
        <w:t>、</w:t>
      </w:r>
      <w:r>
        <w:rPr>
          <w:rFonts w:hint="eastAsia" w:ascii="宋体" w:hAnsi="宋体" w:eastAsia="宋体" w:cs="宋体"/>
          <w:color w:val="auto"/>
          <w:sz w:val="24"/>
        </w:rPr>
        <w:t>政治审查合格率达100%</w:t>
      </w:r>
      <w:r>
        <w:rPr>
          <w:rFonts w:hint="eastAsia" w:ascii="宋体" w:hAnsi="宋体" w:eastAsia="宋体" w:cs="宋体"/>
          <w:color w:val="auto"/>
          <w:sz w:val="24"/>
          <w:lang w:eastAsia="zh-CN"/>
        </w:rPr>
        <w:t>，</w:t>
      </w:r>
      <w:r>
        <w:rPr>
          <w:rFonts w:hint="eastAsia" w:ascii="宋体" w:hAnsi="宋体" w:eastAsia="宋体" w:cs="宋体"/>
          <w:color w:val="auto"/>
          <w:sz w:val="24"/>
        </w:rPr>
        <w:t>签订服务合同前提供相关证明材料，保安人员要求政治素质高、业务能力强、个人气质较好，人员年龄</w:t>
      </w:r>
      <w:r>
        <w:rPr>
          <w:rFonts w:hint="eastAsia" w:ascii="宋体" w:hAnsi="宋体" w:cs="宋体"/>
          <w:color w:val="auto"/>
          <w:sz w:val="24"/>
          <w:lang w:val="en-US" w:eastAsia="zh-Hans"/>
        </w:rPr>
        <w:t>应当符合</w:t>
      </w:r>
      <w:r>
        <w:rPr>
          <w:rFonts w:hint="eastAsia" w:ascii="宋体" w:hAnsi="宋体" w:eastAsia="宋体" w:cs="宋体"/>
          <w:color w:val="auto"/>
          <w:sz w:val="24"/>
        </w:rPr>
        <w:t>国家相关法律法规</w:t>
      </w:r>
      <w:r>
        <w:rPr>
          <w:rFonts w:hint="eastAsia" w:ascii="宋体" w:hAnsi="宋体" w:cs="宋体"/>
          <w:color w:val="auto"/>
          <w:sz w:val="24"/>
          <w:lang w:val="en-US" w:eastAsia="zh-Hans"/>
        </w:rPr>
        <w:t>规章的</w:t>
      </w:r>
      <w:r>
        <w:rPr>
          <w:rFonts w:hint="eastAsia" w:ascii="宋体" w:hAnsi="宋体" w:eastAsia="宋体" w:cs="宋体"/>
          <w:color w:val="auto"/>
          <w:sz w:val="24"/>
        </w:rPr>
        <w:t>范围，转业军人优先。</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岗位设置及岗位职责</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岗位设置</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本项目需配备秩序维护主管、秩序维护班长、门岗（含礼仪岗）、巡逻岗，楼栋内固定岗、监控中心（消防监控）值班岗位。</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岗位职责</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1 \* GB3 \* MERGEFORMAT </w:instrText>
      </w:r>
      <w:r>
        <w:rPr>
          <w:rFonts w:hint="eastAsia" w:ascii="宋体" w:hAnsi="宋体" w:eastAsia="宋体" w:cs="宋体"/>
          <w:color w:val="auto"/>
          <w:sz w:val="24"/>
        </w:rPr>
        <w:fldChar w:fldCharType="separate"/>
      </w:r>
      <w:r>
        <w:rPr>
          <w:color w:val="auto"/>
        </w:rPr>
        <w:t>①</w:t>
      </w:r>
      <w:r>
        <w:rPr>
          <w:rFonts w:hint="eastAsia" w:ascii="宋体" w:hAnsi="宋体" w:eastAsia="宋体" w:cs="宋体"/>
          <w:color w:val="auto"/>
          <w:sz w:val="24"/>
        </w:rPr>
        <w:fldChar w:fldCharType="end"/>
      </w:r>
      <w:r>
        <w:rPr>
          <w:rFonts w:hint="eastAsia" w:ascii="宋体" w:hAnsi="宋体" w:eastAsia="宋体" w:cs="宋体"/>
          <w:color w:val="auto"/>
          <w:sz w:val="24"/>
        </w:rPr>
        <w:t>秩序维护主管：负责对本项目秩序维护人员的管理及日常班次的安排、突发事件的处理</w:t>
      </w:r>
      <w:r>
        <w:rPr>
          <w:rFonts w:hint="default" w:ascii="宋体" w:hAnsi="宋体" w:cs="宋体"/>
          <w:color w:val="auto"/>
          <w:sz w:val="24"/>
        </w:rPr>
        <w:t>；</w:t>
      </w:r>
      <w:r>
        <w:rPr>
          <w:rFonts w:hint="eastAsia" w:ascii="宋体" w:hAnsi="宋体" w:eastAsia="宋体" w:cs="宋体"/>
          <w:color w:val="auto"/>
          <w:sz w:val="24"/>
        </w:rPr>
        <w:t>巡检、记录本项目各班每日工作情况，及时对秩序维护人员的工作进行考核。定期向项目经理和</w:t>
      </w:r>
      <w:r>
        <w:rPr>
          <w:rFonts w:hint="eastAsia" w:ascii="宋体" w:hAnsi="宋体" w:cs="宋体"/>
          <w:color w:val="auto"/>
          <w:sz w:val="24"/>
          <w:lang w:val="en-US" w:eastAsia="zh-CN"/>
        </w:rPr>
        <w:t>甲方指定工作人员</w:t>
      </w:r>
      <w:r>
        <w:rPr>
          <w:rFonts w:hint="eastAsia" w:ascii="宋体" w:hAnsi="宋体" w:eastAsia="宋体" w:cs="宋体"/>
          <w:color w:val="auto"/>
          <w:sz w:val="24"/>
        </w:rPr>
        <w:t>汇报工作情况。</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2 \* GB3 \* MERGEFORMAT </w:instrText>
      </w:r>
      <w:r>
        <w:rPr>
          <w:rFonts w:hint="eastAsia" w:ascii="宋体" w:hAnsi="宋体" w:eastAsia="宋体" w:cs="宋体"/>
          <w:color w:val="auto"/>
          <w:sz w:val="24"/>
        </w:rPr>
        <w:fldChar w:fldCharType="separate"/>
      </w:r>
      <w:r>
        <w:rPr>
          <w:color w:val="auto"/>
        </w:rPr>
        <w:t>②</w:t>
      </w:r>
      <w:r>
        <w:rPr>
          <w:rFonts w:hint="eastAsia" w:ascii="宋体" w:hAnsi="宋体" w:eastAsia="宋体" w:cs="宋体"/>
          <w:color w:val="auto"/>
          <w:sz w:val="24"/>
        </w:rPr>
        <w:fldChar w:fldCharType="end"/>
      </w:r>
      <w:r>
        <w:rPr>
          <w:rFonts w:hint="eastAsia" w:ascii="宋体" w:hAnsi="宋体" w:eastAsia="宋体" w:cs="宋体"/>
          <w:color w:val="auto"/>
          <w:sz w:val="24"/>
        </w:rPr>
        <w:t>秩序维护班长（兼）：负责本区域范围内的秩序维护人员管理及日常班次的安排、突发事件的处理；巡检、记录本班每日工作情况，及时对本班秩序维护人员进行工作考核。定期向秩序维护主管汇报工作情况。</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3 \* GB3 \* MERGEFORMAT </w:instrText>
      </w:r>
      <w:r>
        <w:rPr>
          <w:rFonts w:hint="eastAsia" w:ascii="宋体" w:hAnsi="宋体" w:eastAsia="宋体" w:cs="宋体"/>
          <w:color w:val="auto"/>
          <w:sz w:val="24"/>
        </w:rPr>
        <w:fldChar w:fldCharType="separate"/>
      </w:r>
      <w:r>
        <w:rPr>
          <w:color w:val="auto"/>
        </w:rPr>
        <w:t>③</w:t>
      </w:r>
      <w:r>
        <w:rPr>
          <w:rFonts w:hint="eastAsia" w:ascii="宋体" w:hAnsi="宋体" w:eastAsia="宋体" w:cs="宋体"/>
          <w:color w:val="auto"/>
          <w:sz w:val="24"/>
        </w:rPr>
        <w:fldChar w:fldCharType="end"/>
      </w:r>
      <w:r>
        <w:rPr>
          <w:rFonts w:hint="eastAsia" w:ascii="宋体" w:hAnsi="宋体" w:eastAsia="宋体" w:cs="宋体"/>
          <w:color w:val="auto"/>
          <w:sz w:val="24"/>
        </w:rPr>
        <w:t>门岗：负责办公区大门出入口门岗的24小时治安防范工作，负责对办公区办事人员及出入车辆、物品的询查登记放行。负责办公区大门口工作时间段的秩序维护，包括车辆引导、停放管理及客户需求帮助等。</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4 \* GB3 \* MERGEFORMAT </w:instrText>
      </w:r>
      <w:r>
        <w:rPr>
          <w:rFonts w:hint="eastAsia" w:ascii="宋体" w:hAnsi="宋体" w:eastAsia="宋体" w:cs="宋体"/>
          <w:color w:val="auto"/>
          <w:sz w:val="24"/>
        </w:rPr>
        <w:fldChar w:fldCharType="separate"/>
      </w:r>
      <w:r>
        <w:rPr>
          <w:color w:val="auto"/>
        </w:rPr>
        <w:t>④</w:t>
      </w:r>
      <w:r>
        <w:rPr>
          <w:rFonts w:hint="eastAsia" w:ascii="宋体" w:hAnsi="宋体" w:eastAsia="宋体" w:cs="宋体"/>
          <w:color w:val="auto"/>
          <w:sz w:val="24"/>
        </w:rPr>
        <w:fldChar w:fldCharType="end"/>
      </w:r>
      <w:r>
        <w:rPr>
          <w:rFonts w:hint="eastAsia" w:ascii="宋体" w:hAnsi="宋体" w:eastAsia="宋体" w:cs="宋体"/>
          <w:color w:val="auto"/>
          <w:sz w:val="24"/>
        </w:rPr>
        <w:t>楼栋内固定岗：负责办公大楼内特定工作区域的安全防范工作。</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5 \* GB3 \* MERGEFORMAT </w:instrText>
      </w:r>
      <w:r>
        <w:rPr>
          <w:rFonts w:hint="eastAsia" w:ascii="宋体" w:hAnsi="宋体" w:eastAsia="宋体" w:cs="宋体"/>
          <w:color w:val="auto"/>
          <w:sz w:val="24"/>
        </w:rPr>
        <w:fldChar w:fldCharType="separate"/>
      </w:r>
      <w:r>
        <w:rPr>
          <w:color w:val="auto"/>
        </w:rPr>
        <w:t>⑤</w:t>
      </w:r>
      <w:r>
        <w:rPr>
          <w:rFonts w:hint="eastAsia" w:ascii="宋体" w:hAnsi="宋体" w:eastAsia="宋体" w:cs="宋体"/>
          <w:color w:val="auto"/>
          <w:sz w:val="24"/>
        </w:rPr>
        <w:fldChar w:fldCharType="end"/>
      </w:r>
      <w:r>
        <w:rPr>
          <w:rFonts w:hint="eastAsia" w:ascii="宋体" w:hAnsi="宋体" w:eastAsia="宋体" w:cs="宋体"/>
          <w:color w:val="auto"/>
          <w:sz w:val="24"/>
        </w:rPr>
        <w:t>巡逻岗：负责办公区域和办公大楼内各点位的巡逻检查工作。</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6 \* GB3 \* MERGEFORMAT </w:instrText>
      </w:r>
      <w:r>
        <w:rPr>
          <w:rFonts w:hint="eastAsia" w:ascii="宋体" w:hAnsi="宋体" w:eastAsia="宋体" w:cs="宋体"/>
          <w:color w:val="auto"/>
          <w:sz w:val="24"/>
        </w:rPr>
        <w:fldChar w:fldCharType="separate"/>
      </w:r>
      <w:r>
        <w:rPr>
          <w:color w:val="auto"/>
        </w:rPr>
        <w:t>⑥</w:t>
      </w:r>
      <w:r>
        <w:rPr>
          <w:rFonts w:hint="eastAsia" w:ascii="宋体" w:hAnsi="宋体" w:eastAsia="宋体" w:cs="宋体"/>
          <w:color w:val="auto"/>
          <w:sz w:val="24"/>
        </w:rPr>
        <w:fldChar w:fldCharType="end"/>
      </w:r>
      <w:r>
        <w:rPr>
          <w:rFonts w:hint="eastAsia" w:ascii="宋体" w:hAnsi="宋体" w:eastAsia="宋体" w:cs="宋体"/>
          <w:color w:val="auto"/>
          <w:sz w:val="24"/>
        </w:rPr>
        <w:t>监控中心（消防监控）值班员：负责监控中心24小时运行值守服务，消防监控值守人员需持证上岗。</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fldChar w:fldCharType="begin"/>
      </w:r>
      <w:r>
        <w:rPr>
          <w:rFonts w:hint="eastAsia" w:ascii="宋体" w:hAnsi="宋体" w:eastAsia="宋体" w:cs="宋体"/>
          <w:color w:val="auto"/>
          <w:sz w:val="24"/>
          <w:lang w:eastAsia="zh-CN"/>
        </w:rPr>
        <w:instrText xml:space="preserve"> = 7 \* GB3 \* MERGEFORMAT </w:instrText>
      </w:r>
      <w:r>
        <w:rPr>
          <w:rFonts w:hint="eastAsia" w:ascii="宋体" w:hAnsi="宋体" w:eastAsia="宋体" w:cs="宋体"/>
          <w:color w:val="auto"/>
          <w:sz w:val="24"/>
          <w:lang w:eastAsia="zh-CN"/>
        </w:rPr>
        <w:fldChar w:fldCharType="separate"/>
      </w:r>
      <w:r>
        <w:rPr>
          <w:color w:val="auto"/>
        </w:rPr>
        <w:t>⑦</w:t>
      </w:r>
      <w:r>
        <w:rPr>
          <w:rFonts w:hint="eastAsia" w:ascii="宋体" w:hAnsi="宋体" w:eastAsia="宋体" w:cs="宋体"/>
          <w:color w:val="auto"/>
          <w:sz w:val="24"/>
          <w:lang w:eastAsia="zh-CN"/>
        </w:rPr>
        <w:fldChar w:fldCharType="end"/>
      </w:r>
      <w:r>
        <w:rPr>
          <w:rFonts w:hint="eastAsia" w:ascii="宋体" w:hAnsi="宋体" w:eastAsia="宋体" w:cs="宋体"/>
          <w:color w:val="auto"/>
          <w:sz w:val="24"/>
          <w:lang w:val="en-US" w:eastAsia="zh-CN"/>
        </w:rPr>
        <w:t>严格按照国家、省、市及我市新冠疫情防控要求，配合</w:t>
      </w:r>
      <w:r>
        <w:rPr>
          <w:rFonts w:hint="eastAsia" w:ascii="宋体" w:hAnsi="宋体" w:cs="宋体"/>
          <w:color w:val="auto"/>
          <w:sz w:val="24"/>
          <w:lang w:val="en-US" w:eastAsia="zh-CN"/>
        </w:rPr>
        <w:t>甲方</w:t>
      </w:r>
      <w:r>
        <w:rPr>
          <w:rFonts w:hint="eastAsia" w:ascii="宋体" w:hAnsi="宋体" w:eastAsia="宋体" w:cs="宋体"/>
          <w:color w:val="auto"/>
          <w:sz w:val="24"/>
          <w:lang w:val="en-US" w:eastAsia="zh-CN"/>
        </w:rPr>
        <w:t>认真做好办公区疫情防控</w:t>
      </w:r>
      <w:r>
        <w:rPr>
          <w:rFonts w:hint="eastAsia" w:ascii="宋体" w:hAnsi="宋体" w:cs="宋体"/>
          <w:color w:val="auto"/>
          <w:sz w:val="24"/>
          <w:lang w:val="en-US" w:eastAsia="zh-Hans"/>
        </w:rPr>
        <w:t>的</w:t>
      </w:r>
      <w:r>
        <w:rPr>
          <w:rFonts w:hint="eastAsia" w:ascii="宋体" w:hAnsi="宋体" w:eastAsia="宋体" w:cs="宋体"/>
          <w:color w:val="auto"/>
          <w:sz w:val="24"/>
          <w:lang w:val="en-US" w:eastAsia="zh-CN"/>
        </w:rPr>
        <w:t>相关工作。</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lang w:eastAsia="zh-CN"/>
        </w:rPr>
        <w:t>（五）</w:t>
      </w:r>
      <w:r>
        <w:rPr>
          <w:rFonts w:hint="eastAsia" w:ascii="宋体" w:hAnsi="宋体" w:eastAsia="宋体" w:cs="宋体"/>
          <w:b/>
          <w:bCs/>
          <w:color w:val="auto"/>
          <w:sz w:val="24"/>
        </w:rPr>
        <w:t>保洁服务项目及要求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保洁作业要求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lang w:val="zh-CN"/>
        </w:rPr>
        <w:t>地面道路、环境和停车场：每天全面清扫</w:t>
      </w:r>
      <w:r>
        <w:rPr>
          <w:rFonts w:hint="eastAsia" w:ascii="宋体" w:hAnsi="宋体" w:eastAsia="宋体" w:cs="宋体"/>
          <w:color w:val="auto"/>
          <w:sz w:val="24"/>
          <w:lang w:val="en-US" w:eastAsia="zh-CN"/>
        </w:rPr>
        <w:t>消杀</w:t>
      </w:r>
      <w:r>
        <w:rPr>
          <w:rFonts w:hint="eastAsia" w:ascii="宋体" w:hAnsi="宋体" w:eastAsia="宋体" w:cs="宋体"/>
          <w:color w:val="auto"/>
          <w:sz w:val="24"/>
          <w:lang w:val="zh-CN"/>
        </w:rPr>
        <w:t>，早上</w:t>
      </w:r>
      <w:r>
        <w:rPr>
          <w:rFonts w:hint="eastAsia" w:ascii="宋体" w:hAnsi="宋体" w:eastAsia="宋体" w:cs="宋体"/>
          <w:color w:val="auto"/>
          <w:sz w:val="24"/>
        </w:rPr>
        <w:t>8:00—10:00地面全面清扫一次，10:00—11:30重点清洗花台栏杆、路灯灯柱、外围窗台、捡拾烟头等垃圾，13:30—15:30地面全面清扫一次，15:30—17:30巡回保洁和清运垃圾。</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rPr>
        <w:t>楼道、地下停车场、梯部及公共场所：</w:t>
      </w:r>
      <w:r>
        <w:rPr>
          <w:rFonts w:hint="eastAsia" w:ascii="宋体" w:hAnsi="宋体" w:eastAsia="宋体" w:cs="宋体"/>
          <w:color w:val="auto"/>
          <w:sz w:val="24"/>
          <w:lang w:val="zh-CN"/>
        </w:rPr>
        <w:t>早上</w:t>
      </w:r>
      <w:r>
        <w:rPr>
          <w:rFonts w:hint="eastAsia" w:ascii="宋体" w:hAnsi="宋体" w:eastAsia="宋体" w:cs="宋体"/>
          <w:color w:val="auto"/>
          <w:sz w:val="24"/>
        </w:rPr>
        <w:t>8:00—10:00对公共区域全面清扫</w:t>
      </w:r>
      <w:r>
        <w:rPr>
          <w:rFonts w:hint="eastAsia" w:ascii="宋体" w:hAnsi="宋体" w:eastAsia="宋体" w:cs="宋体"/>
          <w:color w:val="auto"/>
          <w:sz w:val="24"/>
          <w:lang w:val="en-US" w:eastAsia="zh-CN"/>
        </w:rPr>
        <w:t>消杀</w:t>
      </w:r>
      <w:r>
        <w:rPr>
          <w:rFonts w:hint="eastAsia" w:ascii="宋体" w:hAnsi="宋体" w:eastAsia="宋体" w:cs="宋体"/>
          <w:color w:val="auto"/>
          <w:sz w:val="24"/>
        </w:rPr>
        <w:t>，10:00—11:30重点清扫楼道、擦抹楼梯扶手等，做好巡回保洁，13:30—15:30全面清扫公共区域</w:t>
      </w:r>
      <w:r>
        <w:rPr>
          <w:rFonts w:hint="eastAsia" w:ascii="宋体" w:hAnsi="宋体" w:eastAsia="宋体" w:cs="宋体"/>
          <w:color w:val="auto"/>
          <w:sz w:val="24"/>
          <w:lang w:val="en-US" w:eastAsia="zh-CN"/>
        </w:rPr>
        <w:t>并消杀</w:t>
      </w:r>
      <w:r>
        <w:rPr>
          <w:rFonts w:hint="eastAsia" w:ascii="宋体" w:hAnsi="宋体" w:eastAsia="宋体" w:cs="宋体"/>
          <w:color w:val="auto"/>
          <w:sz w:val="24"/>
        </w:rPr>
        <w:t>，15:30—17:30做好巡回保洁、清运垃圾；地下停车场应随时保持清洁，每天全面清扫</w:t>
      </w:r>
      <w:r>
        <w:rPr>
          <w:rFonts w:hint="eastAsia" w:ascii="宋体" w:hAnsi="宋体" w:eastAsia="宋体" w:cs="宋体"/>
          <w:color w:val="auto"/>
          <w:sz w:val="24"/>
          <w:lang w:val="en-US" w:eastAsia="zh-CN"/>
        </w:rPr>
        <w:t>消杀两</w:t>
      </w:r>
      <w:r>
        <w:rPr>
          <w:rFonts w:hint="eastAsia" w:ascii="宋体" w:hAnsi="宋体" w:eastAsia="宋体" w:cs="宋体"/>
          <w:color w:val="auto"/>
          <w:sz w:val="24"/>
        </w:rPr>
        <w:t>次</w:t>
      </w:r>
      <w:r>
        <w:rPr>
          <w:rFonts w:hint="eastAsia" w:ascii="宋体" w:hAnsi="宋体" w:eastAsia="宋体" w:cs="宋体"/>
          <w:color w:val="auto"/>
          <w:sz w:val="24"/>
          <w:lang w:val="zh-CN"/>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lang w:val="zh-CN"/>
        </w:rPr>
        <w:t>四大办公区部分办公室共</w:t>
      </w:r>
      <w:r>
        <w:rPr>
          <w:rFonts w:hint="eastAsia" w:ascii="宋体" w:hAnsi="宋体" w:eastAsia="宋体" w:cs="宋体"/>
          <w:color w:val="auto"/>
          <w:sz w:val="24"/>
        </w:rPr>
        <w:t>71</w:t>
      </w:r>
      <w:r>
        <w:rPr>
          <w:rFonts w:hint="eastAsia" w:ascii="宋体" w:hAnsi="宋体" w:eastAsia="宋体" w:cs="宋体"/>
          <w:color w:val="auto"/>
          <w:sz w:val="24"/>
          <w:lang w:val="zh-CN"/>
        </w:rPr>
        <w:t>间：早上8:00前完成办公室的全面清扫。</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w:t>
      </w:r>
      <w:r>
        <w:rPr>
          <w:rFonts w:hint="eastAsia" w:ascii="宋体" w:hAnsi="宋体" w:eastAsia="宋体" w:cs="宋体"/>
          <w:color w:val="auto"/>
          <w:sz w:val="24"/>
          <w:lang w:val="zh-CN"/>
        </w:rPr>
        <w:t>电梯轿厢：每天定时保洁、消</w:t>
      </w:r>
      <w:r>
        <w:rPr>
          <w:rFonts w:hint="eastAsia" w:ascii="宋体" w:hAnsi="宋体" w:eastAsia="宋体" w:cs="宋体"/>
          <w:color w:val="auto"/>
          <w:sz w:val="24"/>
          <w:lang w:val="en-US" w:eastAsia="zh-CN"/>
        </w:rPr>
        <w:t>杀6</w:t>
      </w:r>
      <w:r>
        <w:rPr>
          <w:rFonts w:hint="eastAsia" w:ascii="宋体" w:hAnsi="宋体" w:eastAsia="宋体" w:cs="宋体"/>
          <w:color w:val="auto"/>
          <w:sz w:val="24"/>
          <w:lang w:val="zh-CN"/>
        </w:rPr>
        <w:t>次和不定时日常清洁，更换地垫，每周整体保洁1次。</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val="zh-CN"/>
        </w:rPr>
        <w:t>）卫生间：每天定时保洁不少于3次，</w:t>
      </w:r>
      <w:r>
        <w:rPr>
          <w:rFonts w:hint="eastAsia" w:ascii="宋体" w:hAnsi="宋体" w:eastAsia="宋体" w:cs="宋体"/>
          <w:color w:val="auto"/>
          <w:sz w:val="24"/>
          <w:lang w:val="en-US" w:eastAsia="zh-CN"/>
        </w:rPr>
        <w:t>消杀不少于2次；</w:t>
      </w:r>
      <w:r>
        <w:rPr>
          <w:rFonts w:hint="eastAsia" w:ascii="宋体" w:hAnsi="宋体" w:eastAsia="宋体" w:cs="宋体"/>
          <w:color w:val="auto"/>
          <w:sz w:val="24"/>
        </w:rPr>
        <w:t>8:00—9:00清洁一次，中午清洁一次，15:00—17:30清洁一次、清运垃圾，其余时间不定时巡回保洁。卫生间要定期施放空气清新剂，保持卫生间无异味。</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6</w:t>
      </w:r>
      <w:r>
        <w:rPr>
          <w:rFonts w:hint="eastAsia" w:ascii="宋体" w:hAnsi="宋体" w:eastAsia="宋体" w:cs="宋体"/>
          <w:color w:val="auto"/>
          <w:sz w:val="24"/>
          <w:lang w:eastAsia="zh-CN"/>
        </w:rPr>
        <w:t>）</w:t>
      </w:r>
      <w:r>
        <w:rPr>
          <w:rFonts w:hint="eastAsia" w:ascii="宋体" w:hAnsi="宋体" w:eastAsia="宋体" w:cs="宋体"/>
          <w:color w:val="auto"/>
          <w:sz w:val="24"/>
        </w:rPr>
        <w:t>大厅：坐椅、茶几、垃圾桶、各种指示牌、各种设施、设备的开关面每天上午和下午定时全面保洁1次，其余做</w:t>
      </w:r>
      <w:r>
        <w:rPr>
          <w:rFonts w:hint="eastAsia" w:ascii="宋体" w:hAnsi="宋体" w:cs="宋体"/>
          <w:color w:val="auto"/>
          <w:sz w:val="24"/>
          <w:lang w:val="en-US" w:eastAsia="zh-Hans"/>
        </w:rPr>
        <w:t>到</w:t>
      </w:r>
      <w:r>
        <w:rPr>
          <w:rFonts w:hint="eastAsia" w:ascii="宋体" w:hAnsi="宋体" w:eastAsia="宋体" w:cs="宋体"/>
          <w:color w:val="auto"/>
          <w:sz w:val="24"/>
        </w:rPr>
        <w:t>不定时重点巡回保洁。</w:t>
      </w:r>
    </w:p>
    <w:p>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7</w:t>
      </w:r>
      <w:r>
        <w:rPr>
          <w:rFonts w:hint="eastAsia" w:ascii="宋体" w:hAnsi="宋体" w:eastAsia="宋体" w:cs="宋体"/>
          <w:color w:val="auto"/>
          <w:sz w:val="24"/>
          <w:lang w:eastAsia="zh-CN"/>
        </w:rPr>
        <w:t>）</w:t>
      </w:r>
      <w:r>
        <w:rPr>
          <w:rFonts w:hint="eastAsia" w:ascii="宋体" w:hAnsi="宋体" w:eastAsia="宋体" w:cs="宋体"/>
          <w:color w:val="auto"/>
          <w:sz w:val="24"/>
        </w:rPr>
        <w:t>周转房：每天整体保洁，日常饮用水更换，电器、电路等维护，每半月一次全面保洁</w:t>
      </w:r>
      <w:r>
        <w:rPr>
          <w:rFonts w:hint="eastAsia" w:ascii="宋体" w:hAnsi="宋体" w:cs="宋体"/>
          <w:color w:val="auto"/>
          <w:sz w:val="24"/>
          <w:lang w:eastAsia="zh-CN"/>
        </w:rPr>
        <w:t>；</w:t>
      </w:r>
      <w:r>
        <w:rPr>
          <w:rFonts w:hint="eastAsia" w:ascii="宋体" w:hAnsi="宋体" w:eastAsia="宋体" w:cs="宋体"/>
          <w:color w:val="auto"/>
          <w:sz w:val="24"/>
        </w:rPr>
        <w:t>具体参照《考评标准》中周转房管理</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按</w:t>
      </w:r>
      <w:r>
        <w:rPr>
          <w:rFonts w:hint="eastAsia" w:ascii="宋体" w:hAnsi="宋体" w:cs="宋体"/>
          <w:color w:val="auto"/>
          <w:sz w:val="24"/>
          <w:lang w:val="en-US" w:eastAsia="zh-CN"/>
        </w:rPr>
        <w:t>甲方</w:t>
      </w:r>
      <w:r>
        <w:rPr>
          <w:rFonts w:hint="eastAsia" w:ascii="宋体" w:hAnsi="宋体" w:eastAsia="宋体" w:cs="宋体"/>
          <w:color w:val="auto"/>
          <w:sz w:val="24"/>
          <w:lang w:val="en-US" w:eastAsia="zh-CN"/>
        </w:rPr>
        <w:t>要求做好消杀工作。</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8</w:t>
      </w:r>
      <w:r>
        <w:rPr>
          <w:rFonts w:hint="eastAsia" w:ascii="宋体" w:hAnsi="宋体" w:eastAsia="宋体" w:cs="宋体"/>
          <w:color w:val="auto"/>
          <w:sz w:val="24"/>
          <w:lang w:eastAsia="zh-CN"/>
        </w:rPr>
        <w:t>）</w:t>
      </w:r>
      <w:r>
        <w:rPr>
          <w:rFonts w:hint="eastAsia" w:ascii="宋体" w:hAnsi="宋体" w:eastAsia="宋体" w:cs="宋体"/>
          <w:color w:val="auto"/>
          <w:sz w:val="24"/>
        </w:rPr>
        <w:t>会议室、会议服务间、开水房等：会议</w:t>
      </w:r>
      <w:r>
        <w:rPr>
          <w:rFonts w:hint="eastAsia" w:ascii="宋体" w:hAnsi="宋体" w:eastAsia="宋体" w:cs="宋体"/>
          <w:color w:val="auto"/>
          <w:sz w:val="24"/>
          <w:lang w:val="en-US" w:eastAsia="zh-CN"/>
        </w:rPr>
        <w:t>前</w:t>
      </w:r>
      <w:r>
        <w:rPr>
          <w:rFonts w:hint="eastAsia" w:ascii="宋体" w:hAnsi="宋体" w:eastAsia="宋体" w:cs="宋体"/>
          <w:color w:val="auto"/>
          <w:sz w:val="24"/>
        </w:rPr>
        <w:t>后整体保洁</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消杀；</w:t>
      </w:r>
      <w:r>
        <w:rPr>
          <w:rFonts w:hint="eastAsia" w:ascii="宋体" w:hAnsi="宋体" w:eastAsia="宋体" w:cs="宋体"/>
          <w:color w:val="auto"/>
          <w:sz w:val="24"/>
        </w:rPr>
        <w:t>每周一次全面保洁。</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9</w:t>
      </w:r>
      <w:r>
        <w:rPr>
          <w:rFonts w:hint="eastAsia" w:ascii="宋体" w:hAnsi="宋体" w:eastAsia="宋体" w:cs="宋体"/>
          <w:color w:val="auto"/>
          <w:sz w:val="24"/>
          <w:lang w:eastAsia="zh-CN"/>
        </w:rPr>
        <w:t>）</w:t>
      </w:r>
      <w:r>
        <w:rPr>
          <w:rFonts w:hint="eastAsia" w:ascii="宋体" w:hAnsi="宋体" w:eastAsia="宋体" w:cs="宋体"/>
          <w:color w:val="auto"/>
          <w:sz w:val="24"/>
        </w:rPr>
        <w:t>其他公共区域：每天计划卫生完成后对门框、窗台、消防栓、指示牌、通风井格栏、垃圾桶的清洁工作不少于2次。</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10</w:t>
      </w:r>
      <w:r>
        <w:rPr>
          <w:rFonts w:hint="eastAsia" w:ascii="宋体" w:hAnsi="宋体" w:eastAsia="宋体" w:cs="宋体"/>
          <w:color w:val="auto"/>
          <w:sz w:val="24"/>
          <w:lang w:eastAsia="zh-CN"/>
        </w:rPr>
        <w:t>）</w:t>
      </w:r>
      <w:r>
        <w:rPr>
          <w:rFonts w:hint="eastAsia" w:ascii="宋体" w:hAnsi="宋体" w:eastAsia="宋体" w:cs="宋体"/>
          <w:color w:val="auto"/>
          <w:sz w:val="24"/>
        </w:rPr>
        <w:t>垃圾的清倒：垃圾清运应做到日产日清，不得将垃圾在办公区内放置过夜。垃圾桶内垃圾不超过2/3，每二天清洗、消毒一次。</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11</w:t>
      </w:r>
      <w:r>
        <w:rPr>
          <w:rFonts w:hint="eastAsia" w:ascii="宋体" w:hAnsi="宋体" w:eastAsia="宋体" w:cs="宋体"/>
          <w:color w:val="auto"/>
          <w:sz w:val="24"/>
          <w:lang w:eastAsia="zh-CN"/>
        </w:rPr>
        <w:t>）</w:t>
      </w:r>
      <w:r>
        <w:rPr>
          <w:rFonts w:hint="eastAsia" w:ascii="宋体" w:hAnsi="宋体" w:eastAsia="宋体" w:cs="宋体"/>
          <w:color w:val="auto"/>
          <w:sz w:val="24"/>
        </w:rPr>
        <w:t>每周清洁大楼公共区域2米以下的玻璃门窗、幕墙1次，雨季增加至每周2次。</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12</w:t>
      </w:r>
      <w:r>
        <w:rPr>
          <w:rFonts w:hint="eastAsia" w:ascii="宋体" w:hAnsi="宋体" w:eastAsia="宋体" w:cs="宋体"/>
          <w:color w:val="auto"/>
          <w:sz w:val="24"/>
          <w:lang w:eastAsia="zh-CN"/>
        </w:rPr>
        <w:t>）</w:t>
      </w:r>
      <w:r>
        <w:rPr>
          <w:rFonts w:hint="eastAsia" w:ascii="宋体" w:hAnsi="宋体" w:eastAsia="宋体" w:cs="宋体"/>
          <w:color w:val="auto"/>
          <w:sz w:val="24"/>
          <w:lang w:val="zh-CN"/>
        </w:rPr>
        <w:t>每月做卫生大扫除一次（包括消防器材、楼梯踏步的扫除等）</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13</w:t>
      </w:r>
      <w:r>
        <w:rPr>
          <w:rFonts w:hint="eastAsia" w:ascii="宋体" w:hAnsi="宋体" w:eastAsia="宋体" w:cs="宋体"/>
          <w:color w:val="auto"/>
          <w:sz w:val="24"/>
          <w:lang w:eastAsia="zh-CN"/>
        </w:rPr>
        <w:t>）</w:t>
      </w:r>
      <w:r>
        <w:rPr>
          <w:rFonts w:hint="eastAsia" w:ascii="宋体" w:hAnsi="宋体" w:eastAsia="宋体" w:cs="宋体"/>
          <w:color w:val="auto"/>
          <w:sz w:val="24"/>
        </w:rPr>
        <w:t>每年在雨季前对化粪池、雨污排水管、污水沟进行一次疏淘。</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14</w:t>
      </w:r>
      <w:r>
        <w:rPr>
          <w:rFonts w:hint="eastAsia" w:ascii="宋体" w:hAnsi="宋体" w:eastAsia="宋体" w:cs="宋体"/>
          <w:color w:val="auto"/>
          <w:sz w:val="24"/>
          <w:lang w:eastAsia="zh-CN"/>
        </w:rPr>
        <w:t>）</w:t>
      </w:r>
      <w:r>
        <w:rPr>
          <w:rFonts w:hint="eastAsia" w:ascii="宋体" w:hAnsi="宋体" w:eastAsia="宋体" w:cs="宋体"/>
          <w:color w:val="auto"/>
          <w:sz w:val="24"/>
        </w:rPr>
        <w:t>配合</w:t>
      </w:r>
      <w:r>
        <w:rPr>
          <w:rFonts w:hint="eastAsia" w:ascii="宋体" w:hAnsi="宋体" w:cs="宋体"/>
          <w:color w:val="auto"/>
          <w:sz w:val="24"/>
          <w:lang w:val="en-US" w:eastAsia="zh-CN"/>
        </w:rPr>
        <w:t>甲方</w:t>
      </w:r>
      <w:r>
        <w:rPr>
          <w:rFonts w:hint="eastAsia" w:ascii="宋体" w:hAnsi="宋体" w:eastAsia="宋体" w:cs="宋体"/>
          <w:color w:val="auto"/>
          <w:sz w:val="24"/>
        </w:rPr>
        <w:t>做好办公区环境卫生消杀工作。</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15</w:t>
      </w:r>
      <w:r>
        <w:rPr>
          <w:rFonts w:hint="eastAsia" w:ascii="宋体" w:hAnsi="宋体" w:eastAsia="宋体" w:cs="宋体"/>
          <w:color w:val="auto"/>
          <w:sz w:val="24"/>
          <w:lang w:eastAsia="zh-CN"/>
        </w:rPr>
        <w:t>）</w:t>
      </w:r>
      <w:r>
        <w:rPr>
          <w:rFonts w:hint="eastAsia" w:ascii="宋体" w:hAnsi="宋体" w:eastAsia="宋体" w:cs="宋体"/>
          <w:color w:val="auto"/>
          <w:sz w:val="24"/>
        </w:rPr>
        <w:t>各种洁具（抹布、拖布等）按要求摆放整齐、规范，并且做到定期更换，保持清洁、卫生，避免造成清洁对象表面污损。</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保洁人员基本要求及保洁范围</w:t>
      </w:r>
    </w:p>
    <w:p>
      <w:pPr>
        <w:spacing w:line="590" w:lineRule="exact"/>
        <w:ind w:firstLine="480" w:firstLineChars="200"/>
        <w:rPr>
          <w:rFonts w:ascii="仿宋" w:hAnsi="仿宋" w:eastAsia="仿宋"/>
          <w:color w:val="auto"/>
          <w:sz w:val="32"/>
          <w:szCs w:val="32"/>
        </w:rPr>
      </w:pPr>
      <w:r>
        <w:rPr>
          <w:rFonts w:hint="eastAsia" w:ascii="宋体" w:hAnsi="宋体" w:eastAsia="宋体" w:cs="宋体"/>
          <w:color w:val="auto"/>
          <w:sz w:val="24"/>
          <w:lang w:eastAsia="zh-CN"/>
        </w:rPr>
        <w:t>（</w:t>
      </w: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人员配置总体要求：遵纪守法、吃苦耐劳,具有团队合作精神。熟练工应占保洁总人数的30%以上，保洁人员政治审查合格率达100%（签订物业管理服务合同前应提供相关证明材料），VIP服务人员要求身高1.5</w:t>
      </w:r>
      <w:r>
        <w:rPr>
          <w:rFonts w:hint="eastAsia" w:ascii="宋体" w:hAnsi="宋体" w:eastAsia="宋体" w:cs="宋体"/>
          <w:color w:val="auto"/>
          <w:sz w:val="24"/>
          <w:lang w:val="en-US" w:eastAsia="zh-CN"/>
        </w:rPr>
        <w:t>5</w:t>
      </w:r>
      <w:r>
        <w:rPr>
          <w:rFonts w:hint="eastAsia" w:ascii="宋体" w:hAnsi="宋体" w:eastAsia="宋体" w:cs="宋体"/>
          <w:color w:val="auto"/>
          <w:sz w:val="24"/>
        </w:rPr>
        <w:t>米以上、气质较好，</w:t>
      </w:r>
      <w:r>
        <w:rPr>
          <w:rFonts w:hint="eastAsia" w:ascii="宋体" w:hAnsi="宋体" w:cs="宋体"/>
          <w:color w:val="auto"/>
          <w:sz w:val="24"/>
          <w:lang w:val="en-US" w:eastAsia="zh-Hans"/>
        </w:rPr>
        <w:t>具</w:t>
      </w:r>
      <w:r>
        <w:rPr>
          <w:rFonts w:hint="eastAsia" w:ascii="宋体" w:hAnsi="宋体" w:eastAsia="宋体" w:cs="宋体"/>
          <w:color w:val="auto"/>
          <w:sz w:val="24"/>
        </w:rPr>
        <w:t>有较强的保密意识</w:t>
      </w:r>
      <w:r>
        <w:rPr>
          <w:rFonts w:ascii="仿宋" w:hAnsi="仿宋" w:eastAsia="仿宋"/>
          <w:color w:val="auto"/>
          <w:sz w:val="32"/>
          <w:szCs w:val="32"/>
        </w:rPr>
        <w:t>。</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保洁范围</w:t>
      </w:r>
    </w:p>
    <w:p>
      <w:pPr>
        <w:tabs>
          <w:tab w:val="left" w:pos="439"/>
          <w:tab w:val="left" w:pos="694"/>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1 \* GB3 \* MERGEFORMAT </w:instrText>
      </w:r>
      <w:r>
        <w:rPr>
          <w:rFonts w:hint="eastAsia" w:ascii="宋体" w:hAnsi="宋体" w:eastAsia="宋体" w:cs="宋体"/>
          <w:color w:val="auto"/>
          <w:sz w:val="24"/>
        </w:rPr>
        <w:fldChar w:fldCharType="separate"/>
      </w:r>
      <w:r>
        <w:rPr>
          <w:color w:val="auto"/>
        </w:rPr>
        <w:t>①</w:t>
      </w:r>
      <w:r>
        <w:rPr>
          <w:rFonts w:hint="eastAsia" w:ascii="宋体" w:hAnsi="宋体" w:eastAsia="宋体" w:cs="宋体"/>
          <w:color w:val="auto"/>
          <w:sz w:val="24"/>
        </w:rPr>
        <w:fldChar w:fldCharType="end"/>
      </w:r>
      <w:r>
        <w:rPr>
          <w:rFonts w:hint="eastAsia" w:ascii="宋体" w:hAnsi="宋体" w:eastAsia="宋体" w:cs="宋体"/>
          <w:color w:val="auto"/>
          <w:sz w:val="24"/>
        </w:rPr>
        <w:t>市委、政府、人大、政协机关办公区、道路、绿化带、广场、停车场、楼栋内公共区域。</w:t>
      </w:r>
    </w:p>
    <w:p>
      <w:pPr>
        <w:tabs>
          <w:tab w:val="left" w:pos="394"/>
          <w:tab w:val="left" w:pos="679"/>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2 \* GB3 \* MERGEFORMAT </w:instrText>
      </w:r>
      <w:r>
        <w:rPr>
          <w:rFonts w:hint="eastAsia" w:ascii="宋体" w:hAnsi="宋体" w:eastAsia="宋体" w:cs="宋体"/>
          <w:color w:val="auto"/>
          <w:sz w:val="24"/>
        </w:rPr>
        <w:fldChar w:fldCharType="separate"/>
      </w:r>
      <w:r>
        <w:rPr>
          <w:color w:val="auto"/>
        </w:rPr>
        <w:t>②</w:t>
      </w:r>
      <w:r>
        <w:rPr>
          <w:rFonts w:hint="eastAsia" w:ascii="宋体" w:hAnsi="宋体" w:eastAsia="宋体" w:cs="宋体"/>
          <w:color w:val="auto"/>
          <w:sz w:val="24"/>
        </w:rPr>
        <w:fldChar w:fldCharType="end"/>
      </w:r>
      <w:r>
        <w:rPr>
          <w:rFonts w:hint="eastAsia" w:ascii="宋体" w:hAnsi="宋体" w:eastAsia="宋体" w:cs="宋体"/>
          <w:color w:val="auto"/>
          <w:sz w:val="24"/>
        </w:rPr>
        <w:t>市委、政府、人大、政协机关办公区VIP办公室共计71间（其中市委25间、政府22间、人大11间、政协13间）。</w:t>
      </w:r>
    </w:p>
    <w:p>
      <w:pPr>
        <w:tabs>
          <w:tab w:val="left" w:pos="439"/>
          <w:tab w:val="left" w:pos="694"/>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3 \* GB3 \* MERGEFORMAT </w:instrText>
      </w:r>
      <w:r>
        <w:rPr>
          <w:rFonts w:hint="eastAsia" w:ascii="宋体" w:hAnsi="宋体" w:eastAsia="宋体" w:cs="宋体"/>
          <w:color w:val="auto"/>
          <w:sz w:val="24"/>
        </w:rPr>
        <w:fldChar w:fldCharType="separate"/>
      </w:r>
      <w:r>
        <w:rPr>
          <w:color w:val="auto"/>
        </w:rPr>
        <w:t>③</w:t>
      </w:r>
      <w:r>
        <w:rPr>
          <w:rFonts w:hint="eastAsia" w:ascii="宋体" w:hAnsi="宋体" w:eastAsia="宋体" w:cs="宋体"/>
          <w:color w:val="auto"/>
          <w:sz w:val="24"/>
        </w:rPr>
        <w:fldChar w:fldCharType="end"/>
      </w:r>
      <w:r>
        <w:rPr>
          <w:rFonts w:hint="eastAsia" w:ascii="宋体" w:hAnsi="宋体" w:eastAsia="宋体" w:cs="宋体"/>
          <w:color w:val="auto"/>
          <w:sz w:val="24"/>
        </w:rPr>
        <w:t>市委、政府、人大、政协机关办公区公共卫生间共计23间（其中市委19间、政府2间、人大2间、政协12间）。</w:t>
      </w:r>
    </w:p>
    <w:p>
      <w:pPr>
        <w:tabs>
          <w:tab w:val="left" w:pos="349"/>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4 \* GB3 \* MERGEFORMAT </w:instrText>
      </w:r>
      <w:r>
        <w:rPr>
          <w:rFonts w:hint="eastAsia" w:ascii="宋体" w:hAnsi="宋体" w:eastAsia="宋体" w:cs="宋体"/>
          <w:color w:val="auto"/>
          <w:sz w:val="24"/>
        </w:rPr>
        <w:fldChar w:fldCharType="separate"/>
      </w:r>
      <w:r>
        <w:rPr>
          <w:color w:val="auto"/>
        </w:rPr>
        <w:t>④</w:t>
      </w:r>
      <w:r>
        <w:rPr>
          <w:rFonts w:hint="eastAsia" w:ascii="宋体" w:hAnsi="宋体" w:eastAsia="宋体" w:cs="宋体"/>
          <w:color w:val="auto"/>
          <w:sz w:val="24"/>
        </w:rPr>
        <w:fldChar w:fldCharType="end"/>
      </w:r>
      <w:r>
        <w:rPr>
          <w:rFonts w:hint="eastAsia" w:ascii="宋体" w:hAnsi="宋体" w:eastAsia="宋体" w:cs="宋体"/>
          <w:color w:val="auto"/>
          <w:sz w:val="24"/>
        </w:rPr>
        <w:t>市委、政府、人大、政协机关办公区会议室。</w:t>
      </w:r>
    </w:p>
    <w:p>
      <w:pPr>
        <w:tabs>
          <w:tab w:val="left" w:pos="379"/>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5 \* GB3 \* MERGEFORMAT </w:instrText>
      </w:r>
      <w:r>
        <w:rPr>
          <w:rFonts w:hint="eastAsia" w:ascii="宋体" w:hAnsi="宋体" w:eastAsia="宋体" w:cs="宋体"/>
          <w:color w:val="auto"/>
          <w:sz w:val="24"/>
        </w:rPr>
        <w:fldChar w:fldCharType="separate"/>
      </w:r>
      <w:r>
        <w:rPr>
          <w:color w:val="auto"/>
        </w:rPr>
        <w:t>⑤</w:t>
      </w:r>
      <w:r>
        <w:rPr>
          <w:rFonts w:hint="eastAsia" w:ascii="宋体" w:hAnsi="宋体" w:eastAsia="宋体" w:cs="宋体"/>
          <w:color w:val="auto"/>
          <w:sz w:val="24"/>
        </w:rPr>
        <w:fldChar w:fldCharType="end"/>
      </w:r>
      <w:r>
        <w:rPr>
          <w:rFonts w:hint="eastAsia" w:ascii="宋体" w:hAnsi="宋体" w:eastAsia="宋体" w:cs="宋体"/>
          <w:color w:val="auto"/>
          <w:sz w:val="24"/>
        </w:rPr>
        <w:t>22套周转房。</w:t>
      </w:r>
    </w:p>
    <w:p>
      <w:pPr>
        <w:spacing w:line="360" w:lineRule="auto"/>
        <w:ind w:firstLine="482" w:firstLineChars="200"/>
        <w:outlineLvl w:val="1"/>
        <w:rPr>
          <w:rFonts w:hint="eastAsia" w:ascii="宋体" w:hAnsi="宋体" w:eastAsia="宋体" w:cs="宋体"/>
          <w:color w:val="auto"/>
          <w:sz w:val="24"/>
        </w:rPr>
      </w:pPr>
      <w:r>
        <w:rPr>
          <w:rFonts w:hint="eastAsia" w:ascii="宋体" w:hAnsi="宋体" w:eastAsia="宋体" w:cs="宋体"/>
          <w:b/>
          <w:bCs/>
          <w:color w:val="auto"/>
          <w:sz w:val="24"/>
          <w:lang w:val="en-US" w:eastAsia="zh-CN"/>
        </w:rPr>
        <w:t>（六）</w:t>
      </w:r>
      <w:r>
        <w:rPr>
          <w:rFonts w:hint="eastAsia" w:ascii="宋体" w:hAnsi="宋体" w:eastAsia="宋体" w:cs="宋体"/>
          <w:b/>
          <w:bCs/>
          <w:color w:val="auto"/>
          <w:sz w:val="24"/>
        </w:rPr>
        <w:t>客户服务人员配置要求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总体要求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人员配置总体要求：具有团队精神，亲和力强，形象气质佳，身高1.60米以上。</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工作区域人员配置及工作要求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本项目需配备客户服务主管、客服服务人员和收发员，负责对市委、政府、人大、政协办公区及周转房报修受理</w:t>
      </w:r>
      <w:r>
        <w:rPr>
          <w:rFonts w:hint="eastAsia" w:ascii="宋体" w:hAnsi="宋体" w:eastAsia="宋体" w:cs="宋体"/>
          <w:color w:val="auto"/>
          <w:sz w:val="24"/>
          <w:lang w:eastAsia="zh-CN"/>
        </w:rPr>
        <w:t>、</w:t>
      </w:r>
      <w:r>
        <w:rPr>
          <w:rFonts w:hint="eastAsia" w:ascii="宋体" w:hAnsi="宋体" w:eastAsia="宋体" w:cs="宋体"/>
          <w:color w:val="auto"/>
          <w:sz w:val="24"/>
        </w:rPr>
        <w:t>客户咨询接待工作，人大、政协报纸分发工作及配合做好市委、市政府报纸分发工作；负责公司内部各部门总体调度工作、突发事件的处理；及时向上级汇报；</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lang w:eastAsia="zh-CN"/>
        </w:rPr>
        <w:t>（七）</w:t>
      </w:r>
      <w:r>
        <w:rPr>
          <w:rFonts w:hint="eastAsia" w:ascii="宋体" w:hAnsi="宋体" w:eastAsia="宋体" w:cs="宋体"/>
          <w:b/>
          <w:bCs/>
          <w:color w:val="auto"/>
          <w:sz w:val="24"/>
        </w:rPr>
        <w:t>会务服务人员配置及工作要求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总体要求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人员配置总体要求：具有团队精神，亲和力强，形象气质佳，身高1. 6米以上。</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工作区域及工作要求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工作区域：市委办公区会议室：共有8间，分别容纳：大礼堂273人、1号96人、2号78人、3号48人、5号</w:t>
      </w:r>
      <w:r>
        <w:rPr>
          <w:rFonts w:hint="eastAsia" w:ascii="宋体" w:hAnsi="宋体" w:eastAsia="宋体" w:cs="宋体"/>
          <w:color w:val="auto"/>
          <w:sz w:val="24"/>
          <w:lang w:val="en-US" w:eastAsia="zh-CN"/>
        </w:rPr>
        <w:t>86</w:t>
      </w:r>
      <w:r>
        <w:rPr>
          <w:rFonts w:hint="eastAsia" w:ascii="宋体" w:hAnsi="宋体" w:eastAsia="宋体" w:cs="宋体"/>
          <w:color w:val="auto"/>
          <w:sz w:val="24"/>
        </w:rPr>
        <w:t>人、6号12人、7号12人、阅览室12人，侯会室3间，9楼提供专人服务；市政府办公区会议室：共有会议室7间，分别容纳：207号93人、202号45人、201号26人、101号36人、109号20人、215号9人、网真5人,会客室1间；市人大</w:t>
      </w:r>
      <w:r>
        <w:rPr>
          <w:rFonts w:hint="eastAsia" w:ascii="宋体" w:hAnsi="宋体" w:eastAsia="宋体" w:cs="宋体"/>
          <w:color w:val="auto"/>
          <w:sz w:val="24"/>
          <w:lang w:val="en-US" w:eastAsia="zh-CN"/>
        </w:rPr>
        <w:t>办公区</w:t>
      </w:r>
      <w:r>
        <w:rPr>
          <w:rFonts w:hint="eastAsia" w:ascii="宋体" w:hAnsi="宋体" w:eastAsia="宋体" w:cs="宋体"/>
          <w:color w:val="auto"/>
          <w:sz w:val="24"/>
        </w:rPr>
        <w:t>含建设局2间共有会议室5个，分别容纳79人、30人、57人、19人、27人；市政协共有会议室4个，分别容纳100人、40人、20人、20人。</w:t>
      </w:r>
    </w:p>
    <w:p>
      <w:pPr>
        <w:keepNext w:val="0"/>
        <w:keepLines w:val="0"/>
        <w:pageBreakBefore w:val="0"/>
        <w:kinsoku/>
        <w:wordWrap/>
        <w:overflowPunct/>
        <w:topLinePunct w:val="0"/>
        <w:bidi w:val="0"/>
        <w:adjustRightInd/>
        <w:snapToGrid/>
        <w:spacing w:line="360" w:lineRule="auto"/>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工作要求：本项目需配备会务服务主管、会务服务音响调控师和会务服务人员，负责对正常工作日工作时间段市委、政府、人大、政协机关办公区会议室的预订，会场安排布置，每次会议的会前检查工作，提供优质的会务服务。做好会服人员的管理、培训工作及日常班次安排、突发事件的处理。</w:t>
      </w:r>
    </w:p>
    <w:p>
      <w:pPr>
        <w:spacing w:line="360" w:lineRule="auto"/>
        <w:ind w:firstLine="482" w:firstLineChars="200"/>
        <w:rPr>
          <w:rFonts w:hint="eastAsia" w:ascii="宋体" w:hAnsi="宋体" w:eastAsia="宋体" w:cs="宋体"/>
          <w:color w:val="auto"/>
          <w:sz w:val="24"/>
          <w:lang w:eastAsia="zh-CN"/>
        </w:rPr>
      </w:pPr>
      <w:r>
        <w:rPr>
          <w:rFonts w:hint="eastAsia" w:ascii="宋体" w:hAnsi="宋体" w:eastAsia="宋体" w:cs="宋体"/>
          <w:b/>
          <w:bCs/>
          <w:color w:val="auto"/>
          <w:sz w:val="24"/>
          <w:lang w:eastAsia="zh-CN"/>
        </w:rPr>
        <w:t>（八）</w:t>
      </w:r>
      <w:r>
        <w:rPr>
          <w:rFonts w:hint="eastAsia" w:ascii="宋体" w:hAnsi="宋体" w:eastAsia="宋体" w:cs="宋体"/>
          <w:b/>
          <w:bCs/>
          <w:color w:val="auto"/>
          <w:sz w:val="24"/>
        </w:rPr>
        <w:t>其他要求</w:t>
      </w:r>
    </w:p>
    <w:p>
      <w:pPr>
        <w:spacing w:line="6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应严格遵守和执行《中华人民共和国劳动法》《成都市劳动用工和社会保险管理暂行规定》《成都市人民政府关于调整全市最低工资标准的通知》及相关法律、法规</w:t>
      </w:r>
      <w:r>
        <w:rPr>
          <w:rFonts w:hint="eastAsia" w:ascii="宋体" w:hAnsi="宋体" w:cs="宋体"/>
          <w:color w:val="auto"/>
          <w:sz w:val="24"/>
          <w:szCs w:val="24"/>
          <w:lang w:val="en-US" w:eastAsia="zh-Hans"/>
        </w:rPr>
        <w:t>规章的规定</w:t>
      </w:r>
      <w:r>
        <w:rPr>
          <w:rFonts w:hint="eastAsia" w:ascii="宋体" w:hAnsi="宋体" w:eastAsia="宋体" w:cs="宋体"/>
          <w:color w:val="auto"/>
          <w:sz w:val="24"/>
          <w:szCs w:val="24"/>
        </w:rPr>
        <w:t>；</w:t>
      </w:r>
    </w:p>
    <w:p>
      <w:pPr>
        <w:spacing w:line="6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对其物业管理服务人员的疾病和人身安全等负责，</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对此不承担任何的</w:t>
      </w:r>
      <w:r>
        <w:rPr>
          <w:rFonts w:hint="eastAsia" w:ascii="宋体" w:hAnsi="宋体" w:cs="宋体"/>
          <w:color w:val="auto"/>
          <w:sz w:val="24"/>
          <w:szCs w:val="24"/>
          <w:lang w:val="en-US" w:eastAsia="zh-Hans"/>
        </w:rPr>
        <w:t>法律</w:t>
      </w:r>
      <w:r>
        <w:rPr>
          <w:rFonts w:hint="eastAsia" w:ascii="宋体" w:hAnsi="宋体" w:eastAsia="宋体" w:cs="宋体"/>
          <w:color w:val="auto"/>
          <w:sz w:val="24"/>
          <w:szCs w:val="24"/>
        </w:rPr>
        <w:t>责任和</w:t>
      </w:r>
      <w:r>
        <w:rPr>
          <w:rFonts w:hint="eastAsia" w:ascii="宋体" w:hAnsi="宋体" w:cs="宋体"/>
          <w:color w:val="auto"/>
          <w:sz w:val="24"/>
          <w:szCs w:val="24"/>
          <w:lang w:val="en-US" w:eastAsia="zh-Hans"/>
        </w:rPr>
        <w:t>相应</w:t>
      </w:r>
      <w:r>
        <w:rPr>
          <w:rFonts w:hint="eastAsia" w:ascii="宋体" w:hAnsi="宋体" w:eastAsia="宋体" w:cs="宋体"/>
          <w:color w:val="auto"/>
          <w:sz w:val="24"/>
          <w:szCs w:val="24"/>
        </w:rPr>
        <w:t>义务。</w:t>
      </w:r>
    </w:p>
    <w:p>
      <w:pPr>
        <w:spacing w:line="6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要全面接受此前为本项目运行的劳务人员10</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人；此次物业管理项目配备劳务人员不少于108人，人员岗位分配由</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与</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商议决定，但人员分配应以</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需求为准。</w:t>
      </w:r>
    </w:p>
    <w:p>
      <w:pPr>
        <w:spacing w:line="6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所聘用人员年龄</w:t>
      </w:r>
      <w:r>
        <w:rPr>
          <w:rFonts w:hint="eastAsia" w:ascii="宋体" w:hAnsi="宋体" w:cs="宋体"/>
          <w:color w:val="auto"/>
          <w:sz w:val="24"/>
          <w:szCs w:val="24"/>
          <w:lang w:val="en-US" w:eastAsia="zh-Hans"/>
        </w:rPr>
        <w:t>应当</w:t>
      </w:r>
      <w:r>
        <w:rPr>
          <w:rFonts w:hint="eastAsia" w:ascii="宋体" w:hAnsi="宋体" w:eastAsia="宋体" w:cs="宋体"/>
          <w:color w:val="auto"/>
          <w:sz w:val="24"/>
          <w:szCs w:val="24"/>
        </w:rPr>
        <w:t>小于法定退休年龄。</w:t>
      </w:r>
    </w:p>
    <w:p>
      <w:pPr>
        <w:spacing w:line="600" w:lineRule="exact"/>
        <w:ind w:firstLine="46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不得以任何形式、任何理由对此次物业管理项目服务进行转包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如有违反，立即终止合同</w:t>
      </w:r>
      <w:r>
        <w:rPr>
          <w:rFonts w:hint="eastAsia" w:ascii="宋体" w:hAnsi="宋体" w:cs="宋体"/>
          <w:color w:val="auto"/>
          <w:sz w:val="24"/>
          <w:szCs w:val="24"/>
          <w:lang w:val="en-US" w:eastAsia="zh-Hans"/>
        </w:rPr>
        <w:t>并依法追究其违约责任</w:t>
      </w:r>
      <w:r>
        <w:rPr>
          <w:rFonts w:hint="eastAsia" w:ascii="宋体" w:hAnsi="宋体" w:eastAsia="宋体" w:cs="宋体"/>
          <w:color w:val="auto"/>
          <w:sz w:val="24"/>
          <w:szCs w:val="24"/>
          <w:lang w:eastAsia="zh-CN"/>
        </w:rPr>
        <w:t>。</w:t>
      </w:r>
    </w:p>
    <w:p>
      <w:pPr>
        <w:spacing w:line="6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的投标报价是投标人响应招标项目要求的全部工作内容的价格体现，本项目合同履行过程中，除遇不可抗力因素、</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要求的变更以外，不作任何调整。</w:t>
      </w:r>
    </w:p>
    <w:p>
      <w:pPr>
        <w:spacing w:line="6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在编制投标报价时应注意，其人员工资标准、劳保、福利等应执行国家和地方政府的相关法律、法规和部门规章。</w:t>
      </w:r>
    </w:p>
    <w:p>
      <w:pPr>
        <w:pStyle w:val="213"/>
        <w:widowControl w:val="0"/>
        <w:autoSpaceDE w:val="0"/>
        <w:autoSpaceDN w:val="0"/>
        <w:spacing w:before="0" w:after="0" w:line="600" w:lineRule="exact"/>
        <w:ind w:firstLine="478"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b/>
          <w:bCs/>
          <w:color w:val="auto"/>
          <w:spacing w:val="-1"/>
          <w:sz w:val="24"/>
          <w:szCs w:val="24"/>
          <w:lang w:eastAsia="zh-CN"/>
        </w:rPr>
        <w:t>第四条  服务费用及支付方式</w:t>
      </w:r>
    </w:p>
    <w:p>
      <w:pPr>
        <w:spacing w:line="600" w:lineRule="exact"/>
        <w:ind w:firstLine="465"/>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rPr>
        <w:t>（一）本项目服务费用：</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元。</w:t>
      </w:r>
    </w:p>
    <w:p>
      <w:pPr>
        <w:spacing w:line="6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（二）服务费支付方式：</w:t>
      </w:r>
    </w:p>
    <w:p>
      <w:pPr>
        <w:spacing w:line="600" w:lineRule="exact"/>
        <w:ind w:firstLine="465"/>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按季度支付，甲方对乙方上一季度的服务质量签字认可后</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甲方从收到乙方发票之日起25日内</w:t>
      </w:r>
      <w:r>
        <w:rPr>
          <w:rFonts w:hint="eastAsia" w:ascii="宋体" w:hAnsi="宋体" w:eastAsia="宋体" w:cs="宋体"/>
          <w:color w:val="auto"/>
          <w:sz w:val="24"/>
          <w:szCs w:val="24"/>
        </w:rPr>
        <w:t>转账支付上一季度物业服务费用。甲方每季度支付乙方的物业服务费用为</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元</w:t>
      </w:r>
      <w:r>
        <w:rPr>
          <w:rFonts w:hint="eastAsia" w:ascii="宋体" w:hAnsi="宋体" w:eastAsia="宋体" w:cs="宋体"/>
          <w:color w:val="auto"/>
          <w:sz w:val="24"/>
          <w:szCs w:val="24"/>
        </w:rPr>
        <w:t>（大写：</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p>
    <w:p>
      <w:pPr>
        <w:pStyle w:val="213"/>
        <w:widowControl w:val="0"/>
        <w:autoSpaceDE w:val="0"/>
        <w:autoSpaceDN w:val="0"/>
        <w:spacing w:before="0" w:after="0" w:line="600" w:lineRule="exact"/>
        <w:ind w:firstLine="478"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b/>
          <w:bCs/>
          <w:color w:val="auto"/>
          <w:spacing w:val="-1"/>
          <w:sz w:val="24"/>
          <w:szCs w:val="24"/>
          <w:lang w:eastAsia="zh-CN"/>
        </w:rPr>
        <w:t>第五条  考核标准及办法</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1、考核及物管费支付方式</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办公区物业管理考评、考核标准依据本项目物业管理要求，由</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制定具体实施办法，按百分制实行月考评、季度考评、年度考核及随机检查，</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根据工作实际对考评标准不断完善和细化。要求秩序维护有力，办公区秩序良好，杜绝各类安全责任事故；环境卫生清扫保洁合格率达100％；各项服务综合满意率达到95％以上。随机检查：</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监督管理人员有权随机对</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的管理及服务进行检查。在随机检查中，如评分标准中机电设备管理、房屋管理、公共区域及其设施管理、清洁卫生管理、安全保卫管理、会务管理、客服受理、VIP办公用房管理、重大事故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节能工作</w:t>
      </w:r>
      <w:r>
        <w:rPr>
          <w:rFonts w:hint="eastAsia" w:ascii="宋体" w:hAnsi="宋体" w:eastAsia="宋体" w:cs="宋体"/>
          <w:color w:val="auto"/>
          <w:sz w:val="24"/>
          <w:szCs w:val="24"/>
        </w:rPr>
        <w:t>每扣0.1分，将对</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项目管理团队罚款20元。如</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管理团队拒不接受，</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有权要求更换</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项目管理团队。月度综合考评在95分以上时，</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按合同约定的每月物业管理费金额全额支付；月度综合考评在95分-90分之间，</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按合同约定的每月物业管理费金额的2%进行扣款；月度综合考评在90分-80分之间，</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按合同约定的每月物业管理费金额的10%进行扣款；月度综合考评在80分-70分之间，</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按合同约定的每月物业管理费金额的20%进行扣款；月度综合考评在70分以下时，</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按合同约定的每月物业管理费金额全额扣款；年度综合考评（年度综合评分为当年12个月月考评的平均分）在80分以下时，</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不再与</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续签合同</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2、其他需要说明的事项</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乙方在管理服务该项目期间若没有达到甲方的服务业标准要求，第一次月考评低于80分给予警告，第二次月考评低于80分的给予严重警告，第三次月考评低于80分的，甲方有权单方面终止合同。</w:t>
      </w:r>
    </w:p>
    <w:p>
      <w:pPr>
        <w:spacing w:line="590" w:lineRule="exact"/>
        <w:ind w:firstLine="6425" w:firstLineChars="2000"/>
        <w:rPr>
          <w:rFonts w:ascii="仿宋" w:hAnsi="仿宋" w:eastAsia="仿宋"/>
          <w:b/>
          <w:color w:val="auto"/>
          <w:sz w:val="32"/>
          <w:szCs w:val="32"/>
        </w:rPr>
      </w:pPr>
      <w:r>
        <w:rPr>
          <w:rFonts w:ascii="仿宋" w:hAnsi="仿宋" w:eastAsia="仿宋"/>
          <w:b/>
          <w:color w:val="auto"/>
          <w:sz w:val="32"/>
          <w:szCs w:val="32"/>
        </w:rPr>
        <w:t>考评标准</w:t>
      </w:r>
    </w:p>
    <w:tbl>
      <w:tblPr>
        <w:tblStyle w:val="49"/>
        <w:tblW w:w="98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3941"/>
        <w:gridCol w:w="790"/>
        <w:gridCol w:w="3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1333" w:type="dxa"/>
            <w:vAlign w:val="center"/>
          </w:tcPr>
          <w:p>
            <w:pPr>
              <w:spacing w:line="240" w:lineRule="exact"/>
              <w:jc w:val="center"/>
              <w:rPr>
                <w:rFonts w:ascii="Times New Roman" w:hAnsi="Times New Roman" w:eastAsia="黑体"/>
                <w:bCs/>
                <w:color w:val="auto"/>
                <w:szCs w:val="21"/>
              </w:rPr>
            </w:pPr>
            <w:r>
              <w:rPr>
                <w:rFonts w:ascii="Times New Roman" w:hAnsi="Times New Roman" w:eastAsia="黑体"/>
                <w:bCs/>
                <w:color w:val="auto"/>
                <w:szCs w:val="21"/>
              </w:rPr>
              <w:t>项目</w:t>
            </w:r>
          </w:p>
        </w:tc>
        <w:tc>
          <w:tcPr>
            <w:tcW w:w="3941" w:type="dxa"/>
            <w:vAlign w:val="center"/>
          </w:tcPr>
          <w:p>
            <w:pPr>
              <w:spacing w:line="240" w:lineRule="exact"/>
              <w:jc w:val="center"/>
              <w:rPr>
                <w:rFonts w:ascii="Times New Roman" w:hAnsi="Times New Roman" w:eastAsia="黑体"/>
                <w:bCs/>
                <w:color w:val="auto"/>
                <w:szCs w:val="21"/>
              </w:rPr>
            </w:pPr>
            <w:r>
              <w:rPr>
                <w:rFonts w:ascii="Times New Roman" w:hAnsi="Times New Roman" w:eastAsia="黑体"/>
                <w:bCs/>
                <w:color w:val="auto"/>
                <w:szCs w:val="21"/>
              </w:rPr>
              <w:t>服务质量标准</w:t>
            </w:r>
          </w:p>
        </w:tc>
        <w:tc>
          <w:tcPr>
            <w:tcW w:w="790" w:type="dxa"/>
            <w:vAlign w:val="center"/>
          </w:tcPr>
          <w:p>
            <w:pPr>
              <w:spacing w:line="240" w:lineRule="exact"/>
              <w:jc w:val="center"/>
              <w:rPr>
                <w:rFonts w:ascii="Times New Roman" w:hAnsi="Times New Roman" w:eastAsia="黑体"/>
                <w:bCs/>
                <w:color w:val="auto"/>
                <w:szCs w:val="21"/>
              </w:rPr>
            </w:pPr>
            <w:r>
              <w:rPr>
                <w:rFonts w:ascii="Times New Roman" w:hAnsi="Times New Roman" w:eastAsia="黑体"/>
                <w:bCs/>
                <w:color w:val="auto"/>
                <w:szCs w:val="21"/>
              </w:rPr>
              <w:t>分值</w:t>
            </w:r>
          </w:p>
        </w:tc>
        <w:tc>
          <w:tcPr>
            <w:tcW w:w="3769" w:type="dxa"/>
            <w:vAlign w:val="center"/>
          </w:tcPr>
          <w:p>
            <w:pPr>
              <w:spacing w:line="240" w:lineRule="exact"/>
              <w:jc w:val="center"/>
              <w:rPr>
                <w:rFonts w:ascii="Times New Roman" w:hAnsi="Times New Roman" w:eastAsia="黑体"/>
                <w:bCs/>
                <w:color w:val="auto"/>
                <w:szCs w:val="21"/>
              </w:rPr>
            </w:pPr>
            <w:r>
              <w:rPr>
                <w:rFonts w:ascii="Times New Roman" w:hAnsi="Times New Roman" w:eastAsia="黑体"/>
                <w:bCs/>
                <w:color w:val="auto"/>
                <w:szCs w:val="21"/>
              </w:rPr>
              <w:t>监督考评标准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1333" w:type="dxa"/>
            <w:vMerge w:val="restart"/>
            <w:vAlign w:val="center"/>
          </w:tcPr>
          <w:p>
            <w:pPr>
              <w:spacing w:line="240" w:lineRule="exact"/>
              <w:jc w:val="center"/>
              <w:rPr>
                <w:rFonts w:ascii="Times New Roman" w:hAnsi="Times New Roman" w:eastAsia="黑体"/>
                <w:bCs/>
                <w:color w:val="auto"/>
                <w:szCs w:val="21"/>
              </w:rPr>
            </w:pPr>
            <w:r>
              <w:rPr>
                <w:rFonts w:ascii="Times New Roman" w:hAnsi="Times New Roman" w:eastAsia="黑体"/>
                <w:bCs/>
                <w:color w:val="auto"/>
                <w:szCs w:val="21"/>
              </w:rPr>
              <w:t>管理制度</w:t>
            </w:r>
          </w:p>
          <w:p>
            <w:pPr>
              <w:spacing w:line="240" w:lineRule="exact"/>
              <w:jc w:val="center"/>
              <w:rPr>
                <w:rFonts w:ascii="Times New Roman" w:hAnsi="Times New Roman" w:eastAsia="黑体"/>
                <w:bCs/>
                <w:color w:val="auto"/>
                <w:szCs w:val="21"/>
              </w:rPr>
            </w:pPr>
            <w:r>
              <w:rPr>
                <w:rFonts w:ascii="Times New Roman" w:hAnsi="Times New Roman" w:eastAsia="黑体"/>
                <w:bCs/>
                <w:color w:val="auto"/>
                <w:szCs w:val="21"/>
              </w:rPr>
              <w:t>的建立健全及综合管理</w:t>
            </w:r>
          </w:p>
          <w:p>
            <w:pPr>
              <w:spacing w:line="240" w:lineRule="exact"/>
              <w:jc w:val="center"/>
              <w:rPr>
                <w:rFonts w:ascii="Times New Roman" w:hAnsi="Times New Roman" w:eastAsia="黑体"/>
                <w:bCs/>
                <w:color w:val="auto"/>
                <w:szCs w:val="21"/>
              </w:rPr>
            </w:pPr>
            <w:r>
              <w:rPr>
                <w:rFonts w:ascii="Times New Roman" w:hAnsi="Times New Roman" w:eastAsia="黑体"/>
                <w:bCs/>
                <w:color w:val="auto"/>
                <w:szCs w:val="21"/>
              </w:rPr>
              <w:t xml:space="preserve"> （4分）</w:t>
            </w: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建立健全物业管理档案，全面负责对机关物业管理、会务接待实施一体化综合管理；</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有一项档案不齐全的扣0.1分；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jc w:val="center"/>
        </w:trPr>
        <w:tc>
          <w:tcPr>
            <w:tcW w:w="1333" w:type="dxa"/>
            <w:vMerge w:val="continue"/>
            <w:vAlign w:val="center"/>
          </w:tcPr>
          <w:p>
            <w:pPr>
              <w:spacing w:line="240" w:lineRule="exact"/>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建立健全本物业内部岗位设置标准、职工管理以及相关物业使用守则等各项制度，并制定具体的落实措施和考核办法；</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缺少一项制度扣0.1分；缺少一项岗位设置标准的扣0.1分；缺少一项考核办法的扣0.2分；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1333" w:type="dxa"/>
            <w:vMerge w:val="continue"/>
            <w:vAlign w:val="center"/>
          </w:tcPr>
          <w:p>
            <w:pPr>
              <w:spacing w:line="240" w:lineRule="exact"/>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物业管理企业内部的管理人员、服务人员及专业技术人员必须持证上岗，专业技术人员必须持有国家认可的专业技术上岗证，全体人员须着装统一、佩戴明显标识；</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1.5</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发现未持证上岗的一人扣0.1分；发现未着工装的一人扣0.1分；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1333" w:type="dxa"/>
            <w:vMerge w:val="continue"/>
            <w:vAlign w:val="center"/>
          </w:tcPr>
          <w:p>
            <w:pPr>
              <w:spacing w:line="240" w:lineRule="exact"/>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负责对本物业的各项服务工作进行巡查、监督，并对物业服务员工进行考核；</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缺少一项巡查记录的扣0.1分；未对员工进行考核的扣每发现一次扣0.2分；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333" w:type="dxa"/>
            <w:vMerge w:val="restart"/>
            <w:vAlign w:val="center"/>
          </w:tcPr>
          <w:p>
            <w:pPr>
              <w:spacing w:line="240" w:lineRule="exact"/>
              <w:jc w:val="center"/>
              <w:rPr>
                <w:rFonts w:ascii="Times New Roman" w:hAnsi="Times New Roman" w:eastAsia="黑体"/>
                <w:bCs/>
                <w:color w:val="auto"/>
                <w:szCs w:val="21"/>
              </w:rPr>
            </w:pPr>
            <w:r>
              <w:rPr>
                <w:rFonts w:ascii="Times New Roman" w:hAnsi="Times New Roman" w:eastAsia="黑体"/>
                <w:bCs/>
                <w:color w:val="auto"/>
                <w:szCs w:val="21"/>
              </w:rPr>
              <w:t>房屋管理</w:t>
            </w:r>
          </w:p>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（3分）</w:t>
            </w: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加强对房屋管理的巡查，主动发现问题，发现违规乱搭乱建，擅自改变房屋用途的，及时向业主方报告；</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发现一处乱搭乱建或改变该房屋用途未报告扣0.1分；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房屋外观完好整洁；外墙瓷片无脱落、无裂缝；玻璃幕墙清洁明亮，无破损、无明显污渍；无乱张贴和乱悬挂现象；</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发现外墙有污渍一处扣0.1分；外墙有瓷片脱落或裂缝一处扣0.1分；玻璃幕墙破损一处或污渍扣0.1分；乱张贴一处扣0.1分；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及时发现房屋公用场所内墙破损、涂料脱落、明显污渍等情况，确保各楼层天花板无破损，无滴水印；</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发现一处有污渍或脱落破损未处理扣除0.5分；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各房顶和天台隔热层无破损，雨水排水管通畅，无阻塞外溢现象。</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一处有破损扣0.1分。一处有雨水排水管不通扣0.5分。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33" w:type="dxa"/>
            <w:vMerge w:val="restart"/>
            <w:vAlign w:val="center"/>
          </w:tcPr>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机电设备管理（12分）</w:t>
            </w:r>
          </w:p>
        </w:tc>
        <w:tc>
          <w:tcPr>
            <w:tcW w:w="3941" w:type="dxa"/>
            <w:vAlign w:val="center"/>
          </w:tcPr>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（一）给排水泵设施</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2.5分</w:t>
            </w:r>
          </w:p>
        </w:tc>
        <w:tc>
          <w:tcPr>
            <w:tcW w:w="3769" w:type="dxa"/>
            <w:vAlign w:val="center"/>
          </w:tcPr>
          <w:p>
            <w:pPr>
              <w:spacing w:line="240" w:lineRule="exact"/>
              <w:ind w:firstLine="472" w:firstLineChars="225"/>
              <w:rPr>
                <w:rFonts w:ascii="Times New Roman" w:hAnsi="Times New Roman" w:eastAsia="楷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供水泵、阀门、水池及其球阀供水管道定期检查保养；</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查记录，每月不少于一次，未达到扣0.1分；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水池水无外溢，供水阀门、管道无渗漏；</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现场检查，发现一处渗漏扣0.1分；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排水泵定期检查无堵塞，排水井定期清理，保证污水排放通畅；</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有记录，每月不少于一次，未达到扣0.1分；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排污管道无渗漏；</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现场检查，发现一处渗漏扣0.1分；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设备房无积水、浸泡现象发生。</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发生一次扣0.1分。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（二）消防系统</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3.5分</w:t>
            </w:r>
          </w:p>
        </w:tc>
        <w:tc>
          <w:tcPr>
            <w:tcW w:w="3769" w:type="dxa"/>
            <w:vAlign w:val="center"/>
          </w:tcPr>
          <w:p>
            <w:pPr>
              <w:spacing w:line="240" w:lineRule="exact"/>
              <w:ind w:firstLine="472" w:firstLineChars="225"/>
              <w:rPr>
                <w:rFonts w:ascii="Times New Roman" w:hAnsi="Times New Roman" w:eastAsia="楷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消防控制中心24小时值班，控制中心消防设备设施完好无损，可随时启动；有异常及时上报业主方；</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无24小时值班，每次扣0.2分；设备设施损坏不能启动，每次扣0.5分；值班记录不全或不实的扣0.1分；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消防值守人员能熟练操作消防设施设备，发生火险等情况能及时正确处理；</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不能熟练操作的，一次扣0.2分；发生火险不能及时正确处理的，一次扣0.5分；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办公区内各种消防设施每月至少检查一次，确保无缺损，保障正常运行；</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无检查记录的扣0.1分，一处运行障碍扣0.1分，一处缺或损坏扣0.1分；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制定突发火灾应急预案，设立《安全疏散线路示意图》，应急照明灯路标完好，紧急疏散通道通畅，无堆放杂物堵塞；</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无应急预案的扣0.5分，无示意图的扣0.3分，一处不符合要求扣0.1分，一处杂物堵塞扣0.1分；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严格消防管理制度，认真巡查火险隐患，确保无火灾事故发生。</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检查一处有隐患扣0.5分，发生火灾事故1分，并追究责任。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（三）供配电系统</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4分</w:t>
            </w:r>
          </w:p>
        </w:tc>
        <w:tc>
          <w:tcPr>
            <w:tcW w:w="3769" w:type="dxa"/>
            <w:vAlign w:val="center"/>
          </w:tcPr>
          <w:p>
            <w:pPr>
              <w:spacing w:line="240" w:lineRule="exact"/>
              <w:ind w:firstLine="472" w:firstLineChars="225"/>
              <w:rPr>
                <w:rFonts w:ascii="Times New Roman" w:hAnsi="Times New Roman" w:eastAsia="楷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保持室内照明灯具、事故照明、各柜指示灯仪表完好；</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抽查发现同时坏3盏以上者扣0.1分，以此类推；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设备运行记录，交接班记录必须完整、准确、清晰；</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如发现虚假、不符等，每次扣0.1分；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配电室内配电柜操作开关设明显标志，停电拉闸，检修拉闸，必须事先通知业主方（特殊及紧急情况除外），并挂警示牌；</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违者每次扣0.1分；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机房内整洁，无乱堆现象、无烟头；保持机身洁净仪表清晰。</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抽查时发现不合格者每项扣0.1分。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（四）电梯管理</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2分</w:t>
            </w:r>
          </w:p>
        </w:tc>
        <w:tc>
          <w:tcPr>
            <w:tcW w:w="3769" w:type="dxa"/>
            <w:vAlign w:val="center"/>
          </w:tcPr>
          <w:p>
            <w:pPr>
              <w:spacing w:line="240" w:lineRule="exact"/>
              <w:ind w:firstLine="472" w:firstLineChars="225"/>
              <w:rPr>
                <w:rFonts w:ascii="Times New Roman" w:hAnsi="Times New Roman" w:eastAsia="楷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电梯轿厢运行平稳，无抖动，及时发现、协助处理并上报电梯摆动或异响等问题；</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未及时发现、协助处理、上报电梯问题每次扣0.1分；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电梯轿厢电风扇，照明，各按键，楼层显示灯完好；每天做好电梯按键的消毒工作，并填写消毒时间；</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抽查时坏三盏以上者扣0.1分，以此类推；发现一次未消毒的扣0.1分；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电梯在运行中突发故障，管理人员须在5分钟内赶到现场协助处理故障；</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超过5分钟扣0.2分，超过10分钟不得分；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停、检修电梯须提前通知业主方，认可后方可执行（紧急情况除外），并按规定设置警示牌；</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不符合者每项扣0.1分；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1333" w:type="dxa"/>
            <w:vMerge w:val="restart"/>
            <w:vAlign w:val="center"/>
          </w:tcPr>
          <w:p>
            <w:pPr>
              <w:spacing w:line="240" w:lineRule="exact"/>
              <w:jc w:val="center"/>
              <w:rPr>
                <w:rFonts w:ascii="Times New Roman" w:hAnsi="Times New Roman" w:eastAsia="黑体"/>
                <w:bCs/>
                <w:color w:val="auto"/>
                <w:szCs w:val="21"/>
              </w:rPr>
            </w:pPr>
            <w:r>
              <w:rPr>
                <w:rFonts w:ascii="Times New Roman" w:hAnsi="Times New Roman" w:eastAsia="黑体"/>
                <w:bCs/>
                <w:color w:val="auto"/>
                <w:szCs w:val="21"/>
              </w:rPr>
              <w:t>公共区域及其设施管理</w:t>
            </w:r>
          </w:p>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（7分）</w:t>
            </w: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大门广场、路面平坦，无损坏，车位线和导向清楚；</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一项不符合要求扣0.1分；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雨水井、污水盖完好无缺，井壁无损，井底无砂石，杂物堵塞；</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一个井不符合要求扣0.1分；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雨水、污水管道无裂，无阻塞，无渗漏，水流畅通；</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一处不符合要求扣0.1分；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电缆沟盖、各阀门盖无损坏，无积水；</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一处不符合扣0.1分；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及时发现单位内围墙及门生锈、裂断、变形等情况，并上报业主方；</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若发现一处未上报扣0.1分；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路灯灯罩无破损，灯柱无歪斜、损坏；</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一盏路灯不符合扣0.1分；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公共场所、楼道照明灯、各类宣传栏照明灯完好，确保照明正常。各门窗配件完好无损；</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一处不符合扣0.1分；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厕所无阻塞，确保排污通畅。厕所门、隔断无损坏；</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发生一处阻塞未及时疏通扣0.1分，一个厕所门或隔断损坏未修复扣0.1分；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楼顶设施：</w:t>
            </w:r>
            <w:r>
              <w:rPr>
                <w:rFonts w:hint="eastAsia" w:ascii="宋体" w:hAnsi="宋体" w:cs="宋体"/>
                <w:bCs/>
                <w:color w:val="auto"/>
                <w:szCs w:val="21"/>
              </w:rPr>
              <w:t>①</w:t>
            </w:r>
            <w:r>
              <w:rPr>
                <w:rFonts w:ascii="Times New Roman" w:hAnsi="Times New Roman" w:eastAsia="楷体"/>
                <w:bCs/>
                <w:color w:val="auto"/>
                <w:szCs w:val="21"/>
              </w:rPr>
              <w:t>供水池设施；</w:t>
            </w:r>
            <w:r>
              <w:rPr>
                <w:rFonts w:hint="eastAsia" w:ascii="宋体" w:hAnsi="宋体" w:cs="宋体"/>
                <w:bCs/>
                <w:color w:val="auto"/>
                <w:szCs w:val="21"/>
              </w:rPr>
              <w:t>②</w:t>
            </w:r>
            <w:r>
              <w:rPr>
                <w:rFonts w:ascii="Times New Roman" w:hAnsi="Times New Roman" w:eastAsia="楷体"/>
                <w:bCs/>
                <w:color w:val="auto"/>
                <w:szCs w:val="21"/>
              </w:rPr>
              <w:t>避雷设施，各项性能完好。</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一项设施出故障未及时修复扣0.1分。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33" w:type="dxa"/>
            <w:vMerge w:val="restart"/>
            <w:vAlign w:val="center"/>
          </w:tcPr>
          <w:p>
            <w:pPr>
              <w:spacing w:line="240" w:lineRule="exact"/>
              <w:ind w:firstLine="472" w:firstLineChars="225"/>
              <w:jc w:val="center"/>
              <w:rPr>
                <w:rFonts w:ascii="Times New Roman" w:hAnsi="Times New Roman" w:eastAsia="楷体"/>
                <w:bCs/>
                <w:color w:val="auto"/>
                <w:szCs w:val="21"/>
              </w:rPr>
            </w:pPr>
          </w:p>
          <w:p>
            <w:pPr>
              <w:spacing w:line="240" w:lineRule="exact"/>
              <w:jc w:val="center"/>
              <w:rPr>
                <w:rFonts w:ascii="Times New Roman" w:hAnsi="Times New Roman" w:eastAsia="黑体"/>
                <w:bCs/>
                <w:color w:val="auto"/>
                <w:szCs w:val="21"/>
              </w:rPr>
            </w:pPr>
          </w:p>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清洁卫生管理（15分）</w:t>
            </w:r>
          </w:p>
        </w:tc>
        <w:tc>
          <w:tcPr>
            <w:tcW w:w="3941" w:type="dxa"/>
            <w:vAlign w:val="center"/>
          </w:tcPr>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（一）公共区域卫生清洁保洁</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8分</w:t>
            </w:r>
          </w:p>
        </w:tc>
        <w:tc>
          <w:tcPr>
            <w:tcW w:w="3769" w:type="dxa"/>
            <w:vAlign w:val="center"/>
          </w:tcPr>
          <w:p>
            <w:pPr>
              <w:spacing w:line="240" w:lineRule="exact"/>
              <w:ind w:firstLine="472" w:firstLineChars="225"/>
              <w:rPr>
                <w:rFonts w:ascii="Times New Roman" w:hAnsi="Times New Roman" w:eastAsia="楷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清洁保洁责任划分到人，责任范围清洁达到标准化。清洁员工作细致，形象良好；</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未明确责任到人、未明确划分责任范围，一处扣0.1分。一处未达到标准保洁扣0.1分；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各责任区域门窗干净明亮、清爽；地面无纸屑、果皮、灰尘、杂物和污渍；楼梯扶手、窗台无灰尘；垃圾筒纸篓内的垃圾不能超过三分之二；屋顶无蛛网；灯内无明显蚊虫。</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2分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一个责任区域一项未做到扣0.2分；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各洗手间清洁明亮，无积水，无污渍，无异味；洗手台保持干净、清爽、无积水。</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2分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一个洗手间一项不符合扣0.5分；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地面保持干燥，尤其下雨天要加强管理，放置地滑警示牌，防止行人摔伤，确保安全；</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未设置警示牌，每次扣0.2分。因地面有水或其他果皮等致使人摔伤全扣，并且承担由此引发的责任；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垃圾站的垃圾做到日产日清，每三天至少清洗一次，外露面无垃圾附着；洁具摆放整齐规范；</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一项未做到扣0.1分；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下雨天提醒和协助进入大楼工作人员套好伞套；</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发现一次未做到扣0.1分；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确保无卫生死角。</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有一处卫生死角扣0.5分。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（二）外围环境保洁</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7分</w:t>
            </w:r>
          </w:p>
        </w:tc>
        <w:tc>
          <w:tcPr>
            <w:tcW w:w="3769" w:type="dxa"/>
            <w:vAlign w:val="center"/>
          </w:tcPr>
          <w:p>
            <w:pPr>
              <w:spacing w:line="240" w:lineRule="exact"/>
              <w:ind w:firstLine="472" w:firstLineChars="225"/>
              <w:rPr>
                <w:rFonts w:ascii="Times New Roman" w:hAnsi="Times New Roman" w:eastAsia="楷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路面无明显泥沙、污垢、口香糖等污物，无1cm以上的石子，每100平方米烟头纸屑不超过3处；</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2分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不符合扣0.5分；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大楼四周绿化带中无白色垃圾，烟头纸屑每100平方米不超过2处；</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2分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发现一处扣0.1分；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各平台、房顶无乱堆放杂物，目视无垃圾、无污渍、无青苔、无积水；</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发现一处扣0.1分；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各明沟（含雨污口）无垃圾、无青苔，保持通畅；</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一条沟不符合扣0.1分；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333" w:type="dxa"/>
            <w:vMerge w:val="continue"/>
            <w:vAlign w:val="top"/>
          </w:tcPr>
          <w:p>
            <w:pPr>
              <w:spacing w:line="240" w:lineRule="exact"/>
              <w:ind w:firstLine="472" w:firstLineChars="225"/>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确保无卫生死角。</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jc w:val="center"/>
        </w:trPr>
        <w:tc>
          <w:tcPr>
            <w:tcW w:w="1333" w:type="dxa"/>
            <w:vMerge w:val="restart"/>
            <w:vAlign w:val="center"/>
          </w:tcPr>
          <w:p>
            <w:pPr>
              <w:spacing w:line="240" w:lineRule="exact"/>
              <w:jc w:val="center"/>
              <w:rPr>
                <w:rFonts w:ascii="Times New Roman" w:hAnsi="Times New Roman" w:eastAsia="黑体"/>
                <w:bCs/>
                <w:color w:val="auto"/>
                <w:szCs w:val="21"/>
              </w:rPr>
            </w:pPr>
            <w:r>
              <w:rPr>
                <w:rFonts w:ascii="Times New Roman" w:hAnsi="Times New Roman" w:eastAsia="黑体"/>
                <w:bCs/>
                <w:color w:val="auto"/>
                <w:szCs w:val="21"/>
              </w:rPr>
              <w:t>安全保卫管理（13.5分）</w:t>
            </w:r>
          </w:p>
          <w:p>
            <w:pPr>
              <w:spacing w:line="240" w:lineRule="exact"/>
              <w:jc w:val="center"/>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按照合同规定标准合理配置保安人员，保安队员年流动率不超过20%，治安案件发生率控制在2‰以内，确保安全稳定；</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未按照合同规定配置保安人员，每人扣0.2分，流动率每超过一个百分点扣0.1分，以此类推；每增加一个案件扣0.5分；发生安全事故一次扣1分，发生重大安全事故扣2分；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保安队员必须熟悉物业环境和工作职责，上班时按规定佩戴装备，文明值勤，不与职工、到访人员发生矛盾和冲突；</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未认真履行职责，干与工作无关的事，发现一次扣0.2分。发现一名队员不礼貌扣0.1分，无理与他人发生冲突一次扣0.5分，发生两次建议辞退；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保安必须实行24小时值班巡逻，认真履行职责，加强重点区域巡逻；</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查值班巡逻日志，当值发生事件无记录扣0.2分，记录不规范扣0.1分，如反映巡逻不到位一次扣0.2分，巡逻乘坐电梯一次扣0.1分；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做好重大活动、会议的安全保卫工作，圆满完成交办的任务；</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因安全保卫工作失误，造成不良影响或财产损失、人员伤亡的一次扣1分，并由物业公司承担相应责任；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严格执行验证登记制度，凡进入办公区域的外来人员、车辆应询问来访目的，查验有关证件，并进行登记；</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未登记每人扣0.2分；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定期组织员工进行思想教育和业务技能培训，提高人员从业素质，确保不发生物品被盗和各类案件及安全事故；</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发生手机钱包及贵重物品被盗事件一次扣0.5分。发生财产被盗和破坏或保安员内部自盗一次扣1分，并追究责任；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9"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及时发现和处理各类安全隐患。定期组织安全教育和应急演练，确保安全教育培训和应急演练每半年一次；</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2分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未及时进行检查维护和处理，造成设施设备损坏或无法正常运行的，维修经费自付，并一次扣0.2分。无安全教育培训记录每次扣0.1分。无安全教育培训记录每次扣0.1分，未进行应急演练扣0.5分；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有群众上访时，做好现场秩序维护工作，确保人身和财产安全，并配合好信访局、公安机关及相关部门进行疏导，防止意外事故发生；</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未及时维护秩序，每次扣0.2分；不主动配合信访局、公安及相关部门疏导，每次扣0.2分。因疏忽而造成意外事故的，扣1分；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做好停车场的管理，正确引导进出各种车辆（含非机动车）按规定停放，提醒车主关好车辆门窗，上好锁，防止损坏、被盗等问题发生；</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2分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发现乱停放车辆，车辆不整齐的一辆扣0.1分；发生车辆碰撞，损坏一次扣0.5分，发生车辆被盗一次扣2分；并由物业公司承担相应责任；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维护办公区域的秩序，及时制止责任区内吵架、打架等滋事行为，及时向班长和相关领导报告或报警；</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发生吵架、打架等滋事情况未及时制止的，每次扣0.分，，造成严重后果的，一次性扣1分；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保证监控室监控人员在岗在位，做好每日监控记录并形成档案。对办公区门禁、监控系统不定期进行调试与维护，保证各项监控设备24小时正常运行，能清楚显示出入人员、车辆画面，录像存储功能正常。</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监控室人员脱岗或无日常监控记录每次扣0.2分，未及时进行调试导致监控系统运转不畅每次扣0.2分，后台录像无法正常存储、调用每次扣0.5分。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333" w:type="dxa"/>
            <w:vMerge w:val="restart"/>
            <w:vAlign w:val="center"/>
          </w:tcPr>
          <w:p>
            <w:pPr>
              <w:spacing w:line="240" w:lineRule="exact"/>
              <w:ind w:firstLine="472" w:firstLineChars="225"/>
              <w:rPr>
                <w:rFonts w:ascii="Times New Roman" w:hAnsi="Times New Roman" w:eastAsia="楷体"/>
                <w:bCs/>
                <w:color w:val="auto"/>
                <w:szCs w:val="21"/>
              </w:rPr>
            </w:pPr>
          </w:p>
          <w:p>
            <w:pPr>
              <w:spacing w:line="240" w:lineRule="exact"/>
              <w:ind w:firstLine="472" w:firstLineChars="225"/>
              <w:rPr>
                <w:rFonts w:ascii="Times New Roman" w:hAnsi="Times New Roman" w:eastAsia="楷体"/>
                <w:bCs/>
                <w:color w:val="auto"/>
                <w:szCs w:val="21"/>
              </w:rPr>
            </w:pPr>
          </w:p>
          <w:p>
            <w:pPr>
              <w:spacing w:line="240" w:lineRule="exact"/>
              <w:jc w:val="center"/>
              <w:rPr>
                <w:rFonts w:ascii="Times New Roman" w:hAnsi="Times New Roman" w:eastAsia="黑体"/>
                <w:bCs/>
                <w:color w:val="auto"/>
                <w:szCs w:val="21"/>
              </w:rPr>
            </w:pPr>
            <w:r>
              <w:rPr>
                <w:rFonts w:ascii="Times New Roman" w:hAnsi="Times New Roman" w:eastAsia="黑体"/>
                <w:bCs/>
                <w:color w:val="auto"/>
                <w:szCs w:val="21"/>
              </w:rPr>
              <w:t>会务管理</w:t>
            </w:r>
          </w:p>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（8．5分）</w:t>
            </w: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做好会议室和候会室的保洁，整洁达到《会议服务工作标准》要求；</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一处不符合扣0.1分；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333" w:type="dxa"/>
            <w:vMerge w:val="continue"/>
            <w:vAlign w:val="center"/>
          </w:tcPr>
          <w:p>
            <w:pPr>
              <w:spacing w:line="240" w:lineRule="exact"/>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各开水间，地面无垃圾、积水，热水器常擦拭，定期清理水垢，各水盆、清洁池明亮无污渍；</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一个开水间一项不符合扣0.1分；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333" w:type="dxa"/>
            <w:vMerge w:val="continue"/>
            <w:vAlign w:val="center"/>
          </w:tcPr>
          <w:p>
            <w:pPr>
              <w:spacing w:line="240" w:lineRule="exact"/>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 xml:space="preserve">按照《都江堰市机关事务中心会务服务确认表》要求，逐项对会前准备进行检查。 </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一处不符合扣0.1分；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按照会议要求做好会前准备，根据会议主办单位的会议人数确认所需要的桌、椅数量，并按要求摆放。备好茶水，并请会议主办单位确认；</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一处不符合扣0.1分；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服务人员应在会议开始半小时前严格按要求到岗，及时开启、检查需要的会议设备，确保各项会议设备运行正常；</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回访不合格一项扣0.1分；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会务服务标准严格按照《成都市机关服务中心会议服务岗位操作规程及服务标准（试行办法）》执行</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3分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一条不符合扣0.5分；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会议结束。参会人员离开后，服务人员着手清场工作，关闭设备及照明，查看有无遗留物品和会议资料，如发现需及时联系。</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抽查不符合，每次扣0.1分。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333" w:type="dxa"/>
            <w:vMerge w:val="restart"/>
            <w:vAlign w:val="center"/>
          </w:tcPr>
          <w:p>
            <w:pPr>
              <w:spacing w:line="240" w:lineRule="exact"/>
              <w:jc w:val="center"/>
              <w:rPr>
                <w:rFonts w:ascii="Times New Roman" w:hAnsi="Times New Roman" w:eastAsia="黑体"/>
                <w:bCs/>
                <w:color w:val="auto"/>
                <w:szCs w:val="21"/>
              </w:rPr>
            </w:pPr>
            <w:r>
              <w:rPr>
                <w:rFonts w:ascii="Times New Roman" w:hAnsi="Times New Roman" w:eastAsia="黑体"/>
                <w:bCs/>
                <w:color w:val="auto"/>
                <w:szCs w:val="21"/>
              </w:rPr>
              <w:t>客服受理</w:t>
            </w:r>
          </w:p>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（3分）</w:t>
            </w: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负责物业管理的服务电话，应执行24小时值班，随时有人接听；</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无24小时服务电话扣0.5分，无人接听电话一次扣0.1分；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耐心礼貌受理各单位服务申请、报修、求助、建议、问询、投诉等各类信息并做好记录，及时分发处理的回访；对安排的有关事务，要及时跟踪，落实和反馈；</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不礼貌或不耐心一次扣0.1分；无记录一次扣0.1分；处理不及时或无回访，一次扣0.1分。无落实或无反馈，一次扣0.1分；</w:t>
            </w:r>
            <w:r>
              <w:rPr>
                <w:rFonts w:ascii="Times New Roman" w:hAnsi="Times New Roman" w:eastAsia="楷体"/>
                <w:bCs/>
                <w:color w:val="auto"/>
                <w:spacing w:val="-12"/>
                <w:szCs w:val="21"/>
              </w:rPr>
              <w:t>在能力范围内未及时处理、反馈，一次扣0.1分；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当接到维修任务时，小修项目及时完成，重大和紧急维修项目应及时报告业主方；</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在能力范围之内，未及时处理，一次扣0.1分；未报告，一次扣0.1分；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发生与物业管理有关的重大突发事件，应立即上报有关部门和领导，并做好处理；</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未及时上报、未处理好，一次扣0.1分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每季发放服务工作征求意见表，及时采纳合理建议，改进存在问题，不断提高管理与服务质量。</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0.5分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未按时发放意见表扣0.1分，同一问题2次未解决扣0.2分；未征求意见，每次扣0.2分；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3" w:hRule="atLeast"/>
          <w:jc w:val="center"/>
        </w:trPr>
        <w:tc>
          <w:tcPr>
            <w:tcW w:w="1333" w:type="dxa"/>
            <w:vMerge w:val="restart"/>
            <w:vAlign w:val="center"/>
          </w:tcPr>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VIP办公用房及周转房管理、（3分）</w:t>
            </w: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房间内每天清扫一次，每天8：00前完成。确保地面整洁、墙面以及门窗清洁、各种物品摆放整齐，房间内不见杂物、不见漏迹、不见积尘；楼梯过道每天全天保洁（9:00-17:00），确保过道以及过道墙面清洁、地面无杂物、不见明显污迹、不见积尘；各房间地垫至少每月清洗一次。床上用品按季节，冬天每月一次，其它季节每半月清洗一次；按要求，配合业主方清洗窗帘；每日对电器进行日常检查，确保能正常使用；温馨提示牌内容是否更换、植物是否枯萎等。</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2分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水、电维护，定期检查，确保每日水电气三通，特别是水、电。电路以及各种保险、开关每月定期检查、排查，确保安全通电、通水、通气。做好墙面、墙体、窗帘等各种工程维护。</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发现有水、气不通一次扣0.5分，未及时处理水电气事故一次扣0.5分。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333" w:type="dxa"/>
            <w:vMerge w:val="restart"/>
            <w:vAlign w:val="center"/>
          </w:tcPr>
          <w:p>
            <w:pPr>
              <w:spacing w:line="240" w:lineRule="exact"/>
              <w:jc w:val="center"/>
              <w:rPr>
                <w:rFonts w:ascii="Times New Roman" w:hAnsi="Times New Roman" w:eastAsia="黑体"/>
                <w:bCs/>
                <w:color w:val="auto"/>
                <w:szCs w:val="21"/>
              </w:rPr>
            </w:pPr>
            <w:r>
              <w:rPr>
                <w:rFonts w:ascii="Times New Roman" w:hAnsi="Times New Roman" w:eastAsia="黑体"/>
                <w:bCs/>
                <w:color w:val="auto"/>
                <w:szCs w:val="21"/>
              </w:rPr>
              <w:t>节能工作</w:t>
            </w:r>
          </w:p>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（4分）</w:t>
            </w:r>
          </w:p>
        </w:tc>
        <w:tc>
          <w:tcPr>
            <w:tcW w:w="3941" w:type="dxa"/>
            <w:vAlign w:val="center"/>
          </w:tcPr>
          <w:p>
            <w:pPr>
              <w:widowControl/>
              <w:spacing w:line="240" w:lineRule="exact"/>
              <w:jc w:val="left"/>
              <w:rPr>
                <w:rFonts w:ascii="Times New Roman" w:hAnsi="Times New Roman" w:eastAsia="楷体"/>
                <w:bCs/>
                <w:color w:val="auto"/>
                <w:szCs w:val="21"/>
              </w:rPr>
            </w:pPr>
            <w:r>
              <w:rPr>
                <w:rFonts w:ascii="Times New Roman" w:hAnsi="Times New Roman" w:eastAsia="楷体"/>
                <w:bCs/>
                <w:color w:val="auto"/>
                <w:szCs w:val="21"/>
              </w:rPr>
              <w:t>节能管理到位，工作记录健全、档案完整；</w:t>
            </w:r>
          </w:p>
        </w:tc>
        <w:tc>
          <w:tcPr>
            <w:tcW w:w="790" w:type="dxa"/>
            <w:vAlign w:val="center"/>
          </w:tcPr>
          <w:p>
            <w:pPr>
              <w:widowControl/>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widowControl/>
              <w:spacing w:line="240" w:lineRule="exact"/>
              <w:jc w:val="left"/>
              <w:rPr>
                <w:rFonts w:ascii="Times New Roman" w:hAnsi="Times New Roman" w:eastAsia="楷体"/>
                <w:bCs/>
                <w:color w:val="auto"/>
                <w:spacing w:val="-8"/>
                <w:szCs w:val="21"/>
              </w:rPr>
            </w:pPr>
            <w:r>
              <w:rPr>
                <w:rFonts w:ascii="Times New Roman" w:hAnsi="Times New Roman" w:eastAsia="楷体"/>
                <w:bCs/>
                <w:color w:val="auto"/>
                <w:spacing w:val="-8"/>
                <w:szCs w:val="21"/>
              </w:rPr>
              <w:t>工作记录不健全扣0.3分，档案不完整扣0.2分；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widowControl/>
              <w:spacing w:line="240" w:lineRule="exact"/>
              <w:jc w:val="left"/>
              <w:rPr>
                <w:rFonts w:ascii="Times New Roman" w:hAnsi="Times New Roman" w:eastAsia="楷体"/>
                <w:bCs/>
                <w:color w:val="auto"/>
                <w:szCs w:val="21"/>
              </w:rPr>
            </w:pPr>
            <w:r>
              <w:rPr>
                <w:rFonts w:ascii="Times New Roman" w:hAnsi="Times New Roman" w:eastAsia="楷体"/>
                <w:bCs/>
                <w:color w:val="auto"/>
                <w:szCs w:val="21"/>
              </w:rPr>
              <w:t>能耗分析及时；</w:t>
            </w:r>
          </w:p>
        </w:tc>
        <w:tc>
          <w:tcPr>
            <w:tcW w:w="790" w:type="dxa"/>
            <w:vAlign w:val="center"/>
          </w:tcPr>
          <w:p>
            <w:pPr>
              <w:widowControl/>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widowControl/>
              <w:spacing w:line="240" w:lineRule="exact"/>
              <w:jc w:val="left"/>
              <w:rPr>
                <w:rFonts w:ascii="Times New Roman" w:hAnsi="Times New Roman" w:eastAsia="楷体"/>
                <w:bCs/>
                <w:color w:val="auto"/>
                <w:szCs w:val="21"/>
              </w:rPr>
            </w:pPr>
            <w:r>
              <w:rPr>
                <w:rFonts w:ascii="Times New Roman" w:hAnsi="Times New Roman" w:eastAsia="楷体"/>
                <w:bCs/>
                <w:color w:val="auto"/>
                <w:szCs w:val="21"/>
              </w:rPr>
              <w:t>能耗分析不及时扣1分；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widowControl/>
              <w:spacing w:line="240" w:lineRule="exact"/>
              <w:jc w:val="left"/>
              <w:rPr>
                <w:rFonts w:ascii="Times New Roman" w:hAnsi="Times New Roman" w:eastAsia="楷体"/>
                <w:bCs/>
                <w:color w:val="auto"/>
                <w:szCs w:val="21"/>
              </w:rPr>
            </w:pPr>
            <w:r>
              <w:rPr>
                <w:rFonts w:ascii="Times New Roman" w:hAnsi="Times New Roman" w:eastAsia="楷体"/>
                <w:bCs/>
                <w:color w:val="auto"/>
                <w:szCs w:val="21"/>
              </w:rPr>
              <w:t>无重大水、电、气、油等能源资源损失责任事故；</w:t>
            </w:r>
          </w:p>
        </w:tc>
        <w:tc>
          <w:tcPr>
            <w:tcW w:w="790" w:type="dxa"/>
            <w:vAlign w:val="center"/>
          </w:tcPr>
          <w:p>
            <w:pPr>
              <w:widowControl/>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widowControl/>
              <w:spacing w:line="240" w:lineRule="exact"/>
              <w:rPr>
                <w:rFonts w:ascii="Times New Roman" w:hAnsi="Times New Roman" w:eastAsia="楷体"/>
                <w:bCs/>
                <w:color w:val="auto"/>
                <w:szCs w:val="21"/>
              </w:rPr>
            </w:pPr>
            <w:r>
              <w:rPr>
                <w:rFonts w:ascii="Times New Roman" w:hAnsi="Times New Roman" w:eastAsia="楷体"/>
                <w:bCs/>
                <w:color w:val="auto"/>
                <w:szCs w:val="21"/>
              </w:rPr>
              <w:t>发生一次重大水、电、气、油等能源资源损失责任事故的扣1分；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widowControl/>
              <w:spacing w:line="240" w:lineRule="exact"/>
              <w:jc w:val="left"/>
              <w:rPr>
                <w:rFonts w:ascii="Times New Roman" w:hAnsi="Times New Roman" w:eastAsia="楷体"/>
                <w:bCs/>
                <w:color w:val="auto"/>
                <w:szCs w:val="21"/>
              </w:rPr>
            </w:pPr>
            <w:r>
              <w:rPr>
                <w:rFonts w:ascii="Times New Roman" w:hAnsi="Times New Roman" w:eastAsia="楷体"/>
                <w:bCs/>
                <w:color w:val="auto"/>
                <w:szCs w:val="21"/>
              </w:rPr>
              <w:t>因管理原因造成用水和人均综合能耗同比超过上年。</w:t>
            </w:r>
          </w:p>
        </w:tc>
        <w:tc>
          <w:tcPr>
            <w:tcW w:w="790" w:type="dxa"/>
            <w:vAlign w:val="center"/>
          </w:tcPr>
          <w:p>
            <w:pPr>
              <w:widowControl/>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widowControl/>
              <w:spacing w:line="240" w:lineRule="exact"/>
              <w:rPr>
                <w:rFonts w:ascii="Times New Roman" w:hAnsi="Times New Roman" w:eastAsia="楷体"/>
                <w:bCs/>
                <w:color w:val="auto"/>
                <w:szCs w:val="21"/>
              </w:rPr>
            </w:pPr>
            <w:r>
              <w:rPr>
                <w:rFonts w:ascii="Times New Roman" w:hAnsi="Times New Roman" w:eastAsia="楷体"/>
                <w:bCs/>
                <w:color w:val="auto"/>
                <w:szCs w:val="21"/>
              </w:rPr>
              <w:t>因管理原因造成用水和人均综合能耗同比超过上年扣1分。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vAlign w:val="center"/>
          </w:tcPr>
          <w:p>
            <w:pPr>
              <w:spacing w:line="240" w:lineRule="exact"/>
              <w:jc w:val="center"/>
              <w:rPr>
                <w:rFonts w:ascii="Times New Roman" w:hAnsi="Times New Roman" w:eastAsia="黑体"/>
                <w:bCs/>
                <w:color w:val="auto"/>
                <w:szCs w:val="21"/>
              </w:rPr>
            </w:pPr>
            <w:r>
              <w:rPr>
                <w:rFonts w:ascii="Times New Roman" w:hAnsi="Times New Roman" w:eastAsia="黑体"/>
                <w:bCs/>
                <w:color w:val="auto"/>
                <w:szCs w:val="21"/>
              </w:rPr>
              <w:t>重大事故</w:t>
            </w:r>
          </w:p>
          <w:p>
            <w:pPr>
              <w:spacing w:line="240" w:lineRule="exact"/>
              <w:jc w:val="center"/>
              <w:rPr>
                <w:rFonts w:ascii="Times New Roman" w:hAnsi="Times New Roman" w:eastAsia="楷体"/>
                <w:bCs/>
                <w:color w:val="auto"/>
                <w:kern w:val="0"/>
                <w:szCs w:val="21"/>
              </w:rPr>
            </w:pPr>
            <w:r>
              <w:rPr>
                <w:rFonts w:ascii="Times New Roman" w:hAnsi="Times New Roman" w:eastAsia="黑体"/>
                <w:bCs/>
                <w:color w:val="auto"/>
                <w:szCs w:val="21"/>
              </w:rPr>
              <w:t>（5分）</w:t>
            </w:r>
          </w:p>
        </w:tc>
        <w:tc>
          <w:tcPr>
            <w:tcW w:w="3941" w:type="dxa"/>
            <w:vAlign w:val="center"/>
          </w:tcPr>
          <w:p>
            <w:pPr>
              <w:widowControl/>
              <w:spacing w:line="240" w:lineRule="exact"/>
              <w:jc w:val="left"/>
              <w:rPr>
                <w:rFonts w:ascii="Times New Roman" w:hAnsi="Times New Roman" w:eastAsia="楷体"/>
                <w:bCs/>
                <w:color w:val="auto"/>
                <w:szCs w:val="21"/>
              </w:rPr>
            </w:pPr>
            <w:r>
              <w:rPr>
                <w:rFonts w:ascii="Times New Roman" w:hAnsi="Times New Roman" w:eastAsia="楷体"/>
                <w:bCs/>
                <w:color w:val="auto"/>
                <w:szCs w:val="21"/>
              </w:rPr>
              <w:t>办公场所因管理不当造成的安全事故为零。</w:t>
            </w:r>
          </w:p>
        </w:tc>
        <w:tc>
          <w:tcPr>
            <w:tcW w:w="790" w:type="dxa"/>
            <w:vAlign w:val="center"/>
          </w:tcPr>
          <w:p>
            <w:pPr>
              <w:widowControl/>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5</w:t>
            </w:r>
          </w:p>
        </w:tc>
        <w:tc>
          <w:tcPr>
            <w:tcW w:w="3769" w:type="dxa"/>
            <w:vAlign w:val="center"/>
          </w:tcPr>
          <w:p>
            <w:pPr>
              <w:widowControl/>
              <w:spacing w:line="240" w:lineRule="exact"/>
              <w:jc w:val="left"/>
              <w:rPr>
                <w:rFonts w:ascii="Times New Roman" w:hAnsi="Times New Roman" w:eastAsia="楷体"/>
                <w:bCs/>
                <w:color w:val="auto"/>
                <w:szCs w:val="21"/>
              </w:rPr>
            </w:pPr>
            <w:r>
              <w:rPr>
                <w:rFonts w:ascii="Times New Roman" w:hAnsi="Times New Roman" w:eastAsia="楷体"/>
                <w:bCs/>
                <w:color w:val="auto"/>
                <w:kern w:val="0"/>
                <w:szCs w:val="21"/>
              </w:rPr>
              <w:t>出现一次重大事故扣5分，出现一般安全责任事故一次扣1分，并承担相应责任。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33" w:type="dxa"/>
            <w:vMerge w:val="restart"/>
            <w:vAlign w:val="center"/>
          </w:tcPr>
          <w:p>
            <w:pPr>
              <w:spacing w:line="240" w:lineRule="exact"/>
              <w:jc w:val="center"/>
              <w:rPr>
                <w:rFonts w:ascii="Times New Roman" w:hAnsi="Times New Roman" w:eastAsia="黑体"/>
                <w:bCs/>
                <w:color w:val="auto"/>
                <w:szCs w:val="21"/>
              </w:rPr>
            </w:pPr>
            <w:r>
              <w:rPr>
                <w:rFonts w:ascii="Times New Roman" w:hAnsi="Times New Roman" w:eastAsia="黑体"/>
                <w:bCs/>
                <w:color w:val="auto"/>
                <w:szCs w:val="21"/>
              </w:rPr>
              <w:t>满意度测评</w:t>
            </w:r>
          </w:p>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（2分）</w:t>
            </w:r>
          </w:p>
        </w:tc>
        <w:tc>
          <w:tcPr>
            <w:tcW w:w="3941" w:type="dxa"/>
            <w:vAlign w:val="center"/>
          </w:tcPr>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（一）客服评价</w:t>
            </w:r>
          </w:p>
        </w:tc>
        <w:tc>
          <w:tcPr>
            <w:tcW w:w="790" w:type="dxa"/>
            <w:vAlign w:val="center"/>
          </w:tcPr>
          <w:p>
            <w:pPr>
              <w:spacing w:line="240" w:lineRule="exact"/>
              <w:jc w:val="center"/>
              <w:rPr>
                <w:rFonts w:ascii="Times New Roman" w:hAnsi="Times New Roman" w:eastAsia="楷体"/>
                <w:bCs/>
                <w:color w:val="auto"/>
                <w:szCs w:val="21"/>
              </w:rPr>
            </w:pPr>
          </w:p>
        </w:tc>
        <w:tc>
          <w:tcPr>
            <w:tcW w:w="3769" w:type="dxa"/>
            <w:vAlign w:val="center"/>
          </w:tcPr>
          <w:p>
            <w:pPr>
              <w:spacing w:line="240" w:lineRule="exact"/>
              <w:ind w:firstLine="472" w:firstLineChars="225"/>
              <w:rPr>
                <w:rFonts w:ascii="Times New Roman" w:hAnsi="Times New Roman" w:eastAsia="楷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做到文明礼仪、服务技能娴熟、服务意识、服务效率、工作质量高；</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一处不满意扣0.2分；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（二）公共服务和环境维护评价</w:t>
            </w:r>
          </w:p>
        </w:tc>
        <w:tc>
          <w:tcPr>
            <w:tcW w:w="790" w:type="dxa"/>
            <w:vAlign w:val="center"/>
          </w:tcPr>
          <w:p>
            <w:pPr>
              <w:spacing w:line="240" w:lineRule="exact"/>
              <w:jc w:val="center"/>
              <w:rPr>
                <w:rFonts w:ascii="Times New Roman" w:hAnsi="Times New Roman" w:eastAsia="楷体"/>
                <w:bCs/>
                <w:color w:val="auto"/>
                <w:szCs w:val="21"/>
              </w:rPr>
            </w:pPr>
          </w:p>
        </w:tc>
        <w:tc>
          <w:tcPr>
            <w:tcW w:w="3769" w:type="dxa"/>
            <w:vAlign w:val="center"/>
          </w:tcPr>
          <w:p>
            <w:pPr>
              <w:spacing w:line="240" w:lineRule="exact"/>
              <w:ind w:firstLine="472" w:firstLineChars="225"/>
              <w:rPr>
                <w:rFonts w:ascii="Times New Roman" w:hAnsi="Times New Roman" w:eastAsia="楷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vMerge w:val="continue"/>
            <w:vAlign w:val="top"/>
          </w:tcPr>
          <w:p>
            <w:pPr>
              <w:spacing w:line="240" w:lineRule="exact"/>
              <w:ind w:firstLine="472" w:firstLineChars="225"/>
              <w:rPr>
                <w:rFonts w:ascii="Times New Roman" w:hAnsi="Times New Roman" w:eastAsia="楷体"/>
                <w:bCs/>
                <w:color w:val="auto"/>
                <w:szCs w:val="21"/>
              </w:rPr>
            </w:pP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做到公共区域、公共卫生间、楼道电梯内清洁，消防设施、车辆管理、门禁管理、应急处理安全。</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1分</w:t>
            </w:r>
          </w:p>
        </w:tc>
        <w:tc>
          <w:tcPr>
            <w:tcW w:w="3769"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测评一处不满意扣0.2分。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3" w:type="dxa"/>
            <w:vAlign w:val="top"/>
          </w:tcPr>
          <w:p>
            <w:pPr>
              <w:spacing w:line="240" w:lineRule="exact"/>
              <w:jc w:val="center"/>
              <w:rPr>
                <w:rFonts w:ascii="Times New Roman" w:hAnsi="Times New Roman" w:eastAsia="黑体"/>
                <w:bCs/>
                <w:color w:val="auto"/>
                <w:szCs w:val="21"/>
              </w:rPr>
            </w:pPr>
            <w:r>
              <w:rPr>
                <w:rFonts w:ascii="Times New Roman" w:hAnsi="Times New Roman" w:eastAsia="黑体"/>
                <w:bCs/>
                <w:color w:val="auto"/>
                <w:szCs w:val="21"/>
              </w:rPr>
              <w:t>考核领导小组综合评价</w:t>
            </w:r>
          </w:p>
          <w:p>
            <w:pPr>
              <w:spacing w:line="240" w:lineRule="exact"/>
              <w:jc w:val="center"/>
              <w:rPr>
                <w:rFonts w:ascii="Times New Roman" w:hAnsi="Times New Roman" w:eastAsia="楷体"/>
                <w:bCs/>
                <w:color w:val="auto"/>
                <w:szCs w:val="21"/>
              </w:rPr>
            </w:pPr>
            <w:r>
              <w:rPr>
                <w:rFonts w:ascii="Times New Roman" w:hAnsi="Times New Roman" w:eastAsia="黑体"/>
                <w:bCs/>
                <w:color w:val="auto"/>
                <w:szCs w:val="21"/>
              </w:rPr>
              <w:t>（20分）</w:t>
            </w:r>
          </w:p>
        </w:tc>
        <w:tc>
          <w:tcPr>
            <w:tcW w:w="3941" w:type="dxa"/>
            <w:vAlign w:val="center"/>
          </w:tcPr>
          <w:p>
            <w:pPr>
              <w:spacing w:line="240" w:lineRule="exact"/>
              <w:rPr>
                <w:rFonts w:ascii="Times New Roman" w:hAnsi="Times New Roman" w:eastAsia="楷体"/>
                <w:bCs/>
                <w:color w:val="auto"/>
                <w:szCs w:val="21"/>
              </w:rPr>
            </w:pPr>
            <w:r>
              <w:rPr>
                <w:rFonts w:ascii="Times New Roman" w:hAnsi="Times New Roman" w:eastAsia="楷体"/>
                <w:bCs/>
                <w:color w:val="auto"/>
                <w:szCs w:val="21"/>
              </w:rPr>
              <w:t>物业公司管理质量、服务质量及满意度综合评价。</w:t>
            </w:r>
          </w:p>
        </w:tc>
        <w:tc>
          <w:tcPr>
            <w:tcW w:w="790" w:type="dxa"/>
            <w:vAlign w:val="center"/>
          </w:tcPr>
          <w:p>
            <w:pPr>
              <w:spacing w:line="240" w:lineRule="exact"/>
              <w:jc w:val="center"/>
              <w:rPr>
                <w:rFonts w:ascii="Times New Roman" w:hAnsi="Times New Roman" w:eastAsia="楷体"/>
                <w:bCs/>
                <w:color w:val="auto"/>
                <w:szCs w:val="21"/>
              </w:rPr>
            </w:pPr>
            <w:r>
              <w:rPr>
                <w:rFonts w:ascii="Times New Roman" w:hAnsi="Times New Roman" w:eastAsia="楷体"/>
                <w:bCs/>
                <w:color w:val="auto"/>
                <w:szCs w:val="21"/>
              </w:rPr>
              <w:t>20分</w:t>
            </w:r>
          </w:p>
        </w:tc>
        <w:tc>
          <w:tcPr>
            <w:tcW w:w="3769" w:type="dxa"/>
            <w:vAlign w:val="center"/>
          </w:tcPr>
          <w:p>
            <w:pPr>
              <w:spacing w:line="240" w:lineRule="exact"/>
              <w:ind w:firstLine="472" w:firstLineChars="225"/>
              <w:rPr>
                <w:rFonts w:ascii="Times New Roman" w:hAnsi="Times New Roman" w:eastAsia="楷体"/>
                <w:bCs/>
                <w:color w:val="auto"/>
                <w:szCs w:val="21"/>
              </w:rPr>
            </w:pPr>
          </w:p>
        </w:tc>
      </w:tr>
    </w:tbl>
    <w:p>
      <w:pPr>
        <w:spacing w:line="600" w:lineRule="exact"/>
        <w:ind w:firstLine="465"/>
        <w:rPr>
          <w:rFonts w:hint="eastAsia" w:ascii="宋体" w:hAnsi="宋体" w:eastAsia="宋体" w:cs="宋体"/>
          <w:color w:val="auto"/>
          <w:sz w:val="24"/>
          <w:szCs w:val="24"/>
        </w:rPr>
      </w:pPr>
      <w:r>
        <w:rPr>
          <w:rFonts w:hint="eastAsia" w:ascii="宋体" w:hAnsi="宋体" w:eastAsia="宋体" w:cs="宋体"/>
          <w:b/>
          <w:bCs/>
          <w:color w:val="auto"/>
          <w:sz w:val="24"/>
          <w:szCs w:val="24"/>
        </w:rPr>
        <w:t>第六条  知识产权</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乙方应保证所提供的服务或其任何一部分均不会侵犯任何第三方的专利权、商标权或著作权。</w:t>
      </w:r>
    </w:p>
    <w:p>
      <w:pPr>
        <w:pStyle w:val="213"/>
        <w:widowControl w:val="0"/>
        <w:autoSpaceDE w:val="0"/>
        <w:autoSpaceDN w:val="0"/>
        <w:spacing w:before="0" w:after="0" w:line="600" w:lineRule="exact"/>
        <w:ind w:firstLine="478"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b/>
          <w:bCs/>
          <w:color w:val="auto"/>
          <w:spacing w:val="-1"/>
          <w:sz w:val="24"/>
          <w:szCs w:val="24"/>
          <w:lang w:eastAsia="zh-CN"/>
        </w:rPr>
        <w:t>第七条</w:t>
      </w:r>
      <w:r>
        <w:rPr>
          <w:rFonts w:hint="eastAsia" w:ascii="宋体" w:hAnsi="宋体" w:eastAsia="宋体" w:cs="宋体"/>
          <w:b/>
          <w:bCs/>
          <w:color w:val="auto"/>
          <w:spacing w:val="-1"/>
          <w:sz w:val="24"/>
          <w:szCs w:val="24"/>
          <w:lang w:eastAsia="zh-CN"/>
        </w:rPr>
        <w:tab/>
      </w:r>
      <w:r>
        <w:rPr>
          <w:rFonts w:hint="eastAsia" w:ascii="宋体" w:hAnsi="宋体" w:eastAsia="宋体" w:cs="宋体"/>
          <w:b/>
          <w:bCs/>
          <w:color w:val="auto"/>
          <w:spacing w:val="-1"/>
          <w:sz w:val="24"/>
          <w:szCs w:val="24"/>
          <w:lang w:eastAsia="zh-CN"/>
        </w:rPr>
        <w:t xml:space="preserve"> 无产权瑕疵条款</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乙方保证所提供的服务的所有权完全属于乙方且无任何抵押、查封等产权瑕疵。如有产权瑕疵的，视为乙方违约，乙方应负担由此而产生的一切损失。</w:t>
      </w:r>
    </w:p>
    <w:p>
      <w:pPr>
        <w:pStyle w:val="213"/>
        <w:widowControl w:val="0"/>
        <w:autoSpaceDE w:val="0"/>
        <w:autoSpaceDN w:val="0"/>
        <w:spacing w:before="0" w:after="0" w:line="600" w:lineRule="exact"/>
        <w:ind w:firstLine="478"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b/>
          <w:bCs/>
          <w:color w:val="auto"/>
          <w:spacing w:val="-1"/>
          <w:sz w:val="24"/>
          <w:szCs w:val="24"/>
          <w:lang w:eastAsia="zh-CN"/>
        </w:rPr>
        <w:t>第八条</w:t>
      </w:r>
      <w:r>
        <w:rPr>
          <w:rFonts w:hint="eastAsia" w:ascii="宋体" w:hAnsi="宋体" w:eastAsia="宋体" w:cs="宋体"/>
          <w:b/>
          <w:bCs/>
          <w:color w:val="auto"/>
          <w:spacing w:val="-1"/>
          <w:sz w:val="24"/>
          <w:szCs w:val="24"/>
          <w:lang w:eastAsia="zh-CN"/>
        </w:rPr>
        <w:tab/>
      </w:r>
      <w:r>
        <w:rPr>
          <w:rFonts w:hint="eastAsia" w:ascii="宋体" w:hAnsi="宋体" w:eastAsia="宋体" w:cs="宋体"/>
          <w:b/>
          <w:bCs/>
          <w:color w:val="auto"/>
          <w:spacing w:val="-1"/>
          <w:sz w:val="24"/>
          <w:szCs w:val="24"/>
          <w:lang w:eastAsia="zh-CN"/>
        </w:rPr>
        <w:t>甲方的权利和义务</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1．甲方有权对合同规定范围内乙方的服务行为进行监督和检查，拥有监管权。有权定期核对乙方提供服务所配备的人员数量。对甲方认为不合理的部分有权下达整改通知书，并要求乙方限期整改。</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2．甲方有权依据双方签订的考评办法对乙方提供的服务进行定期考评。当考评结果未达到标准时，有权依据考评办法约定的数额</w:t>
      </w:r>
      <w:r>
        <w:rPr>
          <w:rFonts w:hint="eastAsia" w:ascii="宋体" w:hAnsi="宋体" w:eastAsia="宋体" w:cs="宋体"/>
          <w:color w:val="auto"/>
          <w:spacing w:val="-1"/>
          <w:sz w:val="24"/>
          <w:szCs w:val="24"/>
          <w:lang w:val="en-US" w:eastAsia="zh-CN"/>
        </w:rPr>
        <w:t>进行扣款</w:t>
      </w:r>
      <w:r>
        <w:rPr>
          <w:rFonts w:hint="eastAsia" w:ascii="宋体" w:hAnsi="宋体" w:eastAsia="宋体" w:cs="宋体"/>
          <w:color w:val="auto"/>
          <w:spacing w:val="-1"/>
          <w:sz w:val="24"/>
          <w:szCs w:val="24"/>
          <w:lang w:eastAsia="zh-CN"/>
        </w:rPr>
        <w:t>。</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3．负责检查监督乙方管理工作的实施及制度的执行情况。</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4．根据本合同规定，按时向乙方支付应付服务费用。</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5．国家法律、法规</w:t>
      </w:r>
      <w:r>
        <w:rPr>
          <w:rFonts w:hint="eastAsia" w:ascii="宋体" w:hAnsi="宋体" w:eastAsia="宋体" w:cs="宋体"/>
          <w:color w:val="auto"/>
          <w:spacing w:val="-1"/>
          <w:sz w:val="24"/>
          <w:szCs w:val="24"/>
          <w:lang w:val="en-US" w:eastAsia="zh-Hans"/>
        </w:rPr>
        <w:t>规章</w:t>
      </w:r>
      <w:r>
        <w:rPr>
          <w:rFonts w:hint="eastAsia" w:ascii="宋体" w:hAnsi="宋体" w:eastAsia="宋体" w:cs="宋体"/>
          <w:color w:val="auto"/>
          <w:spacing w:val="-1"/>
          <w:sz w:val="24"/>
          <w:szCs w:val="24"/>
          <w:lang w:eastAsia="zh-CN"/>
        </w:rPr>
        <w:t>所规定</w:t>
      </w:r>
      <w:r>
        <w:rPr>
          <w:rFonts w:hint="eastAsia" w:ascii="宋体" w:hAnsi="宋体" w:eastAsia="宋体" w:cs="宋体"/>
          <w:color w:val="auto"/>
          <w:spacing w:val="-1"/>
          <w:sz w:val="24"/>
          <w:szCs w:val="24"/>
          <w:lang w:val="en-US" w:eastAsia="zh-Hans"/>
        </w:rPr>
        <w:t>应</w:t>
      </w:r>
      <w:r>
        <w:rPr>
          <w:rFonts w:hint="eastAsia" w:ascii="宋体" w:hAnsi="宋体" w:eastAsia="宋体" w:cs="宋体"/>
          <w:color w:val="auto"/>
          <w:spacing w:val="-1"/>
          <w:sz w:val="24"/>
          <w:szCs w:val="24"/>
          <w:lang w:eastAsia="zh-CN"/>
        </w:rPr>
        <w:t>由甲方承担的其它责任。</w:t>
      </w:r>
    </w:p>
    <w:p>
      <w:pPr>
        <w:pStyle w:val="213"/>
        <w:widowControl w:val="0"/>
        <w:autoSpaceDE w:val="0"/>
        <w:autoSpaceDN w:val="0"/>
        <w:spacing w:before="0" w:after="0" w:line="600" w:lineRule="exact"/>
        <w:ind w:firstLine="478"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b/>
          <w:bCs/>
          <w:color w:val="auto"/>
          <w:spacing w:val="-1"/>
          <w:sz w:val="24"/>
          <w:szCs w:val="24"/>
          <w:lang w:eastAsia="zh-CN"/>
        </w:rPr>
        <w:t>第九条</w:t>
      </w:r>
      <w:r>
        <w:rPr>
          <w:rFonts w:hint="eastAsia" w:ascii="宋体" w:hAnsi="宋体" w:eastAsia="宋体" w:cs="宋体"/>
          <w:b/>
          <w:bCs/>
          <w:color w:val="auto"/>
          <w:spacing w:val="-1"/>
          <w:sz w:val="24"/>
          <w:szCs w:val="24"/>
          <w:lang w:eastAsia="zh-CN"/>
        </w:rPr>
        <w:tab/>
      </w:r>
      <w:r>
        <w:rPr>
          <w:rFonts w:hint="eastAsia" w:ascii="宋体" w:hAnsi="宋体" w:eastAsia="宋体" w:cs="宋体"/>
          <w:b/>
          <w:bCs/>
          <w:color w:val="auto"/>
          <w:spacing w:val="-1"/>
          <w:sz w:val="24"/>
          <w:szCs w:val="24"/>
          <w:lang w:eastAsia="zh-CN"/>
        </w:rPr>
        <w:t>乙方的权利和义务</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1．对本合同规定的委托服务范围内的项目享有</w:t>
      </w:r>
      <w:r>
        <w:rPr>
          <w:rFonts w:hint="eastAsia" w:ascii="宋体" w:hAnsi="宋体" w:eastAsia="宋体" w:cs="宋体"/>
          <w:color w:val="auto"/>
          <w:spacing w:val="-1"/>
          <w:sz w:val="24"/>
          <w:szCs w:val="24"/>
          <w:lang w:val="en-US" w:eastAsia="zh-Hans"/>
        </w:rPr>
        <w:t>相应</w:t>
      </w:r>
      <w:r>
        <w:rPr>
          <w:rFonts w:hint="eastAsia" w:ascii="宋体" w:hAnsi="宋体" w:eastAsia="宋体" w:cs="宋体"/>
          <w:color w:val="auto"/>
          <w:spacing w:val="-1"/>
          <w:sz w:val="24"/>
          <w:szCs w:val="24"/>
          <w:lang w:eastAsia="zh-CN"/>
        </w:rPr>
        <w:t>管理</w:t>
      </w:r>
      <w:r>
        <w:rPr>
          <w:rFonts w:hint="eastAsia" w:ascii="宋体" w:hAnsi="宋体" w:eastAsia="宋体" w:cs="宋体"/>
          <w:color w:val="auto"/>
          <w:spacing w:val="-1"/>
          <w:sz w:val="24"/>
          <w:szCs w:val="24"/>
          <w:lang w:val="en-US" w:eastAsia="zh-Hans"/>
        </w:rPr>
        <w:t>职责</w:t>
      </w:r>
      <w:r>
        <w:rPr>
          <w:rFonts w:hint="eastAsia" w:ascii="宋体" w:hAnsi="宋体" w:eastAsia="宋体" w:cs="宋体"/>
          <w:color w:val="auto"/>
          <w:spacing w:val="-1"/>
          <w:sz w:val="24"/>
          <w:szCs w:val="24"/>
          <w:lang w:eastAsia="zh-CN"/>
        </w:rPr>
        <w:t>及服务义务。</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2．根据本合同的</w:t>
      </w:r>
      <w:r>
        <w:rPr>
          <w:rFonts w:hint="eastAsia" w:ascii="宋体" w:hAnsi="宋体" w:eastAsia="宋体" w:cs="宋体"/>
          <w:color w:val="auto"/>
          <w:spacing w:val="-1"/>
          <w:sz w:val="24"/>
          <w:szCs w:val="24"/>
          <w:lang w:val="en-US" w:eastAsia="zh-Hans"/>
        </w:rPr>
        <w:t>约</w:t>
      </w:r>
      <w:r>
        <w:rPr>
          <w:rFonts w:hint="eastAsia" w:ascii="宋体" w:hAnsi="宋体" w:eastAsia="宋体" w:cs="宋体"/>
          <w:color w:val="auto"/>
          <w:spacing w:val="-1"/>
          <w:sz w:val="24"/>
          <w:szCs w:val="24"/>
          <w:lang w:eastAsia="zh-CN"/>
        </w:rPr>
        <w:t>定向甲方收取相关服务费用，并有权在本项目管理</w:t>
      </w:r>
      <w:r>
        <w:rPr>
          <w:rFonts w:hint="eastAsia" w:ascii="宋体" w:hAnsi="宋体" w:eastAsia="宋体" w:cs="宋体"/>
          <w:color w:val="auto"/>
          <w:spacing w:val="-1"/>
          <w:sz w:val="24"/>
          <w:szCs w:val="24"/>
          <w:lang w:val="en-US" w:eastAsia="zh-Hans"/>
        </w:rPr>
        <w:t>职责</w:t>
      </w:r>
      <w:r>
        <w:rPr>
          <w:rFonts w:hint="eastAsia" w:ascii="宋体" w:hAnsi="宋体" w:eastAsia="宋体" w:cs="宋体"/>
          <w:color w:val="auto"/>
          <w:spacing w:val="-1"/>
          <w:sz w:val="24"/>
          <w:szCs w:val="24"/>
          <w:lang w:eastAsia="zh-CN"/>
        </w:rPr>
        <w:t>范围内合理使用。</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3．及时向甲方通告本项目服务范围内有关服务的重大事项，及时配合处理投诉。</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4．接受项目行业管理部门及政府有关部门的指导，接受甲方的监督。</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5．国家法律、法规</w:t>
      </w:r>
      <w:r>
        <w:rPr>
          <w:rFonts w:hint="eastAsia" w:ascii="宋体" w:hAnsi="宋体" w:eastAsia="宋体" w:cs="宋体"/>
          <w:color w:val="auto"/>
          <w:spacing w:val="-1"/>
          <w:sz w:val="24"/>
          <w:szCs w:val="24"/>
          <w:lang w:val="en-US" w:eastAsia="zh-Hans"/>
        </w:rPr>
        <w:t>规章</w:t>
      </w:r>
      <w:r>
        <w:rPr>
          <w:rFonts w:hint="eastAsia" w:ascii="宋体" w:hAnsi="宋体" w:eastAsia="宋体" w:cs="宋体"/>
          <w:color w:val="auto"/>
          <w:spacing w:val="-1"/>
          <w:sz w:val="24"/>
          <w:szCs w:val="24"/>
          <w:lang w:eastAsia="zh-CN"/>
        </w:rPr>
        <w:t>所规定</w:t>
      </w:r>
      <w:r>
        <w:rPr>
          <w:rFonts w:hint="eastAsia" w:ascii="宋体" w:hAnsi="宋体" w:eastAsia="宋体" w:cs="宋体"/>
          <w:color w:val="auto"/>
          <w:spacing w:val="-1"/>
          <w:sz w:val="24"/>
          <w:szCs w:val="24"/>
          <w:lang w:val="en-US" w:eastAsia="zh-Hans"/>
        </w:rPr>
        <w:t>应</w:t>
      </w:r>
      <w:r>
        <w:rPr>
          <w:rFonts w:hint="eastAsia" w:ascii="宋体" w:hAnsi="宋体" w:eastAsia="宋体" w:cs="宋体"/>
          <w:color w:val="auto"/>
          <w:spacing w:val="-1"/>
          <w:sz w:val="24"/>
          <w:szCs w:val="24"/>
          <w:lang w:eastAsia="zh-CN"/>
        </w:rPr>
        <w:t>由乙方承担的其它责任。</w:t>
      </w:r>
    </w:p>
    <w:p>
      <w:pPr>
        <w:pStyle w:val="213"/>
        <w:widowControl w:val="0"/>
        <w:autoSpaceDE w:val="0"/>
        <w:autoSpaceDN w:val="0"/>
        <w:spacing w:before="0" w:after="0" w:line="600" w:lineRule="exact"/>
        <w:ind w:firstLine="478"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b/>
          <w:bCs/>
          <w:color w:val="auto"/>
          <w:spacing w:val="-1"/>
          <w:sz w:val="24"/>
          <w:szCs w:val="24"/>
          <w:lang w:eastAsia="zh-CN"/>
        </w:rPr>
        <w:t>第十条</w:t>
      </w:r>
      <w:r>
        <w:rPr>
          <w:rFonts w:hint="eastAsia" w:ascii="宋体" w:hAnsi="宋体" w:eastAsia="宋体" w:cs="宋体"/>
          <w:b/>
          <w:bCs/>
          <w:color w:val="auto"/>
          <w:spacing w:val="-1"/>
          <w:sz w:val="24"/>
          <w:szCs w:val="24"/>
          <w:lang w:eastAsia="zh-CN"/>
        </w:rPr>
        <w:tab/>
      </w:r>
      <w:r>
        <w:rPr>
          <w:rFonts w:hint="eastAsia" w:ascii="宋体" w:hAnsi="宋体" w:eastAsia="宋体" w:cs="宋体"/>
          <w:b/>
          <w:bCs/>
          <w:color w:val="auto"/>
          <w:spacing w:val="-1"/>
          <w:sz w:val="24"/>
          <w:szCs w:val="24"/>
          <w:lang w:eastAsia="zh-CN"/>
        </w:rPr>
        <w:t>违约责任</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1.双方必须遵守本合同并执行合同中的各项规定，保证本合同的正常履行。</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3.乙方在服务期内无质量问题和违约行为的，甲方应</w:t>
      </w:r>
      <w:r>
        <w:rPr>
          <w:rFonts w:hint="eastAsia" w:ascii="宋体" w:hAnsi="宋体" w:eastAsia="宋体" w:cs="宋体"/>
          <w:color w:val="auto"/>
          <w:spacing w:val="-1"/>
          <w:sz w:val="24"/>
          <w:szCs w:val="24"/>
          <w:lang w:val="en-US" w:eastAsia="zh-Hans"/>
        </w:rPr>
        <w:t>按约定</w:t>
      </w:r>
      <w:r>
        <w:rPr>
          <w:rFonts w:hint="eastAsia" w:ascii="宋体" w:hAnsi="宋体" w:eastAsia="宋体" w:cs="宋体"/>
          <w:color w:val="auto"/>
          <w:spacing w:val="-1"/>
          <w:sz w:val="24"/>
          <w:szCs w:val="24"/>
          <w:lang w:eastAsia="zh-CN"/>
        </w:rPr>
        <w:t>支付乙方服务费，如逾期，则按应付金额每日1‰标准向乙方赔付违约金。</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4.因甲方原因导致变更、中止或者终止政府采购合同的，甲方依照合同约定对乙方受到的损失予以</w:t>
      </w:r>
      <w:r>
        <w:rPr>
          <w:rFonts w:hint="eastAsia" w:ascii="宋体" w:hAnsi="宋体" w:eastAsia="宋体" w:cs="宋体"/>
          <w:color w:val="auto"/>
          <w:spacing w:val="-1"/>
          <w:sz w:val="24"/>
          <w:szCs w:val="24"/>
          <w:lang w:val="en-US" w:eastAsia="zh-Hans"/>
        </w:rPr>
        <w:t>相应</w:t>
      </w:r>
      <w:r>
        <w:rPr>
          <w:rFonts w:hint="eastAsia" w:ascii="宋体" w:hAnsi="宋体" w:eastAsia="宋体" w:cs="宋体"/>
          <w:color w:val="auto"/>
          <w:spacing w:val="-1"/>
          <w:sz w:val="24"/>
          <w:szCs w:val="24"/>
          <w:lang w:eastAsia="zh-CN"/>
        </w:rPr>
        <w:t>赔偿或者补偿。</w:t>
      </w:r>
    </w:p>
    <w:p>
      <w:pPr>
        <w:pStyle w:val="213"/>
        <w:widowControl w:val="0"/>
        <w:autoSpaceDE w:val="0"/>
        <w:autoSpaceDN w:val="0"/>
        <w:spacing w:before="0" w:after="0" w:line="600" w:lineRule="exact"/>
        <w:ind w:firstLine="478"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b/>
          <w:bCs/>
          <w:color w:val="auto"/>
          <w:spacing w:val="-1"/>
          <w:sz w:val="24"/>
          <w:szCs w:val="24"/>
          <w:lang w:eastAsia="zh-CN"/>
        </w:rPr>
        <w:t>第十一条</w:t>
      </w:r>
      <w:r>
        <w:rPr>
          <w:rFonts w:hint="eastAsia" w:ascii="宋体" w:hAnsi="宋体" w:eastAsia="宋体" w:cs="宋体"/>
          <w:b/>
          <w:bCs/>
          <w:color w:val="auto"/>
          <w:spacing w:val="-1"/>
          <w:sz w:val="24"/>
          <w:szCs w:val="24"/>
          <w:lang w:eastAsia="zh-CN"/>
        </w:rPr>
        <w:tab/>
      </w:r>
      <w:r>
        <w:rPr>
          <w:rFonts w:hint="eastAsia" w:ascii="宋体" w:hAnsi="宋体" w:eastAsia="宋体" w:cs="宋体"/>
          <w:b/>
          <w:bCs/>
          <w:color w:val="auto"/>
          <w:spacing w:val="-1"/>
          <w:sz w:val="24"/>
          <w:szCs w:val="24"/>
          <w:lang w:eastAsia="zh-CN"/>
        </w:rPr>
        <w:t>不可抗力事件处理</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1．在合同有效期内，任何一方因不可抗力事件导致不能履行合同，则合同履行期可延长，其延长期与不可抗力影响期相同。</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2．不可抗力事件发生后，应立即通知对方，并寄送有关权威机构出具的证明。</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3．不可抗力事件延续</w:t>
      </w:r>
      <w:r>
        <w:rPr>
          <w:rFonts w:hint="eastAsia" w:ascii="宋体" w:hAnsi="宋体" w:eastAsia="宋体" w:cs="宋体"/>
          <w:color w:val="auto"/>
          <w:spacing w:val="-1"/>
          <w:sz w:val="24"/>
          <w:szCs w:val="24"/>
          <w:u w:val="single"/>
          <w:lang w:val="en-US" w:eastAsia="zh-CN"/>
        </w:rPr>
        <w:t xml:space="preserve">   </w:t>
      </w:r>
      <w:r>
        <w:rPr>
          <w:rFonts w:hint="eastAsia" w:ascii="宋体" w:hAnsi="宋体" w:eastAsia="宋体" w:cs="宋体"/>
          <w:color w:val="auto"/>
          <w:spacing w:val="-1"/>
          <w:sz w:val="24"/>
          <w:szCs w:val="24"/>
          <w:lang w:eastAsia="zh-CN"/>
        </w:rPr>
        <w:t>天以上，双方应通过友好协商，确定是否继续履行合同。</w:t>
      </w:r>
    </w:p>
    <w:p>
      <w:pPr>
        <w:pStyle w:val="213"/>
        <w:widowControl w:val="0"/>
        <w:autoSpaceDE w:val="0"/>
        <w:autoSpaceDN w:val="0"/>
        <w:spacing w:before="0" w:after="0" w:line="600" w:lineRule="exact"/>
        <w:ind w:firstLine="478"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b/>
          <w:bCs/>
          <w:color w:val="auto"/>
          <w:spacing w:val="-1"/>
          <w:sz w:val="24"/>
          <w:szCs w:val="24"/>
          <w:lang w:eastAsia="zh-CN"/>
        </w:rPr>
        <w:t>第十二条</w:t>
      </w:r>
      <w:r>
        <w:rPr>
          <w:rFonts w:hint="eastAsia" w:ascii="宋体" w:hAnsi="宋体" w:eastAsia="宋体" w:cs="宋体"/>
          <w:b/>
          <w:bCs/>
          <w:color w:val="auto"/>
          <w:spacing w:val="-1"/>
          <w:sz w:val="24"/>
          <w:szCs w:val="24"/>
          <w:lang w:eastAsia="zh-CN"/>
        </w:rPr>
        <w:tab/>
      </w:r>
      <w:r>
        <w:rPr>
          <w:rFonts w:hint="eastAsia" w:ascii="宋体" w:hAnsi="宋体" w:eastAsia="宋体" w:cs="宋体"/>
          <w:b/>
          <w:bCs/>
          <w:color w:val="auto"/>
          <w:spacing w:val="-1"/>
          <w:sz w:val="24"/>
          <w:szCs w:val="24"/>
          <w:lang w:eastAsia="zh-CN"/>
        </w:rPr>
        <w:t>解决合同纠纷的方式</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在执行本合同中发生的或与本合同有关的争端，双方应通过友好协商解决。不愿通过协商、调解解决或者协商、调解不成的，可向甲方所在地</w:t>
      </w:r>
      <w:r>
        <w:rPr>
          <w:rFonts w:hint="eastAsia" w:ascii="宋体" w:hAnsi="宋体" w:eastAsia="宋体" w:cs="宋体"/>
          <w:color w:val="auto"/>
          <w:spacing w:val="-1"/>
          <w:sz w:val="24"/>
          <w:szCs w:val="24"/>
          <w:lang w:val="en-US" w:eastAsia="zh-Hans"/>
        </w:rPr>
        <w:t>有管辖权的</w:t>
      </w:r>
      <w:r>
        <w:rPr>
          <w:rFonts w:hint="eastAsia" w:ascii="宋体" w:hAnsi="宋体" w:eastAsia="宋体" w:cs="宋体"/>
          <w:color w:val="auto"/>
          <w:spacing w:val="-1"/>
          <w:sz w:val="24"/>
          <w:szCs w:val="24"/>
          <w:lang w:eastAsia="zh-CN"/>
        </w:rPr>
        <w:t>人民法院起诉。</w:t>
      </w:r>
    </w:p>
    <w:p>
      <w:pPr>
        <w:pStyle w:val="213"/>
        <w:widowControl w:val="0"/>
        <w:autoSpaceDE w:val="0"/>
        <w:autoSpaceDN w:val="0"/>
        <w:spacing w:before="0" w:after="0" w:line="600" w:lineRule="exact"/>
        <w:ind w:firstLine="478"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b/>
          <w:bCs/>
          <w:color w:val="auto"/>
          <w:spacing w:val="-1"/>
          <w:sz w:val="24"/>
          <w:szCs w:val="24"/>
          <w:lang w:eastAsia="zh-CN"/>
        </w:rPr>
        <w:t>第十三条</w:t>
      </w:r>
      <w:r>
        <w:rPr>
          <w:rFonts w:hint="eastAsia" w:ascii="宋体" w:hAnsi="宋体" w:eastAsia="宋体" w:cs="宋体"/>
          <w:b/>
          <w:bCs/>
          <w:color w:val="auto"/>
          <w:spacing w:val="-1"/>
          <w:sz w:val="24"/>
          <w:szCs w:val="24"/>
          <w:lang w:eastAsia="zh-CN"/>
        </w:rPr>
        <w:tab/>
      </w:r>
      <w:r>
        <w:rPr>
          <w:rFonts w:hint="eastAsia" w:ascii="宋体" w:hAnsi="宋体" w:eastAsia="宋体" w:cs="宋体"/>
          <w:b/>
          <w:bCs/>
          <w:color w:val="auto"/>
          <w:spacing w:val="-1"/>
          <w:sz w:val="24"/>
          <w:szCs w:val="24"/>
          <w:lang w:eastAsia="zh-CN"/>
        </w:rPr>
        <w:t>合同生效及其他</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1．合同经双方法定代表人或其委托代理人签字并加盖单位公章后生效。</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2．合同执行中涉及采购资金和采购内容修改或补充的，须经政府采购监管部门审批，并签</w:t>
      </w:r>
      <w:r>
        <w:rPr>
          <w:rFonts w:hint="eastAsia" w:ascii="宋体" w:hAnsi="宋体" w:eastAsia="宋体" w:cs="宋体"/>
          <w:color w:val="auto"/>
          <w:spacing w:val="-1"/>
          <w:sz w:val="24"/>
          <w:szCs w:val="24"/>
          <w:lang w:val="en-US" w:eastAsia="zh-CN"/>
        </w:rPr>
        <w:t>定</w:t>
      </w:r>
      <w:r>
        <w:rPr>
          <w:rFonts w:hint="eastAsia" w:ascii="宋体" w:hAnsi="宋体" w:eastAsia="宋体" w:cs="宋体"/>
          <w:color w:val="auto"/>
          <w:spacing w:val="-1"/>
          <w:sz w:val="24"/>
          <w:szCs w:val="24"/>
          <w:lang w:eastAsia="zh-CN"/>
        </w:rPr>
        <w:t>书面补充协议报政府采购监督管理部门备案，方可作为主合同不可分割的一部分。</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本合同一式</w:t>
      </w:r>
      <w:r>
        <w:rPr>
          <w:rFonts w:hint="eastAsia" w:ascii="宋体" w:hAnsi="宋体" w:eastAsia="宋体" w:cs="宋体"/>
          <w:color w:val="auto"/>
          <w:spacing w:val="-1"/>
          <w:sz w:val="24"/>
          <w:szCs w:val="24"/>
          <w:lang w:val="en-US" w:eastAsia="zh-CN"/>
        </w:rPr>
        <w:t xml:space="preserve">    </w:t>
      </w:r>
      <w:r>
        <w:rPr>
          <w:rFonts w:hint="eastAsia" w:ascii="宋体" w:hAnsi="宋体" w:eastAsia="宋体" w:cs="宋体"/>
          <w:color w:val="auto"/>
          <w:spacing w:val="-1"/>
          <w:sz w:val="24"/>
          <w:szCs w:val="24"/>
          <w:lang w:eastAsia="zh-CN"/>
        </w:rPr>
        <w:t>份，甲方</w:t>
      </w:r>
      <w:r>
        <w:rPr>
          <w:rFonts w:hint="eastAsia" w:ascii="宋体" w:hAnsi="宋体" w:eastAsia="宋体" w:cs="宋体"/>
          <w:color w:val="auto"/>
          <w:spacing w:val="-1"/>
          <w:sz w:val="24"/>
          <w:szCs w:val="24"/>
          <w:lang w:val="en-US" w:eastAsia="zh-CN"/>
        </w:rPr>
        <w:t xml:space="preserve">   份</w:t>
      </w:r>
      <w:r>
        <w:rPr>
          <w:rFonts w:hint="eastAsia" w:ascii="宋体" w:hAnsi="宋体" w:eastAsia="宋体" w:cs="宋体"/>
          <w:color w:val="auto"/>
          <w:spacing w:val="-1"/>
          <w:sz w:val="24"/>
          <w:szCs w:val="24"/>
          <w:lang w:eastAsia="zh-CN"/>
        </w:rPr>
        <w:t>、乙方</w:t>
      </w:r>
      <w:r>
        <w:rPr>
          <w:rFonts w:hint="eastAsia" w:ascii="宋体" w:hAnsi="宋体" w:eastAsia="宋体" w:cs="宋体"/>
          <w:color w:val="auto"/>
          <w:spacing w:val="-1"/>
          <w:sz w:val="24"/>
          <w:szCs w:val="24"/>
          <w:lang w:val="en-US" w:eastAsia="zh-CN"/>
        </w:rPr>
        <w:t xml:space="preserve">    份</w:t>
      </w:r>
      <w:r>
        <w:rPr>
          <w:rFonts w:hint="eastAsia" w:ascii="宋体" w:hAnsi="宋体" w:eastAsia="宋体" w:cs="宋体"/>
          <w:color w:val="auto"/>
          <w:spacing w:val="-1"/>
          <w:sz w:val="24"/>
          <w:szCs w:val="24"/>
          <w:lang w:eastAsia="zh-CN"/>
        </w:rPr>
        <w:t>、采购代理机构备案</w:t>
      </w:r>
      <w:r>
        <w:rPr>
          <w:rFonts w:hint="eastAsia" w:ascii="宋体" w:hAnsi="宋体" w:eastAsia="宋体" w:cs="宋体"/>
          <w:color w:val="auto"/>
          <w:spacing w:val="-1"/>
          <w:sz w:val="24"/>
          <w:szCs w:val="24"/>
          <w:lang w:val="en-US" w:eastAsia="zh-CN"/>
        </w:rPr>
        <w:t xml:space="preserve">  份，</w:t>
      </w:r>
      <w:r>
        <w:rPr>
          <w:rFonts w:hint="eastAsia" w:ascii="宋体" w:hAnsi="宋体" w:eastAsia="宋体" w:cs="宋体"/>
          <w:color w:val="auto"/>
          <w:spacing w:val="-1"/>
          <w:sz w:val="24"/>
          <w:szCs w:val="24"/>
          <w:lang w:eastAsia="zh-CN"/>
        </w:rPr>
        <w:t>财政局备案</w:t>
      </w:r>
      <w:r>
        <w:rPr>
          <w:rFonts w:hint="eastAsia" w:ascii="宋体" w:hAnsi="宋体" w:eastAsia="宋体" w:cs="宋体"/>
          <w:color w:val="auto"/>
          <w:spacing w:val="-1"/>
          <w:sz w:val="24"/>
          <w:szCs w:val="24"/>
          <w:lang w:val="en-US" w:eastAsia="zh-CN"/>
        </w:rPr>
        <w:t xml:space="preserve">   </w:t>
      </w:r>
      <w:r>
        <w:rPr>
          <w:rFonts w:hint="eastAsia" w:ascii="宋体" w:hAnsi="宋体" w:eastAsia="宋体" w:cs="宋体"/>
          <w:color w:val="auto"/>
          <w:spacing w:val="-1"/>
          <w:sz w:val="24"/>
          <w:szCs w:val="24"/>
          <w:lang w:eastAsia="zh-CN"/>
        </w:rPr>
        <w:t>份。</w:t>
      </w:r>
    </w:p>
    <w:p>
      <w:pPr>
        <w:pStyle w:val="213"/>
        <w:widowControl w:val="0"/>
        <w:autoSpaceDE w:val="0"/>
        <w:autoSpaceDN w:val="0"/>
        <w:spacing w:before="0" w:after="0" w:line="600" w:lineRule="exact"/>
        <w:ind w:firstLine="478"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b/>
          <w:bCs/>
          <w:color w:val="auto"/>
          <w:spacing w:val="-1"/>
          <w:sz w:val="24"/>
          <w:szCs w:val="24"/>
          <w:lang w:eastAsia="zh-CN"/>
        </w:rPr>
        <w:t>第十四条</w:t>
      </w:r>
      <w:r>
        <w:rPr>
          <w:rFonts w:hint="eastAsia" w:ascii="宋体" w:hAnsi="宋体" w:eastAsia="宋体" w:cs="宋体"/>
          <w:b/>
          <w:bCs/>
          <w:color w:val="auto"/>
          <w:spacing w:val="-1"/>
          <w:sz w:val="24"/>
          <w:szCs w:val="24"/>
          <w:lang w:eastAsia="zh-CN"/>
        </w:rPr>
        <w:tab/>
      </w:r>
      <w:r>
        <w:rPr>
          <w:rFonts w:hint="eastAsia" w:ascii="宋体" w:hAnsi="宋体" w:eastAsia="宋体" w:cs="宋体"/>
          <w:b/>
          <w:bCs/>
          <w:color w:val="auto"/>
          <w:spacing w:val="-1"/>
          <w:sz w:val="24"/>
          <w:szCs w:val="24"/>
          <w:lang w:eastAsia="zh-CN"/>
        </w:rPr>
        <w:t>附件</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1．项目招标文件</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2．项目修改澄清文件</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3．项目投标文件</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4．中标通知书</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5．其他</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甲方：（盖章）</w:t>
      </w:r>
      <w:r>
        <w:rPr>
          <w:rFonts w:hint="eastAsia" w:ascii="宋体" w:hAnsi="宋体" w:eastAsia="宋体" w:cs="宋体"/>
          <w:color w:val="auto"/>
          <w:spacing w:val="-1"/>
          <w:sz w:val="24"/>
          <w:szCs w:val="24"/>
          <w:lang w:eastAsia="zh-CN"/>
        </w:rPr>
        <w:tab/>
      </w:r>
      <w:r>
        <w:rPr>
          <w:rFonts w:hint="eastAsia" w:ascii="宋体" w:hAnsi="宋体" w:eastAsia="宋体" w:cs="宋体"/>
          <w:color w:val="auto"/>
          <w:spacing w:val="-1"/>
          <w:sz w:val="24"/>
          <w:szCs w:val="24"/>
          <w:lang w:eastAsia="zh-CN"/>
        </w:rPr>
        <w:tab/>
      </w:r>
      <w:r>
        <w:rPr>
          <w:rFonts w:hint="eastAsia" w:ascii="宋体" w:hAnsi="宋体" w:eastAsia="宋体" w:cs="宋体"/>
          <w:color w:val="auto"/>
          <w:spacing w:val="-1"/>
          <w:sz w:val="24"/>
          <w:szCs w:val="24"/>
          <w:lang w:eastAsia="zh-CN"/>
        </w:rPr>
        <w:tab/>
      </w:r>
      <w:r>
        <w:rPr>
          <w:rFonts w:hint="eastAsia" w:ascii="宋体" w:hAnsi="宋体" w:eastAsia="宋体" w:cs="宋体"/>
          <w:color w:val="auto"/>
          <w:spacing w:val="-1"/>
          <w:sz w:val="24"/>
          <w:szCs w:val="24"/>
          <w:lang w:eastAsia="zh-CN"/>
        </w:rPr>
        <w:t xml:space="preserve">            乙方：（盖章）</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法定代表人（授权代表）：            法定代表人（授权代表）：</w:t>
      </w:r>
    </w:p>
    <w:p>
      <w:pPr>
        <w:pStyle w:val="213"/>
        <w:widowControl w:val="0"/>
        <w:autoSpaceDE w:val="0"/>
        <w:autoSpaceDN w:val="0"/>
        <w:spacing w:before="0" w:after="0" w:line="600" w:lineRule="exact"/>
        <w:ind w:firstLine="476" w:firstLineChars="200"/>
        <w:jc w:val="left"/>
        <w:rPr>
          <w:rFonts w:hint="eastAsia" w:ascii="宋体" w:hAnsi="宋体" w:eastAsia="宋体" w:cs="宋体"/>
          <w:color w:val="auto"/>
        </w:rPr>
      </w:pPr>
      <w:r>
        <w:rPr>
          <w:rFonts w:hint="eastAsia" w:ascii="宋体" w:hAnsi="宋体" w:eastAsia="宋体" w:cs="宋体"/>
          <w:color w:val="auto"/>
          <w:spacing w:val="-1"/>
          <w:sz w:val="24"/>
          <w:szCs w:val="24"/>
          <w:lang w:eastAsia="zh-CN"/>
        </w:rPr>
        <w:t>签约日期：   年   月   日</w:t>
      </w:r>
      <w:r>
        <w:rPr>
          <w:rFonts w:hint="eastAsia" w:ascii="宋体" w:hAnsi="宋体" w:eastAsia="宋体" w:cs="宋体"/>
          <w:color w:val="auto"/>
          <w:spacing w:val="-1"/>
          <w:sz w:val="24"/>
          <w:szCs w:val="24"/>
          <w:lang w:eastAsia="zh-CN"/>
        </w:rPr>
        <w:tab/>
      </w:r>
      <w:r>
        <w:rPr>
          <w:rFonts w:hint="eastAsia" w:ascii="宋体" w:hAnsi="宋体" w:eastAsia="宋体" w:cs="宋体"/>
          <w:color w:val="auto"/>
          <w:spacing w:val="-1"/>
          <w:sz w:val="24"/>
          <w:szCs w:val="24"/>
          <w:lang w:eastAsia="zh-CN"/>
        </w:rPr>
        <w:tab/>
      </w:r>
      <w:r>
        <w:rPr>
          <w:rFonts w:hint="eastAsia" w:ascii="宋体" w:hAnsi="宋体" w:eastAsia="宋体" w:cs="宋体"/>
          <w:color w:val="auto"/>
          <w:spacing w:val="-1"/>
          <w:sz w:val="24"/>
          <w:szCs w:val="24"/>
          <w:lang w:eastAsia="zh-CN"/>
        </w:rPr>
        <w:tab/>
      </w:r>
      <w:r>
        <w:rPr>
          <w:rFonts w:hint="eastAsia" w:ascii="宋体" w:hAnsi="宋体" w:eastAsia="宋体" w:cs="宋体"/>
          <w:color w:val="auto"/>
          <w:spacing w:val="-1"/>
          <w:sz w:val="24"/>
          <w:szCs w:val="24"/>
          <w:lang w:eastAsia="zh-CN"/>
        </w:rPr>
        <w:t xml:space="preserve"> 签约日期：   年  月   日</w:t>
      </w:r>
    </w:p>
    <w:p>
      <w:pPr>
        <w:pStyle w:val="2"/>
        <w:ind w:firstLine="565" w:firstLineChars="202"/>
        <w:rPr>
          <w:rFonts w:ascii="宋体" w:hAnsi="宋体"/>
          <w:color w:val="auto"/>
          <w:sz w:val="28"/>
        </w:rPr>
      </w:pPr>
    </w:p>
    <w:bookmarkEnd w:id="395"/>
    <w:bookmarkEnd w:id="396"/>
    <w:p>
      <w:pPr>
        <w:pStyle w:val="2"/>
        <w:rPr>
          <w:color w:val="auto"/>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Segoe Print"/>
    <w:panose1 w:val="00000000000000000000"/>
    <w:charset w:val="00"/>
    <w:family w:val="roman"/>
    <w:pitch w:val="default"/>
    <w:sig w:usb0="00000000" w:usb1="00000000" w:usb2="00000000" w:usb3="00000000" w:csb0="00000001" w:csb1="00000000"/>
  </w:font>
  <w:font w:name="Arial (W1)">
    <w:altName w:val="Arial"/>
    <w:panose1 w:val="00000000000000000000"/>
    <w:charset w:val="00"/>
    <w:family w:val="swiss"/>
    <w:pitch w:val="default"/>
    <w:sig w:usb0="00000000" w:usb1="00000000" w:usb2="00000008" w:usb3="00000000" w:csb0="000001F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8" w:usb3="00000000" w:csb0="000001FF" w:csb1="00000000"/>
  </w:font>
  <w:font w:name="方正小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4"/>
      </w:rPr>
    </w:pPr>
    <w:r>
      <w:fldChar w:fldCharType="begin"/>
    </w:r>
    <w:r>
      <w:rPr>
        <w:rStyle w:val="44"/>
      </w:rPr>
      <w:instrText xml:space="preserve">PAGE  </w:instrText>
    </w:r>
    <w:r>
      <w:fldChar w:fldCharType="separate"/>
    </w:r>
    <w:r>
      <w:rPr>
        <w:rStyle w:val="44"/>
      </w:rPr>
      <w:t>12</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4"/>
      </w:rPr>
    </w:pPr>
    <w:r>
      <w:fldChar w:fldCharType="begin"/>
    </w:r>
    <w:r>
      <w:rPr>
        <w:rStyle w:val="44"/>
      </w:rPr>
      <w:instrText xml:space="preserve">PAGE  </w:instrText>
    </w:r>
    <w:r>
      <w:fldChar w:fldCharType="separate"/>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pBdr>
        <w:bottom w:val="none" w:color="auto" w:sz="0" w:space="0"/>
      </w:pBdr>
      <w:rPr>
        <w:rStyle w:val="44"/>
      </w:rPr>
    </w:pPr>
    <w:r>
      <w:fldChar w:fldCharType="begin"/>
    </w:r>
    <w:r>
      <w:rPr>
        <w:rStyle w:val="44"/>
      </w:rPr>
      <w:instrText xml:space="preserve">PAGE  </w:instrText>
    </w:r>
    <w:r>
      <w:fldChar w:fldCharType="separate"/>
    </w:r>
    <w:r>
      <w:fldChar w:fldCharType="end"/>
    </w:r>
  </w:p>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EC3788"/>
    <w:multiLevelType w:val="singleLevel"/>
    <w:tmpl w:val="DDEC3788"/>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13"/>
    <w:multiLevelType w:val="multilevel"/>
    <w:tmpl w:val="000000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5"/>
    <w:multiLevelType w:val="multilevel"/>
    <w:tmpl w:val="00000015"/>
    <w:lvl w:ilvl="0" w:tentative="0">
      <w:start w:val="1"/>
      <w:numFmt w:val="chineseCountingThousand"/>
      <w:lvlText w:val="%1、"/>
      <w:lvlJc w:val="left"/>
      <w:pPr>
        <w:ind w:left="1271"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93"/>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6">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7">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42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pStyle w:val="7"/>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8"/>
      <w:lvlText w:val="%1.%2.%3.%4.%5.%6."/>
      <w:lvlJc w:val="left"/>
      <w:pPr>
        <w:tabs>
          <w:tab w:val="left" w:pos="1702"/>
        </w:tabs>
        <w:ind w:left="1702" w:hanging="1134"/>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10">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413"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1">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00000029"/>
    <w:multiLevelType w:val="multilevel"/>
    <w:tmpl w:val="00000029"/>
    <w:lvl w:ilvl="0" w:tentative="0">
      <w:start w:val="1"/>
      <w:numFmt w:val="decimal"/>
      <w:lvlText w:val="%1."/>
      <w:lvlJc w:val="left"/>
      <w:pPr>
        <w:ind w:left="562"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2B"/>
    <w:multiLevelType w:val="multilevel"/>
    <w:tmpl w:val="0000002B"/>
    <w:lvl w:ilvl="0" w:tentative="0">
      <w:start w:val="1"/>
      <w:numFmt w:val="chineseCountingThousand"/>
      <w:lvlText w:val="%1、"/>
      <w:lvlJc w:val="left"/>
      <w:pPr>
        <w:ind w:left="988"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4">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6"/>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5">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6">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7">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3E"/>
    <w:multiLevelType w:val="multilevel"/>
    <w:tmpl w:val="0000003E"/>
    <w:lvl w:ilvl="0" w:tentative="0">
      <w:start w:val="1"/>
      <w:numFmt w:val="chineseCountingThousand"/>
      <w:suff w:val="nothing"/>
      <w:lvlText w:val="%1、"/>
      <w:lvlJc w:val="left"/>
      <w:pPr>
        <w:ind w:left="1272" w:hanging="420"/>
      </w:pPr>
      <w:rPr>
        <w:b/>
        <w:lang w:val="en-US"/>
      </w:rPr>
    </w:lvl>
    <w:lvl w:ilvl="1" w:tentative="0">
      <w:start w:val="1"/>
      <w:numFmt w:val="decimal"/>
      <w:lvlText w:val="%2、"/>
      <w:lvlJc w:val="left"/>
      <w:pPr>
        <w:ind w:left="1693" w:hanging="1125"/>
      </w:p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19">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43"/>
    <w:multiLevelType w:val="multilevel"/>
    <w:tmpl w:val="00000043"/>
    <w:lvl w:ilvl="0" w:tentative="0">
      <w:start w:val="1"/>
      <w:numFmt w:val="chineseCountingThousand"/>
      <w:lvlText w:val="%1、"/>
      <w:lvlJc w:val="left"/>
      <w:pPr>
        <w:ind w:left="1413" w:hanging="420"/>
      </w:pPr>
      <w:rPr>
        <w:sz w:val="28"/>
        <w:szCs w:val="28"/>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21">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2">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23">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4">
    <w:nsid w:val="163F29DE"/>
    <w:multiLevelType w:val="multilevel"/>
    <w:tmpl w:val="163F29DE"/>
    <w:lvl w:ilvl="0" w:tentative="0">
      <w:start w:val="1"/>
      <w:numFmt w:val="chineseCountingThousand"/>
      <w:lvlText w:val="%1、"/>
      <w:lvlJc w:val="left"/>
      <w:pPr>
        <w:ind w:left="1413" w:hanging="420"/>
      </w:pPr>
      <w:rPr>
        <w:rFonts w:ascii="宋体" w:hAnsi="宋体" w:eastAsia="宋体"/>
        <w:sz w:val="28"/>
        <w:szCs w:val="28"/>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5">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26">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7">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8">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9">
    <w:nsid w:val="3424055C"/>
    <w:multiLevelType w:val="multilevel"/>
    <w:tmpl w:val="3424055C"/>
    <w:lvl w:ilvl="0" w:tentative="0">
      <w:start w:val="1"/>
      <w:numFmt w:val="chineseCountingThousand"/>
      <w:lvlText w:val="%1、"/>
      <w:lvlJc w:val="left"/>
      <w:pPr>
        <w:ind w:left="1413" w:hanging="420"/>
      </w:pPr>
      <w:rPr>
        <w:rFonts w:ascii="宋体" w:hAnsi="宋体" w:eastAsia="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361F7C4C"/>
    <w:multiLevelType w:val="multilevel"/>
    <w:tmpl w:val="361F7C4C"/>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32">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3">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4">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35">
    <w:nsid w:val="51F311B1"/>
    <w:multiLevelType w:val="multilevel"/>
    <w:tmpl w:val="51F311B1"/>
    <w:lvl w:ilvl="0" w:tentative="0">
      <w:start w:val="1"/>
      <w:numFmt w:val="chineseCountingThousand"/>
      <w:lvlText w:val="%1、"/>
      <w:lvlJc w:val="left"/>
      <w:pPr>
        <w:ind w:left="966" w:hanging="420"/>
      </w:p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36">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7">
    <w:nsid w:val="60642B38"/>
    <w:multiLevelType w:val="multilevel"/>
    <w:tmpl w:val="60642B38"/>
    <w:lvl w:ilvl="0" w:tentative="0">
      <w:start w:val="1"/>
      <w:numFmt w:val="chineseCountingThousand"/>
      <w:lvlText w:val="%1、"/>
      <w:lvlJc w:val="left"/>
      <w:pPr>
        <w:ind w:left="840" w:hanging="420"/>
      </w:pPr>
      <w:rPr>
        <w:rFonts w:asciiTheme="minorEastAsia" w:hAnsiTheme="minorEastAsia" w:eastAsiaTheme="minorEastAsia"/>
        <w:b w:val="0"/>
        <w:sz w:val="28"/>
        <w:szCs w:val="28"/>
      </w:r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8">
    <w:nsid w:val="61148F8B"/>
    <w:multiLevelType w:val="singleLevel"/>
    <w:tmpl w:val="61148F8B"/>
    <w:lvl w:ilvl="0" w:tentative="0">
      <w:start w:val="9"/>
      <w:numFmt w:val="chineseCounting"/>
      <w:suff w:val="nothing"/>
      <w:lvlText w:val="（%1）"/>
      <w:lvlJc w:val="left"/>
    </w:lvl>
  </w:abstractNum>
  <w:abstractNum w:abstractNumId="39">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0">
    <w:nsid w:val="638064AA"/>
    <w:multiLevelType w:val="multilevel"/>
    <w:tmpl w:val="638064AA"/>
    <w:lvl w:ilvl="0" w:tentative="0">
      <w:start w:val="1"/>
      <w:numFmt w:val="japaneseCounting"/>
      <w:lvlText w:val="%1、"/>
      <w:lvlJc w:val="left"/>
      <w:pPr>
        <w:ind w:left="1998"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1">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2">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3">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44">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14"/>
  </w:num>
  <w:num w:numId="2">
    <w:abstractNumId w:val="9"/>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portal.cdggzy.com/iWebOffice2015/OfficeHandler.ashx?directory=/CgProject/BidFile/File/%e6%88%90%e9%83%bd%e5%b8%82%e6%94%bf%e9%87%87%e6%8b%9b%e3%80%942020%e3%80%95235%e5%8f%b7/"/>
  </w:docVars>
  <w:rsids>
    <w:rsidRoot w:val="0092431B"/>
    <w:rsid w:val="00011E2C"/>
    <w:rsid w:val="00017C65"/>
    <w:rsid w:val="00031675"/>
    <w:rsid w:val="00046547"/>
    <w:rsid w:val="00064008"/>
    <w:rsid w:val="00070D3F"/>
    <w:rsid w:val="00071BA9"/>
    <w:rsid w:val="00074CCC"/>
    <w:rsid w:val="0008193D"/>
    <w:rsid w:val="00086C1B"/>
    <w:rsid w:val="000E01D4"/>
    <w:rsid w:val="000E4FBE"/>
    <w:rsid w:val="000F0BF5"/>
    <w:rsid w:val="000F5214"/>
    <w:rsid w:val="00123F07"/>
    <w:rsid w:val="00130037"/>
    <w:rsid w:val="00142C44"/>
    <w:rsid w:val="00147768"/>
    <w:rsid w:val="001500A4"/>
    <w:rsid w:val="0015151D"/>
    <w:rsid w:val="00152E57"/>
    <w:rsid w:val="00153915"/>
    <w:rsid w:val="00171DDA"/>
    <w:rsid w:val="00175DA2"/>
    <w:rsid w:val="001922D3"/>
    <w:rsid w:val="001B34A4"/>
    <w:rsid w:val="001C2698"/>
    <w:rsid w:val="001C4FFA"/>
    <w:rsid w:val="001D392C"/>
    <w:rsid w:val="001D53CF"/>
    <w:rsid w:val="001E13EE"/>
    <w:rsid w:val="001E7B34"/>
    <w:rsid w:val="00214F93"/>
    <w:rsid w:val="00216FB4"/>
    <w:rsid w:val="002303BC"/>
    <w:rsid w:val="002304CC"/>
    <w:rsid w:val="00236C36"/>
    <w:rsid w:val="002441B7"/>
    <w:rsid w:val="0025011B"/>
    <w:rsid w:val="0025205A"/>
    <w:rsid w:val="00257EE4"/>
    <w:rsid w:val="0026015E"/>
    <w:rsid w:val="00266EFB"/>
    <w:rsid w:val="00285456"/>
    <w:rsid w:val="002933F7"/>
    <w:rsid w:val="002A5802"/>
    <w:rsid w:val="003074A8"/>
    <w:rsid w:val="003123B1"/>
    <w:rsid w:val="00327DC2"/>
    <w:rsid w:val="00337989"/>
    <w:rsid w:val="00354C2E"/>
    <w:rsid w:val="00394287"/>
    <w:rsid w:val="003A0F3D"/>
    <w:rsid w:val="003A29C7"/>
    <w:rsid w:val="003F007F"/>
    <w:rsid w:val="003F3F72"/>
    <w:rsid w:val="00410F3C"/>
    <w:rsid w:val="0042015A"/>
    <w:rsid w:val="004215D4"/>
    <w:rsid w:val="0045547F"/>
    <w:rsid w:val="004870EE"/>
    <w:rsid w:val="004A610A"/>
    <w:rsid w:val="004C1B1A"/>
    <w:rsid w:val="004C3093"/>
    <w:rsid w:val="004D49CB"/>
    <w:rsid w:val="004E1C00"/>
    <w:rsid w:val="004E603E"/>
    <w:rsid w:val="00500F25"/>
    <w:rsid w:val="00506303"/>
    <w:rsid w:val="00527A66"/>
    <w:rsid w:val="00545144"/>
    <w:rsid w:val="00563198"/>
    <w:rsid w:val="0057488F"/>
    <w:rsid w:val="005816DE"/>
    <w:rsid w:val="00592A25"/>
    <w:rsid w:val="005E4485"/>
    <w:rsid w:val="00606AFB"/>
    <w:rsid w:val="00610A61"/>
    <w:rsid w:val="006216DE"/>
    <w:rsid w:val="00634D91"/>
    <w:rsid w:val="006408B0"/>
    <w:rsid w:val="00652875"/>
    <w:rsid w:val="00652F59"/>
    <w:rsid w:val="006623DB"/>
    <w:rsid w:val="006B1930"/>
    <w:rsid w:val="006C2309"/>
    <w:rsid w:val="006D0D2A"/>
    <w:rsid w:val="0070048F"/>
    <w:rsid w:val="00702324"/>
    <w:rsid w:val="0073282C"/>
    <w:rsid w:val="00752731"/>
    <w:rsid w:val="00764541"/>
    <w:rsid w:val="007672B0"/>
    <w:rsid w:val="00794228"/>
    <w:rsid w:val="007C3748"/>
    <w:rsid w:val="007C4260"/>
    <w:rsid w:val="007D62B3"/>
    <w:rsid w:val="007E1B96"/>
    <w:rsid w:val="007F6DFD"/>
    <w:rsid w:val="00804CED"/>
    <w:rsid w:val="0081056F"/>
    <w:rsid w:val="00824DA8"/>
    <w:rsid w:val="008253BA"/>
    <w:rsid w:val="00826151"/>
    <w:rsid w:val="008410FC"/>
    <w:rsid w:val="0086125A"/>
    <w:rsid w:val="00862CEA"/>
    <w:rsid w:val="00862D3A"/>
    <w:rsid w:val="00873952"/>
    <w:rsid w:val="00876051"/>
    <w:rsid w:val="008907C8"/>
    <w:rsid w:val="00891F19"/>
    <w:rsid w:val="008B6817"/>
    <w:rsid w:val="008E5E8F"/>
    <w:rsid w:val="0092431B"/>
    <w:rsid w:val="00941F87"/>
    <w:rsid w:val="00944068"/>
    <w:rsid w:val="00950315"/>
    <w:rsid w:val="00955F71"/>
    <w:rsid w:val="00963021"/>
    <w:rsid w:val="00966025"/>
    <w:rsid w:val="00970330"/>
    <w:rsid w:val="00976A7C"/>
    <w:rsid w:val="009A253C"/>
    <w:rsid w:val="009E237A"/>
    <w:rsid w:val="00A00871"/>
    <w:rsid w:val="00A03833"/>
    <w:rsid w:val="00A068BA"/>
    <w:rsid w:val="00A10608"/>
    <w:rsid w:val="00A254C7"/>
    <w:rsid w:val="00A36BBE"/>
    <w:rsid w:val="00A41BDF"/>
    <w:rsid w:val="00A4727E"/>
    <w:rsid w:val="00A5235E"/>
    <w:rsid w:val="00A531AE"/>
    <w:rsid w:val="00A7160C"/>
    <w:rsid w:val="00A739BA"/>
    <w:rsid w:val="00A93C9B"/>
    <w:rsid w:val="00A94D0A"/>
    <w:rsid w:val="00AA3745"/>
    <w:rsid w:val="00AA62B4"/>
    <w:rsid w:val="00AB7617"/>
    <w:rsid w:val="00AC0E68"/>
    <w:rsid w:val="00AD025E"/>
    <w:rsid w:val="00AD5E60"/>
    <w:rsid w:val="00AF35A3"/>
    <w:rsid w:val="00AF3933"/>
    <w:rsid w:val="00B11843"/>
    <w:rsid w:val="00B2194B"/>
    <w:rsid w:val="00B36D21"/>
    <w:rsid w:val="00B50CEA"/>
    <w:rsid w:val="00B547D5"/>
    <w:rsid w:val="00B61C32"/>
    <w:rsid w:val="00B64E3B"/>
    <w:rsid w:val="00B74664"/>
    <w:rsid w:val="00BC3199"/>
    <w:rsid w:val="00BC59BF"/>
    <w:rsid w:val="00BD6746"/>
    <w:rsid w:val="00BE1211"/>
    <w:rsid w:val="00BF6991"/>
    <w:rsid w:val="00C16572"/>
    <w:rsid w:val="00C33A0C"/>
    <w:rsid w:val="00C50333"/>
    <w:rsid w:val="00C5371B"/>
    <w:rsid w:val="00C54D07"/>
    <w:rsid w:val="00C56E01"/>
    <w:rsid w:val="00C62AD4"/>
    <w:rsid w:val="00C675B8"/>
    <w:rsid w:val="00C832DD"/>
    <w:rsid w:val="00CC4074"/>
    <w:rsid w:val="00CD0154"/>
    <w:rsid w:val="00CD0E71"/>
    <w:rsid w:val="00CF56C7"/>
    <w:rsid w:val="00D23C3B"/>
    <w:rsid w:val="00D50B2B"/>
    <w:rsid w:val="00D51C67"/>
    <w:rsid w:val="00D623BF"/>
    <w:rsid w:val="00D8071E"/>
    <w:rsid w:val="00DA547E"/>
    <w:rsid w:val="00DB22F1"/>
    <w:rsid w:val="00DD16AF"/>
    <w:rsid w:val="00DD19A0"/>
    <w:rsid w:val="00DE7F5C"/>
    <w:rsid w:val="00E029F6"/>
    <w:rsid w:val="00E17E77"/>
    <w:rsid w:val="00E23EC4"/>
    <w:rsid w:val="00E42AA9"/>
    <w:rsid w:val="00E473C0"/>
    <w:rsid w:val="00E547E7"/>
    <w:rsid w:val="00E5519E"/>
    <w:rsid w:val="00E618FD"/>
    <w:rsid w:val="00E87C88"/>
    <w:rsid w:val="00E922B6"/>
    <w:rsid w:val="00E93BF2"/>
    <w:rsid w:val="00E951E2"/>
    <w:rsid w:val="00EA45D0"/>
    <w:rsid w:val="00F00D97"/>
    <w:rsid w:val="00F24CB6"/>
    <w:rsid w:val="00F26EBF"/>
    <w:rsid w:val="00F525FC"/>
    <w:rsid w:val="00F67D54"/>
    <w:rsid w:val="00F72EEB"/>
    <w:rsid w:val="00F765D9"/>
    <w:rsid w:val="00F8165B"/>
    <w:rsid w:val="00F939A1"/>
    <w:rsid w:val="00FA324E"/>
    <w:rsid w:val="00FB4F2E"/>
    <w:rsid w:val="00FD0C41"/>
    <w:rsid w:val="00FE04E4"/>
    <w:rsid w:val="00FE39D8"/>
    <w:rsid w:val="033219D3"/>
    <w:rsid w:val="03D6406D"/>
    <w:rsid w:val="04010DA7"/>
    <w:rsid w:val="04682F40"/>
    <w:rsid w:val="08232AF6"/>
    <w:rsid w:val="0C6B748E"/>
    <w:rsid w:val="0FBE04BC"/>
    <w:rsid w:val="12F339E0"/>
    <w:rsid w:val="15E54D06"/>
    <w:rsid w:val="19181345"/>
    <w:rsid w:val="197D3001"/>
    <w:rsid w:val="1BE47A93"/>
    <w:rsid w:val="1CAB6147"/>
    <w:rsid w:val="1CCE0252"/>
    <w:rsid w:val="1D8662A3"/>
    <w:rsid w:val="21A358E8"/>
    <w:rsid w:val="21A90F5B"/>
    <w:rsid w:val="234F1622"/>
    <w:rsid w:val="27FC1C2D"/>
    <w:rsid w:val="28847F42"/>
    <w:rsid w:val="28F57857"/>
    <w:rsid w:val="2A62660D"/>
    <w:rsid w:val="2C400B06"/>
    <w:rsid w:val="2FD56B55"/>
    <w:rsid w:val="35C86CCC"/>
    <w:rsid w:val="3A392388"/>
    <w:rsid w:val="3AA41B8A"/>
    <w:rsid w:val="3B975CBD"/>
    <w:rsid w:val="3C1B1A89"/>
    <w:rsid w:val="3D0A6136"/>
    <w:rsid w:val="3D99519C"/>
    <w:rsid w:val="3FAB4BC9"/>
    <w:rsid w:val="40492B72"/>
    <w:rsid w:val="416320DA"/>
    <w:rsid w:val="42C22D37"/>
    <w:rsid w:val="44B9620F"/>
    <w:rsid w:val="45DC6F37"/>
    <w:rsid w:val="46734F6B"/>
    <w:rsid w:val="492E3AA6"/>
    <w:rsid w:val="4A4F147E"/>
    <w:rsid w:val="50F3064A"/>
    <w:rsid w:val="55247657"/>
    <w:rsid w:val="55AF4097"/>
    <w:rsid w:val="58EA108C"/>
    <w:rsid w:val="59DD7AE6"/>
    <w:rsid w:val="5A512CC9"/>
    <w:rsid w:val="5B9F12E6"/>
    <w:rsid w:val="5D2E0E96"/>
    <w:rsid w:val="5D6C2FD1"/>
    <w:rsid w:val="5EC74AB8"/>
    <w:rsid w:val="61A45332"/>
    <w:rsid w:val="6306528D"/>
    <w:rsid w:val="63D30592"/>
    <w:rsid w:val="6A033F87"/>
    <w:rsid w:val="6AE52F62"/>
    <w:rsid w:val="6AF47437"/>
    <w:rsid w:val="6B05711A"/>
    <w:rsid w:val="6CDC003D"/>
    <w:rsid w:val="71310672"/>
    <w:rsid w:val="749E6A1B"/>
    <w:rsid w:val="783E2DD4"/>
    <w:rsid w:val="78A13604"/>
    <w:rsid w:val="7A6146C7"/>
    <w:rsid w:val="7B1D4442"/>
    <w:rsid w:val="7DA62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nhideWhenUsed="0" w:uiPriority="99" w:semiHidden="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1"/>
    <w:qFormat/>
    <w:uiPriority w:val="99"/>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4">
    <w:name w:val="heading 2"/>
    <w:basedOn w:val="1"/>
    <w:next w:val="1"/>
    <w:link w:val="52"/>
    <w:unhideWhenUsed/>
    <w:qFormat/>
    <w:uiPriority w:val="99"/>
    <w:pPr>
      <w:keepNext/>
      <w:keepLines/>
      <w:numPr>
        <w:ilvl w:val="1"/>
        <w:numId w:val="1"/>
      </w:numPr>
      <w:spacing w:before="260" w:after="260" w:line="360" w:lineRule="auto"/>
      <w:jc w:val="left"/>
      <w:outlineLvl w:val="1"/>
    </w:pPr>
    <w:rPr>
      <w:rFonts w:ascii="宋体" w:hAnsi="宋体" w:cs="宋体"/>
      <w:b/>
      <w:bCs/>
      <w:sz w:val="28"/>
      <w:szCs w:val="28"/>
    </w:rPr>
  </w:style>
  <w:style w:type="paragraph" w:styleId="5">
    <w:name w:val="heading 3"/>
    <w:basedOn w:val="1"/>
    <w:next w:val="1"/>
    <w:link w:val="53"/>
    <w:unhideWhenUsed/>
    <w:qFormat/>
    <w:uiPriority w:val="99"/>
    <w:pPr>
      <w:keepNext/>
      <w:keepLines/>
      <w:numPr>
        <w:ilvl w:val="2"/>
        <w:numId w:val="1"/>
      </w:numPr>
      <w:spacing w:line="360" w:lineRule="auto"/>
      <w:outlineLvl w:val="2"/>
    </w:pPr>
    <w:rPr>
      <w:rFonts w:ascii="宋体" w:hAnsi="宋体" w:cs="宋体"/>
      <w:b/>
      <w:bCs/>
      <w:color w:val="000000"/>
      <w:kern w:val="0"/>
      <w:sz w:val="28"/>
      <w:szCs w:val="28"/>
    </w:rPr>
  </w:style>
  <w:style w:type="paragraph" w:styleId="6">
    <w:name w:val="heading 4"/>
    <w:basedOn w:val="1"/>
    <w:next w:val="1"/>
    <w:link w:val="54"/>
    <w:unhideWhenUsed/>
    <w:qFormat/>
    <w:uiPriority w:val="9"/>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5"/>
    <w:basedOn w:val="1"/>
    <w:next w:val="1"/>
    <w:link w:val="55"/>
    <w:unhideWhenUsed/>
    <w:qFormat/>
    <w:uiPriority w:val="0"/>
    <w:pPr>
      <w:numPr>
        <w:ilvl w:val="4"/>
        <w:numId w:val="2"/>
      </w:numPr>
      <w:tabs>
        <w:tab w:val="left" w:pos="1134"/>
      </w:tabs>
      <w:spacing w:before="280" w:after="290" w:line="360" w:lineRule="auto"/>
      <w:outlineLvl w:val="4"/>
    </w:pPr>
    <w:rPr>
      <w:b/>
      <w:bCs/>
      <w:kern w:val="0"/>
      <w:sz w:val="28"/>
      <w:szCs w:val="28"/>
    </w:rPr>
  </w:style>
  <w:style w:type="paragraph" w:styleId="8">
    <w:name w:val="heading 6"/>
    <w:basedOn w:val="1"/>
    <w:next w:val="1"/>
    <w:link w:val="56"/>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9">
    <w:name w:val="heading 7"/>
    <w:basedOn w:val="1"/>
    <w:next w:val="1"/>
    <w:link w:val="57"/>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0">
    <w:name w:val="heading 8"/>
    <w:basedOn w:val="1"/>
    <w:next w:val="1"/>
    <w:link w:val="58"/>
    <w:unhideWhenUsed/>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59"/>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3">
    <w:name w:val="Default Paragraph Font"/>
    <w:unhideWhenUsed/>
    <w:qFormat/>
    <w:uiPriority w:val="1"/>
  </w:style>
  <w:style w:type="table" w:default="1" w:styleId="4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84"/>
    <w:unhideWhenUsed/>
    <w:qFormat/>
    <w:uiPriority w:val="0"/>
    <w:pPr>
      <w:spacing w:after="120"/>
    </w:pPr>
    <w:rPr>
      <w:rFonts w:ascii="Times New Roman" w:hAnsi="Times New Roman"/>
      <w:kern w:val="0"/>
      <w:sz w:val="20"/>
      <w:szCs w:val="20"/>
    </w:rPr>
  </w:style>
  <w:style w:type="paragraph" w:styleId="12">
    <w:name w:val="annotation subject"/>
    <w:basedOn w:val="13"/>
    <w:next w:val="13"/>
    <w:link w:val="80"/>
    <w:unhideWhenUsed/>
    <w:qFormat/>
    <w:uiPriority w:val="99"/>
    <w:rPr>
      <w:b/>
      <w:bCs/>
    </w:rPr>
  </w:style>
  <w:style w:type="paragraph" w:styleId="13">
    <w:name w:val="annotation text"/>
    <w:basedOn w:val="1"/>
    <w:link w:val="197"/>
    <w:unhideWhenUsed/>
    <w:qFormat/>
    <w:uiPriority w:val="99"/>
    <w:pPr>
      <w:jc w:val="left"/>
    </w:pPr>
  </w:style>
  <w:style w:type="paragraph" w:styleId="14">
    <w:name w:val="toc 7"/>
    <w:basedOn w:val="1"/>
    <w:next w:val="1"/>
    <w:unhideWhenUsed/>
    <w:qFormat/>
    <w:uiPriority w:val="0"/>
    <w:pPr>
      <w:ind w:left="2520" w:leftChars="1200"/>
    </w:pPr>
    <w:rPr>
      <w:rFonts w:ascii="Times New Roman" w:hAnsi="Times New Roman"/>
      <w:szCs w:val="24"/>
    </w:rPr>
  </w:style>
  <w:style w:type="paragraph" w:styleId="15">
    <w:name w:val="Body Text First Indent"/>
    <w:basedOn w:val="2"/>
    <w:link w:val="73"/>
    <w:unhideWhenUsed/>
    <w:qFormat/>
    <w:uiPriority w:val="0"/>
    <w:pPr>
      <w:ind w:firstLine="420" w:firstLineChars="100"/>
    </w:pPr>
    <w:rPr>
      <w:sz w:val="18"/>
      <w:szCs w:val="18"/>
    </w:rPr>
  </w:style>
  <w:style w:type="paragraph" w:styleId="16">
    <w:name w:val="Normal Indent"/>
    <w:basedOn w:val="1"/>
    <w:link w:val="64"/>
    <w:unhideWhenUsed/>
    <w:qFormat/>
    <w:uiPriority w:val="0"/>
    <w:pPr>
      <w:spacing w:after="180" w:line="307" w:lineRule="auto"/>
      <w:ind w:firstLine="420"/>
    </w:pPr>
    <w:rPr>
      <w:rFonts w:asciiTheme="minorHAnsi" w:hAnsiTheme="minorHAnsi" w:eastAsiaTheme="minorEastAsia" w:cstheme="minorBidi"/>
    </w:rPr>
  </w:style>
  <w:style w:type="paragraph" w:styleId="17">
    <w:name w:val="caption"/>
    <w:basedOn w:val="1"/>
    <w:next w:val="1"/>
    <w:unhideWhenUsed/>
    <w:qFormat/>
    <w:uiPriority w:val="0"/>
    <w:pPr>
      <w:spacing w:before="152" w:after="160" w:line="360" w:lineRule="auto"/>
    </w:pPr>
    <w:rPr>
      <w:rFonts w:ascii="Arial" w:hAnsi="Arial" w:eastAsia="黑体" w:cs="Arial"/>
      <w:sz w:val="20"/>
      <w:szCs w:val="20"/>
    </w:rPr>
  </w:style>
  <w:style w:type="paragraph" w:styleId="18">
    <w:name w:val="Document Map"/>
    <w:basedOn w:val="1"/>
    <w:link w:val="78"/>
    <w:unhideWhenUsed/>
    <w:qFormat/>
    <w:uiPriority w:val="99"/>
    <w:pPr>
      <w:shd w:val="clear" w:color="auto" w:fill="000080"/>
    </w:pPr>
    <w:rPr>
      <w:rFonts w:ascii="Times New Roman" w:hAnsi="Times New Roman"/>
      <w:kern w:val="0"/>
      <w:sz w:val="18"/>
      <w:szCs w:val="18"/>
    </w:rPr>
  </w:style>
  <w:style w:type="paragraph" w:styleId="19">
    <w:name w:val="Body Text 3"/>
    <w:basedOn w:val="1"/>
    <w:link w:val="75"/>
    <w:unhideWhenUsed/>
    <w:qFormat/>
    <w:uiPriority w:val="0"/>
    <w:pPr>
      <w:jc w:val="center"/>
    </w:pPr>
    <w:rPr>
      <w:rFonts w:ascii="Times New Roman" w:hAnsi="Times New Roman" w:eastAsia="黑体"/>
      <w:sz w:val="44"/>
      <w:szCs w:val="24"/>
    </w:rPr>
  </w:style>
  <w:style w:type="paragraph" w:styleId="20">
    <w:name w:val="Body Text Indent"/>
    <w:basedOn w:val="1"/>
    <w:link w:val="70"/>
    <w:unhideWhenUsed/>
    <w:qFormat/>
    <w:uiPriority w:val="0"/>
    <w:pPr>
      <w:spacing w:after="120"/>
      <w:ind w:left="420" w:leftChars="200"/>
    </w:pPr>
    <w:rPr>
      <w:rFonts w:ascii="Times New Roman" w:hAnsi="Times New Roman"/>
      <w:kern w:val="0"/>
      <w:sz w:val="20"/>
      <w:szCs w:val="24"/>
    </w:rPr>
  </w:style>
  <w:style w:type="paragraph" w:styleId="21">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2">
    <w:name w:val="toc 5"/>
    <w:basedOn w:val="1"/>
    <w:next w:val="1"/>
    <w:unhideWhenUsed/>
    <w:qFormat/>
    <w:uiPriority w:val="0"/>
    <w:pPr>
      <w:ind w:left="1680" w:leftChars="800"/>
    </w:pPr>
    <w:rPr>
      <w:rFonts w:ascii="Times New Roman" w:hAnsi="Times New Roman"/>
      <w:sz w:val="18"/>
      <w:szCs w:val="18"/>
    </w:rPr>
  </w:style>
  <w:style w:type="paragraph" w:styleId="23">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4">
    <w:name w:val="Plain Text"/>
    <w:basedOn w:val="1"/>
    <w:link w:val="188"/>
    <w:unhideWhenUsed/>
    <w:qFormat/>
    <w:uiPriority w:val="99"/>
    <w:rPr>
      <w:rFonts w:ascii="宋体" w:hAnsi="Courier New"/>
      <w:kern w:val="0"/>
      <w:sz w:val="20"/>
      <w:szCs w:val="18"/>
    </w:rPr>
  </w:style>
  <w:style w:type="paragraph" w:styleId="25">
    <w:name w:val="toc 8"/>
    <w:basedOn w:val="1"/>
    <w:next w:val="1"/>
    <w:unhideWhenUsed/>
    <w:qFormat/>
    <w:uiPriority w:val="0"/>
    <w:pPr>
      <w:ind w:left="2940" w:leftChars="1400"/>
    </w:pPr>
    <w:rPr>
      <w:rFonts w:ascii="Times New Roman" w:hAnsi="Times New Roman"/>
      <w:szCs w:val="24"/>
    </w:rPr>
  </w:style>
  <w:style w:type="paragraph" w:styleId="26">
    <w:name w:val="Date"/>
    <w:basedOn w:val="1"/>
    <w:next w:val="1"/>
    <w:link w:val="72"/>
    <w:unhideWhenUsed/>
    <w:qFormat/>
    <w:uiPriority w:val="99"/>
    <w:pPr>
      <w:ind w:left="100" w:leftChars="2500"/>
    </w:pPr>
    <w:rPr>
      <w:rFonts w:ascii="Times New Roman" w:hAnsi="Times New Roman"/>
      <w:kern w:val="0"/>
      <w:sz w:val="24"/>
      <w:szCs w:val="24"/>
    </w:rPr>
  </w:style>
  <w:style w:type="paragraph" w:styleId="27">
    <w:name w:val="Body Text Indent 2"/>
    <w:basedOn w:val="1"/>
    <w:link w:val="76"/>
    <w:unhideWhenUsed/>
    <w:qFormat/>
    <w:uiPriority w:val="0"/>
    <w:pPr>
      <w:spacing w:after="120" w:line="480" w:lineRule="auto"/>
      <w:ind w:left="420" w:leftChars="200"/>
    </w:pPr>
    <w:rPr>
      <w:rFonts w:ascii="Times New Roman" w:hAnsi="Times New Roman"/>
      <w:kern w:val="0"/>
      <w:sz w:val="20"/>
      <w:szCs w:val="20"/>
    </w:rPr>
  </w:style>
  <w:style w:type="paragraph" w:styleId="28">
    <w:name w:val="Balloon Text"/>
    <w:basedOn w:val="1"/>
    <w:link w:val="81"/>
    <w:unhideWhenUsed/>
    <w:qFormat/>
    <w:uiPriority w:val="99"/>
    <w:rPr>
      <w:rFonts w:ascii="Times New Roman" w:hAnsi="Times New Roman"/>
      <w:kern w:val="0"/>
      <w:sz w:val="18"/>
      <w:szCs w:val="18"/>
    </w:rPr>
  </w:style>
  <w:style w:type="paragraph" w:styleId="29">
    <w:name w:val="footer"/>
    <w:basedOn w:val="1"/>
    <w:link w:val="68"/>
    <w:unhideWhenUsed/>
    <w:qFormat/>
    <w:uiPriority w:val="99"/>
    <w:pPr>
      <w:tabs>
        <w:tab w:val="center" w:pos="4153"/>
        <w:tab w:val="right" w:pos="8306"/>
      </w:tabs>
      <w:snapToGrid w:val="0"/>
      <w:jc w:val="left"/>
    </w:pPr>
    <w:rPr>
      <w:kern w:val="0"/>
      <w:sz w:val="18"/>
      <w:szCs w:val="18"/>
    </w:rPr>
  </w:style>
  <w:style w:type="paragraph" w:styleId="30">
    <w:name w:val="header"/>
    <w:basedOn w:val="1"/>
    <w:link w:val="6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2">
    <w:name w:val="toc 4"/>
    <w:basedOn w:val="1"/>
    <w:next w:val="1"/>
    <w:unhideWhenUsed/>
    <w:qFormat/>
    <w:uiPriority w:val="0"/>
    <w:pPr>
      <w:ind w:left="1260" w:leftChars="600"/>
    </w:pPr>
    <w:rPr>
      <w:rFonts w:ascii="Times New Roman" w:hAnsi="Times New Roman"/>
      <w:sz w:val="18"/>
      <w:szCs w:val="18"/>
    </w:rPr>
  </w:style>
  <w:style w:type="paragraph" w:styleId="33">
    <w:name w:val="Subtitle"/>
    <w:basedOn w:val="1"/>
    <w:next w:val="1"/>
    <w:link w:val="71"/>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65"/>
    <w:unhideWhenUsed/>
    <w:qFormat/>
    <w:uiPriority w:val="0"/>
    <w:pPr>
      <w:snapToGrid w:val="0"/>
      <w:jc w:val="left"/>
    </w:pPr>
    <w:rPr>
      <w:sz w:val="18"/>
      <w:szCs w:val="18"/>
    </w:rPr>
  </w:style>
  <w:style w:type="paragraph" w:styleId="35">
    <w:name w:val="toc 6"/>
    <w:basedOn w:val="1"/>
    <w:next w:val="1"/>
    <w:unhideWhenUsed/>
    <w:qFormat/>
    <w:uiPriority w:val="0"/>
    <w:pPr>
      <w:ind w:left="2100" w:leftChars="1000"/>
    </w:pPr>
    <w:rPr>
      <w:rFonts w:ascii="Times New Roman" w:hAnsi="Times New Roman"/>
      <w:szCs w:val="24"/>
    </w:rPr>
  </w:style>
  <w:style w:type="paragraph" w:styleId="36">
    <w:name w:val="Body Text Indent 3"/>
    <w:basedOn w:val="1"/>
    <w:link w:val="77"/>
    <w:unhideWhenUsed/>
    <w:qFormat/>
    <w:uiPriority w:val="0"/>
    <w:pPr>
      <w:spacing w:line="360" w:lineRule="auto"/>
      <w:ind w:left="153" w:leftChars="85" w:firstLine="560" w:firstLineChars="200"/>
    </w:pPr>
    <w:rPr>
      <w:rFonts w:ascii="宋体" w:hAnsi="宋体"/>
      <w:kern w:val="0"/>
      <w:sz w:val="28"/>
      <w:szCs w:val="28"/>
    </w:rPr>
  </w:style>
  <w:style w:type="paragraph" w:styleId="37">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8">
    <w:name w:val="toc 9"/>
    <w:basedOn w:val="1"/>
    <w:next w:val="1"/>
    <w:unhideWhenUsed/>
    <w:qFormat/>
    <w:uiPriority w:val="0"/>
    <w:pPr>
      <w:ind w:left="3360" w:leftChars="1600"/>
    </w:pPr>
    <w:rPr>
      <w:rFonts w:ascii="Times New Roman" w:hAnsi="Times New Roman"/>
      <w:szCs w:val="24"/>
    </w:rPr>
  </w:style>
  <w:style w:type="paragraph" w:styleId="39">
    <w:name w:val="Body Text 2"/>
    <w:basedOn w:val="1"/>
    <w:link w:val="74"/>
    <w:unhideWhenUsed/>
    <w:qFormat/>
    <w:uiPriority w:val="0"/>
    <w:pPr>
      <w:spacing w:after="120" w:line="480" w:lineRule="auto"/>
    </w:pPr>
    <w:rPr>
      <w:rFonts w:ascii="Times New Roman" w:hAnsi="Times New Roman"/>
      <w:kern w:val="0"/>
      <w:sz w:val="18"/>
      <w:szCs w:val="18"/>
    </w:rPr>
  </w:style>
  <w:style w:type="paragraph" w:styleId="40">
    <w:name w:val="HTML Preformatted"/>
    <w:basedOn w:val="1"/>
    <w:link w:val="21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firstLineChars="200"/>
      <w:jc w:val="left"/>
    </w:pPr>
    <w:rPr>
      <w:rFonts w:ascii="Arial" w:hAnsi="Arial" w:cs="Arial"/>
      <w:kern w:val="0"/>
      <w:sz w:val="24"/>
      <w:szCs w:val="28"/>
    </w:rPr>
  </w:style>
  <w:style w:type="paragraph" w:styleId="41">
    <w:name w:val="Normal (Web)"/>
    <w:basedOn w:val="1"/>
    <w:unhideWhenUsed/>
    <w:qFormat/>
    <w:uiPriority w:val="99"/>
    <w:pPr>
      <w:widowControl/>
      <w:spacing w:before="100" w:beforeAutospacing="1" w:after="100" w:afterAutospacing="1"/>
      <w:jc w:val="left"/>
    </w:pPr>
    <w:rPr>
      <w:rFonts w:ascii="宋体" w:hAnsi="宋体"/>
      <w:color w:val="000000"/>
      <w:kern w:val="0"/>
      <w:sz w:val="24"/>
      <w:szCs w:val="24"/>
    </w:rPr>
  </w:style>
  <w:style w:type="paragraph" w:styleId="42">
    <w:name w:val="index 1"/>
    <w:basedOn w:val="1"/>
    <w:next w:val="1"/>
    <w:unhideWhenUsed/>
    <w:qFormat/>
    <w:uiPriority w:val="0"/>
    <w:pPr>
      <w:ind w:firstLine="560" w:firstLineChars="200"/>
    </w:pPr>
    <w:rPr>
      <w:rFonts w:ascii="宋体" w:hAnsi="宋体" w:cs="宋体"/>
      <w:sz w:val="28"/>
      <w:szCs w:val="28"/>
    </w:rPr>
  </w:style>
  <w:style w:type="character" w:styleId="44">
    <w:name w:val="page number"/>
    <w:basedOn w:val="43"/>
    <w:unhideWhenUsed/>
    <w:qFormat/>
    <w:uiPriority w:val="99"/>
  </w:style>
  <w:style w:type="character" w:styleId="45">
    <w:name w:val="FollowedHyperlink"/>
    <w:basedOn w:val="43"/>
    <w:unhideWhenUsed/>
    <w:qFormat/>
    <w:uiPriority w:val="99"/>
    <w:rPr>
      <w:color w:val="800080" w:themeColor="followedHyperlink"/>
      <w:u w:val="single"/>
      <w14:textFill>
        <w14:solidFill>
          <w14:schemeClr w14:val="folHlink"/>
        </w14:solidFill>
      </w14:textFill>
    </w:rPr>
  </w:style>
  <w:style w:type="character" w:styleId="46">
    <w:name w:val="Hyperlink"/>
    <w:unhideWhenUsed/>
    <w:qFormat/>
    <w:uiPriority w:val="99"/>
    <w:rPr>
      <w:color w:val="0000FF"/>
      <w:u w:val="single"/>
    </w:rPr>
  </w:style>
  <w:style w:type="character" w:styleId="47">
    <w:name w:val="annotation reference"/>
    <w:unhideWhenUsed/>
    <w:qFormat/>
    <w:uiPriority w:val="99"/>
    <w:rPr>
      <w:sz w:val="21"/>
      <w:szCs w:val="21"/>
    </w:rPr>
  </w:style>
  <w:style w:type="character" w:styleId="48">
    <w:name w:val="footnote reference"/>
    <w:unhideWhenUsed/>
    <w:qFormat/>
    <w:uiPriority w:val="0"/>
    <w:rPr>
      <w:vertAlign w:val="superscript"/>
    </w:rPr>
  </w:style>
  <w:style w:type="table" w:styleId="50">
    <w:name w:val="Table Grid"/>
    <w:basedOn w:val="4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1">
    <w:name w:val="标题 1 字符"/>
    <w:basedOn w:val="43"/>
    <w:link w:val="3"/>
    <w:qFormat/>
    <w:uiPriority w:val="99"/>
    <w:rPr>
      <w:rFonts w:ascii="宋体" w:hAnsi="宋体" w:eastAsia="宋体" w:cs="宋体"/>
      <w:b/>
      <w:bCs/>
      <w:spacing w:val="-20"/>
      <w:kern w:val="44"/>
      <w:sz w:val="32"/>
      <w:szCs w:val="32"/>
    </w:rPr>
  </w:style>
  <w:style w:type="character" w:customStyle="1" w:styleId="52">
    <w:name w:val="标题 2 字符"/>
    <w:basedOn w:val="43"/>
    <w:link w:val="4"/>
    <w:qFormat/>
    <w:uiPriority w:val="99"/>
    <w:rPr>
      <w:rFonts w:ascii="宋体" w:hAnsi="宋体" w:eastAsia="宋体" w:cs="宋体"/>
      <w:b/>
      <w:bCs/>
      <w:sz w:val="28"/>
      <w:szCs w:val="28"/>
    </w:rPr>
  </w:style>
  <w:style w:type="character" w:customStyle="1" w:styleId="53">
    <w:name w:val="标题 3 字符"/>
    <w:basedOn w:val="43"/>
    <w:link w:val="5"/>
    <w:qFormat/>
    <w:uiPriority w:val="99"/>
    <w:rPr>
      <w:rFonts w:ascii="宋体" w:hAnsi="宋体" w:eastAsia="宋体" w:cs="宋体"/>
      <w:b/>
      <w:bCs/>
      <w:color w:val="000000"/>
      <w:kern w:val="0"/>
      <w:sz w:val="28"/>
      <w:szCs w:val="28"/>
    </w:rPr>
  </w:style>
  <w:style w:type="character" w:customStyle="1" w:styleId="54">
    <w:name w:val="标题 4 字符"/>
    <w:basedOn w:val="43"/>
    <w:link w:val="6"/>
    <w:qFormat/>
    <w:uiPriority w:val="9"/>
    <w:rPr>
      <w:rFonts w:ascii="Arial" w:hAnsi="Arial" w:eastAsia="宋体" w:cs="Times New Roman"/>
      <w:b/>
      <w:bCs/>
      <w:kern w:val="0"/>
      <w:sz w:val="28"/>
      <w:szCs w:val="28"/>
    </w:rPr>
  </w:style>
  <w:style w:type="character" w:customStyle="1" w:styleId="55">
    <w:name w:val="标题 5 字符"/>
    <w:basedOn w:val="43"/>
    <w:link w:val="7"/>
    <w:qFormat/>
    <w:uiPriority w:val="0"/>
    <w:rPr>
      <w:rFonts w:ascii="Calibri" w:hAnsi="Calibri" w:eastAsia="宋体" w:cs="Times New Roman"/>
      <w:b/>
      <w:bCs/>
      <w:kern w:val="0"/>
      <w:sz w:val="28"/>
      <w:szCs w:val="28"/>
    </w:rPr>
  </w:style>
  <w:style w:type="character" w:customStyle="1" w:styleId="56">
    <w:name w:val="标题 6 字符"/>
    <w:basedOn w:val="43"/>
    <w:link w:val="8"/>
    <w:qFormat/>
    <w:uiPriority w:val="0"/>
    <w:rPr>
      <w:rFonts w:ascii="Arial" w:hAnsi="Arial" w:eastAsia="宋体" w:cs="Times New Roman"/>
      <w:b/>
      <w:bCs/>
      <w:kern w:val="0"/>
      <w:sz w:val="28"/>
      <w:szCs w:val="18"/>
    </w:rPr>
  </w:style>
  <w:style w:type="character" w:customStyle="1" w:styleId="57">
    <w:name w:val="标题 7 字符"/>
    <w:basedOn w:val="43"/>
    <w:link w:val="9"/>
    <w:qFormat/>
    <w:uiPriority w:val="0"/>
    <w:rPr>
      <w:rFonts w:ascii="Arial Narrow" w:hAnsi="Arial Narrow" w:eastAsia="宋体" w:cs="Times New Roman"/>
      <w:b/>
      <w:bCs/>
      <w:iCs/>
      <w:kern w:val="0"/>
      <w:sz w:val="20"/>
      <w:szCs w:val="24"/>
      <w:lang w:eastAsia="en-US"/>
    </w:rPr>
  </w:style>
  <w:style w:type="character" w:customStyle="1" w:styleId="58">
    <w:name w:val="标题 8 字符"/>
    <w:basedOn w:val="43"/>
    <w:link w:val="10"/>
    <w:semiHidden/>
    <w:qFormat/>
    <w:uiPriority w:val="0"/>
    <w:rPr>
      <w:rFonts w:ascii="Arial" w:hAnsi="Arial" w:eastAsia="黑体" w:cs="Times New Roman"/>
      <w:kern w:val="0"/>
      <w:sz w:val="24"/>
      <w:szCs w:val="24"/>
    </w:rPr>
  </w:style>
  <w:style w:type="character" w:customStyle="1" w:styleId="59">
    <w:name w:val="标题 9 字符"/>
    <w:basedOn w:val="43"/>
    <w:link w:val="11"/>
    <w:semiHidden/>
    <w:qFormat/>
    <w:uiPriority w:val="0"/>
    <w:rPr>
      <w:rFonts w:ascii="Arial" w:hAnsi="Arial" w:eastAsia="黑体" w:cs="Times New Roman"/>
      <w:kern w:val="0"/>
      <w:sz w:val="20"/>
      <w:szCs w:val="21"/>
    </w:rPr>
  </w:style>
  <w:style w:type="character" w:customStyle="1" w:styleId="60">
    <w:name w:val="标题 1 Char1"/>
    <w:qFormat/>
    <w:uiPriority w:val="0"/>
    <w:rPr>
      <w:b/>
      <w:bCs/>
      <w:kern w:val="44"/>
      <w:sz w:val="44"/>
      <w:szCs w:val="44"/>
    </w:rPr>
  </w:style>
  <w:style w:type="character" w:customStyle="1" w:styleId="61">
    <w:name w:val="标题 2 Char1"/>
    <w:basedOn w:val="43"/>
    <w:semiHidden/>
    <w:qFormat/>
    <w:uiPriority w:val="99"/>
    <w:rPr>
      <w:rFonts w:asciiTheme="majorHAnsi" w:hAnsiTheme="majorHAnsi" w:eastAsiaTheme="majorEastAsia" w:cstheme="majorBidi"/>
      <w:b/>
      <w:bCs/>
      <w:kern w:val="2"/>
      <w:sz w:val="32"/>
      <w:szCs w:val="32"/>
    </w:rPr>
  </w:style>
  <w:style w:type="character" w:customStyle="1" w:styleId="62">
    <w:name w:val="标题 3 Char1"/>
    <w:basedOn w:val="43"/>
    <w:semiHidden/>
    <w:qFormat/>
    <w:uiPriority w:val="99"/>
    <w:rPr>
      <w:rFonts w:ascii="Calibri" w:hAnsi="Calibri"/>
      <w:b/>
      <w:bCs/>
      <w:kern w:val="2"/>
      <w:sz w:val="32"/>
      <w:szCs w:val="32"/>
    </w:rPr>
  </w:style>
  <w:style w:type="character" w:customStyle="1" w:styleId="63">
    <w:name w:val="标题 4 Char1"/>
    <w:basedOn w:val="43"/>
    <w:semiHidden/>
    <w:qFormat/>
    <w:uiPriority w:val="9"/>
    <w:rPr>
      <w:rFonts w:asciiTheme="majorHAnsi" w:hAnsiTheme="majorHAnsi" w:eastAsiaTheme="majorEastAsia" w:cstheme="majorBidi"/>
      <w:b/>
      <w:bCs/>
      <w:kern w:val="2"/>
      <w:sz w:val="28"/>
      <w:szCs w:val="28"/>
    </w:rPr>
  </w:style>
  <w:style w:type="character" w:customStyle="1" w:styleId="64">
    <w:name w:val="正文缩进 字符"/>
    <w:link w:val="16"/>
    <w:qFormat/>
    <w:locked/>
    <w:uiPriority w:val="0"/>
  </w:style>
  <w:style w:type="character" w:customStyle="1" w:styleId="65">
    <w:name w:val="脚注文本 字符"/>
    <w:basedOn w:val="43"/>
    <w:link w:val="34"/>
    <w:semiHidden/>
    <w:qFormat/>
    <w:uiPriority w:val="0"/>
    <w:rPr>
      <w:rFonts w:ascii="Calibri" w:hAnsi="Calibri" w:eastAsia="宋体" w:cs="Times New Roman"/>
      <w:sz w:val="18"/>
      <w:szCs w:val="18"/>
    </w:rPr>
  </w:style>
  <w:style w:type="character" w:customStyle="1" w:styleId="66">
    <w:name w:val="批注文字 Char"/>
    <w:basedOn w:val="43"/>
    <w:semiHidden/>
    <w:qFormat/>
    <w:uiPriority w:val="99"/>
    <w:rPr>
      <w:rFonts w:ascii="Calibri" w:hAnsi="Calibri" w:eastAsia="宋体" w:cs="Times New Roman"/>
    </w:rPr>
  </w:style>
  <w:style w:type="character" w:customStyle="1" w:styleId="67">
    <w:name w:val="页眉 字符"/>
    <w:basedOn w:val="43"/>
    <w:link w:val="30"/>
    <w:qFormat/>
    <w:uiPriority w:val="99"/>
    <w:rPr>
      <w:rFonts w:ascii="Calibri" w:hAnsi="Calibri" w:eastAsia="宋体" w:cs="Times New Roman"/>
      <w:kern w:val="0"/>
      <w:sz w:val="18"/>
      <w:szCs w:val="18"/>
    </w:rPr>
  </w:style>
  <w:style w:type="character" w:customStyle="1" w:styleId="68">
    <w:name w:val="页脚 字符"/>
    <w:basedOn w:val="43"/>
    <w:link w:val="29"/>
    <w:qFormat/>
    <w:uiPriority w:val="99"/>
    <w:rPr>
      <w:rFonts w:ascii="Calibri" w:hAnsi="Calibri" w:eastAsia="宋体" w:cs="Times New Roman"/>
      <w:kern w:val="0"/>
      <w:sz w:val="18"/>
      <w:szCs w:val="18"/>
    </w:rPr>
  </w:style>
  <w:style w:type="character" w:customStyle="1" w:styleId="69">
    <w:name w:val="正文文本 Char"/>
    <w:basedOn w:val="43"/>
    <w:qFormat/>
    <w:uiPriority w:val="99"/>
    <w:rPr>
      <w:rFonts w:ascii="Calibri" w:hAnsi="Calibri" w:eastAsia="宋体" w:cs="Times New Roman"/>
    </w:rPr>
  </w:style>
  <w:style w:type="character" w:customStyle="1" w:styleId="70">
    <w:name w:val="正文文本缩进 字符"/>
    <w:basedOn w:val="43"/>
    <w:link w:val="20"/>
    <w:semiHidden/>
    <w:qFormat/>
    <w:uiPriority w:val="0"/>
    <w:rPr>
      <w:rFonts w:ascii="Times New Roman" w:hAnsi="Times New Roman" w:eastAsia="宋体" w:cs="Times New Roman"/>
      <w:kern w:val="0"/>
      <w:sz w:val="20"/>
      <w:szCs w:val="24"/>
    </w:rPr>
  </w:style>
  <w:style w:type="character" w:customStyle="1" w:styleId="71">
    <w:name w:val="副标题 字符"/>
    <w:basedOn w:val="43"/>
    <w:link w:val="33"/>
    <w:qFormat/>
    <w:uiPriority w:val="0"/>
    <w:rPr>
      <w:rFonts w:ascii="Cambria" w:hAnsi="Cambria" w:eastAsia="宋体" w:cs="Times New Roman"/>
      <w:b/>
      <w:bCs/>
      <w:kern w:val="28"/>
      <w:sz w:val="32"/>
      <w:szCs w:val="32"/>
    </w:rPr>
  </w:style>
  <w:style w:type="character" w:customStyle="1" w:styleId="72">
    <w:name w:val="日期 字符"/>
    <w:basedOn w:val="43"/>
    <w:link w:val="26"/>
    <w:qFormat/>
    <w:uiPriority w:val="99"/>
    <w:rPr>
      <w:rFonts w:ascii="Times New Roman" w:hAnsi="Times New Roman" w:eastAsia="宋体" w:cs="Times New Roman"/>
      <w:kern w:val="0"/>
      <w:sz w:val="24"/>
      <w:szCs w:val="24"/>
    </w:rPr>
  </w:style>
  <w:style w:type="character" w:customStyle="1" w:styleId="73">
    <w:name w:val="正文首行缩进 字符"/>
    <w:basedOn w:val="69"/>
    <w:link w:val="15"/>
    <w:semiHidden/>
    <w:qFormat/>
    <w:uiPriority w:val="0"/>
    <w:rPr>
      <w:rFonts w:ascii="Times New Roman" w:hAnsi="Times New Roman" w:eastAsia="宋体" w:cs="Times New Roman"/>
      <w:kern w:val="0"/>
      <w:sz w:val="18"/>
      <w:szCs w:val="18"/>
    </w:rPr>
  </w:style>
  <w:style w:type="character" w:customStyle="1" w:styleId="74">
    <w:name w:val="正文文本 2 字符"/>
    <w:basedOn w:val="43"/>
    <w:link w:val="39"/>
    <w:semiHidden/>
    <w:qFormat/>
    <w:uiPriority w:val="0"/>
    <w:rPr>
      <w:rFonts w:ascii="Times New Roman" w:hAnsi="Times New Roman" w:eastAsia="宋体" w:cs="Times New Roman"/>
      <w:kern w:val="0"/>
      <w:sz w:val="18"/>
      <w:szCs w:val="18"/>
    </w:rPr>
  </w:style>
  <w:style w:type="character" w:customStyle="1" w:styleId="75">
    <w:name w:val="正文文本 3 字符"/>
    <w:basedOn w:val="43"/>
    <w:link w:val="19"/>
    <w:semiHidden/>
    <w:qFormat/>
    <w:uiPriority w:val="0"/>
    <w:rPr>
      <w:rFonts w:ascii="Times New Roman" w:hAnsi="Times New Roman" w:eastAsia="黑体" w:cs="Times New Roman"/>
      <w:sz w:val="44"/>
      <w:szCs w:val="24"/>
    </w:rPr>
  </w:style>
  <w:style w:type="character" w:customStyle="1" w:styleId="76">
    <w:name w:val="正文文本缩进 2 字符"/>
    <w:basedOn w:val="43"/>
    <w:link w:val="27"/>
    <w:semiHidden/>
    <w:qFormat/>
    <w:uiPriority w:val="0"/>
    <w:rPr>
      <w:rFonts w:ascii="Times New Roman" w:hAnsi="Times New Roman" w:eastAsia="宋体" w:cs="Times New Roman"/>
      <w:kern w:val="0"/>
      <w:sz w:val="20"/>
      <w:szCs w:val="20"/>
    </w:rPr>
  </w:style>
  <w:style w:type="character" w:customStyle="1" w:styleId="77">
    <w:name w:val="正文文本缩进 3 字符"/>
    <w:basedOn w:val="43"/>
    <w:link w:val="36"/>
    <w:semiHidden/>
    <w:qFormat/>
    <w:uiPriority w:val="0"/>
    <w:rPr>
      <w:rFonts w:ascii="宋体" w:hAnsi="宋体" w:eastAsia="宋体" w:cs="Times New Roman"/>
      <w:kern w:val="0"/>
      <w:sz w:val="28"/>
      <w:szCs w:val="28"/>
    </w:rPr>
  </w:style>
  <w:style w:type="character" w:customStyle="1" w:styleId="78">
    <w:name w:val="文档结构图 字符"/>
    <w:basedOn w:val="43"/>
    <w:link w:val="18"/>
    <w:qFormat/>
    <w:uiPriority w:val="99"/>
    <w:rPr>
      <w:rFonts w:ascii="Times New Roman" w:hAnsi="Times New Roman" w:eastAsia="宋体" w:cs="Times New Roman"/>
      <w:kern w:val="0"/>
      <w:sz w:val="18"/>
      <w:szCs w:val="18"/>
      <w:shd w:val="clear" w:color="auto" w:fill="000080"/>
    </w:rPr>
  </w:style>
  <w:style w:type="character" w:customStyle="1" w:styleId="79">
    <w:name w:val="纯文本 Char"/>
    <w:basedOn w:val="43"/>
    <w:semiHidden/>
    <w:qFormat/>
    <w:uiPriority w:val="99"/>
    <w:rPr>
      <w:rFonts w:ascii="宋体" w:hAnsi="Courier New" w:eastAsia="宋体" w:cs="Courier New"/>
      <w:szCs w:val="21"/>
    </w:rPr>
  </w:style>
  <w:style w:type="character" w:customStyle="1" w:styleId="80">
    <w:name w:val="批注主题 字符"/>
    <w:basedOn w:val="66"/>
    <w:link w:val="12"/>
    <w:qFormat/>
    <w:uiPriority w:val="99"/>
    <w:rPr>
      <w:rFonts w:ascii="Calibri" w:hAnsi="Calibri" w:eastAsia="宋体" w:cs="Times New Roman"/>
      <w:b/>
      <w:bCs/>
    </w:rPr>
  </w:style>
  <w:style w:type="character" w:customStyle="1" w:styleId="81">
    <w:name w:val="批注框文本 字符"/>
    <w:basedOn w:val="43"/>
    <w:link w:val="28"/>
    <w:qFormat/>
    <w:uiPriority w:val="99"/>
    <w:rPr>
      <w:rFonts w:ascii="Times New Roman" w:hAnsi="Times New Roman" w:eastAsia="宋体" w:cs="Times New Roman"/>
      <w:kern w:val="0"/>
      <w:sz w:val="18"/>
      <w:szCs w:val="18"/>
    </w:rPr>
  </w:style>
  <w:style w:type="paragraph" w:customStyle="1" w:styleId="8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Revision"/>
    <w:semiHidden/>
    <w:qFormat/>
    <w:uiPriority w:val="99"/>
    <w:rPr>
      <w:rFonts w:ascii="Calibri" w:hAnsi="Calibri" w:eastAsia="宋体" w:cs="Times New Roman"/>
      <w:kern w:val="2"/>
      <w:sz w:val="21"/>
      <w:szCs w:val="22"/>
      <w:lang w:val="en-US" w:eastAsia="zh-CN" w:bidi="ar-SA"/>
    </w:rPr>
  </w:style>
  <w:style w:type="character" w:customStyle="1" w:styleId="84">
    <w:name w:val="列出段落 字符"/>
    <w:link w:val="85"/>
    <w:qFormat/>
    <w:locked/>
    <w:uiPriority w:val="0"/>
    <w:rPr>
      <w:rFonts w:ascii="Calibri" w:hAnsi="Calibri" w:cs="Calibri"/>
    </w:rPr>
  </w:style>
  <w:style w:type="paragraph" w:customStyle="1" w:styleId="85">
    <w:name w:val="List Paragraph"/>
    <w:basedOn w:val="1"/>
    <w:link w:val="84"/>
    <w:qFormat/>
    <w:uiPriority w:val="0"/>
    <w:pPr>
      <w:ind w:firstLine="420" w:firstLineChars="200"/>
    </w:pPr>
    <w:rPr>
      <w:rFonts w:cs="Calibri" w:eastAsiaTheme="minorEastAsia"/>
    </w:rPr>
  </w:style>
  <w:style w:type="paragraph" w:customStyle="1" w:styleId="86">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7">
    <w:name w:val="MM Title"/>
    <w:basedOn w:val="1"/>
    <w:qFormat/>
    <w:uiPriority w:val="0"/>
    <w:pPr>
      <w:spacing w:before="240" w:after="60"/>
      <w:jc w:val="center"/>
      <w:outlineLvl w:val="0"/>
    </w:pPr>
    <w:rPr>
      <w:rFonts w:ascii="Arial" w:hAnsi="Arial" w:cs="Arial"/>
      <w:b/>
      <w:bCs/>
      <w:sz w:val="32"/>
      <w:szCs w:val="32"/>
    </w:rPr>
  </w:style>
  <w:style w:type="paragraph" w:customStyle="1" w:styleId="88">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9">
    <w:name w:val="gb_master正文"/>
    <w:basedOn w:val="1"/>
    <w:qFormat/>
    <w:uiPriority w:val="0"/>
    <w:pPr>
      <w:ind w:firstLine="200" w:firstLineChars="200"/>
    </w:pPr>
    <w:rPr>
      <w:rFonts w:ascii="Times New Roman" w:hAnsi="Times New Roman"/>
      <w:szCs w:val="24"/>
    </w:rPr>
  </w:style>
  <w:style w:type="paragraph" w:customStyle="1" w:styleId="90">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1">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92">
    <w:name w:val="Char2 Char Char Char"/>
    <w:basedOn w:val="1"/>
    <w:qFormat/>
    <w:uiPriority w:val="0"/>
    <w:rPr>
      <w:rFonts w:ascii="仿宋_GB2312" w:hAnsi="Times New Roman"/>
      <w:b/>
      <w:sz w:val="30"/>
      <w:szCs w:val="32"/>
    </w:rPr>
  </w:style>
  <w:style w:type="paragraph" w:customStyle="1" w:styleId="93">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9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5">
    <w:name w:val="默认段落字体 Para Char"/>
    <w:basedOn w:val="1"/>
    <w:qFormat/>
    <w:uiPriority w:val="0"/>
    <w:rPr>
      <w:rFonts w:ascii="Tahoma" w:hAnsi="Tahoma"/>
      <w:sz w:val="24"/>
      <w:szCs w:val="20"/>
    </w:rPr>
  </w:style>
  <w:style w:type="paragraph" w:customStyle="1" w:styleId="96">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7">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8">
    <w:name w:val="样式 正文缩进 + (中文) 仿宋_GB2312 小四 Char"/>
    <w:basedOn w:val="16"/>
    <w:qFormat/>
    <w:uiPriority w:val="0"/>
    <w:pPr>
      <w:spacing w:after="0" w:line="360" w:lineRule="auto"/>
      <w:ind w:firstLine="480" w:firstLineChars="200"/>
    </w:pPr>
    <w:rPr>
      <w:rFonts w:ascii="宋体" w:hAnsi="宋体"/>
      <w:sz w:val="24"/>
      <w:szCs w:val="24"/>
    </w:rPr>
  </w:style>
  <w:style w:type="paragraph" w:customStyle="1" w:styleId="99">
    <w:name w:val="表格文字"/>
    <w:basedOn w:val="1"/>
    <w:qFormat/>
    <w:uiPriority w:val="0"/>
    <w:pPr>
      <w:spacing w:beforeLines="25"/>
    </w:pPr>
    <w:rPr>
      <w:rFonts w:ascii="Times New (W1)" w:hAnsi="Times New (W1)"/>
      <w:spacing w:val="10"/>
      <w:szCs w:val="24"/>
    </w:rPr>
  </w:style>
  <w:style w:type="paragraph" w:customStyle="1" w:styleId="100">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101">
    <w:name w:val="默认段落字体 Para Char Char"/>
    <w:basedOn w:val="1"/>
    <w:qFormat/>
    <w:uiPriority w:val="0"/>
    <w:rPr>
      <w:rFonts w:ascii="Times New Roman" w:hAnsi="Times New Roman"/>
      <w:szCs w:val="24"/>
    </w:rPr>
  </w:style>
  <w:style w:type="paragraph" w:customStyle="1" w:styleId="102">
    <w:name w:val="MM Topic 6"/>
    <w:basedOn w:val="8"/>
    <w:qFormat/>
    <w:uiPriority w:val="0"/>
    <w:pPr>
      <w:tabs>
        <w:tab w:val="left" w:pos="3260"/>
        <w:tab w:val="clear" w:pos="1702"/>
      </w:tabs>
    </w:pPr>
    <w:rPr>
      <w:rFonts w:eastAsia="黑体"/>
    </w:rPr>
  </w:style>
  <w:style w:type="paragraph" w:customStyle="1" w:styleId="103">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4">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5">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6">
    <w:name w:val="标题 5 + 首行缩进:  2 字符"/>
    <w:basedOn w:val="7"/>
    <w:next w:val="20"/>
    <w:qFormat/>
    <w:uiPriority w:val="0"/>
    <w:pPr>
      <w:tabs>
        <w:tab w:val="left" w:pos="992"/>
        <w:tab w:val="clear" w:pos="1134"/>
      </w:tabs>
      <w:snapToGrid w:val="0"/>
      <w:spacing w:before="0" w:beforeLines="50" w:after="0" w:afterLines="50"/>
      <w:ind w:left="3570" w:firstLine="482" w:firstLineChars="200"/>
    </w:pPr>
    <w:rPr>
      <w:color w:val="000000"/>
      <w:szCs w:val="20"/>
    </w:rPr>
  </w:style>
  <w:style w:type="paragraph" w:customStyle="1" w:styleId="107">
    <w:name w:val="Char2 Char Char Char Char Char Char"/>
    <w:basedOn w:val="1"/>
    <w:qFormat/>
    <w:uiPriority w:val="0"/>
    <w:rPr>
      <w:rFonts w:ascii="仿宋_GB2312" w:hAnsi="Times New Roman"/>
      <w:b/>
      <w:sz w:val="30"/>
      <w:szCs w:val="32"/>
    </w:rPr>
  </w:style>
  <w:style w:type="paragraph" w:customStyle="1" w:styleId="108">
    <w:name w:val="MM Topic 2"/>
    <w:basedOn w:val="4"/>
    <w:qFormat/>
    <w:uiPriority w:val="0"/>
    <w:pPr>
      <w:numPr>
        <w:ilvl w:val="0"/>
        <w:numId w:val="0"/>
      </w:numPr>
      <w:tabs>
        <w:tab w:val="left" w:pos="992"/>
      </w:tabs>
    </w:pPr>
    <w:rPr>
      <w:rFonts w:cs="Times New Roman"/>
    </w:rPr>
  </w:style>
  <w:style w:type="paragraph" w:customStyle="1" w:styleId="109">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10">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11">
    <w:name w:val="MM Topic 8"/>
    <w:basedOn w:val="10"/>
    <w:qFormat/>
    <w:uiPriority w:val="0"/>
    <w:pPr>
      <w:tabs>
        <w:tab w:val="left" w:pos="4394"/>
      </w:tabs>
    </w:pPr>
  </w:style>
  <w:style w:type="paragraph" w:customStyle="1" w:styleId="112">
    <w:name w:val="Char1 Char Char Char Char Char Char"/>
    <w:basedOn w:val="1"/>
    <w:qFormat/>
    <w:uiPriority w:val="0"/>
    <w:rPr>
      <w:rFonts w:ascii="Tahoma" w:hAnsi="Tahoma"/>
      <w:sz w:val="24"/>
      <w:szCs w:val="20"/>
    </w:rPr>
  </w:style>
  <w:style w:type="paragraph" w:customStyle="1" w:styleId="113">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4">
    <w:name w:val="样式 小四2"/>
    <w:basedOn w:val="1"/>
    <w:qFormat/>
    <w:uiPriority w:val="0"/>
    <w:rPr>
      <w:rFonts w:ascii="宋体" w:hAnsi="宋体"/>
      <w:sz w:val="24"/>
      <w:szCs w:val="24"/>
    </w:rPr>
  </w:style>
  <w:style w:type="paragraph" w:customStyle="1" w:styleId="115">
    <w:name w:val="正文1"/>
    <w:qFormat/>
    <w:uiPriority w:val="0"/>
    <w:pPr>
      <w:widowControl w:val="0"/>
      <w:adjustRightInd w:val="0"/>
      <w:spacing w:line="312" w:lineRule="atLeast"/>
      <w:jc w:val="both"/>
    </w:pPr>
    <w:rPr>
      <w:rFonts w:ascii="宋体" w:hAnsi="Times New Roman" w:eastAsia="宋体" w:cs="Times New Roman"/>
      <w:kern w:val="0"/>
      <w:sz w:val="34"/>
      <w:szCs w:val="20"/>
      <w:lang w:val="en-US" w:eastAsia="zh-CN" w:bidi="ar-SA"/>
    </w:rPr>
  </w:style>
  <w:style w:type="paragraph" w:customStyle="1" w:styleId="116">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7">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8">
    <w:name w:val="文章正文"/>
    <w:basedOn w:val="1"/>
    <w:qFormat/>
    <w:uiPriority w:val="0"/>
    <w:pPr>
      <w:spacing w:line="360" w:lineRule="auto"/>
      <w:ind w:firstLine="420"/>
    </w:pPr>
    <w:rPr>
      <w:rFonts w:ascii="Times New Roman" w:hAnsi="Times New Roman"/>
      <w:sz w:val="24"/>
      <w:szCs w:val="24"/>
    </w:rPr>
  </w:style>
  <w:style w:type="paragraph" w:customStyle="1" w:styleId="119">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20">
    <w:name w:val="文章正文 Char Char1"/>
    <w:basedOn w:val="1"/>
    <w:qFormat/>
    <w:uiPriority w:val="0"/>
    <w:pPr>
      <w:spacing w:line="360" w:lineRule="auto"/>
      <w:ind w:firstLine="420"/>
    </w:pPr>
    <w:rPr>
      <w:rFonts w:ascii="Times New Roman" w:hAnsi="Times New Roman"/>
      <w:sz w:val="24"/>
      <w:szCs w:val="24"/>
    </w:rPr>
  </w:style>
  <w:style w:type="paragraph" w:customStyle="1" w:styleId="121">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22">
    <w:name w:val="样式"/>
    <w:link w:val="229"/>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23">
    <w:name w:val="图"/>
    <w:basedOn w:val="1"/>
    <w:qFormat/>
    <w:uiPriority w:val="0"/>
    <w:pPr>
      <w:widowControl/>
      <w:adjustRightInd w:val="0"/>
      <w:snapToGrid w:val="0"/>
      <w:jc w:val="center"/>
    </w:pPr>
    <w:rPr>
      <w:rFonts w:ascii="宋体" w:hAnsi="宋体"/>
      <w:bCs/>
      <w:szCs w:val="24"/>
    </w:rPr>
  </w:style>
  <w:style w:type="paragraph" w:customStyle="1" w:styleId="124">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5">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6">
    <w:name w:val="MM Topic 1"/>
    <w:basedOn w:val="3"/>
    <w:qFormat/>
    <w:uiPriority w:val="0"/>
    <w:pPr>
      <w:tabs>
        <w:tab w:val="left" w:pos="425"/>
      </w:tabs>
    </w:pPr>
    <w:rPr>
      <w:rFonts w:cs="Times New Roman"/>
      <w:sz w:val="44"/>
    </w:rPr>
  </w:style>
  <w:style w:type="paragraph" w:customStyle="1" w:styleId="127">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128">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character" w:customStyle="1" w:styleId="129">
    <w:name w:val="彩色列表 - 强调文字颜色 1 Char"/>
    <w:link w:val="130"/>
    <w:qFormat/>
    <w:locked/>
    <w:uiPriority w:val="0"/>
    <w:rPr>
      <w:rFonts w:ascii="Calibri" w:hAnsi="Calibri" w:cs="Calibri"/>
    </w:rPr>
  </w:style>
  <w:style w:type="paragraph" w:customStyle="1" w:styleId="130">
    <w:name w:val="彩色列表 - 强调文字颜色 11"/>
    <w:basedOn w:val="1"/>
    <w:link w:val="129"/>
    <w:qFormat/>
    <w:uiPriority w:val="0"/>
    <w:pPr>
      <w:ind w:firstLine="420" w:firstLineChars="200"/>
    </w:pPr>
    <w:rPr>
      <w:rFonts w:cs="Calibri" w:eastAsiaTheme="minorEastAsia"/>
    </w:rPr>
  </w:style>
  <w:style w:type="paragraph" w:customStyle="1" w:styleId="131">
    <w:name w:val="我的正文"/>
    <w:basedOn w:val="1"/>
    <w:qFormat/>
    <w:uiPriority w:val="0"/>
    <w:pPr>
      <w:spacing w:line="360" w:lineRule="auto"/>
      <w:ind w:firstLine="420" w:firstLineChars="200"/>
    </w:pPr>
    <w:rPr>
      <w:rFonts w:ascii="宋体" w:hAnsi="宋体"/>
      <w:szCs w:val="24"/>
    </w:rPr>
  </w:style>
  <w:style w:type="paragraph" w:customStyle="1" w:styleId="132">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33">
    <w:name w:val="标书（正文）"/>
    <w:basedOn w:val="1"/>
    <w:qFormat/>
    <w:uiPriority w:val="0"/>
    <w:pPr>
      <w:spacing w:line="360" w:lineRule="auto"/>
      <w:ind w:firstLine="560" w:firstLineChars="200"/>
    </w:pPr>
    <w:rPr>
      <w:rFonts w:ascii="宋体" w:hAnsi="宋体"/>
      <w:kern w:val="10"/>
      <w:sz w:val="28"/>
      <w:szCs w:val="28"/>
    </w:rPr>
  </w:style>
  <w:style w:type="paragraph" w:customStyle="1" w:styleId="134">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35">
    <w:name w:val="论文正文"/>
    <w:basedOn w:val="1"/>
    <w:qFormat/>
    <w:uiPriority w:val="0"/>
    <w:pPr>
      <w:spacing w:line="360" w:lineRule="auto"/>
      <w:ind w:firstLine="700" w:firstLineChars="250"/>
    </w:pPr>
    <w:rPr>
      <w:rFonts w:ascii="宋体" w:hAnsi="宋体"/>
      <w:bCs/>
      <w:sz w:val="28"/>
      <w:szCs w:val="28"/>
    </w:rPr>
  </w:style>
  <w:style w:type="paragraph" w:customStyle="1" w:styleId="136">
    <w:name w:val="样式1"/>
    <w:basedOn w:val="1"/>
    <w:qFormat/>
    <w:uiPriority w:val="0"/>
    <w:rPr>
      <w:rFonts w:ascii="Times New Roman" w:hAnsi="Times New Roman" w:eastAsia="隶书"/>
      <w:i/>
      <w:dstrike/>
      <w:sz w:val="28"/>
      <w:szCs w:val="18"/>
    </w:rPr>
  </w:style>
  <w:style w:type="paragraph" w:customStyle="1" w:styleId="137">
    <w:name w:val="表格"/>
    <w:basedOn w:val="1"/>
    <w:qFormat/>
    <w:uiPriority w:val="0"/>
    <w:pPr>
      <w:spacing w:line="400" w:lineRule="exact"/>
    </w:pPr>
    <w:rPr>
      <w:rFonts w:ascii="Times New Roman" w:hAnsi="Times New Roman"/>
      <w:sz w:val="24"/>
      <w:szCs w:val="24"/>
    </w:rPr>
  </w:style>
  <w:style w:type="paragraph" w:customStyle="1" w:styleId="138">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9">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40">
    <w:name w:val="Char Char Char Char Char Char Char Char Char Char Char Char Char"/>
    <w:basedOn w:val="18"/>
    <w:qFormat/>
    <w:uiPriority w:val="0"/>
    <w:rPr>
      <w:rFonts w:ascii="Tahoma" w:hAnsi="Tahoma"/>
      <w:sz w:val="24"/>
      <w:szCs w:val="24"/>
    </w:rPr>
  </w:style>
  <w:style w:type="paragraph" w:customStyle="1" w:styleId="141">
    <w:name w:val="MM Topic 3"/>
    <w:basedOn w:val="5"/>
    <w:qFormat/>
    <w:uiPriority w:val="0"/>
    <w:pPr>
      <w:numPr>
        <w:ilvl w:val="0"/>
        <w:numId w:val="0"/>
      </w:numPr>
      <w:tabs>
        <w:tab w:val="left" w:pos="1418"/>
      </w:tabs>
    </w:pPr>
    <w:rPr>
      <w:rFonts w:cs="Times New Roman"/>
    </w:rPr>
  </w:style>
  <w:style w:type="paragraph" w:customStyle="1" w:styleId="142">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43">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44">
    <w:name w:val="Char Char Char Char"/>
    <w:basedOn w:val="1"/>
    <w:qFormat/>
    <w:uiPriority w:val="0"/>
    <w:rPr>
      <w:rFonts w:ascii="Tahoma" w:hAnsi="Tahoma"/>
      <w:sz w:val="24"/>
      <w:szCs w:val="20"/>
    </w:rPr>
  </w:style>
  <w:style w:type="paragraph" w:customStyle="1" w:styleId="145">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46">
    <w:name w:val="MM Topic 9"/>
    <w:basedOn w:val="11"/>
    <w:qFormat/>
    <w:uiPriority w:val="0"/>
    <w:pPr>
      <w:tabs>
        <w:tab w:val="left" w:pos="5102"/>
      </w:tabs>
    </w:pPr>
  </w:style>
  <w:style w:type="paragraph" w:customStyle="1" w:styleId="147">
    <w:name w:val="MM Topic 5"/>
    <w:basedOn w:val="7"/>
    <w:qFormat/>
    <w:uiPriority w:val="0"/>
    <w:pPr>
      <w:tabs>
        <w:tab w:val="left" w:pos="2551"/>
        <w:tab w:val="clear" w:pos="1134"/>
        <w:tab w:val="clear" w:pos="1560"/>
      </w:tabs>
      <w:ind w:left="0" w:firstLine="0"/>
    </w:pPr>
  </w:style>
  <w:style w:type="paragraph" w:customStyle="1" w:styleId="148">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9">
    <w:name w:val="MM Topic 4"/>
    <w:basedOn w:val="6"/>
    <w:qFormat/>
    <w:uiPriority w:val="0"/>
    <w:pPr>
      <w:tabs>
        <w:tab w:val="left" w:pos="1984"/>
      </w:tabs>
      <w:ind w:left="0" w:firstLine="0"/>
    </w:pPr>
  </w:style>
  <w:style w:type="paragraph" w:customStyle="1" w:styleId="150">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51">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52">
    <w:name w:val="样式 标题 2H2第一章 标题 2Heading 2 HiddenHeading 2 CCBSheading 2h2..."/>
    <w:basedOn w:val="4"/>
    <w:qFormat/>
    <w:uiPriority w:val="0"/>
    <w:pPr>
      <w:tabs>
        <w:tab w:val="left" w:pos="-2493"/>
      </w:tabs>
    </w:pPr>
    <w:rPr>
      <w:rFonts w:cs="Times New Roman"/>
      <w:szCs w:val="20"/>
    </w:rPr>
  </w:style>
  <w:style w:type="paragraph" w:customStyle="1" w:styleId="153">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54">
    <w:name w:val="列出段落2"/>
    <w:basedOn w:val="1"/>
    <w:qFormat/>
    <w:uiPriority w:val="0"/>
    <w:pPr>
      <w:ind w:firstLine="420" w:firstLineChars="200"/>
    </w:pPr>
  </w:style>
  <w:style w:type="paragraph" w:customStyle="1" w:styleId="155">
    <w:name w:val="列出段落4"/>
    <w:basedOn w:val="1"/>
    <w:qFormat/>
    <w:uiPriority w:val="0"/>
    <w:pPr>
      <w:ind w:firstLine="420" w:firstLineChars="200"/>
    </w:pPr>
    <w:rPr>
      <w:rFonts w:ascii="Times New Roman" w:hAnsi="Times New Roman"/>
      <w:szCs w:val="24"/>
    </w:rPr>
  </w:style>
  <w:style w:type="paragraph" w:customStyle="1" w:styleId="156">
    <w:name w:val="列出段落1"/>
    <w:basedOn w:val="1"/>
    <w:qFormat/>
    <w:uiPriority w:val="0"/>
    <w:pPr>
      <w:ind w:firstLine="420" w:firstLineChars="200"/>
    </w:pPr>
  </w:style>
  <w:style w:type="paragraph" w:customStyle="1" w:styleId="157">
    <w:name w:val="彩色列表 - 强调文字颜色 12"/>
    <w:basedOn w:val="1"/>
    <w:qFormat/>
    <w:uiPriority w:val="0"/>
    <w:pPr>
      <w:ind w:firstLine="420" w:firstLineChars="200"/>
    </w:pPr>
  </w:style>
  <w:style w:type="character" w:customStyle="1" w:styleId="158">
    <w:name w:val="Char Char8"/>
    <w:qFormat/>
    <w:uiPriority w:val="0"/>
    <w:rPr>
      <w:rFonts w:hint="eastAsia" w:ascii="宋体" w:hAnsi="宋体" w:eastAsia="宋体"/>
      <w:kern w:val="2"/>
      <w:sz w:val="28"/>
      <w:szCs w:val="28"/>
    </w:rPr>
  </w:style>
  <w:style w:type="character" w:customStyle="1" w:styleId="159">
    <w:name w:val="Char Char5"/>
    <w:qFormat/>
    <w:uiPriority w:val="0"/>
    <w:rPr>
      <w:kern w:val="2"/>
      <w:sz w:val="21"/>
      <w:szCs w:val="24"/>
    </w:rPr>
  </w:style>
  <w:style w:type="character" w:customStyle="1" w:styleId="160">
    <w:name w:val="列出段落 Char Char"/>
    <w:qFormat/>
    <w:uiPriority w:val="0"/>
    <w:rPr>
      <w:rFonts w:hint="default" w:ascii="Calibri" w:hAnsi="Calibri" w:cs="Calibri"/>
      <w:kern w:val="2"/>
      <w:sz w:val="21"/>
      <w:szCs w:val="22"/>
    </w:rPr>
  </w:style>
  <w:style w:type="character" w:customStyle="1" w:styleId="161">
    <w:name w:val="正文文本 Char Char"/>
    <w:qFormat/>
    <w:uiPriority w:val="0"/>
    <w:rPr>
      <w:kern w:val="2"/>
      <w:sz w:val="21"/>
      <w:szCs w:val="24"/>
    </w:rPr>
  </w:style>
  <w:style w:type="character" w:customStyle="1" w:styleId="162">
    <w:name w:val="Char Char11"/>
    <w:qFormat/>
    <w:uiPriority w:val="0"/>
    <w:rPr>
      <w:rFonts w:hint="default" w:ascii="Arial Narrow" w:hAnsi="Arial Narrow"/>
      <w:b/>
      <w:bCs/>
      <w:iCs/>
      <w:szCs w:val="24"/>
      <w:lang w:eastAsia="en-US"/>
    </w:rPr>
  </w:style>
  <w:style w:type="character" w:customStyle="1" w:styleId="163">
    <w:name w:val="标书（正文） Char Char"/>
    <w:qFormat/>
    <w:uiPriority w:val="0"/>
    <w:rPr>
      <w:rFonts w:hint="eastAsia" w:ascii="宋体" w:hAnsi="宋体" w:eastAsia="宋体"/>
      <w:b/>
      <w:kern w:val="10"/>
      <w:sz w:val="21"/>
      <w:szCs w:val="21"/>
      <w:lang w:val="en-US" w:eastAsia="zh-CN" w:bidi="ar-SA"/>
    </w:rPr>
  </w:style>
  <w:style w:type="character" w:customStyle="1" w:styleId="164">
    <w:name w:val="line2"/>
    <w:basedOn w:val="43"/>
    <w:qFormat/>
    <w:uiPriority w:val="0"/>
  </w:style>
  <w:style w:type="character" w:customStyle="1" w:styleId="165">
    <w:name w:val="Char Char10"/>
    <w:qFormat/>
    <w:uiPriority w:val="0"/>
    <w:rPr>
      <w:kern w:val="2"/>
      <w:sz w:val="24"/>
      <w:szCs w:val="24"/>
    </w:rPr>
  </w:style>
  <w:style w:type="character" w:customStyle="1" w:styleId="166">
    <w:name w:val="MM Topic 4 Char Char"/>
    <w:qFormat/>
    <w:uiPriority w:val="0"/>
    <w:rPr>
      <w:rFonts w:hint="default" w:ascii="Arial" w:hAnsi="Arial" w:cs="Arial"/>
      <w:b/>
      <w:bCs/>
      <w:kern w:val="2"/>
      <w:sz w:val="28"/>
      <w:szCs w:val="28"/>
    </w:rPr>
  </w:style>
  <w:style w:type="character" w:customStyle="1" w:styleId="167">
    <w:name w:val="标书正文:  0.74 厘米 Char Char"/>
    <w:qFormat/>
    <w:uiPriority w:val="0"/>
    <w:rPr>
      <w:kern w:val="2"/>
      <w:sz w:val="24"/>
    </w:rPr>
  </w:style>
  <w:style w:type="character" w:customStyle="1" w:styleId="168">
    <w:name w:val="访问过的超链接1"/>
    <w:qFormat/>
    <w:uiPriority w:val="99"/>
    <w:rPr>
      <w:color w:val="800080"/>
      <w:u w:val="single"/>
    </w:rPr>
  </w:style>
  <w:style w:type="character" w:customStyle="1" w:styleId="169">
    <w:name w:val="标题 3 Char Char Char"/>
    <w:qFormat/>
    <w:uiPriority w:val="0"/>
    <w:rPr>
      <w:rFonts w:hint="eastAsia" w:ascii="宋体" w:hAnsi="宋体" w:eastAsia="宋体"/>
      <w:b/>
      <w:kern w:val="2"/>
      <w:sz w:val="32"/>
      <w:lang w:val="en-US" w:eastAsia="zh-CN" w:bidi="ar-SA"/>
    </w:rPr>
  </w:style>
  <w:style w:type="character" w:customStyle="1" w:styleId="170">
    <w:name w:val="（符号）邀请函中一、"/>
    <w:qFormat/>
    <w:uiPriority w:val="0"/>
    <w:rPr>
      <w:rFonts w:hint="eastAsia" w:ascii="黑体" w:hAnsi="黑体" w:eastAsia="黑体"/>
      <w:b/>
      <w:bCs/>
      <w:sz w:val="24"/>
    </w:rPr>
  </w:style>
  <w:style w:type="character" w:customStyle="1" w:styleId="171">
    <w:name w:val="tt Char"/>
    <w:qFormat/>
    <w:uiPriority w:val="0"/>
    <w:rPr>
      <w:rFonts w:hint="default" w:ascii="Arial" w:hAnsi="Arial" w:eastAsia="黑体" w:cs="Arial"/>
      <w:kern w:val="2"/>
      <w:sz w:val="21"/>
      <w:szCs w:val="21"/>
    </w:rPr>
  </w:style>
  <w:style w:type="character" w:customStyle="1" w:styleId="172">
    <w:name w:val="Char Char9"/>
    <w:qFormat/>
    <w:uiPriority w:val="0"/>
    <w:rPr>
      <w:kern w:val="2"/>
      <w:sz w:val="18"/>
      <w:szCs w:val="18"/>
    </w:rPr>
  </w:style>
  <w:style w:type="character" w:customStyle="1" w:styleId="173">
    <w:name w:val="MM Topic 3 Char Char"/>
    <w:qFormat/>
    <w:uiPriority w:val="0"/>
    <w:rPr>
      <w:rFonts w:hint="eastAsia" w:ascii="宋体" w:hAnsi="宋体" w:eastAsia="宋体"/>
      <w:b/>
      <w:bCs/>
      <w:color w:val="000000"/>
      <w:kern w:val="2"/>
      <w:sz w:val="28"/>
      <w:szCs w:val="28"/>
    </w:rPr>
  </w:style>
  <w:style w:type="character" w:customStyle="1" w:styleId="174">
    <w:name w:val="样式 小四2 Char Char"/>
    <w:qFormat/>
    <w:uiPriority w:val="0"/>
    <w:rPr>
      <w:rFonts w:hint="eastAsia" w:ascii="宋体" w:hAnsi="宋体" w:eastAsia="宋体"/>
      <w:kern w:val="2"/>
      <w:sz w:val="24"/>
      <w:szCs w:val="24"/>
    </w:rPr>
  </w:style>
  <w:style w:type="character" w:customStyle="1" w:styleId="175">
    <w:name w:val="Char Char7"/>
    <w:qFormat/>
    <w:uiPriority w:val="0"/>
    <w:rPr>
      <w:kern w:val="2"/>
      <w:sz w:val="18"/>
      <w:szCs w:val="18"/>
    </w:rPr>
  </w:style>
  <w:style w:type="character" w:customStyle="1" w:styleId="176">
    <w:name w:val="Char Char3"/>
    <w:qFormat/>
    <w:uiPriority w:val="0"/>
    <w:rPr>
      <w:b/>
      <w:bCs/>
      <w:kern w:val="2"/>
      <w:sz w:val="18"/>
      <w:szCs w:val="18"/>
    </w:rPr>
  </w:style>
  <w:style w:type="character" w:customStyle="1" w:styleId="177">
    <w:name w:val="apple-style-span"/>
    <w:basedOn w:val="43"/>
    <w:qFormat/>
    <w:uiPriority w:val="0"/>
  </w:style>
  <w:style w:type="character" w:customStyle="1" w:styleId="178">
    <w:name w:val="Char Char4"/>
    <w:qFormat/>
    <w:uiPriority w:val="0"/>
    <w:rPr>
      <w:kern w:val="2"/>
      <w:sz w:val="18"/>
      <w:szCs w:val="18"/>
    </w:rPr>
  </w:style>
  <w:style w:type="character" w:customStyle="1" w:styleId="179">
    <w:name w:val="副标题 Char1"/>
    <w:qFormat/>
    <w:uiPriority w:val="11"/>
    <w:rPr>
      <w:rFonts w:hint="default" w:ascii="Cambria" w:hAnsi="Cambria" w:cs="Times New Roman"/>
      <w:b/>
      <w:bCs/>
      <w:kern w:val="28"/>
      <w:sz w:val="32"/>
      <w:szCs w:val="32"/>
    </w:rPr>
  </w:style>
  <w:style w:type="character" w:customStyle="1" w:styleId="180">
    <w:name w:val="small"/>
    <w:basedOn w:val="43"/>
    <w:qFormat/>
    <w:uiPriority w:val="0"/>
  </w:style>
  <w:style w:type="character" w:customStyle="1" w:styleId="181">
    <w:name w:val="Legal Level 1.1.1. Char"/>
    <w:qFormat/>
    <w:uiPriority w:val="0"/>
    <w:rPr>
      <w:rFonts w:hint="default" w:ascii="Arial" w:hAnsi="Arial" w:eastAsia="黑体" w:cs="Arial"/>
      <w:kern w:val="2"/>
      <w:sz w:val="24"/>
      <w:szCs w:val="24"/>
    </w:rPr>
  </w:style>
  <w:style w:type="character" w:customStyle="1" w:styleId="182">
    <w:name w:val="文章正文 Char Char"/>
    <w:qFormat/>
    <w:uiPriority w:val="0"/>
    <w:rPr>
      <w:rFonts w:hint="eastAsia" w:ascii="宋体" w:hAnsi="宋体" w:eastAsia="宋体"/>
      <w:kern w:val="2"/>
      <w:sz w:val="24"/>
      <w:szCs w:val="24"/>
      <w:lang w:val="en-US" w:eastAsia="zh-CN" w:bidi="ar-SA"/>
    </w:rPr>
  </w:style>
  <w:style w:type="character" w:customStyle="1" w:styleId="183">
    <w:name w:val="正文文本 Char1"/>
    <w:qFormat/>
    <w:uiPriority w:val="0"/>
    <w:rPr>
      <w:rFonts w:hint="default" w:ascii="Times New Roman" w:hAnsi="Times New Roman" w:eastAsia="宋体" w:cs="Times New Roman"/>
      <w:kern w:val="0"/>
      <w:sz w:val="18"/>
      <w:szCs w:val="18"/>
    </w:rPr>
  </w:style>
  <w:style w:type="character" w:customStyle="1" w:styleId="184">
    <w:name w:val="正文文本 字符"/>
    <w:basedOn w:val="43"/>
    <w:link w:val="2"/>
    <w:qFormat/>
    <w:locked/>
    <w:uiPriority w:val="0"/>
    <w:rPr>
      <w:rFonts w:ascii="Times New Roman" w:hAnsi="Times New Roman" w:eastAsia="宋体" w:cs="Times New Roman"/>
      <w:kern w:val="0"/>
      <w:sz w:val="20"/>
      <w:szCs w:val="20"/>
    </w:rPr>
  </w:style>
  <w:style w:type="character" w:customStyle="1" w:styleId="185">
    <w:name w:val="CD正文 Char Char"/>
    <w:qFormat/>
    <w:uiPriority w:val="0"/>
    <w:rPr>
      <w:rFonts w:hint="eastAsia" w:ascii="宋体" w:hAnsi="宋体" w:eastAsia="宋体"/>
      <w:kern w:val="2"/>
      <w:sz w:val="30"/>
      <w:szCs w:val="28"/>
      <w:lang w:val="en-US" w:eastAsia="zh-CN" w:bidi="ar-SA"/>
    </w:rPr>
  </w:style>
  <w:style w:type="character" w:customStyle="1" w:styleId="186">
    <w:name w:val="Char Char2"/>
    <w:qFormat/>
    <w:uiPriority w:val="0"/>
    <w:rPr>
      <w:kern w:val="2"/>
      <w:sz w:val="18"/>
      <w:szCs w:val="18"/>
    </w:rPr>
  </w:style>
  <w:style w:type="character" w:customStyle="1" w:styleId="187">
    <w:name w:val="表正文 Char1"/>
    <w:qFormat/>
    <w:uiPriority w:val="0"/>
    <w:rPr>
      <w:rFonts w:hint="eastAsia" w:ascii="宋体" w:hAnsi="宋体" w:eastAsia="宋体"/>
      <w:kern w:val="2"/>
      <w:sz w:val="21"/>
      <w:lang w:val="en-US" w:eastAsia="zh-CN" w:bidi="ar-SA"/>
    </w:rPr>
  </w:style>
  <w:style w:type="character" w:customStyle="1" w:styleId="188">
    <w:name w:val="纯文本 字符"/>
    <w:link w:val="24"/>
    <w:qFormat/>
    <w:locked/>
    <w:uiPriority w:val="99"/>
    <w:rPr>
      <w:rFonts w:ascii="宋体" w:hAnsi="Courier New" w:eastAsia="宋体" w:cs="Times New Roman"/>
      <w:kern w:val="0"/>
      <w:sz w:val="20"/>
      <w:szCs w:val="18"/>
    </w:rPr>
  </w:style>
  <w:style w:type="character" w:customStyle="1" w:styleId="189">
    <w:name w:val="Char Char Char"/>
    <w:qFormat/>
    <w:uiPriority w:val="0"/>
    <w:rPr>
      <w:rFonts w:hint="eastAsia" w:ascii="宋体" w:hAnsi="宋体" w:eastAsia="宋体"/>
      <w:kern w:val="2"/>
      <w:sz w:val="18"/>
      <w:szCs w:val="18"/>
      <w:lang w:val="en-US" w:eastAsia="zh-CN" w:bidi="ar-SA"/>
    </w:rPr>
  </w:style>
  <w:style w:type="character" w:customStyle="1" w:styleId="190">
    <w:name w:val="Char Char6"/>
    <w:qFormat/>
    <w:uiPriority w:val="0"/>
    <w:rPr>
      <w:kern w:val="2"/>
      <w:sz w:val="21"/>
      <w:szCs w:val="24"/>
    </w:rPr>
  </w:style>
  <w:style w:type="character" w:customStyle="1" w:styleId="191">
    <w:name w:val="正文文本缩进 2 Char1"/>
    <w:basedOn w:val="43"/>
    <w:semiHidden/>
    <w:qFormat/>
    <w:uiPriority w:val="99"/>
    <w:rPr>
      <w:rFonts w:hint="default" w:ascii="Calibri" w:hAnsi="Calibri" w:cs="Calibri"/>
      <w:kern w:val="2"/>
      <w:sz w:val="21"/>
      <w:szCs w:val="22"/>
    </w:rPr>
  </w:style>
  <w:style w:type="character" w:customStyle="1" w:styleId="192">
    <w:name w:val="正文文本缩进 Char1"/>
    <w:basedOn w:val="43"/>
    <w:semiHidden/>
    <w:qFormat/>
    <w:uiPriority w:val="99"/>
    <w:rPr>
      <w:rFonts w:hint="default" w:ascii="Calibri" w:hAnsi="Calibri" w:cs="Calibri"/>
      <w:kern w:val="2"/>
      <w:sz w:val="21"/>
      <w:szCs w:val="22"/>
    </w:rPr>
  </w:style>
  <w:style w:type="character" w:customStyle="1" w:styleId="193">
    <w:name w:val="页脚 Char1"/>
    <w:basedOn w:val="43"/>
    <w:semiHidden/>
    <w:qFormat/>
    <w:uiPriority w:val="99"/>
    <w:rPr>
      <w:rFonts w:hint="default" w:ascii="Calibri" w:hAnsi="Calibri" w:cs="Calibri"/>
      <w:kern w:val="2"/>
      <w:sz w:val="18"/>
      <w:szCs w:val="18"/>
    </w:rPr>
  </w:style>
  <w:style w:type="character" w:customStyle="1" w:styleId="194">
    <w:name w:val="正文文本 3 Char1"/>
    <w:basedOn w:val="43"/>
    <w:semiHidden/>
    <w:qFormat/>
    <w:uiPriority w:val="99"/>
    <w:rPr>
      <w:rFonts w:hint="default" w:ascii="Calibri" w:hAnsi="Calibri" w:cs="Calibri"/>
      <w:kern w:val="2"/>
      <w:sz w:val="16"/>
      <w:szCs w:val="16"/>
    </w:rPr>
  </w:style>
  <w:style w:type="character" w:customStyle="1" w:styleId="195">
    <w:name w:val="正文文本缩进 3 Char1"/>
    <w:basedOn w:val="43"/>
    <w:semiHidden/>
    <w:qFormat/>
    <w:uiPriority w:val="99"/>
    <w:rPr>
      <w:rFonts w:hint="default" w:ascii="Calibri" w:hAnsi="Calibri" w:cs="Calibri"/>
      <w:kern w:val="2"/>
      <w:sz w:val="16"/>
      <w:szCs w:val="16"/>
    </w:rPr>
  </w:style>
  <w:style w:type="character" w:customStyle="1" w:styleId="196">
    <w:name w:val="批注框文本 Char1"/>
    <w:basedOn w:val="43"/>
    <w:semiHidden/>
    <w:qFormat/>
    <w:uiPriority w:val="99"/>
    <w:rPr>
      <w:rFonts w:hint="default" w:ascii="Calibri" w:hAnsi="Calibri" w:cs="Calibri"/>
      <w:kern w:val="2"/>
      <w:sz w:val="18"/>
      <w:szCs w:val="18"/>
    </w:rPr>
  </w:style>
  <w:style w:type="character" w:customStyle="1" w:styleId="197">
    <w:name w:val="批注文字 字符"/>
    <w:basedOn w:val="43"/>
    <w:link w:val="13"/>
    <w:qFormat/>
    <w:locked/>
    <w:uiPriority w:val="99"/>
    <w:rPr>
      <w:rFonts w:ascii="Calibri" w:hAnsi="Calibri" w:eastAsia="宋体" w:cs="Times New Roman"/>
    </w:rPr>
  </w:style>
  <w:style w:type="character" w:customStyle="1" w:styleId="198">
    <w:name w:val="文档结构图 Char1"/>
    <w:basedOn w:val="43"/>
    <w:semiHidden/>
    <w:qFormat/>
    <w:uiPriority w:val="99"/>
    <w:rPr>
      <w:rFonts w:hint="eastAsia" w:ascii="宋体" w:hAnsi="Calibri" w:eastAsia="宋体"/>
      <w:kern w:val="2"/>
      <w:sz w:val="18"/>
      <w:szCs w:val="18"/>
    </w:rPr>
  </w:style>
  <w:style w:type="character" w:customStyle="1" w:styleId="199">
    <w:name w:val="页眉 Char1"/>
    <w:basedOn w:val="43"/>
    <w:semiHidden/>
    <w:qFormat/>
    <w:uiPriority w:val="99"/>
    <w:rPr>
      <w:rFonts w:hint="default" w:ascii="Calibri" w:hAnsi="Calibri" w:cs="Calibri"/>
      <w:kern w:val="2"/>
      <w:sz w:val="18"/>
      <w:szCs w:val="18"/>
    </w:rPr>
  </w:style>
  <w:style w:type="character" w:customStyle="1" w:styleId="200">
    <w:name w:val="日期 Char1"/>
    <w:basedOn w:val="43"/>
    <w:semiHidden/>
    <w:qFormat/>
    <w:uiPriority w:val="99"/>
    <w:rPr>
      <w:rFonts w:hint="default" w:ascii="Calibri" w:hAnsi="Calibri" w:cs="Calibri"/>
      <w:kern w:val="2"/>
      <w:sz w:val="21"/>
      <w:szCs w:val="22"/>
    </w:rPr>
  </w:style>
  <w:style w:type="character" w:customStyle="1" w:styleId="201">
    <w:name w:val="正文文本 Char3"/>
    <w:basedOn w:val="43"/>
    <w:semiHidden/>
    <w:qFormat/>
    <w:uiPriority w:val="99"/>
    <w:rPr>
      <w:rFonts w:hint="default" w:ascii="Calibri" w:hAnsi="Calibri" w:cs="Calibri"/>
      <w:kern w:val="2"/>
      <w:sz w:val="21"/>
      <w:szCs w:val="22"/>
    </w:rPr>
  </w:style>
  <w:style w:type="character" w:customStyle="1" w:styleId="202">
    <w:name w:val="纯文本 Char2"/>
    <w:basedOn w:val="43"/>
    <w:semiHidden/>
    <w:qFormat/>
    <w:uiPriority w:val="99"/>
    <w:rPr>
      <w:rFonts w:hint="eastAsia" w:ascii="宋体" w:hAnsi="Courier New" w:eastAsia="宋体" w:cs="Courier New"/>
      <w:kern w:val="2"/>
      <w:sz w:val="21"/>
      <w:szCs w:val="21"/>
    </w:rPr>
  </w:style>
  <w:style w:type="character" w:customStyle="1" w:styleId="203">
    <w:name w:val="正文首行缩进 Char1"/>
    <w:basedOn w:val="201"/>
    <w:semiHidden/>
    <w:qFormat/>
    <w:uiPriority w:val="99"/>
    <w:rPr>
      <w:rFonts w:hint="default" w:ascii="Calibri" w:hAnsi="Calibri" w:cs="Calibri"/>
      <w:kern w:val="2"/>
      <w:sz w:val="21"/>
      <w:szCs w:val="22"/>
    </w:rPr>
  </w:style>
  <w:style w:type="character" w:customStyle="1" w:styleId="204">
    <w:name w:val="正文文本 2 Char1"/>
    <w:basedOn w:val="43"/>
    <w:semiHidden/>
    <w:qFormat/>
    <w:uiPriority w:val="99"/>
    <w:rPr>
      <w:rFonts w:hint="default" w:ascii="Calibri" w:hAnsi="Calibri" w:cs="Calibri"/>
      <w:kern w:val="2"/>
      <w:sz w:val="21"/>
      <w:szCs w:val="22"/>
    </w:rPr>
  </w:style>
  <w:style w:type="character" w:customStyle="1" w:styleId="205">
    <w:name w:val="副标题 Char2"/>
    <w:basedOn w:val="43"/>
    <w:qFormat/>
    <w:uiPriority w:val="11"/>
    <w:rPr>
      <w:rFonts w:hint="default" w:asciiTheme="majorHAnsi" w:hAnsiTheme="majorHAnsi" w:cstheme="majorBidi"/>
      <w:b/>
      <w:bCs/>
      <w:kern w:val="28"/>
      <w:sz w:val="32"/>
      <w:szCs w:val="32"/>
    </w:rPr>
  </w:style>
  <w:style w:type="character" w:customStyle="1" w:styleId="206">
    <w:name w:val="正文缩进 Char"/>
    <w:qFormat/>
    <w:uiPriority w:val="0"/>
    <w:rPr>
      <w:kern w:val="2"/>
      <w:sz w:val="21"/>
    </w:rPr>
  </w:style>
  <w:style w:type="paragraph" w:customStyle="1" w:styleId="207">
    <w:name w:val="CD正文"/>
    <w:basedOn w:val="118"/>
    <w:qFormat/>
    <w:uiPriority w:val="0"/>
  </w:style>
  <w:style w:type="paragraph" w:customStyle="1" w:styleId="208">
    <w:name w:val="项目符号：一级"/>
    <w:basedOn w:val="127"/>
    <w:next w:val="127"/>
    <w:qFormat/>
    <w:uiPriority w:val="0"/>
  </w:style>
  <w:style w:type="paragraph" w:customStyle="1" w:styleId="209">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210">
    <w:name w:val="HTML 预设格式 字符"/>
    <w:basedOn w:val="43"/>
    <w:link w:val="40"/>
    <w:qFormat/>
    <w:uiPriority w:val="0"/>
    <w:rPr>
      <w:rFonts w:ascii="Arial" w:hAnsi="Arial" w:eastAsia="宋体" w:cs="Arial"/>
      <w:kern w:val="0"/>
      <w:sz w:val="24"/>
      <w:szCs w:val="28"/>
    </w:rPr>
  </w:style>
  <w:style w:type="paragraph" w:customStyle="1" w:styleId="211">
    <w:name w:val="修订1"/>
    <w:semiHidden/>
    <w:qFormat/>
    <w:uiPriority w:val="99"/>
    <w:pPr>
      <w:spacing w:after="200" w:line="276" w:lineRule="auto"/>
    </w:pPr>
    <w:rPr>
      <w:rFonts w:ascii="Calibri" w:hAnsi="Calibri" w:eastAsia="宋体" w:cs="Times New Roman"/>
      <w:kern w:val="2"/>
      <w:sz w:val="21"/>
      <w:szCs w:val="22"/>
      <w:lang w:val="en-US" w:eastAsia="zh-CN" w:bidi="ar-SA"/>
    </w:rPr>
  </w:style>
  <w:style w:type="paragraph" w:customStyle="1" w:styleId="212">
    <w:name w:val="1 Char2"/>
    <w:basedOn w:val="1"/>
    <w:semiHidden/>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213">
    <w:name w:val="Normal_59"/>
    <w:qFormat/>
    <w:uiPriority w:val="0"/>
    <w:pPr>
      <w:spacing w:before="120" w:after="240" w:line="276" w:lineRule="auto"/>
      <w:jc w:val="both"/>
    </w:pPr>
    <w:rPr>
      <w:rFonts w:ascii="Times New Roman" w:hAnsi="Times New Roman" w:eastAsia="Calibri" w:cs="Times New Roman"/>
      <w:kern w:val="0"/>
      <w:sz w:val="22"/>
      <w:szCs w:val="22"/>
      <w:lang w:val="ru-RU" w:eastAsia="en-US" w:bidi="ar-SA"/>
    </w:rPr>
  </w:style>
  <w:style w:type="paragraph" w:customStyle="1" w:styleId="214">
    <w:name w:val="Char1 Char Char Char Char Char Char_0"/>
    <w:basedOn w:val="1"/>
    <w:qFormat/>
    <w:uiPriority w:val="0"/>
    <w:rPr>
      <w:rFonts w:ascii="Tahoma" w:hAnsi="Tahoma"/>
      <w:sz w:val="24"/>
      <w:szCs w:val="20"/>
    </w:rPr>
  </w:style>
  <w:style w:type="paragraph" w:customStyle="1" w:styleId="215">
    <w:name w:val="列出段落11"/>
    <w:basedOn w:val="1"/>
    <w:qFormat/>
    <w:uiPriority w:val="99"/>
    <w:pPr>
      <w:ind w:firstLine="420" w:firstLineChars="200"/>
    </w:pPr>
    <w:rPr>
      <w:rFonts w:ascii="Times New Roman" w:hAnsi="Times New Roman"/>
    </w:rPr>
  </w:style>
  <w:style w:type="paragraph" w:customStyle="1" w:styleId="216">
    <w:name w:val="样式 标题 2 + Times New Roman 四号 非加粗 段前: 5 磅 段后: 0 磅 行距: 固定值 20..."/>
    <w:basedOn w:val="4"/>
    <w:semiHidden/>
    <w:qFormat/>
    <w:uiPriority w:val="0"/>
    <w:pPr>
      <w:numPr>
        <w:ilvl w:val="0"/>
        <w:numId w:val="0"/>
      </w:numPr>
      <w:spacing w:before="100" w:line="400" w:lineRule="exact"/>
      <w:jc w:val="both"/>
    </w:pPr>
    <w:rPr>
      <w:rFonts w:ascii="Times New Roman" w:hAnsi="Times New Roman" w:eastAsia="黑体"/>
      <w:b w:val="0"/>
      <w:szCs w:val="32"/>
    </w:rPr>
  </w:style>
  <w:style w:type="paragraph" w:customStyle="1" w:styleId="217">
    <w:name w:val="列出段落111"/>
    <w:basedOn w:val="1"/>
    <w:semiHidden/>
    <w:qFormat/>
    <w:uiPriority w:val="99"/>
    <w:pPr>
      <w:ind w:firstLine="420" w:firstLineChars="200"/>
    </w:pPr>
    <w:rPr>
      <w:rFonts w:ascii="Times New Roman" w:hAnsi="Times New Roman"/>
    </w:rPr>
  </w:style>
  <w:style w:type="character" w:customStyle="1" w:styleId="218">
    <w:name w:val="正文文本 Char2"/>
    <w:basedOn w:val="43"/>
    <w:qFormat/>
    <w:locked/>
    <w:uiPriority w:val="99"/>
    <w:rPr>
      <w:rFonts w:hint="default" w:ascii="Times New Roman" w:hAnsi="Times New Roman" w:eastAsia="宋体" w:cs="Times New Roman"/>
      <w:kern w:val="0"/>
      <w:sz w:val="20"/>
      <w:szCs w:val="20"/>
    </w:rPr>
  </w:style>
  <w:style w:type="character" w:customStyle="1" w:styleId="219">
    <w:name w:val="p121"/>
    <w:qFormat/>
    <w:uiPriority w:val="0"/>
    <w:rPr>
      <w:sz w:val="24"/>
    </w:rPr>
  </w:style>
  <w:style w:type="character" w:customStyle="1" w:styleId="220">
    <w:name w:val="列出段落 Char1"/>
    <w:qFormat/>
    <w:locked/>
    <w:uiPriority w:val="0"/>
    <w:rPr>
      <w:rFonts w:hint="default" w:ascii="Calibri" w:hAnsi="Calibri" w:cs="Calibri"/>
    </w:rPr>
  </w:style>
  <w:style w:type="paragraph" w:customStyle="1" w:styleId="221">
    <w:name w:val="修订11"/>
    <w:qFormat/>
    <w:uiPriority w:val="99"/>
    <w:pPr>
      <w:spacing w:after="200" w:line="276" w:lineRule="auto"/>
    </w:pPr>
    <w:rPr>
      <w:rFonts w:ascii="Calibri" w:hAnsi="Calibri" w:eastAsia="宋体" w:cs="Times New Roman"/>
      <w:kern w:val="2"/>
      <w:sz w:val="21"/>
      <w:szCs w:val="22"/>
      <w:lang w:val="en-US" w:eastAsia="zh-CN" w:bidi="ar-SA"/>
    </w:rPr>
  </w:style>
  <w:style w:type="paragraph" w:customStyle="1" w:styleId="222">
    <w:name w:val="列表段落1"/>
    <w:basedOn w:val="1"/>
    <w:qFormat/>
    <w:uiPriority w:val="99"/>
    <w:pPr>
      <w:ind w:firstLine="420" w:firstLineChars="200"/>
    </w:pPr>
    <w:rPr>
      <w:rFonts w:ascii="宋体" w:hAnsi="宋体" w:cs="宋体"/>
      <w:sz w:val="28"/>
      <w:szCs w:val="28"/>
    </w:rPr>
  </w:style>
  <w:style w:type="character" w:customStyle="1" w:styleId="223">
    <w:name w:val="NormalCharacter"/>
    <w:qFormat/>
    <w:uiPriority w:val="0"/>
  </w:style>
  <w:style w:type="paragraph" w:customStyle="1" w:styleId="224">
    <w:name w:val="BodyText"/>
    <w:basedOn w:val="1"/>
    <w:qFormat/>
    <w:uiPriority w:val="0"/>
    <w:pPr>
      <w:widowControl/>
      <w:spacing w:after="120"/>
      <w:ind w:firstLine="560" w:firstLineChars="200"/>
      <w:textAlignment w:val="baseline"/>
    </w:pPr>
    <w:rPr>
      <w:rFonts w:ascii="宋体" w:hAnsi="宋体" w:cstheme="minorBidi"/>
      <w:sz w:val="28"/>
      <w:szCs w:val="28"/>
    </w:rPr>
  </w:style>
  <w:style w:type="character" w:customStyle="1" w:styleId="225">
    <w:name w:val="AnnotationReference"/>
    <w:qFormat/>
    <w:uiPriority w:val="0"/>
    <w:rPr>
      <w:sz w:val="21"/>
      <w:szCs w:val="21"/>
    </w:rPr>
  </w:style>
  <w:style w:type="paragraph" w:customStyle="1" w:styleId="226">
    <w:name w:val="179"/>
    <w:basedOn w:val="1"/>
    <w:qFormat/>
    <w:uiPriority w:val="0"/>
    <w:pPr>
      <w:widowControl/>
      <w:ind w:firstLine="420" w:firstLineChars="200"/>
      <w:textAlignment w:val="baseline"/>
    </w:pPr>
    <w:rPr>
      <w:rFonts w:ascii="宋体" w:hAnsi="宋体" w:cstheme="minorBidi"/>
      <w:sz w:val="28"/>
      <w:szCs w:val="28"/>
    </w:rPr>
  </w:style>
  <w:style w:type="paragraph" w:customStyle="1" w:styleId="227">
    <w:name w:val="Heading3"/>
    <w:basedOn w:val="1"/>
    <w:next w:val="1"/>
    <w:link w:val="228"/>
    <w:qFormat/>
    <w:uiPriority w:val="0"/>
    <w:pPr>
      <w:widowControl/>
      <w:spacing w:before="100" w:beforeAutospacing="1" w:after="100" w:afterAutospacing="1"/>
      <w:ind w:firstLine="560" w:firstLineChars="200"/>
      <w:jc w:val="left"/>
      <w:textAlignment w:val="baseline"/>
    </w:pPr>
    <w:rPr>
      <w:rFonts w:ascii="宋体" w:hAnsi="宋体" w:cs="宋体"/>
      <w:b/>
      <w:bCs/>
      <w:kern w:val="0"/>
      <w:sz w:val="27"/>
      <w:szCs w:val="27"/>
    </w:rPr>
  </w:style>
  <w:style w:type="character" w:customStyle="1" w:styleId="228">
    <w:name w:val="UserStyle_4"/>
    <w:link w:val="227"/>
    <w:qFormat/>
    <w:uiPriority w:val="0"/>
    <w:rPr>
      <w:rFonts w:ascii="宋体" w:hAnsi="宋体" w:eastAsia="宋体" w:cs="宋体"/>
      <w:b/>
      <w:bCs/>
      <w:kern w:val="0"/>
      <w:sz w:val="27"/>
      <w:szCs w:val="27"/>
    </w:rPr>
  </w:style>
  <w:style w:type="character" w:customStyle="1" w:styleId="229">
    <w:name w:val="样式 Char Char"/>
    <w:link w:val="122"/>
    <w:qFormat/>
    <w:locked/>
    <w:uiPriority w:val="0"/>
    <w:rPr>
      <w:rFonts w:ascii="宋体" w:hAnsi="宋体" w:eastAsia="宋体" w:cs="宋体"/>
      <w:kern w:val="0"/>
      <w:sz w:val="24"/>
      <w:szCs w:val="24"/>
    </w:rPr>
  </w:style>
  <w:style w:type="paragraph" w:customStyle="1" w:styleId="230">
    <w:name w:val="_Style 48"/>
    <w:basedOn w:val="1"/>
    <w:qFormat/>
    <w:uiPriority w:val="0"/>
    <w:pPr>
      <w:ind w:firstLine="420" w:firstLineChars="200"/>
    </w:pPr>
    <w:rPr>
      <w:rFonts w:ascii="宋体" w:hAnsi="宋体" w:cs="宋体"/>
      <w:sz w:val="28"/>
      <w:szCs w:val="28"/>
    </w:rPr>
  </w:style>
  <w:style w:type="character" w:customStyle="1" w:styleId="231">
    <w:name w:val="font61"/>
    <w:basedOn w:val="43"/>
    <w:qFormat/>
    <w:uiPriority w:val="0"/>
    <w:rPr>
      <w:rFonts w:hint="eastAsia" w:ascii="宋体" w:hAnsi="宋体" w:eastAsia="宋体" w:cs="宋体"/>
      <w:color w:val="000000"/>
      <w:sz w:val="18"/>
      <w:szCs w:val="18"/>
      <w:u w:val="none"/>
    </w:rPr>
  </w:style>
  <w:style w:type="character" w:customStyle="1" w:styleId="232">
    <w:name w:val="font91"/>
    <w:basedOn w:val="43"/>
    <w:qFormat/>
    <w:uiPriority w:val="0"/>
    <w:rPr>
      <w:rFonts w:hint="eastAsia" w:ascii="宋体" w:hAnsi="宋体" w:eastAsia="宋体" w:cs="宋体"/>
      <w:color w:val="000000"/>
      <w:sz w:val="18"/>
      <w:szCs w:val="18"/>
      <w:u w:val="none"/>
    </w:rPr>
  </w:style>
  <w:style w:type="character" w:customStyle="1" w:styleId="233">
    <w:name w:val="font41"/>
    <w:basedOn w:val="43"/>
    <w:qFormat/>
    <w:uiPriority w:val="0"/>
    <w:rPr>
      <w:rFonts w:hint="eastAsia" w:ascii="宋体" w:hAnsi="宋体" w:eastAsia="宋体" w:cs="宋体"/>
      <w:color w:val="000000"/>
      <w:sz w:val="21"/>
      <w:szCs w:val="21"/>
      <w:u w:val="none"/>
    </w:rPr>
  </w:style>
  <w:style w:type="character" w:customStyle="1" w:styleId="234">
    <w:name w:val="font31"/>
    <w:basedOn w:val="43"/>
    <w:qFormat/>
    <w:uiPriority w:val="0"/>
    <w:rPr>
      <w:rFonts w:hint="eastAsia" w:ascii="宋体" w:hAnsi="宋体" w:eastAsia="宋体" w:cs="宋体"/>
      <w:b/>
      <w:color w:val="000000"/>
      <w:sz w:val="18"/>
      <w:szCs w:val="18"/>
      <w:u w:val="none"/>
    </w:rPr>
  </w:style>
  <w:style w:type="character" w:customStyle="1" w:styleId="235">
    <w:name w:val="font101"/>
    <w:basedOn w:val="43"/>
    <w:qFormat/>
    <w:uiPriority w:val="0"/>
    <w:rPr>
      <w:rFonts w:hint="eastAsia" w:ascii="宋体" w:hAnsi="宋体" w:eastAsia="宋体" w:cs="宋体"/>
      <w:color w:val="FF0000"/>
      <w:sz w:val="18"/>
      <w:szCs w:val="18"/>
      <w:u w:val="none"/>
    </w:rPr>
  </w:style>
  <w:style w:type="character" w:customStyle="1" w:styleId="236">
    <w:name w:val="font51"/>
    <w:basedOn w:val="43"/>
    <w:qFormat/>
    <w:uiPriority w:val="0"/>
    <w:rPr>
      <w:rFonts w:ascii="Calibri" w:hAnsi="Calibri" w:cs="Calibri"/>
      <w:color w:val="000000"/>
      <w:sz w:val="21"/>
      <w:szCs w:val="21"/>
      <w:u w:val="none"/>
    </w:rPr>
  </w:style>
  <w:style w:type="paragraph" w:customStyle="1" w:styleId="237">
    <w:name w:val="Table Paragraph"/>
    <w:basedOn w:val="1"/>
    <w:qFormat/>
    <w:uiPriority w:val="1"/>
    <w:pPr>
      <w:ind w:firstLine="560" w:firstLineChars="200"/>
    </w:pPr>
    <w:rPr>
      <w:rFonts w:ascii="宋体" w:hAnsi="宋体" w:cs="宋体"/>
      <w:sz w:val="28"/>
      <w:szCs w:val="28"/>
      <w:lang w:val="zh-CN" w:bidi="zh-CN"/>
    </w:rPr>
  </w:style>
  <w:style w:type="paragraph" w:customStyle="1" w:styleId="238">
    <w:name w:val="_Style 3"/>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4884EB-6646-4D27-9C2E-703BB7E053E3}">
  <ds:schemaRefs/>
</ds:datastoreItem>
</file>

<file path=docProps/app.xml><?xml version="1.0" encoding="utf-8"?>
<Properties xmlns="http://schemas.openxmlformats.org/officeDocument/2006/extended-properties" xmlns:vt="http://schemas.openxmlformats.org/officeDocument/2006/docPropsVTypes">
  <Template>Normal.dotm</Template>
  <Pages>88</Pages>
  <Words>4566</Words>
  <Characters>26031</Characters>
  <Lines>216</Lines>
  <Paragraphs>61</Paragraphs>
  <TotalTime>97</TotalTime>
  <ScaleCrop>false</ScaleCrop>
  <LinksUpToDate>false</LinksUpToDate>
  <CharactersWithSpaces>30536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2021-04-30T05:13:00Z</dcterms:created>
  <dc:creator>罗川</dc:creator>
  <cp:lastModifiedBy>ICBC</cp:lastModifiedBy>
  <cp:lastPrinted>2021-06-22T09:52:00Z</cp:lastPrinted>
  <dcterms:modified xsi:type="dcterms:W3CDTF">2021-08-24T07:51:49Z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