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000000" w:themeColor="text1"/>
          <w:sz w:val="28"/>
          <w:szCs w:val="18"/>
          <w14:textFill>
            <w14:solidFill>
              <w14:schemeClr w14:val="tx1"/>
            </w14:solidFill>
          </w14:textFill>
        </w:rPr>
      </w:pPr>
    </w:p>
    <w:p>
      <w:pPr>
        <w:spacing w:line="360" w:lineRule="auto"/>
        <w:jc w:val="center"/>
        <w:rPr>
          <w:rFonts w:ascii="华文中宋" w:hAnsi="华文中宋" w:eastAsia="华文中宋"/>
          <w:color w:val="000000" w:themeColor="text1"/>
          <w:spacing w:val="42"/>
          <w:sz w:val="130"/>
          <w:szCs w:val="130"/>
          <w14:textFill>
            <w14:solidFill>
              <w14:schemeClr w14:val="tx1"/>
            </w14:solidFill>
          </w14:textFill>
        </w:rPr>
      </w:pPr>
      <w:r>
        <w:rPr>
          <w:rFonts w:hint="eastAsia" w:ascii="华文中宋" w:hAnsi="华文中宋" w:eastAsia="华文中宋"/>
          <w:color w:val="000000" w:themeColor="text1"/>
          <w:spacing w:val="42"/>
          <w:sz w:val="130"/>
          <w:szCs w:val="130"/>
          <w14:textFill>
            <w14:solidFill>
              <w14:schemeClr w14:val="tx1"/>
            </w14:solidFill>
          </w14:textFill>
        </w:rPr>
        <w:t>招 标 文 件</w:t>
      </w:r>
    </w:p>
    <w:p>
      <w:pPr>
        <w:tabs>
          <w:tab w:val="left" w:pos="2552"/>
        </w:tabs>
        <w:spacing w:line="360" w:lineRule="auto"/>
        <w:ind w:left="1733" w:leftChars="269" w:hanging="1168" w:hangingChars="487"/>
        <w:rPr>
          <w:rFonts w:ascii="华文中宋" w:hAnsi="华文中宋" w:eastAsia="华文中宋"/>
          <w:color w:val="000000" w:themeColor="text1"/>
          <w:sz w:val="24"/>
          <w14:textFill>
            <w14:solidFill>
              <w14:schemeClr w14:val="tx1"/>
            </w14:solidFill>
          </w14:textFill>
        </w:rPr>
      </w:pPr>
    </w:p>
    <w:p>
      <w:pPr>
        <w:tabs>
          <w:tab w:val="left" w:pos="2552"/>
        </w:tabs>
        <w:spacing w:line="360" w:lineRule="auto"/>
        <w:ind w:left="1733" w:leftChars="269" w:hanging="1168" w:hangingChars="487"/>
        <w:rPr>
          <w:rFonts w:ascii="华文中宋" w:hAnsi="华文中宋" w:eastAsia="华文中宋"/>
          <w:color w:val="000000" w:themeColor="text1"/>
          <w:sz w:val="24"/>
          <w14:textFill>
            <w14:solidFill>
              <w14:schemeClr w14:val="tx1"/>
            </w14:solidFill>
          </w14:textFill>
        </w:rPr>
      </w:pPr>
    </w:p>
    <w:p>
      <w:pPr>
        <w:tabs>
          <w:tab w:val="left" w:pos="2552"/>
        </w:tabs>
        <w:spacing w:line="360" w:lineRule="auto"/>
        <w:rPr>
          <w:rFonts w:hint="eastAsia" w:ascii="华文中宋" w:hAnsi="华文中宋" w:eastAsia="华文中宋"/>
          <w:color w:val="000000" w:themeColor="text1"/>
          <w:sz w:val="24"/>
          <w14:textFill>
            <w14:solidFill>
              <w14:schemeClr w14:val="tx1"/>
            </w14:solidFill>
          </w14:textFill>
        </w:rPr>
      </w:pPr>
    </w:p>
    <w:p>
      <w:pPr>
        <w:pStyle w:val="2"/>
        <w:spacing w:before="177" w:line="240" w:lineRule="auto"/>
        <w:ind w:left="0" w:leftChars="0" w:right="0" w:firstLine="320" w:firstLineChars="100"/>
        <w:jc w:val="left"/>
        <w:rPr>
          <w:sz w:val="28"/>
          <w:szCs w:val="28"/>
        </w:rPr>
      </w:pPr>
      <w:r>
        <w:rPr>
          <w:rFonts w:hint="eastAsia" w:ascii="华文中宋" w:hAnsi="华文中宋" w:eastAsia="华文中宋"/>
          <w:color w:val="000000" w:themeColor="text1"/>
          <w:sz w:val="32"/>
          <w:szCs w:val="32"/>
          <w14:textFill>
            <w14:solidFill>
              <w14:schemeClr w14:val="tx1"/>
            </w14:solidFill>
          </w14:textFill>
        </w:rPr>
        <w:t>项目名称：都江堰市人民政府幸福街道办事处 2021 年物业</w:t>
      </w:r>
      <w:r>
        <w:rPr>
          <w:rFonts w:hint="eastAsia" w:ascii="华文中宋" w:hAnsi="华文中宋" w:eastAsia="华文中宋"/>
          <w:color w:val="000000" w:themeColor="text1"/>
          <w:sz w:val="32"/>
          <w:szCs w:val="32"/>
          <w:lang w:eastAsia="zh-CN"/>
          <w14:textFill>
            <w14:solidFill>
              <w14:schemeClr w14:val="tx1"/>
            </w14:solidFill>
          </w14:textFill>
        </w:rPr>
        <w:t>管理</w:t>
      </w:r>
      <w:r>
        <w:rPr>
          <w:rFonts w:hint="eastAsia" w:ascii="华文中宋" w:hAnsi="华文中宋" w:eastAsia="华文中宋"/>
          <w:color w:val="000000" w:themeColor="text1"/>
          <w:sz w:val="32"/>
          <w:szCs w:val="32"/>
          <w14:textFill>
            <w14:solidFill>
              <w14:schemeClr w14:val="tx1"/>
            </w14:solidFill>
          </w14:textFill>
        </w:rPr>
        <w:t>服务</w:t>
      </w:r>
      <w:bookmarkStart w:id="0" w:name="6.2服务时间"/>
      <w:bookmarkEnd w:id="0"/>
      <w:bookmarkStart w:id="1" w:name="_bookmark16"/>
      <w:bookmarkEnd w:id="1"/>
      <w:r>
        <w:rPr>
          <w:rFonts w:hint="eastAsia" w:ascii="华文中宋" w:hAnsi="华文中宋" w:eastAsia="华文中宋"/>
          <w:color w:val="000000" w:themeColor="text1"/>
          <w:sz w:val="32"/>
          <w:szCs w:val="32"/>
          <w:lang w:eastAsia="zh-CN"/>
          <w14:textFill>
            <w14:solidFill>
              <w14:schemeClr w14:val="tx1"/>
            </w14:solidFill>
          </w14:textFill>
        </w:rPr>
        <w:t>采购项目</w:t>
      </w:r>
    </w:p>
    <w:p>
      <w:pPr>
        <w:spacing w:line="360" w:lineRule="auto"/>
        <w:ind w:firstLine="320" w:firstLineChars="100"/>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项目编号：</w:t>
      </w:r>
      <w:r>
        <w:rPr>
          <w:rFonts w:hint="eastAsia" w:ascii="华文中宋" w:hAnsi="华文中宋" w:eastAsia="华文中宋"/>
          <w:color w:val="000000" w:themeColor="text1"/>
          <w:sz w:val="32"/>
          <w:szCs w:val="32"/>
          <w:lang w:val="en-US" w:eastAsia="zh-CN"/>
          <w14:textFill>
            <w14:solidFill>
              <w14:schemeClr w14:val="tx1"/>
            </w14:solidFill>
          </w14:textFill>
        </w:rPr>
        <w:t>JY3202</w:t>
      </w:r>
      <w:r>
        <w:rPr>
          <w:rFonts w:hint="eastAsia" w:ascii="华文中宋" w:hAnsi="华文中宋" w:eastAsia="华文中宋"/>
          <w:color w:val="FF0000"/>
          <w:sz w:val="32"/>
          <w:szCs w:val="32"/>
          <w:u w:val="single"/>
          <w:lang w:val="en-US" w:eastAsia="zh-CN"/>
        </w:rPr>
        <w:t>10103</w:t>
      </w:r>
      <w:r>
        <w:rPr>
          <w:rFonts w:hint="eastAsia" w:ascii="华文中宋" w:hAnsi="华文中宋" w:eastAsia="华文中宋"/>
          <w:color w:val="000000" w:themeColor="text1"/>
          <w:sz w:val="32"/>
          <w:szCs w:val="32"/>
          <w14:textFill>
            <w14:solidFill>
              <w14:schemeClr w14:val="tx1"/>
            </w14:solidFill>
          </w14:textFill>
        </w:rPr>
        <w:t>号</w:t>
      </w:r>
    </w:p>
    <w:p>
      <w:pPr>
        <w:spacing w:line="360" w:lineRule="auto"/>
        <w:rPr>
          <w:rFonts w:ascii="华文中宋" w:hAnsi="华文中宋" w:eastAsia="华文中宋"/>
          <w:color w:val="000000" w:themeColor="text1"/>
          <w:kern w:val="24"/>
          <w:sz w:val="32"/>
          <w:szCs w:val="32"/>
          <w14:textFill>
            <w14:solidFill>
              <w14:schemeClr w14:val="tx1"/>
            </w14:solidFill>
          </w14:textFill>
        </w:rPr>
      </w:pPr>
    </w:p>
    <w:p>
      <w:pPr>
        <w:pStyle w:val="2"/>
        <w:rPr>
          <w:rFonts w:ascii="华文中宋" w:hAnsi="华文中宋" w:eastAsia="华文中宋"/>
          <w:color w:val="000000" w:themeColor="text1"/>
          <w:kern w:val="24"/>
          <w:sz w:val="32"/>
          <w:szCs w:val="32"/>
          <w14:textFill>
            <w14:solidFill>
              <w14:schemeClr w14:val="tx1"/>
            </w14:solidFill>
          </w14:textFill>
        </w:rPr>
      </w:pPr>
    </w:p>
    <w:p>
      <w:pPr>
        <w:pStyle w:val="2"/>
        <w:rPr>
          <w:rFonts w:ascii="华文中宋" w:hAnsi="华文中宋" w:eastAsia="华文中宋"/>
          <w:color w:val="000000" w:themeColor="text1"/>
          <w:kern w:val="24"/>
          <w:sz w:val="32"/>
          <w:szCs w:val="32"/>
          <w14:textFill>
            <w14:solidFill>
              <w14:schemeClr w14:val="tx1"/>
            </w14:solidFill>
          </w14:textFill>
        </w:rPr>
      </w:pPr>
    </w:p>
    <w:p>
      <w:pPr>
        <w:pStyle w:val="2"/>
        <w:rPr>
          <w:rFonts w:ascii="华文中宋" w:hAnsi="华文中宋" w:eastAsia="华文中宋"/>
          <w:color w:val="000000" w:themeColor="text1"/>
          <w:kern w:val="24"/>
          <w:sz w:val="32"/>
          <w:szCs w:val="32"/>
          <w14:textFill>
            <w14:solidFill>
              <w14:schemeClr w14:val="tx1"/>
            </w14:solidFill>
          </w14:textFill>
        </w:rPr>
      </w:pPr>
    </w:p>
    <w:p>
      <w:pPr>
        <w:pStyle w:val="2"/>
        <w:rPr>
          <w:rFonts w:ascii="华文中宋" w:hAnsi="华文中宋" w:eastAsia="华文中宋"/>
          <w:color w:val="000000" w:themeColor="text1"/>
          <w:kern w:val="24"/>
          <w:sz w:val="32"/>
          <w:szCs w:val="32"/>
          <w14:textFill>
            <w14:solidFill>
              <w14:schemeClr w14:val="tx1"/>
            </w14:solidFill>
          </w14:textFill>
        </w:rPr>
      </w:pPr>
    </w:p>
    <w:p>
      <w:pPr>
        <w:pStyle w:val="2"/>
        <w:rPr>
          <w:rFonts w:hint="eastAsia" w:ascii="华文中宋" w:hAnsi="华文中宋" w:eastAsia="华文中宋"/>
          <w:color w:val="000000" w:themeColor="text1"/>
          <w:kern w:val="24"/>
          <w:sz w:val="32"/>
          <w:szCs w:val="32"/>
          <w14:textFill>
            <w14:solidFill>
              <w14:schemeClr w14:val="tx1"/>
            </w14:solidFill>
          </w14:textFill>
        </w:rPr>
      </w:pPr>
    </w:p>
    <w:p>
      <w:pPr>
        <w:spacing w:line="360" w:lineRule="auto"/>
        <w:jc w:val="center"/>
        <w:rPr>
          <w:rFonts w:ascii="华文中宋" w:hAnsi="华文中宋" w:eastAsia="华文中宋"/>
          <w:color w:val="FF0000"/>
          <w:sz w:val="32"/>
          <w:szCs w:val="32"/>
        </w:rPr>
      </w:pPr>
      <w:r>
        <w:rPr>
          <w:rFonts w:hint="eastAsia" w:ascii="华文中宋" w:hAnsi="华文中宋" w:eastAsia="华文中宋"/>
          <w:color w:val="000000" w:themeColor="text1"/>
          <w:sz w:val="32"/>
          <w:szCs w:val="32"/>
          <w14:textFill>
            <w14:solidFill>
              <w14:schemeClr w14:val="tx1"/>
            </w14:solidFill>
          </w14:textFill>
        </w:rPr>
        <w:t>都江堰市人民政府幸福街道办事处</w:t>
      </w:r>
      <w:r>
        <w:rPr>
          <w:rFonts w:hint="eastAsia" w:ascii="华文中宋" w:hAnsi="华文中宋" w:eastAsia="华文中宋"/>
          <w:color w:val="FF0000"/>
          <w:sz w:val="32"/>
          <w:szCs w:val="32"/>
        </w:rPr>
        <w:t>、</w:t>
      </w:r>
    </w:p>
    <w:p>
      <w:pPr>
        <w:spacing w:line="360" w:lineRule="auto"/>
        <w:jc w:val="center"/>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lang w:eastAsia="zh-CN"/>
          <w14:textFill>
            <w14:solidFill>
              <w14:schemeClr w14:val="tx1"/>
            </w14:solidFill>
          </w14:textFill>
        </w:rPr>
        <w:t>都江堰市公共资源交易服务中心</w:t>
      </w:r>
      <w:r>
        <w:rPr>
          <w:rFonts w:hint="eastAsia" w:ascii="华文中宋" w:hAnsi="华文中宋" w:eastAsia="华文中宋"/>
          <w:color w:val="000000" w:themeColor="text1"/>
          <w:sz w:val="32"/>
          <w:szCs w:val="32"/>
          <w14:textFill>
            <w14:solidFill>
              <w14:schemeClr w14:val="tx1"/>
            </w14:solidFill>
          </w14:textFill>
        </w:rPr>
        <w:t>共同编制</w:t>
      </w:r>
    </w:p>
    <w:p>
      <w:pPr>
        <w:spacing w:line="360" w:lineRule="auto"/>
        <w:jc w:val="center"/>
        <w:rPr>
          <w:rFonts w:ascii="华文中宋" w:hAnsi="华文中宋" w:eastAsia="华文中宋"/>
          <w:color w:val="FF0000"/>
          <w:sz w:val="32"/>
          <w:szCs w:val="32"/>
        </w:rPr>
      </w:pPr>
      <w:r>
        <w:rPr>
          <w:rFonts w:hint="eastAsia" w:ascii="华文中宋" w:hAnsi="华文中宋" w:eastAsia="华文中宋"/>
          <w:color w:val="FF0000"/>
          <w:sz w:val="32"/>
          <w:szCs w:val="32"/>
        </w:rPr>
        <w:t>二〇二</w:t>
      </w:r>
      <w:r>
        <w:rPr>
          <w:rFonts w:hint="eastAsia" w:ascii="华文中宋" w:hAnsi="华文中宋" w:eastAsia="华文中宋"/>
          <w:color w:val="FF0000"/>
          <w:sz w:val="32"/>
          <w:szCs w:val="32"/>
          <w:lang w:eastAsia="zh-CN"/>
        </w:rPr>
        <w:t>一</w:t>
      </w:r>
      <w:r>
        <w:rPr>
          <w:rFonts w:hint="eastAsia" w:ascii="华文中宋" w:hAnsi="华文中宋" w:eastAsia="华文中宋"/>
          <w:color w:val="FF0000"/>
          <w:sz w:val="32"/>
          <w:szCs w:val="32"/>
        </w:rPr>
        <w:t>年</w:t>
      </w:r>
      <w:r>
        <w:rPr>
          <w:rFonts w:hint="eastAsia" w:ascii="华文中宋" w:hAnsi="华文中宋" w:eastAsia="华文中宋"/>
          <w:color w:val="FF0000"/>
          <w:sz w:val="32"/>
          <w:szCs w:val="32"/>
          <w:lang w:eastAsia="zh-CN"/>
        </w:rPr>
        <w:t>十一</w:t>
      </w:r>
      <w:r>
        <w:rPr>
          <w:rFonts w:hint="eastAsia" w:ascii="华文中宋" w:hAnsi="华文中宋" w:eastAsia="华文中宋"/>
          <w:color w:val="FF0000"/>
          <w:sz w:val="32"/>
          <w:szCs w:val="32"/>
        </w:rPr>
        <w:t>月</w:t>
      </w:r>
    </w:p>
    <w:p>
      <w:pPr>
        <w:spacing w:line="360" w:lineRule="auto"/>
        <w:jc w:val="center"/>
        <w:rPr>
          <w:rFonts w:ascii="宋体" w:hAnsi="宋体"/>
          <w:b/>
          <w:color w:val="000000" w:themeColor="text1"/>
          <w:sz w:val="32"/>
          <w14:textFill>
            <w14:solidFill>
              <w14:schemeClr w14:val="tx1"/>
            </w14:solidFill>
          </w14:textFill>
        </w:rPr>
      </w:pPr>
      <w:r>
        <w:rPr>
          <w:rFonts w:hint="eastAsia" w:ascii="宋体" w:hAnsi="宋体"/>
          <w:color w:val="000000" w:themeColor="text1"/>
          <w:kern w:val="0"/>
          <w14:textFill>
            <w14:solidFill>
              <w14:schemeClr w14:val="tx1"/>
            </w14:solidFill>
          </w14:textFill>
        </w:rPr>
        <w:br w:type="page"/>
      </w:r>
      <w:bookmarkStart w:id="2" w:name="_Toc148505181"/>
      <w:bookmarkStart w:id="3" w:name="_Toc101247312"/>
      <w:bookmarkStart w:id="4" w:name="_Toc101328520"/>
      <w:bookmarkStart w:id="5" w:name="_Toc101234248"/>
      <w:r>
        <w:rPr>
          <w:rFonts w:hint="eastAsia" w:ascii="宋体" w:hAnsi="宋体"/>
          <w:b/>
          <w:color w:val="000000" w:themeColor="text1"/>
          <w:sz w:val="28"/>
          <w:szCs w:val="32"/>
          <w14:textFill>
            <w14:solidFill>
              <w14:schemeClr w14:val="tx1"/>
            </w14:solidFill>
          </w14:textFill>
        </w:rPr>
        <w:t>目 录</w:t>
      </w:r>
    </w:p>
    <w:sdt>
      <w:sdtPr>
        <w:rPr>
          <w:rFonts w:ascii="宋体" w:hAnsi="宋体" w:eastAsia="华文中宋"/>
          <w:smallCaps/>
          <w:color w:val="000000" w:themeColor="text1"/>
          <w:sz w:val="20"/>
          <w:szCs w:val="20"/>
          <w14:textFill>
            <w14:solidFill>
              <w14:schemeClr w14:val="tx1"/>
            </w14:solidFill>
          </w14:textFill>
        </w:rPr>
        <w:id w:val="147456339"/>
      </w:sdtPr>
      <w:sdtEndPr>
        <w:rPr>
          <w:rFonts w:ascii="宋体" w:hAnsi="宋体" w:eastAsia="华文中宋"/>
          <w:smallCaps/>
          <w:color w:val="000000" w:themeColor="text1"/>
          <w:sz w:val="20"/>
          <w:szCs w:val="20"/>
          <w14:textFill>
            <w14:solidFill>
              <w14:schemeClr w14:val="tx1"/>
            </w14:solidFill>
          </w14:textFill>
        </w:rPr>
      </w:sdtEndPr>
      <w:sdtContent>
        <w:p>
          <w:pPr>
            <w:rPr>
              <w:color w:val="000000" w:themeColor="text1"/>
              <w14:textFill>
                <w14:solidFill>
                  <w14:schemeClr w14:val="tx1"/>
                </w14:solidFill>
              </w14:textFill>
            </w:rPr>
          </w:pPr>
        </w:p>
        <w:p>
          <w:pPr>
            <w:pStyle w:val="29"/>
            <w:rPr>
              <w:rFonts w:asciiTheme="minorHAnsi" w:hAnsiTheme="minorHAnsi" w:eastAsiaTheme="minorEastAsia" w:cstheme="minorBidi"/>
              <w:bCs w:val="0"/>
              <w:caps w:val="0"/>
              <w:color w:val="000000" w:themeColor="text1"/>
              <w:sz w:val="21"/>
              <w:szCs w:val="22"/>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TOC \o "1-2" \h \u </w:instrText>
          </w:r>
          <w:r>
            <w:rPr>
              <w:rFonts w:hint="eastAsia"/>
              <w:color w:val="000000" w:themeColor="text1"/>
              <w14:textFill>
                <w14:solidFill>
                  <w14:schemeClr w14:val="tx1"/>
                </w14:solidFill>
              </w14:textFill>
            </w:rPr>
            <w:fldChar w:fldCharType="separate"/>
          </w:r>
          <w:r>
            <w:fldChar w:fldCharType="begin"/>
          </w:r>
          <w:r>
            <w:instrText xml:space="preserve"> HYPERLINK \l "_Toc65573684" </w:instrText>
          </w:r>
          <w:r>
            <w:fldChar w:fldCharType="separate"/>
          </w:r>
          <w:r>
            <w:rPr>
              <w:rStyle w:val="47"/>
              <w:rFonts w:hint="eastAsia" w:ascii="Times New Roman" w:hAnsi="Times New Roman"/>
              <w:color w:val="000000" w:themeColor="text1"/>
              <w14:textFill>
                <w14:solidFill>
                  <w14:schemeClr w14:val="tx1"/>
                </w14:solidFill>
              </w14:textFill>
            </w:rPr>
            <w:t>第1章</w:t>
          </w:r>
          <w:r>
            <w:rPr>
              <w:rFonts w:asciiTheme="minorHAnsi" w:hAnsiTheme="minorHAnsi" w:eastAsiaTheme="minorEastAsia" w:cstheme="minorBidi"/>
              <w:bCs w:val="0"/>
              <w:caps w:val="0"/>
              <w:color w:val="000000" w:themeColor="text1"/>
              <w:sz w:val="21"/>
              <w:szCs w:val="22"/>
              <w14:textFill>
                <w14:solidFill>
                  <w14:schemeClr w14:val="tx1"/>
                </w14:solidFill>
              </w14:textFill>
            </w:rPr>
            <w:tab/>
          </w:r>
          <w:r>
            <w:rPr>
              <w:rStyle w:val="47"/>
              <w:rFonts w:hint="eastAsia"/>
              <w:color w:val="000000" w:themeColor="text1"/>
              <w14:textFill>
                <w14:solidFill>
                  <w14:schemeClr w14:val="tx1"/>
                </w14:solidFill>
              </w14:textFill>
            </w:rPr>
            <w:t>投标邀请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_Toc65573684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9"/>
            <w:rPr>
              <w:rFonts w:asciiTheme="minorHAnsi" w:hAnsiTheme="minorHAnsi"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"_Toc65573685" </w:instrText>
          </w:r>
          <w:r>
            <w:fldChar w:fldCharType="separate"/>
          </w:r>
          <w:r>
            <w:rPr>
              <w:rStyle w:val="47"/>
              <w:rFonts w:hint="eastAsia" w:ascii="Times New Roman" w:hAnsi="Times New Roman"/>
              <w:color w:val="000000" w:themeColor="text1"/>
              <w14:textFill>
                <w14:solidFill>
                  <w14:schemeClr w14:val="tx1"/>
                </w14:solidFill>
              </w14:textFill>
            </w:rPr>
            <w:t>第2章</w:t>
          </w:r>
          <w:r>
            <w:rPr>
              <w:rFonts w:asciiTheme="minorHAnsi" w:hAnsiTheme="minorHAnsi" w:eastAsiaTheme="minorEastAsia" w:cstheme="minorBidi"/>
              <w:bCs w:val="0"/>
              <w:caps w:val="0"/>
              <w:color w:val="000000" w:themeColor="text1"/>
              <w:sz w:val="21"/>
              <w:szCs w:val="22"/>
              <w14:textFill>
                <w14:solidFill>
                  <w14:schemeClr w14:val="tx1"/>
                </w14:solidFill>
              </w14:textFill>
            </w:rPr>
            <w:tab/>
          </w:r>
          <w:r>
            <w:rPr>
              <w:rStyle w:val="47"/>
              <w:rFonts w:hint="eastAsia"/>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_Toc65573685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9"/>
            <w:rPr>
              <w:rFonts w:asciiTheme="minorHAnsi" w:hAnsiTheme="minorHAnsi"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"_Toc65573695" </w:instrText>
          </w:r>
          <w:r>
            <w:fldChar w:fldCharType="separate"/>
          </w:r>
          <w:r>
            <w:rPr>
              <w:rStyle w:val="47"/>
              <w:rFonts w:hint="eastAsia" w:ascii="Times New Roman" w:hAnsi="Times New Roman"/>
              <w:color w:val="000000" w:themeColor="text1"/>
              <w14:textFill>
                <w14:solidFill>
                  <w14:schemeClr w14:val="tx1"/>
                </w14:solidFill>
              </w14:textFill>
            </w:rPr>
            <w:t>第3章</w:t>
          </w:r>
          <w:r>
            <w:rPr>
              <w:rFonts w:asciiTheme="minorHAnsi" w:hAnsiTheme="minorHAnsi" w:eastAsiaTheme="minorEastAsia" w:cstheme="minorBidi"/>
              <w:bCs w:val="0"/>
              <w:caps w:val="0"/>
              <w:color w:val="000000" w:themeColor="text1"/>
              <w:sz w:val="21"/>
              <w:szCs w:val="22"/>
              <w14:textFill>
                <w14:solidFill>
                  <w14:schemeClr w14:val="tx1"/>
                </w14:solidFill>
              </w14:textFill>
            </w:rPr>
            <w:tab/>
          </w:r>
          <w:r>
            <w:rPr>
              <w:rStyle w:val="47"/>
              <w:rFonts w:hint="eastAsia"/>
              <w:color w:val="000000" w:themeColor="text1"/>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_Toc65573695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9"/>
            <w:rPr>
              <w:rFonts w:asciiTheme="minorHAnsi" w:hAnsiTheme="minorHAnsi"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"_Toc65573699" </w:instrText>
          </w:r>
          <w:r>
            <w:fldChar w:fldCharType="separate"/>
          </w:r>
          <w:r>
            <w:rPr>
              <w:rStyle w:val="47"/>
              <w:rFonts w:hint="eastAsia" w:ascii="Times New Roman" w:hAnsi="Times New Roman"/>
              <w:color w:val="000000" w:themeColor="text1"/>
              <w14:textFill>
                <w14:solidFill>
                  <w14:schemeClr w14:val="tx1"/>
                </w14:solidFill>
              </w14:textFill>
            </w:rPr>
            <w:t>第4章</w:t>
          </w:r>
          <w:r>
            <w:rPr>
              <w:rFonts w:asciiTheme="minorHAnsi" w:hAnsiTheme="minorHAnsi" w:eastAsiaTheme="minorEastAsia" w:cstheme="minorBidi"/>
              <w:bCs w:val="0"/>
              <w:caps w:val="0"/>
              <w:color w:val="000000" w:themeColor="text1"/>
              <w:sz w:val="21"/>
              <w:szCs w:val="22"/>
              <w14:textFill>
                <w14:solidFill>
                  <w14:schemeClr w14:val="tx1"/>
                </w14:solidFill>
              </w14:textFill>
            </w:rPr>
            <w:tab/>
          </w:r>
          <w:r>
            <w:rPr>
              <w:rStyle w:val="47"/>
              <w:rFonts w:hint="eastAsia"/>
              <w:color w:val="000000" w:themeColor="text1"/>
              <w14:textFill>
                <w14:solidFill>
                  <w14:schemeClr w14:val="tx1"/>
                </w14:solidFill>
              </w14:textFill>
            </w:rPr>
            <w:t>招标项目服务、商务及其他要求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_Toc65573699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9"/>
            <w:rPr>
              <w:rFonts w:asciiTheme="minorHAnsi" w:hAnsiTheme="minorHAnsi" w:eastAsiaTheme="minorEastAsia" w:cstheme="minorBidi"/>
              <w:bCs w:val="0"/>
              <w:caps w:val="0"/>
              <w:color w:val="000000" w:themeColor="text1"/>
              <w:sz w:val="21"/>
              <w:szCs w:val="22"/>
              <w14:textFill>
                <w14:solidFill>
                  <w14:schemeClr w14:val="tx1"/>
                </w14:solidFill>
              </w14:textFill>
            </w:rPr>
          </w:pPr>
          <w:r>
            <w:fldChar w:fldCharType="begin"/>
          </w:r>
          <w:r>
            <w:instrText xml:space="preserve"> HYPERLINK \l "_Toc65573703" </w:instrText>
          </w:r>
          <w:r>
            <w:fldChar w:fldCharType="separate"/>
          </w:r>
          <w:r>
            <w:rPr>
              <w:rStyle w:val="47"/>
              <w:rFonts w:hint="eastAsia" w:ascii="Times New Roman" w:hAnsi="Times New Roman"/>
              <w:color w:val="000000" w:themeColor="text1"/>
              <w14:textFill>
                <w14:solidFill>
                  <w14:schemeClr w14:val="tx1"/>
                </w14:solidFill>
              </w14:textFill>
            </w:rPr>
            <w:t>第5章</w:t>
          </w:r>
          <w:r>
            <w:rPr>
              <w:rFonts w:asciiTheme="minorHAnsi" w:hAnsiTheme="minorHAnsi" w:eastAsiaTheme="minorEastAsia" w:cstheme="minorBidi"/>
              <w:bCs w:val="0"/>
              <w:caps w:val="0"/>
              <w:color w:val="000000" w:themeColor="text1"/>
              <w:sz w:val="21"/>
              <w:szCs w:val="22"/>
              <w14:textFill>
                <w14:solidFill>
                  <w14:schemeClr w14:val="tx1"/>
                </w14:solidFill>
              </w14:textFill>
            </w:rPr>
            <w:tab/>
          </w:r>
          <w:r>
            <w:rPr>
              <w:rStyle w:val="47"/>
              <w:rFonts w:hint="eastAsia"/>
              <w:color w:val="000000" w:themeColor="text1"/>
              <w14:textFill>
                <w14:solidFill>
                  <w14:schemeClr w14:val="tx1"/>
                </w14:solidFill>
              </w14:textFill>
            </w:rPr>
            <w:t>资格性审查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_Toc65573703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9"/>
            <w:rPr>
              <w:rFonts w:asciiTheme="minorHAnsi" w:hAnsiTheme="minorHAnsi"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"_Toc65573704" </w:instrText>
          </w:r>
          <w:r>
            <w:fldChar w:fldCharType="separate"/>
          </w:r>
          <w:r>
            <w:rPr>
              <w:rStyle w:val="47"/>
              <w:rFonts w:hint="eastAsia" w:ascii="Times New Roman" w:hAnsi="Times New Roman"/>
              <w:color w:val="000000" w:themeColor="text1"/>
              <w14:textFill>
                <w14:solidFill>
                  <w14:schemeClr w14:val="tx1"/>
                </w14:solidFill>
              </w14:textFill>
            </w:rPr>
            <w:t>第6章</w:t>
          </w:r>
          <w:r>
            <w:rPr>
              <w:rFonts w:asciiTheme="minorHAnsi" w:hAnsiTheme="minorHAnsi" w:eastAsiaTheme="minorEastAsia" w:cstheme="minorBidi"/>
              <w:bCs w:val="0"/>
              <w:caps w:val="0"/>
              <w:color w:val="000000" w:themeColor="text1"/>
              <w:sz w:val="21"/>
              <w:szCs w:val="22"/>
              <w14:textFill>
                <w14:solidFill>
                  <w14:schemeClr w14:val="tx1"/>
                </w14:solidFill>
              </w14:textFill>
            </w:rPr>
            <w:tab/>
          </w:r>
          <w:r>
            <w:rPr>
              <w:rStyle w:val="47"/>
              <w:rFonts w:hint="eastAsia"/>
              <w:color w:val="000000" w:themeColor="text1"/>
              <w14:textFill>
                <w14:solidFill>
                  <w14:schemeClr w14:val="tx1"/>
                </w14:solidFill>
              </w14:textFill>
            </w:rPr>
            <w:t>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_Toc65573704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9"/>
            <w:rPr>
              <w:rFonts w:asciiTheme="minorHAnsi" w:hAnsiTheme="minorHAnsi" w:eastAsiaTheme="minorEastAsia" w:cstheme="minorBidi"/>
              <w:bCs w:val="0"/>
              <w:caps w:val="0"/>
              <w:color w:val="000000" w:themeColor="text1"/>
              <w:sz w:val="21"/>
              <w:szCs w:val="22"/>
              <w14:textFill>
                <w14:solidFill>
                  <w14:schemeClr w14:val="tx1"/>
                </w14:solidFill>
              </w14:textFill>
            </w:rPr>
          </w:pPr>
          <w:r>
            <w:fldChar w:fldCharType="begin"/>
          </w:r>
          <w:r>
            <w:instrText xml:space="preserve"> HYPERLINK \l "_Toc65573715" </w:instrText>
          </w:r>
          <w:r>
            <w:fldChar w:fldCharType="separate"/>
          </w:r>
          <w:r>
            <w:rPr>
              <w:rStyle w:val="47"/>
              <w:rFonts w:hint="eastAsia" w:ascii="Times New Roman" w:hAnsi="Times New Roman"/>
              <w:color w:val="000000" w:themeColor="text1"/>
              <w14:textFill>
                <w14:solidFill>
                  <w14:schemeClr w14:val="tx1"/>
                </w14:solidFill>
              </w14:textFill>
            </w:rPr>
            <w:t>第7章</w:t>
          </w:r>
          <w:r>
            <w:rPr>
              <w:rFonts w:asciiTheme="minorHAnsi" w:hAnsiTheme="minorHAnsi" w:eastAsiaTheme="minorEastAsia" w:cstheme="minorBidi"/>
              <w:bCs w:val="0"/>
              <w:caps w:val="0"/>
              <w:color w:val="000000" w:themeColor="text1"/>
              <w:sz w:val="21"/>
              <w:szCs w:val="22"/>
              <w14:textFill>
                <w14:solidFill>
                  <w14:schemeClr w14:val="tx1"/>
                </w14:solidFill>
              </w14:textFill>
            </w:rPr>
            <w:tab/>
          </w:r>
          <w:r>
            <w:rPr>
              <w:rStyle w:val="47"/>
              <w:rFonts w:hint="eastAsia"/>
              <w:color w:val="000000" w:themeColor="text1"/>
              <w14:textFill>
                <w14:solidFill>
                  <w14:schemeClr w14:val="tx1"/>
                </w14:solidFill>
              </w14:textFill>
            </w:rPr>
            <w:t>拟签订合同文本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_Toc65573715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8647"/>
              <w:tab w:val="clear" w:pos="8364"/>
            </w:tabs>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end"/>
          </w:r>
        </w:p>
      </w:sdtContent>
    </w:sdt>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
      <w:pPr>
        <w:pStyle w:val="3"/>
        <w:numPr>
          <w:ilvl w:val="0"/>
          <w:numId w:val="4"/>
        </w:numPr>
        <w:spacing w:before="0" w:after="0" w:line="560" w:lineRule="exact"/>
        <w:ind w:left="0" w:firstLine="0"/>
        <w:rPr>
          <w:color w:val="000000" w:themeColor="text1"/>
          <w14:textFill>
            <w14:solidFill>
              <w14:schemeClr w14:val="tx1"/>
            </w14:solidFill>
          </w14:textFill>
        </w:rPr>
      </w:pPr>
      <w:bookmarkStart w:id="6" w:name="_Toc25954"/>
      <w:bookmarkStart w:id="7" w:name="_Toc26321"/>
      <w:bookmarkStart w:id="8" w:name="_Toc181591102"/>
      <w:bookmarkStart w:id="9" w:name="_Toc65573684"/>
      <w:bookmarkStart w:id="10" w:name="_Toc181610856"/>
      <w:bookmarkStart w:id="11" w:name="_Toc20241"/>
      <w:bookmarkStart w:id="12" w:name="_Toc204575871"/>
      <w:bookmarkStart w:id="13" w:name="_Toc22017"/>
      <w:r>
        <w:rPr>
          <w:rFonts w:hint="eastAsia"/>
          <w:color w:val="000000" w:themeColor="text1"/>
          <w14:textFill>
            <w14:solidFill>
              <w14:schemeClr w14:val="tx1"/>
            </w14:solidFill>
          </w14:textFill>
        </w:rPr>
        <w:t>投标邀请</w:t>
      </w:r>
      <w:bookmarkEnd w:id="6"/>
      <w:bookmarkEnd w:id="7"/>
      <w:bookmarkEnd w:id="8"/>
      <w:bookmarkEnd w:id="9"/>
      <w:bookmarkEnd w:id="10"/>
      <w:bookmarkEnd w:id="11"/>
      <w:bookmarkEnd w:id="12"/>
      <w:bookmarkEnd w:id="13"/>
    </w:p>
    <w:p>
      <w:pPr>
        <w:tabs>
          <w:tab w:val="left" w:pos="2552"/>
        </w:tabs>
        <w:spacing w:line="560" w:lineRule="exact"/>
        <w:ind w:left="1" w:firstLine="562" w:firstLineChars="201"/>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都江堰市公共资源交易服务中心</w:t>
      </w:r>
      <w:r>
        <w:rPr>
          <w:rFonts w:hint="eastAsia" w:ascii="宋体" w:hAnsi="宋体"/>
          <w:color w:val="000000" w:themeColor="text1"/>
          <w:sz w:val="28"/>
          <w:szCs w:val="28"/>
          <w14:textFill>
            <w14:solidFill>
              <w14:schemeClr w14:val="tx1"/>
            </w14:solidFill>
          </w14:textFill>
        </w:rPr>
        <w:t>(以下简称“市公资交易中心”)</w:t>
      </w:r>
      <w:r>
        <w:rPr>
          <w:rFonts w:hint="eastAsia" w:asciiTheme="minorEastAsia" w:hAnsiTheme="minorEastAsia" w:eastAsiaTheme="minorEastAsia"/>
          <w:color w:val="000000" w:themeColor="text1"/>
          <w:sz w:val="28"/>
          <w:szCs w:val="28"/>
          <w14:textFill>
            <w14:solidFill>
              <w14:schemeClr w14:val="tx1"/>
            </w14:solidFill>
          </w14:textFill>
        </w:rPr>
        <w:t>受</w:t>
      </w:r>
      <w:r>
        <w:rPr>
          <w:rFonts w:hint="eastAsia" w:ascii="华文中宋" w:hAnsi="华文中宋" w:eastAsia="华文中宋"/>
          <w:color w:val="FF0000"/>
          <w:sz w:val="32"/>
          <w:szCs w:val="32"/>
        </w:rPr>
        <w:t>都江堰市人民政府幸福街道办事处</w:t>
      </w:r>
      <w:r>
        <w:rPr>
          <w:rFonts w:hint="eastAsia" w:asciiTheme="minorEastAsia" w:hAnsiTheme="minorEastAsia" w:eastAsiaTheme="minorEastAsia"/>
          <w:color w:val="000000" w:themeColor="text1"/>
          <w:sz w:val="28"/>
          <w:szCs w:val="28"/>
          <w14:textFill>
            <w14:solidFill>
              <w14:schemeClr w14:val="tx1"/>
            </w14:solidFill>
          </w14:textFill>
        </w:rPr>
        <w:t>委托</w:t>
      </w:r>
      <w:r>
        <w:rPr>
          <w:rFonts w:hint="eastAsia" w:ascii="宋体" w:hAnsi="宋体"/>
          <w:color w:val="000000" w:themeColor="text1"/>
          <w:sz w:val="28"/>
          <w:szCs w:val="28"/>
          <w14:textFill>
            <w14:solidFill>
              <w14:schemeClr w14:val="tx1"/>
            </w14:solidFill>
          </w14:textFill>
        </w:rPr>
        <w:t>拟对</w:t>
      </w:r>
      <w:r>
        <w:rPr>
          <w:rFonts w:hint="eastAsia" w:ascii="宋体" w:hAnsi="宋体"/>
          <w:b/>
          <w:color w:val="000000" w:themeColor="text1"/>
          <w:sz w:val="28"/>
          <w:szCs w:val="28"/>
          <w14:textFill>
            <w14:solidFill>
              <w14:schemeClr w14:val="tx1"/>
            </w14:solidFill>
          </w14:textFill>
        </w:rPr>
        <w:t>都江堰市人民政府幸福街道办事处 2021 年物业</w:t>
      </w:r>
      <w:r>
        <w:rPr>
          <w:rFonts w:hint="eastAsia" w:ascii="宋体" w:hAnsi="宋体"/>
          <w:b/>
          <w:color w:val="000000" w:themeColor="text1"/>
          <w:sz w:val="28"/>
          <w:szCs w:val="28"/>
          <w:lang w:eastAsia="zh-CN"/>
          <w14:textFill>
            <w14:solidFill>
              <w14:schemeClr w14:val="tx1"/>
            </w14:solidFill>
          </w14:textFill>
        </w:rPr>
        <w:t>管理</w:t>
      </w:r>
      <w:r>
        <w:rPr>
          <w:rFonts w:hint="eastAsia" w:ascii="宋体" w:hAnsi="宋体"/>
          <w:b/>
          <w:color w:val="000000" w:themeColor="text1"/>
          <w:sz w:val="28"/>
          <w:szCs w:val="28"/>
          <w14:textFill>
            <w14:solidFill>
              <w14:schemeClr w14:val="tx1"/>
            </w14:solidFill>
          </w14:textFill>
        </w:rPr>
        <w:t>服务</w:t>
      </w:r>
      <w:r>
        <w:rPr>
          <w:rFonts w:hint="eastAsia" w:ascii="宋体" w:hAnsi="宋体"/>
          <w:b/>
          <w:color w:val="000000" w:themeColor="text1"/>
          <w:sz w:val="28"/>
          <w:szCs w:val="28"/>
          <w:lang w:eastAsia="zh-CN"/>
          <w14:textFill>
            <w14:solidFill>
              <w14:schemeClr w14:val="tx1"/>
            </w14:solidFill>
          </w14:textFill>
        </w:rPr>
        <w:t>采购项目</w:t>
      </w:r>
      <w:r>
        <w:rPr>
          <w:rFonts w:hint="eastAsia" w:ascii="宋体" w:hAnsi="宋体"/>
          <w:color w:val="000000" w:themeColor="text1"/>
          <w:sz w:val="28"/>
          <w:szCs w:val="28"/>
          <w14:textFill>
            <w14:solidFill>
              <w14:schemeClr w14:val="tx1"/>
            </w14:solidFill>
          </w14:textFill>
        </w:rPr>
        <w:t>进行国内公开招标，兹邀请符合本次招标要求的供应商参加投标。</w:t>
      </w:r>
    </w:p>
    <w:p>
      <w:pPr>
        <w:numPr>
          <w:ilvl w:val="0"/>
          <w:numId w:val="5"/>
        </w:numPr>
        <w:spacing w:after="200" w:line="560" w:lineRule="exact"/>
        <w:ind w:left="0" w:firstLine="567"/>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FF0000"/>
          <w:sz w:val="28"/>
          <w:szCs w:val="28"/>
          <w:lang w:val="en-US" w:eastAsia="zh-CN"/>
        </w:rPr>
        <w:t>JY3202</w:t>
      </w:r>
      <w:r>
        <w:rPr>
          <w:rFonts w:hint="eastAsia" w:ascii="宋体" w:hAnsi="宋体"/>
          <w:b/>
          <w:color w:val="FF0000"/>
          <w:sz w:val="28"/>
          <w:szCs w:val="28"/>
          <w:u w:val="single"/>
          <w:lang w:val="en-US" w:eastAsia="zh-CN"/>
        </w:rPr>
        <w:t>10103</w:t>
      </w:r>
      <w:r>
        <w:rPr>
          <w:rFonts w:hint="eastAsia" w:ascii="宋体" w:hAnsi="宋体"/>
          <w:b/>
          <w:color w:val="FF0000"/>
          <w:sz w:val="28"/>
          <w:szCs w:val="28"/>
        </w:rPr>
        <w:t>号</w:t>
      </w:r>
    </w:p>
    <w:p>
      <w:pPr>
        <w:numPr>
          <w:ilvl w:val="0"/>
          <w:numId w:val="5"/>
        </w:numPr>
        <w:spacing w:after="200" w:line="560" w:lineRule="exact"/>
        <w:ind w:left="0" w:firstLine="567"/>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项目名称：都江堰市人民政府幸福街道办事处 2021 年物业</w:t>
      </w:r>
      <w:r>
        <w:rPr>
          <w:rFonts w:hint="eastAsia" w:ascii="宋体" w:hAnsi="宋体"/>
          <w:b/>
          <w:color w:val="000000" w:themeColor="text1"/>
          <w:sz w:val="28"/>
          <w:szCs w:val="28"/>
          <w:lang w:eastAsia="zh-CN"/>
          <w14:textFill>
            <w14:solidFill>
              <w14:schemeClr w14:val="tx1"/>
            </w14:solidFill>
          </w14:textFill>
        </w:rPr>
        <w:t>管理</w:t>
      </w:r>
      <w:r>
        <w:rPr>
          <w:rFonts w:hint="eastAsia" w:ascii="宋体" w:hAnsi="宋体"/>
          <w:b/>
          <w:color w:val="000000" w:themeColor="text1"/>
          <w:sz w:val="28"/>
          <w:szCs w:val="28"/>
          <w14:textFill>
            <w14:solidFill>
              <w14:schemeClr w14:val="tx1"/>
            </w14:solidFill>
          </w14:textFill>
        </w:rPr>
        <w:t>服务</w:t>
      </w:r>
      <w:r>
        <w:rPr>
          <w:rFonts w:hint="eastAsia" w:ascii="宋体" w:hAnsi="宋体"/>
          <w:b/>
          <w:color w:val="000000" w:themeColor="text1"/>
          <w:sz w:val="28"/>
          <w:szCs w:val="28"/>
          <w:lang w:eastAsia="zh-CN"/>
          <w14:textFill>
            <w14:solidFill>
              <w14:schemeClr w14:val="tx1"/>
            </w14:solidFill>
          </w14:textFill>
        </w:rPr>
        <w:t>采购项目</w:t>
      </w:r>
    </w:p>
    <w:p>
      <w:pPr>
        <w:numPr>
          <w:ilvl w:val="0"/>
          <w:numId w:val="5"/>
        </w:numPr>
        <w:spacing w:after="200" w:line="560" w:lineRule="exact"/>
        <w:ind w:left="0" w:firstLine="567"/>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资金来源、预算金额及最高限价：</w:t>
      </w:r>
      <w:r>
        <w:rPr>
          <w:rFonts w:hint="eastAsia" w:ascii="宋体" w:hAnsi="宋体"/>
          <w:color w:val="000000" w:themeColor="text1"/>
          <w:sz w:val="28"/>
          <w:szCs w:val="28"/>
          <w14:textFill>
            <w14:solidFill>
              <w14:schemeClr w14:val="tx1"/>
            </w14:solidFill>
          </w14:textFill>
        </w:rPr>
        <w:t>财政性资金，政府采购实施计划备案表号：</w:t>
      </w:r>
      <w:r>
        <w:rPr>
          <w:rFonts w:hint="eastAsia" w:ascii="宋体" w:hAnsi="宋体"/>
          <w:color w:val="FF0000"/>
          <w:sz w:val="28"/>
          <w:szCs w:val="28"/>
          <w:lang w:val="en-US" w:eastAsia="zh-CN"/>
        </w:rPr>
        <w:t>SCZC510181713101_20210002</w:t>
      </w:r>
      <w:r>
        <w:rPr>
          <w:rFonts w:hint="eastAsia" w:ascii="宋体" w:hAnsi="宋体"/>
          <w:color w:val="000000" w:themeColor="text1"/>
          <w:sz w:val="28"/>
          <w:szCs w:val="28"/>
          <w14:textFill>
            <w14:solidFill>
              <w14:schemeClr w14:val="tx1"/>
            </w14:solidFill>
          </w14:textFill>
        </w:rPr>
        <w:t>。预算品目：</w:t>
      </w:r>
      <w:r>
        <w:rPr>
          <w:rFonts w:hint="eastAsia" w:ascii="宋体" w:hAnsi="宋体"/>
          <w:color w:val="FF0000"/>
          <w:sz w:val="28"/>
          <w:szCs w:val="28"/>
        </w:rPr>
        <w:t>C</w:t>
      </w:r>
      <w:r>
        <w:rPr>
          <w:rFonts w:hint="eastAsia" w:ascii="宋体" w:hAnsi="宋体"/>
          <w:color w:val="FF0000"/>
          <w:sz w:val="28"/>
          <w:szCs w:val="28"/>
          <w:lang w:val="en-US" w:eastAsia="zh-CN"/>
        </w:rPr>
        <w:t xml:space="preserve">1204  </w:t>
      </w:r>
      <w:r>
        <w:rPr>
          <w:rFonts w:hint="eastAsia" w:ascii="宋体" w:hAnsi="宋体"/>
          <w:color w:val="FF0000"/>
          <w:sz w:val="28"/>
          <w:szCs w:val="28"/>
        </w:rPr>
        <w:t xml:space="preserve"> </w:t>
      </w:r>
      <w:r>
        <w:rPr>
          <w:rFonts w:hint="eastAsia" w:ascii="宋体" w:hAnsi="宋体"/>
          <w:color w:val="FF0000"/>
          <w:sz w:val="28"/>
          <w:szCs w:val="28"/>
          <w:lang w:eastAsia="zh-CN"/>
        </w:rPr>
        <w:t>物业管理</w:t>
      </w:r>
      <w:r>
        <w:rPr>
          <w:rFonts w:hint="eastAsia" w:ascii="宋体" w:hAnsi="宋体"/>
          <w:color w:val="000000" w:themeColor="text1"/>
          <w:sz w:val="28"/>
          <w:szCs w:val="28"/>
          <w14:textFill>
            <w14:solidFill>
              <w14:schemeClr w14:val="tx1"/>
            </w14:solidFill>
          </w14:textFill>
        </w:rPr>
        <w:t>服务；预算金额：</w:t>
      </w:r>
      <w:r>
        <w:rPr>
          <w:rFonts w:hint="eastAsia" w:ascii="宋体" w:hAnsi="宋体"/>
          <w:color w:val="FF0000"/>
          <w:sz w:val="28"/>
          <w:szCs w:val="28"/>
          <w:lang w:val="en-US" w:eastAsia="zh-CN"/>
        </w:rPr>
        <w:t>300000</w:t>
      </w:r>
      <w:r>
        <w:rPr>
          <w:rFonts w:hint="eastAsia" w:ascii="宋体" w:hAnsi="宋体"/>
          <w:color w:val="000000" w:themeColor="text1"/>
          <w:sz w:val="28"/>
          <w:szCs w:val="28"/>
          <w14:textFill>
            <w14:solidFill>
              <w14:schemeClr w14:val="tx1"/>
            </w14:solidFill>
          </w14:textFill>
        </w:rPr>
        <w:t>元；最高限价：</w:t>
      </w:r>
      <w:r>
        <w:rPr>
          <w:rFonts w:hint="eastAsia" w:ascii="宋体" w:hAnsi="宋体"/>
          <w:color w:val="FF0000"/>
          <w:sz w:val="28"/>
          <w:szCs w:val="28"/>
          <w:lang w:val="en-US" w:eastAsia="zh-CN"/>
        </w:rPr>
        <w:t>300000</w:t>
      </w:r>
      <w:r>
        <w:rPr>
          <w:rFonts w:hint="eastAsia" w:ascii="宋体" w:hAnsi="宋体"/>
          <w:color w:val="000000" w:themeColor="text1"/>
          <w:sz w:val="28"/>
          <w:szCs w:val="28"/>
          <w14:textFill>
            <w14:solidFill>
              <w14:schemeClr w14:val="tx1"/>
            </w14:solidFill>
          </w14:textFill>
        </w:rPr>
        <w:t>元；</w:t>
      </w:r>
      <w:r>
        <w:rPr>
          <w:rFonts w:hint="eastAsia" w:ascii="宋体" w:hAnsi="宋体"/>
          <w:color w:val="000000"/>
          <w:sz w:val="28"/>
          <w:szCs w:val="28"/>
        </w:rPr>
        <w:t>采购标的：</w:t>
      </w:r>
      <w:r>
        <w:rPr>
          <w:rFonts w:hint="eastAsia" w:ascii="宋体" w:hAnsi="宋体"/>
          <w:color w:val="FF0000"/>
          <w:sz w:val="28"/>
          <w:szCs w:val="28"/>
        </w:rPr>
        <w:t>物业管理服务</w:t>
      </w:r>
      <w:r>
        <w:rPr>
          <w:rFonts w:hint="eastAsia" w:ascii="宋体" w:hAnsi="宋体"/>
          <w:color w:val="000000"/>
          <w:sz w:val="28"/>
          <w:szCs w:val="28"/>
        </w:rPr>
        <w:t>；所属行业：</w:t>
      </w:r>
      <w:r>
        <w:rPr>
          <w:rFonts w:hint="eastAsia" w:ascii="宋体" w:hAnsi="宋体"/>
          <w:color w:val="FF0000"/>
          <w:sz w:val="28"/>
          <w:szCs w:val="28"/>
        </w:rPr>
        <w:t>物业管理</w:t>
      </w:r>
      <w:r>
        <w:rPr>
          <w:rFonts w:hint="eastAsia" w:ascii="宋体" w:hAnsi="宋体"/>
          <w:color w:val="000000"/>
          <w:sz w:val="28"/>
          <w:szCs w:val="28"/>
        </w:rPr>
        <w:t>。</w:t>
      </w:r>
    </w:p>
    <w:p>
      <w:pPr>
        <w:numPr>
          <w:ilvl w:val="0"/>
          <w:numId w:val="5"/>
        </w:numPr>
        <w:spacing w:after="200" w:line="560" w:lineRule="exact"/>
        <w:ind w:left="0" w:firstLine="567"/>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招标项目简介</w:t>
      </w:r>
    </w:p>
    <w:p>
      <w:pPr>
        <w:pStyle w:val="2"/>
        <w:spacing w:before="177" w:line="240" w:lineRule="auto"/>
        <w:ind w:left="559" w:leftChars="266" w:right="0" w:firstLine="0" w:firstLineChars="0"/>
        <w:jc w:val="left"/>
        <w:rPr>
          <w:rFonts w:hint="eastAsia" w:ascii="宋体" w:hAnsi="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本次采购服务内容为</w:t>
      </w:r>
      <w:r>
        <w:rPr>
          <w:rFonts w:hint="eastAsia" w:ascii="宋体" w:hAnsi="宋体"/>
          <w:color w:val="000000" w:themeColor="text1"/>
          <w:sz w:val="28"/>
          <w:szCs w:val="28"/>
          <w:lang w:eastAsia="zh-CN"/>
          <w14:textFill>
            <w14:solidFill>
              <w14:schemeClr w14:val="tx1"/>
            </w14:solidFill>
          </w14:textFill>
        </w:rPr>
        <w:t>：</w:t>
      </w:r>
    </w:p>
    <w:p>
      <w:pPr>
        <w:pStyle w:val="2"/>
        <w:spacing w:before="177" w:line="240" w:lineRule="auto"/>
        <w:ind w:left="559" w:leftChars="266" w:right="0" w:firstLine="0" w:firstLineChars="0"/>
        <w:jc w:val="left"/>
        <w:rPr>
          <w:sz w:val="28"/>
          <w:szCs w:val="28"/>
        </w:rPr>
      </w:pPr>
      <w:r>
        <w:rPr>
          <w:rFonts w:hint="eastAsia" w:ascii="宋体" w:hAnsi="宋体"/>
          <w:color w:val="000000" w:themeColor="text1"/>
          <w:sz w:val="28"/>
          <w:szCs w:val="28"/>
          <w:lang w:val="en-US" w:eastAsia="zh-CN"/>
          <w14:textFill>
            <w14:solidFill>
              <w14:schemeClr w14:val="tx1"/>
            </w14:solidFill>
          </w14:textFill>
        </w:rPr>
        <w:t>1、</w:t>
      </w:r>
      <w:r>
        <w:rPr>
          <w:sz w:val="28"/>
          <w:szCs w:val="28"/>
        </w:rPr>
        <w:t>项目概况：位于成都市都江堰市都江堰大道</w:t>
      </w:r>
      <w:r>
        <w:rPr>
          <w:spacing w:val="-57"/>
          <w:sz w:val="28"/>
          <w:szCs w:val="28"/>
        </w:rPr>
        <w:t xml:space="preserve"> </w:t>
      </w:r>
      <w:r>
        <w:rPr>
          <w:rFonts w:ascii="Times New Roman" w:hAnsi="Times New Roman" w:eastAsia="Times New Roman" w:cs="Times New Roman"/>
          <w:sz w:val="28"/>
          <w:szCs w:val="28"/>
        </w:rPr>
        <w:t>299</w:t>
      </w:r>
      <w:r>
        <w:rPr>
          <w:rFonts w:ascii="Times New Roman" w:hAnsi="Times New Roman" w:eastAsia="Times New Roman" w:cs="Times New Roman"/>
          <w:spacing w:val="-3"/>
          <w:sz w:val="28"/>
          <w:szCs w:val="28"/>
        </w:rPr>
        <w:t xml:space="preserve"> </w:t>
      </w:r>
      <w:r>
        <w:rPr>
          <w:sz w:val="28"/>
          <w:szCs w:val="28"/>
        </w:rPr>
        <w:t>号，</w:t>
      </w:r>
      <w:r>
        <w:rPr>
          <w:spacing w:val="-6"/>
          <w:sz w:val="28"/>
          <w:szCs w:val="28"/>
        </w:rPr>
        <w:t xml:space="preserve"> </w:t>
      </w:r>
      <w:r>
        <w:rPr>
          <w:rFonts w:ascii="Times New Roman" w:hAnsi="Times New Roman" w:eastAsia="Times New Roman" w:cs="Times New Roman"/>
          <w:sz w:val="28"/>
          <w:szCs w:val="28"/>
        </w:rPr>
        <w:t>1</w:t>
      </w:r>
      <w:r>
        <w:rPr>
          <w:rFonts w:ascii="Times New Roman" w:hAnsi="Times New Roman" w:eastAsia="Times New Roman" w:cs="Times New Roman"/>
          <w:spacing w:val="-5"/>
          <w:sz w:val="28"/>
          <w:szCs w:val="28"/>
        </w:rPr>
        <w:t xml:space="preserve"> </w:t>
      </w:r>
      <w:r>
        <w:rPr>
          <w:sz w:val="28"/>
          <w:szCs w:val="28"/>
        </w:rPr>
        <w:t>道主大门，</w:t>
      </w:r>
      <w:r>
        <w:rPr>
          <w:rFonts w:ascii="Times New Roman" w:hAnsi="Times New Roman" w:eastAsia="Times New Roman" w:cs="Times New Roman"/>
          <w:sz w:val="28"/>
          <w:szCs w:val="28"/>
        </w:rPr>
        <w:t>3</w:t>
      </w:r>
      <w:r>
        <w:rPr>
          <w:rFonts w:ascii="Times New Roman" w:hAnsi="Times New Roman" w:eastAsia="Times New Roman" w:cs="Times New Roman"/>
          <w:spacing w:val="-3"/>
          <w:sz w:val="28"/>
          <w:szCs w:val="28"/>
        </w:rPr>
        <w:t xml:space="preserve"> </w:t>
      </w:r>
      <w:r>
        <w:rPr>
          <w:sz w:val="28"/>
          <w:szCs w:val="28"/>
        </w:rPr>
        <w:t>栋办公大楼。</w:t>
      </w:r>
    </w:p>
    <w:p>
      <w:pPr>
        <w:pStyle w:val="2"/>
        <w:numPr>
          <w:ilvl w:val="0"/>
          <w:numId w:val="0"/>
        </w:numPr>
        <w:spacing w:before="177" w:line="240" w:lineRule="auto"/>
        <w:ind w:leftChars="266" w:right="0" w:rightChars="0"/>
        <w:jc w:val="left"/>
        <w:rPr>
          <w:sz w:val="28"/>
          <w:szCs w:val="28"/>
        </w:rPr>
      </w:pPr>
      <w:r>
        <w:rPr>
          <w:rFonts w:hint="eastAsia" w:ascii="Times New Roman" w:hAnsi="Times New Roman" w:cs="Times New Roman"/>
          <w:sz w:val="28"/>
          <w:szCs w:val="28"/>
          <w:lang w:val="en-US" w:eastAsia="zh-CN"/>
        </w:rPr>
        <w:t>2、</w:t>
      </w:r>
      <w:r>
        <w:rPr>
          <w:sz w:val="28"/>
          <w:szCs w:val="28"/>
        </w:rPr>
        <w:t>服务面积：占地</w:t>
      </w:r>
      <w:r>
        <w:rPr>
          <w:spacing w:val="-57"/>
          <w:sz w:val="28"/>
          <w:szCs w:val="28"/>
        </w:rPr>
        <w:t xml:space="preserve"> </w:t>
      </w:r>
      <w:r>
        <w:rPr>
          <w:rFonts w:ascii="Times New Roman" w:hAnsi="Times New Roman" w:eastAsia="Times New Roman" w:cs="Times New Roman"/>
          <w:sz w:val="28"/>
          <w:szCs w:val="28"/>
        </w:rPr>
        <w:t>8.9</w:t>
      </w:r>
      <w:r>
        <w:rPr>
          <w:rFonts w:ascii="Times New Roman" w:hAnsi="Times New Roman" w:eastAsia="Times New Roman" w:cs="Times New Roman"/>
          <w:spacing w:val="-3"/>
          <w:sz w:val="28"/>
          <w:szCs w:val="28"/>
        </w:rPr>
        <w:t xml:space="preserve"> </w:t>
      </w:r>
      <w:r>
        <w:rPr>
          <w:sz w:val="28"/>
          <w:szCs w:val="28"/>
        </w:rPr>
        <w:t>亩，主，附楼共计</w:t>
      </w:r>
      <w:r>
        <w:rPr>
          <w:spacing w:val="-54"/>
          <w:sz w:val="28"/>
          <w:szCs w:val="28"/>
        </w:rPr>
        <w:t xml:space="preserve"> </w:t>
      </w:r>
      <w:r>
        <w:rPr>
          <w:rFonts w:ascii="Times New Roman" w:hAnsi="Times New Roman" w:eastAsia="Times New Roman" w:cs="Times New Roman"/>
          <w:sz w:val="28"/>
          <w:szCs w:val="28"/>
        </w:rPr>
        <w:t>4456</w:t>
      </w:r>
      <w:r>
        <w:rPr>
          <w:rFonts w:ascii="Times New Roman" w:hAnsi="Times New Roman" w:eastAsia="Times New Roman" w:cs="Times New Roman"/>
          <w:spacing w:val="-7"/>
          <w:sz w:val="28"/>
          <w:szCs w:val="28"/>
        </w:rPr>
        <w:t xml:space="preserve"> </w:t>
      </w:r>
      <w:r>
        <w:rPr>
          <w:sz w:val="28"/>
          <w:szCs w:val="28"/>
        </w:rPr>
        <w:t>平方米。</w:t>
      </w:r>
    </w:p>
    <w:tbl>
      <w:tblPr>
        <w:tblStyle w:val="43"/>
        <w:tblpPr w:leftFromText="180" w:rightFromText="180" w:vertAnchor="text" w:horzAnchor="page" w:tblpX="1257" w:tblpY="366"/>
        <w:tblOverlap w:val="never"/>
        <w:tblW w:w="9392" w:type="dxa"/>
        <w:tblInd w:w="0" w:type="dxa"/>
        <w:tblLayout w:type="fixed"/>
        <w:tblCellMar>
          <w:top w:w="0" w:type="dxa"/>
          <w:left w:w="0" w:type="dxa"/>
          <w:bottom w:w="0" w:type="dxa"/>
          <w:right w:w="0" w:type="dxa"/>
        </w:tblCellMar>
      </w:tblPr>
      <w:tblGrid>
        <w:gridCol w:w="1821"/>
        <w:gridCol w:w="2145"/>
        <w:gridCol w:w="1376"/>
        <w:gridCol w:w="1590"/>
        <w:gridCol w:w="2460"/>
      </w:tblGrid>
      <w:tr>
        <w:tblPrEx>
          <w:tblLayout w:type="fixed"/>
          <w:tblCellMar>
            <w:top w:w="0" w:type="dxa"/>
            <w:left w:w="0" w:type="dxa"/>
            <w:bottom w:w="0" w:type="dxa"/>
            <w:right w:w="0" w:type="dxa"/>
          </w:tblCellMar>
        </w:tblPrEx>
        <w:trPr>
          <w:trHeight w:val="430" w:hRule="exact"/>
        </w:trPr>
        <w:tc>
          <w:tcPr>
            <w:tcW w:w="9392" w:type="dxa"/>
            <w:gridSpan w:val="5"/>
            <w:tcBorders>
              <w:top w:val="single" w:color="000000" w:sz="4" w:space="0"/>
              <w:left w:val="single" w:color="000000" w:sz="4" w:space="0"/>
              <w:bottom w:val="single" w:color="000000" w:sz="4" w:space="0"/>
              <w:right w:val="single" w:color="000000" w:sz="4" w:space="0"/>
            </w:tcBorders>
          </w:tcPr>
          <w:p>
            <w:pPr>
              <w:pStyle w:val="236"/>
              <w:spacing w:before="91" w:line="240" w:lineRule="auto"/>
              <w:ind w:left="0" w:leftChars="0" w:right="0" w:firstLine="0" w:firstLineChars="0"/>
              <w:jc w:val="left"/>
              <w:rPr>
                <w:rFonts w:ascii="宋体" w:hAnsi="宋体" w:eastAsia="宋体" w:cs="宋体"/>
                <w:sz w:val="21"/>
                <w:szCs w:val="21"/>
              </w:rPr>
            </w:pPr>
            <w:r>
              <w:rPr>
                <w:rFonts w:ascii="宋体" w:hAnsi="宋体" w:eastAsia="宋体" w:cs="宋体"/>
                <w:sz w:val="21"/>
                <w:szCs w:val="21"/>
              </w:rPr>
              <w:t>服务面积表</w:t>
            </w:r>
          </w:p>
        </w:tc>
      </w:tr>
      <w:tr>
        <w:tblPrEx>
          <w:tblLayout w:type="fixed"/>
          <w:tblCellMar>
            <w:top w:w="0" w:type="dxa"/>
            <w:left w:w="0" w:type="dxa"/>
            <w:bottom w:w="0" w:type="dxa"/>
            <w:right w:w="0" w:type="dxa"/>
          </w:tblCellMar>
        </w:tblPrEx>
        <w:trPr>
          <w:trHeight w:val="430" w:hRule="exact"/>
        </w:trPr>
        <w:tc>
          <w:tcPr>
            <w:tcW w:w="1821" w:type="dxa"/>
            <w:tcBorders>
              <w:top w:val="single" w:color="000000" w:sz="4" w:space="0"/>
              <w:left w:val="single" w:color="000000" w:sz="4" w:space="0"/>
              <w:bottom w:val="single" w:color="000000" w:sz="4" w:space="0"/>
              <w:right w:val="single" w:color="000000" w:sz="4" w:space="0"/>
            </w:tcBorders>
          </w:tcPr>
          <w:p>
            <w:pPr>
              <w:pStyle w:val="236"/>
              <w:spacing w:before="91" w:line="240" w:lineRule="auto"/>
              <w:ind w:left="0" w:leftChars="0" w:right="0" w:firstLine="0" w:firstLineChars="0"/>
              <w:jc w:val="center"/>
              <w:rPr>
                <w:rFonts w:ascii="宋体" w:hAnsi="宋体" w:eastAsia="宋体" w:cs="宋体"/>
                <w:sz w:val="21"/>
                <w:szCs w:val="21"/>
              </w:rPr>
            </w:pPr>
            <w:r>
              <w:rPr>
                <w:rFonts w:ascii="宋体" w:hAnsi="宋体" w:eastAsia="宋体" w:cs="宋体"/>
                <w:sz w:val="21"/>
                <w:szCs w:val="21"/>
              </w:rPr>
              <w:t>地点</w:t>
            </w:r>
          </w:p>
        </w:tc>
        <w:tc>
          <w:tcPr>
            <w:tcW w:w="2145" w:type="dxa"/>
            <w:tcBorders>
              <w:top w:val="single" w:color="000000" w:sz="4" w:space="0"/>
              <w:left w:val="single" w:color="000000" w:sz="4" w:space="0"/>
              <w:bottom w:val="single" w:color="000000" w:sz="4" w:space="0"/>
              <w:right w:val="single" w:color="000000" w:sz="4" w:space="0"/>
            </w:tcBorders>
          </w:tcPr>
          <w:p>
            <w:pPr>
              <w:pStyle w:val="236"/>
              <w:spacing w:before="91" w:line="240" w:lineRule="auto"/>
              <w:ind w:left="0" w:leftChars="0" w:right="1" w:firstLine="0" w:firstLineChars="0"/>
              <w:jc w:val="center"/>
              <w:rPr>
                <w:rFonts w:ascii="宋体" w:hAnsi="宋体" w:eastAsia="宋体" w:cs="宋体"/>
                <w:sz w:val="21"/>
                <w:szCs w:val="21"/>
              </w:rPr>
            </w:pPr>
            <w:r>
              <w:rPr>
                <w:rFonts w:ascii="宋体" w:hAnsi="宋体" w:eastAsia="宋体" w:cs="宋体"/>
                <w:sz w:val="21"/>
                <w:szCs w:val="21"/>
              </w:rPr>
              <w:t>楼层数</w:t>
            </w:r>
          </w:p>
        </w:tc>
        <w:tc>
          <w:tcPr>
            <w:tcW w:w="1376" w:type="dxa"/>
            <w:tcBorders>
              <w:top w:val="single" w:color="000000" w:sz="4" w:space="0"/>
              <w:left w:val="single" w:color="000000" w:sz="4" w:space="0"/>
              <w:bottom w:val="single" w:color="000000" w:sz="4" w:space="0"/>
              <w:right w:val="single" w:color="000000" w:sz="4" w:space="0"/>
            </w:tcBorders>
          </w:tcPr>
          <w:p>
            <w:pPr>
              <w:pStyle w:val="236"/>
              <w:spacing w:before="91" w:line="240" w:lineRule="auto"/>
              <w:ind w:left="0" w:leftChars="0" w:right="0" w:firstLine="0" w:firstLineChars="0"/>
              <w:jc w:val="left"/>
              <w:rPr>
                <w:rFonts w:ascii="宋体" w:hAnsi="宋体" w:eastAsia="宋体" w:cs="宋体"/>
                <w:sz w:val="21"/>
                <w:szCs w:val="21"/>
              </w:rPr>
            </w:pPr>
            <w:r>
              <w:rPr>
                <w:rFonts w:ascii="宋体" w:hAnsi="宋体" w:eastAsia="宋体" w:cs="宋体"/>
                <w:sz w:val="21"/>
                <w:szCs w:val="21"/>
              </w:rPr>
              <w:t>每层面积</w:t>
            </w:r>
          </w:p>
        </w:tc>
        <w:tc>
          <w:tcPr>
            <w:tcW w:w="1590" w:type="dxa"/>
            <w:tcBorders>
              <w:top w:val="single" w:color="000000" w:sz="4" w:space="0"/>
              <w:left w:val="single" w:color="000000" w:sz="4" w:space="0"/>
              <w:bottom w:val="single" w:color="000000" w:sz="4" w:space="0"/>
              <w:right w:val="single" w:color="000000" w:sz="4" w:space="0"/>
            </w:tcBorders>
          </w:tcPr>
          <w:p>
            <w:pPr>
              <w:pStyle w:val="236"/>
              <w:spacing w:before="91" w:line="240" w:lineRule="auto"/>
              <w:ind w:left="0" w:leftChars="0" w:right="2" w:firstLine="0" w:firstLineChars="0"/>
              <w:jc w:val="center"/>
              <w:rPr>
                <w:rFonts w:ascii="宋体" w:hAnsi="宋体" w:eastAsia="宋体" w:cs="宋体"/>
                <w:sz w:val="21"/>
                <w:szCs w:val="21"/>
              </w:rPr>
            </w:pPr>
            <w:r>
              <w:rPr>
                <w:rFonts w:ascii="宋体" w:hAnsi="宋体" w:eastAsia="宋体" w:cs="宋体"/>
                <w:sz w:val="21"/>
                <w:szCs w:val="21"/>
              </w:rPr>
              <w:t>小计</w:t>
            </w:r>
          </w:p>
        </w:tc>
        <w:tc>
          <w:tcPr>
            <w:tcW w:w="2460" w:type="dxa"/>
            <w:tcBorders>
              <w:top w:val="single" w:color="000000" w:sz="4" w:space="0"/>
              <w:left w:val="single" w:color="000000" w:sz="4" w:space="0"/>
              <w:bottom w:val="single" w:color="000000" w:sz="4" w:space="0"/>
              <w:right w:val="single" w:color="000000" w:sz="4" w:space="0"/>
            </w:tcBorders>
          </w:tcPr>
          <w:p>
            <w:pPr>
              <w:pStyle w:val="236"/>
              <w:spacing w:before="91" w:line="240" w:lineRule="auto"/>
              <w:ind w:left="0" w:leftChars="0" w:right="1" w:firstLine="0" w:firstLineChars="0"/>
              <w:jc w:val="center"/>
              <w:rPr>
                <w:rFonts w:ascii="宋体" w:hAnsi="宋体" w:eastAsia="宋体" w:cs="宋体"/>
                <w:sz w:val="21"/>
                <w:szCs w:val="21"/>
              </w:rPr>
            </w:pPr>
            <w:r>
              <w:rPr>
                <w:rFonts w:ascii="宋体" w:hAnsi="宋体" w:eastAsia="宋体" w:cs="宋体"/>
                <w:sz w:val="21"/>
                <w:szCs w:val="21"/>
              </w:rPr>
              <w:t>备注</w:t>
            </w:r>
          </w:p>
        </w:tc>
      </w:tr>
      <w:tr>
        <w:tblPrEx>
          <w:tblLayout w:type="fixed"/>
          <w:tblCellMar>
            <w:top w:w="0" w:type="dxa"/>
            <w:left w:w="0" w:type="dxa"/>
            <w:bottom w:w="0" w:type="dxa"/>
            <w:right w:w="0" w:type="dxa"/>
          </w:tblCellMar>
        </w:tblPrEx>
        <w:trPr>
          <w:trHeight w:val="850" w:hRule="exact"/>
        </w:trPr>
        <w:tc>
          <w:tcPr>
            <w:tcW w:w="1821" w:type="dxa"/>
            <w:tcBorders>
              <w:top w:val="single" w:color="000000" w:sz="4" w:space="0"/>
              <w:left w:val="single" w:color="000000" w:sz="4" w:space="0"/>
              <w:bottom w:val="single" w:color="000000" w:sz="4" w:space="0"/>
              <w:right w:val="single" w:color="000000" w:sz="4" w:space="0"/>
            </w:tcBorders>
          </w:tcPr>
          <w:p>
            <w:pPr>
              <w:pStyle w:val="236"/>
              <w:spacing w:before="1" w:line="240" w:lineRule="auto"/>
              <w:ind w:left="0" w:leftChars="0" w:right="0" w:firstLine="0" w:firstLineChars="0"/>
              <w:jc w:val="left"/>
              <w:rPr>
                <w:rFonts w:ascii="宋体" w:hAnsi="宋体" w:eastAsia="宋体" w:cs="宋体"/>
                <w:sz w:val="23"/>
                <w:szCs w:val="23"/>
              </w:rPr>
            </w:pPr>
          </w:p>
          <w:p>
            <w:pPr>
              <w:pStyle w:val="236"/>
              <w:spacing w:line="240" w:lineRule="auto"/>
              <w:ind w:left="0" w:leftChars="0" w:right="0" w:firstLine="0" w:firstLineChars="0"/>
              <w:jc w:val="left"/>
              <w:rPr>
                <w:rFonts w:ascii="宋体" w:hAnsi="宋体" w:eastAsia="宋体" w:cs="宋体"/>
                <w:sz w:val="21"/>
                <w:szCs w:val="21"/>
              </w:rPr>
            </w:pPr>
            <w:r>
              <w:rPr>
                <w:rFonts w:ascii="宋体" w:hAnsi="宋体" w:eastAsia="宋体" w:cs="宋体"/>
                <w:sz w:val="21"/>
                <w:szCs w:val="21"/>
              </w:rPr>
              <w:t>主楼、副楼</w:t>
            </w:r>
          </w:p>
        </w:tc>
        <w:tc>
          <w:tcPr>
            <w:tcW w:w="2145" w:type="dxa"/>
            <w:tcBorders>
              <w:top w:val="single" w:color="000000" w:sz="4" w:space="0"/>
              <w:left w:val="single" w:color="000000" w:sz="4" w:space="0"/>
              <w:bottom w:val="single" w:color="000000" w:sz="4" w:space="0"/>
              <w:right w:val="single" w:color="000000" w:sz="4" w:space="0"/>
            </w:tcBorders>
          </w:tcPr>
          <w:p>
            <w:pPr>
              <w:pStyle w:val="236"/>
              <w:spacing w:before="90" w:line="240" w:lineRule="auto"/>
              <w:ind w:left="0" w:leftChars="0" w:right="-2" w:firstLine="0" w:firstLineChars="0"/>
              <w:jc w:val="left"/>
              <w:rPr>
                <w:rFonts w:ascii="宋体" w:hAnsi="宋体" w:eastAsia="宋体" w:cs="宋体"/>
                <w:sz w:val="21"/>
                <w:szCs w:val="21"/>
              </w:rPr>
            </w:pPr>
            <w:r>
              <w:rPr>
                <w:rFonts w:ascii="宋体" w:hAnsi="宋体" w:eastAsia="宋体" w:cs="宋体"/>
                <w:sz w:val="21"/>
                <w:szCs w:val="21"/>
              </w:rPr>
              <w:t>主楼</w:t>
            </w:r>
            <w:r>
              <w:rPr>
                <w:rFonts w:ascii="宋体" w:hAnsi="宋体" w:eastAsia="宋体" w:cs="宋体"/>
                <w:spacing w:val="-57"/>
                <w:sz w:val="21"/>
                <w:szCs w:val="21"/>
              </w:rPr>
              <w:t xml:space="preserve"> </w:t>
            </w:r>
            <w:r>
              <w:rPr>
                <w:rFonts w:ascii="Times New Roman" w:hAnsi="Times New Roman" w:eastAsia="Times New Roman" w:cs="Times New Roman"/>
                <w:sz w:val="21"/>
                <w:szCs w:val="21"/>
              </w:rPr>
              <w:t>6</w:t>
            </w:r>
            <w:r>
              <w:rPr>
                <w:rFonts w:ascii="Times New Roman" w:hAnsi="Times New Roman" w:eastAsia="Times New Roman" w:cs="Times New Roman"/>
                <w:spacing w:val="-1"/>
                <w:sz w:val="21"/>
                <w:szCs w:val="21"/>
              </w:rPr>
              <w:t xml:space="preserve"> </w:t>
            </w:r>
            <w:r>
              <w:rPr>
                <w:rFonts w:ascii="宋体" w:hAnsi="宋体" w:eastAsia="宋体" w:cs="宋体"/>
                <w:spacing w:val="-16"/>
                <w:sz w:val="21"/>
                <w:szCs w:val="21"/>
              </w:rPr>
              <w:t>层，次楼</w:t>
            </w:r>
            <w:r>
              <w:rPr>
                <w:rFonts w:ascii="宋体" w:hAnsi="宋体" w:eastAsia="宋体" w:cs="宋体"/>
                <w:spacing w:val="-55"/>
                <w:sz w:val="21"/>
                <w:szCs w:val="21"/>
              </w:rPr>
              <w:t xml:space="preserve"> </w:t>
            </w:r>
            <w:r>
              <w:rPr>
                <w:rFonts w:ascii="Times New Roman" w:hAnsi="Times New Roman" w:eastAsia="Times New Roman" w:cs="Times New Roman"/>
                <w:sz w:val="21"/>
                <w:szCs w:val="21"/>
              </w:rPr>
              <w:t>2</w:t>
            </w:r>
            <w:r>
              <w:rPr>
                <w:rFonts w:ascii="Times New Roman" w:hAnsi="Times New Roman" w:eastAsia="Times New Roman" w:cs="Times New Roman"/>
                <w:spacing w:val="-1"/>
                <w:sz w:val="21"/>
                <w:szCs w:val="21"/>
              </w:rPr>
              <w:t xml:space="preserve"> </w:t>
            </w:r>
            <w:r>
              <w:rPr>
                <w:rFonts w:ascii="宋体" w:hAnsi="宋体" w:eastAsia="宋体" w:cs="宋体"/>
                <w:sz w:val="21"/>
                <w:szCs w:val="21"/>
              </w:rPr>
              <w:t>层，</w:t>
            </w:r>
          </w:p>
          <w:p>
            <w:pPr>
              <w:pStyle w:val="236"/>
              <w:spacing w:before="129" w:line="240" w:lineRule="auto"/>
              <w:ind w:left="0" w:leftChars="0" w:right="0" w:firstLine="0" w:firstLineChars="0"/>
              <w:jc w:val="left"/>
              <w:rPr>
                <w:rFonts w:ascii="宋体" w:hAnsi="宋体" w:eastAsia="宋体" w:cs="宋体"/>
                <w:sz w:val="21"/>
                <w:szCs w:val="21"/>
              </w:rPr>
            </w:pPr>
            <w:r>
              <w:rPr>
                <w:rFonts w:ascii="宋体" w:hAnsi="宋体" w:eastAsia="宋体" w:cs="宋体"/>
                <w:sz w:val="21"/>
                <w:szCs w:val="21"/>
              </w:rPr>
              <w:t>副楼</w:t>
            </w:r>
            <w:r>
              <w:rPr>
                <w:rFonts w:ascii="宋体" w:hAnsi="宋体" w:eastAsia="宋体" w:cs="宋体"/>
                <w:spacing w:val="-56"/>
                <w:sz w:val="21"/>
                <w:szCs w:val="21"/>
              </w:rPr>
              <w:t xml:space="preserve"> </w:t>
            </w:r>
            <w:r>
              <w:rPr>
                <w:rFonts w:ascii="Times New Roman" w:hAnsi="Times New Roman" w:eastAsia="Times New Roman" w:cs="Times New Roman"/>
                <w:sz w:val="21"/>
                <w:szCs w:val="21"/>
              </w:rPr>
              <w:t>3</w:t>
            </w:r>
            <w:r>
              <w:rPr>
                <w:rFonts w:ascii="Times New Roman" w:hAnsi="Times New Roman" w:eastAsia="Times New Roman" w:cs="Times New Roman"/>
                <w:spacing w:val="-2"/>
                <w:sz w:val="21"/>
                <w:szCs w:val="21"/>
              </w:rPr>
              <w:t xml:space="preserve"> </w:t>
            </w:r>
            <w:r>
              <w:rPr>
                <w:rFonts w:ascii="宋体" w:hAnsi="宋体" w:eastAsia="宋体" w:cs="宋体"/>
                <w:sz w:val="21"/>
                <w:szCs w:val="21"/>
              </w:rPr>
              <w:t>层</w:t>
            </w:r>
          </w:p>
        </w:tc>
        <w:tc>
          <w:tcPr>
            <w:tcW w:w="1376" w:type="dxa"/>
            <w:tcBorders>
              <w:top w:val="single" w:color="000000" w:sz="4" w:space="0"/>
              <w:left w:val="single" w:color="000000" w:sz="4" w:space="0"/>
              <w:bottom w:val="single" w:color="000000" w:sz="4" w:space="0"/>
              <w:right w:val="single" w:color="000000" w:sz="4" w:space="0"/>
            </w:tcBorders>
          </w:tcPr>
          <w:p>
            <w:pPr>
              <w:ind w:left="0" w:leftChars="0" w:firstLine="0" w:firstLineChars="0"/>
            </w:pPr>
          </w:p>
        </w:tc>
        <w:tc>
          <w:tcPr>
            <w:tcW w:w="1590" w:type="dxa"/>
            <w:tcBorders>
              <w:top w:val="single" w:color="000000" w:sz="4" w:space="0"/>
              <w:left w:val="single" w:color="000000" w:sz="4" w:space="0"/>
              <w:bottom w:val="single" w:color="000000" w:sz="4" w:space="0"/>
              <w:right w:val="single" w:color="000000" w:sz="4" w:space="0"/>
            </w:tcBorders>
          </w:tcPr>
          <w:p>
            <w:pPr>
              <w:ind w:left="0" w:leftChars="0" w:firstLine="0" w:firstLineChars="0"/>
            </w:pPr>
          </w:p>
        </w:tc>
        <w:tc>
          <w:tcPr>
            <w:tcW w:w="2460" w:type="dxa"/>
            <w:tcBorders>
              <w:top w:val="single" w:color="000000" w:sz="4" w:space="0"/>
              <w:left w:val="single" w:color="000000" w:sz="4" w:space="0"/>
              <w:bottom w:val="single" w:color="000000" w:sz="4" w:space="0"/>
              <w:right w:val="single" w:color="000000" w:sz="4" w:space="0"/>
            </w:tcBorders>
          </w:tcPr>
          <w:p>
            <w:pPr>
              <w:pStyle w:val="236"/>
              <w:spacing w:before="90" w:line="240" w:lineRule="auto"/>
              <w:ind w:left="0" w:leftChars="0" w:right="0" w:firstLine="0" w:firstLineChars="0"/>
              <w:jc w:val="left"/>
              <w:rPr>
                <w:rFonts w:ascii="宋体" w:hAnsi="宋体" w:eastAsia="宋体" w:cs="宋体"/>
                <w:sz w:val="21"/>
                <w:szCs w:val="21"/>
              </w:rPr>
            </w:pPr>
            <w:r>
              <w:rPr>
                <w:rFonts w:ascii="宋体" w:hAnsi="宋体" w:eastAsia="宋体" w:cs="宋体"/>
                <w:sz w:val="21"/>
                <w:szCs w:val="21"/>
              </w:rPr>
              <w:t>主、次、附楼共计</w:t>
            </w:r>
            <w:r>
              <w:rPr>
                <w:rFonts w:ascii="宋体" w:hAnsi="宋体" w:eastAsia="宋体" w:cs="宋体"/>
                <w:spacing w:val="-61"/>
                <w:sz w:val="21"/>
                <w:szCs w:val="21"/>
              </w:rPr>
              <w:t xml:space="preserve"> </w:t>
            </w:r>
            <w:r>
              <w:rPr>
                <w:rFonts w:ascii="Times New Roman" w:hAnsi="Times New Roman" w:eastAsia="Times New Roman" w:cs="Times New Roman"/>
                <w:sz w:val="21"/>
                <w:szCs w:val="21"/>
              </w:rPr>
              <w:t>4456</w:t>
            </w:r>
            <w:r>
              <w:rPr>
                <w:rFonts w:ascii="Times New Roman" w:hAnsi="Times New Roman" w:eastAsia="Times New Roman" w:cs="Times New Roman"/>
                <w:spacing w:val="-8"/>
                <w:sz w:val="21"/>
                <w:szCs w:val="21"/>
              </w:rPr>
              <w:t xml:space="preserve"> </w:t>
            </w:r>
            <w:r>
              <w:rPr>
                <w:rFonts w:ascii="宋体" w:hAnsi="宋体" w:eastAsia="宋体" w:cs="宋体"/>
                <w:sz w:val="21"/>
                <w:szCs w:val="21"/>
              </w:rPr>
              <w:t>平</w:t>
            </w:r>
          </w:p>
          <w:p>
            <w:pPr>
              <w:pStyle w:val="236"/>
              <w:spacing w:before="129" w:line="240" w:lineRule="auto"/>
              <w:ind w:left="0" w:leftChars="0" w:right="0" w:firstLine="0" w:firstLineChars="0"/>
              <w:jc w:val="left"/>
              <w:rPr>
                <w:rFonts w:ascii="宋体" w:hAnsi="宋体" w:eastAsia="宋体" w:cs="宋体"/>
                <w:sz w:val="21"/>
                <w:szCs w:val="21"/>
              </w:rPr>
            </w:pPr>
            <w:r>
              <w:rPr>
                <w:rFonts w:ascii="宋体" w:hAnsi="宋体" w:eastAsia="宋体" w:cs="宋体"/>
                <w:sz w:val="21"/>
                <w:szCs w:val="21"/>
              </w:rPr>
              <w:t>方米。</w:t>
            </w:r>
          </w:p>
        </w:tc>
      </w:tr>
      <w:tr>
        <w:tblPrEx>
          <w:tblLayout w:type="fixed"/>
          <w:tblCellMar>
            <w:top w:w="0" w:type="dxa"/>
            <w:left w:w="0" w:type="dxa"/>
            <w:bottom w:w="0" w:type="dxa"/>
            <w:right w:w="0" w:type="dxa"/>
          </w:tblCellMar>
        </w:tblPrEx>
        <w:trPr>
          <w:trHeight w:val="430" w:hRule="exact"/>
        </w:trPr>
        <w:tc>
          <w:tcPr>
            <w:tcW w:w="1821" w:type="dxa"/>
            <w:tcBorders>
              <w:top w:val="single" w:color="000000" w:sz="4" w:space="0"/>
              <w:left w:val="single" w:color="000000" w:sz="4" w:space="0"/>
              <w:bottom w:val="single" w:color="000000" w:sz="4" w:space="0"/>
              <w:right w:val="single" w:color="000000" w:sz="4" w:space="0"/>
            </w:tcBorders>
          </w:tcPr>
          <w:p>
            <w:pPr>
              <w:pStyle w:val="236"/>
              <w:spacing w:before="90" w:line="240" w:lineRule="auto"/>
              <w:ind w:left="0" w:leftChars="0" w:right="0" w:firstLine="0" w:firstLineChars="0"/>
              <w:jc w:val="left"/>
              <w:rPr>
                <w:rFonts w:ascii="宋体" w:hAnsi="宋体" w:eastAsia="宋体" w:cs="宋体"/>
                <w:sz w:val="21"/>
                <w:szCs w:val="21"/>
              </w:rPr>
            </w:pPr>
            <w:r>
              <w:rPr>
                <w:rFonts w:ascii="宋体" w:hAnsi="宋体" w:eastAsia="宋体" w:cs="宋体"/>
                <w:sz w:val="21"/>
                <w:szCs w:val="21"/>
              </w:rPr>
              <w:t>外墙玻璃幕墙</w:t>
            </w:r>
          </w:p>
        </w:tc>
        <w:tc>
          <w:tcPr>
            <w:tcW w:w="2145" w:type="dxa"/>
            <w:tcBorders>
              <w:top w:val="single" w:color="000000" w:sz="4" w:space="0"/>
              <w:left w:val="single" w:color="000000" w:sz="4" w:space="0"/>
              <w:bottom w:val="single" w:color="000000" w:sz="4" w:space="0"/>
              <w:right w:val="single" w:color="000000" w:sz="4" w:space="0"/>
            </w:tcBorders>
          </w:tcPr>
          <w:p>
            <w:pPr>
              <w:ind w:left="0" w:leftChars="0" w:firstLine="0" w:firstLineChars="0"/>
            </w:pPr>
          </w:p>
        </w:tc>
        <w:tc>
          <w:tcPr>
            <w:tcW w:w="1376" w:type="dxa"/>
            <w:tcBorders>
              <w:top w:val="single" w:color="000000" w:sz="4" w:space="0"/>
              <w:left w:val="single" w:color="000000" w:sz="4" w:space="0"/>
              <w:bottom w:val="single" w:color="000000" w:sz="4" w:space="0"/>
              <w:right w:val="single" w:color="000000" w:sz="4" w:space="0"/>
            </w:tcBorders>
          </w:tcPr>
          <w:p>
            <w:pPr>
              <w:ind w:left="0" w:leftChars="0" w:firstLine="0" w:firstLineChars="0"/>
            </w:pPr>
          </w:p>
        </w:tc>
        <w:tc>
          <w:tcPr>
            <w:tcW w:w="1590" w:type="dxa"/>
            <w:tcBorders>
              <w:top w:val="single" w:color="000000" w:sz="4" w:space="0"/>
              <w:left w:val="single" w:color="000000" w:sz="4" w:space="0"/>
              <w:bottom w:val="single" w:color="000000" w:sz="4" w:space="0"/>
              <w:right w:val="single" w:color="000000" w:sz="4" w:space="0"/>
            </w:tcBorders>
          </w:tcPr>
          <w:p>
            <w:pPr>
              <w:pStyle w:val="236"/>
              <w:spacing w:before="90" w:line="240" w:lineRule="auto"/>
              <w:ind w:left="0" w:leftChars="0" w:right="0" w:firstLine="0" w:firstLineChars="0"/>
              <w:jc w:val="left"/>
              <w:rPr>
                <w:rFonts w:ascii="宋体" w:hAnsi="宋体" w:eastAsia="宋体" w:cs="宋体"/>
                <w:sz w:val="21"/>
                <w:szCs w:val="21"/>
              </w:rPr>
            </w:pPr>
            <w:r>
              <w:rPr>
                <w:rFonts w:ascii="Times New Roman" w:hAnsi="Times New Roman" w:eastAsia="Times New Roman" w:cs="Times New Roman"/>
                <w:sz w:val="21"/>
                <w:szCs w:val="21"/>
              </w:rPr>
              <w:t>500</w:t>
            </w:r>
            <w:r>
              <w:rPr>
                <w:rFonts w:ascii="Times New Roman" w:hAnsi="Times New Roman" w:eastAsia="Times New Roman" w:cs="Times New Roman"/>
                <w:spacing w:val="-3"/>
                <w:sz w:val="21"/>
                <w:szCs w:val="21"/>
              </w:rPr>
              <w:t xml:space="preserve"> </w:t>
            </w:r>
            <w:r>
              <w:rPr>
                <w:rFonts w:ascii="宋体" w:hAnsi="宋体" w:eastAsia="宋体" w:cs="宋体"/>
                <w:sz w:val="21"/>
                <w:szCs w:val="21"/>
              </w:rPr>
              <w:t>平方米</w:t>
            </w:r>
          </w:p>
        </w:tc>
        <w:tc>
          <w:tcPr>
            <w:tcW w:w="2460" w:type="dxa"/>
            <w:tcBorders>
              <w:top w:val="single" w:color="000000" w:sz="4" w:space="0"/>
              <w:left w:val="single" w:color="000000" w:sz="4" w:space="0"/>
              <w:bottom w:val="single" w:color="000000" w:sz="4" w:space="0"/>
              <w:right w:val="single" w:color="000000" w:sz="4" w:space="0"/>
            </w:tcBorders>
          </w:tcPr>
          <w:p>
            <w:pPr>
              <w:ind w:left="0" w:leftChars="0" w:firstLine="0" w:firstLineChars="0"/>
            </w:pPr>
          </w:p>
        </w:tc>
      </w:tr>
      <w:tr>
        <w:tblPrEx>
          <w:tblLayout w:type="fixed"/>
          <w:tblCellMar>
            <w:top w:w="0" w:type="dxa"/>
            <w:left w:w="0" w:type="dxa"/>
            <w:bottom w:w="0" w:type="dxa"/>
            <w:right w:w="0" w:type="dxa"/>
          </w:tblCellMar>
        </w:tblPrEx>
        <w:trPr>
          <w:trHeight w:val="430" w:hRule="exact"/>
        </w:trPr>
        <w:tc>
          <w:tcPr>
            <w:tcW w:w="1821" w:type="dxa"/>
            <w:tcBorders>
              <w:top w:val="single" w:color="000000" w:sz="4" w:space="0"/>
              <w:left w:val="single" w:color="000000" w:sz="4" w:space="0"/>
              <w:bottom w:val="single" w:color="000000" w:sz="4" w:space="0"/>
              <w:right w:val="single" w:color="000000" w:sz="4" w:space="0"/>
            </w:tcBorders>
          </w:tcPr>
          <w:p>
            <w:pPr>
              <w:pStyle w:val="236"/>
              <w:spacing w:before="92" w:line="240" w:lineRule="auto"/>
              <w:ind w:left="0" w:leftChars="0" w:right="0" w:firstLine="0" w:firstLineChars="0"/>
              <w:jc w:val="left"/>
              <w:rPr>
                <w:rFonts w:ascii="宋体" w:hAnsi="宋体" w:eastAsia="宋体" w:cs="宋体"/>
                <w:sz w:val="21"/>
                <w:szCs w:val="21"/>
              </w:rPr>
            </w:pPr>
            <w:r>
              <w:rPr>
                <w:rFonts w:ascii="宋体" w:hAnsi="宋体" w:eastAsia="宋体" w:cs="宋体"/>
                <w:sz w:val="21"/>
                <w:szCs w:val="21"/>
              </w:rPr>
              <w:t>楼道玻璃</w:t>
            </w:r>
          </w:p>
        </w:tc>
        <w:tc>
          <w:tcPr>
            <w:tcW w:w="2145" w:type="dxa"/>
            <w:tcBorders>
              <w:top w:val="single" w:color="000000" w:sz="4" w:space="0"/>
              <w:left w:val="single" w:color="000000" w:sz="4" w:space="0"/>
              <w:bottom w:val="single" w:color="000000" w:sz="4" w:space="0"/>
              <w:right w:val="single" w:color="000000" w:sz="4" w:space="0"/>
            </w:tcBorders>
          </w:tcPr>
          <w:p>
            <w:pPr>
              <w:ind w:left="0" w:leftChars="0" w:firstLine="0" w:firstLineChars="0"/>
            </w:pPr>
          </w:p>
        </w:tc>
        <w:tc>
          <w:tcPr>
            <w:tcW w:w="1376" w:type="dxa"/>
            <w:tcBorders>
              <w:top w:val="single" w:color="000000" w:sz="4" w:space="0"/>
              <w:left w:val="single" w:color="000000" w:sz="4" w:space="0"/>
              <w:bottom w:val="single" w:color="000000" w:sz="4" w:space="0"/>
              <w:right w:val="single" w:color="000000" w:sz="4" w:space="0"/>
            </w:tcBorders>
          </w:tcPr>
          <w:p>
            <w:pPr>
              <w:ind w:left="0" w:leftChars="0" w:firstLine="0" w:firstLineChars="0"/>
            </w:pPr>
          </w:p>
        </w:tc>
        <w:tc>
          <w:tcPr>
            <w:tcW w:w="1590" w:type="dxa"/>
            <w:tcBorders>
              <w:top w:val="single" w:color="000000" w:sz="4" w:space="0"/>
              <w:left w:val="single" w:color="000000" w:sz="4" w:space="0"/>
              <w:bottom w:val="single" w:color="000000" w:sz="4" w:space="0"/>
              <w:right w:val="single" w:color="000000" w:sz="4" w:space="0"/>
            </w:tcBorders>
          </w:tcPr>
          <w:p>
            <w:pPr>
              <w:pStyle w:val="236"/>
              <w:spacing w:before="92" w:line="240" w:lineRule="auto"/>
              <w:ind w:left="0" w:leftChars="0" w:right="0" w:firstLine="0" w:firstLineChars="0"/>
              <w:jc w:val="left"/>
              <w:rPr>
                <w:rFonts w:ascii="宋体" w:hAnsi="宋体" w:eastAsia="宋体" w:cs="宋体"/>
                <w:sz w:val="21"/>
                <w:szCs w:val="21"/>
              </w:rPr>
            </w:pPr>
            <w:r>
              <w:rPr>
                <w:rFonts w:ascii="Times New Roman" w:hAnsi="Times New Roman" w:eastAsia="Times New Roman" w:cs="Times New Roman"/>
                <w:sz w:val="21"/>
                <w:szCs w:val="21"/>
              </w:rPr>
              <w:t>500</w:t>
            </w:r>
            <w:r>
              <w:rPr>
                <w:rFonts w:ascii="Times New Roman" w:hAnsi="Times New Roman" w:eastAsia="Times New Roman" w:cs="Times New Roman"/>
                <w:spacing w:val="-3"/>
                <w:sz w:val="21"/>
                <w:szCs w:val="21"/>
              </w:rPr>
              <w:t xml:space="preserve"> </w:t>
            </w:r>
            <w:r>
              <w:rPr>
                <w:rFonts w:ascii="宋体" w:hAnsi="宋体" w:eastAsia="宋体" w:cs="宋体"/>
                <w:sz w:val="21"/>
                <w:szCs w:val="21"/>
              </w:rPr>
              <w:t>平方米</w:t>
            </w:r>
          </w:p>
        </w:tc>
        <w:tc>
          <w:tcPr>
            <w:tcW w:w="2460" w:type="dxa"/>
            <w:tcBorders>
              <w:top w:val="single" w:color="000000" w:sz="4" w:space="0"/>
              <w:left w:val="single" w:color="000000" w:sz="4" w:space="0"/>
              <w:bottom w:val="single" w:color="000000" w:sz="4" w:space="0"/>
              <w:right w:val="single" w:color="000000" w:sz="4" w:space="0"/>
            </w:tcBorders>
          </w:tcPr>
          <w:p>
            <w:pPr>
              <w:ind w:left="0" w:leftChars="0" w:firstLine="0" w:firstLineChars="0"/>
            </w:pPr>
          </w:p>
        </w:tc>
      </w:tr>
    </w:tbl>
    <w:p>
      <w:pPr>
        <w:spacing w:line="600" w:lineRule="exact"/>
        <w:ind w:firstLine="560" w:firstLineChars="200"/>
        <w:rPr>
          <w:rFonts w:hint="eastAsia" w:ascii="宋体" w:hAnsi="宋体"/>
          <w:color w:val="auto"/>
          <w:sz w:val="28"/>
          <w:szCs w:val="28"/>
          <w:lang w:val="en-US" w:eastAsia="zh-CN"/>
        </w:rPr>
      </w:pPr>
    </w:p>
    <w:p>
      <w:pPr>
        <w:pStyle w:val="2"/>
        <w:ind w:firstLine="560" w:firstLineChars="200"/>
        <w:rPr>
          <w:b/>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详细的服务、商务及其他要求见招标文件第4章。</w:t>
      </w:r>
    </w:p>
    <w:p>
      <w:pPr>
        <w:numPr>
          <w:ilvl w:val="0"/>
          <w:numId w:val="5"/>
        </w:numPr>
        <w:spacing w:after="200" w:line="560" w:lineRule="exact"/>
        <w:ind w:left="0" w:firstLine="567"/>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供应商参加本次政府采购活动应具备的条件</w:t>
      </w:r>
    </w:p>
    <w:p>
      <w:pPr>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（一）符合《政府采购法》第二十二条第一款规定的条件；</w:t>
      </w:r>
    </w:p>
    <w:p>
      <w:pPr>
        <w:tabs>
          <w:tab w:val="left" w:pos="1134"/>
        </w:tabs>
        <w:spacing w:line="560" w:lineRule="exact"/>
        <w:ind w:left="7"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（二）未被列入失信被执行人、重大税收违法案件当事人名单、政府采购严重违法失信行为记录名单； </w:t>
      </w:r>
    </w:p>
    <w:p>
      <w:pPr>
        <w:tabs>
          <w:tab w:val="left" w:pos="1134"/>
        </w:tabs>
        <w:spacing w:line="560" w:lineRule="exact"/>
        <w:ind w:left="7"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eastAsia="zh-CN"/>
          <w14:textFill>
            <w14:solidFill>
              <w14:schemeClr w14:val="tx1"/>
            </w14:solidFill>
          </w14:textFill>
        </w:rPr>
        <w:t>三</w:t>
      </w:r>
      <w:r>
        <w:rPr>
          <w:rFonts w:hint="eastAsia" w:ascii="宋体" w:hAnsi="宋体"/>
          <w:color w:val="000000" w:themeColor="text1"/>
          <w:sz w:val="28"/>
          <w:szCs w:val="28"/>
          <w14:textFill>
            <w14:solidFill>
              <w14:schemeClr w14:val="tx1"/>
            </w14:solidFill>
          </w14:textFill>
        </w:rPr>
        <w:t>）在行贿犯罪信息查询期限内，投标人及其现任法定代表人、主要负责人没有行贿犯罪记录；</w:t>
      </w:r>
    </w:p>
    <w:p>
      <w:pPr>
        <w:pStyle w:val="2"/>
        <w:ind w:firstLine="560" w:firstLineChars="200"/>
        <w:rPr>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eastAsia="zh-CN"/>
          <w14:textFill>
            <w14:solidFill>
              <w14:schemeClr w14:val="tx1"/>
            </w14:solidFill>
          </w14:textFill>
        </w:rPr>
        <w:t>四</w:t>
      </w:r>
      <w:r>
        <w:rPr>
          <w:rFonts w:hint="eastAsia" w:ascii="宋体" w:hAnsi="宋体"/>
          <w:color w:val="000000" w:themeColor="text1"/>
          <w:sz w:val="28"/>
          <w:szCs w:val="28"/>
          <w14:textFill>
            <w14:solidFill>
              <w14:schemeClr w14:val="tx1"/>
            </w14:solidFill>
          </w14:textFill>
        </w:rPr>
        <w:t>）未处于被行政部门禁止参与政府采购活动的期限内；</w:t>
      </w:r>
    </w:p>
    <w:p>
      <w:pPr>
        <w:tabs>
          <w:tab w:val="left" w:pos="1134"/>
        </w:tabs>
        <w:spacing w:line="560" w:lineRule="exact"/>
        <w:ind w:left="7"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eastAsia="zh-CN"/>
          <w14:textFill>
            <w14:solidFill>
              <w14:schemeClr w14:val="tx1"/>
            </w14:solidFill>
          </w14:textFill>
        </w:rPr>
        <w:t>五</w:t>
      </w:r>
      <w:r>
        <w:rPr>
          <w:rFonts w:hint="eastAsia" w:ascii="宋体" w:hAnsi="宋体"/>
          <w:color w:val="000000" w:themeColor="text1"/>
          <w:sz w:val="28"/>
          <w:szCs w:val="28"/>
          <w14:textFill>
            <w14:solidFill>
              <w14:schemeClr w14:val="tx1"/>
            </w14:solidFill>
          </w14:textFill>
        </w:rPr>
        <w:t>）不属于其他国家相关法律法规规定的禁止参加投标的供应商；</w:t>
      </w:r>
    </w:p>
    <w:p>
      <w:pPr>
        <w:pStyle w:val="153"/>
        <w:tabs>
          <w:tab w:val="left" w:pos="0"/>
          <w:tab w:val="left" w:pos="993"/>
          <w:tab w:val="left" w:pos="1418"/>
          <w:tab w:val="left" w:pos="1560"/>
        </w:tabs>
        <w:spacing w:line="560" w:lineRule="exact"/>
        <w:ind w:left="7" w:firstLine="56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eastAsia="zh-CN"/>
          <w14:textFill>
            <w14:solidFill>
              <w14:schemeClr w14:val="tx1"/>
            </w14:solidFill>
          </w14:textFill>
        </w:rPr>
        <w:t>六</w:t>
      </w:r>
      <w:r>
        <w:rPr>
          <w:rFonts w:hint="eastAsia" w:ascii="宋体" w:hAnsi="宋体"/>
          <w:color w:val="000000" w:themeColor="text1"/>
          <w:sz w:val="28"/>
          <w:szCs w:val="28"/>
          <w14:textFill>
            <w14:solidFill>
              <w14:schemeClr w14:val="tx1"/>
            </w14:solidFill>
          </w14:textFill>
        </w:rPr>
        <w:t>）本项目</w:t>
      </w:r>
      <w:r>
        <w:rPr>
          <w:rFonts w:hint="eastAsia" w:ascii="宋体" w:hAnsi="宋体"/>
          <w:b/>
          <w:bCs/>
          <w:color w:val="FF0000"/>
          <w:sz w:val="28"/>
          <w:szCs w:val="28"/>
        </w:rPr>
        <w:t>不接受</w:t>
      </w:r>
      <w:r>
        <w:rPr>
          <w:rFonts w:hint="eastAsia" w:ascii="宋体" w:hAnsi="宋体"/>
          <w:color w:val="000000" w:themeColor="text1"/>
          <w:sz w:val="28"/>
          <w:szCs w:val="28"/>
          <w14:textFill>
            <w14:solidFill>
              <w14:schemeClr w14:val="tx1"/>
            </w14:solidFill>
          </w14:textFill>
        </w:rPr>
        <w:t>联合体投标。</w:t>
      </w:r>
    </w:p>
    <w:p>
      <w:pPr>
        <w:pStyle w:val="2"/>
        <w:ind w:firstLine="560" w:firstLineChars="200"/>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（七）</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 xml:space="preserve">本项目专门面向依据国务院批准的中小企业划分标准确定的中型企业、小型企业和微型企业采购。 </w:t>
      </w:r>
    </w:p>
    <w:p>
      <w:pPr>
        <w:spacing w:line="520" w:lineRule="exact"/>
        <w:ind w:firstLine="560" w:firstLineChars="200"/>
        <w:rPr>
          <w:rFonts w:hint="eastAsia" w:ascii="宋体" w:hAnsi="宋体"/>
          <w:sz w:val="28"/>
          <w:szCs w:val="28"/>
          <w:lang w:eastAsia="zh-CN"/>
        </w:rPr>
      </w:pPr>
      <w:r>
        <w:rPr>
          <w:rFonts w:hint="eastAsia" w:ascii="宋体" w:hAnsi="宋体"/>
          <w:color w:val="000000" w:themeColor="text1"/>
          <w:sz w:val="28"/>
          <w:szCs w:val="28"/>
          <w:lang w:val="en-US" w:eastAsia="zh-CN"/>
          <w14:textFill>
            <w14:solidFill>
              <w14:schemeClr w14:val="tx1"/>
            </w14:solidFill>
          </w14:textFill>
        </w:rPr>
        <w:t>（八）</w:t>
      </w:r>
      <w:r>
        <w:rPr>
          <w:rFonts w:hint="eastAsia" w:ascii="宋体" w:hAnsi="宋体"/>
          <w:sz w:val="28"/>
          <w:szCs w:val="28"/>
        </w:rPr>
        <w:t>根据采购项目提出的特殊条件</w:t>
      </w:r>
      <w:r>
        <w:rPr>
          <w:rFonts w:hint="eastAsia" w:ascii="宋体" w:hAnsi="宋体"/>
          <w:sz w:val="28"/>
          <w:szCs w:val="28"/>
          <w:lang w:eastAsia="zh-CN"/>
        </w:rPr>
        <w:t>：</w:t>
      </w:r>
    </w:p>
    <w:p>
      <w:pPr>
        <w:pStyle w:val="2"/>
        <w:ind w:firstLine="1120" w:firstLineChars="400"/>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无。</w:t>
      </w:r>
    </w:p>
    <w:p>
      <w:pPr>
        <w:numPr>
          <w:ilvl w:val="0"/>
          <w:numId w:val="5"/>
        </w:numPr>
        <w:spacing w:after="200" w:line="560" w:lineRule="exact"/>
        <w:ind w:left="0" w:firstLine="567"/>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招标文件获取时间</w:t>
      </w:r>
    </w:p>
    <w:p>
      <w:pPr>
        <w:numPr>
          <w:ilvl w:val="0"/>
          <w:numId w:val="6"/>
        </w:numPr>
        <w:spacing w:line="360" w:lineRule="auto"/>
        <w:ind w:left="0" w:firstLine="567"/>
        <w:rPr>
          <w:rFonts w:ascii="宋体" w:hAnsi="宋体"/>
          <w:b/>
          <w:sz w:val="28"/>
        </w:rPr>
      </w:pPr>
      <w:r>
        <w:rPr>
          <w:rFonts w:hint="eastAsia" w:ascii="宋体" w:hAnsi="宋体"/>
          <w:b/>
          <w:sz w:val="28"/>
          <w:szCs w:val="28"/>
        </w:rPr>
        <w:t>招标文件获取时间：</w:t>
      </w:r>
      <w:r>
        <w:rPr>
          <w:rFonts w:hint="eastAsia" w:ascii="宋体" w:hAnsi="宋体"/>
          <w:b/>
          <w:color w:val="FF0000"/>
          <w:sz w:val="28"/>
          <w:szCs w:val="28"/>
        </w:rPr>
        <w:t>2021年</w:t>
      </w:r>
      <w:r>
        <w:rPr>
          <w:rFonts w:hint="eastAsia" w:ascii="宋体" w:hAnsi="宋体"/>
          <w:b/>
          <w:color w:val="FF0000"/>
          <w:sz w:val="28"/>
          <w:szCs w:val="28"/>
          <w:lang w:val="en-US" w:eastAsia="zh-CN"/>
        </w:rPr>
        <w:t>11</w:t>
      </w:r>
      <w:r>
        <w:rPr>
          <w:rFonts w:hint="eastAsia" w:ascii="宋体" w:hAnsi="宋体"/>
          <w:b/>
          <w:color w:val="FF0000"/>
          <w:sz w:val="28"/>
          <w:szCs w:val="28"/>
        </w:rPr>
        <w:t>月</w:t>
      </w:r>
      <w:r>
        <w:rPr>
          <w:rFonts w:hint="eastAsia" w:ascii="宋体" w:hAnsi="宋体"/>
          <w:b/>
          <w:color w:val="FF0000"/>
          <w:sz w:val="28"/>
          <w:szCs w:val="28"/>
          <w:lang w:val="en-US" w:eastAsia="zh-CN"/>
        </w:rPr>
        <w:t>15</w:t>
      </w:r>
      <w:r>
        <w:rPr>
          <w:rFonts w:hint="eastAsia" w:ascii="宋体" w:hAnsi="宋体"/>
          <w:b/>
          <w:color w:val="FF0000"/>
          <w:sz w:val="28"/>
          <w:szCs w:val="28"/>
        </w:rPr>
        <w:t>日至</w:t>
      </w:r>
      <w:r>
        <w:rPr>
          <w:rFonts w:hint="eastAsia" w:ascii="宋体" w:hAnsi="宋体"/>
          <w:b/>
          <w:color w:val="FF0000"/>
          <w:sz w:val="28"/>
          <w:szCs w:val="28"/>
          <w:lang w:val="en-US" w:eastAsia="zh-CN"/>
        </w:rPr>
        <w:t>12</w:t>
      </w:r>
      <w:r>
        <w:rPr>
          <w:rFonts w:hint="eastAsia" w:ascii="宋体" w:hAnsi="宋体"/>
          <w:b/>
          <w:color w:val="FF0000"/>
          <w:sz w:val="28"/>
          <w:szCs w:val="28"/>
        </w:rPr>
        <w:t>月</w:t>
      </w:r>
      <w:r>
        <w:rPr>
          <w:rFonts w:hint="eastAsia" w:ascii="宋体" w:hAnsi="宋体"/>
          <w:b/>
          <w:color w:val="FF0000"/>
          <w:sz w:val="28"/>
          <w:szCs w:val="28"/>
          <w:lang w:val="en-US" w:eastAsia="zh-CN"/>
        </w:rPr>
        <w:t>6</w:t>
      </w:r>
      <w:r>
        <w:rPr>
          <w:rFonts w:hint="eastAsia" w:ascii="宋体" w:hAnsi="宋体"/>
          <w:b/>
          <w:color w:val="FF0000"/>
          <w:sz w:val="28"/>
          <w:szCs w:val="28"/>
        </w:rPr>
        <w:t>日</w:t>
      </w:r>
      <w:r>
        <w:rPr>
          <w:rFonts w:hint="eastAsia" w:ascii="宋体" w:hAnsi="宋体"/>
          <w:b/>
          <w:sz w:val="28"/>
          <w:szCs w:val="28"/>
        </w:rPr>
        <w:t>。</w:t>
      </w:r>
    </w:p>
    <w:p>
      <w:pPr>
        <w:numPr>
          <w:ilvl w:val="0"/>
          <w:numId w:val="6"/>
        </w:numPr>
        <w:spacing w:line="360" w:lineRule="auto"/>
        <w:ind w:left="0" w:firstLine="567"/>
        <w:rPr>
          <w:rFonts w:ascii="宋体" w:hAnsi="宋体"/>
          <w:b/>
          <w:sz w:val="28"/>
        </w:rPr>
      </w:pPr>
      <w:r>
        <w:rPr>
          <w:rFonts w:hint="eastAsia" w:ascii="宋体" w:hAnsi="宋体"/>
          <w:b/>
          <w:sz w:val="28"/>
          <w:szCs w:val="28"/>
        </w:rPr>
        <w:t>公告期限：</w:t>
      </w:r>
      <w:r>
        <w:rPr>
          <w:rFonts w:hint="eastAsia" w:ascii="宋体" w:hAnsi="宋体"/>
          <w:b/>
          <w:color w:val="FF0000"/>
          <w:sz w:val="28"/>
          <w:szCs w:val="28"/>
        </w:rPr>
        <w:t>2021年</w:t>
      </w:r>
      <w:r>
        <w:rPr>
          <w:rFonts w:hint="eastAsia" w:ascii="宋体" w:hAnsi="宋体"/>
          <w:b/>
          <w:color w:val="FF0000"/>
          <w:sz w:val="28"/>
          <w:szCs w:val="28"/>
          <w:lang w:val="en-US" w:eastAsia="zh-CN"/>
        </w:rPr>
        <w:t>11</w:t>
      </w:r>
      <w:r>
        <w:rPr>
          <w:rFonts w:hint="eastAsia" w:ascii="宋体" w:hAnsi="宋体"/>
          <w:b/>
          <w:color w:val="FF0000"/>
          <w:sz w:val="28"/>
          <w:szCs w:val="28"/>
        </w:rPr>
        <w:t>月</w:t>
      </w:r>
      <w:r>
        <w:rPr>
          <w:rFonts w:hint="eastAsia" w:ascii="宋体" w:hAnsi="宋体"/>
          <w:b/>
          <w:color w:val="FF0000"/>
          <w:sz w:val="28"/>
          <w:szCs w:val="28"/>
          <w:lang w:val="en-US" w:eastAsia="zh-CN"/>
        </w:rPr>
        <w:t>15</w:t>
      </w:r>
      <w:r>
        <w:rPr>
          <w:rFonts w:hint="eastAsia" w:ascii="宋体" w:hAnsi="宋体"/>
          <w:b/>
          <w:color w:val="FF0000"/>
          <w:sz w:val="28"/>
          <w:szCs w:val="28"/>
        </w:rPr>
        <w:t>日至</w:t>
      </w:r>
      <w:r>
        <w:rPr>
          <w:rFonts w:hint="eastAsia" w:ascii="宋体" w:hAnsi="宋体"/>
          <w:b/>
          <w:color w:val="FF0000"/>
          <w:sz w:val="28"/>
          <w:szCs w:val="28"/>
          <w:lang w:val="en-US" w:eastAsia="zh-CN"/>
        </w:rPr>
        <w:t>11</w:t>
      </w:r>
      <w:r>
        <w:rPr>
          <w:rFonts w:hint="eastAsia" w:ascii="宋体" w:hAnsi="宋体"/>
          <w:b/>
          <w:color w:val="FF0000"/>
          <w:sz w:val="28"/>
          <w:szCs w:val="28"/>
        </w:rPr>
        <w:t>月</w:t>
      </w:r>
      <w:r>
        <w:rPr>
          <w:rFonts w:hint="eastAsia" w:ascii="宋体" w:hAnsi="宋体"/>
          <w:b/>
          <w:color w:val="FF0000"/>
          <w:sz w:val="28"/>
          <w:szCs w:val="28"/>
          <w:lang w:val="en-US" w:eastAsia="zh-CN"/>
        </w:rPr>
        <w:t>22</w:t>
      </w:r>
      <w:r>
        <w:rPr>
          <w:rFonts w:hint="eastAsia" w:ascii="宋体" w:hAnsi="宋体"/>
          <w:b/>
          <w:color w:val="FF0000"/>
          <w:sz w:val="28"/>
          <w:szCs w:val="28"/>
        </w:rPr>
        <w:t>日</w:t>
      </w:r>
      <w:r>
        <w:rPr>
          <w:rFonts w:hint="eastAsia" w:ascii="宋体" w:hAnsi="宋体"/>
          <w:b/>
          <w:sz w:val="28"/>
          <w:szCs w:val="28"/>
        </w:rPr>
        <w:t>。</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（三）</w:t>
      </w:r>
      <w:r>
        <w:rPr>
          <w:rFonts w:hint="eastAsia" w:ascii="宋体" w:hAnsi="宋体"/>
          <w:color w:val="000000" w:themeColor="text1"/>
          <w:sz w:val="28"/>
          <w:szCs w:val="28"/>
          <w14:textFill>
            <w14:solidFill>
              <w14:schemeClr w14:val="tx1"/>
            </w14:solidFill>
          </w14:textFill>
        </w:rPr>
        <w:t>供应商如对</w:t>
      </w:r>
      <w:r>
        <w:rPr>
          <w:rFonts w:hint="eastAsia" w:ascii="宋体" w:hAnsi="宋体"/>
          <w:color w:val="000000" w:themeColor="text1"/>
          <w:sz w:val="28"/>
          <w:szCs w:val="28"/>
          <w:lang w:eastAsia="zh-CN"/>
          <w14:textFill>
            <w14:solidFill>
              <w14:schemeClr w14:val="tx1"/>
            </w14:solidFill>
          </w14:textFill>
        </w:rPr>
        <w:t>招标</w:t>
      </w:r>
      <w:r>
        <w:rPr>
          <w:rFonts w:hint="eastAsia" w:ascii="宋体" w:hAnsi="宋体"/>
          <w:color w:val="000000" w:themeColor="text1"/>
          <w:sz w:val="28"/>
          <w:szCs w:val="28"/>
          <w14:textFill>
            <w14:solidFill>
              <w14:schemeClr w14:val="tx1"/>
            </w14:solidFill>
          </w14:textFill>
        </w:rPr>
        <w:t>文件有质疑的，应于公告期限届满之日起七个工作日内以书面形式提出。</w:t>
      </w:r>
    </w:p>
    <w:p>
      <w:pPr>
        <w:numPr>
          <w:ilvl w:val="0"/>
          <w:numId w:val="5"/>
        </w:numPr>
        <w:spacing w:after="200" w:line="560" w:lineRule="exact"/>
        <w:ind w:left="0" w:firstLine="567"/>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招标文件获取方式</w:t>
      </w:r>
    </w:p>
    <w:p>
      <w:pPr>
        <w:spacing w:line="360" w:lineRule="auto"/>
        <w:ind w:firstLine="565" w:firstLineChars="202"/>
        <w:rPr>
          <w:rFonts w:ascii="宋体" w:hAnsi="宋体"/>
          <w:color w:val="000000" w:themeColor="text1"/>
          <w:sz w:val="28"/>
          <w:szCs w:val="28"/>
          <w:highlight w:val="yellow"/>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投标人要参加投标，应在</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“政府采购云平台”获取采购文件。登录</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门户网站（https://www.cdggzy.com/）—用户中心—政府采购云平台—项目采购—获取采购文件—申请获取采购文件。</w:t>
      </w:r>
    </w:p>
    <w:p>
      <w:pPr>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提示：</w:t>
      </w:r>
    </w:p>
    <w:p>
      <w:pPr>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（1）本项目采购文件免费获取。</w:t>
      </w:r>
    </w:p>
    <w:p>
      <w:pPr>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（3）首次登录</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门户网站的新用户应先点击“注册新用户”，注册成功后再登录。</w:t>
      </w:r>
    </w:p>
    <w:p>
      <w:pPr>
        <w:spacing w:line="360" w:lineRule="auto"/>
        <w:ind w:firstLine="565" w:firstLineChars="202"/>
        <w:rPr>
          <w:rFonts w:ascii="宋体" w:hAnsi="宋体"/>
          <w:color w:val="auto"/>
          <w:sz w:val="28"/>
          <w:szCs w:val="28"/>
        </w:rPr>
      </w:pPr>
      <w:r>
        <w:rPr>
          <w:rFonts w:hint="eastAsia" w:ascii="宋体" w:hAnsi="宋体"/>
          <w:color w:val="auto"/>
          <w:sz w:val="28"/>
          <w:szCs w:val="28"/>
        </w:rPr>
        <w:t>（4）本项目为电子招标投标项目，投标人参与本项目全过程中凡涉及系统操作请详见《成都市全流程电子化采购系统操作指南——供应商版》。</w:t>
      </w:r>
      <w:bookmarkStart w:id="14" w:name="_Toc180051012"/>
      <w:bookmarkStart w:id="15" w:name="_Toc174185149"/>
      <w:bookmarkStart w:id="16" w:name="_Toc184013605"/>
      <w:bookmarkStart w:id="17" w:name="_Toc184023104"/>
      <w:bookmarkStart w:id="18" w:name="_Toc186274101"/>
      <w:r>
        <w:rPr>
          <w:rFonts w:hint="eastAsia" w:ascii="宋体" w:hAnsi="宋体"/>
          <w:color w:val="auto"/>
          <w:sz w:val="28"/>
          <w:szCs w:val="28"/>
        </w:rPr>
        <w:t>（操作指南请登录政府采购云平台后，点击“前台大厅</w:t>
      </w:r>
      <w:r>
        <w:rPr>
          <w:rFonts w:ascii="宋体" w:hAnsi="宋体"/>
          <w:color w:val="auto"/>
          <w:sz w:val="28"/>
          <w:szCs w:val="28"/>
        </w:rPr>
        <w:t>—</w:t>
      </w:r>
      <w:r>
        <w:rPr>
          <w:rFonts w:hint="eastAsia" w:ascii="宋体" w:hAnsi="宋体"/>
          <w:color w:val="auto"/>
          <w:sz w:val="28"/>
          <w:szCs w:val="28"/>
        </w:rPr>
        <w:t>操作指南</w:t>
      </w:r>
      <w:r>
        <w:rPr>
          <w:rFonts w:ascii="宋体" w:hAnsi="宋体"/>
          <w:color w:val="auto"/>
          <w:sz w:val="28"/>
          <w:szCs w:val="28"/>
        </w:rPr>
        <w:t>—</w:t>
      </w:r>
      <w:r>
        <w:rPr>
          <w:rFonts w:hint="eastAsia" w:ascii="宋体" w:hAnsi="宋体"/>
          <w:color w:val="auto"/>
          <w:sz w:val="28"/>
          <w:szCs w:val="28"/>
        </w:rPr>
        <w:t>供应商”处下载查看）。</w:t>
      </w:r>
    </w:p>
    <w:p>
      <w:pPr>
        <w:numPr>
          <w:ilvl w:val="0"/>
          <w:numId w:val="5"/>
        </w:numPr>
        <w:spacing w:after="200" w:line="560" w:lineRule="exact"/>
        <w:ind w:left="0" w:firstLine="567"/>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招标文件获取地点</w:t>
      </w:r>
    </w:p>
    <w:p>
      <w:pPr>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登录</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门户网站（https://www.cdggzy.com/）—用户中心—政府采购云平台获取</w:t>
      </w:r>
      <w:r>
        <w:rPr>
          <w:rFonts w:hint="eastAsia" w:ascii="宋体" w:hAnsi="宋体"/>
          <w:color w:val="000000" w:themeColor="text1"/>
          <w:sz w:val="28"/>
          <w14:textFill>
            <w14:solidFill>
              <w14:schemeClr w14:val="tx1"/>
            </w14:solidFill>
          </w14:textFill>
        </w:rPr>
        <w:t>。</w:t>
      </w:r>
    </w:p>
    <w:p>
      <w:pPr>
        <w:numPr>
          <w:ilvl w:val="0"/>
          <w:numId w:val="5"/>
        </w:numPr>
        <w:spacing w:after="200" w:line="560" w:lineRule="exact"/>
        <w:ind w:left="0" w:firstLine="567"/>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投标文件递交截止时间及开标时间</w:t>
      </w:r>
      <w:bookmarkEnd w:id="14"/>
      <w:bookmarkEnd w:id="15"/>
      <w:bookmarkEnd w:id="16"/>
      <w:bookmarkEnd w:id="17"/>
      <w:bookmarkEnd w:id="18"/>
      <w:r>
        <w:rPr>
          <w:rFonts w:hint="eastAsia" w:ascii="宋体" w:hAnsi="宋体"/>
          <w:b/>
          <w:color w:val="000000" w:themeColor="text1"/>
          <w:sz w:val="28"/>
          <w:szCs w:val="28"/>
          <w14:textFill>
            <w14:solidFill>
              <w14:schemeClr w14:val="tx1"/>
            </w14:solidFill>
          </w14:textFill>
        </w:rPr>
        <w:t>(北京时间)、地点、方式</w:t>
      </w:r>
    </w:p>
    <w:p>
      <w:pPr>
        <w:spacing w:line="560" w:lineRule="exact"/>
        <w:ind w:firstLine="560" w:firstLineChars="200"/>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（一）投标文件递交截止时间及开标时间：</w:t>
      </w:r>
      <w:r>
        <w:rPr>
          <w:rFonts w:hint="eastAsia" w:ascii="宋体" w:hAnsi="宋体"/>
          <w:b/>
          <w:color w:val="FF0000"/>
          <w:sz w:val="28"/>
          <w:szCs w:val="28"/>
        </w:rPr>
        <w:t>202</w:t>
      </w:r>
      <w:r>
        <w:rPr>
          <w:rFonts w:hint="eastAsia" w:ascii="宋体" w:hAnsi="宋体"/>
          <w:b/>
          <w:color w:val="FF0000"/>
          <w:sz w:val="28"/>
          <w:szCs w:val="28"/>
          <w:lang w:val="en-US" w:eastAsia="zh-CN"/>
        </w:rPr>
        <w:t>1</w:t>
      </w:r>
      <w:r>
        <w:rPr>
          <w:rFonts w:hint="eastAsia" w:ascii="宋体" w:hAnsi="宋体"/>
          <w:b/>
          <w:color w:val="FF0000"/>
          <w:sz w:val="28"/>
          <w:szCs w:val="28"/>
        </w:rPr>
        <w:t>年</w:t>
      </w:r>
      <w:r>
        <w:rPr>
          <w:rFonts w:hint="eastAsia" w:ascii="宋体" w:hAnsi="宋体"/>
          <w:b/>
          <w:color w:val="FF0000"/>
          <w:sz w:val="28"/>
          <w:szCs w:val="28"/>
          <w:lang w:val="en-US" w:eastAsia="zh-CN"/>
        </w:rPr>
        <w:t>12</w:t>
      </w:r>
      <w:r>
        <w:rPr>
          <w:rFonts w:hint="eastAsia" w:ascii="宋体" w:hAnsi="宋体"/>
          <w:b/>
          <w:color w:val="FF0000"/>
          <w:sz w:val="28"/>
          <w:szCs w:val="28"/>
        </w:rPr>
        <w:t>月</w:t>
      </w:r>
      <w:r>
        <w:rPr>
          <w:rFonts w:hint="eastAsia" w:ascii="宋体" w:hAnsi="宋体"/>
          <w:b/>
          <w:color w:val="FF0000"/>
          <w:sz w:val="28"/>
          <w:szCs w:val="28"/>
          <w:lang w:val="en-US" w:eastAsia="zh-CN"/>
        </w:rPr>
        <w:t>7</w:t>
      </w:r>
      <w:r>
        <w:rPr>
          <w:rFonts w:hint="eastAsia" w:ascii="宋体" w:hAnsi="宋体"/>
          <w:b/>
          <w:color w:val="FF0000"/>
          <w:sz w:val="28"/>
          <w:szCs w:val="28"/>
        </w:rPr>
        <w:t>日上午09:30</w:t>
      </w:r>
      <w:r>
        <w:rPr>
          <w:rFonts w:hint="eastAsia" w:ascii="宋体" w:hAnsi="宋体"/>
          <w:b/>
          <w:color w:val="000000" w:themeColor="text1"/>
          <w:sz w:val="28"/>
          <w:szCs w:val="28"/>
          <w14:textFill>
            <w14:solidFill>
              <w14:schemeClr w14:val="tx1"/>
            </w14:solidFill>
          </w14:textFill>
        </w:rPr>
        <w:t>。</w:t>
      </w:r>
    </w:p>
    <w:p>
      <w:pPr>
        <w:spacing w:line="560" w:lineRule="exact"/>
        <w:ind w:firstLine="560" w:firstLineChars="200"/>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（二）投标文件递交方式、地点：投标截止时间前，投标人应将加密的电子投标文件递交至“政府采购云平台”对应项目（包件）。</w:t>
      </w:r>
    </w:p>
    <w:p>
      <w:pPr>
        <w:numPr>
          <w:ilvl w:val="0"/>
          <w:numId w:val="5"/>
        </w:numPr>
        <w:spacing w:after="200" w:line="560" w:lineRule="exact"/>
        <w:ind w:left="0" w:firstLine="567"/>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开标地点</w:t>
      </w:r>
    </w:p>
    <w:p>
      <w:pPr>
        <w:spacing w:line="360" w:lineRule="auto"/>
        <w:ind w:firstLine="420" w:firstLineChars="15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本项目为不见面开标项目。</w:t>
      </w:r>
    </w:p>
    <w:p>
      <w:pPr>
        <w:spacing w:line="360" w:lineRule="auto"/>
        <w:ind w:firstLine="420" w:firstLineChars="15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开标地点为：</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“政府采购云平台”。登录</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门户网站（https://www.cdggzy.com）—用户中心—政府采购云平台。</w:t>
      </w:r>
    </w:p>
    <w:p>
      <w:pPr>
        <w:spacing w:line="360" w:lineRule="auto"/>
        <w:ind w:firstLine="420" w:firstLineChars="15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本项目只接受投标人加密并递交至“政府采购云平台”的投标文件。</w:t>
      </w:r>
    </w:p>
    <w:p>
      <w:pPr>
        <w:numPr>
          <w:ilvl w:val="0"/>
          <w:numId w:val="5"/>
        </w:numPr>
        <w:spacing w:after="200" w:line="560" w:lineRule="exact"/>
        <w:ind w:left="0" w:firstLine="567"/>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政采中小企业政府采购信用担保融资</w:t>
      </w:r>
    </w:p>
    <w:p>
      <w:pPr>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sz w:val="28"/>
          <w:szCs w:val="28"/>
        </w:rPr>
        <w:t>参加本次招标活动的中小企业供应商无需提供财产抵押或第三方担保，凭借政府采购合同可向融资机构申请融资。具体内容详见成都市公共资源交易服务中心网（http://www.cdggzy.com/）</w:t>
      </w:r>
      <w:r>
        <w:rPr>
          <w:rFonts w:hint="eastAsia" w:ascii="宋体" w:hAnsi="宋体"/>
          <w:sz w:val="28"/>
          <w:szCs w:val="28"/>
          <w:lang w:eastAsia="zh-CN"/>
        </w:rPr>
        <w:t>都江堰市分中心“通知公告”栏《都江堰市财政局</w:t>
      </w:r>
      <w:r>
        <w:rPr>
          <w:rFonts w:hint="eastAsia" w:ascii="宋体" w:hAnsi="宋体"/>
          <w:sz w:val="28"/>
          <w:szCs w:val="28"/>
          <w:lang w:val="en-US" w:eastAsia="zh-CN"/>
        </w:rPr>
        <w:t xml:space="preserve"> 中国人民银行都江堰市支行关于转发</w:t>
      </w:r>
      <w:r>
        <w:rPr>
          <w:rFonts w:hint="eastAsia" w:ascii="宋体" w:hAnsi="宋体"/>
          <w:sz w:val="28"/>
          <w:szCs w:val="28"/>
        </w:rPr>
        <w:t>〈成都市</w:t>
      </w:r>
      <w:r>
        <w:rPr>
          <w:rFonts w:hint="eastAsia" w:ascii="宋体" w:hAnsi="宋体"/>
          <w:sz w:val="28"/>
          <w:szCs w:val="28"/>
          <w:lang w:eastAsia="zh-CN"/>
        </w:rPr>
        <w:t>中小企业政府采购信用融资暂行办法</w:t>
      </w:r>
      <w:r>
        <w:rPr>
          <w:rFonts w:hint="eastAsia" w:ascii="宋体" w:hAnsi="宋体"/>
          <w:sz w:val="28"/>
          <w:szCs w:val="28"/>
        </w:rPr>
        <w:t>〉</w:t>
      </w:r>
      <w:r>
        <w:rPr>
          <w:rFonts w:hint="eastAsia" w:ascii="宋体" w:hAnsi="宋体"/>
          <w:sz w:val="28"/>
          <w:szCs w:val="28"/>
          <w:lang w:eastAsia="zh-CN"/>
        </w:rPr>
        <w:t>的通知》（都</w:t>
      </w:r>
      <w:r>
        <w:rPr>
          <w:rFonts w:hint="eastAsia" w:ascii="宋体" w:hAnsi="宋体"/>
          <w:sz w:val="28"/>
          <w:szCs w:val="28"/>
        </w:rPr>
        <w:t>财</w:t>
      </w:r>
      <w:r>
        <w:rPr>
          <w:rFonts w:hint="eastAsia" w:ascii="宋体" w:hAnsi="宋体"/>
          <w:sz w:val="28"/>
          <w:szCs w:val="28"/>
          <w:lang w:eastAsia="zh-CN"/>
        </w:rPr>
        <w:t>发</w:t>
      </w:r>
      <w:r>
        <w:rPr>
          <w:rFonts w:hint="eastAsia" w:ascii="宋体" w:hAnsi="宋体"/>
          <w:sz w:val="28"/>
          <w:szCs w:val="28"/>
        </w:rPr>
        <w:t>[2019]</w:t>
      </w:r>
      <w:r>
        <w:rPr>
          <w:rFonts w:hint="eastAsia" w:ascii="宋体" w:hAnsi="宋体"/>
          <w:sz w:val="28"/>
          <w:szCs w:val="28"/>
          <w:lang w:val="en-US" w:eastAsia="zh-CN"/>
        </w:rPr>
        <w:t>88</w:t>
      </w:r>
      <w:r>
        <w:rPr>
          <w:rFonts w:hint="eastAsia" w:ascii="宋体" w:hAnsi="宋体"/>
          <w:sz w:val="28"/>
          <w:szCs w:val="28"/>
        </w:rPr>
        <w:t>号）</w:t>
      </w:r>
      <w:r>
        <w:rPr>
          <w:rFonts w:hint="eastAsia" w:ascii="宋体" w:hAnsi="宋体"/>
          <w:sz w:val="28"/>
          <w:szCs w:val="28"/>
          <w:lang w:eastAsia="zh-CN"/>
        </w:rPr>
        <w:t>和《都江堰市财政局</w:t>
      </w:r>
      <w:r>
        <w:rPr>
          <w:rFonts w:hint="eastAsia" w:ascii="宋体" w:hAnsi="宋体"/>
          <w:sz w:val="28"/>
          <w:szCs w:val="28"/>
          <w:lang w:val="en-US" w:eastAsia="zh-CN"/>
        </w:rPr>
        <w:t xml:space="preserve"> 中国人民银行都江堰市支行关于转发</w:t>
      </w:r>
      <w:r>
        <w:rPr>
          <w:rFonts w:hint="eastAsia" w:ascii="宋体" w:hAnsi="宋体"/>
          <w:sz w:val="28"/>
          <w:szCs w:val="28"/>
        </w:rPr>
        <w:t>〈</w:t>
      </w:r>
      <w:r>
        <w:rPr>
          <w:rFonts w:hint="eastAsia" w:ascii="宋体" w:hAnsi="宋体"/>
          <w:sz w:val="28"/>
          <w:szCs w:val="28"/>
          <w:lang w:eastAsia="zh-CN"/>
        </w:rPr>
        <w:t>都江堰市支持中小企业政府采购信用融资实施方案</w:t>
      </w:r>
      <w:r>
        <w:rPr>
          <w:rFonts w:hint="eastAsia" w:ascii="宋体" w:hAnsi="宋体"/>
          <w:sz w:val="28"/>
          <w:szCs w:val="28"/>
        </w:rPr>
        <w:t>〉</w:t>
      </w:r>
      <w:r>
        <w:rPr>
          <w:rFonts w:hint="eastAsia" w:ascii="宋体" w:hAnsi="宋体"/>
          <w:sz w:val="28"/>
          <w:szCs w:val="28"/>
          <w:lang w:eastAsia="zh-CN"/>
        </w:rPr>
        <w:t>的通知》（都</w:t>
      </w:r>
      <w:r>
        <w:rPr>
          <w:rFonts w:hint="eastAsia" w:ascii="宋体" w:hAnsi="宋体"/>
          <w:sz w:val="28"/>
          <w:szCs w:val="28"/>
        </w:rPr>
        <w:t>财</w:t>
      </w:r>
      <w:r>
        <w:rPr>
          <w:rFonts w:hint="eastAsia" w:ascii="宋体" w:hAnsi="宋体"/>
          <w:sz w:val="28"/>
          <w:szCs w:val="28"/>
          <w:lang w:eastAsia="zh-CN"/>
        </w:rPr>
        <w:t>发</w:t>
      </w:r>
      <w:r>
        <w:rPr>
          <w:rFonts w:hint="eastAsia" w:ascii="宋体" w:hAnsi="宋体"/>
          <w:sz w:val="28"/>
          <w:szCs w:val="28"/>
        </w:rPr>
        <w:t>[2019]</w:t>
      </w:r>
      <w:r>
        <w:rPr>
          <w:rFonts w:hint="eastAsia" w:ascii="宋体" w:hAnsi="宋体"/>
          <w:sz w:val="28"/>
          <w:szCs w:val="28"/>
          <w:lang w:val="en-US" w:eastAsia="zh-CN"/>
        </w:rPr>
        <w:t>92</w:t>
      </w:r>
      <w:r>
        <w:rPr>
          <w:rFonts w:hint="eastAsia" w:ascii="宋体" w:hAnsi="宋体"/>
          <w:sz w:val="28"/>
          <w:szCs w:val="28"/>
        </w:rPr>
        <w:t>号）</w:t>
      </w:r>
      <w:r>
        <w:rPr>
          <w:rFonts w:hint="eastAsia" w:ascii="宋体" w:hAnsi="宋体"/>
          <w:sz w:val="28"/>
          <w:szCs w:val="28"/>
          <w:lang w:eastAsia="zh-CN"/>
        </w:rPr>
        <w:t>”。</w:t>
      </w:r>
    </w:p>
    <w:p>
      <w:pPr>
        <w:numPr>
          <w:ilvl w:val="0"/>
          <w:numId w:val="5"/>
        </w:numPr>
        <w:spacing w:after="200" w:line="560" w:lineRule="exact"/>
        <w:ind w:left="0" w:firstLine="567"/>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本投标邀请在“四川政府采购网”和“</w:t>
      </w:r>
      <w:r>
        <w:rPr>
          <w:rFonts w:hint="eastAsia" w:ascii="宋体" w:hAnsi="宋体"/>
          <w:b/>
          <w:color w:val="000000" w:themeColor="text1"/>
          <w:sz w:val="28"/>
          <w:szCs w:val="28"/>
          <w:lang w:eastAsia="zh-CN"/>
          <w14:textFill>
            <w14:solidFill>
              <w14:schemeClr w14:val="tx1"/>
            </w14:solidFill>
          </w14:textFill>
        </w:rPr>
        <w:t>成都市公共资源交易服务中心</w:t>
      </w:r>
      <w:r>
        <w:rPr>
          <w:rFonts w:hint="eastAsia" w:ascii="宋体" w:hAnsi="宋体"/>
          <w:b/>
          <w:color w:val="000000" w:themeColor="text1"/>
          <w:sz w:val="28"/>
          <w:szCs w:val="28"/>
          <w14:textFill>
            <w14:solidFill>
              <w14:schemeClr w14:val="tx1"/>
            </w14:solidFill>
          </w14:textFill>
        </w:rPr>
        <w:t>”网站上以公告形式发布</w:t>
      </w:r>
    </w:p>
    <w:p>
      <w:pPr>
        <w:numPr>
          <w:ilvl w:val="0"/>
          <w:numId w:val="5"/>
        </w:numPr>
        <w:spacing w:after="200" w:line="560" w:lineRule="exact"/>
        <w:ind w:left="0" w:firstLine="567"/>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联系方式</w:t>
      </w:r>
    </w:p>
    <w:p>
      <w:pPr>
        <w:pStyle w:val="153"/>
        <w:spacing w:line="580" w:lineRule="exact"/>
        <w:ind w:firstLine="562"/>
        <w:rPr>
          <w:rFonts w:ascii="宋体" w:hAnsi="宋体"/>
          <w:b/>
          <w:color w:val="FF0000"/>
          <w:kern w:val="0"/>
          <w:sz w:val="28"/>
          <w:szCs w:val="22"/>
        </w:rPr>
      </w:pPr>
      <w:r>
        <w:rPr>
          <w:rFonts w:hint="eastAsia" w:ascii="宋体" w:hAnsi="宋体"/>
          <w:b/>
          <w:color w:val="000000" w:themeColor="text1"/>
          <w:kern w:val="0"/>
          <w:sz w:val="28"/>
          <w:szCs w:val="22"/>
          <w14:textFill>
            <w14:solidFill>
              <w14:schemeClr w14:val="tx1"/>
            </w14:solidFill>
          </w14:textFill>
        </w:rPr>
        <w:t>采购人：</w:t>
      </w:r>
      <w:r>
        <w:rPr>
          <w:rFonts w:hint="eastAsia" w:ascii="华文中宋" w:hAnsi="华文中宋" w:eastAsia="华文中宋"/>
          <w:color w:val="000000" w:themeColor="text1"/>
          <w:sz w:val="32"/>
          <w:szCs w:val="32"/>
          <w14:textFill>
            <w14:solidFill>
              <w14:schemeClr w14:val="tx1"/>
            </w14:solidFill>
          </w14:textFill>
        </w:rPr>
        <w:t>都江堰市人民政府幸福街道办事处</w:t>
      </w:r>
    </w:p>
    <w:p>
      <w:pPr>
        <w:pStyle w:val="153"/>
        <w:spacing w:line="480" w:lineRule="exact"/>
        <w:ind w:firstLine="560"/>
        <w:rPr>
          <w:rFonts w:ascii="宋体" w:hAnsi="宋体"/>
          <w:color w:val="000000" w:themeColor="text1"/>
          <w:kern w:val="0"/>
          <w:sz w:val="28"/>
          <w:szCs w:val="22"/>
          <w14:textFill>
            <w14:solidFill>
              <w14:schemeClr w14:val="tx1"/>
            </w14:solidFill>
          </w14:textFill>
        </w:rPr>
      </w:pPr>
      <w:r>
        <w:rPr>
          <w:rFonts w:hint="eastAsia" w:ascii="宋体" w:hAnsi="宋体"/>
          <w:color w:val="000000" w:themeColor="text1"/>
          <w:kern w:val="0"/>
          <w:sz w:val="28"/>
          <w:szCs w:val="22"/>
          <w14:textFill>
            <w14:solidFill>
              <w14:schemeClr w14:val="tx1"/>
            </w14:solidFill>
          </w14:textFill>
        </w:rPr>
        <w:t>地  址：</w:t>
      </w:r>
      <w:r>
        <w:rPr>
          <w:sz w:val="28"/>
          <w:szCs w:val="28"/>
        </w:rPr>
        <w:t>都江堰市都江堰大道</w:t>
      </w:r>
      <w:r>
        <w:rPr>
          <w:spacing w:val="-57"/>
          <w:sz w:val="28"/>
          <w:szCs w:val="28"/>
        </w:rPr>
        <w:t xml:space="preserve"> </w:t>
      </w:r>
      <w:r>
        <w:rPr>
          <w:rFonts w:ascii="Times New Roman" w:hAnsi="Times New Roman" w:eastAsia="Times New Roman" w:cs="Times New Roman"/>
          <w:sz w:val="28"/>
          <w:szCs w:val="28"/>
        </w:rPr>
        <w:t>299</w:t>
      </w:r>
      <w:r>
        <w:rPr>
          <w:rFonts w:ascii="Times New Roman" w:hAnsi="Times New Roman" w:eastAsia="Times New Roman" w:cs="Times New Roman"/>
          <w:spacing w:val="-3"/>
          <w:sz w:val="28"/>
          <w:szCs w:val="28"/>
        </w:rPr>
        <w:t xml:space="preserve"> </w:t>
      </w:r>
      <w:r>
        <w:rPr>
          <w:sz w:val="28"/>
          <w:szCs w:val="28"/>
        </w:rPr>
        <w:t>号</w:t>
      </w:r>
    </w:p>
    <w:p>
      <w:pPr>
        <w:pStyle w:val="153"/>
        <w:spacing w:line="480" w:lineRule="exact"/>
        <w:ind w:firstLine="560"/>
        <w:rPr>
          <w:rFonts w:hint="default" w:ascii="宋体" w:hAnsi="宋体" w:eastAsia="宋体"/>
          <w:color w:val="000000" w:themeColor="text1"/>
          <w:kern w:val="0"/>
          <w:sz w:val="28"/>
          <w:szCs w:val="22"/>
          <w:lang w:val="en-US" w:eastAsia="zh-CN"/>
          <w14:textFill>
            <w14:solidFill>
              <w14:schemeClr w14:val="tx1"/>
            </w14:solidFill>
          </w14:textFill>
        </w:rPr>
      </w:pPr>
      <w:r>
        <w:rPr>
          <w:rFonts w:hint="eastAsia" w:ascii="宋体" w:hAnsi="宋体"/>
          <w:color w:val="000000" w:themeColor="text1"/>
          <w:kern w:val="0"/>
          <w:sz w:val="28"/>
          <w:szCs w:val="22"/>
          <w14:textFill>
            <w14:solidFill>
              <w14:schemeClr w14:val="tx1"/>
            </w14:solidFill>
          </w14:textFill>
        </w:rPr>
        <w:t>邮  编：</w:t>
      </w:r>
      <w:r>
        <w:rPr>
          <w:rFonts w:hint="eastAsia" w:ascii="宋体" w:hAnsi="宋体"/>
          <w:color w:val="000000" w:themeColor="text1"/>
          <w:kern w:val="0"/>
          <w:sz w:val="28"/>
          <w:szCs w:val="22"/>
          <w:lang w:val="en-US" w:eastAsia="zh-CN"/>
          <w14:textFill>
            <w14:solidFill>
              <w14:schemeClr w14:val="tx1"/>
            </w14:solidFill>
          </w14:textFill>
        </w:rPr>
        <w:t>611830</w:t>
      </w:r>
    </w:p>
    <w:p>
      <w:pPr>
        <w:pStyle w:val="153"/>
        <w:spacing w:line="480" w:lineRule="exact"/>
        <w:ind w:firstLine="560"/>
        <w:rPr>
          <w:rFonts w:ascii="宋体" w:hAnsi="宋体"/>
          <w:color w:val="000000" w:themeColor="text1"/>
          <w:kern w:val="0"/>
          <w:sz w:val="28"/>
          <w:szCs w:val="22"/>
          <w14:textFill>
            <w14:solidFill>
              <w14:schemeClr w14:val="tx1"/>
            </w14:solidFill>
          </w14:textFill>
        </w:rPr>
      </w:pPr>
      <w:r>
        <w:rPr>
          <w:rFonts w:hint="eastAsia" w:ascii="宋体" w:hAnsi="宋体"/>
          <w:color w:val="000000" w:themeColor="text1"/>
          <w:kern w:val="0"/>
          <w:sz w:val="28"/>
          <w:szCs w:val="22"/>
          <w14:textFill>
            <w14:solidFill>
              <w14:schemeClr w14:val="tx1"/>
            </w14:solidFill>
          </w14:textFill>
        </w:rPr>
        <w:t>联系人：</w:t>
      </w:r>
      <w:r>
        <w:rPr>
          <w:rFonts w:hint="eastAsia" w:ascii="宋体" w:hAnsi="宋体"/>
          <w:color w:val="FF0000"/>
          <w:kern w:val="0"/>
          <w:sz w:val="28"/>
          <w:szCs w:val="22"/>
          <w:lang w:eastAsia="zh-CN"/>
        </w:rPr>
        <w:t>周敏</w:t>
      </w:r>
    </w:p>
    <w:p>
      <w:pPr>
        <w:pStyle w:val="153"/>
        <w:spacing w:line="480" w:lineRule="exact"/>
        <w:ind w:firstLine="560"/>
        <w:rPr>
          <w:rFonts w:ascii="宋体" w:hAnsi="宋体"/>
          <w:color w:val="000000" w:themeColor="text1"/>
          <w:kern w:val="0"/>
          <w:sz w:val="28"/>
          <w:szCs w:val="22"/>
          <w14:textFill>
            <w14:solidFill>
              <w14:schemeClr w14:val="tx1"/>
            </w14:solidFill>
          </w14:textFill>
        </w:rPr>
      </w:pPr>
      <w:r>
        <w:rPr>
          <w:rFonts w:hint="eastAsia" w:ascii="宋体" w:hAnsi="宋体"/>
          <w:color w:val="000000" w:themeColor="text1"/>
          <w:kern w:val="0"/>
          <w:sz w:val="28"/>
          <w:szCs w:val="22"/>
          <w14:textFill>
            <w14:solidFill>
              <w14:schemeClr w14:val="tx1"/>
            </w14:solidFill>
          </w14:textFill>
        </w:rPr>
        <w:t>联系电话：</w:t>
      </w:r>
      <w:r>
        <w:rPr>
          <w:rFonts w:hint="eastAsia" w:ascii="宋体" w:hAnsi="宋体"/>
          <w:color w:val="000000" w:themeColor="text1"/>
          <w:kern w:val="0"/>
          <w:sz w:val="28"/>
          <w:szCs w:val="22"/>
          <w:lang w:val="en-US" w:eastAsia="zh-CN"/>
          <w14:textFill>
            <w14:solidFill>
              <w14:schemeClr w14:val="tx1"/>
            </w14:solidFill>
          </w14:textFill>
        </w:rPr>
        <w:t>13699021684</w:t>
      </w:r>
    </w:p>
    <w:p>
      <w:pPr>
        <w:pStyle w:val="153"/>
        <w:spacing w:line="560" w:lineRule="exact"/>
        <w:ind w:firstLine="562"/>
        <w:rPr>
          <w:rFonts w:hint="eastAsia" w:ascii="宋体" w:hAnsi="宋体" w:eastAsia="宋体"/>
          <w:b/>
          <w:color w:val="000000" w:themeColor="text1"/>
          <w:kern w:val="0"/>
          <w:sz w:val="28"/>
          <w:szCs w:val="22"/>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都江堰市公共资源交易服务中心</w:t>
      </w:r>
    </w:p>
    <w:p>
      <w:pPr>
        <w:spacing w:line="520" w:lineRule="exact"/>
        <w:ind w:left="567" w:leftChars="270"/>
        <w:rPr>
          <w:rFonts w:ascii="宋体" w:hAnsi="宋体"/>
          <w:sz w:val="28"/>
          <w:szCs w:val="28"/>
        </w:rPr>
      </w:pPr>
      <w:r>
        <w:rPr>
          <w:rFonts w:hint="eastAsia" w:ascii="宋体" w:hAnsi="宋体"/>
          <w:sz w:val="28"/>
          <w:szCs w:val="28"/>
        </w:rPr>
        <w:t>地址：</w:t>
      </w:r>
      <w:r>
        <w:rPr>
          <w:rFonts w:hint="eastAsia"/>
          <w:sz w:val="28"/>
          <w:szCs w:val="28"/>
        </w:rPr>
        <w:t>都江堰市江安河东路下段25号2楼</w:t>
      </w:r>
    </w:p>
    <w:p>
      <w:pPr>
        <w:tabs>
          <w:tab w:val="left" w:pos="3885"/>
        </w:tabs>
        <w:spacing w:line="520" w:lineRule="exact"/>
        <w:ind w:left="567" w:leftChars="270"/>
        <w:rPr>
          <w:rFonts w:ascii="宋体" w:hAnsi="宋体"/>
          <w:sz w:val="28"/>
          <w:szCs w:val="28"/>
        </w:rPr>
      </w:pPr>
      <w:r>
        <w:rPr>
          <w:rFonts w:hint="eastAsia" w:ascii="宋体" w:hAnsi="宋体"/>
          <w:sz w:val="28"/>
          <w:szCs w:val="28"/>
        </w:rPr>
        <w:t>联系人：</w:t>
      </w:r>
      <w:r>
        <w:rPr>
          <w:rFonts w:hint="eastAsia" w:ascii="宋体" w:hAnsi="宋体"/>
          <w:color w:val="FF0000"/>
          <w:sz w:val="28"/>
          <w:szCs w:val="28"/>
          <w:u w:val="single"/>
        </w:rPr>
        <w:t xml:space="preserve">   </w:t>
      </w:r>
      <w:r>
        <w:rPr>
          <w:rFonts w:hint="eastAsia" w:ascii="宋体" w:hAnsi="宋体"/>
          <w:color w:val="FF0000"/>
          <w:sz w:val="28"/>
          <w:szCs w:val="28"/>
          <w:u w:val="single"/>
          <w:lang w:eastAsia="zh-CN"/>
        </w:rPr>
        <w:t>康鹏</w:t>
      </w:r>
      <w:r>
        <w:rPr>
          <w:rFonts w:hint="eastAsia" w:ascii="宋体" w:hAnsi="宋体"/>
          <w:color w:val="FF0000"/>
          <w:sz w:val="28"/>
          <w:szCs w:val="28"/>
          <w:u w:val="single"/>
        </w:rPr>
        <w:t xml:space="preserve">  </w:t>
      </w:r>
    </w:p>
    <w:p>
      <w:pPr>
        <w:spacing w:line="520" w:lineRule="exact"/>
        <w:ind w:firstLine="560" w:firstLineChars="200"/>
        <w:rPr>
          <w:rFonts w:hint="eastAsia" w:ascii="宋体" w:hAnsi="宋体"/>
          <w:sz w:val="28"/>
          <w:szCs w:val="28"/>
        </w:rPr>
      </w:pPr>
      <w:r>
        <w:rPr>
          <w:rFonts w:hint="eastAsia" w:ascii="宋体" w:hAnsi="宋体"/>
          <w:sz w:val="28"/>
          <w:szCs w:val="28"/>
        </w:rPr>
        <w:t>联系电话（传真）：028－8974</w:t>
      </w:r>
      <w:r>
        <w:rPr>
          <w:rFonts w:hint="eastAsia" w:ascii="宋体" w:hAnsi="宋体"/>
          <w:sz w:val="28"/>
          <w:szCs w:val="28"/>
          <w:lang w:val="en-US" w:eastAsia="zh-CN"/>
        </w:rPr>
        <w:t>1082</w:t>
      </w:r>
    </w:p>
    <w:p>
      <w:pPr>
        <w:pStyle w:val="153"/>
        <w:spacing w:line="560" w:lineRule="exact"/>
        <w:ind w:firstLine="560"/>
        <w:rPr>
          <w:rFonts w:hint="default" w:ascii="宋体" w:hAnsi="宋体" w:eastAsia="宋体"/>
          <w:color w:val="000000" w:themeColor="text1"/>
          <w:kern w:val="0"/>
          <w:sz w:val="28"/>
          <w:lang w:val="en-US" w:eastAsia="zh-CN"/>
          <w14:textFill>
            <w14:solidFill>
              <w14:schemeClr w14:val="tx1"/>
            </w14:solidFill>
          </w14:textFill>
        </w:rPr>
      </w:pPr>
      <w:r>
        <w:rPr>
          <w:rFonts w:hint="eastAsia" w:ascii="宋体" w:hAnsi="宋体"/>
          <w:color w:val="000000" w:themeColor="text1"/>
          <w:kern w:val="0"/>
          <w:sz w:val="28"/>
          <w:lang w:eastAsia="zh-CN"/>
          <w14:textFill>
            <w14:solidFill>
              <w14:schemeClr w14:val="tx1"/>
            </w14:solidFill>
          </w14:textFill>
        </w:rPr>
        <w:t>邮编：</w:t>
      </w:r>
      <w:r>
        <w:rPr>
          <w:rFonts w:hint="eastAsia" w:ascii="宋体" w:hAnsi="宋体"/>
          <w:color w:val="000000" w:themeColor="text1"/>
          <w:kern w:val="0"/>
          <w:sz w:val="28"/>
          <w:lang w:val="en-US" w:eastAsia="zh-CN"/>
          <w14:textFill>
            <w14:solidFill>
              <w14:schemeClr w14:val="tx1"/>
            </w14:solidFill>
          </w14:textFill>
        </w:rPr>
        <w:t>611830</w:t>
      </w:r>
    </w:p>
    <w:p>
      <w:pPr>
        <w:pStyle w:val="153"/>
        <w:spacing w:line="560" w:lineRule="exact"/>
        <w:ind w:firstLine="560"/>
        <w:rPr>
          <w:rFonts w:ascii="宋体" w:hAnsi="宋体"/>
          <w:color w:val="000000" w:themeColor="text1"/>
          <w:kern w:val="0"/>
          <w:sz w:val="28"/>
          <w14:textFill>
            <w14:solidFill>
              <w14:schemeClr w14:val="tx1"/>
            </w14:solidFill>
          </w14:textFill>
        </w:rPr>
      </w:pPr>
      <w:r>
        <w:rPr>
          <w:rFonts w:hint="eastAsia" w:ascii="宋体" w:hAnsi="宋体"/>
          <w:b/>
          <w:bCs/>
          <w:color w:val="000000" w:themeColor="text1"/>
          <w:kern w:val="0"/>
          <w:sz w:val="28"/>
          <w14:textFill>
            <w14:solidFill>
              <w14:schemeClr w14:val="tx1"/>
            </w14:solidFill>
          </w14:textFill>
        </w:rPr>
        <w:t>技术支持</w:t>
      </w:r>
      <w:r>
        <w:rPr>
          <w:rFonts w:ascii="宋体" w:hAnsi="宋体"/>
          <w:b/>
          <w:bCs/>
          <w:color w:val="000000" w:themeColor="text1"/>
          <w:kern w:val="0"/>
          <w:sz w:val="28"/>
          <w14:textFill>
            <w14:solidFill>
              <w14:schemeClr w14:val="tx1"/>
            </w14:solidFill>
          </w14:textFill>
        </w:rPr>
        <w:t>联系电话</w:t>
      </w:r>
      <w:r>
        <w:rPr>
          <w:rFonts w:ascii="宋体" w:hAnsi="宋体"/>
          <w:color w:val="000000" w:themeColor="text1"/>
          <w:kern w:val="0"/>
          <w:sz w:val="28"/>
          <w14:textFill>
            <w14:solidFill>
              <w14:schemeClr w14:val="tx1"/>
            </w14:solidFill>
          </w14:textFill>
        </w:rPr>
        <w:t>：</w:t>
      </w:r>
      <w:r>
        <w:rPr>
          <w:rFonts w:hint="eastAsia" w:ascii="宋体" w:hAnsi="宋体"/>
          <w:sz w:val="28"/>
          <w:szCs w:val="28"/>
        </w:rPr>
        <w:t>400-881-7190</w:t>
      </w:r>
    </w:p>
    <w:p>
      <w:pPr>
        <w:pStyle w:val="130"/>
        <w:tabs>
          <w:tab w:val="left" w:pos="900"/>
        </w:tabs>
        <w:spacing w:line="560" w:lineRule="exact"/>
        <w:ind w:firstLine="562"/>
        <w:jc w:val="left"/>
        <w:rPr>
          <w:rFonts w:ascii="宋体" w:hAnsi="宋体" w:cs="Times New Roman"/>
          <w:b/>
          <w:color w:val="000000" w:themeColor="text1"/>
          <w:kern w:val="0"/>
          <w:sz w:val="28"/>
          <w14:textFill>
            <w14:solidFill>
              <w14:schemeClr w14:val="tx1"/>
            </w14:solidFill>
          </w14:textFill>
        </w:rPr>
      </w:pPr>
      <w:r>
        <w:rPr>
          <w:rFonts w:hint="eastAsia" w:ascii="宋体" w:hAnsi="宋体" w:cs="Times New Roman"/>
          <w:b/>
          <w:color w:val="000000" w:themeColor="text1"/>
          <w:sz w:val="28"/>
          <w14:textFill>
            <w14:solidFill>
              <w14:schemeClr w14:val="tx1"/>
            </w14:solidFill>
          </w14:textFill>
        </w:rPr>
        <w:t>集中采购监督机构：</w:t>
      </w:r>
      <w:r>
        <w:rPr>
          <w:rFonts w:hint="eastAsia" w:ascii="宋体" w:hAnsi="宋体" w:cs="Times New Roman"/>
          <w:b/>
          <w:color w:val="000000" w:themeColor="text1"/>
          <w:sz w:val="28"/>
          <w:lang w:eastAsia="zh-CN"/>
          <w14:textFill>
            <w14:solidFill>
              <w14:schemeClr w14:val="tx1"/>
            </w14:solidFill>
          </w14:textFill>
        </w:rPr>
        <w:t>都江堰</w:t>
      </w:r>
      <w:r>
        <w:rPr>
          <w:rFonts w:hint="eastAsia" w:ascii="宋体" w:hAnsi="宋体" w:cs="Times New Roman"/>
          <w:b/>
          <w:color w:val="000000" w:themeColor="text1"/>
          <w:sz w:val="28"/>
          <w14:textFill>
            <w14:solidFill>
              <w14:schemeClr w14:val="tx1"/>
            </w14:solidFill>
          </w14:textFill>
        </w:rPr>
        <w:t>市财政局</w:t>
      </w:r>
    </w:p>
    <w:p>
      <w:pPr>
        <w:pStyle w:val="130"/>
        <w:tabs>
          <w:tab w:val="left" w:pos="900"/>
        </w:tabs>
        <w:spacing w:line="560" w:lineRule="exact"/>
        <w:ind w:firstLine="560"/>
        <w:jc w:val="left"/>
        <w:rPr>
          <w:rFonts w:hint="eastAsia" w:ascii="宋体" w:hAnsi="宋体" w:cs="Times New Roman"/>
          <w:color w:val="000000" w:themeColor="text1"/>
          <w:sz w:val="28"/>
          <w14:textFill>
            <w14:solidFill>
              <w14:schemeClr w14:val="tx1"/>
            </w14:solidFill>
          </w14:textFill>
        </w:rPr>
      </w:pPr>
      <w:r>
        <w:rPr>
          <w:rFonts w:hint="eastAsia" w:ascii="宋体" w:hAnsi="宋体" w:cs="Times New Roman"/>
          <w:color w:val="000000" w:themeColor="text1"/>
          <w:sz w:val="28"/>
          <w14:textFill>
            <w14:solidFill>
              <w14:schemeClr w14:val="tx1"/>
            </w14:solidFill>
          </w14:textFill>
        </w:rPr>
        <w:t>地 址：</w:t>
      </w:r>
      <w:r>
        <w:rPr>
          <w:rFonts w:hint="eastAsia" w:ascii="宋体" w:hAnsi="宋体" w:cs="Times New Roman"/>
          <w:color w:val="000000" w:themeColor="text1"/>
          <w:sz w:val="28"/>
          <w:lang w:val="zh-CN"/>
          <w14:textFill>
            <w14:solidFill>
              <w14:schemeClr w14:val="tx1"/>
            </w14:solidFill>
          </w14:textFill>
        </w:rPr>
        <w:t>都江堰市善政路607号</w:t>
      </w:r>
    </w:p>
    <w:p>
      <w:pPr>
        <w:pStyle w:val="130"/>
        <w:tabs>
          <w:tab w:val="left" w:pos="900"/>
        </w:tabs>
        <w:spacing w:line="560" w:lineRule="exact"/>
        <w:ind w:firstLine="560"/>
        <w:jc w:val="left"/>
        <w:rPr>
          <w:rFonts w:hint="eastAsia" w:ascii="宋体" w:hAnsi="宋体" w:cs="Times New Roman"/>
          <w:color w:val="000000" w:themeColor="text1"/>
          <w:sz w:val="28"/>
          <w14:textFill>
            <w14:solidFill>
              <w14:schemeClr w14:val="tx1"/>
            </w14:solidFill>
          </w14:textFill>
        </w:rPr>
      </w:pPr>
      <w:r>
        <w:rPr>
          <w:rFonts w:hint="eastAsia" w:ascii="宋体" w:hAnsi="宋体" w:cs="Times New Roman"/>
          <w:color w:val="000000" w:themeColor="text1"/>
          <w:sz w:val="28"/>
          <w14:textFill>
            <w14:solidFill>
              <w14:schemeClr w14:val="tx1"/>
            </w14:solidFill>
          </w14:textFill>
        </w:rPr>
        <w:t>联系电话：</w:t>
      </w:r>
      <w:r>
        <w:rPr>
          <w:rFonts w:hint="eastAsia" w:ascii="宋体" w:hAnsi="宋体" w:cs="Times New Roman"/>
          <w:color w:val="000000" w:themeColor="text1"/>
          <w:sz w:val="28"/>
          <w:lang w:val="zh-CN"/>
          <w14:textFill>
            <w14:solidFill>
              <w14:schemeClr w14:val="tx1"/>
            </w14:solidFill>
          </w14:textFill>
        </w:rPr>
        <w:t>028-89747932</w:t>
      </w:r>
    </w:p>
    <w:p>
      <w:pPr>
        <w:pStyle w:val="3"/>
        <w:numPr>
          <w:ilvl w:val="0"/>
          <w:numId w:val="4"/>
        </w:numPr>
        <w:spacing w:before="0" w:after="0" w:line="240" w:lineRule="auto"/>
        <w:ind w:left="0" w:firstLine="0"/>
        <w:rPr>
          <w:color w:val="000000" w:themeColor="text1"/>
          <w14:textFill>
            <w14:solidFill>
              <w14:schemeClr w14:val="tx1"/>
            </w14:solidFill>
          </w14:textFill>
        </w:rPr>
      </w:pPr>
      <w:bookmarkStart w:id="19" w:name="_Toc11280"/>
      <w:bookmarkStart w:id="20" w:name="_Toc23978"/>
      <w:bookmarkStart w:id="21" w:name="_Toc22501"/>
      <w:bookmarkStart w:id="22" w:name="_Toc65573685"/>
      <w:bookmarkStart w:id="23" w:name="_Toc16071"/>
      <w:r>
        <w:rPr>
          <w:rFonts w:hint="eastAsia"/>
          <w:color w:val="000000" w:themeColor="text1"/>
          <w14:textFill>
            <w14:solidFill>
              <w14:schemeClr w14:val="tx1"/>
            </w14:solidFill>
          </w14:textFill>
        </w:rPr>
        <w:t>投标人须知</w:t>
      </w:r>
      <w:bookmarkEnd w:id="19"/>
      <w:bookmarkEnd w:id="20"/>
      <w:bookmarkEnd w:id="21"/>
      <w:bookmarkEnd w:id="22"/>
      <w:bookmarkEnd w:id="23"/>
    </w:p>
    <w:p>
      <w:pPr>
        <w:pStyle w:val="4"/>
        <w:numPr>
          <w:ilvl w:val="1"/>
          <w:numId w:val="4"/>
        </w:numPr>
        <w:spacing w:before="0" w:after="0" w:line="240" w:lineRule="auto"/>
        <w:ind w:left="2269" w:hanging="2127"/>
        <w:rPr>
          <w:color w:val="000000" w:themeColor="text1"/>
          <w14:textFill>
            <w14:solidFill>
              <w14:schemeClr w14:val="tx1"/>
            </w14:solidFill>
          </w14:textFill>
        </w:rPr>
      </w:pPr>
      <w:bookmarkStart w:id="24" w:name="_Toc213496268"/>
      <w:bookmarkStart w:id="25" w:name="_Toc213396946"/>
      <w:bookmarkStart w:id="26" w:name="_Toc217446032"/>
      <w:bookmarkStart w:id="27" w:name="_Toc316462344"/>
      <w:bookmarkStart w:id="28" w:name="_Toc32366"/>
      <w:bookmarkStart w:id="29" w:name="_Toc213397010"/>
      <w:bookmarkStart w:id="30" w:name="_Toc189727030"/>
      <w:bookmarkStart w:id="31" w:name="_Toc14528"/>
      <w:bookmarkStart w:id="32" w:name="_Toc1773"/>
      <w:bookmarkStart w:id="33" w:name="_Toc213396760"/>
      <w:bookmarkStart w:id="34" w:name="_Toc65573686"/>
      <w:bookmarkStart w:id="35" w:name="_Toc15505"/>
      <w:r>
        <w:rPr>
          <w:rFonts w:hint="eastAsia"/>
          <w:color w:val="000000" w:themeColor="text1"/>
          <w14:textFill>
            <w14:solidFill>
              <w14:schemeClr w14:val="tx1"/>
            </w14:solidFill>
          </w14:textFill>
        </w:rPr>
        <w:t>投标人须知前附表</w:t>
      </w:r>
      <w:bookmarkEnd w:id="24"/>
      <w:bookmarkEnd w:id="25"/>
      <w:bookmarkEnd w:id="26"/>
      <w:bookmarkEnd w:id="27"/>
      <w:bookmarkEnd w:id="28"/>
      <w:bookmarkEnd w:id="29"/>
      <w:bookmarkEnd w:id="30"/>
      <w:bookmarkEnd w:id="31"/>
      <w:bookmarkEnd w:id="32"/>
      <w:bookmarkEnd w:id="33"/>
      <w:bookmarkEnd w:id="34"/>
      <w:bookmarkEnd w:id="35"/>
    </w:p>
    <w:tbl>
      <w:tblPr>
        <w:tblStyle w:val="43"/>
        <w:tblW w:w="9312"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9"/>
        <w:gridCol w:w="1942"/>
        <w:gridCol w:w="668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689"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8"/>
                <w:szCs w:val="28"/>
                <w:lang w:val="zh-CN"/>
                <w14:textFill>
                  <w14:solidFill>
                    <w14:schemeClr w14:val="tx1"/>
                  </w14:solidFill>
                </w14:textFill>
              </w:rPr>
              <w:t>序号</w:t>
            </w:r>
          </w:p>
        </w:tc>
        <w:tc>
          <w:tcPr>
            <w:tcW w:w="1942" w:type="dxa"/>
            <w:tcBorders>
              <w:top w:val="single" w:color="auto" w:sz="18" w:space="0"/>
              <w:left w:val="single" w:color="auto" w:sz="8" w:space="0"/>
              <w:bottom w:val="single" w:color="auto" w:sz="8" w:space="0"/>
              <w:right w:val="single" w:color="auto" w:sz="8" w:space="0"/>
            </w:tcBorders>
            <w:vAlign w:val="center"/>
          </w:tcPr>
          <w:p>
            <w:pPr>
              <w:pStyle w:val="122"/>
              <w:ind w:left="38"/>
              <w:jc w:val="center"/>
              <w:rPr>
                <w:b/>
                <w:color w:val="000000" w:themeColor="text1"/>
                <w:kern w:val="2"/>
                <w:lang w:val="zh-CN"/>
                <w14:textFill>
                  <w14:solidFill>
                    <w14:schemeClr w14:val="tx1"/>
                  </w14:solidFill>
                </w14:textFill>
              </w:rPr>
            </w:pPr>
            <w:r>
              <w:rPr>
                <w:rFonts w:hint="eastAsia"/>
                <w:b/>
                <w:color w:val="000000" w:themeColor="text1"/>
                <w:kern w:val="2"/>
                <w:sz w:val="28"/>
                <w:szCs w:val="28"/>
                <w:lang w:val="zh-CN"/>
                <w14:textFill>
                  <w14:solidFill>
                    <w14:schemeClr w14:val="tx1"/>
                  </w14:solidFill>
                </w14:textFill>
              </w:rPr>
              <w:t>应知事项</w:t>
            </w:r>
          </w:p>
        </w:tc>
        <w:tc>
          <w:tcPr>
            <w:tcW w:w="6681" w:type="dxa"/>
            <w:tcBorders>
              <w:top w:val="single" w:color="auto" w:sz="18" w:space="0"/>
              <w:left w:val="single" w:color="auto" w:sz="8" w:space="0"/>
              <w:bottom w:val="single" w:color="auto" w:sz="8" w:space="0"/>
              <w:right w:val="single" w:color="auto" w:sz="18" w:space="0"/>
            </w:tcBorders>
            <w:vAlign w:val="center"/>
          </w:tcPr>
          <w:p>
            <w:pPr>
              <w:pStyle w:val="122"/>
              <w:jc w:val="center"/>
              <w:rPr>
                <w:b/>
                <w:color w:val="000000" w:themeColor="text1"/>
                <w:kern w:val="2"/>
                <w:lang w:val="zh-CN"/>
                <w14:textFill>
                  <w14:solidFill>
                    <w14:schemeClr w14:val="tx1"/>
                  </w14:solidFill>
                </w14:textFill>
              </w:rPr>
            </w:pPr>
            <w:r>
              <w:rPr>
                <w:rFonts w:hint="eastAsia"/>
                <w:b/>
                <w:color w:val="000000" w:themeColor="text1"/>
                <w:kern w:val="2"/>
                <w:sz w:val="28"/>
                <w:szCs w:val="28"/>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42" w:hRule="exac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b/>
                <w:color w:val="000000" w:themeColor="text1"/>
                <w:sz w:val="28"/>
                <w:szCs w:val="28"/>
                <w:lang w:val="zh-CN"/>
                <w14:textFill>
                  <w14:solidFill>
                    <w14:schemeClr w14:val="tx1"/>
                  </w14:solidFill>
                </w14:textFill>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38"/>
              <w:rPr>
                <w:color w:val="000000" w:themeColor="text1"/>
                <w:kern w:val="2"/>
                <w:lang w:val="zh-CN"/>
                <w14:textFill>
                  <w14:solidFill>
                    <w14:schemeClr w14:val="tx1"/>
                  </w14:solidFill>
                </w14:textFill>
              </w:rPr>
            </w:pPr>
            <w:r>
              <w:rPr>
                <w:rFonts w:hint="eastAsia"/>
                <w:color w:val="000000" w:themeColor="text1"/>
                <w:kern w:val="2"/>
                <w:lang w:val="zh-CN"/>
                <w14:textFill>
                  <w14:solidFill>
                    <w14:schemeClr w14:val="tx1"/>
                  </w14:solidFill>
                </w14:textFill>
              </w:rPr>
              <w:t>采购预算</w:t>
            </w:r>
          </w:p>
        </w:tc>
        <w:tc>
          <w:tcPr>
            <w:tcW w:w="6681" w:type="dxa"/>
            <w:tcBorders>
              <w:top w:val="single" w:color="auto" w:sz="8" w:space="0"/>
              <w:left w:val="single" w:color="auto" w:sz="8" w:space="0"/>
              <w:bottom w:val="single" w:color="auto" w:sz="8" w:space="0"/>
              <w:right w:val="single" w:color="auto" w:sz="18" w:space="0"/>
            </w:tcBorders>
            <w:vAlign w:val="center"/>
          </w:tcPr>
          <w:p>
            <w:pPr>
              <w:pStyle w:val="122"/>
              <w:rPr>
                <w:b/>
                <w:color w:val="000000" w:themeColor="text1"/>
                <w:kern w:val="2"/>
                <w:lang w:val="zh-CN"/>
                <w14:textFill>
                  <w14:solidFill>
                    <w14:schemeClr w14:val="tx1"/>
                  </w14:solidFill>
                </w14:textFill>
              </w:rPr>
            </w:pPr>
            <w:r>
              <w:rPr>
                <w:rFonts w:hint="eastAsia"/>
                <w:b/>
                <w:color w:val="000000" w:themeColor="text1"/>
                <w:kern w:val="2"/>
                <w:lang w:val="zh-CN"/>
                <w14:textFill>
                  <w14:solidFill>
                    <w14:schemeClr w14:val="tx1"/>
                  </w14:solidFill>
                </w14:textFill>
              </w:rPr>
              <w:t>人民币</w:t>
            </w:r>
            <w:r>
              <w:rPr>
                <w:rFonts w:hint="eastAsia"/>
                <w:b/>
                <w:color w:val="FF0000"/>
                <w:kern w:val="2"/>
                <w:lang w:val="en-US" w:eastAsia="zh-CN"/>
              </w:rPr>
              <w:t>300000</w:t>
            </w:r>
            <w:r>
              <w:rPr>
                <w:rFonts w:hint="eastAsia"/>
                <w:b/>
                <w:color w:val="000000" w:themeColor="text1"/>
                <w:kern w:val="2"/>
                <w:lang w:val="zh-CN"/>
                <w14:textFill>
                  <w14:solidFill>
                    <w14:schemeClr w14:val="tx1"/>
                  </w14:solidFill>
                </w14:textFill>
              </w:rPr>
              <w:t>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0" w:hRule="exac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b/>
                <w:color w:val="000000" w:themeColor="text1"/>
                <w:sz w:val="28"/>
                <w:szCs w:val="28"/>
                <w:lang w:val="zh-CN"/>
                <w14:textFill>
                  <w14:solidFill>
                    <w14:schemeClr w14:val="tx1"/>
                  </w14:solidFill>
                </w14:textFill>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38"/>
              <w:rPr>
                <w:color w:val="000000" w:themeColor="text1"/>
                <w:kern w:val="2"/>
                <w:lang w:val="zh-CN"/>
                <w14:textFill>
                  <w14:solidFill>
                    <w14:schemeClr w14:val="tx1"/>
                  </w14:solidFill>
                </w14:textFill>
              </w:rPr>
            </w:pPr>
            <w:r>
              <w:rPr>
                <w:rFonts w:hint="eastAsia"/>
                <w:color w:val="000000" w:themeColor="text1"/>
                <w:kern w:val="2"/>
                <w:lang w:val="zh-CN"/>
                <w14:textFill>
                  <w14:solidFill>
                    <w14:schemeClr w14:val="tx1"/>
                  </w14:solidFill>
                </w14:textFill>
              </w:rPr>
              <w:t>最高限价</w:t>
            </w:r>
          </w:p>
        </w:tc>
        <w:tc>
          <w:tcPr>
            <w:tcW w:w="6681" w:type="dxa"/>
            <w:tcBorders>
              <w:top w:val="single" w:color="auto" w:sz="8" w:space="0"/>
              <w:left w:val="single" w:color="auto" w:sz="8" w:space="0"/>
              <w:bottom w:val="single" w:color="auto" w:sz="8" w:space="0"/>
              <w:right w:val="single" w:color="auto" w:sz="18" w:space="0"/>
            </w:tcBorders>
            <w:vAlign w:val="center"/>
          </w:tcPr>
          <w:p>
            <w:pPr>
              <w:pStyle w:val="122"/>
              <w:ind w:left="38"/>
              <w:rPr>
                <w:b/>
                <w:color w:val="000000" w:themeColor="text1"/>
                <w:kern w:val="2"/>
                <w:lang w:val="zh-CN"/>
                <w14:textFill>
                  <w14:solidFill>
                    <w14:schemeClr w14:val="tx1"/>
                  </w14:solidFill>
                </w14:textFill>
              </w:rPr>
            </w:pPr>
            <w:r>
              <w:rPr>
                <w:rFonts w:hint="eastAsia"/>
                <w:b/>
                <w:color w:val="000000" w:themeColor="text1"/>
                <w:kern w:val="2"/>
                <w:lang w:val="zh-CN"/>
                <w14:textFill>
                  <w14:solidFill>
                    <w14:schemeClr w14:val="tx1"/>
                  </w14:solidFill>
                </w14:textFill>
              </w:rPr>
              <w:t>本项目最高限价为人民币</w:t>
            </w:r>
            <w:r>
              <w:rPr>
                <w:rFonts w:hint="eastAsia"/>
                <w:b/>
                <w:color w:val="000000" w:themeColor="text1"/>
                <w:kern w:val="2"/>
                <w:lang w:val="en-US" w:eastAsia="zh-CN"/>
                <w14:textFill>
                  <w14:solidFill>
                    <w14:schemeClr w14:val="tx1"/>
                  </w14:solidFill>
                </w14:textFill>
              </w:rPr>
              <w:t>300000</w:t>
            </w:r>
            <w:r>
              <w:rPr>
                <w:rFonts w:hint="eastAsia"/>
                <w:b/>
                <w:color w:val="000000" w:themeColor="text1"/>
                <w:kern w:val="2"/>
                <w:lang w:val="zh-CN"/>
                <w14:textFill>
                  <w14:solidFill>
                    <w14:schemeClr w14:val="tx1"/>
                  </w14:solidFill>
                </w14:textFill>
              </w:rPr>
              <w:t>元。投标人投标报价高于最高限价的则其投标文件将按无效投标文件处理。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60" w:hRule="exac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14:textFill>
                  <w14:solidFill>
                    <w14:schemeClr w14:val="tx1"/>
                  </w14:solidFill>
                </w14:textFill>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38"/>
              <w:rPr>
                <w:color w:val="000000" w:themeColor="text1"/>
                <w:kern w:val="2"/>
                <w:lang w:val="zh-CN"/>
                <w14:textFill>
                  <w14:solidFill>
                    <w14:schemeClr w14:val="tx1"/>
                  </w14:solidFill>
                </w14:textFill>
              </w:rPr>
            </w:pPr>
            <w:r>
              <w:rPr>
                <w:rFonts w:hint="eastAsia"/>
                <w:color w:val="000000" w:themeColor="text1"/>
                <w:kern w:val="2"/>
                <w:lang w:val="zh-CN"/>
                <w14:textFill>
                  <w14:solidFill>
                    <w14:schemeClr w14:val="tx1"/>
                  </w14:solidFill>
                </w14:textFill>
              </w:rPr>
              <w:t>采购方式</w:t>
            </w:r>
          </w:p>
        </w:tc>
        <w:tc>
          <w:tcPr>
            <w:tcW w:w="6681" w:type="dxa"/>
            <w:tcBorders>
              <w:top w:val="single" w:color="auto" w:sz="8" w:space="0"/>
              <w:left w:val="single" w:color="auto" w:sz="8" w:space="0"/>
              <w:bottom w:val="single" w:color="auto" w:sz="8" w:space="0"/>
              <w:right w:val="single" w:color="auto" w:sz="18" w:space="0"/>
            </w:tcBorders>
            <w:vAlign w:val="center"/>
          </w:tcPr>
          <w:p>
            <w:pPr>
              <w:pStyle w:val="122"/>
              <w:jc w:val="both"/>
              <w:rPr>
                <w:color w:val="000000" w:themeColor="text1"/>
                <w:kern w:val="2"/>
                <w:lang w:val="zh-CN"/>
                <w14:textFill>
                  <w14:solidFill>
                    <w14:schemeClr w14:val="tx1"/>
                  </w14:solidFill>
                </w14:textFill>
              </w:rPr>
            </w:pPr>
            <w:r>
              <w:rPr>
                <w:rFonts w:hint="eastAsia"/>
                <w:color w:val="000000" w:themeColor="text1"/>
                <w:kern w:val="2"/>
                <w:lang w:val="zh-CN"/>
                <w14:textFill>
                  <w14:solidFill>
                    <w14:schemeClr w14:val="tx1"/>
                  </w14:solidFill>
                </w14:textFill>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14:textFill>
                  <w14:solidFill>
                    <w14:schemeClr w14:val="tx1"/>
                  </w14:solidFill>
                </w14:textFill>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96"/>
              <w:rPr>
                <w:color w:val="000000" w:themeColor="text1"/>
                <w:kern w:val="2"/>
                <w:lang w:val="zh-CN"/>
                <w14:textFill>
                  <w14:solidFill>
                    <w14:schemeClr w14:val="tx1"/>
                  </w14:solidFill>
                </w14:textFill>
              </w:rPr>
            </w:pPr>
            <w:r>
              <w:rPr>
                <w:rFonts w:hint="eastAsia"/>
                <w:color w:val="000000" w:themeColor="text1"/>
                <w:kern w:val="2"/>
                <w:lang w:val="zh-CN"/>
                <w14:textFill>
                  <w14:solidFill>
                    <w14:schemeClr w14:val="tx1"/>
                  </w14:solidFill>
                </w14:textFill>
              </w:rPr>
              <w:t>评标方法</w:t>
            </w:r>
          </w:p>
        </w:tc>
        <w:tc>
          <w:tcPr>
            <w:tcW w:w="6681" w:type="dxa"/>
            <w:tcBorders>
              <w:top w:val="single" w:color="auto" w:sz="8" w:space="0"/>
              <w:left w:val="single" w:color="auto" w:sz="8" w:space="0"/>
              <w:bottom w:val="single" w:color="auto" w:sz="8" w:space="0"/>
              <w:right w:val="single" w:color="auto" w:sz="18" w:space="0"/>
            </w:tcBorders>
            <w:vAlign w:val="center"/>
          </w:tcPr>
          <w:p>
            <w:pPr>
              <w:pStyle w:val="122"/>
              <w:rPr>
                <w:color w:val="000000" w:themeColor="text1"/>
                <w:kern w:val="2"/>
                <w:lang w:val="zh-CN"/>
                <w14:textFill>
                  <w14:solidFill>
                    <w14:schemeClr w14:val="tx1"/>
                  </w14:solidFill>
                </w14:textFill>
              </w:rPr>
            </w:pPr>
            <w:r>
              <w:rPr>
                <w:rFonts w:hint="eastAsia"/>
                <w:color w:val="000000" w:themeColor="text1"/>
                <w:kern w:val="2"/>
                <w:lang w:val="zh-CN"/>
                <w14:textFill>
                  <w14:solidFill>
                    <w14:schemeClr w14:val="tx1"/>
                  </w14:solidFill>
                </w14:textFill>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14:textFill>
                  <w14:solidFill>
                    <w14:schemeClr w14:val="tx1"/>
                  </w14:solidFill>
                </w14:textFill>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96"/>
              <w:rPr>
                <w:color w:val="000000" w:themeColor="text1"/>
                <w:kern w:val="2"/>
                <w:lang w:val="zh-CN"/>
                <w14:textFill>
                  <w14:solidFill>
                    <w14:schemeClr w14:val="tx1"/>
                  </w14:solidFill>
                </w14:textFill>
              </w:rPr>
            </w:pPr>
            <w:r>
              <w:rPr>
                <w:rFonts w:hint="eastAsia"/>
                <w:color w:val="000000" w:themeColor="text1"/>
                <w:kern w:val="2"/>
                <w:lang w:val="zh-CN"/>
                <w14:textFill>
                  <w14:solidFill>
                    <w14:schemeClr w14:val="tx1"/>
                  </w14:solidFill>
                </w14:textFill>
              </w:rPr>
              <w:t>低于成本价不正当竞争预防措施</w:t>
            </w:r>
          </w:p>
        </w:tc>
        <w:tc>
          <w:tcPr>
            <w:tcW w:w="6681" w:type="dxa"/>
            <w:tcBorders>
              <w:top w:val="single" w:color="auto" w:sz="8" w:space="0"/>
              <w:left w:val="single" w:color="auto" w:sz="8" w:space="0"/>
              <w:bottom w:val="single" w:color="auto" w:sz="8" w:space="0"/>
              <w:right w:val="single" w:color="auto" w:sz="18" w:space="0"/>
            </w:tcBorders>
            <w:vAlign w:val="center"/>
          </w:tcPr>
          <w:p>
            <w:pPr>
              <w:ind w:right="94" w:rightChars="45"/>
              <w:rPr>
                <w:rFonts w:ascii="宋体" w:hAnsi="宋体"/>
                <w:b/>
                <w:color w:val="000000" w:themeColor="text1"/>
                <w:sz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14:textFill>
                  <w14:solidFill>
                    <w14:schemeClr w14:val="tx1"/>
                  </w14:solidFill>
                </w14:textFill>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96"/>
              <w:rPr>
                <w:color w:val="000000" w:themeColor="text1"/>
                <w:kern w:val="2"/>
                <w:lang w:val="zh-CN"/>
                <w14:textFill>
                  <w14:solidFill>
                    <w14:schemeClr w14:val="tx1"/>
                  </w14:solidFill>
                </w14:textFill>
              </w:rPr>
            </w:pPr>
            <w:r>
              <w:rPr>
                <w:rFonts w:hint="eastAsia"/>
                <w:color w:val="000000" w:themeColor="text1"/>
                <w:kern w:val="2"/>
                <w:lang w:val="zh-CN"/>
                <w14:textFill>
                  <w14:solidFill>
                    <w14:schemeClr w14:val="tx1"/>
                  </w14:solidFill>
                </w14:textFill>
              </w:rPr>
              <w:t>投标保证金</w:t>
            </w:r>
          </w:p>
        </w:tc>
        <w:tc>
          <w:tcPr>
            <w:tcW w:w="6681" w:type="dxa"/>
            <w:tcBorders>
              <w:top w:val="single" w:color="auto" w:sz="8" w:space="0"/>
              <w:left w:val="single" w:color="auto" w:sz="8" w:space="0"/>
              <w:bottom w:val="single" w:color="auto" w:sz="8" w:space="0"/>
              <w:right w:val="single" w:color="auto" w:sz="18" w:space="0"/>
            </w:tcBorders>
            <w:vAlign w:val="center"/>
          </w:tcPr>
          <w:p>
            <w:pP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14:textFill>
                  <w14:solidFill>
                    <w14:schemeClr w14:val="tx1"/>
                  </w14:solidFill>
                </w14:textFill>
              </w:rPr>
            </w:pPr>
          </w:p>
        </w:tc>
        <w:tc>
          <w:tcPr>
            <w:tcW w:w="1942" w:type="dxa"/>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履约保证金</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14:textFill>
                  <w14:solidFill>
                    <w14:schemeClr w14:val="tx1"/>
                  </w14:solidFill>
                </w14:textFill>
              </w:rPr>
            </w:pPr>
          </w:p>
        </w:tc>
        <w:tc>
          <w:tcPr>
            <w:tcW w:w="1942"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投标有效期</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000000" w:themeColor="text1"/>
                <w:sz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提交投标文件的截止之日起</w:t>
            </w:r>
            <w:r>
              <w:rPr>
                <w:rFonts w:hint="eastAsia" w:ascii="宋体" w:hAnsi="宋体"/>
                <w:color w:val="000000" w:themeColor="text1"/>
                <w:sz w:val="24"/>
                <w:szCs w:val="24"/>
                <w:u w:val="single"/>
                <w14:textFill>
                  <w14:solidFill>
                    <w14:schemeClr w14:val="tx1"/>
                  </w14:solidFill>
                </w14:textFill>
              </w:rPr>
              <w:t xml:space="preserve"> 120</w:t>
            </w:r>
            <w:r>
              <w:rPr>
                <w:rFonts w:hint="eastAsia" w:ascii="宋体" w:hAnsi="宋体"/>
                <w:color w:val="000000" w:themeColor="text1"/>
                <w:sz w:val="24"/>
                <w:szCs w:val="24"/>
                <w14:textFill>
                  <w14:solidFill>
                    <w14:schemeClr w14:val="tx1"/>
                  </w14:solidFill>
                </w14:textFill>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14:textFill>
                  <w14:solidFill>
                    <w14:schemeClr w14:val="tx1"/>
                  </w14:solidFill>
                </w14:textFill>
              </w:rPr>
            </w:pPr>
          </w:p>
        </w:tc>
        <w:tc>
          <w:tcPr>
            <w:tcW w:w="1942"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投标文件的制作和签章、加密</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20"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200"/>
              <w:jc w:val="center"/>
              <w:rPr>
                <w:rFonts w:ascii="宋体" w:hAnsi="宋体"/>
                <w:color w:val="000000" w:themeColor="text1"/>
                <w:sz w:val="24"/>
                <w14:textFill>
                  <w14:solidFill>
                    <w14:schemeClr w14:val="tx1"/>
                  </w14:solidFill>
                </w14:textFill>
              </w:rPr>
            </w:pPr>
          </w:p>
        </w:tc>
        <w:tc>
          <w:tcPr>
            <w:tcW w:w="1942" w:type="dxa"/>
            <w:tcBorders>
              <w:top w:val="single" w:color="auto" w:sz="8" w:space="0"/>
              <w:left w:val="single" w:color="auto" w:sz="8" w:space="0"/>
              <w:bottom w:val="single" w:color="auto" w:sz="4" w:space="0"/>
              <w:right w:val="single" w:color="auto" w:sz="8" w:space="0"/>
            </w:tcBorders>
            <w:vAlign w:val="center"/>
          </w:tcPr>
          <w:p>
            <w:pPr>
              <w:tabs>
                <w:tab w:val="left" w:pos="7665"/>
              </w:tabs>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投标文件的递交</w:t>
            </w:r>
          </w:p>
        </w:tc>
        <w:tc>
          <w:tcPr>
            <w:tcW w:w="6681"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详见投标人须知2.4.12</w:t>
            </w:r>
          </w:p>
          <w:p>
            <w:pPr>
              <w:tabs>
                <w:tab w:val="left" w:pos="7665"/>
              </w:tabs>
              <w:snapToGrid w:val="0"/>
              <w:jc w:val="left"/>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注：投标人使用CA证书在投标截止时间前，将电子投标文件上传至政府采购云平台，上传前须对电子投标文件是否有电子签章等进行核对。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6"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200"/>
              <w:jc w:val="center"/>
              <w:rPr>
                <w:rFonts w:ascii="宋体" w:hAnsi="宋体"/>
                <w:color w:val="000000" w:themeColor="text1"/>
                <w:sz w:val="24"/>
                <w14:textFill>
                  <w14:solidFill>
                    <w14:schemeClr w14:val="tx1"/>
                  </w14:solidFill>
                </w14:textFill>
              </w:rPr>
            </w:pPr>
          </w:p>
        </w:tc>
        <w:tc>
          <w:tcPr>
            <w:tcW w:w="1942" w:type="dxa"/>
            <w:tcBorders>
              <w:top w:val="single" w:color="auto" w:sz="4" w:space="0"/>
              <w:left w:val="single" w:color="auto" w:sz="8" w:space="0"/>
              <w:bottom w:val="single" w:color="auto" w:sz="4" w:space="0"/>
              <w:right w:val="single" w:color="auto" w:sz="8" w:space="0"/>
            </w:tcBorders>
            <w:vAlign w:val="center"/>
          </w:tcPr>
          <w:p>
            <w:pPr>
              <w:tabs>
                <w:tab w:val="left" w:pos="7665"/>
              </w:tabs>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投标文件的补充、修改</w:t>
            </w:r>
          </w:p>
        </w:tc>
        <w:tc>
          <w:tcPr>
            <w:tcW w:w="6681"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80" w:hRule="atLeast"/>
          <w:jc w:val="center"/>
        </w:trPr>
        <w:tc>
          <w:tcPr>
            <w:tcW w:w="689" w:type="dxa"/>
            <w:tcBorders>
              <w:top w:val="single" w:color="auto" w:sz="4"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14:textFill>
                  <w14:solidFill>
                    <w14:schemeClr w14:val="tx1"/>
                  </w14:solidFill>
                </w14:textFill>
              </w:rPr>
            </w:pPr>
          </w:p>
        </w:tc>
        <w:tc>
          <w:tcPr>
            <w:tcW w:w="1942" w:type="dxa"/>
            <w:tcBorders>
              <w:top w:val="single" w:color="auto" w:sz="4"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投标文件的撤回</w:t>
            </w:r>
          </w:p>
        </w:tc>
        <w:tc>
          <w:tcPr>
            <w:tcW w:w="6681"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80" w:hRule="atLeast"/>
          <w:jc w:val="center"/>
        </w:trPr>
        <w:tc>
          <w:tcPr>
            <w:tcW w:w="689" w:type="dxa"/>
            <w:tcBorders>
              <w:top w:val="single" w:color="auto" w:sz="4"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14:textFill>
                  <w14:solidFill>
                    <w14:schemeClr w14:val="tx1"/>
                  </w14:solidFill>
                </w14:textFill>
              </w:rPr>
            </w:pPr>
          </w:p>
        </w:tc>
        <w:tc>
          <w:tcPr>
            <w:tcW w:w="1942" w:type="dxa"/>
            <w:tcBorders>
              <w:top w:val="single" w:color="auto" w:sz="4"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sz w:val="24"/>
                <w14:textFill>
                  <w14:solidFill>
                    <w14:schemeClr w14:val="tx1"/>
                  </w14:solidFill>
                </w14:textFill>
              </w:rPr>
            </w:pPr>
            <w:r>
              <w:rPr>
                <w:rFonts w:hint="eastAsia"/>
                <w:b/>
                <w:color w:val="000000" w:themeColor="text1"/>
                <w14:textFill>
                  <w14:solidFill>
                    <w14:schemeClr w14:val="tx1"/>
                  </w14:solidFill>
                </w14:textFill>
              </w:rPr>
              <w:t>开标及开标程序</w:t>
            </w:r>
          </w:p>
        </w:tc>
        <w:tc>
          <w:tcPr>
            <w:tcW w:w="6681" w:type="dxa"/>
            <w:tcBorders>
              <w:top w:val="single" w:color="auto" w:sz="4" w:space="0"/>
              <w:left w:val="single" w:color="auto" w:sz="8" w:space="0"/>
              <w:bottom w:val="single" w:color="auto" w:sz="8" w:space="0"/>
              <w:right w:val="single" w:color="auto" w:sz="18" w:space="0"/>
            </w:tcBorders>
            <w:vAlign w:val="center"/>
          </w:tcPr>
          <w:p>
            <w:pPr>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详见投标人须知2.5.1。</w:t>
            </w:r>
          </w:p>
          <w:p>
            <w:pPr>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投标文件解密：开启解密后，投标人应在系统提示的解密开始时间后</w:t>
            </w:r>
            <w:r>
              <w:rPr>
                <w:rFonts w:ascii="宋体" w:hAnsi="宋体"/>
                <w:b/>
                <w:color w:val="000000" w:themeColor="text1"/>
                <w14:textFill>
                  <w14:solidFill>
                    <w14:schemeClr w14:val="tx1"/>
                  </w14:solidFill>
                </w14:textFill>
              </w:rPr>
              <w:t>60</w:t>
            </w:r>
            <w:r>
              <w:rPr>
                <w:rFonts w:hint="eastAsia" w:ascii="宋体" w:hAnsi="宋体"/>
                <w:b/>
                <w:color w:val="000000" w:themeColor="text1"/>
                <w14:textFill>
                  <w14:solidFill>
                    <w14:schemeClr w14:val="tx1"/>
                  </w14:solidFill>
                </w14:textFill>
              </w:rPr>
              <w:t>分钟内 ，使用对投标文件进行加密的CA证书在线完成对投标人递交至政府采购云平台的投标文件的解密。</w:t>
            </w:r>
          </w:p>
          <w:p>
            <w:pPr>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color w:val="000000" w:themeColor="text1"/>
                <w:sz w:val="24"/>
                <w14:textFill>
                  <w14:solidFill>
                    <w14:schemeClr w14:val="tx1"/>
                  </w14:solidFill>
                </w14:textFill>
              </w:rPr>
            </w:pPr>
            <w:r>
              <w:rPr>
                <w:rFonts w:hint="eastAsia" w:ascii="宋体" w:hAnsi="宋体"/>
                <w:b/>
                <w:color w:val="000000" w:themeColor="text1"/>
                <w14:textFill>
                  <w14:solidFill>
                    <w14:schemeClr w14:val="tx1"/>
                  </w14:solidFill>
                </w14:textFill>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7"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14:textFill>
                  <w14:solidFill>
                    <w14:schemeClr w14:val="tx1"/>
                  </w14:solidFill>
                </w14:textFill>
              </w:rPr>
            </w:pPr>
          </w:p>
        </w:tc>
        <w:tc>
          <w:tcPr>
            <w:tcW w:w="1942" w:type="dxa"/>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对招标文件中供应商参加本次政府采购活动应当具备的条件，招标项目服务、商务及其他要求，</w:t>
            </w:r>
            <w:r>
              <w:rPr>
                <w:rFonts w:hint="eastAsia" w:ascii="宋体"/>
                <w:sz w:val="24"/>
                <w:lang w:val="zh-CN"/>
              </w:rPr>
              <w:t>投标资料造假或虚假承诺，</w:t>
            </w:r>
            <w:r>
              <w:rPr>
                <w:rFonts w:hint="eastAsia" w:ascii="宋体" w:hAnsi="宋体"/>
                <w:color w:val="000000" w:themeColor="text1"/>
                <w:sz w:val="24"/>
                <w:szCs w:val="24"/>
                <w14:textFill>
                  <w14:solidFill>
                    <w14:schemeClr w14:val="tx1"/>
                  </w14:solidFill>
                </w14:textFill>
              </w:rPr>
              <w:t>以及关于资格审查的询问、质疑</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ind w:right="210"/>
              <w:rPr>
                <w:rFonts w:ascii="宋体" w:hAnsi="宋体" w:eastAsia="仿宋_GB2312" w:cs="宋体"/>
                <w:color w:val="000000" w:themeColor="text1"/>
                <w:kern w:val="0"/>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向采购人提出，并由</w:t>
            </w:r>
            <w:r>
              <w:rPr>
                <w:rFonts w:hint="eastAsia" w:ascii="宋体" w:hAnsi="宋体"/>
                <w:color w:val="000000" w:themeColor="text1"/>
                <w:kern w:val="0"/>
                <w:sz w:val="24"/>
                <w14:textFill>
                  <w14:solidFill>
                    <w14:schemeClr w14:val="tx1"/>
                  </w14:solidFill>
                </w14:textFill>
              </w:rPr>
              <w:t>采购人</w:t>
            </w:r>
            <w:r>
              <w:rPr>
                <w:rFonts w:hint="eastAsia" w:ascii="宋体" w:hAnsi="宋体"/>
                <w:color w:val="000000" w:themeColor="text1"/>
                <w:sz w:val="24"/>
                <w:szCs w:val="24"/>
                <w14:textFill>
                  <w14:solidFill>
                    <w14:schemeClr w14:val="tx1"/>
                  </w14:solidFill>
                </w14:textFill>
              </w:rPr>
              <w:t>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14:textFill>
                  <w14:solidFill>
                    <w14:schemeClr w14:val="tx1"/>
                  </w14:solidFill>
                </w14:textFill>
              </w:rPr>
            </w:pPr>
          </w:p>
        </w:tc>
        <w:tc>
          <w:tcPr>
            <w:tcW w:w="1942" w:type="dxa"/>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对招标文件中的其他内容、采购过程及中标结果（除资格审查）的询问、质疑</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ind w:right="210"/>
              <w:rPr>
                <w:rFonts w:ascii="宋体" w:hAnsi="宋体" w:eastAsia="仿宋_GB2312"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向市公资交易中心提出，</w:t>
            </w:r>
            <w:r>
              <w:rPr>
                <w:rFonts w:hint="eastAsia" w:ascii="宋体" w:hAnsi="宋体"/>
                <w:color w:val="000000" w:themeColor="text1"/>
                <w:sz w:val="24"/>
                <w:szCs w:val="24"/>
                <w14:textFill>
                  <w14:solidFill>
                    <w14:schemeClr w14:val="tx1"/>
                  </w14:solidFill>
                </w14:textFill>
              </w:rPr>
              <w:t>并由</w:t>
            </w:r>
            <w:r>
              <w:rPr>
                <w:rFonts w:hint="eastAsia" w:ascii="宋体" w:hAnsi="宋体"/>
                <w:color w:val="000000" w:themeColor="text1"/>
                <w:kern w:val="0"/>
                <w:sz w:val="24"/>
                <w14:textFill>
                  <w14:solidFill>
                    <w14:schemeClr w14:val="tx1"/>
                  </w14:solidFill>
                </w14:textFill>
              </w:rPr>
              <w:t>市公资交易中心</w:t>
            </w:r>
            <w:r>
              <w:rPr>
                <w:rFonts w:hint="eastAsia" w:ascii="宋体" w:hAnsi="宋体"/>
                <w:color w:val="000000" w:themeColor="text1"/>
                <w:sz w:val="24"/>
                <w:szCs w:val="24"/>
                <w14:textFill>
                  <w14:solidFill>
                    <w14:schemeClr w14:val="tx1"/>
                  </w14:solidFill>
                </w14:textFill>
              </w:rPr>
              <w:t>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7"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000000" w:themeColor="text1"/>
                <w:sz w:val="24"/>
                <w14:textFill>
                  <w14:solidFill>
                    <w14:schemeClr w14:val="tx1"/>
                  </w14:solidFill>
                </w14:textFill>
              </w:rPr>
            </w:pPr>
          </w:p>
        </w:tc>
        <w:tc>
          <w:tcPr>
            <w:tcW w:w="1942"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投标人投诉</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pacing w:line="360" w:lineRule="auto"/>
              <w:rPr>
                <w:rFonts w:hint="eastAsia" w:ascii="宋体" w:hAnsi="宋体" w:cs="宋体"/>
                <w:lang w:val="zh-CN"/>
              </w:rPr>
            </w:pPr>
            <w:r>
              <w:rPr>
                <w:rFonts w:hint="eastAsia" w:ascii="宋体" w:hAnsi="宋体" w:cs="宋体"/>
                <w:lang w:val="zh-CN"/>
              </w:rPr>
              <w:t>投诉受理单位：本项目同级财政部门，即</w:t>
            </w:r>
            <w:r>
              <w:rPr>
                <w:rFonts w:hint="eastAsia" w:ascii="宋体" w:hAnsi="宋体" w:cs="宋体"/>
                <w:lang w:val="zh-CN" w:eastAsia="zh-CN"/>
              </w:rPr>
              <w:t>都江堰</w:t>
            </w:r>
            <w:r>
              <w:rPr>
                <w:rFonts w:hint="eastAsia" w:ascii="宋体" w:hAnsi="宋体" w:cs="宋体"/>
                <w:lang w:val="zh-CN"/>
              </w:rPr>
              <w:t>市财政局。</w:t>
            </w:r>
          </w:p>
          <w:p>
            <w:pPr>
              <w:tabs>
                <w:tab w:val="left" w:pos="7665"/>
              </w:tabs>
              <w:spacing w:line="360" w:lineRule="auto"/>
              <w:rPr>
                <w:rFonts w:hint="eastAsia" w:ascii="宋体" w:hAnsi="宋体" w:cs="宋体"/>
                <w:lang w:val="zh-CN"/>
              </w:rPr>
            </w:pPr>
            <w:r>
              <w:rPr>
                <w:rFonts w:hint="eastAsia" w:ascii="宋体" w:hAnsi="宋体" w:cs="宋体"/>
                <w:lang w:val="zh-CN"/>
              </w:rPr>
              <w:t>联系电话：028-89747932。</w:t>
            </w:r>
          </w:p>
          <w:p>
            <w:pPr>
              <w:tabs>
                <w:tab w:val="left" w:pos="7665"/>
              </w:tabs>
              <w:spacing w:line="360" w:lineRule="auto"/>
              <w:rPr>
                <w:rFonts w:hint="eastAsia" w:ascii="宋体" w:hAnsi="宋体" w:cs="宋体"/>
                <w:lang w:val="zh-CN"/>
              </w:rPr>
            </w:pPr>
            <w:r>
              <w:rPr>
                <w:rFonts w:hint="eastAsia" w:ascii="宋体" w:hAnsi="宋体" w:cs="宋体"/>
                <w:lang w:val="zh-CN"/>
              </w:rPr>
              <w:t>地址：都江堰市善政路607号。</w:t>
            </w:r>
          </w:p>
          <w:p>
            <w:pPr>
              <w:tabs>
                <w:tab w:val="left" w:pos="7665"/>
              </w:tabs>
              <w:snapToGrid w:val="0"/>
              <w:jc w:val="left"/>
              <w:rPr>
                <w:rFonts w:ascii="宋体" w:hAnsi="宋体"/>
                <w:color w:val="000000" w:themeColor="text1"/>
                <w:sz w:val="24"/>
                <w14:textFill>
                  <w14:solidFill>
                    <w14:schemeClr w14:val="tx1"/>
                  </w14:solidFill>
                </w14:textFill>
              </w:rPr>
            </w:pPr>
            <w:r>
              <w:rPr>
                <w:rFonts w:hint="eastAsia" w:ascii="宋体" w:hAnsi="宋体" w:cs="宋体"/>
                <w:lang w:val="zh-CN"/>
              </w:rPr>
              <w:t>邮编：</w:t>
            </w:r>
            <w:r>
              <w:rPr>
                <w:rFonts w:hint="eastAsia" w:ascii="宋体" w:hAnsi="宋体" w:cs="宋体"/>
                <w:lang w:val="en-US" w:eastAsia="zh-CN"/>
              </w:rPr>
              <w:t>611830</w:t>
            </w:r>
            <w:r>
              <w:rPr>
                <w:rFonts w:hint="eastAsia" w:ascii="宋体" w:hAnsi="宋体" w:cs="宋体"/>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000000" w:themeColor="text1"/>
                <w:sz w:val="24"/>
                <w14:textFill>
                  <w14:solidFill>
                    <w14:schemeClr w14:val="tx1"/>
                  </w14:solidFill>
                </w14:textFill>
              </w:rPr>
            </w:pPr>
          </w:p>
        </w:tc>
        <w:tc>
          <w:tcPr>
            <w:tcW w:w="1942" w:type="dxa"/>
            <w:tcBorders>
              <w:top w:val="single" w:color="auto" w:sz="8" w:space="0"/>
              <w:left w:val="single" w:color="auto" w:sz="8" w:space="0"/>
              <w:bottom w:val="single" w:color="auto" w:sz="4" w:space="0"/>
              <w:right w:val="single" w:color="auto" w:sz="8" w:space="0"/>
            </w:tcBorders>
            <w:vAlign w:val="center"/>
          </w:tcPr>
          <w:p>
            <w:pPr>
              <w:snapToGrid w:val="0"/>
              <w:jc w:val="left"/>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评标情况公告</w:t>
            </w:r>
          </w:p>
        </w:tc>
        <w:tc>
          <w:tcPr>
            <w:tcW w:w="6681" w:type="dxa"/>
            <w:tcBorders>
              <w:top w:val="single" w:color="auto" w:sz="8" w:space="0"/>
              <w:left w:val="single" w:color="auto" w:sz="8" w:space="0"/>
              <w:bottom w:val="single" w:color="auto" w:sz="4" w:space="0"/>
              <w:right w:val="single" w:color="auto" w:sz="18" w:space="0"/>
            </w:tcBorders>
            <w:vAlign w:val="center"/>
          </w:tcPr>
          <w:p>
            <w:pPr>
              <w:widowControl/>
              <w:tabs>
                <w:tab w:val="left" w:pos="7665"/>
              </w:tabs>
              <w:jc w:val="left"/>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所有</w:t>
            </w:r>
            <w:r>
              <w:rPr>
                <w:rFonts w:hint="eastAsia" w:ascii="宋体" w:hAnsi="宋体"/>
                <w:color w:val="000000" w:themeColor="text1"/>
                <w:sz w:val="24"/>
                <w:szCs w:val="24"/>
                <w14:textFill>
                  <w14:solidFill>
                    <w14:schemeClr w14:val="tx1"/>
                  </w14:solidFill>
                </w14:textFill>
              </w:rPr>
              <w:t>投标人</w:t>
            </w:r>
            <w:r>
              <w:rPr>
                <w:rFonts w:hint="eastAsia" w:ascii="宋体" w:hAnsi="宋体" w:cs="宋体"/>
                <w:color w:val="000000" w:themeColor="text1"/>
                <w:kern w:val="0"/>
                <w:sz w:val="24"/>
                <w:szCs w:val="24"/>
                <w:lang w:val="zh-CN"/>
                <w14:textFill>
                  <w14:solidFill>
                    <w14:schemeClr w14:val="tx1"/>
                  </w14:solidFill>
                </w14:textFill>
              </w:rPr>
              <w:t>投标文件资格性、</w:t>
            </w:r>
            <w:r>
              <w:rPr>
                <w:rFonts w:hint="eastAsia" w:ascii="宋体" w:hAnsi="宋体" w:cs="宋体"/>
                <w:color w:val="auto"/>
                <w:kern w:val="0"/>
                <w:sz w:val="24"/>
                <w:szCs w:val="24"/>
                <w:lang w:val="zh-CN"/>
              </w:rPr>
              <w:t>符合性检查情况、</w:t>
            </w:r>
            <w:r>
              <w:rPr>
                <w:rFonts w:hint="eastAsia" w:ascii="宋体" w:hAnsi="宋体" w:cs="宋体"/>
                <w:color w:val="000000" w:themeColor="text1"/>
                <w:kern w:val="0"/>
                <w:sz w:val="24"/>
                <w:szCs w:val="24"/>
                <w:lang w:val="zh-CN"/>
                <w14:textFill>
                  <w14:solidFill>
                    <w14:schemeClr w14:val="tx1"/>
                  </w14:solidFill>
                </w14:textFill>
              </w:rPr>
              <w:t>采用综合评分法时的得分情况、评标结果等将在成都市公共资源交易服务中心网、四川政府采购网上采购结果公告栏中予以公告。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000000" w:themeColor="text1"/>
                <w:sz w:val="24"/>
                <w14:textFill>
                  <w14:solidFill>
                    <w14:schemeClr w14:val="tx1"/>
                  </w14:solidFill>
                </w14:textFill>
              </w:rPr>
            </w:pPr>
          </w:p>
        </w:tc>
        <w:tc>
          <w:tcPr>
            <w:tcW w:w="1942" w:type="dxa"/>
            <w:tcBorders>
              <w:top w:val="single" w:color="auto" w:sz="8" w:space="0"/>
              <w:left w:val="single" w:color="auto" w:sz="8" w:space="0"/>
              <w:bottom w:val="single" w:color="auto" w:sz="4" w:space="0"/>
              <w:right w:val="single" w:color="auto" w:sz="8" w:space="0"/>
            </w:tcBorders>
            <w:vAlign w:val="center"/>
          </w:tcPr>
          <w:p>
            <w:pPr>
              <w:snapToGrid w:val="0"/>
              <w:jc w:val="left"/>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中标通知书</w:t>
            </w:r>
          </w:p>
        </w:tc>
        <w:tc>
          <w:tcPr>
            <w:tcW w:w="6681"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000000" w:themeColor="text1"/>
                <w:sz w:val="24"/>
                <w14:textFill>
                  <w14:solidFill>
                    <w14:schemeClr w14:val="tx1"/>
                  </w14:solidFill>
                </w14:textFill>
              </w:rPr>
            </w:pPr>
          </w:p>
        </w:tc>
        <w:tc>
          <w:tcPr>
            <w:tcW w:w="1942" w:type="dxa"/>
            <w:tcBorders>
              <w:top w:val="single" w:color="auto" w:sz="8" w:space="0"/>
              <w:left w:val="single" w:color="auto" w:sz="8" w:space="0"/>
              <w:bottom w:val="single" w:color="auto" w:sz="4" w:space="0"/>
              <w:right w:val="single" w:color="auto" w:sz="8" w:space="0"/>
            </w:tcBorders>
            <w:vAlign w:val="center"/>
          </w:tcPr>
          <w:p>
            <w:pPr>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合同签订地点</w:t>
            </w:r>
          </w:p>
        </w:tc>
        <w:tc>
          <w:tcPr>
            <w:tcW w:w="6681"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四川省</w:t>
            </w:r>
            <w:r>
              <w:rPr>
                <w:rFonts w:hint="eastAsia" w:ascii="宋体" w:hAnsi="宋体"/>
                <w:color w:val="000000" w:themeColor="text1"/>
                <w:kern w:val="0"/>
                <w:sz w:val="24"/>
                <w:lang w:eastAsia="zh-CN"/>
                <w14:textFill>
                  <w14:solidFill>
                    <w14:schemeClr w14:val="tx1"/>
                  </w14:solidFill>
                </w14:textFill>
              </w:rPr>
              <w:t>都江堰</w:t>
            </w:r>
            <w:r>
              <w:rPr>
                <w:rFonts w:hint="eastAsia" w:ascii="宋体" w:hAnsi="宋体"/>
                <w:color w:val="000000" w:themeColor="text1"/>
                <w:kern w:val="0"/>
                <w:sz w:val="24"/>
                <w14:textFill>
                  <w14:solidFill>
                    <w14:schemeClr w14:val="tx1"/>
                  </w14:solidFill>
                </w14:textFill>
              </w:rPr>
              <w:t>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6"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000000" w:themeColor="text1"/>
                <w:sz w:val="24"/>
                <w14:textFill>
                  <w14:solidFill>
                    <w14:schemeClr w14:val="tx1"/>
                  </w14:solidFill>
                </w14:textFill>
              </w:rPr>
            </w:pPr>
          </w:p>
        </w:tc>
        <w:tc>
          <w:tcPr>
            <w:tcW w:w="1942" w:type="dxa"/>
            <w:tcBorders>
              <w:top w:val="single" w:color="auto" w:sz="4" w:space="0"/>
              <w:left w:val="single" w:color="auto" w:sz="8" w:space="0"/>
              <w:bottom w:val="single" w:color="auto" w:sz="4" w:space="0"/>
              <w:right w:val="single" w:color="auto" w:sz="8" w:space="0"/>
            </w:tcBorders>
            <w:vAlign w:val="center"/>
          </w:tcPr>
          <w:p>
            <w:pPr>
              <w:snapToGrid w:val="0"/>
              <w:ind w:right="210" w:right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政府采购合同公告、备案</w:t>
            </w:r>
          </w:p>
        </w:tc>
        <w:tc>
          <w:tcPr>
            <w:tcW w:w="6681"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ind w:left="-4" w:leftChars="-2" w:right="210"/>
              <w:rPr>
                <w:rFonts w:ascii="宋体" w:hAns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政府采购合同签订之日起2个工作日内，采购人将在四川政府采购网公告政府采购合同；</w:t>
            </w:r>
            <w:r>
              <w:rPr>
                <w:rFonts w:hint="eastAsia" w:ascii="宋体" w:hAnsi="宋体" w:cs="宋体"/>
                <w:color w:val="000000" w:themeColor="text1"/>
                <w:kern w:val="0"/>
                <w:sz w:val="24"/>
                <w:szCs w:val="24"/>
                <w:lang w:val="zh-CN"/>
                <w14:textFill>
                  <w14:solidFill>
                    <w14:schemeClr w14:val="tx1"/>
                  </w14:solidFill>
                </w14:textFill>
              </w:rPr>
              <w:t>疫情防控期间，采购人原则上在5个工作日内与供应商签订政府采购合同及向本采购项目同级财政部门，即都江堰市财政局备案政府采购合同。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000000" w:themeColor="text1"/>
                <w:sz w:val="24"/>
                <w14:textFill>
                  <w14:solidFill>
                    <w14:schemeClr w14:val="tx1"/>
                  </w14:solidFill>
                </w14:textFill>
              </w:rPr>
            </w:pPr>
          </w:p>
        </w:tc>
        <w:tc>
          <w:tcPr>
            <w:tcW w:w="1942" w:type="dxa"/>
            <w:tcBorders>
              <w:top w:val="single" w:color="auto" w:sz="4" w:space="0"/>
              <w:left w:val="single" w:color="auto" w:sz="8" w:space="0"/>
              <w:bottom w:val="single" w:color="auto" w:sz="4" w:space="0"/>
              <w:right w:val="single" w:color="auto" w:sz="8" w:space="0"/>
            </w:tcBorders>
            <w:vAlign w:val="center"/>
          </w:tcPr>
          <w:p>
            <w:pPr>
              <w:tabs>
                <w:tab w:val="left" w:pos="7665"/>
              </w:tabs>
              <w:snapToGrid w:val="0"/>
              <w:ind w:left="-4" w:leftChars="-2" w:right="210"/>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中小企业政府采购信用融资（“蓉采贷”）</w:t>
            </w:r>
          </w:p>
        </w:tc>
        <w:tc>
          <w:tcPr>
            <w:tcW w:w="6681"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ind w:left="-4" w:leftChars="-2" w:right="210"/>
              <w:rPr>
                <w:rFonts w:ascii="宋体" w:hAnsi="宋体" w:cs="宋体"/>
                <w:color w:val="000000" w:themeColor="text1"/>
                <w:kern w:val="0"/>
                <w:sz w:val="24"/>
                <w:szCs w:val="24"/>
                <w:lang w:val="zh-CN"/>
                <w14:textFill>
                  <w14:solidFill>
                    <w14:schemeClr w14:val="tx1"/>
                  </w14:solidFill>
                </w14:textFill>
              </w:rPr>
            </w:pPr>
            <w:r>
              <w:rPr>
                <w:rFonts w:hint="eastAsia" w:ascii="宋体"/>
                <w:sz w:val="24"/>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0"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000000" w:themeColor="text1"/>
                <w:sz w:val="24"/>
                <w14:textFill>
                  <w14:solidFill>
                    <w14:schemeClr w14:val="tx1"/>
                  </w14:solidFill>
                </w14:textFill>
              </w:rPr>
            </w:pPr>
          </w:p>
        </w:tc>
        <w:tc>
          <w:tcPr>
            <w:tcW w:w="1942" w:type="dxa"/>
            <w:tcBorders>
              <w:top w:val="single" w:color="auto" w:sz="4" w:space="0"/>
              <w:left w:val="single" w:color="auto" w:sz="8" w:space="0"/>
              <w:bottom w:val="single" w:color="auto" w:sz="4" w:space="0"/>
              <w:right w:val="single" w:color="auto" w:sz="8" w:space="0"/>
            </w:tcBorders>
            <w:vAlign w:val="center"/>
          </w:tcPr>
          <w:p>
            <w:pPr>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进口产品 </w:t>
            </w:r>
          </w:p>
        </w:tc>
        <w:tc>
          <w:tcPr>
            <w:tcW w:w="6681"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7"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000000" w:themeColor="text1"/>
                <w:sz w:val="24"/>
                <w14:textFill>
                  <w14:solidFill>
                    <w14:schemeClr w14:val="tx1"/>
                  </w14:solidFill>
                </w14:textFill>
              </w:rPr>
            </w:pPr>
          </w:p>
        </w:tc>
        <w:tc>
          <w:tcPr>
            <w:tcW w:w="8623" w:type="dxa"/>
            <w:gridSpan w:val="2"/>
            <w:tcBorders>
              <w:top w:val="single" w:color="auto" w:sz="4" w:space="0"/>
              <w:left w:val="single" w:color="auto" w:sz="8" w:space="0"/>
              <w:bottom w:val="single" w:color="auto" w:sz="4" w:space="0"/>
              <w:right w:val="single" w:color="auto" w:sz="18" w:space="0"/>
            </w:tcBorders>
            <w:vAlign w:val="center"/>
          </w:tcPr>
          <w:p>
            <w:pPr>
              <w:ind w:firstLine="240" w:firstLineChars="100"/>
              <w:rPr>
                <w:sz w:val="24"/>
              </w:rPr>
            </w:pPr>
            <w:r>
              <w:rPr>
                <w:rFonts w:hint="eastAsia"/>
                <w:sz w:val="24"/>
              </w:rPr>
              <w:t>采购单位将按照都江堰市的相关规定对本单位的政府采购项目中标（成交）供应商诚信情况进行核查。</w:t>
            </w:r>
          </w:p>
          <w:p>
            <w:pPr>
              <w:ind w:firstLine="240" w:firstLineChars="100"/>
              <w:rPr>
                <w:sz w:val="24"/>
              </w:rPr>
            </w:pPr>
            <w:r>
              <w:rPr>
                <w:sz w:val="24"/>
              </w:rPr>
              <w:t>1</w:t>
            </w:r>
            <w:r>
              <w:rPr>
                <w:rFonts w:hint="eastAsia"/>
                <w:sz w:val="24"/>
              </w:rPr>
              <w:t>、核查资料内容。在采购项目中标（成交）供应商确定后，采购单位须按采购文件要求，对项目中标（成交）供应商提供的投标（响应）文件中涉及的证明材料的真实性进行核查，规定核查资料为：除《中华人民共和国政府采购法》第二十二条第一款规定以外的其他特殊资格条件的证明材料。以及涉及项目信誉评分的政府部门或第三方机构出具的证明文件、证书等资料，并由采购单位根据核查情况形成核查报告。</w:t>
            </w:r>
          </w:p>
          <w:p>
            <w:pPr>
              <w:ind w:firstLine="240" w:firstLineChars="100"/>
              <w:rPr>
                <w:sz w:val="24"/>
              </w:rPr>
            </w:pPr>
            <w:r>
              <w:rPr>
                <w:sz w:val="24"/>
              </w:rPr>
              <w:t>2</w:t>
            </w:r>
            <w:r>
              <w:rPr>
                <w:rFonts w:hint="eastAsia"/>
                <w:sz w:val="24"/>
              </w:rPr>
              <w:t>、核查范围。（</w:t>
            </w:r>
            <w:r>
              <w:rPr>
                <w:sz w:val="24"/>
              </w:rPr>
              <w:t>1</w:t>
            </w:r>
            <w:r>
              <w:rPr>
                <w:rFonts w:hint="eastAsia"/>
                <w:sz w:val="24"/>
              </w:rPr>
              <w:t>）采购预算金额在</w:t>
            </w:r>
            <w:r>
              <w:rPr>
                <w:sz w:val="24"/>
              </w:rPr>
              <w:t>50</w:t>
            </w:r>
            <w:r>
              <w:rPr>
                <w:rFonts w:hint="eastAsia"/>
                <w:sz w:val="24"/>
              </w:rPr>
              <w:t>万元（含）以上项目，对中标（成交）供应商上述规定资料的核查须达到</w:t>
            </w:r>
            <w:r>
              <w:rPr>
                <w:sz w:val="24"/>
              </w:rPr>
              <w:t>100%</w:t>
            </w:r>
            <w:r>
              <w:rPr>
                <w:rFonts w:hint="eastAsia"/>
                <w:sz w:val="24"/>
              </w:rPr>
              <w:t>。（</w:t>
            </w:r>
            <w:r>
              <w:rPr>
                <w:sz w:val="24"/>
              </w:rPr>
              <w:t>2</w:t>
            </w:r>
            <w:r>
              <w:rPr>
                <w:rFonts w:hint="eastAsia"/>
                <w:sz w:val="24"/>
              </w:rPr>
              <w:t>）采购预算金额在</w:t>
            </w:r>
            <w:r>
              <w:rPr>
                <w:sz w:val="24"/>
              </w:rPr>
              <w:t>50</w:t>
            </w:r>
            <w:r>
              <w:rPr>
                <w:rFonts w:hint="eastAsia"/>
                <w:sz w:val="24"/>
              </w:rPr>
              <w:t>万元以下的项目，对中标（成交）供应商上述规定资料的核查不低于</w:t>
            </w:r>
            <w:r>
              <w:rPr>
                <w:sz w:val="24"/>
              </w:rPr>
              <w:t>50%</w:t>
            </w:r>
            <w:r>
              <w:rPr>
                <w:rFonts w:hint="eastAsia"/>
                <w:sz w:val="24"/>
              </w:rPr>
              <w:t>（网上竞价项目除外）。（</w:t>
            </w:r>
            <w:r>
              <w:rPr>
                <w:sz w:val="24"/>
              </w:rPr>
              <w:t>3</w:t>
            </w:r>
            <w:r>
              <w:rPr>
                <w:rFonts w:hint="eastAsia"/>
                <w:sz w:val="24"/>
              </w:rPr>
              <w:t>）与人们群众切身利益或公共安全相关的项目，对中标（成交）供应商上述规定资料的核查须达到</w:t>
            </w:r>
            <w:r>
              <w:rPr>
                <w:sz w:val="24"/>
              </w:rPr>
              <w:t>100%</w:t>
            </w:r>
            <w:r>
              <w:rPr>
                <w:rFonts w:hint="eastAsia"/>
                <w:sz w:val="24"/>
              </w:rPr>
              <w:t>。（</w:t>
            </w:r>
            <w:r>
              <w:rPr>
                <w:sz w:val="24"/>
              </w:rPr>
              <w:t>4</w:t>
            </w:r>
            <w:r>
              <w:rPr>
                <w:rFonts w:hint="eastAsia"/>
                <w:sz w:val="24"/>
              </w:rPr>
              <w:t>）采购单位认为需要核查的其他情况。</w:t>
            </w:r>
          </w:p>
          <w:p>
            <w:pPr>
              <w:tabs>
                <w:tab w:val="left" w:pos="7665"/>
              </w:tabs>
              <w:snapToGrid w:val="0"/>
              <w:rPr>
                <w:rFonts w:ascii="宋体" w:hAnsi="宋体"/>
                <w:color w:val="000000" w:themeColor="text1"/>
                <w:sz w:val="24"/>
                <w14:textFill>
                  <w14:solidFill>
                    <w14:schemeClr w14:val="tx1"/>
                  </w14:solidFill>
                </w14:textFill>
              </w:rPr>
            </w:pPr>
            <w:r>
              <w:rPr>
                <w:sz w:val="24"/>
              </w:rPr>
              <w:t>3</w:t>
            </w:r>
            <w:r>
              <w:rPr>
                <w:rFonts w:hint="eastAsia"/>
                <w:sz w:val="24"/>
              </w:rPr>
              <w:t>、核查结果运用。采购单位形成的供应商诚信情况核查报告做为签订合同的依据之一。对核查发现虚假材料的中标（成交）供应商，由市财政局按相关法律法规进行处罚。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7" w:hRule="atLeast"/>
          <w:jc w:val="center"/>
        </w:trPr>
        <w:tc>
          <w:tcPr>
            <w:tcW w:w="689" w:type="dxa"/>
            <w:tcBorders>
              <w:top w:val="single" w:color="auto" w:sz="4" w:space="0"/>
              <w:left w:val="single" w:color="auto" w:sz="18" w:space="0"/>
              <w:bottom w:val="single" w:color="auto" w:sz="18" w:space="0"/>
              <w:right w:val="single" w:color="auto" w:sz="8" w:space="0"/>
            </w:tcBorders>
            <w:vAlign w:val="center"/>
          </w:tcPr>
          <w:p>
            <w:pPr>
              <w:numPr>
                <w:ilvl w:val="0"/>
                <w:numId w:val="7"/>
              </w:numPr>
              <w:snapToGrid w:val="0"/>
              <w:spacing w:after="200"/>
              <w:ind w:left="0" w:firstLine="0"/>
              <w:jc w:val="center"/>
              <w:rPr>
                <w:rFonts w:ascii="宋体" w:hAnsi="宋体"/>
                <w:color w:val="000000" w:themeColor="text1"/>
                <w:sz w:val="24"/>
                <w14:textFill>
                  <w14:solidFill>
                    <w14:schemeClr w14:val="tx1"/>
                  </w14:solidFill>
                </w14:textFill>
              </w:rPr>
            </w:pPr>
          </w:p>
        </w:tc>
        <w:tc>
          <w:tcPr>
            <w:tcW w:w="8623" w:type="dxa"/>
            <w:gridSpan w:val="2"/>
            <w:tcBorders>
              <w:top w:val="single" w:color="auto" w:sz="4" w:space="0"/>
              <w:left w:val="single" w:color="auto" w:sz="8" w:space="0"/>
              <w:bottom w:val="single" w:color="auto" w:sz="18" w:space="0"/>
              <w:right w:val="single" w:color="auto" w:sz="18" w:space="0"/>
            </w:tcBorders>
            <w:vAlign w:val="center"/>
          </w:tcPr>
          <w:p>
            <w:pPr>
              <w:pStyle w:val="16"/>
              <w:ind w:firstLine="480" w:firstLineChars="200"/>
              <w:rPr>
                <w:rFonts w:hint="eastAsia" w:ascii="Calibri" w:hAnsi="Calibri" w:eastAsia="宋体" w:cs="Times New Roman"/>
                <w:color w:val="FF0000"/>
                <w:kern w:val="2"/>
                <w:sz w:val="24"/>
                <w:szCs w:val="22"/>
                <w:lang w:val="en-US" w:eastAsia="zh-CN" w:bidi="ar-SA"/>
              </w:rPr>
            </w:pPr>
            <w:r>
              <w:rPr>
                <w:rFonts w:hint="eastAsia" w:ascii="Calibri" w:hAnsi="Calibri" w:eastAsia="宋体" w:cs="Times New Roman"/>
                <w:color w:val="FF0000"/>
                <w:kern w:val="2"/>
                <w:sz w:val="24"/>
                <w:szCs w:val="22"/>
                <w:lang w:val="en-US" w:eastAsia="zh-CN" w:bidi="ar-SA"/>
              </w:rPr>
              <w:t>采购单位将在中标（成交）通知书发出后，要求中标（成交）供应商在5个工作日内提供招标文件“3.2.2申明”中申明的以下资料复印件：1、营业执照副本或事业单位法人证书副本或法人登记证书副本或自然人的身份证明；2、中标前一年度资产负债表或银行出具的资信证明（投标人成立时间至投标截止时间止不足一年的，提供成立后任意时段的资产负债表）。</w:t>
            </w:r>
          </w:p>
          <w:p>
            <w:pPr>
              <w:adjustRightInd w:val="0"/>
              <w:spacing w:line="360" w:lineRule="exact"/>
              <w:ind w:firstLine="480" w:firstLineChars="200"/>
              <w:rPr>
                <w:rFonts w:hint="eastAsia" w:eastAsia="宋体"/>
                <w:sz w:val="24"/>
                <w:lang w:eastAsia="zh-CN"/>
              </w:rPr>
            </w:pPr>
            <w:r>
              <w:rPr>
                <w:rFonts w:hint="eastAsia" w:ascii="Calibri" w:hAnsi="Calibri" w:eastAsia="宋体" w:cs="Times New Roman"/>
                <w:color w:val="FF0000"/>
                <w:kern w:val="2"/>
                <w:sz w:val="24"/>
                <w:szCs w:val="22"/>
                <w:lang w:val="en-US" w:eastAsia="zh-CN" w:bidi="ar-SA"/>
              </w:rPr>
              <w:t>注：如中标（成交）供应商未按照规定时间和要求提供资料的，将以提供虚假材料谋取中标追究中标（成交）供应商的法律责任（因采购人原因未按规定时间和要求提供资料的除外）。</w:t>
            </w:r>
          </w:p>
        </w:tc>
      </w:tr>
    </w:tbl>
    <w:p>
      <w:pPr>
        <w:pStyle w:val="4"/>
        <w:numPr>
          <w:ilvl w:val="1"/>
          <w:numId w:val="4"/>
        </w:numPr>
        <w:spacing w:before="0" w:after="0" w:line="240" w:lineRule="auto"/>
        <w:ind w:left="2269" w:hanging="2127"/>
        <w:rPr>
          <w:color w:val="000000" w:themeColor="text1"/>
          <w14:textFill>
            <w14:solidFill>
              <w14:schemeClr w14:val="tx1"/>
            </w14:solidFill>
          </w14:textFill>
        </w:rPr>
      </w:pPr>
      <w:bookmarkStart w:id="36" w:name="_Toc30390"/>
      <w:bookmarkStart w:id="37" w:name="_Toc22447"/>
      <w:bookmarkStart w:id="38" w:name="_Toc65573687"/>
      <w:bookmarkStart w:id="39" w:name="_Toc10565"/>
      <w:bookmarkStart w:id="40" w:name="_Toc29824"/>
      <w:r>
        <w:rPr>
          <w:rFonts w:hint="eastAsia"/>
          <w:color w:val="000000" w:themeColor="text1"/>
          <w14:textFill>
            <w14:solidFill>
              <w14:schemeClr w14:val="tx1"/>
            </w14:solidFill>
          </w14:textFill>
        </w:rPr>
        <w:t>总则</w:t>
      </w:r>
      <w:bookmarkEnd w:id="36"/>
      <w:bookmarkEnd w:id="37"/>
      <w:bookmarkEnd w:id="38"/>
      <w:bookmarkEnd w:id="39"/>
      <w:bookmarkEnd w:id="40"/>
    </w:p>
    <w:p>
      <w:pPr>
        <w:pStyle w:val="5"/>
        <w:numPr>
          <w:ilvl w:val="2"/>
          <w:numId w:val="4"/>
        </w:numPr>
        <w:spacing w:after="200" w:line="240" w:lineRule="auto"/>
        <w:ind w:left="-141" w:leftChars="-67"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适用范围</w:t>
      </w:r>
    </w:p>
    <w:p>
      <w:pPr>
        <w:numPr>
          <w:ilvl w:val="0"/>
          <w:numId w:val="8"/>
        </w:numPr>
        <w:tabs>
          <w:tab w:val="left" w:pos="1134"/>
        </w:tabs>
        <w:spacing w:after="200"/>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本招标文件仅适用于本次公开招标采购项目。</w:t>
      </w:r>
    </w:p>
    <w:p>
      <w:pPr>
        <w:numPr>
          <w:ilvl w:val="0"/>
          <w:numId w:val="8"/>
        </w:numPr>
        <w:tabs>
          <w:tab w:val="left" w:pos="1134"/>
        </w:tabs>
        <w:spacing w:after="200"/>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招标文件的最终解释权由采购人或市公资交易中心享有。对招标文件中供应商参加本次政府采购活动应当具备的条件，招标项目服务、商务及其他要求，评标细则及标准由采购人负责解释。除上述招标文件内容，其他内容由市公资交易中心负责解释。</w:t>
      </w:r>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有关定义</w:t>
      </w:r>
    </w:p>
    <w:p>
      <w:pPr>
        <w:numPr>
          <w:ilvl w:val="0"/>
          <w:numId w:val="9"/>
        </w:numPr>
        <w:tabs>
          <w:tab w:val="left" w:pos="1134"/>
        </w:tabs>
        <w:spacing w:after="200"/>
        <w:ind w:left="0" w:firstLine="567"/>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“采购人”和“甲方”系指依法进行政府采购的</w:t>
      </w:r>
      <w:r>
        <w:rPr>
          <w:rFonts w:hint="eastAsia" w:ascii="宋体" w:hAnsi="宋体"/>
          <w:color w:val="000000" w:themeColor="text1"/>
          <w:sz w:val="28"/>
          <w:szCs w:val="28"/>
          <w:lang w:eastAsia="zh-CN"/>
          <w14:textFill>
            <w14:solidFill>
              <w14:schemeClr w14:val="tx1"/>
            </w14:solidFill>
          </w14:textFill>
        </w:rPr>
        <w:t>都江堰</w:t>
      </w:r>
      <w:r>
        <w:rPr>
          <w:rFonts w:hint="eastAsia" w:ascii="宋体" w:hAnsi="宋体"/>
          <w:color w:val="000000" w:themeColor="text1"/>
          <w:sz w:val="28"/>
          <w:szCs w:val="28"/>
          <w14:textFill>
            <w14:solidFill>
              <w14:schemeClr w14:val="tx1"/>
            </w14:solidFill>
          </w14:textFill>
        </w:rPr>
        <w:t>市级机关、事业单位、团体组织。本次招标的采购人是</w:t>
      </w:r>
      <w:r>
        <w:rPr>
          <w:rFonts w:hint="eastAsia" w:ascii="宋体" w:hAnsi="宋体"/>
          <w:color w:val="FF0000"/>
          <w:sz w:val="28"/>
          <w:szCs w:val="28"/>
        </w:rPr>
        <w:t>都江堰市人民政府幸福街道办事处</w:t>
      </w:r>
      <w:r>
        <w:rPr>
          <w:rFonts w:hint="eastAsia" w:ascii="宋体" w:hAnsi="宋体"/>
          <w:color w:val="000000" w:themeColor="text1"/>
          <w:sz w:val="28"/>
          <w:szCs w:val="28"/>
          <w14:textFill>
            <w14:solidFill>
              <w14:schemeClr w14:val="tx1"/>
            </w14:solidFill>
          </w14:textFill>
        </w:rPr>
        <w:t>。</w:t>
      </w:r>
    </w:p>
    <w:p>
      <w:pPr>
        <w:numPr>
          <w:ilvl w:val="0"/>
          <w:numId w:val="9"/>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“投标人”系指在系统中成功提交《采购文件获取登记表》拟参加投标和向采购人提供货物及服务的供应商。</w:t>
      </w:r>
    </w:p>
    <w:p>
      <w:pPr>
        <w:numPr>
          <w:ilvl w:val="0"/>
          <w:numId w:val="9"/>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本招标文件各部分规定的期间以时、日、月、年计算。期间开始的时和日，不计算在期间内，而从次日开始计算。期间届满的最后一天是节假日的，以节假日后的第一日为期间届满的日期。</w:t>
      </w:r>
    </w:p>
    <w:p>
      <w:pPr>
        <w:numPr>
          <w:ilvl w:val="0"/>
          <w:numId w:val="9"/>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本招标文件各部分规定的“以上”、“以下”、“内”、“以内”，包括本数；所称的“不足”，不包括本数。</w:t>
      </w:r>
    </w:p>
    <w:p>
      <w:pPr>
        <w:numPr>
          <w:ilvl w:val="0"/>
          <w:numId w:val="9"/>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重大违法记录是指供应商因违法经营受到刑事处罚或者责令停产停业、吊销许可证或者执照、较大数额罚款等行政处罚。</w:t>
      </w:r>
    </w:p>
    <w:p>
      <w:pPr>
        <w:numPr>
          <w:ilvl w:val="0"/>
          <w:numId w:val="9"/>
        </w:numPr>
        <w:tabs>
          <w:tab w:val="left" w:pos="1134"/>
        </w:tabs>
        <w:spacing w:after="200"/>
        <w:ind w:left="0" w:firstLine="567"/>
      </w:pPr>
      <w:r>
        <w:rPr>
          <w:rFonts w:hint="eastAsia" w:ascii="宋体" w:hAnsi="宋体"/>
          <w:sz w:val="28"/>
          <w:szCs w:val="28"/>
        </w:rPr>
        <w:t>不见面开标是指，市公资交易中心依托政府采购云平台组织开标活动，供应商在线参与开标的一种组织形式。</w:t>
      </w:r>
      <w:r>
        <w:rPr>
          <w:rFonts w:hint="eastAsia" w:ascii="宋体" w:hAnsi="宋体"/>
          <w:color w:val="000000" w:themeColor="text1"/>
          <w:sz w:val="28"/>
          <w:szCs w:val="28"/>
          <w14:textFill>
            <w14:solidFill>
              <w14:schemeClr w14:val="tx1"/>
            </w14:solidFill>
          </w14:textFill>
        </w:rPr>
        <w:t> </w:t>
      </w:r>
    </w:p>
    <w:p>
      <w:pPr>
        <w:numPr>
          <w:ilvl w:val="0"/>
          <w:numId w:val="9"/>
        </w:numPr>
        <w:tabs>
          <w:tab w:val="left" w:pos="1134"/>
        </w:tabs>
        <w:spacing w:after="200"/>
        <w:ind w:left="0" w:firstLine="567"/>
        <w:rPr>
          <w:rFonts w:hint="eastAsia" w:ascii="宋体" w:hAnsi="宋体" w:eastAsia="宋体" w:cs="Times New Roman"/>
          <w:color w:val="auto"/>
          <w:sz w:val="28"/>
          <w:szCs w:val="28"/>
        </w:rPr>
      </w:pPr>
      <w:r>
        <w:rPr>
          <w:rFonts w:hint="eastAsia" w:ascii="宋体" w:hAnsi="宋体" w:eastAsia="宋体" w:cs="Times New Roman"/>
          <w:color w:val="auto"/>
          <w:sz w:val="28"/>
          <w:szCs w:val="28"/>
        </w:rPr>
        <w:t>本招标文件“招标编号”、四川省政府采购网上该项目自动生成的“采购项目编号”以及成都市公共资源交易服务中心网上该项目自动生成的“项目编号”均有效。</w:t>
      </w:r>
    </w:p>
    <w:p>
      <w:pPr>
        <w:pStyle w:val="5"/>
        <w:numPr>
          <w:ilvl w:val="2"/>
          <w:numId w:val="4"/>
        </w:numPr>
        <w:spacing w:after="200" w:line="240" w:lineRule="auto"/>
        <w:ind w:left="851"/>
        <w:rPr>
          <w:color w:val="000000" w:themeColor="text1"/>
          <w14:textFill>
            <w14:solidFill>
              <w14:schemeClr w14:val="tx1"/>
            </w14:solidFill>
          </w14:textFill>
        </w:rPr>
      </w:pPr>
      <w:bookmarkStart w:id="41" w:name="_Toc183682344"/>
      <w:bookmarkStart w:id="42" w:name="_Toc217446036"/>
      <w:bookmarkStart w:id="43" w:name="_Toc217390843"/>
      <w:bookmarkStart w:id="44" w:name="_Toc183582207"/>
      <w:r>
        <w:rPr>
          <w:rFonts w:hint="eastAsia"/>
          <w:color w:val="000000" w:themeColor="text1"/>
          <w14:textFill>
            <w14:solidFill>
              <w14:schemeClr w14:val="tx1"/>
            </w14:solidFill>
          </w14:textFill>
        </w:rPr>
        <w:t>合格的投标人</w:t>
      </w:r>
      <w:bookmarkEnd w:id="41"/>
      <w:bookmarkEnd w:id="42"/>
      <w:bookmarkEnd w:id="43"/>
      <w:bookmarkEnd w:id="44"/>
    </w:p>
    <w:p>
      <w:pPr>
        <w:tabs>
          <w:tab w:val="left" w:pos="7665"/>
        </w:tabs>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合格的投标人应具备以下条件：</w:t>
      </w:r>
    </w:p>
    <w:p>
      <w:pPr>
        <w:numPr>
          <w:ilvl w:val="0"/>
          <w:numId w:val="10"/>
        </w:numPr>
        <w:tabs>
          <w:tab w:val="left" w:pos="1134"/>
        </w:tabs>
        <w:spacing w:after="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本招标文件“投标邀请”第五条规定的条件；</w:t>
      </w:r>
    </w:p>
    <w:p>
      <w:pPr>
        <w:numPr>
          <w:ilvl w:val="0"/>
          <w:numId w:val="10"/>
        </w:numPr>
        <w:tabs>
          <w:tab w:val="left" w:pos="1134"/>
        </w:tabs>
        <w:spacing w:after="200"/>
        <w:ind w:left="0" w:firstLine="568"/>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按照招标文件“投标邀请”中第六、七、八条规定获取了招标文件。</w:t>
      </w:r>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投标费用</w:t>
      </w:r>
    </w:p>
    <w:p>
      <w:pPr>
        <w:ind w:firstLine="660" w:firstLineChars="23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投标人应自行承担参加投标的全部费用。</w:t>
      </w:r>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充分、公平竞争保障措施</w:t>
      </w:r>
    </w:p>
    <w:p>
      <w:pPr>
        <w:pStyle w:val="115"/>
        <w:tabs>
          <w:tab w:val="left" w:pos="851"/>
        </w:tabs>
        <w:spacing w:before="156" w:line="24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一、单位负责人为同一人或者存在直接控股、管理关系的不同供应商，不得参加同一项目的投标。</w:t>
      </w:r>
    </w:p>
    <w:p>
      <w:pPr>
        <w:pStyle w:val="115"/>
        <w:tabs>
          <w:tab w:val="left" w:pos="851"/>
        </w:tabs>
        <w:spacing w:before="156" w:line="240" w:lineRule="auto"/>
        <w:ind w:left="-143" w:leftChars="-68" w:firstLine="700" w:firstLineChars="250"/>
        <w:rPr>
          <w:rFonts w:hAnsi="宋体"/>
          <w:b/>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二、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hAnsi="宋体"/>
          <w:b/>
          <w:color w:val="000000" w:themeColor="text1"/>
          <w:sz w:val="28"/>
          <w:szCs w:val="28"/>
          <w14:textFill>
            <w14:solidFill>
              <w14:schemeClr w14:val="tx1"/>
            </w14:solidFill>
          </w14:textFill>
        </w:rPr>
        <w:t>（说明：</w:t>
      </w:r>
      <w:r>
        <w:rPr>
          <w:rFonts w:hint="eastAsia" w:hAnsi="宋体"/>
          <w:b/>
          <w:color w:val="FF0000"/>
          <w:sz w:val="28"/>
          <w:szCs w:val="28"/>
          <w:u w:val="none"/>
        </w:rPr>
        <w:t>无供应商</w:t>
      </w:r>
      <w:r>
        <w:rPr>
          <w:rFonts w:hint="eastAsia" w:hAnsi="宋体"/>
          <w:b/>
          <w:color w:val="FF0000"/>
          <w:sz w:val="28"/>
          <w:szCs w:val="28"/>
        </w:rPr>
        <w:t>为本项目提供整体设计、规范编制或者项目管理、监理、检测等服务。</w:t>
      </w:r>
      <w:r>
        <w:rPr>
          <w:rFonts w:hint="eastAsia" w:hAnsi="宋体"/>
          <w:b/>
          <w:color w:val="000000" w:themeColor="text1"/>
          <w:sz w:val="28"/>
          <w:szCs w:val="28"/>
          <w14:textFill>
            <w14:solidFill>
              <w14:schemeClr w14:val="tx1"/>
            </w14:solidFill>
          </w14:textFill>
        </w:rPr>
        <w:t>）</w:t>
      </w:r>
    </w:p>
    <w:p>
      <w:pPr>
        <w:pStyle w:val="4"/>
        <w:numPr>
          <w:ilvl w:val="1"/>
          <w:numId w:val="4"/>
        </w:numPr>
        <w:spacing w:before="0" w:after="0" w:line="240" w:lineRule="auto"/>
        <w:ind w:left="2269" w:hanging="2127"/>
        <w:rPr>
          <w:color w:val="000000" w:themeColor="text1"/>
          <w14:textFill>
            <w14:solidFill>
              <w14:schemeClr w14:val="tx1"/>
            </w14:solidFill>
          </w14:textFill>
        </w:rPr>
      </w:pPr>
      <w:bookmarkStart w:id="45" w:name="_Toc65573688"/>
      <w:bookmarkStart w:id="46" w:name="_Toc32420"/>
      <w:bookmarkStart w:id="47" w:name="_Toc14139"/>
      <w:bookmarkStart w:id="48" w:name="_Toc12455"/>
      <w:bookmarkStart w:id="49" w:name="_Toc2675"/>
      <w:r>
        <w:rPr>
          <w:rFonts w:hint="eastAsia"/>
          <w:color w:val="000000" w:themeColor="text1"/>
          <w14:textFill>
            <w14:solidFill>
              <w14:schemeClr w14:val="tx1"/>
            </w14:solidFill>
          </w14:textFill>
        </w:rPr>
        <w:t>招标文件</w:t>
      </w:r>
      <w:bookmarkEnd w:id="45"/>
      <w:bookmarkEnd w:id="46"/>
      <w:bookmarkEnd w:id="47"/>
      <w:bookmarkEnd w:id="48"/>
      <w:bookmarkEnd w:id="49"/>
    </w:p>
    <w:p>
      <w:pPr>
        <w:pStyle w:val="5"/>
        <w:numPr>
          <w:ilvl w:val="2"/>
          <w:numId w:val="4"/>
        </w:numPr>
        <w:spacing w:after="200" w:line="240" w:lineRule="auto"/>
        <w:ind w:left="0" w:firstLine="0"/>
        <w:rPr>
          <w:color w:val="000000" w:themeColor="text1"/>
          <w14:textFill>
            <w14:solidFill>
              <w14:schemeClr w14:val="tx1"/>
            </w14:solidFill>
          </w14:textFill>
        </w:rPr>
      </w:pPr>
      <w:bookmarkStart w:id="50" w:name="_Toc183682347"/>
      <w:bookmarkStart w:id="51" w:name="_Toc183582210"/>
      <w:bookmarkStart w:id="52" w:name="_Toc217446039"/>
      <w:r>
        <w:rPr>
          <w:rFonts w:hint="eastAsia"/>
          <w:color w:val="000000" w:themeColor="text1"/>
          <w14:textFill>
            <w14:solidFill>
              <w14:schemeClr w14:val="tx1"/>
            </w14:solidFill>
          </w14:textFill>
        </w:rPr>
        <w:t>招标文件的构成</w:t>
      </w:r>
      <w:bookmarkEnd w:id="50"/>
      <w:bookmarkEnd w:id="51"/>
      <w:bookmarkEnd w:id="52"/>
    </w:p>
    <w:p>
      <w:pPr>
        <w:numPr>
          <w:ilvl w:val="0"/>
          <w:numId w:val="11"/>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招标文件是供应商准备投标文件和参加投标的依据，同时也是评标的重要依据。招标文件用以阐明招标项目所需的资质、服务及报价等要求、招标投标程序、有关规定和注意事项以及合同主要条款等。本招标文件包括以下内容：</w:t>
      </w:r>
    </w:p>
    <w:p>
      <w:pPr>
        <w:numPr>
          <w:ilvl w:val="1"/>
          <w:numId w:val="12"/>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投标邀请；</w:t>
      </w:r>
    </w:p>
    <w:p>
      <w:pPr>
        <w:numPr>
          <w:ilvl w:val="1"/>
          <w:numId w:val="12"/>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投标人须知；</w:t>
      </w:r>
    </w:p>
    <w:p>
      <w:pPr>
        <w:numPr>
          <w:ilvl w:val="1"/>
          <w:numId w:val="12"/>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投标文件格式；</w:t>
      </w:r>
    </w:p>
    <w:p>
      <w:pPr>
        <w:numPr>
          <w:ilvl w:val="1"/>
          <w:numId w:val="12"/>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招标项目服务、商务及其他要求；</w:t>
      </w:r>
    </w:p>
    <w:p>
      <w:pPr>
        <w:numPr>
          <w:ilvl w:val="1"/>
          <w:numId w:val="12"/>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资格性审查；</w:t>
      </w:r>
    </w:p>
    <w:p>
      <w:pPr>
        <w:numPr>
          <w:ilvl w:val="1"/>
          <w:numId w:val="12"/>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评标办法；</w:t>
      </w:r>
    </w:p>
    <w:p>
      <w:pPr>
        <w:numPr>
          <w:ilvl w:val="1"/>
          <w:numId w:val="12"/>
        </w:numPr>
        <w:tabs>
          <w:tab w:val="left" w:pos="1134"/>
        </w:tabs>
        <w:spacing w:after="200"/>
        <w:ind w:left="567"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拟签订合同文本。</w:t>
      </w:r>
    </w:p>
    <w:p>
      <w:pPr>
        <w:numPr>
          <w:ilvl w:val="0"/>
          <w:numId w:val="11"/>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投标人应认真阅读和充分理解招标文件中所有的事项、格式条款和规范要求。投标人没有对招标文件全面做出实质性响应所产生的风险由投标人承担。</w:t>
      </w:r>
    </w:p>
    <w:p>
      <w:pPr>
        <w:pStyle w:val="5"/>
        <w:numPr>
          <w:ilvl w:val="2"/>
          <w:numId w:val="4"/>
        </w:numPr>
        <w:spacing w:after="200" w:line="240" w:lineRule="auto"/>
        <w:ind w:left="0" w:firstLine="0"/>
        <w:rPr>
          <w:color w:val="000000" w:themeColor="text1"/>
          <w14:textFill>
            <w14:solidFill>
              <w14:schemeClr w14:val="tx1"/>
            </w14:solidFill>
          </w14:textFill>
        </w:rPr>
      </w:pPr>
      <w:bookmarkStart w:id="53" w:name="_Toc183582211"/>
      <w:bookmarkStart w:id="54" w:name="_Toc183682348"/>
      <w:bookmarkStart w:id="55" w:name="_Toc217446040"/>
      <w:r>
        <w:rPr>
          <w:rFonts w:hint="eastAsia"/>
          <w:color w:val="000000" w:themeColor="text1"/>
          <w14:textFill>
            <w14:solidFill>
              <w14:schemeClr w14:val="tx1"/>
            </w14:solidFill>
          </w14:textFill>
        </w:rPr>
        <w:t>招标文件的澄清</w:t>
      </w:r>
      <w:bookmarkEnd w:id="53"/>
      <w:bookmarkEnd w:id="54"/>
      <w:r>
        <w:rPr>
          <w:rFonts w:hint="eastAsia"/>
          <w:color w:val="000000" w:themeColor="text1"/>
          <w14:textFill>
            <w14:solidFill>
              <w14:schemeClr w14:val="tx1"/>
            </w14:solidFill>
          </w14:textFill>
        </w:rPr>
        <w:t>和修改</w:t>
      </w:r>
      <w:bookmarkEnd w:id="55"/>
      <w:bookmarkStart w:id="56" w:name="_Toc217446042"/>
      <w:bookmarkStart w:id="57" w:name="_Toc65573689"/>
      <w:bookmarkStart w:id="58" w:name="_Toc77400780"/>
      <w:bookmarkStart w:id="59" w:name="_Toc183582214"/>
      <w:bookmarkStart w:id="60" w:name="_Toc31441"/>
      <w:bookmarkStart w:id="61" w:name="_Toc183682351"/>
      <w:bookmarkStart w:id="62" w:name="_Toc19128"/>
      <w:bookmarkStart w:id="63" w:name="_Toc89075876"/>
      <w:bookmarkStart w:id="64" w:name="_Toc27307"/>
      <w:bookmarkStart w:id="65" w:name="_Toc6071"/>
    </w:p>
    <w:p>
      <w:pPr>
        <w:numPr>
          <w:ilvl w:val="0"/>
          <w:numId w:val="13"/>
        </w:numPr>
        <w:tabs>
          <w:tab w:val="left" w:pos="142"/>
          <w:tab w:val="left" w:pos="1134"/>
        </w:tabs>
        <w:spacing w:after="200" w:line="360" w:lineRule="auto"/>
        <w:ind w:left="0"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在投标截止时间前，采购人或者</w:t>
      </w:r>
      <w:r>
        <w:rPr>
          <w:rFonts w:hint="eastAsia" w:cs="Arial"/>
          <w:color w:val="000000" w:themeColor="text1"/>
          <w:sz w:val="28"/>
          <w:szCs w:val="28"/>
          <w14:textFill>
            <w14:solidFill>
              <w14:schemeClr w14:val="tx1"/>
            </w14:solidFill>
          </w14:textFill>
        </w:rPr>
        <w:t>市公资交易中心</w:t>
      </w:r>
      <w:r>
        <w:rPr>
          <w:rFonts w:hint="eastAsia" w:ascii="宋体" w:hAnsi="宋体"/>
          <w:color w:val="000000" w:themeColor="text1"/>
          <w:sz w:val="28"/>
          <w:szCs w:val="28"/>
          <w14:textFill>
            <w14:solidFill>
              <w14:schemeClr w14:val="tx1"/>
            </w14:solidFill>
          </w14:textFill>
        </w:rPr>
        <w:t>可以对已发出的招标文件进行必要的澄清或者修改。</w:t>
      </w:r>
    </w:p>
    <w:p>
      <w:pPr>
        <w:numPr>
          <w:ilvl w:val="0"/>
          <w:numId w:val="13"/>
        </w:numPr>
        <w:spacing w:after="200"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澄清或者修改的内容，市公资交易中心将在“四川政府采购网”和“</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”网站上发布澄清公告，同时通过政府采购云平台将澄清或者修改的内容告知所有在系统中成功获取招标文件的潜在投标人（投标人通过账号或CA证书登录云平台查看）</w:t>
      </w:r>
    </w:p>
    <w:p>
      <w:pPr>
        <w:numPr>
          <w:ilvl w:val="0"/>
          <w:numId w:val="13"/>
        </w:numPr>
        <w:tabs>
          <w:tab w:val="left" w:pos="142"/>
          <w:tab w:val="left" w:pos="1134"/>
        </w:tabs>
        <w:spacing w:after="200" w:line="360" w:lineRule="auto"/>
        <w:ind w:left="0"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澄清或者修改的内容可能影响投标文件编制的，市公资交易中心应当在投标截止时间至少15日前，通过政府采购云平台通知所有获取招标文件的潜在投标人；不足15日的，采购人或市公资交易中心应当顺延提交投标文件的截止时间。</w:t>
      </w:r>
    </w:p>
    <w:p>
      <w:pPr>
        <w:pStyle w:val="4"/>
        <w:numPr>
          <w:ilvl w:val="1"/>
          <w:numId w:val="4"/>
        </w:numPr>
        <w:spacing w:before="0" w:after="0" w:line="240" w:lineRule="auto"/>
        <w:ind w:left="2269" w:hanging="2127"/>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w:t>
      </w:r>
      <w:bookmarkEnd w:id="56"/>
      <w:bookmarkEnd w:id="57"/>
      <w:bookmarkEnd w:id="58"/>
      <w:bookmarkEnd w:id="59"/>
      <w:bookmarkEnd w:id="60"/>
      <w:bookmarkEnd w:id="61"/>
      <w:bookmarkEnd w:id="62"/>
      <w:bookmarkEnd w:id="63"/>
      <w:bookmarkEnd w:id="64"/>
      <w:bookmarkEnd w:id="65"/>
    </w:p>
    <w:p>
      <w:pPr>
        <w:pStyle w:val="5"/>
        <w:numPr>
          <w:ilvl w:val="2"/>
          <w:numId w:val="4"/>
        </w:numPr>
        <w:spacing w:after="200" w:line="240" w:lineRule="auto"/>
        <w:ind w:left="0" w:firstLine="0"/>
        <w:rPr>
          <w:color w:val="000000" w:themeColor="text1"/>
          <w14:textFill>
            <w14:solidFill>
              <w14:schemeClr w14:val="tx1"/>
            </w14:solidFill>
          </w14:textFill>
        </w:rPr>
      </w:pPr>
      <w:bookmarkStart w:id="66" w:name="_Toc183582215"/>
      <w:bookmarkStart w:id="67" w:name="_Toc217446043"/>
      <w:bookmarkStart w:id="68" w:name="_Toc183682352"/>
      <w:r>
        <w:rPr>
          <w:rFonts w:hint="eastAsia"/>
          <w:color w:val="000000" w:themeColor="text1"/>
          <w14:textFill>
            <w14:solidFill>
              <w14:schemeClr w14:val="tx1"/>
            </w14:solidFill>
          </w14:textFill>
        </w:rPr>
        <w:t>投标文件的语言</w:t>
      </w:r>
      <w:bookmarkEnd w:id="66"/>
      <w:bookmarkEnd w:id="67"/>
      <w:bookmarkEnd w:id="68"/>
    </w:p>
    <w:p>
      <w:pPr>
        <w:numPr>
          <w:ilvl w:val="0"/>
          <w:numId w:val="14"/>
        </w:numPr>
        <w:tabs>
          <w:tab w:val="left" w:pos="1134"/>
        </w:tabs>
        <w:spacing w:after="200"/>
        <w:ind w:left="0"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提交的投标文件以及投标人与采购人或市公资交易中心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4"/>
        </w:numPr>
        <w:tabs>
          <w:tab w:val="left" w:pos="1134"/>
        </w:tabs>
        <w:spacing w:after="200"/>
        <w:ind w:left="0"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对不同文字文本投标文件的解释发生异议的，以中文文本为准。若投标人投标文件中提供的外文资料未翻译成中文，则评标委员会可将其视为无效材料。 </w:t>
      </w:r>
    </w:p>
    <w:p>
      <w:pPr>
        <w:pStyle w:val="5"/>
        <w:numPr>
          <w:ilvl w:val="2"/>
          <w:numId w:val="4"/>
        </w:numPr>
        <w:spacing w:after="200" w:line="240" w:lineRule="auto"/>
        <w:ind w:left="0" w:firstLine="0"/>
        <w:rPr>
          <w:color w:val="000000" w:themeColor="text1"/>
          <w14:textFill>
            <w14:solidFill>
              <w14:schemeClr w14:val="tx1"/>
            </w14:solidFill>
          </w14:textFill>
        </w:rPr>
      </w:pPr>
      <w:bookmarkStart w:id="69" w:name="_Toc183582216"/>
      <w:bookmarkStart w:id="70" w:name="_Toc183682353"/>
      <w:bookmarkStart w:id="71" w:name="_Toc217446044"/>
      <w:r>
        <w:rPr>
          <w:rFonts w:hint="eastAsia"/>
          <w:color w:val="000000" w:themeColor="text1"/>
          <w14:textFill>
            <w14:solidFill>
              <w14:schemeClr w14:val="tx1"/>
            </w14:solidFill>
          </w14:textFill>
        </w:rPr>
        <w:t>计量单位</w:t>
      </w:r>
      <w:bookmarkEnd w:id="69"/>
      <w:bookmarkEnd w:id="70"/>
      <w:bookmarkEnd w:id="71"/>
    </w:p>
    <w:p>
      <w:pPr>
        <w:tabs>
          <w:tab w:val="left" w:pos="7665"/>
        </w:tabs>
        <w:ind w:left="13" w:firstLine="554"/>
        <w:rPr>
          <w:rFonts w:ascii="宋体" w:hAnsi="宋体"/>
          <w:color w:val="000000" w:themeColor="text1"/>
          <w:sz w:val="28"/>
          <w:szCs w:val="28"/>
          <w14:textFill>
            <w14:solidFill>
              <w14:schemeClr w14:val="tx1"/>
            </w14:solidFill>
          </w14:textFill>
        </w:rPr>
      </w:pPr>
      <w:bookmarkStart w:id="72" w:name="_Toc217446045"/>
      <w:r>
        <w:rPr>
          <w:rFonts w:hint="eastAsia" w:ascii="宋体" w:hAnsi="宋体"/>
          <w:color w:val="000000" w:themeColor="text1"/>
          <w:sz w:val="28"/>
          <w:szCs w:val="28"/>
          <w14:textFill>
            <w14:solidFill>
              <w14:schemeClr w14:val="tx1"/>
            </w14:solidFill>
          </w14:textFill>
        </w:rPr>
        <w:t>除招标文件中另有规定外，本次采购项目所有合同项下的投标均采用国家法定的计量单位。</w:t>
      </w:r>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投标货币</w:t>
      </w:r>
      <w:bookmarkEnd w:id="72"/>
    </w:p>
    <w:p>
      <w:pPr>
        <w:tabs>
          <w:tab w:val="left" w:pos="7665"/>
        </w:tabs>
        <w:ind w:left="13" w:firstLine="554"/>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本次招标项目的投标均以人民币报价。</w:t>
      </w:r>
    </w:p>
    <w:p>
      <w:pPr>
        <w:pStyle w:val="5"/>
        <w:numPr>
          <w:ilvl w:val="2"/>
          <w:numId w:val="4"/>
        </w:numPr>
        <w:spacing w:after="200" w:line="240" w:lineRule="auto"/>
        <w:ind w:left="0" w:firstLine="0"/>
        <w:rPr>
          <w:color w:val="000000" w:themeColor="text1"/>
          <w14:textFill>
            <w14:solidFill>
              <w14:schemeClr w14:val="tx1"/>
            </w14:solidFill>
          </w14:textFill>
        </w:rPr>
      </w:pPr>
      <w:bookmarkStart w:id="73" w:name="_Toc217446046"/>
      <w:r>
        <w:rPr>
          <w:rFonts w:hint="eastAsia"/>
          <w:color w:val="000000" w:themeColor="text1"/>
          <w14:textFill>
            <w14:solidFill>
              <w14:schemeClr w14:val="tx1"/>
            </w14:solidFill>
          </w14:textFill>
        </w:rPr>
        <w:t>联合体投标</w:t>
      </w:r>
      <w:bookmarkEnd w:id="73"/>
    </w:p>
    <w:p>
      <w:pPr>
        <w:tabs>
          <w:tab w:val="left" w:pos="1134"/>
        </w:tabs>
        <w:ind w:left="546"/>
        <w:rPr>
          <w:rFonts w:ascii="宋体" w:hAnsi="宋体"/>
          <w:color w:val="000000" w:themeColor="text1"/>
          <w:sz w:val="28"/>
          <w:szCs w:val="28"/>
          <w14:textFill>
            <w14:solidFill>
              <w14:schemeClr w14:val="tx1"/>
            </w14:solidFill>
          </w14:textFill>
        </w:rPr>
      </w:pPr>
      <w:bookmarkStart w:id="74" w:name="_Toc217446047"/>
      <w:r>
        <w:rPr>
          <w:rFonts w:hint="eastAsia" w:ascii="宋体" w:hAnsi="宋体"/>
          <w:color w:val="000000" w:themeColor="text1"/>
          <w:sz w:val="28"/>
          <w:szCs w:val="28"/>
          <w14:textFill>
            <w14:solidFill>
              <w14:schemeClr w14:val="tx1"/>
            </w14:solidFill>
          </w14:textFill>
        </w:rPr>
        <w:t>本次政府采购活动</w:t>
      </w:r>
      <w:r>
        <w:rPr>
          <w:rFonts w:hint="eastAsia" w:ascii="宋体" w:hAnsi="宋体"/>
          <w:b/>
          <w:color w:val="000000" w:themeColor="text1"/>
          <w:sz w:val="28"/>
          <w:szCs w:val="28"/>
          <w14:textFill>
            <w14:solidFill>
              <w14:schemeClr w14:val="tx1"/>
            </w14:solidFill>
          </w14:textFill>
        </w:rPr>
        <w:t>不接受</w:t>
      </w:r>
      <w:r>
        <w:rPr>
          <w:rFonts w:hint="eastAsia" w:ascii="宋体" w:hAnsi="宋体"/>
          <w:color w:val="000000" w:themeColor="text1"/>
          <w:sz w:val="28"/>
          <w:szCs w:val="28"/>
          <w14:textFill>
            <w14:solidFill>
              <w14:schemeClr w14:val="tx1"/>
            </w14:solidFill>
          </w14:textFill>
        </w:rPr>
        <w:t>联合体投标。</w:t>
      </w:r>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知识产权</w:t>
      </w:r>
      <w:bookmarkEnd w:id="74"/>
    </w:p>
    <w:p>
      <w:pPr>
        <w:pStyle w:val="156"/>
        <w:numPr>
          <w:ilvl w:val="0"/>
          <w:numId w:val="15"/>
        </w:numPr>
        <w:tabs>
          <w:tab w:val="left" w:pos="1134"/>
        </w:tabs>
        <w:spacing w:after="200"/>
        <w:ind w:left="0" w:firstLine="549" w:firstLineChars="0"/>
        <w:rPr>
          <w:rFonts w:ascii="宋体" w:hAnsi="宋体"/>
          <w:color w:val="000000" w:themeColor="text1"/>
          <w:sz w:val="28"/>
          <w:szCs w:val="28"/>
          <w14:textFill>
            <w14:solidFill>
              <w14:schemeClr w14:val="tx1"/>
            </w14:solidFill>
          </w14:textFill>
        </w:rPr>
      </w:pPr>
      <w:bookmarkStart w:id="75" w:name="_Toc183582217"/>
      <w:bookmarkStart w:id="76" w:name="_Toc183682354"/>
      <w:bookmarkStart w:id="77" w:name="_Toc217446048"/>
      <w:r>
        <w:rPr>
          <w:rFonts w:hint="eastAsia" w:ascii="宋体" w:hAnsi="宋体"/>
          <w:color w:val="000000" w:themeColor="text1"/>
          <w:sz w:val="28"/>
          <w:szCs w:val="28"/>
          <w14:textFill>
            <w14:solidFill>
              <w14:schemeClr w14:val="tx1"/>
            </w14:solidFill>
          </w14:textFill>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56"/>
        <w:numPr>
          <w:ilvl w:val="0"/>
          <w:numId w:val="15"/>
        </w:numPr>
        <w:tabs>
          <w:tab w:val="left" w:pos="1134"/>
        </w:tabs>
        <w:spacing w:after="200"/>
        <w:ind w:left="0" w:firstLine="549"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采购人享有本项目实施过程中产生的知识成果及知识产权。</w:t>
      </w:r>
    </w:p>
    <w:p>
      <w:pPr>
        <w:pStyle w:val="156"/>
        <w:numPr>
          <w:ilvl w:val="0"/>
          <w:numId w:val="15"/>
        </w:numPr>
        <w:tabs>
          <w:tab w:val="left" w:pos="1134"/>
        </w:tabs>
        <w:spacing w:after="200"/>
        <w:ind w:left="0" w:firstLine="549"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pStyle w:val="156"/>
        <w:numPr>
          <w:ilvl w:val="0"/>
          <w:numId w:val="15"/>
        </w:numPr>
        <w:tabs>
          <w:tab w:val="left" w:pos="1134"/>
        </w:tabs>
        <w:spacing w:after="200"/>
        <w:ind w:left="0" w:firstLine="549"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如采用投标人所不拥有的知识产权，则在投标报价中必须包括合法获取该知识产权的相关费用。</w:t>
      </w:r>
    </w:p>
    <w:p>
      <w:pPr>
        <w:pStyle w:val="5"/>
        <w:numPr>
          <w:ilvl w:val="2"/>
          <w:numId w:val="4"/>
        </w:numPr>
        <w:spacing w:after="200" w:line="240" w:lineRule="auto"/>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投标文件的组成</w:t>
      </w:r>
      <w:bookmarkEnd w:id="75"/>
      <w:bookmarkEnd w:id="76"/>
      <w:bookmarkEnd w:id="77"/>
    </w:p>
    <w:p>
      <w:pPr>
        <w:ind w:firstLine="548" w:firstLineChars="196"/>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4"/>
        </w:numPr>
        <w:spacing w:line="5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资格响应文件：</w:t>
      </w:r>
    </w:p>
    <w:p>
      <w:pPr>
        <w:pStyle w:val="85"/>
        <w:numPr>
          <w:ilvl w:val="0"/>
          <w:numId w:val="16"/>
        </w:numPr>
        <w:tabs>
          <w:tab w:val="left" w:pos="1134"/>
        </w:tabs>
        <w:spacing w:after="200"/>
        <w:ind w:firstLineChars="0"/>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关于投标人资格申明的函；</w:t>
      </w:r>
    </w:p>
    <w:p>
      <w:pPr>
        <w:pStyle w:val="85"/>
        <w:numPr>
          <w:ilvl w:val="0"/>
          <w:numId w:val="16"/>
        </w:numPr>
        <w:tabs>
          <w:tab w:val="left" w:pos="1134"/>
        </w:tabs>
        <w:spacing w:after="200"/>
        <w:ind w:firstLineChars="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声明；</w:t>
      </w:r>
    </w:p>
    <w:p>
      <w:pPr>
        <w:pStyle w:val="85"/>
        <w:numPr>
          <w:ilvl w:val="0"/>
          <w:numId w:val="16"/>
        </w:numPr>
        <w:tabs>
          <w:tab w:val="left" w:pos="1134"/>
        </w:tabs>
        <w:spacing w:after="200"/>
        <w:ind w:firstLineChars="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投标人应提交的</w:t>
      </w:r>
      <w:r>
        <w:rPr>
          <w:rFonts w:hint="eastAsia" w:ascii="宋体" w:hAnsi="宋体"/>
          <w:b/>
          <w:color w:val="000000" w:themeColor="text1"/>
          <w:sz w:val="28"/>
          <w:szCs w:val="28"/>
          <w:highlight w:val="none"/>
          <w:lang w:eastAsia="zh-CN"/>
          <w14:textFill>
            <w14:solidFill>
              <w14:schemeClr w14:val="tx1"/>
            </w14:solidFill>
          </w14:textFill>
        </w:rPr>
        <w:t>其他</w:t>
      </w:r>
      <w:r>
        <w:rPr>
          <w:rFonts w:hint="eastAsia" w:ascii="宋体" w:hAnsi="宋体"/>
          <w:b/>
          <w:color w:val="000000" w:themeColor="text1"/>
          <w:sz w:val="28"/>
          <w:szCs w:val="28"/>
          <w:highlight w:val="none"/>
          <w14:textFill>
            <w14:solidFill>
              <w14:schemeClr w14:val="tx1"/>
            </w14:solidFill>
          </w14:textFill>
        </w:rPr>
        <w:t>相关资格证明材料：</w:t>
      </w:r>
    </w:p>
    <w:p>
      <w:pPr>
        <w:pStyle w:val="85"/>
        <w:numPr>
          <w:ilvl w:val="0"/>
          <w:numId w:val="0"/>
        </w:numPr>
        <w:spacing w:after="200"/>
        <w:ind w:left="546" w:leftChars="0" w:firstLine="562" w:firstLineChars="200"/>
        <w:rPr>
          <w:rFonts w:hint="eastAsia" w:ascii="宋体" w:hAnsi="宋体" w:eastAsiaTheme="minorEastAsia"/>
          <w:b/>
          <w:color w:val="000000" w:themeColor="text1"/>
          <w:sz w:val="28"/>
          <w:szCs w:val="28"/>
          <w:highlight w:val="none"/>
          <w:lang w:eastAsia="zh-CN"/>
          <w14:textFill>
            <w14:solidFill>
              <w14:schemeClr w14:val="tx1"/>
            </w14:solidFill>
          </w14:textFill>
        </w:rPr>
      </w:pPr>
      <w:r>
        <w:rPr>
          <w:rFonts w:hint="eastAsia" w:ascii="宋体" w:hAnsi="宋体"/>
          <w:b/>
          <w:color w:val="000000" w:themeColor="text1"/>
          <w:sz w:val="28"/>
          <w:szCs w:val="28"/>
          <w:highlight w:val="none"/>
          <w:lang w:eastAsia="zh-CN"/>
          <w14:textFill>
            <w14:solidFill>
              <w14:schemeClr w14:val="tx1"/>
            </w14:solidFill>
          </w14:textFill>
        </w:rPr>
        <w:t>按第</w:t>
      </w:r>
      <w:r>
        <w:rPr>
          <w:rFonts w:hint="eastAsia" w:ascii="宋体" w:hAnsi="宋体"/>
          <w:b/>
          <w:color w:val="000000" w:themeColor="text1"/>
          <w:sz w:val="28"/>
          <w:szCs w:val="28"/>
          <w:highlight w:val="none"/>
          <w:lang w:val="en-US" w:eastAsia="zh-CN"/>
          <w14:textFill>
            <w14:solidFill>
              <w14:schemeClr w14:val="tx1"/>
            </w14:solidFill>
          </w14:textFill>
        </w:rPr>
        <w:t>5章资格性审查标准提供的其他资格证明材料。</w:t>
      </w:r>
    </w:p>
    <w:p>
      <w:pPr>
        <w:pStyle w:val="6"/>
        <w:numPr>
          <w:ilvl w:val="3"/>
          <w:numId w:val="4"/>
        </w:numPr>
        <w:spacing w:line="56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商务技术响应文件：</w:t>
      </w:r>
    </w:p>
    <w:p>
      <w:pPr>
        <w:numPr>
          <w:ilvl w:val="0"/>
          <w:numId w:val="17"/>
        </w:numPr>
        <w:tabs>
          <w:tab w:val="left" w:pos="1134"/>
        </w:tabs>
        <w:spacing w:after="200"/>
        <w:ind w:left="0" w:firstLine="546"/>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投标函；</w:t>
      </w:r>
    </w:p>
    <w:p>
      <w:pPr>
        <w:numPr>
          <w:ilvl w:val="0"/>
          <w:numId w:val="17"/>
        </w:numPr>
        <w:tabs>
          <w:tab w:val="left" w:pos="1134"/>
        </w:tabs>
        <w:spacing w:after="200"/>
        <w:ind w:left="0" w:firstLine="546"/>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法定代表人身份证明书；</w:t>
      </w:r>
    </w:p>
    <w:p>
      <w:pPr>
        <w:numPr>
          <w:ilvl w:val="0"/>
          <w:numId w:val="17"/>
        </w:numPr>
        <w:tabs>
          <w:tab w:val="left" w:pos="1134"/>
        </w:tabs>
        <w:spacing w:after="200"/>
        <w:ind w:left="0" w:firstLine="546"/>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投标人基本情况表；</w:t>
      </w:r>
    </w:p>
    <w:p>
      <w:pPr>
        <w:numPr>
          <w:ilvl w:val="0"/>
          <w:numId w:val="17"/>
        </w:numPr>
        <w:tabs>
          <w:tab w:val="left" w:pos="1134"/>
          <w:tab w:val="left" w:pos="1418"/>
        </w:tabs>
        <w:spacing w:after="200"/>
        <w:ind w:left="0" w:firstLine="546"/>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服务方案及服务承诺；</w:t>
      </w:r>
    </w:p>
    <w:p>
      <w:pPr>
        <w:numPr>
          <w:ilvl w:val="0"/>
          <w:numId w:val="17"/>
        </w:numPr>
        <w:tabs>
          <w:tab w:val="left" w:pos="1134"/>
          <w:tab w:val="left" w:pos="1418"/>
        </w:tabs>
        <w:spacing w:after="200"/>
        <w:ind w:left="0" w:firstLine="546"/>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承诺函。</w:t>
      </w:r>
    </w:p>
    <w:p>
      <w:pPr>
        <w:pStyle w:val="6"/>
        <w:numPr>
          <w:ilvl w:val="3"/>
          <w:numId w:val="4"/>
        </w:numPr>
        <w:spacing w:line="560" w:lineRule="exact"/>
        <w:rPr>
          <w:rFonts w:ascii="宋体" w:hAnsi="宋体"/>
          <w:b w:val="0"/>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报价</w:t>
      </w:r>
      <w:r>
        <w:rPr>
          <w:rFonts w:ascii="宋体" w:hAnsi="宋体"/>
          <w:color w:val="000000" w:themeColor="text1"/>
          <w:highlight w:val="none"/>
          <w14:textFill>
            <w14:solidFill>
              <w14:schemeClr w14:val="tx1"/>
            </w14:solidFill>
          </w14:textFill>
        </w:rPr>
        <w:t>要求响应文件</w:t>
      </w:r>
    </w:p>
    <w:p>
      <w:pPr>
        <w:tabs>
          <w:tab w:val="left" w:pos="1134"/>
          <w:tab w:val="left" w:pos="1418"/>
        </w:tabs>
        <w:spacing w:after="200"/>
        <w:ind w:firstLine="551" w:firstLineChars="196"/>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一、开标一览表；</w:t>
      </w:r>
    </w:p>
    <w:p>
      <w:pPr>
        <w:tabs>
          <w:tab w:val="left" w:pos="1134"/>
          <w:tab w:val="left" w:pos="1418"/>
        </w:tabs>
        <w:spacing w:after="200"/>
        <w:ind w:firstLine="551" w:firstLineChars="196"/>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二、分项报价明细表。</w:t>
      </w:r>
    </w:p>
    <w:p>
      <w:pPr>
        <w:pStyle w:val="5"/>
        <w:numPr>
          <w:ilvl w:val="2"/>
          <w:numId w:val="4"/>
        </w:numPr>
        <w:spacing w:after="200" w:line="240" w:lineRule="auto"/>
        <w:ind w:left="0" w:firstLine="0"/>
        <w:rPr>
          <w:color w:val="000000" w:themeColor="text1"/>
          <w14:textFill>
            <w14:solidFill>
              <w14:schemeClr w14:val="tx1"/>
            </w14:solidFill>
          </w14:textFill>
        </w:rPr>
      </w:pPr>
      <w:bookmarkStart w:id="78" w:name="_Toc316291395"/>
      <w:bookmarkEnd w:id="78"/>
      <w:bookmarkStart w:id="79" w:name="_Toc316292019"/>
      <w:bookmarkEnd w:id="79"/>
      <w:bookmarkStart w:id="80" w:name="_Toc316292020"/>
      <w:bookmarkEnd w:id="80"/>
      <w:bookmarkStart w:id="81" w:name="_Toc316291396"/>
      <w:bookmarkEnd w:id="81"/>
      <w:bookmarkStart w:id="82" w:name="_Toc183582218"/>
      <w:bookmarkStart w:id="83" w:name="_Toc183682355"/>
      <w:bookmarkStart w:id="84" w:name="_Toc217446049"/>
      <w:r>
        <w:rPr>
          <w:rFonts w:hint="eastAsia"/>
          <w:color w:val="000000" w:themeColor="text1"/>
          <w14:textFill>
            <w14:solidFill>
              <w14:schemeClr w14:val="tx1"/>
            </w14:solidFill>
          </w14:textFill>
        </w:rPr>
        <w:t>投标文件格式</w:t>
      </w:r>
      <w:bookmarkEnd w:id="82"/>
      <w:bookmarkEnd w:id="83"/>
      <w:bookmarkEnd w:id="84"/>
      <w:r>
        <w:rPr>
          <w:rFonts w:hint="eastAsia"/>
          <w:color w:val="000000" w:themeColor="text1"/>
          <w14:textFill>
            <w14:solidFill>
              <w14:schemeClr w14:val="tx1"/>
            </w14:solidFill>
          </w14:textFill>
        </w:rPr>
        <w:tab/>
      </w:r>
    </w:p>
    <w:p>
      <w:pPr>
        <w:numPr>
          <w:ilvl w:val="0"/>
          <w:numId w:val="18"/>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投标人应按照招标文件第3章中提供的“投标文件格式”填写相关内容。</w:t>
      </w:r>
    </w:p>
    <w:p>
      <w:pPr>
        <w:numPr>
          <w:ilvl w:val="0"/>
          <w:numId w:val="18"/>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对于没有格式要求的投标文件由投标人自行编写。</w:t>
      </w:r>
    </w:p>
    <w:p>
      <w:pPr>
        <w:pStyle w:val="5"/>
        <w:numPr>
          <w:ilvl w:val="2"/>
          <w:numId w:val="4"/>
        </w:numPr>
        <w:spacing w:after="200" w:line="240" w:lineRule="auto"/>
        <w:ind w:left="0" w:firstLine="0"/>
        <w:rPr>
          <w:color w:val="000000" w:themeColor="text1"/>
          <w14:textFill>
            <w14:solidFill>
              <w14:schemeClr w14:val="tx1"/>
            </w14:solidFill>
          </w14:textFill>
        </w:rPr>
      </w:pPr>
      <w:bookmarkStart w:id="85" w:name="_Toc183582223"/>
      <w:bookmarkStart w:id="86" w:name="_Toc183682360"/>
      <w:bookmarkStart w:id="87" w:name="_Toc217446050"/>
      <w:r>
        <w:rPr>
          <w:rFonts w:hint="eastAsia"/>
          <w:color w:val="000000" w:themeColor="text1"/>
          <w14:textFill>
            <w14:solidFill>
              <w14:schemeClr w14:val="tx1"/>
            </w14:solidFill>
          </w14:textFill>
        </w:rPr>
        <w:t>投标报价</w:t>
      </w:r>
    </w:p>
    <w:p>
      <w:pPr>
        <w:numPr>
          <w:ilvl w:val="0"/>
          <w:numId w:val="19"/>
        </w:numPr>
        <w:tabs>
          <w:tab w:val="left" w:pos="1134"/>
        </w:tabs>
        <w:spacing w:line="360" w:lineRule="auto"/>
        <w:ind w:left="0"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投标人的报价是投标人响应招标项目要求的全部工作内容的价格体现，包括投标人完成本项目所需的一切费用。</w:t>
      </w:r>
    </w:p>
    <w:p>
      <w:pPr>
        <w:numPr>
          <w:ilvl w:val="0"/>
          <w:numId w:val="19"/>
        </w:numPr>
        <w:tabs>
          <w:tab w:val="left" w:pos="1134"/>
        </w:tabs>
        <w:spacing w:line="360" w:lineRule="auto"/>
        <w:ind w:left="0"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三、投标文件报价出现前后不一致的，按照下列规定修正：（1）大写金额和小写金额不一致的，以大写金额为准，但大写金额出现文字错误，导致金额无法判断的除外；（</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）单价金额小数点或者百分比有明显错位的，应以总价为准，并修改单价；（</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）总价金额与按单价汇总金额不一致的，以单价金额计算结果为准。</w:t>
      </w:r>
    </w:p>
    <w:p>
      <w:pPr>
        <w:tabs>
          <w:tab w:val="left" w:pos="1134"/>
        </w:tabs>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cs="Arial"/>
          <w:color w:val="000000" w:themeColor="text1"/>
          <w:sz w:val="28"/>
          <w:szCs w:val="28"/>
          <w14:textFill>
            <w14:solidFill>
              <w14:schemeClr w14:val="tx1"/>
            </w14:solidFill>
          </w14:textFill>
        </w:rPr>
        <w:t>同时出现两种以上不一致的，按照前款规定的顺序修正。修正后的报价经投标人以书面形式通过政府采购云平台进行确认，并加盖投标人（法定名称）电子签章，投标人逾时确认的，其投标无效。</w:t>
      </w:r>
      <w:r>
        <w:rPr>
          <w:rFonts w:hint="eastAsia" w:ascii="宋体" w:hAnsi="宋体"/>
          <w:color w:val="000000" w:themeColor="text1"/>
          <w:sz w:val="28"/>
          <w:szCs w:val="28"/>
          <w14:textFill>
            <w14:solidFill>
              <w14:schemeClr w14:val="tx1"/>
            </w14:solidFill>
          </w14:textFill>
        </w:rPr>
        <w:t>如因断电、断网、系统故障或其他不可抗力等因素</w:t>
      </w:r>
      <w:r>
        <w:rPr>
          <w:rFonts w:hint="eastAsia" w:cs="Arial"/>
          <w:color w:val="000000" w:themeColor="text1"/>
          <w:sz w:val="28"/>
          <w:szCs w:val="28"/>
          <w14:textFill>
            <w14:solidFill>
              <w14:schemeClr w14:val="tx1"/>
            </w14:solidFill>
          </w14:textFill>
        </w:rPr>
        <w:t>，导致系统无法使用的，由投标人按评标委员会的要求进行澄清或者说明。</w:t>
      </w:r>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投标保证金</w:t>
      </w:r>
      <w:bookmarkEnd w:id="85"/>
      <w:bookmarkEnd w:id="86"/>
      <w:bookmarkEnd w:id="87"/>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本项目不收取投标保证金。</w:t>
      </w:r>
    </w:p>
    <w:p>
      <w:pPr>
        <w:pStyle w:val="5"/>
        <w:numPr>
          <w:ilvl w:val="2"/>
          <w:numId w:val="4"/>
        </w:numPr>
        <w:tabs>
          <w:tab w:val="left" w:pos="851"/>
        </w:tabs>
        <w:spacing w:after="200" w:line="240" w:lineRule="auto"/>
        <w:ind w:left="0" w:firstLine="0"/>
        <w:rPr>
          <w:color w:val="000000" w:themeColor="text1"/>
          <w14:textFill>
            <w14:solidFill>
              <w14:schemeClr w14:val="tx1"/>
            </w14:solidFill>
          </w14:textFill>
        </w:rPr>
      </w:pPr>
      <w:bookmarkStart w:id="88" w:name="_Toc316291400"/>
      <w:bookmarkEnd w:id="88"/>
      <w:bookmarkStart w:id="89" w:name="_Toc316292024"/>
      <w:bookmarkEnd w:id="89"/>
      <w:bookmarkStart w:id="90" w:name="_Toc183582224"/>
      <w:bookmarkStart w:id="91" w:name="_Toc217446051"/>
      <w:bookmarkStart w:id="92" w:name="_Toc183682361"/>
      <w:r>
        <w:rPr>
          <w:rFonts w:hint="eastAsia"/>
          <w:color w:val="000000" w:themeColor="text1"/>
          <w14:textFill>
            <w14:solidFill>
              <w14:schemeClr w14:val="tx1"/>
            </w14:solidFill>
          </w14:textFill>
        </w:rPr>
        <w:t>投标有效期</w:t>
      </w:r>
      <w:bookmarkEnd w:id="90"/>
      <w:bookmarkEnd w:id="91"/>
      <w:bookmarkEnd w:id="92"/>
    </w:p>
    <w:p>
      <w:pPr>
        <w:numPr>
          <w:ilvl w:val="0"/>
          <w:numId w:val="20"/>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投标有效期为</w:t>
      </w:r>
      <w:r>
        <w:rPr>
          <w:rFonts w:hint="eastAsia" w:ascii="Helvetica" w:hAnsi="Helvetica" w:cs="Helvetica"/>
          <w:color w:val="000000" w:themeColor="text1"/>
          <w:sz w:val="28"/>
          <w:szCs w:val="28"/>
          <w14:textFill>
            <w14:solidFill>
              <w14:schemeClr w14:val="tx1"/>
            </w14:solidFill>
          </w14:textFill>
        </w:rPr>
        <w:t>提交投标文件的截止之日起</w:t>
      </w:r>
      <w:r>
        <w:rPr>
          <w:rFonts w:hint="eastAsia" w:ascii="宋体" w:hAnsi="宋体"/>
          <w:color w:val="000000" w:themeColor="text1"/>
          <w:sz w:val="28"/>
          <w:szCs w:val="28"/>
          <w:u w:val="single"/>
          <w14:textFill>
            <w14:solidFill>
              <w14:schemeClr w14:val="tx1"/>
            </w14:solidFill>
          </w14:textFill>
        </w:rPr>
        <w:t>120</w:t>
      </w:r>
      <w:r>
        <w:rPr>
          <w:rFonts w:hint="eastAsia" w:ascii="宋体" w:hAnsi="宋体"/>
          <w:color w:val="000000" w:themeColor="text1"/>
          <w:sz w:val="28"/>
          <w:szCs w:val="28"/>
          <w14:textFill>
            <w14:solidFill>
              <w14:schemeClr w14:val="tx1"/>
            </w14:solidFill>
          </w14:textFill>
        </w:rPr>
        <w:t>天。投标有效期短于此规定期限的或不作响应的，则其投标文件将按无效投标文件处理。</w:t>
      </w:r>
    </w:p>
    <w:p>
      <w:pPr>
        <w:numPr>
          <w:ilvl w:val="0"/>
          <w:numId w:val="20"/>
        </w:numPr>
        <w:tabs>
          <w:tab w:val="left" w:pos="1134"/>
        </w:tabs>
        <w:spacing w:after="200"/>
        <w:ind w:left="0" w:firstLine="567"/>
        <w:rPr>
          <w:rFonts w:ascii="宋体" w:hAnsi="宋体"/>
          <w:color w:val="000000" w:themeColor="text1"/>
          <w:sz w:val="28"/>
          <w:szCs w:val="28"/>
          <w14:textFill>
            <w14:solidFill>
              <w14:schemeClr w14:val="tx1"/>
            </w14:solidFill>
          </w14:textFill>
        </w:rPr>
      </w:pPr>
      <w:bookmarkStart w:id="93" w:name="_Toc183682362"/>
      <w:bookmarkStart w:id="94" w:name="_Toc217446052"/>
      <w:bookmarkStart w:id="95" w:name="_Toc183582225"/>
      <w:r>
        <w:rPr>
          <w:rFonts w:hint="eastAsia" w:ascii="宋体" w:hAnsi="宋体"/>
          <w:color w:val="000000" w:themeColor="text1"/>
          <w:sz w:val="28"/>
          <w:szCs w:val="28"/>
          <w14:textFill>
            <w14:solidFill>
              <w14:schemeClr w14:val="tx1"/>
            </w14:solidFill>
          </w14:textFill>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4"/>
        </w:numPr>
        <w:tabs>
          <w:tab w:val="left" w:pos="851"/>
        </w:tabs>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投标文件的制作和签章、加密</w:t>
      </w:r>
      <w:bookmarkEnd w:id="93"/>
      <w:bookmarkEnd w:id="94"/>
      <w:bookmarkEnd w:id="95"/>
      <w:bookmarkStart w:id="96" w:name="_Toc316475578"/>
      <w:bookmarkEnd w:id="96"/>
      <w:bookmarkStart w:id="97" w:name="_Toc316475581"/>
      <w:bookmarkEnd w:id="97"/>
      <w:bookmarkStart w:id="98" w:name="_Toc316475580"/>
      <w:bookmarkEnd w:id="98"/>
      <w:bookmarkStart w:id="99" w:name="_Toc316475583"/>
      <w:bookmarkEnd w:id="99"/>
      <w:bookmarkStart w:id="100" w:name="_Toc316475582"/>
      <w:bookmarkEnd w:id="100"/>
      <w:bookmarkStart w:id="101" w:name="_Toc316475577"/>
      <w:bookmarkEnd w:id="101"/>
      <w:bookmarkStart w:id="102" w:name="_Toc316475579"/>
      <w:bookmarkEnd w:id="102"/>
      <w:bookmarkStart w:id="103" w:name="_Toc183582227"/>
      <w:bookmarkStart w:id="104" w:name="_Toc183682364"/>
      <w:bookmarkStart w:id="105" w:name="_Toc217446054"/>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一、投标文件应根据招标文件的要求进行制作。（说明：1、招标文件中要求提供复印件证明材料的，包含提供原件的影印件或复印件。2、要求提供复印件的证明材料须清晰可辨。）</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二、投标文件制作详情：</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1、本项目实行电子投标。投标人应先安装“政采云投标客户端”（下载地址1：前往</w:t>
      </w:r>
      <w:r>
        <w:rPr>
          <w:rFonts w:hint="eastAsia" w:ascii="宋体" w:hAnsi="宋体"/>
          <w:color w:val="000000" w:themeColor="text1"/>
          <w:sz w:val="28"/>
          <w:szCs w:val="28"/>
          <w:lang w:eastAsia="zh-CN"/>
          <w14:textFill>
            <w14:solidFill>
              <w14:schemeClr w14:val="tx1"/>
            </w14:solidFill>
          </w14:textFill>
        </w:rPr>
        <w:t>都江堰市公共资源交易服务中心</w:t>
      </w:r>
      <w:r>
        <w:rPr>
          <w:rFonts w:hint="eastAsia" w:ascii="宋体" w:hAnsi="宋体"/>
          <w:color w:val="000000" w:themeColor="text1"/>
          <w:sz w:val="28"/>
          <w:szCs w:val="28"/>
          <w14:textFill>
            <w14:solidFill>
              <w14:schemeClr w14:val="tx1"/>
            </w14:solidFill>
          </w14:textFill>
        </w:rPr>
        <w:t>门户网站—业务办理—下载专区—政府采购下载专区下载“政采云投标客户端”；下载地址2：政府采购云平台—CA管理—绑定CA—下载驱动—“政采云投标客户端”立即下载）。投标人应按招标文件要求，通过“政采云投标客户端”制作、加密并提交投标文件。</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2、投标文件应加盖投标人（法定名称）电子签章，不得使用投标人专用章（如经济合同章、投标专用章等）或下属单位印章代替。</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3、投标人应使用本企业CA数字证书对投标文件进行加密。</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w:t>
      </w:r>
      <w:bookmarkEnd w:id="103"/>
      <w:bookmarkEnd w:id="104"/>
      <w:r>
        <w:rPr>
          <w:rFonts w:hint="eastAsia"/>
          <w:color w:val="000000" w:themeColor="text1"/>
          <w14:textFill>
            <w14:solidFill>
              <w14:schemeClr w14:val="tx1"/>
            </w14:solidFill>
          </w14:textFill>
        </w:rPr>
        <w:t>递交</w:t>
      </w:r>
      <w:bookmarkEnd w:id="105"/>
    </w:p>
    <w:p>
      <w:pPr>
        <w:tabs>
          <w:tab w:val="left" w:pos="0"/>
        </w:tabs>
        <w:spacing w:line="360" w:lineRule="auto"/>
        <w:ind w:firstLine="420" w:firstLineChars="150"/>
        <w:rPr>
          <w:rFonts w:ascii="宋体" w:hAnsi="宋体" w:eastAsiaTheme="minorEastAsia" w:cstheme="minorBidi"/>
          <w:bCs/>
          <w:color w:val="000000" w:themeColor="text1"/>
          <w:sz w:val="28"/>
          <w:szCs w:val="28"/>
          <w14:textFill>
            <w14:solidFill>
              <w14:schemeClr w14:val="tx1"/>
            </w14:solidFill>
          </w14:textFill>
        </w:rPr>
      </w:pPr>
      <w:r>
        <w:rPr>
          <w:rFonts w:hint="eastAsia" w:ascii="宋体" w:hAnsi="宋体" w:eastAsiaTheme="minorEastAsia" w:cstheme="minorBidi"/>
          <w:bCs/>
          <w:color w:val="000000" w:themeColor="text1"/>
          <w:sz w:val="28"/>
          <w:szCs w:val="28"/>
          <w14:textFill>
            <w14:solidFill>
              <w14:schemeClr w14:val="tx1"/>
            </w14:solidFill>
          </w14:textFill>
        </w:rPr>
        <w:t>一、投标人应当在投标文件递交截止时间前，将生成的已加密的电子投标文件成功递交至“政府采购云平台”。</w:t>
      </w:r>
    </w:p>
    <w:p>
      <w:pPr>
        <w:tabs>
          <w:tab w:val="left" w:pos="0"/>
        </w:tabs>
        <w:spacing w:line="360" w:lineRule="auto"/>
        <w:ind w:firstLine="420" w:firstLineChars="150"/>
        <w:rPr>
          <w:rFonts w:ascii="宋体" w:hAnsi="宋体" w:eastAsiaTheme="minorEastAsia" w:cstheme="minorBidi"/>
          <w:bCs/>
          <w:color w:val="000000" w:themeColor="text1"/>
          <w:sz w:val="28"/>
          <w:szCs w:val="28"/>
          <w14:textFill>
            <w14:solidFill>
              <w14:schemeClr w14:val="tx1"/>
            </w14:solidFill>
          </w14:textFill>
        </w:rPr>
      </w:pPr>
      <w:r>
        <w:rPr>
          <w:rFonts w:hint="eastAsia" w:ascii="宋体" w:hAnsi="宋体" w:eastAsiaTheme="minorEastAsia" w:cstheme="minorBidi"/>
          <w:bCs/>
          <w:color w:val="000000" w:themeColor="text1"/>
          <w:sz w:val="28"/>
          <w:szCs w:val="28"/>
          <w14:textFill>
            <w14:solidFill>
              <w14:schemeClr w14:val="tx1"/>
            </w14:solidFill>
          </w14:textFill>
        </w:rPr>
        <w:t>二、因招标文件的修改推迟投标截止日期的，投标人按市公资交易中心在“四川政府采购网”和“</w:t>
      </w:r>
      <w:r>
        <w:rPr>
          <w:rFonts w:hint="eastAsia" w:ascii="宋体" w:hAnsi="宋体" w:eastAsiaTheme="minorEastAsia" w:cstheme="minorBidi"/>
          <w:bCs/>
          <w:color w:val="000000" w:themeColor="text1"/>
          <w:sz w:val="28"/>
          <w:szCs w:val="28"/>
          <w:lang w:eastAsia="zh-CN"/>
          <w14:textFill>
            <w14:solidFill>
              <w14:schemeClr w14:val="tx1"/>
            </w14:solidFill>
          </w14:textFill>
        </w:rPr>
        <w:t>成都市公共资源交易服务中心</w:t>
      </w:r>
      <w:r>
        <w:rPr>
          <w:rFonts w:hint="eastAsia" w:ascii="宋体" w:hAnsi="宋体" w:eastAsiaTheme="minorEastAsia" w:cstheme="minorBidi"/>
          <w:bCs/>
          <w:color w:val="000000" w:themeColor="text1"/>
          <w:sz w:val="28"/>
          <w:szCs w:val="28"/>
          <w14:textFill>
            <w14:solidFill>
              <w14:schemeClr w14:val="tx1"/>
            </w14:solidFill>
          </w14:textFill>
        </w:rPr>
        <w:t>”网站上发布的澄清公告中修改的时间递交投标文件，同时通过“政府采购云平台”将澄清或者修改的内容告知所有在系统中成功获取招标文件的潜在投标人。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color w:val="000000" w:themeColor="text1"/>
          <w:sz w:val="28"/>
          <w:szCs w:val="28"/>
          <w14:textFill>
            <w14:solidFill>
              <w14:schemeClr w14:val="tx1"/>
            </w14:solidFill>
          </w14:textFill>
        </w:rPr>
      </w:pPr>
      <w:r>
        <w:rPr>
          <w:rFonts w:hint="eastAsia" w:ascii="宋体" w:hAnsi="宋体" w:eastAsiaTheme="minorEastAsia" w:cstheme="minorBidi"/>
          <w:bCs/>
          <w:color w:val="000000" w:themeColor="text1"/>
          <w:sz w:val="28"/>
          <w:szCs w:val="28"/>
          <w14:textFill>
            <w14:solidFill>
              <w14:schemeClr w14:val="tx1"/>
            </w14:solidFill>
          </w14:textFill>
        </w:rPr>
        <w:t>三、投标人应充分考虑递交文件的不可预见因素，未在投标截止时间前完成递交的，在投标截止时间后将无法递交</w:t>
      </w:r>
      <w:r>
        <w:rPr>
          <w:rFonts w:hint="eastAsia" w:ascii="宋体" w:hAnsi="宋体"/>
          <w:bCs/>
          <w:color w:val="000000" w:themeColor="text1"/>
          <w:sz w:val="28"/>
          <w:szCs w:val="28"/>
          <w14:textFill>
            <w14:solidFill>
              <w14:schemeClr w14:val="tx1"/>
            </w14:solidFill>
          </w14:textFill>
        </w:rPr>
        <w:t>。</w:t>
      </w:r>
    </w:p>
    <w:p>
      <w:pPr>
        <w:pStyle w:val="5"/>
        <w:numPr>
          <w:ilvl w:val="2"/>
          <w:numId w:val="4"/>
        </w:numPr>
        <w:spacing w:after="200" w:line="276"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投标文件的补充、修改</w:t>
      </w:r>
    </w:p>
    <w:p>
      <w:pPr>
        <w:numPr>
          <w:ilvl w:val="0"/>
          <w:numId w:val="21"/>
        </w:numPr>
        <w:spacing w:before="120" w:after="200"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1"/>
        </w:numPr>
        <w:spacing w:before="120" w:after="200"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在投标截止时间之后，投标人不得对其递交的投标文件做任何补充、修改。</w:t>
      </w:r>
    </w:p>
    <w:p>
      <w:pPr>
        <w:pStyle w:val="5"/>
        <w:numPr>
          <w:ilvl w:val="2"/>
          <w:numId w:val="4"/>
        </w:numPr>
        <w:spacing w:after="200"/>
        <w:ind w:left="851"/>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投标文件的撤回</w:t>
      </w:r>
    </w:p>
    <w:p>
      <w:pPr>
        <w:numPr>
          <w:ilvl w:val="0"/>
          <w:numId w:val="22"/>
        </w:numPr>
        <w:spacing w:before="120" w:after="200" w:line="360" w:lineRule="auto"/>
        <w:ind w:left="0" w:firstLine="567"/>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在投标截止时间之前，投标人可对已递交的投标文件进行撤回。在投标截止时间之后，投标人不得撤回投标文件。</w:t>
      </w:r>
    </w:p>
    <w:p>
      <w:pPr>
        <w:pStyle w:val="5"/>
        <w:numPr>
          <w:ilvl w:val="2"/>
          <w:numId w:val="4"/>
        </w:numPr>
        <w:spacing w:after="200" w:line="240" w:lineRule="auto"/>
        <w:ind w:left="851"/>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投标文件的解密</w:t>
      </w:r>
    </w:p>
    <w:p>
      <w:pPr>
        <w:tabs>
          <w:tab w:val="left" w:pos="1134"/>
        </w:tabs>
        <w:spacing w:before="120" w:line="360" w:lineRule="auto"/>
        <w:ind w:firstLine="565" w:firstLineChars="202"/>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投标人</w:t>
      </w:r>
      <w:r>
        <w:rPr>
          <w:rFonts w:hint="eastAsia" w:ascii="宋体" w:hAnsi="宋体"/>
          <w:color w:val="000000" w:themeColor="text1"/>
          <w:sz w:val="28"/>
          <w:szCs w:val="28"/>
          <w14:textFill>
            <w14:solidFill>
              <w14:schemeClr w14:val="tx1"/>
            </w14:solidFill>
          </w14:textFill>
        </w:rPr>
        <w:t>登录政府采购云平台，点击“项目采购—开标评标”模块，找到对应项目，进入“开标大厅”，等待市公资交易中心开启解密后，进行线上解密。</w:t>
      </w:r>
      <w:r>
        <w:rPr>
          <w:rFonts w:hint="eastAsia" w:ascii="宋体" w:hAnsi="宋体"/>
          <w:bCs/>
          <w:color w:val="000000" w:themeColor="text1"/>
          <w:sz w:val="28"/>
          <w:szCs w:val="28"/>
          <w14:textFill>
            <w14:solidFill>
              <w14:schemeClr w14:val="tx1"/>
            </w14:solidFill>
          </w14:textFill>
        </w:rPr>
        <w:t>除因</w:t>
      </w:r>
      <w:r>
        <w:rPr>
          <w:rFonts w:hint="eastAsia" w:ascii="宋体" w:hAnsi="宋体"/>
          <w:color w:val="000000" w:themeColor="text1"/>
          <w:sz w:val="28"/>
          <w:szCs w:val="28"/>
          <w14:textFill>
            <w14:solidFill>
              <w14:schemeClr w14:val="tx1"/>
            </w14:solidFill>
          </w14:textFill>
        </w:rPr>
        <w:t>市公资交易中心</w:t>
      </w:r>
      <w:r>
        <w:rPr>
          <w:rFonts w:hint="eastAsia" w:ascii="宋体" w:hAnsi="宋体"/>
          <w:bCs/>
          <w:color w:val="000000" w:themeColor="text1"/>
          <w:sz w:val="28"/>
          <w:szCs w:val="28"/>
          <w14:textFill>
            <w14:solidFill>
              <w14:schemeClr w14:val="tx1"/>
            </w14:solidFill>
          </w14:textFill>
        </w:rPr>
        <w:t>断电、断网、系统故障或其他不可抗力等因素，导致系统无法使用外，投标人在规定的解密时间内，未成功解密的投标文件将视为无效投标文件。</w:t>
      </w:r>
    </w:p>
    <w:p>
      <w:pPr>
        <w:pStyle w:val="4"/>
        <w:numPr>
          <w:ilvl w:val="1"/>
          <w:numId w:val="4"/>
        </w:numPr>
        <w:spacing w:before="0" w:after="0" w:line="240" w:lineRule="auto"/>
        <w:ind w:left="2269" w:hanging="2269"/>
        <w:rPr>
          <w:color w:val="000000" w:themeColor="text1"/>
          <w14:textFill>
            <w14:solidFill>
              <w14:schemeClr w14:val="tx1"/>
            </w14:solidFill>
          </w14:textFill>
        </w:rPr>
      </w:pPr>
      <w:bookmarkStart w:id="106" w:name="_Toc316475586"/>
      <w:bookmarkEnd w:id="106"/>
      <w:bookmarkStart w:id="107" w:name="_Toc316475587"/>
      <w:bookmarkEnd w:id="107"/>
      <w:bookmarkStart w:id="108" w:name="_Toc28766"/>
      <w:bookmarkStart w:id="109" w:name="_Toc65573690"/>
      <w:bookmarkStart w:id="110" w:name="_Toc16979"/>
      <w:bookmarkStart w:id="111" w:name="_Toc31524"/>
      <w:bookmarkStart w:id="112" w:name="_Toc4457"/>
      <w:bookmarkStart w:id="113" w:name="_Toc183682368"/>
      <w:bookmarkStart w:id="114" w:name="_Toc217446056"/>
      <w:bookmarkStart w:id="115" w:name="_Toc183582231"/>
      <w:bookmarkStart w:id="116" w:name="_Toc89075878"/>
      <w:bookmarkStart w:id="117" w:name="_Toc77400782"/>
      <w:r>
        <w:rPr>
          <w:rFonts w:hint="eastAsia"/>
          <w:color w:val="000000" w:themeColor="text1"/>
          <w14:textFill>
            <w14:solidFill>
              <w14:schemeClr w14:val="tx1"/>
            </w14:solidFill>
          </w14:textFill>
        </w:rPr>
        <w:t>开标、资格审查、评标和中标</w:t>
      </w:r>
      <w:bookmarkEnd w:id="108"/>
      <w:bookmarkEnd w:id="109"/>
      <w:bookmarkEnd w:id="110"/>
      <w:bookmarkEnd w:id="111"/>
      <w:bookmarkEnd w:id="112"/>
      <w:bookmarkEnd w:id="113"/>
      <w:bookmarkEnd w:id="114"/>
      <w:bookmarkEnd w:id="115"/>
      <w:bookmarkEnd w:id="116"/>
      <w:bookmarkEnd w:id="117"/>
    </w:p>
    <w:p>
      <w:pPr>
        <w:keepNext/>
        <w:keepLines/>
        <w:numPr>
          <w:ilvl w:val="2"/>
          <w:numId w:val="4"/>
        </w:numPr>
        <w:spacing w:line="360" w:lineRule="auto"/>
        <w:ind w:left="0" w:firstLine="0"/>
        <w:outlineLvl w:val="2"/>
        <w:rPr>
          <w:rFonts w:ascii="宋体" w:hAnsi="宋体"/>
          <w:b/>
          <w:bCs/>
          <w:color w:val="000000" w:themeColor="text1"/>
          <w:sz w:val="28"/>
          <w:szCs w:val="28"/>
          <w14:textFill>
            <w14:solidFill>
              <w14:schemeClr w14:val="tx1"/>
            </w14:solidFill>
          </w14:textFill>
        </w:rPr>
      </w:pPr>
      <w:bookmarkStart w:id="118" w:name="_Toc183682369"/>
      <w:bookmarkStart w:id="119" w:name="_Toc183582232"/>
      <w:bookmarkStart w:id="120" w:name="_Toc217446057"/>
      <w:r>
        <w:rPr>
          <w:rFonts w:hint="eastAsia" w:ascii="宋体" w:hAnsi="宋体"/>
          <w:b/>
          <w:bCs/>
          <w:color w:val="000000" w:themeColor="text1"/>
          <w:sz w:val="28"/>
          <w:szCs w:val="28"/>
          <w14:textFill>
            <w14:solidFill>
              <w14:schemeClr w14:val="tx1"/>
            </w14:solidFill>
          </w14:textFill>
        </w:rPr>
        <w:t>开标</w:t>
      </w:r>
      <w:bookmarkEnd w:id="118"/>
      <w:bookmarkEnd w:id="119"/>
      <w:bookmarkEnd w:id="120"/>
      <w:r>
        <w:rPr>
          <w:rFonts w:hint="eastAsia" w:ascii="宋体" w:hAnsi="宋体"/>
          <w:b/>
          <w:bCs/>
          <w:color w:val="000000" w:themeColor="text1"/>
          <w:sz w:val="28"/>
          <w:szCs w:val="28"/>
          <w14:textFill>
            <w14:solidFill>
              <w14:schemeClr w14:val="tx1"/>
            </w14:solidFill>
          </w14:textFill>
        </w:rPr>
        <w:t>及开标程序</w:t>
      </w:r>
    </w:p>
    <w:p>
      <w:pPr>
        <w:pStyle w:val="85"/>
        <w:numPr>
          <w:ilvl w:val="0"/>
          <w:numId w:val="23"/>
        </w:numPr>
        <w:spacing w:before="120" w:after="20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本项目为不见面开标项目。递交电子投标文件的投标人不足3家的，不予开标。</w:t>
      </w:r>
    </w:p>
    <w:p>
      <w:pPr>
        <w:pStyle w:val="85"/>
        <w:numPr>
          <w:ilvl w:val="0"/>
          <w:numId w:val="23"/>
        </w:numPr>
        <w:spacing w:before="120" w:after="20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开标准备工作。投标人需在开标当日、投标截止时间前登录“政府采购云平台”，通过“开标大厅”参与不见面开标。登录</w:t>
      </w:r>
      <w:r>
        <w:rPr>
          <w:rFonts w:hint="eastAsia" w:ascii="宋体" w:hAnsi="宋体" w:eastAsia="宋体" w:cs="宋体"/>
          <w:b/>
          <w:color w:val="000000" w:themeColor="text1"/>
          <w:sz w:val="28"/>
          <w:szCs w:val="28"/>
          <w:lang w:eastAsia="zh-CN"/>
          <w14:textFill>
            <w14:solidFill>
              <w14:schemeClr w14:val="tx1"/>
            </w14:solidFill>
          </w14:textFill>
        </w:rPr>
        <w:t>都江堰市公共资源交易服务中心</w:t>
      </w:r>
      <w:r>
        <w:rPr>
          <w:rFonts w:hint="eastAsia" w:ascii="宋体" w:hAnsi="宋体" w:eastAsia="宋体" w:cs="宋体"/>
          <w:b/>
          <w:color w:val="000000" w:themeColor="text1"/>
          <w:sz w:val="28"/>
          <w:szCs w:val="28"/>
          <w14:textFill>
            <w14:solidFill>
              <w14:schemeClr w14:val="tx1"/>
            </w14:solidFill>
          </w14:textFill>
        </w:rPr>
        <w:t>门户网站（https://www.cdggzy.com/）—政府采购云平台—项目采购—开标评标—开标大厅（找到对应项目）。提示：投标人未按时登录不见面开标系统，错过开标解密时间的，由投标人自行承担不利后果。</w:t>
      </w:r>
    </w:p>
    <w:p>
      <w:pPr>
        <w:pStyle w:val="85"/>
        <w:numPr>
          <w:ilvl w:val="0"/>
          <w:numId w:val="23"/>
        </w:numPr>
        <w:spacing w:before="120" w:after="20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解密投标文件。等待市公资交易中心开启解密后，投标人进行线上解密。开启解密后，投标人应在</w:t>
      </w:r>
      <w:r>
        <w:rPr>
          <w:rFonts w:hint="eastAsia" w:ascii="宋体" w:hAnsi="宋体" w:eastAsia="宋体" w:cs="宋体"/>
          <w:b/>
          <w:color w:val="FF0000"/>
          <w:sz w:val="28"/>
          <w:szCs w:val="28"/>
        </w:rPr>
        <w:t>60</w:t>
      </w:r>
      <w:r>
        <w:rPr>
          <w:rFonts w:hint="eastAsia" w:ascii="宋体" w:hAnsi="宋体" w:eastAsia="宋体" w:cs="宋体"/>
          <w:b/>
          <w:color w:val="000000" w:themeColor="text1"/>
          <w:sz w:val="28"/>
          <w:szCs w:val="28"/>
          <w14:textFill>
            <w14:solidFill>
              <w14:schemeClr w14:val="tx1"/>
            </w14:solidFill>
          </w14:textFill>
        </w:rPr>
        <w:t>分钟内，使用加密该投标文件的CA数字证书在线完成投标文件的解密。除因市公资交易中心断电、断网、系统故障或其他不可抗力等因素，导致系统无法使用外，投标人在规定的解密时间内，未成功解密的投标文件将视为无效投标文件。</w:t>
      </w:r>
    </w:p>
    <w:p>
      <w:pPr>
        <w:pStyle w:val="85"/>
        <w:numPr>
          <w:ilvl w:val="0"/>
          <w:numId w:val="23"/>
        </w:numPr>
        <w:spacing w:before="120" w:after="20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85"/>
        <w:numPr>
          <w:ilvl w:val="0"/>
          <w:numId w:val="23"/>
        </w:numPr>
        <w:spacing w:before="120" w:after="20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标人对开标过程和开标记录有疑义，以及认为采购人、市公资交易中心相关工作人员有需要回避的情形的，及时向工作人员提出询问或者回避申请。采购人、市公资交易中心对投标人提出的询问或者回避申请应当及时处理。</w:t>
      </w:r>
    </w:p>
    <w:p>
      <w:pPr>
        <w:pStyle w:val="85"/>
        <w:numPr>
          <w:ilvl w:val="0"/>
          <w:numId w:val="23"/>
        </w:numPr>
        <w:spacing w:before="120" w:after="20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85"/>
        <w:numPr>
          <w:ilvl w:val="0"/>
          <w:numId w:val="23"/>
        </w:numPr>
        <w:spacing w:before="120" w:after="20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因市公资交易中心断电、断网、系统故障或其他不可抗力等因素导致不见面开标系统无法正常运行的，开标活动中止或延迟，待系统恢复正常后继续进行开标活动。</w:t>
      </w:r>
    </w:p>
    <w:p>
      <w:pPr>
        <w:pStyle w:val="85"/>
        <w:numPr>
          <w:ilvl w:val="0"/>
          <w:numId w:val="23"/>
        </w:numPr>
        <w:spacing w:before="120" w:after="20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不见面开标过程中，各方主体均应遵守互联网有关规定，不得发表与交易活动无关的言论。</w:t>
      </w:r>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资格审查</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详见招标文件第5章。</w:t>
      </w:r>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评标</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详见招标文件第6章。</w:t>
      </w:r>
    </w:p>
    <w:p>
      <w:pPr>
        <w:pStyle w:val="5"/>
        <w:numPr>
          <w:ilvl w:val="2"/>
          <w:numId w:val="4"/>
        </w:numPr>
        <w:spacing w:after="200" w:line="240" w:lineRule="auto"/>
        <w:ind w:left="0" w:firstLine="0"/>
        <w:rPr>
          <w:color w:val="000000" w:themeColor="text1"/>
          <w14:textFill>
            <w14:solidFill>
              <w14:schemeClr w14:val="tx1"/>
            </w14:solidFill>
          </w14:textFill>
        </w:rPr>
      </w:pPr>
      <w:bookmarkStart w:id="121" w:name="_Toc183582238"/>
      <w:bookmarkStart w:id="122" w:name="_Toc183682375"/>
      <w:bookmarkStart w:id="123" w:name="_Toc217446063"/>
      <w:r>
        <w:rPr>
          <w:rFonts w:hint="eastAsia"/>
          <w:color w:val="000000" w:themeColor="text1"/>
          <w14:textFill>
            <w14:solidFill>
              <w14:schemeClr w14:val="tx1"/>
            </w14:solidFill>
          </w14:textFill>
        </w:rPr>
        <w:t>中标通知</w:t>
      </w:r>
      <w:bookmarkEnd w:id="121"/>
      <w:bookmarkEnd w:id="122"/>
      <w:r>
        <w:rPr>
          <w:rFonts w:hint="eastAsia"/>
          <w:color w:val="000000" w:themeColor="text1"/>
          <w14:textFill>
            <w14:solidFill>
              <w14:schemeClr w14:val="tx1"/>
            </w14:solidFill>
          </w14:textFill>
        </w:rPr>
        <w:t>书</w:t>
      </w:r>
      <w:bookmarkEnd w:id="123"/>
    </w:p>
    <w:p>
      <w:pPr>
        <w:widowControl/>
        <w:ind w:right="210" w:firstLine="560" w:firstLineChars="200"/>
        <w:jc w:val="left"/>
        <w:rPr>
          <w:rFonts w:ascii="宋体" w:hAnsi="宋体"/>
          <w:color w:val="000000" w:themeColor="text1"/>
          <w:sz w:val="28"/>
          <w:szCs w:val="28"/>
          <w14:textFill>
            <w14:solidFill>
              <w14:schemeClr w14:val="tx1"/>
            </w14:solidFill>
          </w14:textFill>
        </w:rPr>
      </w:pPr>
      <w:bookmarkStart w:id="124" w:name="_Toc217446064"/>
      <w:bookmarkStart w:id="125" w:name="_Toc183682377"/>
      <w:bookmarkStart w:id="126" w:name="_Toc183582240"/>
      <w:r>
        <w:rPr>
          <w:rFonts w:hint="eastAsia" w:ascii="宋体" w:hAnsi="宋体"/>
          <w:color w:val="000000" w:themeColor="text1"/>
          <w:sz w:val="28"/>
          <w:szCs w:val="28"/>
          <w14:textFill>
            <w14:solidFill>
              <w14:schemeClr w14:val="tx1"/>
            </w14:solidFill>
          </w14:textFill>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二、中标通知书对采购人和中标人均具有法律效力。中标通知书发出后，采购人改变中标结果，或者中标人无正当理由放弃中标的，应当承担相应的法律责任。</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三、中标公告在四川政府采购网上公告后，中标供应商自行登录政府采购云平台下载中标通知书。</w:t>
      </w:r>
    </w:p>
    <w:p>
      <w:pPr>
        <w:pStyle w:val="4"/>
        <w:numPr>
          <w:ilvl w:val="1"/>
          <w:numId w:val="4"/>
        </w:numPr>
        <w:spacing w:before="0" w:after="0" w:line="240" w:lineRule="auto"/>
        <w:ind w:left="2269" w:hanging="2269"/>
        <w:rPr>
          <w:color w:val="000000" w:themeColor="text1"/>
          <w14:textFill>
            <w14:solidFill>
              <w14:schemeClr w14:val="tx1"/>
            </w14:solidFill>
          </w14:textFill>
        </w:rPr>
      </w:pPr>
      <w:bookmarkStart w:id="127" w:name="_Toc65573691"/>
      <w:bookmarkStart w:id="128" w:name="_Toc19973"/>
      <w:bookmarkStart w:id="129" w:name="_Toc12385"/>
      <w:bookmarkStart w:id="130" w:name="_Toc6010"/>
      <w:bookmarkStart w:id="131" w:name="_Toc18993"/>
      <w:r>
        <w:rPr>
          <w:rFonts w:hint="eastAsia"/>
          <w:color w:val="000000" w:themeColor="text1"/>
          <w14:textFill>
            <w14:solidFill>
              <w14:schemeClr w14:val="tx1"/>
            </w14:solidFill>
          </w14:textFill>
        </w:rPr>
        <w:t>签订及履行合同</w:t>
      </w:r>
      <w:bookmarkEnd w:id="124"/>
      <w:r>
        <w:rPr>
          <w:rFonts w:hint="eastAsia"/>
          <w:color w:val="000000" w:themeColor="text1"/>
          <w14:textFill>
            <w14:solidFill>
              <w14:schemeClr w14:val="tx1"/>
            </w14:solidFill>
          </w14:textFill>
        </w:rPr>
        <w:t>和验收</w:t>
      </w:r>
      <w:bookmarkEnd w:id="127"/>
      <w:bookmarkEnd w:id="128"/>
      <w:bookmarkEnd w:id="129"/>
      <w:bookmarkEnd w:id="130"/>
      <w:bookmarkEnd w:id="131"/>
    </w:p>
    <w:p>
      <w:pPr>
        <w:pStyle w:val="5"/>
        <w:numPr>
          <w:ilvl w:val="2"/>
          <w:numId w:val="4"/>
        </w:numPr>
        <w:spacing w:after="200" w:line="240" w:lineRule="auto"/>
        <w:ind w:left="0" w:firstLine="0"/>
        <w:rPr>
          <w:color w:val="000000" w:themeColor="text1"/>
          <w14:textFill>
            <w14:solidFill>
              <w14:schemeClr w14:val="tx1"/>
            </w14:solidFill>
          </w14:textFill>
        </w:rPr>
      </w:pPr>
      <w:bookmarkStart w:id="132" w:name="_Toc217446065"/>
      <w:r>
        <w:rPr>
          <w:rFonts w:hint="eastAsia"/>
          <w:color w:val="000000" w:themeColor="text1"/>
          <w14:textFill>
            <w14:solidFill>
              <w14:schemeClr w14:val="tx1"/>
            </w14:solidFill>
          </w14:textFill>
        </w:rPr>
        <w:t>签订合同</w:t>
      </w:r>
      <w:bookmarkEnd w:id="132"/>
    </w:p>
    <w:p>
      <w:pPr>
        <w:numPr>
          <w:ilvl w:val="0"/>
          <w:numId w:val="24"/>
        </w:numPr>
        <w:tabs>
          <w:tab w:val="left" w:pos="1134"/>
        </w:tabs>
        <w:spacing w:after="200"/>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numPr>
          <w:ilvl w:val="0"/>
          <w:numId w:val="24"/>
        </w:numPr>
        <w:tabs>
          <w:tab w:val="left" w:pos="1134"/>
        </w:tabs>
        <w:spacing w:after="200"/>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采购人不得向中标人提出任何不合理的要求，作为签订合同的条件，不得与中标人私下订立背离合同实质性内容的任何协议，所签订的合同不得对招标文件和中标人投标文件作实质性修改。</w:t>
      </w:r>
    </w:p>
    <w:p>
      <w:pPr>
        <w:numPr>
          <w:ilvl w:val="0"/>
          <w:numId w:val="24"/>
        </w:numPr>
        <w:tabs>
          <w:tab w:val="left" w:pos="1134"/>
        </w:tabs>
        <w:spacing w:after="200"/>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招标文件、投标文件、中标通知书等一切与本项目评标结果有关且经责任主体确认的资料均为合同的有效组成部分。</w:t>
      </w:r>
    </w:p>
    <w:p>
      <w:pPr>
        <w:numPr>
          <w:ilvl w:val="0"/>
          <w:numId w:val="24"/>
        </w:numPr>
        <w:tabs>
          <w:tab w:val="left" w:pos="1134"/>
        </w:tabs>
        <w:spacing w:after="200"/>
        <w:ind w:left="0" w:firstLine="565" w:firstLineChars="202"/>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询问或者质疑事项可能影响中标、成交结果的，采购人应当暂停签订合同，已经签订合同的，应当中止履行合同。</w:t>
      </w:r>
    </w:p>
    <w:p>
      <w:pPr>
        <w:pStyle w:val="5"/>
        <w:numPr>
          <w:ilvl w:val="2"/>
          <w:numId w:val="4"/>
        </w:numPr>
        <w:spacing w:after="200" w:line="240" w:lineRule="auto"/>
        <w:ind w:left="0" w:firstLine="0"/>
        <w:rPr>
          <w:color w:val="000000" w:themeColor="text1"/>
          <w14:textFill>
            <w14:solidFill>
              <w14:schemeClr w14:val="tx1"/>
            </w14:solidFill>
          </w14:textFill>
        </w:rPr>
      </w:pPr>
      <w:bookmarkStart w:id="133" w:name="_Toc315871033"/>
      <w:bookmarkEnd w:id="133"/>
      <w:bookmarkStart w:id="134" w:name="_Toc217446066"/>
      <w:bookmarkStart w:id="135" w:name="_Toc217446069"/>
      <w:r>
        <w:rPr>
          <w:rFonts w:hint="eastAsia"/>
          <w:color w:val="000000" w:themeColor="text1"/>
          <w14:textFill>
            <w14:solidFill>
              <w14:schemeClr w14:val="tx1"/>
            </w14:solidFill>
          </w14:textFill>
        </w:rPr>
        <w:t>合同分包</w:t>
      </w:r>
      <w:bookmarkEnd w:id="134"/>
      <w:r>
        <w:rPr>
          <w:rFonts w:hint="eastAsia"/>
          <w:color w:val="000000" w:themeColor="text1"/>
          <w14:textFill>
            <w14:solidFill>
              <w14:schemeClr w14:val="tx1"/>
            </w14:solidFill>
          </w14:textFill>
        </w:rPr>
        <w:t>和转包</w:t>
      </w:r>
    </w:p>
    <w:p>
      <w:pPr>
        <w:pStyle w:val="5"/>
        <w:numPr>
          <w:ilvl w:val="3"/>
          <w:numId w:val="4"/>
        </w:numPr>
        <w:spacing w:after="200" w:line="240" w:lineRule="auto"/>
        <w:rPr>
          <w:color w:val="000000" w:themeColor="text1"/>
          <w14:textFill>
            <w14:solidFill>
              <w14:schemeClr w14:val="tx1"/>
            </w14:solidFill>
          </w14:textFill>
        </w:rPr>
      </w:pPr>
      <w:bookmarkStart w:id="136" w:name="_Toc217446067"/>
      <w:r>
        <w:rPr>
          <w:rFonts w:hint="eastAsia"/>
          <w:color w:val="000000" w:themeColor="text1"/>
          <w14:textFill>
            <w14:solidFill>
              <w14:schemeClr w14:val="tx1"/>
            </w14:solidFill>
          </w14:textFill>
        </w:rPr>
        <w:t>合同分包</w:t>
      </w:r>
    </w:p>
    <w:p>
      <w:pPr>
        <w:pStyle w:val="122"/>
        <w:spacing w:line="360" w:lineRule="auto"/>
        <w:ind w:firstLine="560" w:firstLineChars="200"/>
        <w:rPr>
          <w:rFonts w:cs="Times New Roman"/>
          <w:color w:val="000000" w:themeColor="text1"/>
          <w:sz w:val="28"/>
          <w:szCs w:val="28"/>
          <w:lang w:val="zh-CN"/>
          <w14:textFill>
            <w14:solidFill>
              <w14:schemeClr w14:val="tx1"/>
            </w14:solidFill>
          </w14:textFill>
        </w:rPr>
      </w:pPr>
      <w:r>
        <w:rPr>
          <w:rFonts w:hint="eastAsia" w:cs="Times New Roman"/>
          <w:color w:val="000000" w:themeColor="text1"/>
          <w:sz w:val="28"/>
          <w:szCs w:val="28"/>
          <w:lang w:val="zh-CN"/>
          <w14:textFill>
            <w14:solidFill>
              <w14:schemeClr w14:val="tx1"/>
            </w14:solidFill>
          </w14:textFill>
        </w:rPr>
        <w:t>□ 本</w:t>
      </w:r>
      <w:r>
        <w:rPr>
          <w:rFonts w:cs="Times New Roman"/>
          <w:color w:val="000000" w:themeColor="text1"/>
          <w:sz w:val="28"/>
          <w:szCs w:val="28"/>
          <w:lang w:val="zh-CN"/>
          <w14:textFill>
            <w14:solidFill>
              <w14:schemeClr w14:val="tx1"/>
            </w14:solidFill>
          </w14:textFill>
        </w:rPr>
        <w:t>项目不允许分包</w:t>
      </w:r>
      <w:r>
        <w:rPr>
          <w:rFonts w:hint="eastAsia" w:cs="Times New Roman"/>
          <w:color w:val="000000" w:themeColor="text1"/>
          <w:sz w:val="28"/>
          <w:szCs w:val="28"/>
          <w:lang w:val="zh-CN"/>
          <w14:textFill>
            <w14:solidFill>
              <w14:schemeClr w14:val="tx1"/>
            </w14:solidFill>
          </w14:textFill>
        </w:rPr>
        <w:t xml:space="preserve"> </w:t>
      </w:r>
    </w:p>
    <w:p>
      <w:pPr>
        <w:pStyle w:val="5"/>
        <w:numPr>
          <w:ilvl w:val="3"/>
          <w:numId w:val="4"/>
        </w:numPr>
        <w:spacing w:after="200"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合同转包</w:t>
      </w:r>
    </w:p>
    <w:p>
      <w:pPr>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一、严禁中标供应商将本项目转包。本项目所称转包，是指</w:t>
      </w:r>
      <w:r>
        <w:rPr>
          <w:rFonts w:hint="eastAsia" w:ascii="宋体" w:hAnsi="宋体" w:cs="宋体"/>
          <w:color w:val="000000" w:themeColor="text1"/>
          <w:kern w:val="0"/>
          <w:sz w:val="28"/>
          <w:szCs w:val="28"/>
          <w14:textFill>
            <w14:solidFill>
              <w14:schemeClr w14:val="tx1"/>
            </w14:solidFill>
          </w14:textFill>
        </w:rPr>
        <w:t xml:space="preserve">将本项目转给他人或者将本项目全部肢解以后以分包的名义分别转给他人的行为。 </w:t>
      </w:r>
    </w:p>
    <w:p>
      <w:pPr>
        <w:ind w:firstLine="49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二、中标供应商转包的，视同拒绝履行政府采购合同，将依法追究法律责任。</w:t>
      </w:r>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采购人增加合同标的的权</w:t>
      </w:r>
      <w:bookmarkEnd w:id="136"/>
      <w:r>
        <w:rPr>
          <w:rFonts w:hint="eastAsia"/>
          <w:color w:val="000000" w:themeColor="text1"/>
          <w14:textFill>
            <w14:solidFill>
              <w14:schemeClr w14:val="tx1"/>
            </w14:solidFill>
          </w14:textFill>
        </w:rPr>
        <w:t>利</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pStyle w:val="5"/>
        <w:numPr>
          <w:ilvl w:val="2"/>
          <w:numId w:val="4"/>
        </w:numPr>
        <w:spacing w:after="200" w:line="240" w:lineRule="auto"/>
        <w:ind w:left="0" w:firstLine="0"/>
        <w:rPr>
          <w:color w:val="000000" w:themeColor="text1"/>
          <w14:textFill>
            <w14:solidFill>
              <w14:schemeClr w14:val="tx1"/>
            </w14:solidFill>
          </w14:textFill>
        </w:rPr>
      </w:pPr>
      <w:bookmarkStart w:id="137" w:name="_Toc217446068"/>
      <w:r>
        <w:rPr>
          <w:rFonts w:hint="eastAsia"/>
          <w:color w:val="000000" w:themeColor="text1"/>
          <w14:textFill>
            <w14:solidFill>
              <w14:schemeClr w14:val="tx1"/>
            </w14:solidFill>
          </w14:textFill>
        </w:rPr>
        <w:t>履约保证金</w:t>
      </w:r>
      <w:bookmarkEnd w:id="137"/>
    </w:p>
    <w:p>
      <w:pPr>
        <w:rPr>
          <w:rFonts w:hint="eastAsia" w:ascii="宋体" w:hAnsi="宋体" w:eastAsiaTheme="minorEastAsia" w:cstheme="minorBidi"/>
          <w:color w:val="000000" w:themeColor="text1"/>
          <w:kern w:val="2"/>
          <w:sz w:val="28"/>
          <w:szCs w:val="28"/>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28"/>
          <w:szCs w:val="28"/>
          <w:lang w:val="en-US" w:eastAsia="zh-CN" w:bidi="ar-SA"/>
          <w14:textFill>
            <w14:solidFill>
              <w14:schemeClr w14:val="tx1"/>
            </w14:solidFill>
          </w14:textFill>
        </w:rPr>
        <w:t>本项目不收取履约保证金。</w:t>
      </w:r>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合同公告</w:t>
      </w:r>
    </w:p>
    <w:p>
      <w:pPr>
        <w:pStyle w:val="13"/>
        <w:spacing w:line="24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采购人应当自政府采购合同签订之日起2个工作日内，在四川政府采购网公告，但政府采购合同中涉及国家秘密、商业秘密的内容除外。</w:t>
      </w:r>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合同备案</w:t>
      </w:r>
    </w:p>
    <w:p>
      <w:pPr>
        <w:tabs>
          <w:tab w:val="left" w:pos="1134"/>
        </w:tabs>
        <w:ind w:firstLine="560" w:firstLineChars="200"/>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s="Times New Roman"/>
          <w:sz w:val="28"/>
          <w:szCs w:val="28"/>
        </w:rPr>
        <w:t>合同签订后</w:t>
      </w:r>
      <w:r>
        <w:rPr>
          <w:rFonts w:hint="eastAsia" w:ascii="宋体" w:hAnsi="宋体" w:eastAsia="宋体" w:cs="Times New Roman"/>
          <w:sz w:val="28"/>
          <w:szCs w:val="28"/>
          <w:lang w:val="en-US" w:eastAsia="zh-CN"/>
        </w:rPr>
        <w:t>5个工作日内</w:t>
      </w:r>
      <w:r>
        <w:rPr>
          <w:rFonts w:hint="eastAsia" w:ascii="宋体" w:hAnsi="宋体" w:eastAsia="宋体" w:cs="Times New Roman"/>
          <w:sz w:val="28"/>
          <w:szCs w:val="28"/>
        </w:rPr>
        <w:t>将签订的合同原件或复印件（一份）送都江堰市公共资源交易服务中心评审科存档。疫情防控期间，采购人原则上在5个工作日内与供应商签订政府采购合同及向本采购项目同级财政部门，即都江堰市财政局备案政府采购合同。（注意：备案后，采购人应在“成都市公共资源交易服务中心网”，使用单位数字身份证书登录，进行合同信息的录入工作</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w:t>
      </w:r>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履行合同</w:t>
      </w:r>
      <w:bookmarkEnd w:id="135"/>
    </w:p>
    <w:p>
      <w:pPr>
        <w:numPr>
          <w:ilvl w:val="0"/>
          <w:numId w:val="25"/>
        </w:numPr>
        <w:tabs>
          <w:tab w:val="left" w:pos="1134"/>
        </w:tabs>
        <w:spacing w:after="200"/>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合同一经签订，双方应严格履行合同规定的义务。</w:t>
      </w:r>
    </w:p>
    <w:p>
      <w:pPr>
        <w:numPr>
          <w:ilvl w:val="0"/>
          <w:numId w:val="25"/>
        </w:numPr>
        <w:tabs>
          <w:tab w:val="left" w:pos="1134"/>
        </w:tabs>
        <w:spacing w:after="200"/>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在合同履行过程中，如发生合同纠纷，合同双方应按照《中华人民共和国民法典》及合同条款的有关规定进行处理。</w:t>
      </w:r>
    </w:p>
    <w:p>
      <w:pPr>
        <w:pStyle w:val="5"/>
        <w:numPr>
          <w:ilvl w:val="2"/>
          <w:numId w:val="4"/>
        </w:numPr>
        <w:spacing w:after="200" w:line="240" w:lineRule="auto"/>
        <w:ind w:left="0" w:firstLine="0"/>
        <w:rPr>
          <w:color w:val="000000" w:themeColor="text1"/>
          <w14:textFill>
            <w14:solidFill>
              <w14:schemeClr w14:val="tx1"/>
            </w14:solidFill>
          </w14:textFill>
        </w:rPr>
      </w:pPr>
      <w:bookmarkStart w:id="138" w:name="_Toc217446070"/>
      <w:r>
        <w:rPr>
          <w:rFonts w:hint="eastAsia"/>
          <w:color w:val="000000" w:themeColor="text1"/>
          <w14:textFill>
            <w14:solidFill>
              <w14:schemeClr w14:val="tx1"/>
            </w14:solidFill>
          </w14:textFill>
        </w:rPr>
        <w:t>验收或考核</w:t>
      </w:r>
    </w:p>
    <w:p>
      <w:pPr>
        <w:pStyle w:val="13"/>
        <w:spacing w:after="0" w:line="240" w:lineRule="auto"/>
        <w:ind w:firstLine="560" w:firstLineChars="200"/>
        <w:rPr>
          <w:rFonts w:ascii="宋体" w:hAnsi="宋体"/>
          <w:b/>
          <w:color w:val="000000" w:themeColor="text1"/>
          <w14:textFill>
            <w14:solidFill>
              <w14:schemeClr w14:val="tx1"/>
            </w14:solidFill>
          </w14:textFill>
        </w:rPr>
      </w:pPr>
      <w:bookmarkStart w:id="139" w:name="_Toc217446071"/>
      <w:r>
        <w:rPr>
          <w:rFonts w:hint="eastAsia" w:ascii="宋体" w:hAnsi="宋体"/>
          <w:color w:val="000000" w:themeColor="text1"/>
          <w:sz w:val="28"/>
          <w:szCs w:val="28"/>
          <w14:textFill>
            <w14:solidFill>
              <w14:schemeClr w14:val="tx1"/>
            </w14:solidFill>
          </w14:textFill>
        </w:rPr>
        <w:t>采购人严格按照国家相关法律法规的要求组织验收或考核。</w:t>
      </w:r>
      <w:bookmarkEnd w:id="139"/>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资金支付</w:t>
      </w:r>
    </w:p>
    <w:p>
      <w:pPr>
        <w:pStyle w:val="39"/>
        <w:numPr>
          <w:ilvl w:val="0"/>
          <w:numId w:val="26"/>
        </w:numPr>
        <w:shd w:val="clear" w:color="auto" w:fill="FFFFFF"/>
        <w:spacing w:before="0" w:beforeAutospacing="0" w:after="0" w:afterAutospacing="0"/>
        <w:ind w:firstLine="570"/>
        <w:rPr>
          <w:rFonts w:hint="eastAsia"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采购人按财政部门的相关规定及采购合同的约定进行支付。</w:t>
      </w:r>
    </w:p>
    <w:p>
      <w:pPr>
        <w:ind w:firstLine="565" w:firstLineChars="202"/>
        <w:rPr>
          <w:rFonts w:hint="eastAsia" w:ascii="宋体" w:hAnsi="宋体"/>
          <w:color w:val="FF0000"/>
          <w:sz w:val="28"/>
          <w:szCs w:val="28"/>
        </w:rPr>
      </w:pPr>
      <w:r>
        <w:rPr>
          <w:rFonts w:hint="eastAsia" w:cs="Helvetica"/>
          <w:color w:val="FF0000"/>
          <w:sz w:val="28"/>
          <w:szCs w:val="28"/>
          <w:lang w:eastAsia="zh-CN"/>
        </w:rPr>
        <w:t>二、本项目具体资金支付方式：</w:t>
      </w:r>
      <w:r>
        <w:rPr>
          <w:rFonts w:hint="eastAsia" w:ascii="宋体" w:hAnsi="宋体"/>
          <w:color w:val="FF0000"/>
          <w:sz w:val="28"/>
          <w:szCs w:val="28"/>
        </w:rPr>
        <w:t>1、甲方每月末5日内对乙方的物业服务进行考核，经考核合格后以银行转账的方式向乙方支付物业服务费用</w:t>
      </w:r>
      <w:r>
        <w:rPr>
          <w:rFonts w:hint="eastAsia" w:ascii="宋体" w:hAnsi="宋体"/>
          <w:color w:val="FF0000"/>
          <w:sz w:val="28"/>
          <w:szCs w:val="28"/>
          <w:lang w:eastAsia="zh-CN"/>
        </w:rPr>
        <w:t>，</w:t>
      </w:r>
      <w:r>
        <w:rPr>
          <w:rFonts w:hint="eastAsia" w:ascii="宋体" w:hAnsi="宋体"/>
          <w:color w:val="FF0000"/>
          <w:sz w:val="28"/>
          <w:szCs w:val="28"/>
        </w:rPr>
        <w:t xml:space="preserve">乙方应当在甲方付款前向甲方提供等额合规的增值税专用发票，否则，甲方有权拒绝付款且不视为甲方违约，甲方在收到发票之日起十个工作日内向乙方付款。 </w:t>
      </w:r>
    </w:p>
    <w:p>
      <w:pPr>
        <w:ind w:firstLine="565" w:firstLineChars="202"/>
        <w:rPr>
          <w:rFonts w:hint="eastAsia" w:cs="Helvetica"/>
          <w:color w:val="000000" w:themeColor="text1"/>
          <w:sz w:val="28"/>
          <w:szCs w:val="28"/>
          <w14:textFill>
            <w14:solidFill>
              <w14:schemeClr w14:val="tx1"/>
            </w14:solidFill>
          </w14:textFill>
        </w:rPr>
      </w:pPr>
      <w:r>
        <w:rPr>
          <w:rFonts w:hint="eastAsia" w:ascii="宋体" w:hAnsi="宋体"/>
          <w:color w:val="FF0000"/>
          <w:sz w:val="28"/>
          <w:szCs w:val="28"/>
        </w:rPr>
        <w:t>2、本物业专项管理服务费自乙方进场实施服务管理后按季支付。</w:t>
      </w:r>
    </w:p>
    <w:bookmarkEnd w:id="125"/>
    <w:bookmarkEnd w:id="126"/>
    <w:bookmarkEnd w:id="138"/>
    <w:p>
      <w:pPr>
        <w:pStyle w:val="4"/>
        <w:numPr>
          <w:ilvl w:val="1"/>
          <w:numId w:val="4"/>
        </w:numPr>
        <w:spacing w:before="0" w:after="0" w:line="240" w:lineRule="auto"/>
        <w:ind w:left="2269" w:hanging="2269"/>
        <w:rPr>
          <w:color w:val="000000" w:themeColor="text1"/>
          <w14:textFill>
            <w14:solidFill>
              <w14:schemeClr w14:val="tx1"/>
            </w14:solidFill>
          </w14:textFill>
        </w:rPr>
      </w:pPr>
      <w:bookmarkStart w:id="140" w:name="_Toc13859"/>
      <w:bookmarkStart w:id="141" w:name="_Toc12434"/>
      <w:bookmarkStart w:id="142" w:name="_Toc217446074"/>
      <w:bookmarkStart w:id="143" w:name="_Toc65573692"/>
      <w:bookmarkStart w:id="144" w:name="_Toc6102"/>
      <w:bookmarkStart w:id="145" w:name="_Toc30945"/>
      <w:bookmarkStart w:id="146" w:name="_Toc183682380"/>
      <w:bookmarkStart w:id="147" w:name="_Toc183582243"/>
      <w:r>
        <w:rPr>
          <w:rFonts w:hint="eastAsia"/>
          <w:color w:val="000000" w:themeColor="text1"/>
          <w14:textFill>
            <w14:solidFill>
              <w14:schemeClr w14:val="tx1"/>
            </w14:solidFill>
          </w14:textFill>
        </w:rPr>
        <w:t>投标纪律要求</w:t>
      </w:r>
      <w:bookmarkEnd w:id="140"/>
      <w:bookmarkEnd w:id="141"/>
      <w:bookmarkEnd w:id="142"/>
      <w:bookmarkEnd w:id="143"/>
      <w:bookmarkEnd w:id="144"/>
      <w:bookmarkEnd w:id="145"/>
    </w:p>
    <w:p>
      <w:pPr>
        <w:pStyle w:val="5"/>
        <w:numPr>
          <w:ilvl w:val="2"/>
          <w:numId w:val="4"/>
        </w:numPr>
        <w:spacing w:after="200" w:line="240" w:lineRule="auto"/>
        <w:ind w:left="0" w:firstLine="0"/>
        <w:rPr>
          <w:color w:val="000000" w:themeColor="text1"/>
          <w14:textFill>
            <w14:solidFill>
              <w14:schemeClr w14:val="tx1"/>
            </w14:solidFill>
          </w14:textFill>
        </w:rPr>
      </w:pPr>
      <w:bookmarkStart w:id="148" w:name="_Toc217446075"/>
      <w:r>
        <w:rPr>
          <w:rFonts w:hint="eastAsia"/>
          <w:color w:val="000000" w:themeColor="text1"/>
          <w14:textFill>
            <w14:solidFill>
              <w14:schemeClr w14:val="tx1"/>
            </w14:solidFill>
          </w14:textFill>
        </w:rPr>
        <w:t>投标人不得具有的情形</w:t>
      </w:r>
      <w:bookmarkEnd w:id="148"/>
    </w:p>
    <w:p>
      <w:pPr>
        <w:pStyle w:val="13"/>
        <w:spacing w:line="240" w:lineRule="auto"/>
        <w:ind w:firstLine="567"/>
        <w:rPr>
          <w:rFonts w:ascii="宋体" w:hAnsi="宋体"/>
          <w:color w:val="000000" w:themeColor="text1"/>
          <w:sz w:val="28"/>
          <w:szCs w:val="28"/>
          <w14:textFill>
            <w14:solidFill>
              <w14:schemeClr w14:val="tx1"/>
            </w14:solidFill>
          </w14:textFill>
        </w:rPr>
      </w:pPr>
      <w:bookmarkStart w:id="149" w:name="_Toc314574786"/>
      <w:r>
        <w:rPr>
          <w:rFonts w:hint="eastAsia" w:ascii="宋体" w:hAnsi="宋体"/>
          <w:color w:val="000000" w:themeColor="text1"/>
          <w:sz w:val="28"/>
          <w:szCs w:val="28"/>
          <w14:textFill>
            <w14:solidFill>
              <w14:schemeClr w14:val="tx1"/>
            </w14:solidFill>
          </w14:textFill>
        </w:rPr>
        <w:t>投标人参加投标不得有下列情形：</w:t>
      </w:r>
    </w:p>
    <w:p>
      <w:pPr>
        <w:numPr>
          <w:ilvl w:val="1"/>
          <w:numId w:val="27"/>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有下列情形之一的，视为投标人串通投标：</w:t>
      </w:r>
    </w:p>
    <w:p>
      <w:pPr>
        <w:tabs>
          <w:tab w:val="left" w:pos="1134"/>
        </w:tabs>
        <w:ind w:left="42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（一）不同投标人的投标文件由同一单位或者个人编制；</w:t>
      </w:r>
    </w:p>
    <w:p>
      <w:pPr>
        <w:tabs>
          <w:tab w:val="left" w:pos="1134"/>
        </w:tabs>
        <w:ind w:left="42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（二）不同投标人委托同一单位或者个人办理投标事宜；</w:t>
      </w:r>
    </w:p>
    <w:p>
      <w:pPr>
        <w:tabs>
          <w:tab w:val="left" w:pos="1134"/>
        </w:tabs>
        <w:ind w:firstLine="425" w:firstLineChars="15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（三）不同投标人的投标文件载明的项目管理成员或者联系人员为同一人；</w:t>
      </w:r>
    </w:p>
    <w:p>
      <w:pPr>
        <w:tabs>
          <w:tab w:val="left" w:pos="1134"/>
        </w:tabs>
        <w:ind w:firstLine="420" w:firstLineChars="1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（四）不同投标人的投标文件异常一致或者投标报价呈规律性差异；</w:t>
      </w:r>
    </w:p>
    <w:p>
      <w:pPr>
        <w:tabs>
          <w:tab w:val="left" w:pos="1134"/>
        </w:tabs>
        <w:ind w:firstLine="420" w:firstLineChars="1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（五）不同投标人的投标文件相互混装；</w:t>
      </w:r>
    </w:p>
    <w:p>
      <w:pPr>
        <w:tabs>
          <w:tab w:val="left" w:pos="1134"/>
        </w:tabs>
        <w:ind w:left="42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（六）不同投标人的投标保证金从同一单位或者个人的账户转出；</w:t>
      </w:r>
    </w:p>
    <w:p>
      <w:pPr>
        <w:numPr>
          <w:ilvl w:val="1"/>
          <w:numId w:val="27"/>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提供虚假材料谋取中标；</w:t>
      </w:r>
    </w:p>
    <w:p>
      <w:pPr>
        <w:numPr>
          <w:ilvl w:val="1"/>
          <w:numId w:val="27"/>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采取不正当手段诋毁、排挤其他投标人；</w:t>
      </w:r>
    </w:p>
    <w:p>
      <w:pPr>
        <w:numPr>
          <w:ilvl w:val="1"/>
          <w:numId w:val="27"/>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与采购人或</w:t>
      </w:r>
      <w:r>
        <w:rPr>
          <w:rFonts w:hint="eastAsia" w:cs="Arial"/>
          <w:color w:val="000000" w:themeColor="text1"/>
          <w:sz w:val="28"/>
          <w:szCs w:val="28"/>
          <w14:textFill>
            <w14:solidFill>
              <w14:schemeClr w14:val="tx1"/>
            </w14:solidFill>
          </w14:textFill>
        </w:rPr>
        <w:t>市公资交易中心</w:t>
      </w:r>
      <w:r>
        <w:rPr>
          <w:rFonts w:hint="eastAsia" w:ascii="宋体" w:hAnsi="宋体"/>
          <w:color w:val="000000" w:themeColor="text1"/>
          <w:sz w:val="28"/>
          <w:szCs w:val="28"/>
          <w14:textFill>
            <w14:solidFill>
              <w14:schemeClr w14:val="tx1"/>
            </w14:solidFill>
          </w14:textFill>
        </w:rPr>
        <w:t>、其他投标人恶意串通；</w:t>
      </w:r>
    </w:p>
    <w:p>
      <w:pPr>
        <w:numPr>
          <w:ilvl w:val="1"/>
          <w:numId w:val="27"/>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向采购人或</w:t>
      </w:r>
      <w:r>
        <w:rPr>
          <w:rFonts w:hint="eastAsia" w:cs="Arial"/>
          <w:color w:val="000000" w:themeColor="text1"/>
          <w:sz w:val="28"/>
          <w:szCs w:val="28"/>
          <w14:textFill>
            <w14:solidFill>
              <w14:schemeClr w14:val="tx1"/>
            </w14:solidFill>
          </w14:textFill>
        </w:rPr>
        <w:t>市公资交易中心</w:t>
      </w:r>
      <w:r>
        <w:rPr>
          <w:rFonts w:hint="eastAsia" w:ascii="宋体" w:hAnsi="宋体"/>
          <w:color w:val="000000" w:themeColor="text1"/>
          <w:sz w:val="28"/>
          <w:szCs w:val="28"/>
          <w14:textFill>
            <w14:solidFill>
              <w14:schemeClr w14:val="tx1"/>
            </w14:solidFill>
          </w14:textFill>
        </w:rPr>
        <w:t>、评标委员会成员行贿或者提供其他不正当利益；</w:t>
      </w:r>
    </w:p>
    <w:p>
      <w:pPr>
        <w:numPr>
          <w:ilvl w:val="1"/>
          <w:numId w:val="27"/>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在招标过程中与采购人或</w:t>
      </w:r>
      <w:r>
        <w:rPr>
          <w:rFonts w:hint="eastAsia" w:cs="Arial"/>
          <w:color w:val="000000" w:themeColor="text1"/>
          <w:sz w:val="28"/>
          <w:szCs w:val="28"/>
          <w14:textFill>
            <w14:solidFill>
              <w14:schemeClr w14:val="tx1"/>
            </w14:solidFill>
          </w14:textFill>
        </w:rPr>
        <w:t>市公资交易中心</w:t>
      </w:r>
      <w:r>
        <w:rPr>
          <w:rFonts w:hint="eastAsia" w:ascii="宋体" w:hAnsi="宋体"/>
          <w:color w:val="000000" w:themeColor="text1"/>
          <w:sz w:val="28"/>
          <w:szCs w:val="28"/>
          <w14:textFill>
            <w14:solidFill>
              <w14:schemeClr w14:val="tx1"/>
            </w14:solidFill>
          </w14:textFill>
        </w:rPr>
        <w:t>进行协商谈判；</w:t>
      </w:r>
    </w:p>
    <w:p>
      <w:pPr>
        <w:numPr>
          <w:ilvl w:val="1"/>
          <w:numId w:val="27"/>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中标后无正当理由拒不与采购人签订政府采购合同；</w:t>
      </w:r>
    </w:p>
    <w:p>
      <w:pPr>
        <w:numPr>
          <w:ilvl w:val="1"/>
          <w:numId w:val="27"/>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未按照采购文件确定的事项签订政府采购合同；</w:t>
      </w:r>
    </w:p>
    <w:p>
      <w:pPr>
        <w:numPr>
          <w:ilvl w:val="1"/>
          <w:numId w:val="27"/>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将政府采购合同转包或者违规分包；</w:t>
      </w:r>
    </w:p>
    <w:p>
      <w:pPr>
        <w:numPr>
          <w:ilvl w:val="1"/>
          <w:numId w:val="27"/>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提供假冒伪劣产品；</w:t>
      </w:r>
    </w:p>
    <w:p>
      <w:pPr>
        <w:numPr>
          <w:ilvl w:val="1"/>
          <w:numId w:val="27"/>
        </w:numPr>
        <w:tabs>
          <w:tab w:val="left" w:pos="1134"/>
          <w:tab w:val="left" w:pos="1418"/>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擅自变更、中止或者终止政府采购合同；</w:t>
      </w:r>
    </w:p>
    <w:p>
      <w:pPr>
        <w:tabs>
          <w:tab w:val="left" w:pos="1134"/>
        </w:tabs>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十二、被列入失信被执行人、重大税收违法案件当事人名单、政府采购严重违法失信行为记录名单。参加政府采购活动前三年内，在经营活动中有重大违法记录；</w:t>
      </w:r>
    </w:p>
    <w:p>
      <w:pPr>
        <w:tabs>
          <w:tab w:val="left" w:pos="1134"/>
        </w:tabs>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十三、在行贿犯罪信息查询期限内，根据中国裁判文书网（https://wenshu.court.gov.cn）查询结果供应商及其现任法定代表人、主要负责人有行贿犯罪记录；</w:t>
      </w:r>
    </w:p>
    <w:p>
      <w:pPr>
        <w:tabs>
          <w:tab w:val="left" w:pos="1134"/>
        </w:tabs>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十四、处于被行政部门禁止参与政府采购活动的期限内；</w:t>
      </w:r>
    </w:p>
    <w:p>
      <w:pPr>
        <w:tabs>
          <w:tab w:val="left" w:pos="1134"/>
        </w:tabs>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十五、拒绝有关部门的监督检查或者向监督检查部门提供虚假情况；</w:t>
      </w:r>
    </w:p>
    <w:p>
      <w:pPr>
        <w:pStyle w:val="13"/>
        <w:spacing w:line="24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十六、法律法规规定的其他情形。</w:t>
      </w:r>
    </w:p>
    <w:p>
      <w:pPr>
        <w:tabs>
          <w:tab w:val="left" w:pos="1134"/>
        </w:tabs>
        <w:ind w:firstLine="568" w:firstLineChars="20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投标人有上述情形的，按照规定追究法律责任，具备一至十四条情形之一的，同时将认定投标人投标无效或不确定其为中标人，或者取消中标资格或认定中标无效。</w:t>
      </w:r>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保密</w:t>
      </w:r>
      <w:bookmarkEnd w:id="149"/>
    </w:p>
    <w:p>
      <w:pPr>
        <w:pStyle w:val="13"/>
        <w:numPr>
          <w:ilvl w:val="0"/>
          <w:numId w:val="28"/>
        </w:numPr>
        <w:tabs>
          <w:tab w:val="left" w:pos="1134"/>
        </w:tabs>
        <w:spacing w:after="0" w:line="24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不得透露有关在系统中成功提交《采购文件获取登记表》的潜在投标人的任何情况。</w:t>
      </w:r>
    </w:p>
    <w:p>
      <w:pPr>
        <w:pStyle w:val="13"/>
        <w:numPr>
          <w:ilvl w:val="0"/>
          <w:numId w:val="28"/>
        </w:numPr>
        <w:tabs>
          <w:tab w:val="left" w:pos="1134"/>
        </w:tabs>
        <w:spacing w:after="0" w:line="24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有关投标文件的审查、澄清、评估和比较以及合同授予意向等情况都不得对外透露。</w:t>
      </w:r>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回避</w:t>
      </w:r>
    </w:p>
    <w:p>
      <w:pPr>
        <w:pStyle w:val="39"/>
        <w:shd w:val="clear" w:color="auto" w:fill="FFFFFF"/>
        <w:spacing w:before="0" w:beforeAutospacing="0" w:after="0" w:afterAutospacing="0"/>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在政府采购活动中，采购人员（如</w:t>
      </w:r>
      <w:r>
        <w:rPr>
          <w:rFonts w:hint="eastAsia"/>
          <w:color w:val="000000" w:themeColor="text1"/>
          <w:sz w:val="28"/>
          <w:szCs w:val="28"/>
          <w14:textFill>
            <w14:solidFill>
              <w14:schemeClr w14:val="tx1"/>
            </w14:solidFill>
          </w14:textFill>
        </w:rPr>
        <w:t>采购人内部负责采购项目的具体经办工作人员或直接分管采购项目的负责人、</w:t>
      </w:r>
      <w:r>
        <w:rPr>
          <w:rFonts w:hint="eastAsia" w:cs="Arial"/>
          <w:color w:val="000000" w:themeColor="text1"/>
          <w:sz w:val="28"/>
          <w:szCs w:val="28"/>
          <w14:textFill>
            <w14:solidFill>
              <w14:schemeClr w14:val="tx1"/>
            </w14:solidFill>
          </w14:textFill>
        </w:rPr>
        <w:t>市公资交易中心</w:t>
      </w:r>
      <w:r>
        <w:rPr>
          <w:rFonts w:hint="eastAsia"/>
          <w:color w:val="000000" w:themeColor="text1"/>
          <w:sz w:val="28"/>
          <w:szCs w:val="28"/>
          <w14:textFill>
            <w14:solidFill>
              <w14:schemeClr w14:val="tx1"/>
            </w14:solidFill>
          </w14:textFill>
        </w:rPr>
        <w:t>负责采购项目的具体经办工作人员或直接分管采购活动的负责人等</w:t>
      </w:r>
      <w:r>
        <w:rPr>
          <w:rFonts w:hint="eastAsia" w:cs="Helvetica"/>
          <w:color w:val="000000" w:themeColor="text1"/>
          <w:sz w:val="28"/>
          <w:szCs w:val="28"/>
          <w14:textFill>
            <w14:solidFill>
              <w14:schemeClr w14:val="tx1"/>
            </w14:solidFill>
          </w14:textFill>
        </w:rPr>
        <w:t>）及相关人员与供应商有下列利害关系之一的，应当回避：</w:t>
      </w:r>
    </w:p>
    <w:p>
      <w:pPr>
        <w:pStyle w:val="39"/>
        <w:shd w:val="clear" w:color="auto" w:fill="FFFFFF"/>
        <w:spacing w:before="0" w:beforeAutospacing="0" w:after="0" w:afterAutospacing="0"/>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（一）参加采购活动前3年内与供应商存在劳动关系；</w:t>
      </w:r>
    </w:p>
    <w:p>
      <w:pPr>
        <w:pStyle w:val="39"/>
        <w:shd w:val="clear" w:color="auto" w:fill="FFFFFF"/>
        <w:spacing w:before="0" w:beforeAutospacing="0" w:after="0" w:afterAutospacing="0"/>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（二）参加采购活动前3年内担任供应商的董事、监事；</w:t>
      </w:r>
    </w:p>
    <w:p>
      <w:pPr>
        <w:pStyle w:val="39"/>
        <w:shd w:val="clear" w:color="auto" w:fill="FFFFFF"/>
        <w:spacing w:before="0" w:beforeAutospacing="0" w:after="0" w:afterAutospacing="0"/>
        <w:ind w:firstLine="562" w:firstLineChars="201"/>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（三）参加采购活动前3年内是供应商的控股股东或者实际控制人；</w:t>
      </w:r>
    </w:p>
    <w:p>
      <w:pPr>
        <w:pStyle w:val="39"/>
        <w:shd w:val="clear" w:color="auto" w:fill="FFFFFF"/>
        <w:spacing w:before="0" w:beforeAutospacing="0" w:after="0" w:afterAutospacing="0"/>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（四）与供应商的法定代表人或者负责人有夫妻、直系血亲、三代以内旁系血亲或者近姻亲关系；</w:t>
      </w:r>
    </w:p>
    <w:p>
      <w:pPr>
        <w:pStyle w:val="39"/>
        <w:shd w:val="clear" w:color="auto" w:fill="FFFFFF"/>
        <w:spacing w:before="0" w:beforeAutospacing="0" w:after="0" w:afterAutospacing="0"/>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（五）与供应商有其他可能影响政府采购活动公平、公正进行的关系。</w:t>
      </w:r>
    </w:p>
    <w:p>
      <w:pPr>
        <w:pStyle w:val="39"/>
        <w:shd w:val="clear" w:color="auto" w:fill="FFFFFF"/>
        <w:spacing w:before="0" w:beforeAutospacing="0" w:after="0" w:afterAutospacing="0"/>
        <w:ind w:firstLine="560" w:firstLineChars="200"/>
        <w:rPr>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bookmarkEnd w:id="146"/>
    <w:bookmarkEnd w:id="147"/>
    <w:p>
      <w:pPr>
        <w:pStyle w:val="4"/>
        <w:numPr>
          <w:ilvl w:val="1"/>
          <w:numId w:val="4"/>
        </w:numPr>
        <w:spacing w:before="0" w:after="0" w:line="240" w:lineRule="auto"/>
        <w:ind w:left="993" w:hanging="993"/>
        <w:rPr>
          <w:color w:val="000000" w:themeColor="text1"/>
          <w14:textFill>
            <w14:solidFill>
              <w14:schemeClr w14:val="tx1"/>
            </w14:solidFill>
          </w14:textFill>
        </w:rPr>
      </w:pPr>
      <w:bookmarkStart w:id="150" w:name="_Toc446402234"/>
      <w:bookmarkStart w:id="151" w:name="_Toc217446078"/>
      <w:bookmarkStart w:id="152" w:name="_Toc26656"/>
      <w:bookmarkStart w:id="153" w:name="_Toc21164"/>
      <w:bookmarkStart w:id="154" w:name="_Toc15833"/>
      <w:bookmarkStart w:id="155" w:name="_Toc65573693"/>
      <w:bookmarkStart w:id="156" w:name="_Toc8315"/>
      <w:bookmarkStart w:id="157" w:name="_Toc374971122"/>
      <w:bookmarkStart w:id="158" w:name="_Toc379536619"/>
      <w:r>
        <w:rPr>
          <w:rFonts w:hint="eastAsia"/>
          <w:color w:val="000000" w:themeColor="text1"/>
          <w14:textFill>
            <w14:solidFill>
              <w14:schemeClr w14:val="tx1"/>
            </w14:solidFill>
          </w14:textFill>
        </w:rPr>
        <w:t>询问、质疑和投诉</w:t>
      </w:r>
      <w:bookmarkEnd w:id="150"/>
      <w:bookmarkEnd w:id="151"/>
      <w:bookmarkEnd w:id="152"/>
      <w:bookmarkEnd w:id="153"/>
      <w:bookmarkEnd w:id="154"/>
      <w:bookmarkEnd w:id="155"/>
      <w:bookmarkEnd w:id="156"/>
      <w:bookmarkStart w:id="159" w:name="_Toc217446079"/>
    </w:p>
    <w:p>
      <w:pPr>
        <w:numPr>
          <w:ilvl w:val="0"/>
          <w:numId w:val="29"/>
        </w:numPr>
        <w:spacing w:line="500" w:lineRule="exact"/>
        <w:ind w:left="0" w:firstLine="567"/>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询问、质疑、投诉的接收和处理严格按照《中华人民共和国政府采购法》、《中华人民共和国政府采购法实施条例》《中华人民共和国财政部货物和服务招投标管理办法》（财政部第</w:t>
      </w:r>
      <w:r>
        <w:rPr>
          <w:color w:val="000000" w:themeColor="text1"/>
          <w:sz w:val="28"/>
          <w:szCs w:val="28"/>
          <w14:textFill>
            <w14:solidFill>
              <w14:schemeClr w14:val="tx1"/>
            </w14:solidFill>
          </w14:textFill>
        </w:rPr>
        <w:t>87</w:t>
      </w:r>
      <w:r>
        <w:rPr>
          <w:rFonts w:hint="eastAsia"/>
          <w:color w:val="000000" w:themeColor="text1"/>
          <w:sz w:val="28"/>
          <w:szCs w:val="28"/>
          <w14:textFill>
            <w14:solidFill>
              <w14:schemeClr w14:val="tx1"/>
            </w14:solidFill>
          </w14:textFill>
        </w:rPr>
        <w:t>号令）和《政府采购质疑和投诉办法》（财政部</w:t>
      </w:r>
      <w:r>
        <w:rPr>
          <w:color w:val="000000" w:themeColor="text1"/>
          <w:sz w:val="28"/>
          <w:szCs w:val="28"/>
          <w14:textFill>
            <w14:solidFill>
              <w14:schemeClr w14:val="tx1"/>
            </w14:solidFill>
          </w14:textFill>
        </w:rPr>
        <w:t>94</w:t>
      </w:r>
      <w:r>
        <w:rPr>
          <w:rFonts w:hint="eastAsia"/>
          <w:color w:val="000000" w:themeColor="text1"/>
          <w:sz w:val="28"/>
          <w:szCs w:val="28"/>
          <w14:textFill>
            <w14:solidFill>
              <w14:schemeClr w14:val="tx1"/>
            </w14:solidFill>
          </w14:textFill>
        </w:rPr>
        <w:t>号令）的规定办理。</w:t>
      </w:r>
    </w:p>
    <w:p>
      <w:pPr>
        <w:numPr>
          <w:ilvl w:val="0"/>
          <w:numId w:val="29"/>
        </w:numPr>
        <w:spacing w:line="500" w:lineRule="exact"/>
        <w:ind w:left="0" w:firstLine="567"/>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询问、质疑的对象</w:t>
      </w:r>
    </w:p>
    <w:p>
      <w:pPr>
        <w:numPr>
          <w:ilvl w:val="1"/>
          <w:numId w:val="30"/>
        </w:numPr>
        <w:tabs>
          <w:tab w:val="left" w:pos="0"/>
          <w:tab w:val="left" w:pos="1276"/>
        </w:tabs>
        <w:spacing w:after="120" w:line="500" w:lineRule="exact"/>
        <w:ind w:left="0" w:firstLine="567"/>
        <w:rPr>
          <w:rFonts w:ascii="宋体" w:hAnsi="宋体"/>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对招标文件中</w:t>
      </w:r>
      <w:r>
        <w:rPr>
          <w:rFonts w:hint="eastAsia"/>
          <w:color w:val="000000" w:themeColor="text1"/>
          <w:sz w:val="28"/>
          <w:szCs w:val="28"/>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参加本次政府采购活动应当具备的条件，招标项目技术、服务、商务及其他要求，</w:t>
      </w:r>
      <w:r>
        <w:rPr>
          <w:rFonts w:hint="eastAsia" w:ascii="宋体" w:hAnsi="宋体" w:eastAsia="宋体" w:cs="Times New Roman"/>
          <w:color w:val="000000" w:themeColor="text1"/>
          <w:sz w:val="28"/>
          <w:szCs w:val="28"/>
          <w:lang w:val="zh-CN"/>
          <w14:textFill>
            <w14:solidFill>
              <w14:schemeClr w14:val="tx1"/>
            </w14:solidFill>
          </w14:textFill>
        </w:rPr>
        <w:t>投标资料造假或虚假承诺</w:t>
      </w:r>
      <w:r>
        <w:rPr>
          <w:rFonts w:hint="eastAsia" w:ascii="宋体" w:hAnsi="宋体" w:eastAsia="宋体" w:cs="Times New Roman"/>
          <w:color w:val="000000" w:themeColor="text1"/>
          <w:sz w:val="28"/>
          <w:szCs w:val="28"/>
          <w14:textFill>
            <w14:solidFill>
              <w14:schemeClr w14:val="tx1"/>
            </w14:solidFill>
          </w14:textFill>
        </w:rPr>
        <w:t>和中标结果中</w:t>
      </w:r>
      <w:r>
        <w:rPr>
          <w:rFonts w:hint="eastAsia" w:ascii="宋体" w:hAnsi="宋体"/>
          <w:color w:val="000000" w:themeColor="text1"/>
          <w:sz w:val="28"/>
          <w:szCs w:val="28"/>
          <w14:textFill>
            <w14:solidFill>
              <w14:schemeClr w14:val="tx1"/>
            </w14:solidFill>
          </w14:textFill>
        </w:rPr>
        <w:t>关于资格审查提出询问或质疑的，应通过</w:t>
      </w:r>
      <w:r>
        <w:rPr>
          <w:rFonts w:hint="eastAsia"/>
          <w:color w:val="000000" w:themeColor="text1"/>
          <w:sz w:val="28"/>
          <w:szCs w:val="28"/>
          <w14:textFill>
            <w14:solidFill>
              <w14:schemeClr w14:val="tx1"/>
            </w14:solidFill>
          </w14:textFill>
        </w:rPr>
        <w:t>“政府采购云平台”</w:t>
      </w:r>
      <w:r>
        <w:rPr>
          <w:rFonts w:hint="eastAsia" w:ascii="宋体" w:hAnsi="宋体"/>
          <w:color w:val="000000" w:themeColor="text1"/>
          <w:sz w:val="28"/>
          <w:szCs w:val="28"/>
          <w14:textFill>
            <w14:solidFill>
              <w14:schemeClr w14:val="tx1"/>
            </w14:solidFill>
          </w14:textFill>
        </w:rPr>
        <w:t>向采购人提出；</w:t>
      </w:r>
    </w:p>
    <w:p>
      <w:pPr>
        <w:numPr>
          <w:ilvl w:val="1"/>
          <w:numId w:val="30"/>
        </w:numPr>
        <w:spacing w:after="120" w:line="500" w:lineRule="exact"/>
        <w:ind w:left="0" w:firstLine="567"/>
        <w:rPr>
          <w:rFonts w:ascii="宋体" w:hAnsi="宋体"/>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供应商对除上述招标文件中的其他内容，采购过程及中标结果（除资格审查）提出询问或质疑的，应通过“政府采购云平台”向市公资交易中心提出</w:t>
      </w:r>
      <w:r>
        <w:rPr>
          <w:rFonts w:hint="eastAsia" w:ascii="宋体" w:hAnsi="宋体"/>
          <w:color w:val="000000" w:themeColor="text1"/>
          <w:sz w:val="28"/>
          <w:szCs w:val="28"/>
          <w14:textFill>
            <w14:solidFill>
              <w14:schemeClr w14:val="tx1"/>
            </w14:solidFill>
          </w14:textFill>
        </w:rPr>
        <w:t>。</w:t>
      </w:r>
    </w:p>
    <w:p>
      <w:pPr>
        <w:numPr>
          <w:ilvl w:val="0"/>
          <w:numId w:val="29"/>
        </w:numPr>
        <w:tabs>
          <w:tab w:val="left" w:pos="1134"/>
        </w:tabs>
        <w:spacing w:after="120" w:line="50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供应商提出的询问，应当明确询问事项，如以书面形式提出的，应由供应商签字并加盖公章。</w:t>
      </w:r>
    </w:p>
    <w:p>
      <w:pPr>
        <w:numPr>
          <w:ilvl w:val="0"/>
          <w:numId w:val="29"/>
        </w:numPr>
        <w:tabs>
          <w:tab w:val="left" w:pos="1134"/>
        </w:tabs>
        <w:spacing w:after="120" w:line="50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供应商应在法定质疑期内一次性提出针对同一采购程序环节的质疑。</w:t>
      </w:r>
    </w:p>
    <w:p>
      <w:pPr>
        <w:numPr>
          <w:ilvl w:val="0"/>
          <w:numId w:val="29"/>
        </w:numPr>
        <w:tabs>
          <w:tab w:val="left" w:pos="1134"/>
        </w:tabs>
        <w:spacing w:after="120" w:line="50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供应商提出质疑时应当准备的资料</w:t>
      </w:r>
    </w:p>
    <w:p>
      <w:pPr>
        <w:pStyle w:val="39"/>
        <w:shd w:val="clear" w:color="auto" w:fill="FFFFFF"/>
        <w:spacing w:before="0" w:beforeAutospacing="0" w:after="0" w:afterAutospacing="0" w:line="276" w:lineRule="auto"/>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（一）质疑书正本1份；</w:t>
      </w:r>
    </w:p>
    <w:p>
      <w:pPr>
        <w:pStyle w:val="39"/>
        <w:shd w:val="clear" w:color="auto" w:fill="FFFFFF"/>
        <w:spacing w:before="0" w:beforeAutospacing="0" w:after="0" w:afterAutospacing="0" w:line="276" w:lineRule="auto"/>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（二）法定代表人授权委托书1份（委托代理人办理质疑事宜的需提供）；</w:t>
      </w:r>
    </w:p>
    <w:p>
      <w:pPr>
        <w:pStyle w:val="39"/>
        <w:shd w:val="clear" w:color="auto" w:fill="FFFFFF"/>
        <w:spacing w:before="0" w:beforeAutospacing="0" w:after="0" w:afterAutospacing="0" w:line="276" w:lineRule="auto"/>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（三）营业执照或法人证书复印件1份（加盖公章）；</w:t>
      </w:r>
    </w:p>
    <w:p>
      <w:pPr>
        <w:pStyle w:val="39"/>
        <w:shd w:val="clear" w:color="auto" w:fill="FFFFFF"/>
        <w:spacing w:before="0" w:beforeAutospacing="0" w:after="0" w:afterAutospacing="0" w:line="276" w:lineRule="auto"/>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（四）法定代表人身份证复印件1份；</w:t>
      </w:r>
    </w:p>
    <w:p>
      <w:pPr>
        <w:pStyle w:val="39"/>
        <w:shd w:val="clear" w:color="auto" w:fill="FFFFFF"/>
        <w:spacing w:before="0" w:beforeAutospacing="0" w:after="0" w:afterAutospacing="0" w:line="276" w:lineRule="auto"/>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（五）委托代理人身份证复印件1份（委托代理人办理质疑事宜的需提供）；</w:t>
      </w:r>
    </w:p>
    <w:p>
      <w:pPr>
        <w:pStyle w:val="39"/>
        <w:shd w:val="clear" w:color="auto" w:fill="FFFFFF"/>
        <w:spacing w:before="0" w:beforeAutospacing="0" w:after="0" w:afterAutospacing="0" w:line="276" w:lineRule="auto"/>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（六）针对质疑事项必要的证明材料。</w:t>
      </w:r>
    </w:p>
    <w:p>
      <w:pPr>
        <w:numPr>
          <w:ilvl w:val="0"/>
          <w:numId w:val="29"/>
        </w:numPr>
        <w:tabs>
          <w:tab w:val="left" w:pos="1134"/>
        </w:tabs>
        <w:spacing w:line="50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供应商对采购人</w:t>
      </w:r>
      <w:r>
        <w:rPr>
          <w:rFonts w:ascii="宋体" w:hAnsi="宋体"/>
          <w:color w:val="000000" w:themeColor="text1"/>
          <w:sz w:val="28"/>
          <w:szCs w:val="28"/>
          <w14:textFill>
            <w14:solidFill>
              <w14:schemeClr w14:val="tx1"/>
            </w14:solidFill>
          </w14:textFill>
        </w:rPr>
        <w:t>或</w:t>
      </w:r>
      <w:r>
        <w:rPr>
          <w:rFonts w:hint="eastAsia" w:ascii="宋体" w:hAnsi="宋体"/>
          <w:color w:val="000000" w:themeColor="text1"/>
          <w:sz w:val="28"/>
          <w:szCs w:val="28"/>
          <w14:textFill>
            <w14:solidFill>
              <w14:schemeClr w14:val="tx1"/>
            </w14:solidFill>
          </w14:textFill>
        </w:rPr>
        <w:t>市公资交易中心的质疑答复不满意，或者采购人</w:t>
      </w:r>
      <w:r>
        <w:rPr>
          <w:rFonts w:ascii="宋体" w:hAnsi="宋体"/>
          <w:color w:val="000000" w:themeColor="text1"/>
          <w:sz w:val="28"/>
          <w:szCs w:val="28"/>
          <w14:textFill>
            <w14:solidFill>
              <w14:schemeClr w14:val="tx1"/>
            </w14:solidFill>
          </w14:textFill>
        </w:rPr>
        <w:t>或</w:t>
      </w:r>
      <w:r>
        <w:rPr>
          <w:rFonts w:hint="eastAsia" w:ascii="宋体" w:hAnsi="宋体"/>
          <w:color w:val="000000" w:themeColor="text1"/>
          <w:sz w:val="28"/>
          <w:szCs w:val="28"/>
          <w14:textFill>
            <w14:solidFill>
              <w14:schemeClr w14:val="tx1"/>
            </w14:solidFill>
          </w14:textFill>
        </w:rPr>
        <w:t>市公资交易中心未在规定期限内作出答复的，供应商可以在答复期满后15个工作日内向同级财政部门提起投诉。</w:t>
      </w:r>
    </w:p>
    <w:bookmarkEnd w:id="159"/>
    <w:p>
      <w:pPr>
        <w:pStyle w:val="4"/>
        <w:numPr>
          <w:ilvl w:val="1"/>
          <w:numId w:val="4"/>
        </w:numPr>
        <w:spacing w:before="0" w:after="0" w:line="240" w:lineRule="auto"/>
        <w:ind w:left="2269" w:hanging="2269"/>
        <w:rPr>
          <w:color w:val="000000" w:themeColor="text1"/>
          <w:sz w:val="36"/>
          <w:szCs w:val="36"/>
          <w14:textFill>
            <w14:solidFill>
              <w14:schemeClr w14:val="tx1"/>
            </w14:solidFill>
          </w14:textFill>
        </w:rPr>
      </w:pPr>
      <w:bookmarkStart w:id="160" w:name="_Toc65573694"/>
      <w:bookmarkStart w:id="161" w:name="_Toc10245"/>
      <w:bookmarkStart w:id="162" w:name="_Toc11597"/>
      <w:bookmarkStart w:id="163" w:name="_Toc8941"/>
      <w:bookmarkStart w:id="164" w:name="_Toc1212"/>
      <w:r>
        <w:rPr>
          <w:rFonts w:hint="eastAsia"/>
          <w:color w:val="000000" w:themeColor="text1"/>
          <w14:textFill>
            <w14:solidFill>
              <w14:schemeClr w14:val="tx1"/>
            </w14:solidFill>
          </w14:textFill>
        </w:rPr>
        <w:t>中小企业政府采购信用融资</w:t>
      </w:r>
      <w:bookmarkEnd w:id="157"/>
      <w:bookmarkEnd w:id="158"/>
      <w:bookmarkEnd w:id="160"/>
      <w:bookmarkEnd w:id="161"/>
      <w:bookmarkEnd w:id="162"/>
      <w:bookmarkEnd w:id="163"/>
      <w:bookmarkEnd w:id="164"/>
    </w:p>
    <w:p>
      <w:pPr>
        <w:numPr>
          <w:ilvl w:val="2"/>
          <w:numId w:val="31"/>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参与本次招标活动中标的中小企业投标人无需提供财产抵押或第三方担保，凭借政府采购合同可向融资机构申请融资。</w:t>
      </w:r>
    </w:p>
    <w:p>
      <w:pPr>
        <w:numPr>
          <w:ilvl w:val="2"/>
          <w:numId w:val="31"/>
        </w:numPr>
        <w:tabs>
          <w:tab w:val="left" w:pos="1134"/>
        </w:tabs>
        <w:spacing w:after="200"/>
        <w:ind w:left="0" w:firstLine="567"/>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p>
    <w:p>
      <w:pPr>
        <w:pStyle w:val="3"/>
        <w:numPr>
          <w:ilvl w:val="0"/>
          <w:numId w:val="4"/>
        </w:numPr>
        <w:spacing w:line="240" w:lineRule="auto"/>
        <w:rPr>
          <w:color w:val="000000" w:themeColor="text1"/>
          <w14:textFill>
            <w14:solidFill>
              <w14:schemeClr w14:val="tx1"/>
            </w14:solidFill>
          </w14:textFill>
        </w:rPr>
      </w:pPr>
      <w:bookmarkStart w:id="165" w:name="_Toc316292052"/>
      <w:bookmarkEnd w:id="165"/>
      <w:bookmarkStart w:id="166" w:name="_Toc316292051"/>
      <w:bookmarkEnd w:id="166"/>
      <w:bookmarkStart w:id="167" w:name="_Toc315871046"/>
      <w:bookmarkEnd w:id="167"/>
      <w:bookmarkStart w:id="168" w:name="_Toc316292050"/>
      <w:bookmarkEnd w:id="168"/>
      <w:bookmarkStart w:id="169" w:name="_Toc315871048"/>
      <w:bookmarkEnd w:id="169"/>
      <w:bookmarkStart w:id="170" w:name="_Toc315871050"/>
      <w:bookmarkEnd w:id="170"/>
      <w:bookmarkStart w:id="171" w:name="_Toc315871045"/>
      <w:bookmarkEnd w:id="171"/>
      <w:bookmarkStart w:id="172" w:name="_Toc316292048"/>
      <w:bookmarkEnd w:id="172"/>
      <w:bookmarkStart w:id="173" w:name="_Toc316292049"/>
      <w:bookmarkEnd w:id="173"/>
      <w:bookmarkStart w:id="174" w:name="_Toc315871047"/>
      <w:bookmarkEnd w:id="174"/>
      <w:bookmarkStart w:id="175" w:name="_Toc315871049"/>
      <w:bookmarkEnd w:id="175"/>
      <w:bookmarkStart w:id="176" w:name="_Toc7565"/>
      <w:bookmarkStart w:id="177" w:name="_Toc29131"/>
      <w:bookmarkStart w:id="178" w:name="_Toc65573695"/>
      <w:bookmarkStart w:id="179" w:name="_Toc17383"/>
      <w:bookmarkStart w:id="180" w:name="_Toc8836"/>
      <w:r>
        <w:rPr>
          <w:rFonts w:hint="eastAsia"/>
          <w:color w:val="000000" w:themeColor="text1"/>
          <w14:textFill>
            <w14:solidFill>
              <w14:schemeClr w14:val="tx1"/>
            </w14:solidFill>
          </w14:textFill>
        </w:rPr>
        <w:t>投标文件格式</w:t>
      </w:r>
      <w:bookmarkEnd w:id="176"/>
      <w:bookmarkEnd w:id="177"/>
      <w:bookmarkEnd w:id="178"/>
      <w:bookmarkEnd w:id="179"/>
      <w:bookmarkEnd w:id="180"/>
    </w:p>
    <w:p>
      <w:pPr>
        <w:pStyle w:val="4"/>
        <w:numPr>
          <w:ilvl w:val="1"/>
          <w:numId w:val="4"/>
        </w:numPr>
        <w:spacing w:line="240" w:lineRule="auto"/>
        <w:ind w:left="2269" w:hanging="2269"/>
        <w:rPr>
          <w:color w:val="000000" w:themeColor="text1"/>
          <w14:textFill>
            <w14:solidFill>
              <w14:schemeClr w14:val="tx1"/>
            </w14:solidFill>
          </w14:textFill>
        </w:rPr>
      </w:pPr>
      <w:bookmarkStart w:id="181" w:name="_Toc187"/>
      <w:bookmarkStart w:id="182" w:name="_Toc295978802"/>
      <w:bookmarkStart w:id="183" w:name="_Toc294701519"/>
      <w:bookmarkStart w:id="184" w:name="_Toc211218954"/>
      <w:bookmarkStart w:id="185" w:name="_Toc316462354"/>
      <w:bookmarkStart w:id="186" w:name="_Toc287367101"/>
      <w:bookmarkStart w:id="187" w:name="_Toc294688711"/>
      <w:bookmarkStart w:id="188" w:name="_Toc65573696"/>
      <w:bookmarkStart w:id="189" w:name="_Toc182629023"/>
      <w:bookmarkStart w:id="190" w:name="_Toc2879"/>
      <w:bookmarkStart w:id="191" w:name="_Toc182759327"/>
      <w:bookmarkStart w:id="192" w:name="_Toc23011"/>
      <w:bookmarkStart w:id="193" w:name="_Toc15035"/>
      <w:r>
        <w:rPr>
          <w:rFonts w:hint="eastAsia"/>
          <w:color w:val="000000" w:themeColor="text1"/>
          <w14:textFill>
            <w14:solidFill>
              <w14:schemeClr w14:val="tx1"/>
            </w14:solidFill>
          </w14:textFill>
        </w:rPr>
        <w:t>投标文件封面格式</w:t>
      </w:r>
      <w:bookmarkEnd w:id="181"/>
      <w:bookmarkEnd w:id="182"/>
      <w:bookmarkEnd w:id="183"/>
      <w:bookmarkEnd w:id="184"/>
      <w:bookmarkEnd w:id="185"/>
      <w:bookmarkEnd w:id="186"/>
      <w:bookmarkEnd w:id="187"/>
      <w:bookmarkEnd w:id="188"/>
      <w:bookmarkEnd w:id="189"/>
      <w:bookmarkEnd w:id="190"/>
      <w:bookmarkEnd w:id="191"/>
      <w:bookmarkEnd w:id="192"/>
      <w:bookmarkEnd w:id="193"/>
    </w:p>
    <w:p>
      <w:pPr>
        <w:rPr>
          <w:rFonts w:ascii="宋体" w:hAnsi="宋体"/>
          <w:bCs/>
          <w:color w:val="000000" w:themeColor="text1"/>
          <w:szCs w:val="21"/>
          <w14:textFill>
            <w14:solidFill>
              <w14:schemeClr w14:val="tx1"/>
            </w14:solidFill>
          </w14:textFill>
        </w:rPr>
      </w:pPr>
    </w:p>
    <w:p>
      <w:pPr>
        <w:rPr>
          <w:rFonts w:ascii="宋体" w:hAnsi="宋体"/>
          <w:bCs/>
          <w:color w:val="000000" w:themeColor="text1"/>
          <w:szCs w:val="21"/>
          <w14:textFill>
            <w14:solidFill>
              <w14:schemeClr w14:val="tx1"/>
            </w14:solidFill>
          </w14:textFill>
        </w:rPr>
      </w:pPr>
    </w:p>
    <w:p>
      <w:pPr>
        <w:rPr>
          <w:rFonts w:ascii="宋体" w:hAnsi="宋体"/>
          <w:bCs/>
          <w:color w:val="000000" w:themeColor="text1"/>
          <w:szCs w:val="21"/>
          <w14:textFill>
            <w14:solidFill>
              <w14:schemeClr w14:val="tx1"/>
            </w14:solidFill>
          </w14:textFill>
        </w:rPr>
      </w:pPr>
    </w:p>
    <w:p>
      <w:pPr>
        <w:jc w:val="right"/>
        <w:rPr>
          <w:rFonts w:ascii="宋体" w:hAnsi="宋体"/>
          <w:color w:val="000000" w:themeColor="text1"/>
          <w:sz w:val="24"/>
          <w14:textFill>
            <w14:solidFill>
              <w14:schemeClr w14:val="tx1"/>
            </w14:solidFill>
          </w14:textFill>
        </w:rPr>
      </w:pPr>
    </w:p>
    <w:p>
      <w:pPr>
        <w:jc w:val="center"/>
        <w:rPr>
          <w:rFonts w:ascii="宋体" w:hAnsi="宋体"/>
          <w:color w:val="000000" w:themeColor="text1"/>
          <w:spacing w:val="78"/>
          <w:sz w:val="120"/>
          <w:szCs w:val="120"/>
          <w14:textFill>
            <w14:solidFill>
              <w14:schemeClr w14:val="tx1"/>
            </w14:solidFill>
          </w14:textFill>
        </w:rPr>
      </w:pPr>
      <w:r>
        <w:rPr>
          <w:rFonts w:hint="eastAsia" w:ascii="宋体" w:hAnsi="宋体"/>
          <w:color w:val="000000" w:themeColor="text1"/>
          <w:spacing w:val="78"/>
          <w:sz w:val="120"/>
          <w:szCs w:val="120"/>
          <w14:textFill>
            <w14:solidFill>
              <w14:schemeClr w14:val="tx1"/>
            </w14:solidFill>
          </w14:textFill>
        </w:rPr>
        <w:t>投标文件</w:t>
      </w:r>
    </w:p>
    <w:p>
      <w:pPr>
        <w:rPr>
          <w:rFonts w:ascii="宋体" w:hAnsi="宋体"/>
          <w:bCs/>
          <w:color w:val="000000" w:themeColor="text1"/>
          <w:sz w:val="36"/>
          <w14:textFill>
            <w14:solidFill>
              <w14:schemeClr w14:val="tx1"/>
            </w14:solidFill>
          </w14:textFill>
        </w:rPr>
      </w:pPr>
    </w:p>
    <w:p>
      <w:pPr>
        <w:tabs>
          <w:tab w:val="left" w:pos="665"/>
          <w:tab w:val="left" w:pos="3241"/>
          <w:tab w:val="left" w:pos="3525"/>
          <w:tab w:val="left" w:pos="3994"/>
          <w:tab w:val="left" w:pos="4234"/>
        </w:tabs>
        <w:ind w:left="2125" w:leftChars="270" w:hanging="1558" w:hangingChars="485"/>
        <w:jc w:val="left"/>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项目名称：</w:t>
      </w:r>
      <w:r>
        <w:rPr>
          <w:rFonts w:hint="eastAsia" w:ascii="宋体" w:hAnsi="宋体"/>
          <w:b/>
          <w:bCs/>
          <w:color w:val="auto"/>
          <w:sz w:val="32"/>
          <w:szCs w:val="32"/>
        </w:rPr>
        <w:t>XXXX</w:t>
      </w:r>
      <w:r>
        <w:rPr>
          <w:rFonts w:hint="eastAsia" w:ascii="宋体" w:hAnsi="宋体"/>
          <w:b/>
          <w:bCs/>
          <w:color w:val="000000" w:themeColor="text1"/>
          <w:sz w:val="32"/>
          <w:szCs w:val="32"/>
          <w14:textFill>
            <w14:solidFill>
              <w14:schemeClr w14:val="tx1"/>
            </w14:solidFill>
          </w14:textFill>
        </w:rPr>
        <w:t>采购项目</w:t>
      </w:r>
    </w:p>
    <w:p>
      <w:pPr>
        <w:tabs>
          <w:tab w:val="left" w:pos="665"/>
        </w:tabs>
        <w:ind w:firstLine="565" w:firstLineChars="176"/>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项目编号：</w:t>
      </w:r>
      <w:r>
        <w:rPr>
          <w:rFonts w:hint="eastAsia" w:ascii="宋体" w:hAnsi="宋体"/>
          <w:b/>
          <w:bCs/>
          <w:color w:val="auto"/>
          <w:sz w:val="32"/>
          <w:szCs w:val="32"/>
          <w:lang w:val="en-US" w:eastAsia="zh-CN"/>
        </w:rPr>
        <w:t>JY3202</w:t>
      </w:r>
      <w:r>
        <w:rPr>
          <w:rFonts w:hint="eastAsia" w:ascii="宋体" w:hAnsi="宋体"/>
          <w:b/>
          <w:bCs/>
          <w:color w:val="auto"/>
          <w:sz w:val="32"/>
          <w:szCs w:val="32"/>
          <w:u w:val="single"/>
          <w:lang w:val="en-US" w:eastAsia="zh-CN"/>
        </w:rPr>
        <w:t xml:space="preserve">          </w:t>
      </w:r>
      <w:r>
        <w:rPr>
          <w:rFonts w:hint="eastAsia" w:ascii="宋体" w:hAnsi="宋体"/>
          <w:b/>
          <w:bCs/>
          <w:color w:val="auto"/>
          <w:sz w:val="32"/>
          <w:szCs w:val="32"/>
        </w:rPr>
        <w:t>号</w:t>
      </w:r>
    </w:p>
    <w:p>
      <w:pPr>
        <w:jc w:val="left"/>
        <w:rPr>
          <w:rFonts w:ascii="宋体" w:hAnsi="宋体"/>
          <w:b/>
          <w:bCs/>
          <w:color w:val="000000" w:themeColor="text1"/>
          <w:sz w:val="36"/>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ind w:firstLine="630" w:firstLineChars="196"/>
        <w:jc w:val="left"/>
        <w:rPr>
          <w:rFonts w:ascii="宋体" w:hAnsi="宋体"/>
          <w:b/>
          <w:bCs/>
          <w:color w:val="000000" w:themeColor="text1"/>
          <w:sz w:val="32"/>
          <w:szCs w:val="32"/>
          <w:u w:val="single"/>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投标人名称：</w:t>
      </w:r>
      <w:r>
        <w:rPr>
          <w:rFonts w:hint="eastAsia" w:ascii="宋体" w:hAnsi="宋体"/>
          <w:b/>
          <w:color w:val="000000" w:themeColor="text1"/>
          <w:sz w:val="32"/>
          <w:szCs w:val="28"/>
          <w14:textFill>
            <w14:solidFill>
              <w14:schemeClr w14:val="tx1"/>
            </w14:solidFill>
          </w14:textFill>
        </w:rPr>
        <w:t>XXXX</w:t>
      </w:r>
    </w:p>
    <w:p>
      <w:pPr>
        <w:ind w:firstLine="569" w:firstLineChars="177"/>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日       期：20XX年XX月XX日</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4"/>
        <w:numPr>
          <w:ilvl w:val="1"/>
          <w:numId w:val="4"/>
        </w:numPr>
        <w:spacing w:before="0" w:after="0" w:line="240" w:lineRule="auto"/>
        <w:ind w:left="2269" w:hanging="2269"/>
        <w:rPr>
          <w:color w:val="000000" w:themeColor="text1"/>
          <w14:textFill>
            <w14:solidFill>
              <w14:schemeClr w14:val="tx1"/>
            </w14:solidFill>
          </w14:textFill>
        </w:rPr>
      </w:pPr>
      <w:bookmarkStart w:id="194" w:name="_Toc65573697"/>
      <w:bookmarkStart w:id="195" w:name="_Toc22488"/>
      <w:bookmarkStart w:id="196" w:name="_Toc22607"/>
      <w:bookmarkStart w:id="197" w:name="_Toc729"/>
      <w:bookmarkStart w:id="198" w:name="_Toc9940"/>
      <w:bookmarkStart w:id="199" w:name="_Toc217446082"/>
      <w:r>
        <w:rPr>
          <w:rFonts w:hint="eastAsia"/>
          <w:color w:val="000000" w:themeColor="text1"/>
          <w14:textFill>
            <w14:solidFill>
              <w14:schemeClr w14:val="tx1"/>
            </w14:solidFill>
          </w14:textFill>
        </w:rPr>
        <w:t>资格</w:t>
      </w:r>
      <w:bookmarkEnd w:id="194"/>
      <w:bookmarkEnd w:id="195"/>
      <w:bookmarkEnd w:id="196"/>
      <w:bookmarkEnd w:id="197"/>
      <w:bookmarkEnd w:id="198"/>
      <w:r>
        <w:rPr>
          <w:rFonts w:hint="eastAsia"/>
          <w:color w:val="000000" w:themeColor="text1"/>
          <w14:textFill>
            <w14:solidFill>
              <w14:schemeClr w14:val="tx1"/>
            </w14:solidFill>
          </w14:textFill>
        </w:rPr>
        <w:t>响应文件</w:t>
      </w:r>
    </w:p>
    <w:p>
      <w:pPr>
        <w:pStyle w:val="5"/>
        <w:numPr>
          <w:ilvl w:val="2"/>
          <w:numId w:val="4"/>
        </w:numPr>
        <w:spacing w:after="200" w:line="240" w:lineRule="auto"/>
        <w:ind w:left="851"/>
        <w:rPr>
          <w:color w:val="000000" w:themeColor="text1"/>
          <w14:textFill>
            <w14:solidFill>
              <w14:schemeClr w14:val="tx1"/>
            </w14:solidFill>
          </w14:textFill>
        </w:rPr>
      </w:pPr>
      <w:r>
        <w:rPr>
          <w:rFonts w:hint="eastAsia"/>
          <w:color w:val="000000" w:themeColor="text1"/>
          <w14:textFill>
            <w14:solidFill>
              <w14:schemeClr w14:val="tx1"/>
            </w14:solidFill>
          </w14:textFill>
        </w:rPr>
        <w:t>关于投标人资格申明的函</w:t>
      </w:r>
    </w:p>
    <w:p>
      <w:pPr>
        <w:rPr>
          <w:rFonts w:hint="eastAsia" w:ascii="宋体" w:hAnsi="宋体" w:eastAsia="宋体"/>
          <w:color w:val="000000" w:themeColor="text1"/>
          <w:sz w:val="28"/>
          <w:szCs w:val="28"/>
          <w:lang w:eastAsia="zh-CN"/>
          <w14:textFill>
            <w14:solidFill>
              <w14:schemeClr w14:val="tx1"/>
            </w14:solidFill>
          </w14:textFill>
        </w:rPr>
      </w:pPr>
      <w:bookmarkStart w:id="200" w:name="_Toc238581782"/>
      <w:bookmarkStart w:id="201" w:name="_Toc52184753"/>
      <w:bookmarkStart w:id="202" w:name="_Toc146903609"/>
      <w:bookmarkStart w:id="203" w:name="_Toc119295087"/>
      <w:bookmarkStart w:id="204" w:name="_Toc119203988"/>
      <w:bookmarkStart w:id="205" w:name="_Toc119296788"/>
      <w:r>
        <w:rPr>
          <w:rFonts w:hint="eastAsia" w:ascii="宋体" w:hAnsi="宋体"/>
          <w:color w:val="000000" w:themeColor="text1"/>
          <w:sz w:val="28"/>
          <w:szCs w:val="28"/>
          <w14:textFill>
            <w14:solidFill>
              <w14:schemeClr w14:val="tx1"/>
            </w14:solidFill>
          </w14:textFill>
        </w:rPr>
        <w:t>致：</w:t>
      </w:r>
      <w:bookmarkEnd w:id="200"/>
      <w:r>
        <w:rPr>
          <w:rFonts w:hint="eastAsia" w:ascii="宋体" w:hAnsi="宋体"/>
          <w:color w:val="000000" w:themeColor="text1"/>
          <w:sz w:val="28"/>
          <w:szCs w:val="28"/>
          <w:lang w:eastAsia="zh-CN"/>
          <w14:textFill>
            <w14:solidFill>
              <w14:schemeClr w14:val="tx1"/>
            </w14:solidFill>
          </w14:textFill>
        </w:rPr>
        <w:t>都江堰市公共资源交易服务中心</w:t>
      </w:r>
    </w:p>
    <w:p>
      <w:pPr>
        <w:ind w:firstLine="565" w:firstLineChars="202"/>
        <w:rPr>
          <w:rFonts w:ascii="宋体" w:hAnsi="宋体"/>
          <w:color w:val="000000" w:themeColor="text1"/>
          <w:sz w:val="28"/>
          <w:szCs w:val="28"/>
          <w14:textFill>
            <w14:solidFill>
              <w14:schemeClr w14:val="tx1"/>
            </w14:solidFill>
          </w14:textFill>
        </w:rPr>
      </w:pPr>
      <w:bookmarkStart w:id="206" w:name="_Toc238581783"/>
      <w:r>
        <w:rPr>
          <w:rFonts w:hint="eastAsia" w:ascii="宋体" w:hAnsi="宋体"/>
          <w:color w:val="000000" w:themeColor="text1"/>
          <w:sz w:val="28"/>
          <w:szCs w:val="28"/>
          <w14:textFill>
            <w14:solidFill>
              <w14:schemeClr w14:val="tx1"/>
            </w14:solidFill>
          </w14:textFill>
        </w:rPr>
        <w:t>关于我方对</w:t>
      </w:r>
      <w:r>
        <w:rPr>
          <w:rFonts w:hint="eastAsia" w:ascii="宋体" w:hAnsi="宋体"/>
          <w:b/>
          <w:color w:val="000000" w:themeColor="text1"/>
          <w:sz w:val="28"/>
          <w:szCs w:val="28"/>
          <w:u w:val="single"/>
          <w14:textFill>
            <w14:solidFill>
              <w14:schemeClr w14:val="tx1"/>
            </w14:solidFill>
          </w14:textFill>
        </w:rPr>
        <w:t>XXXX采购项目（项目编号：</w:t>
      </w:r>
      <w:r>
        <w:rPr>
          <w:rFonts w:hint="eastAsia" w:ascii="宋体" w:hAnsi="宋体"/>
          <w:b/>
          <w:color w:val="000000" w:themeColor="text1"/>
          <w:sz w:val="28"/>
          <w:szCs w:val="28"/>
          <w:u w:val="single"/>
          <w:lang w:val="en-US" w:eastAsia="zh-CN"/>
          <w14:textFill>
            <w14:solidFill>
              <w14:schemeClr w14:val="tx1"/>
            </w14:solidFill>
          </w14:textFill>
        </w:rPr>
        <w:t xml:space="preserve">JY3202       </w:t>
      </w:r>
      <w:r>
        <w:rPr>
          <w:rFonts w:hint="eastAsia" w:ascii="宋体" w:hAnsi="宋体"/>
          <w:b/>
          <w:color w:val="000000" w:themeColor="text1"/>
          <w:sz w:val="28"/>
          <w:szCs w:val="28"/>
          <w:u w:val="single"/>
          <w14:textFill>
            <w14:solidFill>
              <w14:schemeClr w14:val="tx1"/>
            </w14:solidFill>
          </w14:textFill>
        </w:rPr>
        <w:t>号）</w:t>
      </w:r>
      <w:r>
        <w:rPr>
          <w:rFonts w:hint="eastAsia" w:ascii="宋体" w:hAnsi="宋体"/>
          <w:color w:val="000000" w:themeColor="text1"/>
          <w:sz w:val="28"/>
          <w:szCs w:val="28"/>
          <w14:textFill>
            <w14:solidFill>
              <w14:schemeClr w14:val="tx1"/>
            </w14:solidFill>
          </w14:textFill>
        </w:rPr>
        <w:t>的公开招标，提交的下列文件和说明是准确的和真实的。</w:t>
      </w:r>
      <w:bookmarkEnd w:id="206"/>
    </w:p>
    <w:p>
      <w:pPr>
        <w:widowControl/>
        <w:numPr>
          <w:ilvl w:val="2"/>
          <w:numId w:val="32"/>
        </w:numPr>
        <w:spacing w:after="200"/>
        <w:ind w:left="0" w:firstLine="560" w:firstLineChars="200"/>
        <w:rPr>
          <w:rFonts w:ascii="宋体" w:hAnsi="宋体"/>
          <w:color w:val="000000" w:themeColor="text1"/>
          <w:sz w:val="28"/>
          <w:szCs w:val="28"/>
          <w14:textFill>
            <w14:solidFill>
              <w14:schemeClr w14:val="tx1"/>
            </w14:solidFill>
          </w14:textFill>
        </w:rPr>
      </w:pPr>
      <w:bookmarkStart w:id="207" w:name="_Toc238581784"/>
      <w:r>
        <w:rPr>
          <w:rFonts w:hint="eastAsia" w:ascii="宋体" w:hAnsi="宋体"/>
          <w:color w:val="000000" w:themeColor="text1"/>
          <w:sz w:val="28"/>
          <w:szCs w:val="28"/>
          <w14:textFill>
            <w14:solidFill>
              <w14:schemeClr w14:val="tx1"/>
            </w14:solidFill>
          </w14:textFill>
        </w:rPr>
        <w:t>投标人名称及概况：</w:t>
      </w:r>
      <w:bookmarkEnd w:id="201"/>
      <w:bookmarkEnd w:id="202"/>
      <w:bookmarkEnd w:id="203"/>
      <w:bookmarkEnd w:id="204"/>
      <w:bookmarkEnd w:id="205"/>
      <w:bookmarkEnd w:id="207"/>
    </w:p>
    <w:p>
      <w:pPr>
        <w:widowControl/>
        <w:numPr>
          <w:ilvl w:val="0"/>
          <w:numId w:val="33"/>
        </w:numPr>
        <w:spacing w:after="200"/>
        <w:ind w:left="0"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投标人名称：XXXX</w:t>
      </w:r>
    </w:p>
    <w:p>
      <w:pPr>
        <w:widowControl/>
        <w:numPr>
          <w:ilvl w:val="0"/>
          <w:numId w:val="33"/>
        </w:numPr>
        <w:spacing w:after="200"/>
        <w:ind w:left="0"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地址：XXXX      邮编：XXXX</w:t>
      </w:r>
    </w:p>
    <w:p>
      <w:pPr>
        <w:widowControl/>
        <w:ind w:left="1261"/>
        <w:jc w:val="left"/>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传真/电话： XXXX</w:t>
      </w:r>
    </w:p>
    <w:p>
      <w:pPr>
        <w:widowControl/>
        <w:numPr>
          <w:ilvl w:val="0"/>
          <w:numId w:val="33"/>
        </w:numPr>
        <w:spacing w:after="200"/>
        <w:ind w:left="0"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成立日期或注册日期：XXXX</w:t>
      </w:r>
    </w:p>
    <w:p>
      <w:pPr>
        <w:widowControl/>
        <w:numPr>
          <w:ilvl w:val="0"/>
          <w:numId w:val="33"/>
        </w:numPr>
        <w:spacing w:after="200"/>
        <w:ind w:left="0" w:firstLine="560" w:firstLineChars="200"/>
        <w:jc w:val="left"/>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法定代表人姓名：XXXX</w:t>
      </w:r>
    </w:p>
    <w:p>
      <w:pPr>
        <w:widowControl/>
        <w:numPr>
          <w:ilvl w:val="2"/>
          <w:numId w:val="32"/>
        </w:numPr>
        <w:tabs>
          <w:tab w:val="left" w:pos="1276"/>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开户银行名称：XXXX</w:t>
      </w:r>
    </w:p>
    <w:p>
      <w:pPr>
        <w:ind w:firstLine="1260" w:firstLineChars="4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地址：XXXX</w:t>
      </w:r>
    </w:p>
    <w:p>
      <w:pPr>
        <w:ind w:firstLine="1260" w:firstLineChars="4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账号：XXXX</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投标人名称：XXXX</w:t>
      </w:r>
    </w:p>
    <w:p>
      <w:pPr>
        <w:ind w:left="283" w:leftChars="135" w:firstLine="280" w:firstLineChars="100"/>
        <w:rPr>
          <w:rFonts w:ascii="宋体" w:hAnsi="宋体"/>
          <w:bCs/>
          <w:color w:val="000000" w:themeColor="text1"/>
          <w:sz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日    期：</w:t>
      </w:r>
      <w:r>
        <w:rPr>
          <w:rFonts w:hint="eastAsia" w:ascii="宋体" w:hAnsi="宋体"/>
          <w:bCs/>
          <w:color w:val="000000" w:themeColor="text1"/>
          <w:sz w:val="28"/>
          <w14:textFill>
            <w14:solidFill>
              <w14:schemeClr w14:val="tx1"/>
            </w14:solidFill>
          </w14:textFill>
        </w:rPr>
        <w:t>20XX年XX月XX日</w:t>
      </w:r>
    </w:p>
    <w:p>
      <w:pPr>
        <w:ind w:left="283" w:leftChars="135" w:firstLine="280" w:firstLineChars="100"/>
        <w:rPr>
          <w:rFonts w:ascii="宋体" w:hAnsi="宋体"/>
          <w:bCs/>
          <w:color w:val="000000" w:themeColor="text1"/>
          <w:sz w:val="28"/>
          <w14:textFill>
            <w14:solidFill>
              <w14:schemeClr w14:val="tx1"/>
            </w14:solidFill>
          </w14:textFill>
        </w:rPr>
      </w:pPr>
    </w:p>
    <w:p>
      <w:pPr>
        <w:ind w:left="283" w:leftChars="135" w:firstLine="280" w:firstLineChars="100"/>
        <w:rPr>
          <w:rFonts w:ascii="宋体" w:hAnsi="宋体"/>
          <w:bCs/>
          <w:color w:val="000000" w:themeColor="text1"/>
          <w:sz w:val="28"/>
          <w14:textFill>
            <w14:solidFill>
              <w14:schemeClr w14:val="tx1"/>
            </w14:solidFill>
          </w14:textFill>
        </w:rPr>
      </w:pPr>
    </w:p>
    <w:p>
      <w:pPr>
        <w:ind w:left="283" w:leftChars="135" w:firstLine="280" w:firstLineChars="100"/>
        <w:rPr>
          <w:rFonts w:ascii="宋体" w:hAnsi="宋体"/>
          <w:color w:val="000000" w:themeColor="text1"/>
          <w:sz w:val="28"/>
          <w:szCs w:val="28"/>
          <w14:textFill>
            <w14:solidFill>
              <w14:schemeClr w14:val="tx1"/>
            </w14:solidFill>
          </w14:textFill>
        </w:rPr>
      </w:pPr>
    </w:p>
    <w:p>
      <w:pPr>
        <w:pStyle w:val="5"/>
        <w:numPr>
          <w:ilvl w:val="2"/>
          <w:numId w:val="4"/>
        </w:numPr>
        <w:spacing w:after="200" w:line="240" w:lineRule="auto"/>
        <w:ind w:left="851"/>
        <w:rPr>
          <w:color w:val="000000" w:themeColor="text1"/>
          <w14:textFill>
            <w14:solidFill>
              <w14:schemeClr w14:val="tx1"/>
            </w14:solidFill>
          </w14:textFill>
        </w:rPr>
      </w:pPr>
      <w:r>
        <w:rPr>
          <w:rFonts w:hint="eastAsia"/>
          <w:color w:val="000000" w:themeColor="text1"/>
          <w14:textFill>
            <w14:solidFill>
              <w14:schemeClr w14:val="tx1"/>
            </w14:solidFill>
          </w14:textFill>
        </w:rPr>
        <w:t>声明</w:t>
      </w:r>
    </w:p>
    <w:p>
      <w:pPr>
        <w:ind w:firstLine="560" w:firstLineChars="200"/>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w:t>
      </w:r>
      <w:r>
        <w:rPr>
          <w:rFonts w:hint="eastAsia" w:ascii="宋体" w:hAnsi="宋体"/>
          <w:color w:val="000000" w:themeColor="text1"/>
          <w:sz w:val="28"/>
          <w:szCs w:val="28"/>
          <w:lang w:eastAsia="zh-CN"/>
          <w14:textFill>
            <w14:solidFill>
              <w14:schemeClr w14:val="tx1"/>
            </w14:solidFill>
          </w14:textFill>
        </w:rPr>
        <w:t>都江堰市公共资源交易服务中心</w:t>
      </w:r>
    </w:p>
    <w:p>
      <w:pPr>
        <w:ind w:firstLine="560" w:firstLineChars="200"/>
        <w:rPr>
          <w:rFonts w:hint="eastAsia" w:eastAsia="宋体"/>
          <w:sz w:val="28"/>
          <w:szCs w:val="28"/>
          <w:lang w:eastAsia="zh-CN"/>
        </w:rPr>
      </w:pPr>
      <w:r>
        <w:rPr>
          <w:rFonts w:hint="eastAsia" w:ascii="宋体" w:hAnsi="宋体"/>
          <w:color w:val="000000" w:themeColor="text1"/>
          <w:sz w:val="28"/>
          <w:szCs w:val="28"/>
          <w14:textFill>
            <w14:solidFill>
              <w14:schemeClr w14:val="tx1"/>
            </w14:solidFill>
          </w14:textFill>
        </w:rPr>
        <w:t>我单位作为</w:t>
      </w:r>
      <w:r>
        <w:rPr>
          <w:rFonts w:hint="eastAsia" w:ascii="宋体" w:hAnsi="宋体"/>
          <w:b/>
          <w:color w:val="000000" w:themeColor="text1"/>
          <w:sz w:val="28"/>
          <w:szCs w:val="28"/>
          <w:u w:val="single"/>
          <w14:textFill>
            <w14:solidFill>
              <w14:schemeClr w14:val="tx1"/>
            </w14:solidFill>
          </w14:textFill>
        </w:rPr>
        <w:t>XXXX采购项目（项目编号：</w:t>
      </w:r>
      <w:r>
        <w:rPr>
          <w:rFonts w:hint="eastAsia" w:ascii="宋体" w:hAnsi="宋体"/>
          <w:b/>
          <w:color w:val="000000" w:themeColor="text1"/>
          <w:sz w:val="28"/>
          <w:szCs w:val="28"/>
          <w:u w:val="single"/>
          <w:lang w:val="en-US" w:eastAsia="zh-CN"/>
          <w14:textFill>
            <w14:solidFill>
              <w14:schemeClr w14:val="tx1"/>
            </w14:solidFill>
          </w14:textFill>
        </w:rPr>
        <w:t xml:space="preserve">JY3202        </w:t>
      </w:r>
      <w:r>
        <w:rPr>
          <w:rFonts w:hint="eastAsia" w:ascii="宋体" w:hAnsi="宋体"/>
          <w:b/>
          <w:color w:val="000000" w:themeColor="text1"/>
          <w:sz w:val="28"/>
          <w:szCs w:val="28"/>
          <w:u w:val="single"/>
          <w14:textFill>
            <w14:solidFill>
              <w14:schemeClr w14:val="tx1"/>
            </w14:solidFill>
          </w14:textFill>
        </w:rPr>
        <w:t>号）</w:t>
      </w:r>
      <w:r>
        <w:rPr>
          <w:rFonts w:hint="eastAsia" w:ascii="宋体" w:hAnsi="宋体"/>
          <w:color w:val="000000" w:themeColor="text1"/>
          <w:sz w:val="28"/>
          <w:szCs w:val="28"/>
          <w14:textFill>
            <w14:solidFill>
              <w14:schemeClr w14:val="tx1"/>
            </w14:solidFill>
          </w14:textFill>
        </w:rPr>
        <w:t>的投标人，在此郑重声明：</w:t>
      </w:r>
    </w:p>
    <w:p>
      <w:pPr>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w:t>
      </w:r>
      <w:r>
        <w:rPr>
          <w:rFonts w:hint="eastAsia"/>
          <w:sz w:val="28"/>
          <w:szCs w:val="28"/>
          <w:lang w:eastAsia="zh-CN"/>
        </w:rPr>
        <w:t>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sz w:val="28"/>
          <w:szCs w:val="28"/>
        </w:rPr>
        <w:t>独立承担民事责任的能力；</w:t>
      </w:r>
    </w:p>
    <w:p>
      <w:pPr>
        <w:ind w:firstLine="560" w:firstLineChars="200"/>
        <w:rPr>
          <w:rFonts w:hint="eastAsia" w:ascii="宋体" w:hAnsi="宋体"/>
          <w:color w:val="000000" w:themeColor="text1"/>
          <w:sz w:val="28"/>
          <w:szCs w:val="28"/>
          <w:lang w:eastAsia="zh-CN"/>
          <w14:textFill>
            <w14:solidFill>
              <w14:schemeClr w14:val="tx1"/>
            </w14:solidFill>
          </w14:textFill>
        </w:rPr>
      </w:pPr>
      <w:r>
        <w:rPr>
          <w:rFonts w:hint="eastAsia" w:ascii="宋体" w:hAnsi="宋体"/>
          <w:sz w:val="28"/>
          <w:szCs w:val="28"/>
          <w:lang w:eastAsia="zh-CN"/>
        </w:rPr>
        <w:t>二、</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14:textFill>
            <w14:solidFill>
              <w14:schemeClr w14:val="tx1"/>
            </w14:solidFill>
          </w14:textFill>
        </w:rPr>
        <w:t>良好的商业信誉</w:t>
      </w:r>
      <w:r>
        <w:rPr>
          <w:rFonts w:hint="eastAsia" w:ascii="宋体" w:hAnsi="宋体"/>
          <w:color w:val="000000" w:themeColor="text1"/>
          <w:sz w:val="28"/>
          <w:szCs w:val="28"/>
          <w:lang w:eastAsia="zh-CN"/>
          <w14:textFill>
            <w14:solidFill>
              <w14:schemeClr w14:val="tx1"/>
            </w14:solidFill>
          </w14:textFill>
        </w:rPr>
        <w:t>和健全的财务会计制度；</w:t>
      </w:r>
    </w:p>
    <w:p>
      <w:pPr>
        <w:pStyle w:val="16"/>
        <w:numPr>
          <w:ilvl w:val="0"/>
          <w:numId w:val="0"/>
        </w:numPr>
        <w:ind w:firstLine="560" w:firstLineChars="200"/>
        <w:rPr>
          <w:rFonts w:hint="eastAsia" w:ascii="宋体" w:hAnsi="宋体"/>
          <w:sz w:val="28"/>
          <w:szCs w:val="28"/>
        </w:rPr>
      </w:pPr>
      <w:r>
        <w:rPr>
          <w:rFonts w:hint="eastAsia"/>
          <w:sz w:val="28"/>
          <w:szCs w:val="28"/>
          <w:lang w:eastAsia="zh-CN"/>
        </w:rPr>
        <w:t>三、我单位（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sz w:val="28"/>
          <w:szCs w:val="28"/>
        </w:rPr>
        <w:t>履行合同所必需的设备和专业技术能力；</w:t>
      </w:r>
    </w:p>
    <w:p>
      <w:pPr>
        <w:pStyle w:val="2"/>
        <w:ind w:firstLine="560" w:firstLineChars="200"/>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sz w:val="28"/>
          <w:szCs w:val="28"/>
          <w:lang w:eastAsia="zh-CN"/>
        </w:rPr>
        <w:t>四、我单位（</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sz w:val="28"/>
          <w:szCs w:val="28"/>
        </w:rPr>
        <w:t>依法缴纳税收和社会保障资金的良好记录；</w:t>
      </w:r>
    </w:p>
    <w:p>
      <w:pPr>
        <w:ind w:firstLine="560" w:firstLineChars="200"/>
        <w:rPr>
          <w:sz w:val="28"/>
          <w:szCs w:val="28"/>
        </w:rPr>
      </w:pPr>
      <w:r>
        <w:rPr>
          <w:rFonts w:hint="eastAsia" w:ascii="宋体" w:hAnsi="宋体"/>
          <w:color w:val="000000" w:themeColor="text1"/>
          <w:sz w:val="28"/>
          <w:szCs w:val="28"/>
          <w:lang w:eastAsia="zh-CN"/>
          <w14:textFill>
            <w14:solidFill>
              <w14:schemeClr w14:val="tx1"/>
            </w14:solidFill>
          </w14:textFill>
        </w:rPr>
        <w:t>五、</w:t>
      </w:r>
      <w:r>
        <w:rPr>
          <w:rFonts w:hint="eastAsia" w:ascii="宋体" w:hAnsi="宋体"/>
          <w:color w:val="000000" w:themeColor="text1"/>
          <w:sz w:val="28"/>
          <w:szCs w:val="28"/>
          <w14:textFill>
            <w14:solidFill>
              <w14:schemeClr w14:val="tx1"/>
            </w14:solidFill>
          </w14:textFill>
        </w:rPr>
        <w:t>我单位参加政府采购活动前三年内，在经营活动中</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重大违法记录。</w:t>
      </w:r>
    </w:p>
    <w:p>
      <w:pPr>
        <w:pStyle w:val="2"/>
        <w:ind w:firstLine="560" w:firstLineChars="200"/>
        <w:rPr>
          <w:sz w:val="28"/>
          <w:szCs w:val="28"/>
        </w:rPr>
      </w:pPr>
      <w:r>
        <w:rPr>
          <w:rFonts w:hint="eastAsia"/>
          <w:sz w:val="28"/>
          <w:szCs w:val="28"/>
          <w:lang w:eastAsia="zh-CN"/>
        </w:rPr>
        <w:t>六、我单位</w:t>
      </w:r>
      <w:r>
        <w:rPr>
          <w:rFonts w:hint="eastAsia" w:ascii="宋体" w:hAnsi="宋体"/>
          <w:b/>
          <w:color w:val="000000" w:themeColor="text1"/>
          <w:sz w:val="28"/>
          <w:szCs w:val="28"/>
          <w:u w:val="single"/>
          <w14:textFill>
            <w14:solidFill>
              <w14:schemeClr w14:val="tx1"/>
            </w14:solidFill>
          </w14:textFill>
        </w:rPr>
        <w:t>（说明：填写“</w:t>
      </w:r>
      <w:r>
        <w:rPr>
          <w:rFonts w:hint="eastAsia" w:ascii="宋体" w:hAnsi="宋体"/>
          <w:b/>
          <w:color w:val="000000" w:themeColor="text1"/>
          <w:sz w:val="28"/>
          <w:szCs w:val="28"/>
          <w:u w:val="single"/>
          <w:lang w:eastAsia="zh-CN"/>
          <w14:textFill>
            <w14:solidFill>
              <w14:schemeClr w14:val="tx1"/>
            </w14:solidFill>
          </w14:textFill>
        </w:rPr>
        <w:t>满足</w:t>
      </w:r>
      <w:r>
        <w:rPr>
          <w:rFonts w:hint="eastAsia" w:ascii="宋体" w:hAnsi="宋体"/>
          <w:b/>
          <w:color w:val="000000" w:themeColor="text1"/>
          <w:sz w:val="28"/>
          <w:szCs w:val="28"/>
          <w:u w:val="single"/>
          <w14:textFill>
            <w14:solidFill>
              <w14:schemeClr w14:val="tx1"/>
            </w14:solidFill>
          </w14:textFill>
        </w:rPr>
        <w:t>”或“</w:t>
      </w:r>
      <w:r>
        <w:rPr>
          <w:rFonts w:hint="eastAsia" w:ascii="宋体" w:hAnsi="宋体"/>
          <w:b/>
          <w:color w:val="000000" w:themeColor="text1"/>
          <w:sz w:val="28"/>
          <w:szCs w:val="28"/>
          <w:u w:val="single"/>
          <w:lang w:eastAsia="zh-CN"/>
          <w14:textFill>
            <w14:solidFill>
              <w14:schemeClr w14:val="tx1"/>
            </w14:solidFill>
          </w14:textFill>
        </w:rPr>
        <w:t>不满足</w:t>
      </w:r>
      <w:r>
        <w:rPr>
          <w:rFonts w:hint="eastAsia" w:ascii="宋体" w:hAnsi="宋体"/>
          <w:b/>
          <w:color w:val="000000" w:themeColor="text1"/>
          <w:sz w:val="28"/>
          <w:szCs w:val="28"/>
          <w:u w:val="single"/>
          <w14:textFill>
            <w14:solidFill>
              <w14:schemeClr w14:val="tx1"/>
            </w14:solidFill>
          </w14:textFill>
        </w:rPr>
        <w:t>”）</w:t>
      </w:r>
      <w:r>
        <w:rPr>
          <w:rFonts w:hint="eastAsia" w:ascii="宋体" w:hAnsi="宋体"/>
          <w:sz w:val="28"/>
          <w:szCs w:val="28"/>
        </w:rPr>
        <w:t>法律、行政法规规定的其他条件；</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七</w:t>
      </w:r>
      <w:r>
        <w:rPr>
          <w:rFonts w:hint="eastAsia" w:ascii="宋体" w:hAnsi="宋体"/>
          <w:color w:val="000000" w:themeColor="text1"/>
          <w:sz w:val="28"/>
          <w:szCs w:val="28"/>
          <w14:textFill>
            <w14:solidFill>
              <w14:schemeClr w14:val="tx1"/>
            </w14:solidFill>
          </w14:textFill>
        </w:rPr>
        <w:t>、与我单位负责人为同一人或者存在直接控股、管理关系的相关供应商：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（说明：填写“无”或“（一）供应商名称１；（二）供应商名称２；（三）……”）</w:t>
      </w:r>
      <w:r>
        <w:rPr>
          <w:rFonts w:hint="eastAsia" w:ascii="宋体" w:hAnsi="宋体"/>
          <w:color w:val="000000" w:themeColor="text1"/>
          <w:sz w:val="28"/>
          <w:szCs w:val="28"/>
          <w14:textFill>
            <w14:solidFill>
              <w14:schemeClr w14:val="tx1"/>
            </w14:solidFill>
          </w14:textFill>
        </w:rPr>
        <w:t xml:space="preserve"> 。</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八</w:t>
      </w:r>
      <w:r>
        <w:rPr>
          <w:rFonts w:hint="eastAsia" w:ascii="宋体" w:hAnsi="宋体"/>
          <w:color w:val="000000" w:themeColor="text1"/>
          <w:sz w:val="28"/>
          <w:szCs w:val="28"/>
          <w14:textFill>
            <w14:solidFill>
              <w14:schemeClr w14:val="tx1"/>
            </w14:solidFill>
          </w14:textFill>
        </w:rPr>
        <w:t>、在行贿犯罪信息查询期限内，我单位及我单位现任法定代表人、主要负责人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九</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14:textFill>
            <w14:solidFill>
              <w14:schemeClr w14:val="tx1"/>
            </w14:solidFill>
          </w14:textFill>
        </w:rPr>
        <w:t>失信被执行人、重大税收违法案件当事人名单。</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十、</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14:textFill>
            <w14:solidFill>
              <w14:schemeClr w14:val="tx1"/>
            </w14:solidFill>
          </w14:textFill>
        </w:rPr>
        <w:t>政府采购严重违法失信行为记录名单。</w:t>
      </w:r>
    </w:p>
    <w:p>
      <w:pPr>
        <w:ind w:firstLine="560" w:firstLineChars="200"/>
        <w:rPr>
          <w:bCs/>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十一</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（说明：填写“未处于”或“处于”）</w:t>
      </w:r>
      <w:r>
        <w:rPr>
          <w:rFonts w:hint="eastAsia" w:ascii="宋体" w:hAnsi="宋体"/>
          <w:bCs/>
          <w:color w:val="000000" w:themeColor="text1"/>
          <w:sz w:val="28"/>
          <w:szCs w:val="28"/>
          <w14:textFill>
            <w14:solidFill>
              <w14:schemeClr w14:val="tx1"/>
            </w14:solidFill>
          </w14:textFill>
        </w:rPr>
        <w:t>被行政部门禁止参与政府采购活动的期限内。</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投标人名称：XXXX</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    期：20XX年XX月XX日</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 1.对声明中第</w:t>
      </w:r>
      <w:r>
        <w:rPr>
          <w:rFonts w:hint="eastAsia" w:ascii="宋体" w:hAnsi="宋体"/>
          <w:color w:val="000000" w:themeColor="text1"/>
          <w:sz w:val="28"/>
          <w:szCs w:val="28"/>
          <w:lang w:eastAsia="zh-CN"/>
          <w14:textFill>
            <w14:solidFill>
              <w14:schemeClr w14:val="tx1"/>
            </w14:solidFill>
          </w14:textFill>
        </w:rPr>
        <w:t>五</w:t>
      </w:r>
      <w:r>
        <w:rPr>
          <w:rFonts w:hint="eastAsia" w:ascii="宋体" w:hAnsi="宋体"/>
          <w:color w:val="000000" w:themeColor="text1"/>
          <w:sz w:val="28"/>
          <w:szCs w:val="28"/>
          <w14:textFill>
            <w14:solidFill>
              <w14:schemeClr w14:val="tx1"/>
            </w14:solidFill>
          </w14:textFill>
        </w:rPr>
        <w:t>条的说明：如投标人在参加政府采购活动前三年内，在经营活动中有重大违法记录的，应填写“有”，投标人将被认定投标无效或被取消中标资格；</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2.对声明中第</w:t>
      </w:r>
      <w:r>
        <w:rPr>
          <w:rFonts w:hint="eastAsia" w:ascii="宋体" w:hAnsi="宋体"/>
          <w:color w:val="000000" w:themeColor="text1"/>
          <w:sz w:val="28"/>
          <w:szCs w:val="28"/>
          <w:lang w:eastAsia="zh-CN"/>
          <w14:textFill>
            <w14:solidFill>
              <w14:schemeClr w14:val="tx1"/>
            </w14:solidFill>
          </w14:textFill>
        </w:rPr>
        <w:t>七</w:t>
      </w:r>
      <w:r>
        <w:rPr>
          <w:rFonts w:hint="eastAsia" w:ascii="宋体" w:hAnsi="宋体"/>
          <w:color w:val="000000" w:themeColor="text1"/>
          <w:sz w:val="28"/>
          <w:szCs w:val="28"/>
          <w14:textFill>
            <w14:solidFill>
              <w14:schemeClr w14:val="tx1"/>
            </w14:solidFill>
          </w14:textFill>
        </w:rPr>
        <w:t>条的说明：单位负责人为同一人或者存在直接控股、管理关系的不同供应商，不得参加同一合同项下的政府采购活动；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4.对声明中第</w:t>
      </w:r>
      <w:r>
        <w:rPr>
          <w:rFonts w:hint="eastAsia" w:ascii="宋体" w:hAnsi="宋体"/>
          <w:color w:val="000000" w:themeColor="text1"/>
          <w:sz w:val="28"/>
          <w:szCs w:val="28"/>
          <w:lang w:eastAsia="zh-CN"/>
          <w14:textFill>
            <w14:solidFill>
              <w14:schemeClr w14:val="tx1"/>
            </w14:solidFill>
          </w14:textFill>
        </w:rPr>
        <w:t>九、十</w:t>
      </w:r>
      <w:r>
        <w:rPr>
          <w:rFonts w:hint="eastAsia" w:ascii="宋体" w:hAnsi="宋体"/>
          <w:color w:val="000000" w:themeColor="text1"/>
          <w:sz w:val="28"/>
          <w:szCs w:val="28"/>
          <w14:textFill>
            <w14:solidFill>
              <w14:schemeClr w14:val="tx1"/>
            </w14:solidFill>
          </w14:textFill>
        </w:rPr>
        <w:t>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ind w:firstLine="560" w:firstLineChars="200"/>
        <w:rPr>
          <w:rFonts w:hint="eastAsia" w:ascii="宋体" w:hAnsi="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5.对声明中第</w:t>
      </w:r>
      <w:r>
        <w:rPr>
          <w:rFonts w:hint="eastAsia" w:ascii="宋体" w:hAnsi="宋体"/>
          <w:color w:val="000000" w:themeColor="text1"/>
          <w:sz w:val="28"/>
          <w:szCs w:val="28"/>
          <w:lang w:eastAsia="zh-CN"/>
          <w14:textFill>
            <w14:solidFill>
              <w14:schemeClr w14:val="tx1"/>
            </w14:solidFill>
          </w14:textFill>
        </w:rPr>
        <w:t>十一</w:t>
      </w:r>
      <w:r>
        <w:rPr>
          <w:rFonts w:hint="eastAsia" w:ascii="宋体" w:hAnsi="宋体"/>
          <w:color w:val="000000" w:themeColor="text1"/>
          <w:sz w:val="28"/>
          <w:szCs w:val="28"/>
          <w14:textFill>
            <w14:solidFill>
              <w14:schemeClr w14:val="tx1"/>
            </w14:solidFill>
          </w14:textFill>
        </w:rPr>
        <w:t>条的说明：如投标人处于被行政部门禁止参加政府采购活动期限内的，该声明填“处于”，投标人将被认定投标无效或被取消中标资格</w:t>
      </w:r>
      <w:r>
        <w:rPr>
          <w:rFonts w:hint="eastAsia" w:ascii="宋体" w:hAnsi="宋体"/>
          <w:color w:val="000000" w:themeColor="text1"/>
          <w:sz w:val="28"/>
          <w:szCs w:val="28"/>
          <w:lang w:eastAsia="zh-CN"/>
          <w14:textFill>
            <w14:solidFill>
              <w14:schemeClr w14:val="tx1"/>
            </w14:solidFill>
          </w14:textFill>
        </w:rPr>
        <w:t>；</w:t>
      </w:r>
    </w:p>
    <w:p>
      <w:pPr>
        <w:ind w:firstLine="560" w:firstLineChars="200"/>
        <w:rPr>
          <w:rFonts w:hint="eastAsia" w:ascii="宋体" w:hAnsi="宋体"/>
          <w:color w:val="FF0000"/>
          <w:sz w:val="28"/>
          <w:szCs w:val="28"/>
        </w:rPr>
      </w:pPr>
      <w:r>
        <w:rPr>
          <w:rFonts w:hint="eastAsia" w:ascii="宋体" w:hAnsi="宋体"/>
          <w:color w:val="FF0000"/>
          <w:sz w:val="28"/>
          <w:szCs w:val="28"/>
          <w:lang w:val="en-US" w:eastAsia="zh-CN"/>
        </w:rPr>
        <w:t>6、</w:t>
      </w:r>
      <w:r>
        <w:rPr>
          <w:rFonts w:hint="eastAsia" w:ascii="宋体" w:hAnsi="宋体"/>
          <w:color w:val="FF0000"/>
          <w:sz w:val="28"/>
          <w:szCs w:val="28"/>
          <w:lang w:eastAsia="zh-CN"/>
        </w:rPr>
        <w:t>我单位保证以上申明</w:t>
      </w:r>
      <w:r>
        <w:rPr>
          <w:rFonts w:hint="eastAsia" w:ascii="宋体" w:hAnsi="宋体"/>
          <w:color w:val="FF0000"/>
          <w:sz w:val="28"/>
          <w:szCs w:val="28"/>
        </w:rPr>
        <w:t>文件资料是真实、准确的</w:t>
      </w:r>
      <w:r>
        <w:rPr>
          <w:rFonts w:hint="eastAsia" w:ascii="宋体" w:hAnsi="宋体"/>
          <w:color w:val="FF0000"/>
          <w:sz w:val="28"/>
          <w:szCs w:val="28"/>
          <w:lang w:eastAsia="zh-CN"/>
        </w:rPr>
        <w:t>，我单位保证按照招标文件“</w:t>
      </w:r>
      <w:r>
        <w:rPr>
          <w:rFonts w:hint="eastAsia" w:ascii="宋体" w:hAnsi="宋体"/>
          <w:color w:val="FF0000"/>
          <w:sz w:val="28"/>
          <w:szCs w:val="28"/>
          <w:lang w:val="en-US" w:eastAsia="zh-CN"/>
        </w:rPr>
        <w:t>2.1投标人须知前附表24项</w:t>
      </w:r>
      <w:r>
        <w:rPr>
          <w:rFonts w:hint="eastAsia" w:ascii="宋体" w:hAnsi="宋体"/>
          <w:color w:val="FF0000"/>
          <w:sz w:val="28"/>
          <w:szCs w:val="28"/>
          <w:lang w:eastAsia="zh-CN"/>
        </w:rPr>
        <w:t>”</w:t>
      </w:r>
      <w:r>
        <w:rPr>
          <w:rFonts w:hint="eastAsia" w:ascii="宋体" w:hAnsi="宋体"/>
          <w:color w:val="FF0000"/>
          <w:sz w:val="28"/>
          <w:szCs w:val="28"/>
          <w:lang w:val="en-US" w:eastAsia="zh-CN"/>
        </w:rPr>
        <w:t>的要求向采购人提供资料</w:t>
      </w:r>
      <w:r>
        <w:rPr>
          <w:rFonts w:hint="eastAsia" w:ascii="宋体" w:hAnsi="宋体"/>
          <w:color w:val="FF0000"/>
          <w:sz w:val="28"/>
          <w:szCs w:val="28"/>
        </w:rPr>
        <w:t>。如经查实上述的内容事项存在虚假</w:t>
      </w:r>
      <w:r>
        <w:rPr>
          <w:rFonts w:hint="eastAsia" w:ascii="宋体" w:hAnsi="宋体"/>
          <w:color w:val="FF0000"/>
          <w:sz w:val="28"/>
          <w:szCs w:val="28"/>
          <w:lang w:eastAsia="zh-CN"/>
        </w:rPr>
        <w:t>或未按照招标文件“</w:t>
      </w:r>
      <w:r>
        <w:rPr>
          <w:rFonts w:hint="eastAsia" w:ascii="宋体" w:hAnsi="宋体"/>
          <w:color w:val="FF0000"/>
          <w:sz w:val="28"/>
          <w:szCs w:val="28"/>
          <w:lang w:val="en-US" w:eastAsia="zh-CN"/>
        </w:rPr>
        <w:t>2.1投标人须知前附表24项</w:t>
      </w:r>
      <w:r>
        <w:rPr>
          <w:rFonts w:hint="eastAsia" w:ascii="宋体" w:hAnsi="宋体"/>
          <w:color w:val="FF0000"/>
          <w:sz w:val="28"/>
          <w:szCs w:val="28"/>
          <w:lang w:eastAsia="zh-CN"/>
        </w:rPr>
        <w:t>”</w:t>
      </w:r>
      <w:r>
        <w:rPr>
          <w:rFonts w:hint="eastAsia" w:ascii="宋体" w:hAnsi="宋体"/>
          <w:color w:val="FF0000"/>
          <w:sz w:val="28"/>
          <w:szCs w:val="28"/>
          <w:lang w:val="en-US" w:eastAsia="zh-CN"/>
        </w:rPr>
        <w:t>的要求向采购人提供资料，</w:t>
      </w:r>
      <w:r>
        <w:rPr>
          <w:rFonts w:hint="eastAsia" w:ascii="宋体" w:hAnsi="宋体"/>
          <w:color w:val="FF0000"/>
          <w:sz w:val="28"/>
          <w:szCs w:val="28"/>
        </w:rPr>
        <w:t>我</w:t>
      </w:r>
      <w:r>
        <w:rPr>
          <w:rFonts w:hint="eastAsia" w:ascii="宋体" w:hAnsi="宋体"/>
          <w:color w:val="FF0000"/>
          <w:sz w:val="28"/>
          <w:szCs w:val="28"/>
          <w:lang w:eastAsia="zh-CN"/>
        </w:rPr>
        <w:t>单位</w:t>
      </w:r>
      <w:r>
        <w:rPr>
          <w:rFonts w:hint="eastAsia" w:ascii="宋体" w:hAnsi="宋体"/>
          <w:color w:val="FF0000"/>
          <w:sz w:val="28"/>
          <w:szCs w:val="28"/>
        </w:rPr>
        <w:t>愿意接受以提供虚假材料谋取中标追究法律责任。</w:t>
      </w:r>
    </w:p>
    <w:p>
      <w:pPr>
        <w:ind w:firstLine="560" w:firstLineChars="200"/>
        <w:rPr>
          <w:rFonts w:ascii="宋体" w:hAnsi="宋体"/>
          <w:color w:val="FF0000"/>
          <w:sz w:val="28"/>
          <w:szCs w:val="28"/>
        </w:rPr>
      </w:pPr>
      <w:r>
        <w:rPr>
          <w:rFonts w:ascii="宋体" w:hAnsi="宋体"/>
          <w:color w:val="FF0000"/>
          <w:sz w:val="28"/>
          <w:szCs w:val="28"/>
        </w:rPr>
        <w:br w:type="page"/>
      </w:r>
    </w:p>
    <w:p>
      <w:pPr>
        <w:pStyle w:val="2"/>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p>
    <w:p>
      <w:pPr>
        <w:pStyle w:val="5"/>
        <w:numPr>
          <w:ilvl w:val="2"/>
          <w:numId w:val="4"/>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投标人应提交的</w:t>
      </w:r>
      <w:r>
        <w:rPr>
          <w:rFonts w:hint="eastAsia"/>
          <w:color w:val="000000" w:themeColor="text1"/>
          <w:lang w:eastAsia="zh-CN"/>
          <w14:textFill>
            <w14:solidFill>
              <w14:schemeClr w14:val="tx1"/>
            </w14:solidFill>
          </w14:textFill>
        </w:rPr>
        <w:t>其他</w:t>
      </w:r>
      <w:r>
        <w:rPr>
          <w:rFonts w:hint="eastAsia"/>
          <w:color w:val="000000" w:themeColor="text1"/>
          <w14:textFill>
            <w14:solidFill>
              <w14:schemeClr w14:val="tx1"/>
            </w14:solidFill>
          </w14:textFill>
        </w:rPr>
        <w:t>相关资格证明材料</w:t>
      </w:r>
    </w:p>
    <w:p>
      <w:pPr>
        <w:ind w:firstLine="560" w:firstLineChars="200"/>
        <w:rPr>
          <w:rFonts w:hint="eastAsia" w:ascii="宋体" w:hAnsi="宋体" w:eastAsia="宋体" w:cs="Times New Roman"/>
          <w:color w:val="FF0000"/>
          <w:kern w:val="0"/>
          <w:sz w:val="28"/>
          <w:szCs w:val="28"/>
          <w:lang w:val="en-US" w:eastAsia="zh-CN" w:bidi="ar-SA"/>
        </w:rPr>
      </w:pPr>
      <w:r>
        <w:rPr>
          <w:rFonts w:hint="eastAsia" w:ascii="宋体" w:hAnsi="宋体"/>
          <w:color w:val="000000" w:themeColor="text1"/>
          <w:sz w:val="28"/>
          <w:szCs w:val="28"/>
          <w:lang w:eastAsia="zh-CN"/>
          <w14:textFill>
            <w14:solidFill>
              <w14:schemeClr w14:val="tx1"/>
            </w14:solidFill>
          </w14:textFill>
        </w:rPr>
        <w:t>按第</w:t>
      </w:r>
      <w:r>
        <w:rPr>
          <w:rFonts w:hint="eastAsia" w:ascii="宋体" w:hAnsi="宋体"/>
          <w:color w:val="000000" w:themeColor="text1"/>
          <w:sz w:val="28"/>
          <w:szCs w:val="28"/>
          <w:lang w:val="en-US" w:eastAsia="zh-CN"/>
          <w14:textFill>
            <w14:solidFill>
              <w14:schemeClr w14:val="tx1"/>
            </w14:solidFill>
          </w14:textFill>
        </w:rPr>
        <w:t>5章资格性审查标准提供的其他资格证明材料</w:t>
      </w:r>
      <w:r>
        <w:rPr>
          <w:rFonts w:hint="eastAsia" w:ascii="宋体" w:hAnsi="宋体" w:eastAsia="宋体" w:cs="Times New Roman"/>
          <w:color w:val="FF0000"/>
          <w:kern w:val="0"/>
          <w:sz w:val="28"/>
          <w:szCs w:val="28"/>
          <w:lang w:val="en-US" w:eastAsia="zh-CN" w:bidi="ar-SA"/>
        </w:rPr>
        <w:br w:type="page"/>
      </w:r>
    </w:p>
    <w:p>
      <w:pPr>
        <w:pStyle w:val="2"/>
        <w:rPr>
          <w:rFonts w:hint="eastAsia"/>
          <w:lang w:val="en-US" w:eastAsia="zh-CN"/>
        </w:rPr>
      </w:pPr>
    </w:p>
    <w:p>
      <w:pPr>
        <w:pStyle w:val="5"/>
        <w:numPr>
          <w:ilvl w:val="2"/>
          <w:numId w:val="0"/>
        </w:numPr>
        <w:spacing w:after="200" w:line="240" w:lineRule="auto"/>
        <w:ind w:left="284"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3.2.3.1  </w:t>
      </w:r>
      <w:r>
        <w:rPr>
          <w:rFonts w:hint="eastAsia"/>
          <w:color w:val="000000" w:themeColor="text1"/>
          <w14:textFill>
            <w14:solidFill>
              <w14:schemeClr w14:val="tx1"/>
            </w14:solidFill>
          </w14:textFill>
        </w:rPr>
        <w:t>中小企业声明函</w:t>
      </w:r>
    </w:p>
    <w:p>
      <w:pPr>
        <w:spacing w:line="500" w:lineRule="exact"/>
        <w:jc w:val="center"/>
        <w:rPr>
          <w:rFonts w:ascii="宋体" w:hAnsi="宋体"/>
          <w:b/>
          <w:color w:val="000000" w:themeColor="text1"/>
          <w:spacing w:val="6"/>
          <w:sz w:val="28"/>
          <w:szCs w:val="28"/>
          <w14:textFill>
            <w14:solidFill>
              <w14:schemeClr w14:val="tx1"/>
            </w14:solidFill>
          </w14:textFill>
        </w:rPr>
      </w:pPr>
      <w:r>
        <w:rPr>
          <w:rFonts w:hint="eastAsia" w:ascii="宋体" w:hAnsi="宋体"/>
          <w:b/>
          <w:color w:val="000000" w:themeColor="text1"/>
          <w:spacing w:val="6"/>
          <w:sz w:val="28"/>
          <w:szCs w:val="28"/>
          <w14:textFill>
            <w14:solidFill>
              <w14:schemeClr w14:val="tx1"/>
            </w14:solidFill>
          </w14:textFill>
        </w:rPr>
        <w:t>中小企业声明函</w:t>
      </w:r>
    </w:p>
    <w:p>
      <w:pPr>
        <w:spacing w:line="500" w:lineRule="exact"/>
        <w:ind w:firstLine="584" w:firstLineChars="200"/>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本公司郑重声明，根据《政府采购促进中小企业发展管理办法》（财库〔</w:t>
      </w:r>
      <w:r>
        <w:rPr>
          <w:rFonts w:ascii="宋体" w:hAnsi="宋体"/>
          <w:color w:val="000000" w:themeColor="text1"/>
          <w:spacing w:val="6"/>
          <w:sz w:val="28"/>
          <w:szCs w:val="28"/>
          <w14:textFill>
            <w14:solidFill>
              <w14:schemeClr w14:val="tx1"/>
            </w14:solidFill>
          </w14:textFill>
        </w:rPr>
        <w:t>2020〕46号）的规定，本公司参加</w:t>
      </w:r>
      <w:r>
        <w:rPr>
          <w:rFonts w:ascii="宋体" w:hAnsi="宋体"/>
          <w:b/>
          <w:color w:val="000000" w:themeColor="text1"/>
          <w:sz w:val="28"/>
          <w:szCs w:val="28"/>
          <w:u w:val="single"/>
          <w14:textFill>
            <w14:solidFill>
              <w14:schemeClr w14:val="tx1"/>
            </w14:solidFill>
          </w14:textFill>
        </w:rPr>
        <w:t>XXXX(</w:t>
      </w:r>
      <w:r>
        <w:rPr>
          <w:rFonts w:hint="eastAsia" w:ascii="宋体" w:hAnsi="宋体"/>
          <w:b/>
          <w:color w:val="000000" w:themeColor="text1"/>
          <w:sz w:val="28"/>
          <w:szCs w:val="28"/>
          <w:u w:val="single"/>
          <w14:textFill>
            <w14:solidFill>
              <w14:schemeClr w14:val="tx1"/>
            </w14:solidFill>
          </w14:textFill>
        </w:rPr>
        <w:t>采购</w:t>
      </w:r>
      <w:r>
        <w:rPr>
          <w:rFonts w:ascii="宋体" w:hAnsi="宋体"/>
          <w:b/>
          <w:color w:val="000000" w:themeColor="text1"/>
          <w:sz w:val="28"/>
          <w:szCs w:val="28"/>
          <w:u w:val="single"/>
          <w14:textFill>
            <w14:solidFill>
              <w14:schemeClr w14:val="tx1"/>
            </w14:solidFill>
          </w14:textFill>
        </w:rPr>
        <w:t xml:space="preserve">单位)      </w:t>
      </w:r>
      <w:r>
        <w:rPr>
          <w:rFonts w:hint="eastAsia" w:ascii="宋体" w:hAnsi="宋体"/>
          <w:color w:val="000000" w:themeColor="text1"/>
          <w:spacing w:val="6"/>
          <w:sz w:val="28"/>
          <w:szCs w:val="28"/>
          <w14:textFill>
            <w14:solidFill>
              <w14:schemeClr w14:val="tx1"/>
            </w14:solidFill>
          </w14:textFill>
        </w:rPr>
        <w:t>的</w:t>
      </w:r>
      <w:r>
        <w:rPr>
          <w:rFonts w:ascii="宋体" w:hAnsi="宋体"/>
          <w:b/>
          <w:color w:val="000000" w:themeColor="text1"/>
          <w:sz w:val="28"/>
          <w:szCs w:val="28"/>
          <w:u w:val="single"/>
          <w14:textFill>
            <w14:solidFill>
              <w14:schemeClr w14:val="tx1"/>
            </w14:solidFill>
          </w14:textFill>
        </w:rPr>
        <w:t>XXXX</w:t>
      </w:r>
      <w:r>
        <w:rPr>
          <w:rFonts w:hint="eastAsia" w:ascii="宋体" w:hAnsi="宋体"/>
          <w:b/>
          <w:color w:val="000000" w:themeColor="text1"/>
          <w:sz w:val="28"/>
          <w:szCs w:val="28"/>
          <w:u w:val="single"/>
          <w14:textFill>
            <w14:solidFill>
              <w14:schemeClr w14:val="tx1"/>
            </w14:solidFill>
          </w14:textFill>
        </w:rPr>
        <w:t>（项目</w:t>
      </w:r>
      <w:r>
        <w:rPr>
          <w:rFonts w:ascii="宋体" w:hAnsi="宋体"/>
          <w:b/>
          <w:color w:val="000000" w:themeColor="text1"/>
          <w:sz w:val="28"/>
          <w:szCs w:val="28"/>
          <w:u w:val="single"/>
          <w14:textFill>
            <w14:solidFill>
              <w14:schemeClr w14:val="tx1"/>
            </w14:solidFill>
          </w14:textFill>
        </w:rPr>
        <w:t>名称</w:t>
      </w:r>
      <w:r>
        <w:rPr>
          <w:rFonts w:hint="eastAsia" w:ascii="宋体" w:hAnsi="宋体"/>
          <w:b/>
          <w:color w:val="000000" w:themeColor="text1"/>
          <w:sz w:val="28"/>
          <w:szCs w:val="28"/>
          <w:u w:val="single"/>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采购项目</w:t>
      </w:r>
      <w:r>
        <w:rPr>
          <w:rFonts w:hint="eastAsia" w:ascii="宋体" w:hAnsi="宋体"/>
          <w:b/>
          <w:color w:val="000000" w:themeColor="text1"/>
          <w:sz w:val="28"/>
          <w:szCs w:val="28"/>
          <w:u w:val="single"/>
          <w14:textFill>
            <w14:solidFill>
              <w14:schemeClr w14:val="tx1"/>
            </w14:solidFill>
          </w14:textFill>
        </w:rPr>
        <w:t>（</w:t>
      </w:r>
      <w:r>
        <w:rPr>
          <w:rFonts w:hint="eastAsia" w:ascii="宋体" w:hAnsi="宋体" w:cs="宋体"/>
          <w:b/>
          <w:color w:val="000000" w:themeColor="text1"/>
          <w:kern w:val="0"/>
          <w:sz w:val="28"/>
          <w:szCs w:val="28"/>
          <w:u w:val="single"/>
          <w:lang w:val="en-US" w:eastAsia="zh-CN"/>
          <w14:textFill>
            <w14:solidFill>
              <w14:schemeClr w14:val="tx1"/>
            </w14:solidFill>
          </w14:textFill>
        </w:rPr>
        <w:t xml:space="preserve">JY3202     </w:t>
      </w:r>
      <w:r>
        <w:rPr>
          <w:rFonts w:hint="eastAsia" w:ascii="宋体" w:hAnsi="宋体" w:cs="宋体"/>
          <w:b/>
          <w:color w:val="000000" w:themeColor="text1"/>
          <w:kern w:val="0"/>
          <w:sz w:val="28"/>
          <w:szCs w:val="28"/>
          <w:u w:val="single"/>
          <w14:textFill>
            <w14:solidFill>
              <w14:schemeClr w14:val="tx1"/>
            </w14:solidFill>
          </w14:textFill>
        </w:rPr>
        <w:t>号</w:t>
      </w:r>
      <w:r>
        <w:rPr>
          <w:rFonts w:hint="eastAsia" w:ascii="宋体" w:hAnsi="宋体"/>
          <w:b/>
          <w:color w:val="000000" w:themeColor="text1"/>
          <w:sz w:val="28"/>
          <w:szCs w:val="28"/>
          <w:u w:val="single"/>
          <w14:textFill>
            <w14:solidFill>
              <w14:schemeClr w14:val="tx1"/>
            </w14:solidFill>
          </w14:textFill>
        </w:rPr>
        <w:t>）</w:t>
      </w:r>
      <w:r>
        <w:rPr>
          <w:rFonts w:hint="eastAsia" w:ascii="宋体" w:hAnsi="宋体"/>
          <w:color w:val="000000" w:themeColor="text1"/>
          <w:spacing w:val="6"/>
          <w:sz w:val="28"/>
          <w:szCs w:val="28"/>
          <w14:textFill>
            <w14:solidFill>
              <w14:schemeClr w14:val="tx1"/>
            </w14:solidFill>
          </w14:textFill>
        </w:rPr>
        <w:t>采购活动，服务全部由符合政策要求的中小企业承接。相关企业的具体情况如下：</w:t>
      </w:r>
    </w:p>
    <w:p>
      <w:pPr>
        <w:tabs>
          <w:tab w:val="left" w:pos="1134"/>
        </w:tabs>
        <w:spacing w:line="500" w:lineRule="exact"/>
        <w:ind w:firstLine="584" w:firstLineChars="200"/>
        <w:rPr>
          <w:rFonts w:ascii="宋体" w:hAnsi="宋体"/>
          <w:color w:val="000000" w:themeColor="text1"/>
          <w:spacing w:val="6"/>
          <w:sz w:val="28"/>
          <w:szCs w:val="28"/>
          <w14:textFill>
            <w14:solidFill>
              <w14:schemeClr w14:val="tx1"/>
            </w14:solidFill>
          </w14:textFill>
        </w:rPr>
      </w:pPr>
      <w:r>
        <w:rPr>
          <w:rFonts w:ascii="宋体" w:hAnsi="宋体"/>
          <w:color w:val="000000" w:themeColor="text1"/>
          <w:spacing w:val="6"/>
          <w:sz w:val="28"/>
          <w:szCs w:val="28"/>
          <w:u w:val="single"/>
          <w14:textFill>
            <w14:solidFill>
              <w14:schemeClr w14:val="tx1"/>
            </w14:solidFill>
          </w14:textFill>
        </w:rPr>
        <w:t>XXXX</w:t>
      </w:r>
      <w:r>
        <w:rPr>
          <w:rFonts w:hint="eastAsia" w:ascii="宋体" w:hAnsi="宋体"/>
          <w:color w:val="000000" w:themeColor="text1"/>
          <w:spacing w:val="6"/>
          <w:sz w:val="28"/>
          <w:szCs w:val="28"/>
          <w:u w:val="single"/>
          <w14:textFill>
            <w14:solidFill>
              <w14:schemeClr w14:val="tx1"/>
            </w14:solidFill>
          </w14:textFill>
        </w:rPr>
        <w:t>（标的名称）</w:t>
      </w:r>
      <w:r>
        <w:rPr>
          <w:rFonts w:hint="eastAsia" w:ascii="宋体" w:hAnsi="宋体"/>
          <w:color w:val="000000" w:themeColor="text1"/>
          <w:spacing w:val="6"/>
          <w:sz w:val="28"/>
          <w:szCs w:val="28"/>
          <w14:textFill>
            <w14:solidFill>
              <w14:schemeClr w14:val="tx1"/>
            </w14:solidFill>
          </w14:textFill>
        </w:rPr>
        <w:t>，属于</w:t>
      </w:r>
      <w:r>
        <w:rPr>
          <w:rFonts w:ascii="宋体" w:hAnsi="宋体"/>
          <w:color w:val="000000" w:themeColor="text1"/>
          <w:spacing w:val="6"/>
          <w:sz w:val="28"/>
          <w:szCs w:val="28"/>
          <w:u w:val="single"/>
          <w14:textFill>
            <w14:solidFill>
              <w14:schemeClr w14:val="tx1"/>
            </w14:solidFill>
          </w14:textFill>
        </w:rPr>
        <w:t>XXXX</w:t>
      </w:r>
      <w:r>
        <w:rPr>
          <w:rFonts w:hint="eastAsia" w:ascii="宋体" w:hAnsi="宋体"/>
          <w:color w:val="000000" w:themeColor="text1"/>
          <w:spacing w:val="6"/>
          <w:sz w:val="28"/>
          <w:szCs w:val="28"/>
          <w:u w:val="single"/>
          <w14:textFill>
            <w14:solidFill>
              <w14:schemeClr w14:val="tx1"/>
            </w14:solidFill>
          </w14:textFill>
        </w:rPr>
        <w:t>（采购文件中明确的所属行业）</w:t>
      </w:r>
      <w:r>
        <w:rPr>
          <w:rFonts w:hint="eastAsia" w:ascii="宋体" w:hAnsi="宋体"/>
          <w:color w:val="000000" w:themeColor="text1"/>
          <w:spacing w:val="6"/>
          <w:sz w:val="28"/>
          <w:szCs w:val="28"/>
          <w14:textFill>
            <w14:solidFill>
              <w14:schemeClr w14:val="tx1"/>
            </w14:solidFill>
          </w14:textFill>
        </w:rPr>
        <w:t>；承接企业为</w:t>
      </w:r>
      <w:r>
        <w:rPr>
          <w:rFonts w:ascii="宋体" w:hAnsi="宋体"/>
          <w:color w:val="000000" w:themeColor="text1"/>
          <w:spacing w:val="6"/>
          <w:sz w:val="28"/>
          <w:szCs w:val="28"/>
          <w:u w:val="single"/>
          <w14:textFill>
            <w14:solidFill>
              <w14:schemeClr w14:val="tx1"/>
            </w14:solidFill>
          </w14:textFill>
        </w:rPr>
        <w:t>XXX</w:t>
      </w:r>
      <w:r>
        <w:rPr>
          <w:rFonts w:hint="eastAsia" w:ascii="宋体" w:hAnsi="宋体"/>
          <w:color w:val="000000" w:themeColor="text1"/>
          <w:spacing w:val="6"/>
          <w:sz w:val="28"/>
          <w:szCs w:val="28"/>
          <w:u w:val="single"/>
          <w14:textFill>
            <w14:solidFill>
              <w14:schemeClr w14:val="tx1"/>
            </w14:solidFill>
          </w14:textFill>
        </w:rPr>
        <w:t>X</w:t>
      </w:r>
      <w:r>
        <w:rPr>
          <w:rFonts w:ascii="宋体" w:hAnsi="宋体"/>
          <w:color w:val="000000" w:themeColor="text1"/>
          <w:spacing w:val="6"/>
          <w:sz w:val="28"/>
          <w:szCs w:val="28"/>
          <w:u w:val="single"/>
          <w14:textFill>
            <w14:solidFill>
              <w14:schemeClr w14:val="tx1"/>
            </w14:solidFill>
          </w14:textFill>
        </w:rPr>
        <w:t>（企业名称）</w:t>
      </w:r>
      <w:r>
        <w:rPr>
          <w:rFonts w:hint="eastAsia" w:ascii="宋体" w:hAnsi="宋体"/>
          <w:color w:val="000000" w:themeColor="text1"/>
          <w:spacing w:val="6"/>
          <w:sz w:val="28"/>
          <w:szCs w:val="28"/>
          <w14:textFill>
            <w14:solidFill>
              <w14:schemeClr w14:val="tx1"/>
            </w14:solidFill>
          </w14:textFill>
        </w:rPr>
        <w:t>，从业人员</w:t>
      </w:r>
      <w:r>
        <w:rPr>
          <w:rFonts w:ascii="宋体" w:hAnsi="宋体"/>
          <w:color w:val="000000" w:themeColor="text1"/>
          <w:spacing w:val="6"/>
          <w:sz w:val="28"/>
          <w:szCs w:val="28"/>
          <w:u w:val="single"/>
          <w14:textFill>
            <w14:solidFill>
              <w14:schemeClr w14:val="tx1"/>
            </w14:solidFill>
          </w14:textFill>
        </w:rPr>
        <w:t>XX</w:t>
      </w:r>
      <w:r>
        <w:rPr>
          <w:rFonts w:hint="eastAsia" w:ascii="宋体" w:hAnsi="宋体"/>
          <w:color w:val="000000" w:themeColor="text1"/>
          <w:spacing w:val="6"/>
          <w:sz w:val="28"/>
          <w:szCs w:val="28"/>
          <w14:textFill>
            <w14:solidFill>
              <w14:schemeClr w14:val="tx1"/>
            </w14:solidFill>
          </w14:textFill>
        </w:rPr>
        <w:t>人，营业收入为</w:t>
      </w:r>
      <w:r>
        <w:rPr>
          <w:rFonts w:ascii="宋体" w:hAnsi="宋体"/>
          <w:color w:val="000000" w:themeColor="text1"/>
          <w:spacing w:val="6"/>
          <w:sz w:val="28"/>
          <w:szCs w:val="28"/>
          <w:u w:val="single"/>
          <w14:textFill>
            <w14:solidFill>
              <w14:schemeClr w14:val="tx1"/>
            </w14:solidFill>
          </w14:textFill>
        </w:rPr>
        <w:t>XX</w:t>
      </w:r>
      <w:r>
        <w:rPr>
          <w:rFonts w:hint="eastAsia" w:ascii="宋体" w:hAnsi="宋体"/>
          <w:color w:val="000000" w:themeColor="text1"/>
          <w:spacing w:val="6"/>
          <w:sz w:val="28"/>
          <w:szCs w:val="28"/>
          <w14:textFill>
            <w14:solidFill>
              <w14:schemeClr w14:val="tx1"/>
            </w14:solidFill>
          </w14:textFill>
        </w:rPr>
        <w:t>万元，资产总额为</w:t>
      </w:r>
      <w:r>
        <w:rPr>
          <w:rFonts w:ascii="宋体" w:hAnsi="宋体"/>
          <w:color w:val="000000" w:themeColor="text1"/>
          <w:spacing w:val="6"/>
          <w:sz w:val="28"/>
          <w:szCs w:val="28"/>
          <w:u w:val="single"/>
          <w14:textFill>
            <w14:solidFill>
              <w14:schemeClr w14:val="tx1"/>
            </w14:solidFill>
          </w14:textFill>
        </w:rPr>
        <w:t>XX</w:t>
      </w:r>
      <w:r>
        <w:rPr>
          <w:rFonts w:hint="eastAsia" w:ascii="宋体" w:hAnsi="宋体"/>
          <w:color w:val="000000" w:themeColor="text1"/>
          <w:spacing w:val="6"/>
          <w:sz w:val="28"/>
          <w:szCs w:val="28"/>
          <w14:textFill>
            <w14:solidFill>
              <w14:schemeClr w14:val="tx1"/>
            </w14:solidFill>
          </w14:textFill>
        </w:rPr>
        <w:t>万元，属于</w:t>
      </w:r>
      <w:r>
        <w:rPr>
          <w:rFonts w:ascii="宋体" w:hAnsi="宋体"/>
          <w:color w:val="000000" w:themeColor="text1"/>
          <w:spacing w:val="6"/>
          <w:sz w:val="28"/>
          <w:szCs w:val="28"/>
          <w:u w:val="single"/>
          <w14:textFill>
            <w14:solidFill>
              <w14:schemeClr w14:val="tx1"/>
            </w14:solidFill>
          </w14:textFill>
        </w:rPr>
        <w:t>XXXX（中型企业、小型企业、微型企业）</w:t>
      </w:r>
      <w:r>
        <w:rPr>
          <w:rFonts w:hint="eastAsia" w:ascii="宋体" w:hAnsi="宋体"/>
          <w:color w:val="000000" w:themeColor="text1"/>
          <w:spacing w:val="6"/>
          <w:sz w:val="28"/>
          <w:szCs w:val="28"/>
          <w14:textFill>
            <w14:solidFill>
              <w14:schemeClr w14:val="tx1"/>
            </w14:solidFill>
          </w14:textFill>
        </w:rPr>
        <w:t>。</w:t>
      </w:r>
    </w:p>
    <w:p>
      <w:pPr>
        <w:tabs>
          <w:tab w:val="left" w:pos="1134"/>
        </w:tabs>
        <w:spacing w:line="500" w:lineRule="exact"/>
        <w:ind w:firstLine="584" w:firstLineChars="200"/>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以上企业，不属于大企业的分支机构，不存在控股股东为大企业的情形，也不存在与大企业的负责人为同一人的情形。</w:t>
      </w:r>
    </w:p>
    <w:p>
      <w:pPr>
        <w:tabs>
          <w:tab w:val="left" w:pos="1134"/>
        </w:tabs>
        <w:spacing w:line="500" w:lineRule="exact"/>
        <w:ind w:firstLine="584" w:firstLineChars="200"/>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本企业对上述声明内容的真实性负责。如有虚假，将依法承担相应责任。</w:t>
      </w:r>
    </w:p>
    <w:p>
      <w:pPr>
        <w:spacing w:line="500" w:lineRule="exact"/>
        <w:ind w:firstLine="586" w:firstLineChars="200"/>
        <w:rPr>
          <w:rFonts w:ascii="宋体" w:hAnsi="宋体"/>
          <w:b/>
          <w:color w:val="000000" w:themeColor="text1"/>
          <w:spacing w:val="6"/>
          <w:sz w:val="28"/>
          <w:szCs w:val="28"/>
          <w14:textFill>
            <w14:solidFill>
              <w14:schemeClr w14:val="tx1"/>
            </w14:solidFill>
          </w14:textFill>
        </w:rPr>
      </w:pPr>
    </w:p>
    <w:p>
      <w:pPr>
        <w:spacing w:line="500" w:lineRule="exact"/>
        <w:ind w:firstLine="586" w:firstLineChars="200"/>
        <w:rPr>
          <w:rFonts w:ascii="宋体" w:hAnsi="宋体"/>
          <w:b/>
          <w:color w:val="000000" w:themeColor="text1"/>
          <w:spacing w:val="6"/>
          <w:sz w:val="28"/>
          <w:szCs w:val="28"/>
          <w14:textFill>
            <w14:solidFill>
              <w14:schemeClr w14:val="tx1"/>
            </w14:solidFill>
          </w14:textFill>
        </w:rPr>
      </w:pPr>
    </w:p>
    <w:p>
      <w:pPr>
        <w:spacing w:line="500" w:lineRule="exact"/>
        <w:ind w:firstLine="586" w:firstLineChars="200"/>
        <w:rPr>
          <w:rFonts w:ascii="宋体" w:hAnsi="宋体"/>
          <w:b/>
          <w:color w:val="000000" w:themeColor="text1"/>
          <w:spacing w:val="6"/>
          <w:sz w:val="28"/>
          <w:szCs w:val="28"/>
          <w14:textFill>
            <w14:solidFill>
              <w14:schemeClr w14:val="tx1"/>
            </w14:solidFill>
          </w14:textFill>
        </w:rPr>
      </w:pPr>
    </w:p>
    <w:p>
      <w:pPr>
        <w:spacing w:line="500" w:lineRule="exact"/>
        <w:ind w:firstLine="586" w:firstLineChars="200"/>
        <w:rPr>
          <w:rFonts w:ascii="宋体" w:hAnsi="宋体"/>
          <w:b/>
          <w:color w:val="000000" w:themeColor="text1"/>
          <w:spacing w:val="6"/>
          <w:sz w:val="28"/>
          <w:szCs w:val="28"/>
          <w14:textFill>
            <w14:solidFill>
              <w14:schemeClr w14:val="tx1"/>
            </w14:solidFill>
          </w14:textFill>
        </w:rPr>
      </w:pPr>
    </w:p>
    <w:p>
      <w:pPr>
        <w:tabs>
          <w:tab w:val="left" w:pos="3969"/>
        </w:tabs>
        <w:spacing w:line="500" w:lineRule="exact"/>
        <w:ind w:right="-58" w:firstLine="584" w:firstLineChars="200"/>
        <w:jc w:val="left"/>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企业名称：</w:t>
      </w:r>
      <w:r>
        <w:rPr>
          <w:rFonts w:ascii="宋体" w:hAnsi="宋体"/>
          <w:color w:val="000000" w:themeColor="text1"/>
          <w:sz w:val="28"/>
          <w:szCs w:val="28"/>
          <w:u w:val="single"/>
          <w14:textFill>
            <w14:solidFill>
              <w14:schemeClr w14:val="tx1"/>
            </w14:solidFill>
          </w14:textFill>
        </w:rPr>
        <w:t>XXXX</w:t>
      </w:r>
      <w:r>
        <w:rPr>
          <w:rFonts w:ascii="宋体" w:hAnsi="宋体"/>
          <w:color w:val="000000" w:themeColor="text1"/>
          <w:spacing w:val="6"/>
          <w:sz w:val="28"/>
          <w:szCs w:val="28"/>
          <w14:textFill>
            <w14:solidFill>
              <w14:schemeClr w14:val="tx1"/>
            </w14:solidFill>
          </w14:textFill>
        </w:rPr>
        <w:t xml:space="preserve"> </w:t>
      </w:r>
    </w:p>
    <w:p>
      <w:pPr>
        <w:tabs>
          <w:tab w:val="left" w:pos="3969"/>
        </w:tabs>
        <w:spacing w:line="500" w:lineRule="exact"/>
        <w:ind w:right="-58" w:firstLine="584" w:firstLineChars="200"/>
        <w:jc w:val="left"/>
        <w:rPr>
          <w:color w:val="000000" w:themeColor="text1"/>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日</w:t>
      </w:r>
      <w:r>
        <w:rPr>
          <w:rFonts w:ascii="宋体" w:hAnsi="宋体"/>
          <w:color w:val="000000" w:themeColor="text1"/>
          <w:spacing w:val="6"/>
          <w:sz w:val="28"/>
          <w:szCs w:val="28"/>
          <w14:textFill>
            <w14:solidFill>
              <w14:schemeClr w14:val="tx1"/>
            </w14:solidFill>
          </w14:textFill>
        </w:rPr>
        <w:t xml:space="preserve">  </w:t>
      </w:r>
      <w:r>
        <w:rPr>
          <w:rFonts w:hint="eastAsia" w:ascii="宋体" w:hAnsi="宋体"/>
          <w:color w:val="000000" w:themeColor="text1"/>
          <w:spacing w:val="6"/>
          <w:sz w:val="28"/>
          <w:szCs w:val="28"/>
          <w14:textFill>
            <w14:solidFill>
              <w14:schemeClr w14:val="tx1"/>
            </w14:solidFill>
          </w14:textFill>
        </w:rPr>
        <w:t>期：</w:t>
      </w:r>
      <w:r>
        <w:rPr>
          <w:rFonts w:ascii="宋体" w:hAnsi="宋体"/>
          <w:color w:val="000000" w:themeColor="text1"/>
          <w:sz w:val="28"/>
          <w:szCs w:val="28"/>
          <w14:textFill>
            <w14:solidFill>
              <w14:schemeClr w14:val="tx1"/>
            </w14:solidFill>
          </w14:textFill>
        </w:rPr>
        <w:t>20</w:t>
      </w:r>
      <w:r>
        <w:rPr>
          <w:rFonts w:ascii="宋体" w:hAnsi="宋体"/>
          <w:color w:val="000000" w:themeColor="text1"/>
          <w:sz w:val="28"/>
          <w:szCs w:val="28"/>
          <w:u w:val="single"/>
          <w14:textFill>
            <w14:solidFill>
              <w14:schemeClr w14:val="tx1"/>
            </w14:solidFill>
          </w14:textFill>
        </w:rPr>
        <w:t>XX</w:t>
      </w:r>
      <w:r>
        <w:rPr>
          <w:rFonts w:ascii="宋体" w:hAnsi="宋体"/>
          <w:color w:val="000000" w:themeColor="text1"/>
          <w:sz w:val="28"/>
          <w:szCs w:val="28"/>
          <w14:textFill>
            <w14:solidFill>
              <w14:schemeClr w14:val="tx1"/>
            </w14:solidFill>
          </w14:textFill>
        </w:rPr>
        <w:t>年</w:t>
      </w:r>
      <w:r>
        <w:rPr>
          <w:rFonts w:ascii="宋体" w:hAnsi="宋体"/>
          <w:color w:val="000000" w:themeColor="text1"/>
          <w:sz w:val="28"/>
          <w:szCs w:val="28"/>
          <w:u w:val="single"/>
          <w14:textFill>
            <w14:solidFill>
              <w14:schemeClr w14:val="tx1"/>
            </w14:solidFill>
          </w14:textFill>
        </w:rPr>
        <w:t>XX</w:t>
      </w:r>
      <w:r>
        <w:rPr>
          <w:rFonts w:ascii="宋体" w:hAnsi="宋体"/>
          <w:color w:val="000000" w:themeColor="text1"/>
          <w:sz w:val="28"/>
          <w:szCs w:val="28"/>
          <w14:textFill>
            <w14:solidFill>
              <w14:schemeClr w14:val="tx1"/>
            </w14:solidFill>
          </w14:textFill>
        </w:rPr>
        <w:t>月</w:t>
      </w:r>
      <w:r>
        <w:rPr>
          <w:rFonts w:ascii="宋体" w:hAnsi="宋体"/>
          <w:color w:val="000000" w:themeColor="text1"/>
          <w:sz w:val="28"/>
          <w:szCs w:val="28"/>
          <w:u w:val="single"/>
          <w14:textFill>
            <w14:solidFill>
              <w14:schemeClr w14:val="tx1"/>
            </w14:solidFill>
          </w14:textFill>
        </w:rPr>
        <w:t>XX</w:t>
      </w:r>
      <w:r>
        <w:rPr>
          <w:rFonts w:ascii="宋体" w:hAnsi="宋体"/>
          <w:color w:val="000000" w:themeColor="text1"/>
          <w:sz w:val="28"/>
          <w:szCs w:val="28"/>
          <w14:textFill>
            <w14:solidFill>
              <w14:schemeClr w14:val="tx1"/>
            </w14:solidFill>
          </w14:textFill>
        </w:rPr>
        <w:t>日</w:t>
      </w:r>
    </w:p>
    <w:p>
      <w:pPr>
        <w:pStyle w:val="85"/>
        <w:tabs>
          <w:tab w:val="left" w:pos="567"/>
          <w:tab w:val="left" w:pos="709"/>
          <w:tab w:val="left" w:pos="851"/>
        </w:tabs>
        <w:spacing w:before="60" w:line="360" w:lineRule="auto"/>
        <w:ind w:firstLine="56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说明：</w:t>
      </w:r>
      <w:r>
        <w:rPr>
          <w:rFonts w:ascii="宋体" w:hAnsi="宋体"/>
          <w:b/>
          <w:color w:val="000000" w:themeColor="text1"/>
          <w:sz w:val="28"/>
          <w:szCs w:val="28"/>
          <w14:textFill>
            <w14:solidFill>
              <w14:schemeClr w14:val="tx1"/>
            </w14:solidFill>
          </w14:textFill>
        </w:rPr>
        <w:t>从业人员、营业收入、资产总额填报上</w:t>
      </w:r>
      <w:r>
        <w:rPr>
          <w:rFonts w:hint="eastAsia" w:ascii="宋体" w:hAnsi="宋体"/>
          <w:b/>
          <w:color w:val="000000" w:themeColor="text1"/>
          <w:sz w:val="28"/>
          <w:szCs w:val="28"/>
          <w14:textFill>
            <w14:solidFill>
              <w14:schemeClr w14:val="tx1"/>
            </w14:solidFill>
          </w14:textFill>
        </w:rPr>
        <w:t>一</w:t>
      </w:r>
      <w:r>
        <w:rPr>
          <w:rFonts w:ascii="宋体" w:hAnsi="宋体"/>
          <w:b/>
          <w:color w:val="000000" w:themeColor="text1"/>
          <w:sz w:val="28"/>
          <w:szCs w:val="28"/>
          <w14:textFill>
            <w14:solidFill>
              <w14:schemeClr w14:val="tx1"/>
            </w14:solidFill>
          </w14:textFill>
        </w:rPr>
        <w:t>年度数据，无上一年度</w:t>
      </w:r>
      <w:r>
        <w:rPr>
          <w:rFonts w:hint="eastAsia" w:ascii="宋体" w:hAnsi="宋体"/>
          <w:b/>
          <w:color w:val="000000" w:themeColor="text1"/>
          <w:sz w:val="28"/>
          <w:szCs w:val="28"/>
          <w14:textFill>
            <w14:solidFill>
              <w14:schemeClr w14:val="tx1"/>
            </w14:solidFill>
          </w14:textFill>
        </w:rPr>
        <w:t>数据</w:t>
      </w:r>
      <w:r>
        <w:rPr>
          <w:rFonts w:ascii="宋体" w:hAnsi="宋体"/>
          <w:b/>
          <w:color w:val="000000" w:themeColor="text1"/>
          <w:sz w:val="28"/>
          <w:szCs w:val="28"/>
          <w14:textFill>
            <w14:solidFill>
              <w14:schemeClr w14:val="tx1"/>
            </w14:solidFill>
          </w14:textFill>
        </w:rPr>
        <w:t>的新成立企业可不填报。</w:t>
      </w:r>
    </w:p>
    <w:p>
      <w:pPr>
        <w:pStyle w:val="85"/>
        <w:tabs>
          <w:tab w:val="left" w:pos="567"/>
          <w:tab w:val="left" w:pos="709"/>
          <w:tab w:val="left" w:pos="851"/>
        </w:tabs>
        <w:spacing w:line="500" w:lineRule="exact"/>
        <w:ind w:firstLine="548" w:firstLineChars="195"/>
        <w:rPr>
          <w:rFonts w:ascii="宋体" w:hAnsi="宋体"/>
          <w:b/>
          <w:color w:val="000000" w:themeColor="text1"/>
          <w:kern w:val="0"/>
          <w:sz w:val="28"/>
          <w:szCs w:val="28"/>
          <w14:textFill>
            <w14:solidFill>
              <w14:schemeClr w14:val="tx1"/>
            </w14:solidFill>
          </w14:textFill>
        </w:rPr>
      </w:pPr>
    </w:p>
    <w:p>
      <w:pPr>
        <w:tabs>
          <w:tab w:val="left" w:pos="567"/>
          <w:tab w:val="left" w:pos="709"/>
          <w:tab w:val="left" w:pos="851"/>
        </w:tabs>
        <w:spacing w:line="500" w:lineRule="exact"/>
        <w:rPr>
          <w:rFonts w:ascii="宋体" w:hAnsi="宋体"/>
          <w:b/>
          <w:color w:val="000000" w:themeColor="text1"/>
          <w:kern w:val="0"/>
          <w:sz w:val="28"/>
          <w:szCs w:val="28"/>
          <w14:textFill>
            <w14:solidFill>
              <w14:schemeClr w14:val="tx1"/>
            </w14:solidFill>
          </w14:textFill>
        </w:rPr>
      </w:pPr>
    </w:p>
    <w:p>
      <w:pPr>
        <w:pStyle w:val="5"/>
        <w:numPr>
          <w:ilvl w:val="2"/>
          <w:numId w:val="0"/>
        </w:numPr>
        <w:spacing w:after="200" w:line="240" w:lineRule="auto"/>
        <w:ind w:left="284"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3.2.3.2  </w:t>
      </w:r>
      <w:r>
        <w:rPr>
          <w:rFonts w:hint="eastAsia"/>
          <w:color w:val="000000" w:themeColor="text1"/>
          <w14:textFill>
            <w14:solidFill>
              <w14:schemeClr w14:val="tx1"/>
            </w14:solidFill>
          </w14:textFill>
        </w:rPr>
        <w:t>残疾人福利性单位声明函</w:t>
      </w:r>
    </w:p>
    <w:p>
      <w:pPr>
        <w:spacing w:line="500" w:lineRule="exact"/>
        <w:jc w:val="center"/>
        <w:rPr>
          <w:rFonts w:ascii="宋体" w:hAnsi="宋体"/>
          <w:b/>
          <w:color w:val="000000" w:themeColor="text1"/>
          <w:spacing w:val="6"/>
          <w:sz w:val="28"/>
          <w:szCs w:val="28"/>
          <w14:textFill>
            <w14:solidFill>
              <w14:schemeClr w14:val="tx1"/>
            </w14:solidFill>
          </w14:textFill>
        </w:rPr>
      </w:pPr>
      <w:r>
        <w:rPr>
          <w:rFonts w:hint="eastAsia" w:ascii="宋体" w:hAnsi="宋体"/>
          <w:b/>
          <w:color w:val="000000" w:themeColor="text1"/>
          <w:spacing w:val="6"/>
          <w:sz w:val="28"/>
          <w:szCs w:val="28"/>
          <w14:textFill>
            <w14:solidFill>
              <w14:schemeClr w14:val="tx1"/>
            </w14:solidFill>
          </w14:textFill>
        </w:rPr>
        <w:t>残疾人福利性单位声明函</w:t>
      </w:r>
    </w:p>
    <w:p>
      <w:pPr>
        <w:spacing w:line="440" w:lineRule="exact"/>
        <w:rPr>
          <w:rFonts w:ascii="仿宋_GB2312" w:eastAsia="仿宋_GB2312"/>
          <w:b/>
          <w:color w:val="000000" w:themeColor="text1"/>
          <w:spacing w:val="6"/>
          <w:sz w:val="30"/>
          <w:szCs w:val="30"/>
          <w14:textFill>
            <w14:solidFill>
              <w14:schemeClr w14:val="tx1"/>
            </w14:solidFill>
          </w14:textFill>
        </w:rPr>
      </w:pPr>
    </w:p>
    <w:p>
      <w:pPr>
        <w:tabs>
          <w:tab w:val="left" w:pos="1134"/>
        </w:tabs>
        <w:spacing w:line="500" w:lineRule="exact"/>
        <w:ind w:firstLine="584" w:firstLineChars="200"/>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000000" w:themeColor="text1"/>
          <w:spacing w:val="6"/>
          <w:sz w:val="28"/>
          <w:szCs w:val="28"/>
          <w:u w:val="single"/>
          <w14:textFill>
            <w14:solidFill>
              <w14:schemeClr w14:val="tx1"/>
            </w14:solidFill>
          </w14:textFill>
        </w:rPr>
        <w:t>XXXX</w:t>
      </w:r>
      <w:r>
        <w:rPr>
          <w:rFonts w:hint="eastAsia" w:ascii="宋体" w:hAnsi="宋体"/>
          <w:color w:val="000000" w:themeColor="text1"/>
          <w:spacing w:val="6"/>
          <w:sz w:val="28"/>
          <w:szCs w:val="28"/>
          <w14:textFill>
            <w14:solidFill>
              <w14:schemeClr w14:val="tx1"/>
            </w14:solidFill>
          </w14:textFill>
        </w:rPr>
        <w:t>单位的</w:t>
      </w:r>
      <w:r>
        <w:rPr>
          <w:rFonts w:hint="eastAsia" w:ascii="宋体" w:hAnsi="宋体"/>
          <w:color w:val="000000" w:themeColor="text1"/>
          <w:spacing w:val="6"/>
          <w:sz w:val="28"/>
          <w:szCs w:val="28"/>
          <w:u w:val="single"/>
          <w14:textFill>
            <w14:solidFill>
              <w14:schemeClr w14:val="tx1"/>
            </w14:solidFill>
          </w14:textFill>
        </w:rPr>
        <w:t>XXXX</w:t>
      </w:r>
      <w:r>
        <w:rPr>
          <w:rFonts w:hint="eastAsia" w:ascii="宋体" w:hAnsi="宋体"/>
          <w:color w:val="000000" w:themeColor="text1"/>
          <w:spacing w:val="6"/>
          <w:sz w:val="28"/>
          <w:szCs w:val="28"/>
          <w14:textFill>
            <w14:solidFill>
              <w14:schemeClr w14:val="tx1"/>
            </w14:solidFill>
          </w14:textFill>
        </w:rPr>
        <w:t>项目采购活动由本单位提供服务。</w:t>
      </w:r>
    </w:p>
    <w:p>
      <w:pPr>
        <w:tabs>
          <w:tab w:val="left" w:pos="1134"/>
        </w:tabs>
        <w:spacing w:line="500" w:lineRule="exact"/>
        <w:ind w:firstLine="584" w:firstLineChars="200"/>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本单位对上述声明的真实性负责。如有虚假，将依法承担相应责任。</w:t>
      </w:r>
    </w:p>
    <w:p>
      <w:pPr>
        <w:overflowPunct w:val="0"/>
        <w:spacing w:line="520" w:lineRule="exact"/>
        <w:ind w:firstLine="560" w:firstLineChars="200"/>
        <w:rPr>
          <w:rFonts w:ascii="Times New Roman" w:hAnsi="Times New Roman" w:eastAsia="仿宋_GB2312"/>
          <w:bCs/>
          <w:color w:val="000000" w:themeColor="text1"/>
          <w:sz w:val="28"/>
          <w:szCs w:val="28"/>
          <w14:textFill>
            <w14:solidFill>
              <w14:schemeClr w14:val="tx1"/>
            </w14:solidFill>
          </w14:textFill>
        </w:rPr>
      </w:pPr>
    </w:p>
    <w:p>
      <w:pPr>
        <w:overflowPunct w:val="0"/>
        <w:spacing w:line="546" w:lineRule="exact"/>
        <w:ind w:firstLine="560" w:firstLineChars="200"/>
        <w:rPr>
          <w:rFonts w:ascii="Times New Roman" w:hAnsi="Times New Roman" w:eastAsia="仿宋_GB2312"/>
          <w:bCs/>
          <w:color w:val="000000" w:themeColor="text1"/>
          <w:sz w:val="28"/>
          <w:szCs w:val="28"/>
          <w14:textFill>
            <w14:solidFill>
              <w14:schemeClr w14:val="tx1"/>
            </w14:solidFill>
          </w14:textFill>
        </w:rPr>
      </w:pPr>
    </w:p>
    <w:p>
      <w:pPr>
        <w:overflowPunct w:val="0"/>
        <w:spacing w:line="546" w:lineRule="exact"/>
        <w:ind w:firstLine="560" w:firstLineChars="200"/>
        <w:rPr>
          <w:rFonts w:ascii="Times New Roman" w:hAnsi="Times New Roman" w:eastAsia="仿宋_GB2312"/>
          <w:bCs/>
          <w:color w:val="000000" w:themeColor="text1"/>
          <w:sz w:val="28"/>
          <w:szCs w:val="28"/>
          <w14:textFill>
            <w14:solidFill>
              <w14:schemeClr w14:val="tx1"/>
            </w14:solidFill>
          </w14:textFill>
        </w:rPr>
      </w:pPr>
    </w:p>
    <w:p>
      <w:pPr>
        <w:overflowPunct w:val="0"/>
        <w:spacing w:line="546" w:lineRule="exact"/>
        <w:ind w:firstLine="560" w:firstLineChars="200"/>
        <w:rPr>
          <w:rFonts w:ascii="Times New Roman" w:hAnsi="Times New Roman" w:eastAsia="仿宋_GB2312"/>
          <w:bCs/>
          <w:color w:val="000000" w:themeColor="text1"/>
          <w:sz w:val="28"/>
          <w:szCs w:val="28"/>
          <w14:textFill>
            <w14:solidFill>
              <w14:schemeClr w14:val="tx1"/>
            </w14:solidFill>
          </w14:textFill>
        </w:rPr>
      </w:pPr>
    </w:p>
    <w:p>
      <w:pPr>
        <w:overflowPunct w:val="0"/>
        <w:spacing w:line="546" w:lineRule="exact"/>
        <w:ind w:firstLine="560" w:firstLineChars="200"/>
        <w:rPr>
          <w:rFonts w:ascii="Times New Roman" w:hAnsi="Times New Roman" w:eastAsia="仿宋_GB2312"/>
          <w:bCs/>
          <w:color w:val="000000" w:themeColor="text1"/>
          <w:sz w:val="28"/>
          <w:szCs w:val="28"/>
          <w14:textFill>
            <w14:solidFill>
              <w14:schemeClr w14:val="tx1"/>
            </w14:solidFill>
          </w14:textFill>
        </w:rPr>
      </w:pPr>
    </w:p>
    <w:p>
      <w:pPr>
        <w:overflowPunct w:val="0"/>
        <w:spacing w:line="546" w:lineRule="exact"/>
        <w:ind w:firstLine="560" w:firstLineChars="200"/>
        <w:rPr>
          <w:rFonts w:ascii="Times New Roman" w:hAnsi="Times New Roman" w:eastAsia="仿宋_GB2312"/>
          <w:bCs/>
          <w:color w:val="000000" w:themeColor="text1"/>
          <w:sz w:val="28"/>
          <w:szCs w:val="28"/>
          <w14:textFill>
            <w14:solidFill>
              <w14:schemeClr w14:val="tx1"/>
            </w14:solidFill>
          </w14:textFill>
        </w:rPr>
      </w:pPr>
    </w:p>
    <w:p>
      <w:pPr>
        <w:overflowPunct w:val="0"/>
        <w:spacing w:line="546" w:lineRule="exact"/>
        <w:ind w:firstLine="560" w:firstLineChars="200"/>
        <w:rPr>
          <w:rFonts w:ascii="Times New Roman" w:hAnsi="Times New Roman" w:eastAsia="仿宋_GB2312"/>
          <w:bCs/>
          <w:color w:val="000000" w:themeColor="text1"/>
          <w:sz w:val="28"/>
          <w:szCs w:val="28"/>
          <w14:textFill>
            <w14:solidFill>
              <w14:schemeClr w14:val="tx1"/>
            </w14:solidFill>
          </w14:textFill>
        </w:rPr>
      </w:pPr>
    </w:p>
    <w:p>
      <w:pPr>
        <w:overflowPunct w:val="0"/>
        <w:spacing w:line="546" w:lineRule="exact"/>
        <w:ind w:firstLine="560" w:firstLineChars="200"/>
        <w:rPr>
          <w:rFonts w:ascii="Times New Roman" w:hAnsi="Times New Roman" w:eastAsia="仿宋_GB2312"/>
          <w:bCs/>
          <w:color w:val="000000" w:themeColor="text1"/>
          <w:sz w:val="28"/>
          <w:szCs w:val="28"/>
          <w14:textFill>
            <w14:solidFill>
              <w14:schemeClr w14:val="tx1"/>
            </w14:solidFill>
          </w14:textFill>
        </w:rPr>
      </w:pPr>
    </w:p>
    <w:p>
      <w:pPr>
        <w:tabs>
          <w:tab w:val="left" w:pos="3969"/>
        </w:tabs>
        <w:spacing w:line="500" w:lineRule="exact"/>
        <w:ind w:right="-58" w:firstLine="584" w:firstLineChars="200"/>
        <w:jc w:val="left"/>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单位名称：</w:t>
      </w:r>
      <w:r>
        <w:rPr>
          <w:rFonts w:ascii="宋体" w:hAnsi="宋体"/>
          <w:color w:val="000000" w:themeColor="text1"/>
          <w:sz w:val="28"/>
          <w:szCs w:val="28"/>
          <w:u w:val="single"/>
          <w14:textFill>
            <w14:solidFill>
              <w14:schemeClr w14:val="tx1"/>
            </w14:solidFill>
          </w14:textFill>
        </w:rPr>
        <w:t>XXXX</w:t>
      </w:r>
      <w:r>
        <w:rPr>
          <w:rFonts w:ascii="宋体" w:hAnsi="宋体"/>
          <w:color w:val="000000" w:themeColor="text1"/>
          <w:spacing w:val="6"/>
          <w:sz w:val="28"/>
          <w:szCs w:val="28"/>
          <w14:textFill>
            <w14:solidFill>
              <w14:schemeClr w14:val="tx1"/>
            </w14:solidFill>
          </w14:textFill>
        </w:rPr>
        <w:t xml:space="preserve"> </w:t>
      </w:r>
    </w:p>
    <w:p>
      <w:pPr>
        <w:tabs>
          <w:tab w:val="left" w:pos="3969"/>
        </w:tabs>
        <w:spacing w:line="500" w:lineRule="exact"/>
        <w:ind w:right="-58" w:firstLine="584" w:firstLineChars="200"/>
        <w:jc w:val="left"/>
        <w:rPr>
          <w:color w:val="000000" w:themeColor="text1"/>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日</w:t>
      </w:r>
      <w:r>
        <w:rPr>
          <w:rFonts w:ascii="宋体" w:hAnsi="宋体"/>
          <w:color w:val="000000" w:themeColor="text1"/>
          <w:spacing w:val="6"/>
          <w:sz w:val="28"/>
          <w:szCs w:val="28"/>
          <w14:textFill>
            <w14:solidFill>
              <w14:schemeClr w14:val="tx1"/>
            </w14:solidFill>
          </w14:textFill>
        </w:rPr>
        <w:t xml:space="preserve">  </w:t>
      </w:r>
      <w:r>
        <w:rPr>
          <w:rFonts w:hint="eastAsia" w:ascii="宋体" w:hAnsi="宋体"/>
          <w:color w:val="000000" w:themeColor="text1"/>
          <w:spacing w:val="6"/>
          <w:sz w:val="28"/>
          <w:szCs w:val="28"/>
          <w14:textFill>
            <w14:solidFill>
              <w14:schemeClr w14:val="tx1"/>
            </w14:solidFill>
          </w14:textFill>
        </w:rPr>
        <w:t>期：</w:t>
      </w:r>
      <w:r>
        <w:rPr>
          <w:rFonts w:ascii="宋体" w:hAnsi="宋体"/>
          <w:color w:val="000000" w:themeColor="text1"/>
          <w:sz w:val="28"/>
          <w:szCs w:val="28"/>
          <w14:textFill>
            <w14:solidFill>
              <w14:schemeClr w14:val="tx1"/>
            </w14:solidFill>
          </w14:textFill>
        </w:rPr>
        <w:t>20</w:t>
      </w:r>
      <w:r>
        <w:rPr>
          <w:rFonts w:ascii="宋体" w:hAnsi="宋体"/>
          <w:color w:val="000000" w:themeColor="text1"/>
          <w:sz w:val="28"/>
          <w:szCs w:val="28"/>
          <w:u w:val="single"/>
          <w14:textFill>
            <w14:solidFill>
              <w14:schemeClr w14:val="tx1"/>
            </w14:solidFill>
          </w14:textFill>
        </w:rPr>
        <w:t>XX</w:t>
      </w:r>
      <w:r>
        <w:rPr>
          <w:rFonts w:ascii="宋体" w:hAnsi="宋体"/>
          <w:color w:val="000000" w:themeColor="text1"/>
          <w:sz w:val="28"/>
          <w:szCs w:val="28"/>
          <w14:textFill>
            <w14:solidFill>
              <w14:schemeClr w14:val="tx1"/>
            </w14:solidFill>
          </w14:textFill>
        </w:rPr>
        <w:t>年</w:t>
      </w:r>
      <w:r>
        <w:rPr>
          <w:rFonts w:ascii="宋体" w:hAnsi="宋体"/>
          <w:color w:val="000000" w:themeColor="text1"/>
          <w:sz w:val="28"/>
          <w:szCs w:val="28"/>
          <w:u w:val="single"/>
          <w14:textFill>
            <w14:solidFill>
              <w14:schemeClr w14:val="tx1"/>
            </w14:solidFill>
          </w14:textFill>
        </w:rPr>
        <w:t>XX</w:t>
      </w:r>
      <w:r>
        <w:rPr>
          <w:rFonts w:ascii="宋体" w:hAnsi="宋体"/>
          <w:color w:val="000000" w:themeColor="text1"/>
          <w:sz w:val="28"/>
          <w:szCs w:val="28"/>
          <w14:textFill>
            <w14:solidFill>
              <w14:schemeClr w14:val="tx1"/>
            </w14:solidFill>
          </w14:textFill>
        </w:rPr>
        <w:t>月</w:t>
      </w:r>
      <w:r>
        <w:rPr>
          <w:rFonts w:ascii="宋体" w:hAnsi="宋体"/>
          <w:color w:val="000000" w:themeColor="text1"/>
          <w:sz w:val="28"/>
          <w:szCs w:val="28"/>
          <w:u w:val="single"/>
          <w14:textFill>
            <w14:solidFill>
              <w14:schemeClr w14:val="tx1"/>
            </w14:solidFill>
          </w14:textFill>
        </w:rPr>
        <w:t>XX</w:t>
      </w:r>
      <w:r>
        <w:rPr>
          <w:rFonts w:ascii="宋体" w:hAnsi="宋体"/>
          <w:color w:val="000000" w:themeColor="text1"/>
          <w:sz w:val="28"/>
          <w:szCs w:val="28"/>
          <w14:textFill>
            <w14:solidFill>
              <w14:schemeClr w14:val="tx1"/>
            </w14:solidFill>
          </w14:textFill>
        </w:rPr>
        <w:t>日</w:t>
      </w:r>
    </w:p>
    <w:p>
      <w:pPr>
        <w:ind w:firstLine="563"/>
        <w:rPr>
          <w:rFonts w:ascii="宋体" w:hAnsi="宋体"/>
          <w:b/>
          <w:color w:val="000000" w:themeColor="text1"/>
          <w:kern w:val="0"/>
          <w:sz w:val="28"/>
          <w:szCs w:val="28"/>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numPr>
          <w:ilvl w:val="0"/>
          <w:numId w:val="0"/>
        </w:numPr>
        <w:ind w:left="567" w:leftChars="0"/>
        <w:rPr>
          <w:rFonts w:hint="default"/>
          <w:lang w:val="en-US" w:eastAsia="zh-CN"/>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4"/>
        <w:numPr>
          <w:ilvl w:val="1"/>
          <w:numId w:val="4"/>
        </w:numPr>
        <w:spacing w:before="0" w:after="0" w:line="240" w:lineRule="auto"/>
        <w:ind w:left="2269" w:hanging="2269"/>
        <w:rPr>
          <w:color w:val="000000" w:themeColor="text1"/>
          <w14:textFill>
            <w14:solidFill>
              <w14:schemeClr w14:val="tx1"/>
            </w14:solidFill>
          </w14:textFill>
        </w:rPr>
      </w:pPr>
      <w:r>
        <w:rPr>
          <w:rFonts w:hint="eastAsia"/>
          <w:color w:val="000000" w:themeColor="text1"/>
          <w14:textFill>
            <w14:solidFill>
              <w14:schemeClr w14:val="tx1"/>
            </w14:solidFill>
          </w14:textFill>
        </w:rPr>
        <w:t>商务技术</w:t>
      </w:r>
      <w:r>
        <w:rPr>
          <w:color w:val="000000" w:themeColor="text1"/>
          <w14:textFill>
            <w14:solidFill>
              <w14:schemeClr w14:val="tx1"/>
            </w14:solidFill>
          </w14:textFill>
        </w:rPr>
        <w:t>响应文件</w:t>
      </w:r>
    </w:p>
    <w:p>
      <w:pPr>
        <w:pStyle w:val="5"/>
        <w:numPr>
          <w:ilvl w:val="2"/>
          <w:numId w:val="4"/>
        </w:numPr>
        <w:spacing w:after="200" w:line="240" w:lineRule="auto"/>
        <w:ind w:left="851"/>
        <w:rPr>
          <w:color w:val="000000" w:themeColor="text1"/>
          <w14:textFill>
            <w14:solidFill>
              <w14:schemeClr w14:val="tx1"/>
            </w14:solidFill>
          </w14:textFill>
        </w:rPr>
      </w:pPr>
      <w:r>
        <w:rPr>
          <w:rFonts w:hint="eastAsia"/>
          <w:color w:val="000000" w:themeColor="text1"/>
          <w14:textFill>
            <w14:solidFill>
              <w14:schemeClr w14:val="tx1"/>
            </w14:solidFill>
          </w14:textFill>
        </w:rPr>
        <w:t>投标函</w:t>
      </w:r>
      <w:bookmarkEnd w:id="199"/>
    </w:p>
    <w:p>
      <w:pPr>
        <w:pStyle w:val="25"/>
        <w:spacing w:after="0" w:line="500" w:lineRule="exact"/>
        <w:ind w:left="0" w:leftChars="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lang w:eastAsia="zh-CN"/>
          <w14:textFill>
            <w14:solidFill>
              <w14:schemeClr w14:val="tx1"/>
            </w14:solidFill>
          </w14:textFill>
        </w:rPr>
        <w:t>都江堰市公共资源交易服务中心</w:t>
      </w:r>
      <w:r>
        <w:rPr>
          <w:rFonts w:hint="eastAsia" w:ascii="宋体" w:hAnsi="宋体"/>
          <w:bCs/>
          <w:color w:val="000000" w:themeColor="text1"/>
          <w:sz w:val="28"/>
          <w:szCs w:val="28"/>
          <w14:textFill>
            <w14:solidFill>
              <w14:schemeClr w14:val="tx1"/>
            </w14:solidFill>
          </w14:textFill>
        </w:rPr>
        <w:t>：</w:t>
      </w:r>
    </w:p>
    <w:p>
      <w:pPr>
        <w:pStyle w:val="25"/>
        <w:spacing w:after="0" w:line="500" w:lineRule="exact"/>
        <w:ind w:left="0" w:leftChars="0"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我方全面研究了</w:t>
      </w:r>
      <w:r>
        <w:rPr>
          <w:rFonts w:hint="eastAsia" w:ascii="宋体" w:hAnsi="宋体"/>
          <w:b/>
          <w:color w:val="000000" w:themeColor="text1"/>
          <w:sz w:val="28"/>
          <w:szCs w:val="28"/>
          <w:u w:val="single"/>
          <w14:textFill>
            <w14:solidFill>
              <w14:schemeClr w14:val="tx1"/>
            </w14:solidFill>
          </w14:textFill>
        </w:rPr>
        <w:t>XXXX采购项目</w:t>
      </w:r>
      <w:r>
        <w:rPr>
          <w:rFonts w:hint="eastAsia" w:ascii="宋体" w:hAnsi="宋体"/>
          <w:b/>
          <w:bCs/>
          <w:color w:val="000000" w:themeColor="text1"/>
          <w:sz w:val="28"/>
          <w:szCs w:val="28"/>
          <w:u w:val="single"/>
          <w14:textFill>
            <w14:solidFill>
              <w14:schemeClr w14:val="tx1"/>
            </w14:solidFill>
          </w14:textFill>
        </w:rPr>
        <w:t>（项目编号：</w:t>
      </w:r>
      <w:r>
        <w:rPr>
          <w:rFonts w:hint="eastAsia" w:ascii="宋体" w:hAnsi="宋体"/>
          <w:b/>
          <w:bCs/>
          <w:color w:val="000000" w:themeColor="text1"/>
          <w:sz w:val="28"/>
          <w:szCs w:val="28"/>
          <w:u w:val="single"/>
          <w:lang w:val="en-US" w:eastAsia="zh-CN"/>
          <w14:textFill>
            <w14:solidFill>
              <w14:schemeClr w14:val="tx1"/>
            </w14:solidFill>
          </w14:textFill>
        </w:rPr>
        <w:t xml:space="preserve">JY3202     </w:t>
      </w:r>
      <w:r>
        <w:rPr>
          <w:rFonts w:hint="eastAsia" w:ascii="宋体" w:hAnsi="宋体"/>
          <w:b/>
          <w:bCs/>
          <w:color w:val="000000" w:themeColor="text1"/>
          <w:sz w:val="28"/>
          <w:szCs w:val="28"/>
          <w:u w:val="single"/>
          <w14:textFill>
            <w14:solidFill>
              <w14:schemeClr w14:val="tx1"/>
            </w14:solidFill>
          </w14:textFill>
        </w:rPr>
        <w:t>号）</w:t>
      </w:r>
      <w:r>
        <w:rPr>
          <w:rFonts w:hint="eastAsia" w:ascii="宋体" w:hAnsi="宋体"/>
          <w:bCs/>
          <w:color w:val="000000" w:themeColor="text1"/>
          <w:sz w:val="28"/>
          <w:szCs w:val="28"/>
          <w14:textFill>
            <w14:solidFill>
              <w14:schemeClr w14:val="tx1"/>
            </w14:solidFill>
          </w14:textFill>
        </w:rPr>
        <w:t>招标文件，决定参加贵单位组织的本项目的投标。我方授权</w:t>
      </w:r>
      <w:r>
        <w:rPr>
          <w:rFonts w:hint="eastAsia" w:ascii="宋体" w:hAnsi="宋体"/>
          <w:bCs/>
          <w:color w:val="000000" w:themeColor="text1"/>
          <w:sz w:val="28"/>
          <w:szCs w:val="28"/>
          <w:u w:val="single"/>
          <w14:textFill>
            <w14:solidFill>
              <w14:schemeClr w14:val="tx1"/>
            </w14:solidFill>
          </w14:textFill>
        </w:rPr>
        <w:t>XXX（姓名、职务）</w:t>
      </w:r>
      <w:r>
        <w:rPr>
          <w:rFonts w:hint="eastAsia" w:ascii="宋体" w:hAnsi="宋体"/>
          <w:bCs/>
          <w:color w:val="000000" w:themeColor="text1"/>
          <w:sz w:val="28"/>
          <w:szCs w:val="28"/>
          <w14:textFill>
            <w14:solidFill>
              <w14:schemeClr w14:val="tx1"/>
            </w14:solidFill>
          </w14:textFill>
        </w:rPr>
        <w:t>代表我方</w:t>
      </w:r>
      <w:r>
        <w:rPr>
          <w:rFonts w:hint="eastAsia" w:ascii="宋体" w:hAnsi="宋体"/>
          <w:bCs/>
          <w:color w:val="000000" w:themeColor="text1"/>
          <w:sz w:val="28"/>
          <w:szCs w:val="28"/>
          <w:u w:val="single"/>
          <w14:textFill>
            <w14:solidFill>
              <w14:schemeClr w14:val="tx1"/>
            </w14:solidFill>
          </w14:textFill>
        </w:rPr>
        <w:t>XXX（投标人名称）</w:t>
      </w:r>
      <w:r>
        <w:rPr>
          <w:rFonts w:hint="eastAsia" w:ascii="宋体" w:hAnsi="宋体"/>
          <w:bCs/>
          <w:color w:val="000000" w:themeColor="text1"/>
          <w:sz w:val="28"/>
          <w:szCs w:val="28"/>
          <w14:textFill>
            <w14:solidFill>
              <w14:schemeClr w14:val="tx1"/>
            </w14:solidFill>
          </w14:textFill>
        </w:rPr>
        <w:t>全权处理本项目投标的有关事宜。</w:t>
      </w:r>
    </w:p>
    <w:p>
      <w:pPr>
        <w:numPr>
          <w:ilvl w:val="1"/>
          <w:numId w:val="34"/>
        </w:numPr>
        <w:tabs>
          <w:tab w:val="left" w:pos="1134"/>
        </w:tabs>
        <w:spacing w:after="200" w:line="50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我方自愿按照招标文件规定的各项要求向采购人提供所需服务，</w:t>
      </w:r>
      <w:r>
        <w:rPr>
          <w:rFonts w:hint="eastAsia" w:ascii="宋体" w:hAnsi="宋体"/>
          <w:b/>
          <w:color w:val="000000" w:themeColor="text1"/>
          <w:sz w:val="28"/>
          <w:szCs w:val="28"/>
          <w14:textFill>
            <w14:solidFill>
              <w14:schemeClr w14:val="tx1"/>
            </w14:solidFill>
          </w14:textFill>
        </w:rPr>
        <w:t>投标报价以《</w:t>
      </w:r>
      <w:r>
        <w:rPr>
          <w:rFonts w:hint="eastAsia" w:ascii="宋体" w:hAnsi="宋体"/>
          <w:b/>
          <w:color w:val="000000" w:themeColor="text1"/>
          <w:sz w:val="28"/>
          <w:szCs w:val="28"/>
          <w:lang w:eastAsia="zh-CN"/>
          <w14:textFill>
            <w14:gradFill>
              <w14:gsLst>
                <w14:gs w14:pos="0">
                  <w14:srgbClr w14:val="007BD3"/>
                </w14:gs>
                <w14:gs w14:pos="100000">
                  <w14:srgbClr w14:val="034373"/>
                </w14:gs>
              </w14:gsLst>
              <w14:lin w14:scaled="0"/>
            </w14:gradFill>
          </w14:textFill>
        </w:rPr>
        <w:t>开标一览</w:t>
      </w:r>
      <w:r>
        <w:rPr>
          <w:rFonts w:hint="eastAsia" w:ascii="宋体" w:hAnsi="宋体"/>
          <w:b/>
          <w:color w:val="000000" w:themeColor="text1"/>
          <w:sz w:val="28"/>
          <w:szCs w:val="28"/>
          <w14:textFill>
            <w14:gradFill>
              <w14:gsLst>
                <w14:gs w14:pos="0">
                  <w14:srgbClr w14:val="007BD3"/>
                </w14:gs>
                <w14:gs w14:pos="100000">
                  <w14:srgbClr w14:val="034373"/>
                </w14:gs>
              </w14:gsLst>
              <w14:lin w14:scaled="0"/>
            </w14:gradFill>
          </w14:textFill>
        </w:rPr>
        <w:t>表</w:t>
      </w:r>
      <w:r>
        <w:rPr>
          <w:rFonts w:hint="eastAsia" w:ascii="宋体" w:hAnsi="宋体"/>
          <w:b/>
          <w:color w:val="000000" w:themeColor="text1"/>
          <w:sz w:val="28"/>
          <w:szCs w:val="28"/>
          <w14:textFill>
            <w14:solidFill>
              <w14:schemeClr w14:val="tx1"/>
            </w14:solidFill>
          </w14:textFill>
        </w:rPr>
        <w:t>》为准</w:t>
      </w:r>
      <w:r>
        <w:rPr>
          <w:rFonts w:hint="eastAsia" w:ascii="宋体" w:hAnsi="宋体"/>
          <w:color w:val="000000" w:themeColor="text1"/>
          <w:sz w:val="28"/>
          <w:szCs w:val="28"/>
          <w14:textFill>
            <w14:solidFill>
              <w14:schemeClr w14:val="tx1"/>
            </w14:solidFill>
          </w14:textFill>
        </w:rPr>
        <w:t>。</w:t>
      </w:r>
    </w:p>
    <w:p>
      <w:pPr>
        <w:numPr>
          <w:ilvl w:val="1"/>
          <w:numId w:val="34"/>
        </w:numPr>
        <w:tabs>
          <w:tab w:val="left" w:pos="1134"/>
        </w:tabs>
        <w:spacing w:after="200" w:line="50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如果我方中标，我方将严格履行合同规定的责任和义务，否则将承担由此产生的一切责任。</w:t>
      </w:r>
    </w:p>
    <w:p>
      <w:pPr>
        <w:numPr>
          <w:ilvl w:val="1"/>
          <w:numId w:val="34"/>
        </w:numPr>
        <w:tabs>
          <w:tab w:val="left" w:pos="1134"/>
        </w:tabs>
        <w:spacing w:after="200" w:line="50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我方已知晓全部招标文件的内容，包括修改文件（如有）以及全部相关资料和有关附件，并对上述文件均无异议。</w:t>
      </w:r>
    </w:p>
    <w:p>
      <w:pPr>
        <w:numPr>
          <w:ilvl w:val="1"/>
          <w:numId w:val="34"/>
        </w:numPr>
        <w:tabs>
          <w:tab w:val="left" w:pos="1134"/>
        </w:tabs>
        <w:spacing w:after="200" w:line="50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投标有效期为从投标截止之日起120天。</w:t>
      </w:r>
    </w:p>
    <w:p>
      <w:pPr>
        <w:numPr>
          <w:ilvl w:val="1"/>
          <w:numId w:val="34"/>
        </w:numPr>
        <w:tabs>
          <w:tab w:val="left" w:pos="1134"/>
        </w:tabs>
        <w:spacing w:after="200" w:line="50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我方愿意提供贵中心可能另外要求的，与投标有关的文件资料，并保证我方已提供和将要提供的文件资料是真实、准确的，并对此承担一切法律后果。</w:t>
      </w:r>
    </w:p>
    <w:p>
      <w:pPr>
        <w:numPr>
          <w:ilvl w:val="1"/>
          <w:numId w:val="34"/>
        </w:numPr>
        <w:tabs>
          <w:tab w:val="left" w:pos="1134"/>
        </w:tabs>
        <w:spacing w:after="200" w:line="50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我单位联系方式：XXXX</w:t>
      </w:r>
    </w:p>
    <w:p>
      <w:pPr>
        <w:tabs>
          <w:tab w:val="left" w:pos="1134"/>
        </w:tabs>
        <w:spacing w:line="500" w:lineRule="exact"/>
        <w:ind w:left="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    址：XXXX</w:t>
      </w:r>
    </w:p>
    <w:p>
      <w:pPr>
        <w:tabs>
          <w:tab w:val="left" w:pos="1134"/>
        </w:tabs>
        <w:spacing w:line="500" w:lineRule="exact"/>
        <w:ind w:left="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传    真：XXXX</w:t>
      </w:r>
    </w:p>
    <w:p>
      <w:pPr>
        <w:tabs>
          <w:tab w:val="left" w:pos="1134"/>
        </w:tabs>
        <w:spacing w:line="500" w:lineRule="exact"/>
        <w:ind w:left="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邮政编码：XXXX</w:t>
      </w:r>
    </w:p>
    <w:p>
      <w:pPr>
        <w:tabs>
          <w:tab w:val="left" w:pos="1134"/>
        </w:tabs>
        <w:spacing w:line="500" w:lineRule="exact"/>
        <w:ind w:left="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投标人名称：XXXX</w:t>
      </w:r>
    </w:p>
    <w:p>
      <w:pPr>
        <w:tabs>
          <w:tab w:val="left" w:pos="1134"/>
        </w:tabs>
        <w:spacing w:line="500" w:lineRule="exact"/>
        <w:ind w:left="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    期：20XX年XX月XX日</w:t>
      </w:r>
    </w:p>
    <w:p>
      <w:pPr>
        <w:pStyle w:val="13"/>
        <w:spacing w:after="0" w:line="240" w:lineRule="auto"/>
        <w:ind w:firstLine="0"/>
        <w:rPr>
          <w:rFonts w:ascii="宋体" w:hAnsi="宋体"/>
          <w:bCs/>
          <w:color w:val="000000" w:themeColor="text1"/>
          <w:sz w:val="28"/>
          <w:szCs w:val="28"/>
          <w:highlight w:val="none"/>
          <w:u w:val="single"/>
          <w14:textFill>
            <w14:solidFill>
              <w14:schemeClr w14:val="tx1"/>
            </w14:solidFill>
          </w14:textFill>
        </w:rPr>
      </w:pPr>
    </w:p>
    <w:p>
      <w:pPr>
        <w:pStyle w:val="5"/>
        <w:numPr>
          <w:ilvl w:val="2"/>
          <w:numId w:val="4"/>
        </w:numPr>
        <w:spacing w:after="200" w:line="240" w:lineRule="auto"/>
        <w:ind w:left="851"/>
        <w:rPr>
          <w:color w:val="000000" w:themeColor="text1"/>
          <w14:textFill>
            <w14:solidFill>
              <w14:schemeClr w14:val="tx1"/>
            </w14:solidFill>
          </w14:textFill>
        </w:rPr>
      </w:pPr>
      <w:bookmarkStart w:id="208" w:name="_Toc240367172"/>
      <w:bookmarkStart w:id="209" w:name="_Toc314574804"/>
      <w:bookmarkStart w:id="210" w:name="_Toc265494342"/>
      <w:bookmarkStart w:id="211" w:name="_Toc240865266"/>
      <w:bookmarkStart w:id="212" w:name="_Toc231030275"/>
      <w:bookmarkStart w:id="213" w:name="_Toc239849853"/>
      <w:bookmarkStart w:id="214" w:name="_Toc239846734"/>
      <w:bookmarkStart w:id="215" w:name="_Toc237145395"/>
      <w:bookmarkStart w:id="216" w:name="_Toc229802674"/>
      <w:r>
        <w:rPr>
          <w:rFonts w:hint="eastAsia"/>
          <w:color w:val="000000" w:themeColor="text1"/>
          <w14:textFill>
            <w14:solidFill>
              <w14:schemeClr w14:val="tx1"/>
            </w14:solidFill>
          </w14:textFill>
        </w:rPr>
        <w:t>法定代表人身份证明书</w:t>
      </w:r>
    </w:p>
    <w:p>
      <w:pPr>
        <w:tabs>
          <w:tab w:val="left" w:pos="6300"/>
        </w:tabs>
        <w:ind w:firstLine="573"/>
        <w:rPr>
          <w:rFonts w:ascii="宋体" w:hAnsi="宋体"/>
          <w:color w:val="000000" w:themeColor="text1"/>
          <w:sz w:val="28"/>
          <w:u w:val="single"/>
          <w:lang w:val="zh-CN"/>
          <w14:textFill>
            <w14:solidFill>
              <w14:schemeClr w14:val="tx1"/>
            </w14:solidFill>
          </w14:textFill>
        </w:rPr>
      </w:pPr>
    </w:p>
    <w:p>
      <w:pPr>
        <w:tabs>
          <w:tab w:val="left" w:pos="6300"/>
        </w:tabs>
        <w:ind w:firstLine="573"/>
        <w:rPr>
          <w:rFonts w:ascii="宋体" w:hAnsi="宋体"/>
          <w:color w:val="000000" w:themeColor="text1"/>
          <w:sz w:val="28"/>
          <w:lang w:val="zh-CN"/>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XXXX</w:t>
      </w:r>
      <w:r>
        <w:rPr>
          <w:rFonts w:hint="eastAsia" w:ascii="宋体" w:hAnsi="宋体"/>
          <w:color w:val="000000" w:themeColor="text1"/>
          <w:sz w:val="28"/>
          <w:u w:val="single"/>
          <w:lang w:val="zh-CN"/>
          <w14:textFill>
            <w14:solidFill>
              <w14:schemeClr w14:val="tx1"/>
            </w14:solidFill>
          </w14:textFill>
        </w:rPr>
        <w:t>（法定代表人姓名）</w:t>
      </w:r>
      <w:r>
        <w:rPr>
          <w:rFonts w:hint="eastAsia" w:ascii="宋体" w:hAnsi="宋体"/>
          <w:color w:val="000000" w:themeColor="text1"/>
          <w:sz w:val="28"/>
          <w:lang w:val="zh-CN"/>
          <w14:textFill>
            <w14:solidFill>
              <w14:schemeClr w14:val="tx1"/>
            </w14:solidFill>
          </w14:textFill>
        </w:rPr>
        <w:t>在</w:t>
      </w:r>
      <w:r>
        <w:rPr>
          <w:rFonts w:hint="eastAsia" w:ascii="宋体" w:hAnsi="宋体"/>
          <w:color w:val="000000" w:themeColor="text1"/>
          <w:sz w:val="28"/>
          <w:szCs w:val="28"/>
          <w:u w:val="single"/>
          <w14:textFill>
            <w14:solidFill>
              <w14:schemeClr w14:val="tx1"/>
            </w14:solidFill>
          </w14:textFill>
        </w:rPr>
        <w:t>XXXX</w:t>
      </w:r>
      <w:r>
        <w:rPr>
          <w:rFonts w:hint="eastAsia" w:ascii="宋体" w:hAnsi="宋体"/>
          <w:color w:val="000000" w:themeColor="text1"/>
          <w:sz w:val="28"/>
          <w:u w:val="single"/>
          <w:lang w:val="zh-CN"/>
          <w14:textFill>
            <w14:solidFill>
              <w14:schemeClr w14:val="tx1"/>
            </w14:solidFill>
          </w14:textFill>
        </w:rPr>
        <w:t xml:space="preserve"> （投标人名称）</w:t>
      </w:r>
      <w:r>
        <w:rPr>
          <w:rFonts w:hint="eastAsia" w:ascii="宋体" w:hAnsi="宋体"/>
          <w:color w:val="000000" w:themeColor="text1"/>
          <w:sz w:val="28"/>
          <w:lang w:val="zh-CN"/>
          <w14:textFill>
            <w14:solidFill>
              <w14:schemeClr w14:val="tx1"/>
            </w14:solidFill>
          </w14:textFill>
        </w:rPr>
        <w:t>处任</w:t>
      </w:r>
      <w:r>
        <w:rPr>
          <w:rFonts w:hint="eastAsia" w:ascii="宋体" w:hAnsi="宋体"/>
          <w:color w:val="000000" w:themeColor="text1"/>
          <w:sz w:val="28"/>
          <w:u w:val="single"/>
          <w:lang w:val="zh-CN"/>
          <w14:textFill>
            <w14:solidFill>
              <w14:schemeClr w14:val="tx1"/>
            </w14:solidFill>
          </w14:textFill>
        </w:rPr>
        <w:t xml:space="preserve">         XXXX（职务名称）</w:t>
      </w:r>
      <w:r>
        <w:rPr>
          <w:rFonts w:hint="eastAsia" w:ascii="宋体" w:hAnsi="宋体"/>
          <w:color w:val="000000" w:themeColor="text1"/>
          <w:sz w:val="28"/>
          <w:lang w:val="zh-CN"/>
          <w14:textFill>
            <w14:solidFill>
              <w14:schemeClr w14:val="tx1"/>
            </w14:solidFill>
          </w14:textFill>
        </w:rPr>
        <w:t>职务，是</w:t>
      </w:r>
      <w:r>
        <w:rPr>
          <w:rFonts w:hint="eastAsia" w:ascii="宋体" w:hAnsi="宋体"/>
          <w:color w:val="000000" w:themeColor="text1"/>
          <w:sz w:val="28"/>
          <w:szCs w:val="28"/>
          <w:u w:val="single"/>
          <w14:textFill>
            <w14:solidFill>
              <w14:schemeClr w14:val="tx1"/>
            </w14:solidFill>
          </w14:textFill>
        </w:rPr>
        <w:t>XXXX</w:t>
      </w:r>
      <w:r>
        <w:rPr>
          <w:rFonts w:hint="eastAsia" w:ascii="宋体" w:hAnsi="宋体"/>
          <w:color w:val="000000" w:themeColor="text1"/>
          <w:sz w:val="28"/>
          <w:u w:val="single"/>
          <w:lang w:val="zh-CN"/>
          <w14:textFill>
            <w14:solidFill>
              <w14:schemeClr w14:val="tx1"/>
            </w14:solidFill>
          </w14:textFill>
        </w:rPr>
        <w:t>（投标人名称）</w:t>
      </w:r>
      <w:r>
        <w:rPr>
          <w:rFonts w:hint="eastAsia" w:ascii="宋体" w:hAnsi="宋体"/>
          <w:color w:val="000000" w:themeColor="text1"/>
          <w:sz w:val="28"/>
          <w:lang w:val="zh-CN"/>
          <w14:textFill>
            <w14:solidFill>
              <w14:schemeClr w14:val="tx1"/>
            </w14:solidFill>
          </w14:textFill>
        </w:rPr>
        <w:t>的法定代表人。</w:t>
      </w:r>
    </w:p>
    <w:p>
      <w:pPr>
        <w:tabs>
          <w:tab w:val="left" w:pos="6300"/>
        </w:tabs>
        <w:rPr>
          <w:rFonts w:ascii="宋体" w:hAnsi="宋体"/>
          <w:color w:val="000000" w:themeColor="text1"/>
          <w:sz w:val="28"/>
          <w:lang w:val="zh-CN"/>
          <w14:textFill>
            <w14:solidFill>
              <w14:schemeClr w14:val="tx1"/>
            </w14:solidFill>
          </w14:textFill>
        </w:rPr>
      </w:pPr>
    </w:p>
    <w:p>
      <w:pPr>
        <w:tabs>
          <w:tab w:val="left" w:pos="6300"/>
        </w:tabs>
        <w:rPr>
          <w:rFonts w:ascii="宋体" w:hAnsi="宋体"/>
          <w:color w:val="000000" w:themeColor="text1"/>
          <w:sz w:val="28"/>
          <w:lang w:val="zh-CN"/>
          <w14:textFill>
            <w14:solidFill>
              <w14:schemeClr w14:val="tx1"/>
            </w14:solidFill>
          </w14:textFill>
        </w:rPr>
      </w:pPr>
    </w:p>
    <w:p>
      <w:pPr>
        <w:tabs>
          <w:tab w:val="left" w:pos="6300"/>
        </w:tabs>
        <w:rPr>
          <w:rFonts w:ascii="宋体" w:hAnsi="宋体"/>
          <w:color w:val="000000" w:themeColor="text1"/>
          <w:sz w:val="28"/>
          <w:lang w:val="zh-CN"/>
          <w14:textFill>
            <w14:solidFill>
              <w14:schemeClr w14:val="tx1"/>
            </w14:solidFill>
          </w14:textFill>
        </w:rPr>
      </w:pPr>
    </w:p>
    <w:p>
      <w:pPr>
        <w:tabs>
          <w:tab w:val="left" w:pos="6300"/>
        </w:tabs>
        <w:rPr>
          <w:rFonts w:ascii="宋体" w:hAnsi="宋体"/>
          <w:color w:val="000000" w:themeColor="text1"/>
          <w:sz w:val="28"/>
          <w:lang w:val="zh-CN"/>
          <w14:textFill>
            <w14:solidFill>
              <w14:schemeClr w14:val="tx1"/>
            </w14:solidFill>
          </w14:textFill>
        </w:rPr>
      </w:pPr>
    </w:p>
    <w:p>
      <w:pPr>
        <w:tabs>
          <w:tab w:val="left" w:pos="6300"/>
        </w:tabs>
        <w:rPr>
          <w:rFonts w:ascii="宋体" w:hAnsi="宋体"/>
          <w:color w:val="000000" w:themeColor="text1"/>
          <w:sz w:val="28"/>
          <w:lang w:val="zh-CN"/>
          <w14:textFill>
            <w14:solidFill>
              <w14:schemeClr w14:val="tx1"/>
            </w14:solidFill>
          </w14:textFill>
        </w:rPr>
      </w:pPr>
    </w:p>
    <w:p>
      <w:pPr>
        <w:tabs>
          <w:tab w:val="left" w:pos="6300"/>
        </w:tabs>
        <w:rPr>
          <w:rFonts w:ascii="宋体" w:hAnsi="宋体"/>
          <w:color w:val="000000" w:themeColor="text1"/>
          <w:sz w:val="28"/>
          <w:lang w:val="zh-CN"/>
          <w14:textFill>
            <w14:solidFill>
              <w14:schemeClr w14:val="tx1"/>
            </w14:solidFill>
          </w14:textFill>
        </w:rPr>
      </w:pPr>
    </w:p>
    <w:p>
      <w:pPr>
        <w:tabs>
          <w:tab w:val="left" w:pos="6300"/>
        </w:tabs>
        <w:ind w:firstLine="573"/>
        <w:rPr>
          <w:rFonts w:ascii="宋体" w:hAnsi="宋体"/>
          <w:color w:val="000000" w:themeColor="text1"/>
          <w:sz w:val="28"/>
          <w:lang w:val="zh-CN"/>
          <w14:textFill>
            <w14:solidFill>
              <w14:schemeClr w14:val="tx1"/>
            </w14:solidFill>
          </w14:textFill>
        </w:rPr>
      </w:pPr>
    </w:p>
    <w:p>
      <w:pPr>
        <w:tabs>
          <w:tab w:val="left" w:pos="6300"/>
        </w:tabs>
        <w:ind w:firstLine="573"/>
        <w:rPr>
          <w:rFonts w:ascii="宋体" w:hAnsi="宋体"/>
          <w:color w:val="000000" w:themeColor="text1"/>
          <w:sz w:val="28"/>
          <w:lang w:val="zh-CN"/>
          <w14:textFill>
            <w14:solidFill>
              <w14:schemeClr w14:val="tx1"/>
            </w14:solidFill>
          </w14:textFill>
        </w:rPr>
      </w:pPr>
      <w:bookmarkStart w:id="217" w:name="_Toc263768866"/>
      <w:r>
        <w:rPr>
          <w:rFonts w:hint="eastAsia" w:ascii="宋体" w:hAnsi="宋体"/>
          <w:color w:val="000000" w:themeColor="text1"/>
          <w:sz w:val="28"/>
          <w:lang w:val="zh-CN"/>
          <w14:textFill>
            <w14:solidFill>
              <w14:schemeClr w14:val="tx1"/>
            </w14:solidFill>
          </w14:textFill>
        </w:rPr>
        <w:t>特此证明。</w:t>
      </w:r>
      <w:bookmarkEnd w:id="217"/>
    </w:p>
    <w:p>
      <w:pPr>
        <w:tabs>
          <w:tab w:val="left" w:pos="6300"/>
        </w:tabs>
        <w:rPr>
          <w:rFonts w:ascii="宋体" w:hAnsi="宋体"/>
          <w:color w:val="000000" w:themeColor="text1"/>
          <w:sz w:val="28"/>
          <w:lang w:val="zh-CN"/>
          <w14:textFill>
            <w14:solidFill>
              <w14:schemeClr w14:val="tx1"/>
            </w14:solidFill>
          </w14:textFill>
        </w:rPr>
      </w:pPr>
    </w:p>
    <w:p>
      <w:pPr>
        <w:tabs>
          <w:tab w:val="left" w:pos="6300"/>
        </w:tabs>
        <w:rPr>
          <w:rFonts w:ascii="宋体" w:hAnsi="宋体"/>
          <w:color w:val="000000" w:themeColor="text1"/>
          <w:sz w:val="28"/>
          <w:lang w:val="zh-CN"/>
          <w14:textFill>
            <w14:solidFill>
              <w14:schemeClr w14:val="tx1"/>
            </w14:solidFill>
          </w14:textFill>
        </w:rPr>
      </w:pPr>
    </w:p>
    <w:p>
      <w:pPr>
        <w:ind w:firstLine="560" w:firstLineChars="200"/>
        <w:rPr>
          <w:rFonts w:ascii="宋体" w:hAnsi="宋体"/>
          <w:color w:val="000000" w:themeColor="text1"/>
          <w:sz w:val="28"/>
          <w:lang w:val="zh-CN"/>
          <w14:textFill>
            <w14:solidFill>
              <w14:schemeClr w14:val="tx1"/>
            </w14:solidFill>
          </w14:textFill>
        </w:rPr>
      </w:pPr>
      <w:r>
        <w:rPr>
          <w:rFonts w:hint="eastAsia" w:ascii="宋体" w:hAnsi="宋体"/>
          <w:color w:val="000000" w:themeColor="text1"/>
          <w:sz w:val="28"/>
          <w:lang w:val="zh-CN"/>
          <w14:textFill>
            <w14:solidFill>
              <w14:schemeClr w14:val="tx1"/>
            </w14:solidFill>
          </w14:textFill>
        </w:rPr>
        <w:t>投标人名称：</w:t>
      </w:r>
      <w:r>
        <w:rPr>
          <w:rFonts w:hint="eastAsia" w:ascii="宋体" w:hAnsi="宋体"/>
          <w:color w:val="000000" w:themeColor="text1"/>
          <w:sz w:val="28"/>
          <w:szCs w:val="28"/>
          <w14:textFill>
            <w14:solidFill>
              <w14:schemeClr w14:val="tx1"/>
            </w14:solidFill>
          </w14:textFill>
        </w:rPr>
        <w:t>XXXX</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14:textFill>
            <w14:solidFill>
              <w14:schemeClr w14:val="tx1"/>
            </w14:solidFill>
          </w14:textFill>
        </w:rPr>
        <w:t>日期：</w:t>
      </w:r>
      <w:r>
        <w:rPr>
          <w:rFonts w:hint="eastAsia" w:ascii="宋体" w:hAnsi="宋体"/>
          <w:color w:val="000000" w:themeColor="text1"/>
          <w:sz w:val="28"/>
          <w:szCs w:val="28"/>
          <w14:textFill>
            <w14:solidFill>
              <w14:schemeClr w14:val="tx1"/>
            </w14:solidFill>
          </w14:textFill>
        </w:rPr>
        <w:t>20XX</w:t>
      </w:r>
      <w:r>
        <w:rPr>
          <w:rFonts w:hint="eastAsia" w:ascii="宋体" w:hAnsi="宋体"/>
          <w:color w:val="000000" w:themeColor="text1"/>
          <w:sz w:val="28"/>
          <w14:textFill>
            <w14:solidFill>
              <w14:schemeClr w14:val="tx1"/>
            </w14:solidFill>
          </w14:textFill>
        </w:rPr>
        <w:t xml:space="preserve"> 年</w:t>
      </w:r>
      <w:r>
        <w:rPr>
          <w:rFonts w:hint="eastAsia" w:ascii="宋体" w:hAnsi="宋体"/>
          <w:color w:val="000000" w:themeColor="text1"/>
          <w:sz w:val="28"/>
          <w:szCs w:val="28"/>
          <w14:textFill>
            <w14:solidFill>
              <w14:schemeClr w14:val="tx1"/>
            </w14:solidFill>
          </w14:textFill>
        </w:rPr>
        <w:t>XX</w:t>
      </w:r>
      <w:r>
        <w:rPr>
          <w:rFonts w:hint="eastAsia" w:ascii="宋体" w:hAnsi="宋体"/>
          <w:color w:val="000000" w:themeColor="text1"/>
          <w:sz w:val="28"/>
          <w14:textFill>
            <w14:solidFill>
              <w14:schemeClr w14:val="tx1"/>
            </w14:solidFill>
          </w14:textFill>
        </w:rPr>
        <w:t>月</w:t>
      </w:r>
      <w:r>
        <w:rPr>
          <w:rFonts w:hint="eastAsia" w:ascii="宋体" w:hAnsi="宋体"/>
          <w:color w:val="000000" w:themeColor="text1"/>
          <w:sz w:val="28"/>
          <w:szCs w:val="28"/>
          <w14:textFill>
            <w14:solidFill>
              <w14:schemeClr w14:val="tx1"/>
            </w14:solidFill>
          </w14:textFill>
        </w:rPr>
        <w:t>XX</w:t>
      </w:r>
      <w:r>
        <w:rPr>
          <w:rFonts w:hint="eastAsia" w:ascii="宋体" w:hAnsi="宋体"/>
          <w:color w:val="000000" w:themeColor="text1"/>
          <w:sz w:val="28"/>
          <w14:textFill>
            <w14:solidFill>
              <w14:schemeClr w14:val="tx1"/>
            </w14:solidFill>
          </w14:textFill>
        </w:rPr>
        <w:t>日</w:t>
      </w:r>
    </w:p>
    <w:p>
      <w:pPr>
        <w:tabs>
          <w:tab w:val="left" w:pos="6300"/>
        </w:tabs>
        <w:rPr>
          <w:rFonts w:ascii="宋体" w:hAnsi="宋体"/>
          <w:b/>
          <w:color w:val="000000" w:themeColor="text1"/>
          <w:sz w:val="28"/>
          <w:u w:val="single"/>
          <w:lang w:val="zh-CN"/>
          <w14:textFill>
            <w14:solidFill>
              <w14:schemeClr w14:val="tx1"/>
            </w14:solidFill>
          </w14:textFill>
        </w:rPr>
      </w:pPr>
    </w:p>
    <w:p>
      <w:pPr>
        <w:pStyle w:val="13"/>
        <w:spacing w:line="240" w:lineRule="auto"/>
        <w:ind w:firstLine="568" w:firstLineChars="20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说明：上述证明文件在投标文件中附有法定代表人身份证复印件（身份证两面均应复印）或护照复印件（供应商的法定代表人为外籍人士的，则提供护照复印件）时才能生效。</w:t>
      </w:r>
    </w:p>
    <w:bookmarkEnd w:id="208"/>
    <w:bookmarkEnd w:id="209"/>
    <w:bookmarkEnd w:id="210"/>
    <w:bookmarkEnd w:id="211"/>
    <w:bookmarkEnd w:id="212"/>
    <w:bookmarkEnd w:id="213"/>
    <w:bookmarkEnd w:id="214"/>
    <w:bookmarkEnd w:id="215"/>
    <w:bookmarkEnd w:id="216"/>
    <w:p>
      <w:pPr>
        <w:pStyle w:val="5"/>
        <w:numPr>
          <w:ilvl w:val="2"/>
          <w:numId w:val="4"/>
        </w:numPr>
        <w:spacing w:after="200" w:line="240" w:lineRule="auto"/>
        <w:ind w:left="851"/>
        <w:rPr>
          <w:color w:val="000000" w:themeColor="text1"/>
          <w14:textFill>
            <w14:solidFill>
              <w14:schemeClr w14:val="tx1"/>
            </w14:solidFill>
          </w14:textFill>
        </w:rPr>
      </w:pPr>
      <w:bookmarkStart w:id="218" w:name="_Toc302997926"/>
      <w:bookmarkStart w:id="219" w:name="_Toc263768870"/>
      <w:bookmarkStart w:id="220" w:name="_Toc220299393"/>
      <w:bookmarkStart w:id="221" w:name="_Toc263753605"/>
      <w:bookmarkStart w:id="222" w:name="_Toc217446083"/>
      <w:r>
        <w:rPr>
          <w:rFonts w:hint="eastAsia"/>
          <w:color w:val="000000" w:themeColor="text1"/>
          <w14:textFill>
            <w14:solidFill>
              <w14:schemeClr w14:val="tx1"/>
            </w14:solidFill>
          </w14:textFill>
        </w:rPr>
        <w:t>投标人基本情况表</w:t>
      </w:r>
      <w:bookmarkEnd w:id="218"/>
    </w:p>
    <w:tbl>
      <w:tblPr>
        <w:tblStyle w:val="43"/>
        <w:tblW w:w="852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5"/>
        <w:gridCol w:w="977"/>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5"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投标人名称</w:t>
            </w:r>
          </w:p>
        </w:tc>
        <w:tc>
          <w:tcPr>
            <w:tcW w:w="7005"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注册地址</w:t>
            </w:r>
          </w:p>
        </w:tc>
        <w:tc>
          <w:tcPr>
            <w:tcW w:w="34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联系方式</w:t>
            </w:r>
          </w:p>
        </w:tc>
        <w:tc>
          <w:tcPr>
            <w:tcW w:w="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5"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ascii="宋体" w:hAnsi="宋体"/>
                <w:color w:val="000000" w:themeColor="text1"/>
                <w:kern w:val="0"/>
                <w:szCs w:val="21"/>
                <w14:textFill>
                  <w14:solidFill>
                    <w14:schemeClr w14:val="tx1"/>
                  </w14:solidFill>
                </w14:textFill>
              </w:rPr>
            </w:pPr>
          </w:p>
        </w:tc>
        <w:tc>
          <w:tcPr>
            <w:tcW w:w="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单位性质</w:t>
            </w:r>
          </w:p>
        </w:tc>
        <w:tc>
          <w:tcPr>
            <w:tcW w:w="7005"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法定代表人</w:t>
            </w:r>
          </w:p>
        </w:tc>
        <w:tc>
          <w:tcPr>
            <w:tcW w:w="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5"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技术负责人</w:t>
            </w:r>
          </w:p>
        </w:tc>
        <w:tc>
          <w:tcPr>
            <w:tcW w:w="97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center"/>
              <w:rPr>
                <w:rFonts w:ascii="宋体" w:hAnsi="宋体"/>
                <w:bCs/>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5"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财务负责人</w:t>
            </w:r>
          </w:p>
        </w:tc>
        <w:tc>
          <w:tcPr>
            <w:tcW w:w="977"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成立时间</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ind w:firstLine="1470" w:firstLineChars="7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企业资质等级</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营业执照号</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themeColor="text1"/>
                <w:kern w:val="0"/>
                <w:szCs w:val="21"/>
                <w14:textFill>
                  <w14:solidFill>
                    <w14:schemeClr w14:val="tx1"/>
                  </w14:solidFill>
                </w14:textFill>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注册资金</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themeColor="text1"/>
                <w:kern w:val="0"/>
                <w:szCs w:val="21"/>
                <w14:textFill>
                  <w14:solidFill>
                    <w14:schemeClr w14:val="tx1"/>
                  </w14:solidFill>
                </w14:textFill>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开户银行</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themeColor="text1"/>
                <w:kern w:val="0"/>
                <w:szCs w:val="21"/>
                <w14:textFill>
                  <w14:solidFill>
                    <w14:schemeClr w14:val="tx1"/>
                  </w14:solidFill>
                </w14:textFill>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账号</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themeColor="text1"/>
                <w:kern w:val="0"/>
                <w:szCs w:val="21"/>
                <w14:textFill>
                  <w14:solidFill>
                    <w14:schemeClr w14:val="tx1"/>
                  </w14:solidFill>
                </w14:textFill>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37"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经营范围</w:t>
            </w:r>
          </w:p>
        </w:tc>
        <w:tc>
          <w:tcPr>
            <w:tcW w:w="7005"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rPr>
                <w:rFonts w:ascii="宋体" w:hAnsi="宋体"/>
                <w:bCs/>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2" w:hRule="atLeast"/>
          <w:jc w:val="center"/>
        </w:trPr>
        <w:tc>
          <w:tcPr>
            <w:tcW w:w="1515" w:type="dxa"/>
            <w:tcBorders>
              <w:top w:val="single" w:color="auto" w:sz="6" w:space="0"/>
              <w:left w:val="double" w:color="auto" w:sz="4" w:space="0"/>
              <w:bottom w:val="double" w:color="auto" w:sz="4" w:space="0"/>
              <w:right w:val="single" w:color="auto" w:sz="6" w:space="0"/>
            </w:tcBorders>
          </w:tcPr>
          <w:p>
            <w:pPr>
              <w:autoSpaceDE w:val="0"/>
              <w:autoSpaceDN w:val="0"/>
              <w:adjustRightIn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备注</w:t>
            </w:r>
          </w:p>
        </w:tc>
        <w:tc>
          <w:tcPr>
            <w:tcW w:w="7005"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jc w:val="left"/>
              <w:rPr>
                <w:rFonts w:ascii="宋体" w:hAnsi="宋体"/>
                <w:color w:val="000000" w:themeColor="text1"/>
                <w:kern w:val="0"/>
                <w:szCs w:val="21"/>
                <w14:textFill>
                  <w14:solidFill>
                    <w14:schemeClr w14:val="tx1"/>
                  </w14:solidFill>
                </w14:textFill>
              </w:rPr>
            </w:pPr>
          </w:p>
        </w:tc>
      </w:tr>
    </w:tbl>
    <w:p>
      <w:pPr>
        <w:adjustRightInd w:val="0"/>
        <w:jc w:val="left"/>
        <w:rPr>
          <w:rFonts w:ascii="宋体" w:hAnsi="宋体"/>
          <w:bCs/>
          <w:color w:val="000000" w:themeColor="text1"/>
          <w:sz w:val="28"/>
          <w:szCs w:val="28"/>
          <w14:textFill>
            <w14:solidFill>
              <w14:schemeClr w14:val="tx1"/>
            </w14:solidFill>
          </w14:textFill>
        </w:rPr>
      </w:pPr>
    </w:p>
    <w:p>
      <w:pPr>
        <w:pStyle w:val="25"/>
        <w:spacing w:line="240" w:lineRule="auto"/>
        <w:ind w:firstLine="288" w:firstLineChars="103"/>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投标人名称：XXXX</w:t>
      </w:r>
    </w:p>
    <w:p>
      <w:pPr>
        <w:adjustRightInd w:val="0"/>
        <w:ind w:firstLine="700" w:firstLineChars="250"/>
        <w:jc w:val="left"/>
        <w:rPr>
          <w:rFonts w:ascii="宋体" w:hAnsi="宋体"/>
          <w:bCs/>
          <w:color w:val="000000" w:themeColor="text1"/>
          <w:sz w:val="28"/>
          <w:szCs w:val="28"/>
          <w14:textFill>
            <w14:solidFill>
              <w14:schemeClr w14:val="tx1"/>
            </w14:solidFill>
          </w14:textFill>
        </w:rPr>
      </w:pPr>
      <w:r>
        <w:rPr>
          <w:rFonts w:hint="eastAsia" w:ascii="宋体" w:hAnsi="宋体"/>
          <w:color w:val="000000" w:themeColor="text1"/>
          <w:sz w:val="28"/>
          <w14:textFill>
            <w14:solidFill>
              <w14:schemeClr w14:val="tx1"/>
            </w14:solidFill>
          </w14:textFill>
        </w:rPr>
        <w:t>日期：</w:t>
      </w:r>
      <w:r>
        <w:rPr>
          <w:rFonts w:hint="eastAsia" w:ascii="宋体" w:hAnsi="宋体"/>
          <w:bCs/>
          <w:color w:val="000000" w:themeColor="text1"/>
          <w:sz w:val="28"/>
          <w14:textFill>
            <w14:solidFill>
              <w14:schemeClr w14:val="tx1"/>
            </w14:solidFill>
          </w14:textFill>
        </w:rPr>
        <w:t>20XX年XX</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14:textFill>
            <w14:solidFill>
              <w14:schemeClr w14:val="tx1"/>
            </w14:solidFill>
          </w14:textFill>
        </w:rPr>
        <w:t>XX</w:t>
      </w:r>
      <w:r>
        <w:rPr>
          <w:rFonts w:hint="eastAsia" w:ascii="宋体" w:hAnsi="宋体"/>
          <w:bCs/>
          <w:color w:val="000000" w:themeColor="text1"/>
          <w:sz w:val="28"/>
          <w:szCs w:val="28"/>
          <w14:textFill>
            <w14:solidFill>
              <w14:schemeClr w14:val="tx1"/>
            </w14:solidFill>
          </w14:textFill>
        </w:rPr>
        <w:t>日</w:t>
      </w:r>
      <w:bookmarkEnd w:id="219"/>
      <w:bookmarkEnd w:id="220"/>
      <w:bookmarkEnd w:id="221"/>
      <w:bookmarkStart w:id="223" w:name="_Toc263768873"/>
      <w:bookmarkStart w:id="224" w:name="_Toc220299404"/>
      <w:bookmarkStart w:id="225" w:name="_Toc263753615"/>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5"/>
        <w:numPr>
          <w:ilvl w:val="2"/>
          <w:numId w:val="4"/>
        </w:numPr>
        <w:spacing w:after="200" w:line="240" w:lineRule="auto"/>
        <w:ind w:left="851"/>
        <w:rPr>
          <w:color w:val="000000" w:themeColor="text1"/>
          <w14:textFill>
            <w14:solidFill>
              <w14:schemeClr w14:val="tx1"/>
            </w14:solidFill>
          </w14:textFill>
        </w:rPr>
      </w:pPr>
      <w:r>
        <w:rPr>
          <w:rFonts w:hint="eastAsia"/>
          <w:color w:val="000000" w:themeColor="text1"/>
          <w14:textFill>
            <w14:solidFill>
              <w14:schemeClr w14:val="tx1"/>
            </w14:solidFill>
          </w14:textFill>
        </w:rPr>
        <w:t>服务方案及服务承诺</w:t>
      </w:r>
    </w:p>
    <w:p>
      <w:pPr>
        <w:snapToGrid w:val="0"/>
        <w:rPr>
          <w:rFonts w:ascii="宋体" w:hAnsi="宋体"/>
          <w:b/>
          <w:color w:val="000000" w:themeColor="text1"/>
          <w:spacing w:val="-20"/>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hint="eastAsia" w:ascii="宋体" w:hAnsi="宋体"/>
          <w:b/>
          <w:color w:val="000000" w:themeColor="text1"/>
          <w:sz w:val="28"/>
          <w:szCs w:val="28"/>
          <w:u w:val="single"/>
          <w14:textFill>
            <w14:solidFill>
              <w14:schemeClr w14:val="tx1"/>
            </w14:solidFill>
          </w14:textFill>
        </w:rPr>
        <w:t>XXXX采购项目</w:t>
      </w:r>
    </w:p>
    <w:p>
      <w:pPr>
        <w:snapToGrid w:val="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u w:val="single"/>
          <w:lang w:val="en-US" w:eastAsia="zh-CN"/>
          <w14:textFill>
            <w14:solidFill>
              <w14:schemeClr w14:val="tx1"/>
            </w14:solidFill>
          </w14:textFill>
        </w:rPr>
        <w:t xml:space="preserve">JY3202       </w:t>
      </w:r>
      <w:r>
        <w:rPr>
          <w:rFonts w:hint="eastAsia" w:ascii="宋体" w:hAnsi="宋体"/>
          <w:b/>
          <w:color w:val="000000" w:themeColor="text1"/>
          <w:sz w:val="28"/>
          <w:szCs w:val="28"/>
          <w:u w:val="single"/>
          <w14:textFill>
            <w14:solidFill>
              <w14:schemeClr w14:val="tx1"/>
            </w14:solidFill>
          </w14:textFill>
        </w:rPr>
        <w:t>号</w:t>
      </w:r>
    </w:p>
    <w:p>
      <w:pPr>
        <w:pStyle w:val="25"/>
        <w:spacing w:line="240" w:lineRule="auto"/>
        <w:rPr>
          <w:rFonts w:ascii="宋体" w:hAnsi="宋体"/>
          <w:bCs/>
          <w:color w:val="000000" w:themeColor="text1"/>
          <w:sz w:val="28"/>
          <w:szCs w:val="28"/>
          <w14:textFill>
            <w14:solidFill>
              <w14:schemeClr w14:val="tx1"/>
            </w14:solidFill>
          </w14:textFill>
        </w:rPr>
      </w:pPr>
    </w:p>
    <w:p>
      <w:pPr>
        <w:pStyle w:val="25"/>
        <w:spacing w:line="240" w:lineRule="auto"/>
        <w:rPr>
          <w:rFonts w:ascii="宋体" w:hAnsi="宋体"/>
          <w:bCs/>
          <w:color w:val="000000" w:themeColor="text1"/>
          <w:sz w:val="28"/>
          <w:szCs w:val="28"/>
          <w14:textFill>
            <w14:solidFill>
              <w14:schemeClr w14:val="tx1"/>
            </w14:solidFill>
          </w14:textFill>
        </w:rPr>
      </w:pPr>
    </w:p>
    <w:p>
      <w:pPr>
        <w:pStyle w:val="25"/>
        <w:spacing w:line="240" w:lineRule="auto"/>
        <w:rPr>
          <w:rFonts w:ascii="宋体" w:hAnsi="宋体"/>
          <w:bCs/>
          <w:color w:val="000000" w:themeColor="text1"/>
          <w:sz w:val="28"/>
          <w:szCs w:val="28"/>
          <w14:textFill>
            <w14:solidFill>
              <w14:schemeClr w14:val="tx1"/>
            </w14:solidFill>
          </w14:textFill>
        </w:rPr>
      </w:pPr>
    </w:p>
    <w:p>
      <w:pPr>
        <w:pStyle w:val="25"/>
        <w:spacing w:line="240" w:lineRule="auto"/>
        <w:rPr>
          <w:rFonts w:ascii="宋体" w:hAnsi="宋体"/>
          <w:bCs/>
          <w:color w:val="000000" w:themeColor="text1"/>
          <w:sz w:val="28"/>
          <w:szCs w:val="28"/>
          <w14:textFill>
            <w14:solidFill>
              <w14:schemeClr w14:val="tx1"/>
            </w14:solidFill>
          </w14:textFill>
        </w:rPr>
      </w:pPr>
    </w:p>
    <w:p>
      <w:pPr>
        <w:pStyle w:val="25"/>
        <w:spacing w:line="240" w:lineRule="auto"/>
        <w:rPr>
          <w:rFonts w:ascii="宋体" w:hAnsi="宋体"/>
          <w:bCs/>
          <w:color w:val="000000" w:themeColor="text1"/>
          <w:sz w:val="28"/>
          <w:szCs w:val="28"/>
          <w14:textFill>
            <w14:solidFill>
              <w14:schemeClr w14:val="tx1"/>
            </w14:solidFill>
          </w14:textFill>
        </w:rPr>
      </w:pPr>
    </w:p>
    <w:p>
      <w:pPr>
        <w:pStyle w:val="25"/>
        <w:spacing w:line="240" w:lineRule="auto"/>
        <w:rPr>
          <w:rFonts w:ascii="宋体" w:hAnsi="宋体"/>
          <w:bCs/>
          <w:color w:val="000000" w:themeColor="text1"/>
          <w:sz w:val="28"/>
          <w:szCs w:val="28"/>
          <w14:textFill>
            <w14:solidFill>
              <w14:schemeClr w14:val="tx1"/>
            </w14:solidFill>
          </w14:textFill>
        </w:rPr>
      </w:pPr>
    </w:p>
    <w:p>
      <w:pPr>
        <w:pStyle w:val="25"/>
        <w:spacing w:line="240" w:lineRule="auto"/>
        <w:rPr>
          <w:rFonts w:ascii="宋体" w:hAnsi="宋体"/>
          <w:bCs/>
          <w:color w:val="000000" w:themeColor="text1"/>
          <w:sz w:val="28"/>
          <w:szCs w:val="28"/>
          <w14:textFill>
            <w14:solidFill>
              <w14:schemeClr w14:val="tx1"/>
            </w14:solidFill>
          </w14:textFill>
        </w:rPr>
      </w:pPr>
    </w:p>
    <w:p>
      <w:pPr>
        <w:pStyle w:val="25"/>
        <w:spacing w:line="240" w:lineRule="auto"/>
        <w:rPr>
          <w:rFonts w:ascii="宋体" w:hAnsi="宋体"/>
          <w:bCs/>
          <w:color w:val="000000" w:themeColor="text1"/>
          <w:sz w:val="28"/>
          <w:szCs w:val="28"/>
          <w14:textFill>
            <w14:solidFill>
              <w14:schemeClr w14:val="tx1"/>
            </w14:solidFill>
          </w14:textFill>
        </w:rPr>
      </w:pPr>
    </w:p>
    <w:p>
      <w:pPr>
        <w:pStyle w:val="25"/>
        <w:spacing w:line="240" w:lineRule="auto"/>
        <w:rPr>
          <w:rFonts w:ascii="宋体" w:hAnsi="宋体"/>
          <w:bCs/>
          <w:color w:val="000000" w:themeColor="text1"/>
          <w:sz w:val="28"/>
          <w:szCs w:val="28"/>
          <w14:textFill>
            <w14:solidFill>
              <w14:schemeClr w14:val="tx1"/>
            </w14:solidFill>
          </w14:textFill>
        </w:rPr>
      </w:pPr>
    </w:p>
    <w:p>
      <w:pPr>
        <w:pStyle w:val="25"/>
        <w:spacing w:line="240" w:lineRule="auto"/>
        <w:rPr>
          <w:rFonts w:ascii="宋体" w:hAnsi="宋体"/>
          <w:bCs/>
          <w:color w:val="000000" w:themeColor="text1"/>
          <w:sz w:val="28"/>
          <w:szCs w:val="28"/>
          <w14:textFill>
            <w14:solidFill>
              <w14:schemeClr w14:val="tx1"/>
            </w14:solidFill>
          </w14:textFill>
        </w:rPr>
      </w:pPr>
    </w:p>
    <w:p>
      <w:pPr>
        <w:pStyle w:val="25"/>
        <w:spacing w:line="240" w:lineRule="auto"/>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投标人名称：XXXX</w:t>
      </w:r>
    </w:p>
    <w:p>
      <w:pPr>
        <w:adjustRightInd w:val="0"/>
        <w:ind w:firstLine="420" w:firstLineChars="150"/>
        <w:jc w:val="left"/>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日期：20XX年XX月XX日</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5"/>
        <w:numPr>
          <w:ilvl w:val="2"/>
          <w:numId w:val="4"/>
        </w:numPr>
        <w:spacing w:after="200" w:line="240" w:lineRule="auto"/>
        <w:ind w:left="851"/>
        <w:rPr>
          <w:bCs w:val="0"/>
          <w:color w:val="000000" w:themeColor="text1"/>
          <w14:textFill>
            <w14:solidFill>
              <w14:schemeClr w14:val="tx1"/>
            </w14:solidFill>
          </w14:textFill>
        </w:rPr>
      </w:pPr>
      <w:r>
        <w:rPr>
          <w:rFonts w:hint="eastAsia"/>
          <w:bCs w:val="0"/>
          <w:color w:val="000000" w:themeColor="text1"/>
          <w14:textFill>
            <w14:solidFill>
              <w14:schemeClr w14:val="tx1"/>
            </w14:solidFill>
          </w14:textFill>
        </w:rPr>
        <w:t>承诺函</w:t>
      </w:r>
    </w:p>
    <w:p>
      <w:pPr>
        <w:snapToGrid w:val="0"/>
        <w:rPr>
          <w:rFonts w:ascii="宋体" w:hAnsi="宋体"/>
          <w:b/>
          <w:color w:val="000000" w:themeColor="text1"/>
          <w:spacing w:val="-20"/>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hint="eastAsia" w:ascii="宋体" w:hAnsi="宋体"/>
          <w:b/>
          <w:color w:val="000000" w:themeColor="text1"/>
          <w:sz w:val="28"/>
          <w:szCs w:val="28"/>
          <w:u w:val="single"/>
          <w14:textFill>
            <w14:solidFill>
              <w14:schemeClr w14:val="tx1"/>
            </w14:solidFill>
          </w14:textFill>
        </w:rPr>
        <w:t>XXXX采购项目</w:t>
      </w:r>
    </w:p>
    <w:p>
      <w:pPr>
        <w:snapToGrid w:val="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u w:val="single"/>
          <w:lang w:val="en-US" w:eastAsia="zh-CN"/>
          <w14:textFill>
            <w14:solidFill>
              <w14:schemeClr w14:val="tx1"/>
            </w14:solidFill>
          </w14:textFill>
        </w:rPr>
        <w:t xml:space="preserve">JY3202       </w:t>
      </w:r>
      <w:r>
        <w:rPr>
          <w:rFonts w:hint="eastAsia" w:ascii="宋体" w:hAnsi="宋体"/>
          <w:b/>
          <w:color w:val="000000" w:themeColor="text1"/>
          <w:sz w:val="28"/>
          <w:szCs w:val="28"/>
          <w:u w:val="single"/>
          <w14:textFill>
            <w14:solidFill>
              <w14:schemeClr w14:val="tx1"/>
            </w14:solidFill>
          </w14:textFill>
        </w:rPr>
        <w:t>号</w:t>
      </w:r>
    </w:p>
    <w:p>
      <w:pPr>
        <w:adjustRightInd w:val="0"/>
        <w:snapToGrid w:val="0"/>
        <w:spacing w:line="360" w:lineRule="auto"/>
        <w:rPr>
          <w:rFonts w:ascii="宋体" w:hAnsi="宋体"/>
          <w:color w:val="000000" w:themeColor="text1"/>
          <w:sz w:val="30"/>
          <w:szCs w:val="30"/>
          <w14:textFill>
            <w14:solidFill>
              <w14:schemeClr w14:val="tx1"/>
            </w14:solidFill>
          </w14:textFill>
        </w:rPr>
      </w:pPr>
    </w:p>
    <w:p>
      <w:pPr>
        <w:adjustRightInd w:val="0"/>
        <w:snapToGrid w:val="0"/>
        <w:spacing w:line="360" w:lineRule="auto"/>
        <w:ind w:firstLine="602" w:firstLineChars="201"/>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我公司作为参加本项目的投标人，在此郑重承诺：</w:t>
      </w:r>
    </w:p>
    <w:p>
      <w:pPr>
        <w:pStyle w:val="2"/>
        <w:ind w:firstLine="600" w:firstLineChars="200"/>
      </w:pPr>
      <w:r>
        <w:rPr>
          <w:rFonts w:hint="eastAsia" w:ascii="宋体" w:hAnsi="宋体"/>
          <w:color w:val="000000"/>
          <w:sz w:val="30"/>
          <w:szCs w:val="30"/>
        </w:rPr>
        <w:t>一、我方为本项目提供的所有服务符合现行的强制性国家相关标准、行业标准。</w:t>
      </w:r>
    </w:p>
    <w:p>
      <w:pPr>
        <w:pStyle w:val="50"/>
      </w:pPr>
    </w:p>
    <w:p>
      <w:pPr>
        <w:numPr>
          <w:ilvl w:val="0"/>
          <w:numId w:val="0"/>
        </w:numPr>
        <w:spacing w:line="360" w:lineRule="auto"/>
        <w:ind w:firstLine="600" w:firstLineChars="200"/>
        <w:rPr>
          <w:rFonts w:hint="eastAsia" w:ascii="宋体" w:hAnsi="宋体" w:eastAsia="宋体"/>
          <w:color w:val="000000" w:themeColor="text1"/>
          <w:sz w:val="30"/>
          <w:szCs w:val="30"/>
          <w:lang w:eastAsia="zh-CN"/>
          <w14:textFill>
            <w14:solidFill>
              <w14:schemeClr w14:val="tx1"/>
            </w14:solidFill>
          </w14:textFill>
        </w:rPr>
      </w:pPr>
      <w:r>
        <w:rPr>
          <w:rFonts w:hint="eastAsia" w:ascii="宋体" w:hAnsi="宋体"/>
          <w:color w:val="FF0000"/>
          <w:sz w:val="30"/>
          <w:szCs w:val="30"/>
          <w:lang w:eastAsia="zh-CN"/>
        </w:rPr>
        <w:t>二、除按招标文件提供的证明材料外，</w:t>
      </w:r>
      <w:r>
        <w:rPr>
          <w:rFonts w:hint="eastAsia" w:ascii="宋体" w:hAnsi="宋体"/>
          <w:color w:val="FF0000"/>
          <w:sz w:val="30"/>
          <w:szCs w:val="30"/>
        </w:rPr>
        <w:t>投标文件均实质性响应招标文件中</w:t>
      </w:r>
      <w:r>
        <w:rPr>
          <w:rFonts w:hint="eastAsia" w:ascii="宋体" w:hAnsi="宋体"/>
          <w:color w:val="FF0000"/>
          <w:sz w:val="30"/>
          <w:szCs w:val="30"/>
          <w:lang w:eastAsia="zh-CN"/>
        </w:rPr>
        <w:t>第</w:t>
      </w:r>
      <w:r>
        <w:rPr>
          <w:rFonts w:hint="eastAsia" w:ascii="宋体" w:hAnsi="宋体"/>
          <w:color w:val="FF0000"/>
          <w:sz w:val="30"/>
          <w:szCs w:val="30"/>
          <w:lang w:val="en-US" w:eastAsia="zh-CN"/>
        </w:rPr>
        <w:t>4章其他</w:t>
      </w:r>
      <w:r>
        <w:rPr>
          <w:rFonts w:hint="eastAsia" w:ascii="宋体" w:hAnsi="宋体"/>
          <w:color w:val="FF0000"/>
          <w:sz w:val="30"/>
          <w:szCs w:val="30"/>
        </w:rPr>
        <w:t>加★号的服务、商务和其他要求</w:t>
      </w:r>
      <w:r>
        <w:rPr>
          <w:rFonts w:hint="eastAsia" w:ascii="宋体" w:hAnsi="宋体"/>
          <w:color w:val="000000" w:themeColor="text1"/>
          <w:sz w:val="30"/>
          <w:szCs w:val="30"/>
          <w:lang w:eastAsia="zh-CN"/>
          <w14:textFill>
            <w14:solidFill>
              <w14:schemeClr w14:val="tx1"/>
            </w14:solidFill>
          </w14:textFill>
        </w:rPr>
        <w:t>。</w:t>
      </w:r>
    </w:p>
    <w:p>
      <w:pPr>
        <w:numPr>
          <w:ilvl w:val="0"/>
          <w:numId w:val="0"/>
        </w:numPr>
        <w:spacing w:line="360" w:lineRule="auto"/>
        <w:ind w:firstLine="560" w:firstLineChars="200"/>
        <w:rPr>
          <w:rFonts w:hint="eastAsia" w:ascii="宋体" w:hAnsi="宋体"/>
          <w:color w:val="0070C0"/>
          <w:sz w:val="28"/>
          <w:szCs w:val="28"/>
        </w:rPr>
      </w:pPr>
    </w:p>
    <w:p>
      <w:pPr>
        <w:numPr>
          <w:ilvl w:val="0"/>
          <w:numId w:val="0"/>
        </w:numPr>
        <w:spacing w:line="360" w:lineRule="auto"/>
        <w:ind w:firstLine="560" w:firstLineChars="200"/>
        <w:rPr>
          <w:rFonts w:hint="eastAsia" w:ascii="宋体" w:hAnsi="宋体"/>
          <w:color w:val="0070C0"/>
          <w:sz w:val="28"/>
          <w:szCs w:val="28"/>
        </w:rPr>
      </w:pPr>
    </w:p>
    <w:p>
      <w:pPr>
        <w:numPr>
          <w:ilvl w:val="0"/>
          <w:numId w:val="0"/>
        </w:numPr>
        <w:spacing w:line="360" w:lineRule="auto"/>
        <w:ind w:firstLine="560" w:firstLineChars="200"/>
        <w:rPr>
          <w:rFonts w:ascii="宋体" w:hAnsi="宋体"/>
          <w:color w:val="0070C0"/>
          <w:sz w:val="28"/>
          <w:szCs w:val="28"/>
        </w:rPr>
      </w:pPr>
      <w:r>
        <w:rPr>
          <w:rFonts w:hint="eastAsia" w:ascii="宋体" w:hAnsi="宋体"/>
          <w:color w:val="0070C0"/>
          <w:sz w:val="28"/>
          <w:szCs w:val="28"/>
        </w:rPr>
        <w:t>特此承诺。</w:t>
      </w:r>
    </w:p>
    <w:p>
      <w:pPr>
        <w:pStyle w:val="25"/>
        <w:spacing w:line="500" w:lineRule="exact"/>
        <w:ind w:firstLine="145" w:firstLineChars="52"/>
        <w:rPr>
          <w:rFonts w:hint="eastAsia" w:ascii="宋体" w:hAnsi="宋体"/>
          <w:bCs/>
          <w:color w:val="0070C0"/>
          <w:sz w:val="28"/>
          <w:szCs w:val="28"/>
        </w:rPr>
      </w:pPr>
    </w:p>
    <w:p>
      <w:pPr>
        <w:pStyle w:val="25"/>
        <w:spacing w:line="500" w:lineRule="exact"/>
        <w:ind w:firstLine="145" w:firstLineChars="52"/>
        <w:rPr>
          <w:rFonts w:hint="eastAsia" w:ascii="宋体" w:hAnsi="宋体"/>
          <w:bCs/>
          <w:color w:val="0070C0"/>
          <w:sz w:val="28"/>
          <w:szCs w:val="28"/>
        </w:rPr>
      </w:pPr>
    </w:p>
    <w:p>
      <w:pPr>
        <w:pStyle w:val="25"/>
        <w:spacing w:line="500" w:lineRule="exact"/>
        <w:ind w:firstLine="145" w:firstLineChars="52"/>
        <w:rPr>
          <w:rFonts w:hint="eastAsia" w:ascii="宋体" w:hAnsi="宋体"/>
          <w:bCs/>
          <w:color w:val="0070C0"/>
          <w:sz w:val="28"/>
          <w:szCs w:val="28"/>
        </w:rPr>
      </w:pPr>
    </w:p>
    <w:p>
      <w:pPr>
        <w:pStyle w:val="25"/>
        <w:spacing w:line="500" w:lineRule="exact"/>
        <w:ind w:firstLine="145" w:firstLineChars="52"/>
        <w:rPr>
          <w:rFonts w:hint="eastAsia" w:ascii="宋体" w:hAnsi="宋体"/>
          <w:bCs/>
          <w:color w:val="0070C0"/>
          <w:sz w:val="28"/>
          <w:szCs w:val="28"/>
        </w:rPr>
      </w:pPr>
    </w:p>
    <w:p>
      <w:pPr>
        <w:pStyle w:val="25"/>
        <w:spacing w:line="500" w:lineRule="exact"/>
        <w:ind w:firstLine="145" w:firstLineChars="52"/>
        <w:rPr>
          <w:rFonts w:hint="eastAsia" w:ascii="宋体" w:hAnsi="宋体"/>
          <w:bCs/>
          <w:color w:val="0070C0"/>
          <w:sz w:val="28"/>
          <w:szCs w:val="28"/>
        </w:rPr>
      </w:pPr>
    </w:p>
    <w:p>
      <w:pPr>
        <w:pStyle w:val="25"/>
        <w:spacing w:line="500" w:lineRule="exact"/>
        <w:ind w:firstLine="145" w:firstLineChars="52"/>
        <w:rPr>
          <w:rFonts w:hint="eastAsia" w:ascii="宋体" w:hAnsi="宋体"/>
          <w:bCs/>
          <w:color w:val="0070C0"/>
          <w:sz w:val="28"/>
          <w:szCs w:val="28"/>
        </w:rPr>
      </w:pPr>
    </w:p>
    <w:p>
      <w:pPr>
        <w:pStyle w:val="25"/>
        <w:spacing w:line="500" w:lineRule="exact"/>
        <w:ind w:left="0" w:leftChars="0" w:firstLine="560" w:firstLineChars="200"/>
        <w:rPr>
          <w:rFonts w:ascii="宋体" w:hAnsi="宋体"/>
          <w:bCs/>
          <w:color w:val="0070C0"/>
          <w:sz w:val="28"/>
          <w:szCs w:val="28"/>
        </w:rPr>
      </w:pPr>
      <w:r>
        <w:rPr>
          <w:rFonts w:hint="eastAsia" w:ascii="宋体" w:hAnsi="宋体"/>
          <w:bCs/>
          <w:color w:val="0070C0"/>
          <w:sz w:val="28"/>
          <w:szCs w:val="28"/>
        </w:rPr>
        <w:t>投标人名称：XXXX</w:t>
      </w:r>
    </w:p>
    <w:p>
      <w:pPr>
        <w:ind w:firstLine="560" w:firstLineChars="200"/>
        <w:rPr>
          <w:rFonts w:ascii="宋体" w:hAnsi="宋体"/>
          <w:color w:val="000000" w:themeColor="text1"/>
          <w:sz w:val="30"/>
          <w:szCs w:val="30"/>
          <w14:textFill>
            <w14:solidFill>
              <w14:schemeClr w14:val="tx1"/>
            </w14:solidFill>
          </w14:textFill>
        </w:rPr>
      </w:pPr>
      <w:r>
        <w:rPr>
          <w:rFonts w:hint="eastAsia" w:ascii="宋体" w:hAnsi="宋体"/>
          <w:color w:val="0070C0"/>
          <w:sz w:val="28"/>
        </w:rPr>
        <w:t>日期：</w:t>
      </w:r>
      <w:r>
        <w:rPr>
          <w:rFonts w:hint="eastAsia" w:ascii="宋体" w:hAnsi="宋体"/>
          <w:bCs/>
          <w:color w:val="0070C0"/>
          <w:sz w:val="28"/>
        </w:rPr>
        <w:t>20XX年XX月XX日</w:t>
      </w:r>
    </w:p>
    <w:p>
      <w:r>
        <w:br w:type="page"/>
      </w:r>
    </w:p>
    <w:p/>
    <w:p>
      <w:pPr>
        <w:keepNext/>
        <w:keepLines/>
        <w:numPr>
          <w:ilvl w:val="1"/>
          <w:numId w:val="4"/>
        </w:numPr>
        <w:spacing w:before="260" w:after="260" w:line="360" w:lineRule="auto"/>
        <w:jc w:val="left"/>
        <w:outlineLvl w:val="1"/>
        <w:rPr>
          <w:rFonts w:ascii="宋体" w:hAnsi="宋体"/>
          <w:b/>
          <w:sz w:val="28"/>
        </w:rPr>
      </w:pPr>
      <w:bookmarkStart w:id="226" w:name="_Toc73619745"/>
      <w:r>
        <w:rPr>
          <w:rFonts w:hint="eastAsia" w:ascii="宋体" w:hAnsi="宋体"/>
          <w:b/>
          <w:sz w:val="28"/>
        </w:rPr>
        <w:t>报价</w:t>
      </w:r>
      <w:r>
        <w:rPr>
          <w:rFonts w:hint="eastAsia" w:ascii="宋体" w:hAnsi="宋体"/>
          <w:b/>
          <w:bCs/>
          <w:sz w:val="28"/>
          <w:szCs w:val="28"/>
        </w:rPr>
        <w:t>要求</w:t>
      </w:r>
      <w:r>
        <w:rPr>
          <w:rFonts w:hint="eastAsia" w:ascii="宋体" w:hAnsi="宋体"/>
          <w:b/>
          <w:sz w:val="28"/>
        </w:rPr>
        <w:t>响应文件</w:t>
      </w:r>
      <w:bookmarkEnd w:id="226"/>
    </w:p>
    <w:p>
      <w:pPr>
        <w:keepNext/>
        <w:keepLines/>
        <w:numPr>
          <w:ilvl w:val="2"/>
          <w:numId w:val="4"/>
        </w:numPr>
        <w:spacing w:line="360" w:lineRule="auto"/>
        <w:ind w:left="3119" w:hanging="3119"/>
        <w:outlineLvl w:val="2"/>
        <w:rPr>
          <w:rFonts w:ascii="宋体" w:hAnsi="宋体"/>
          <w:b/>
          <w:bCs/>
          <w:sz w:val="28"/>
          <w:szCs w:val="28"/>
        </w:rPr>
      </w:pPr>
      <w:r>
        <w:rPr>
          <w:rFonts w:hint="eastAsia" w:ascii="宋体" w:hAnsi="宋体"/>
          <w:b/>
          <w:bCs/>
          <w:kern w:val="0"/>
          <w:sz w:val="28"/>
          <w:szCs w:val="28"/>
        </w:rPr>
        <w:t>开标一览表</w:t>
      </w:r>
    </w:p>
    <w:p>
      <w:pPr>
        <w:tabs>
          <w:tab w:val="left" w:pos="1134"/>
        </w:tabs>
        <w:spacing w:line="560" w:lineRule="exact"/>
        <w:ind w:firstLine="427" w:firstLineChars="152"/>
        <w:rPr>
          <w:rFonts w:ascii="宋体" w:hAnsi="宋体"/>
          <w:b/>
          <w:bCs/>
          <w:sz w:val="28"/>
          <w:szCs w:val="28"/>
        </w:rPr>
      </w:pPr>
      <w:r>
        <w:rPr>
          <w:rFonts w:hint="eastAsia" w:ascii="宋体" w:hAnsi="宋体"/>
          <w:b/>
          <w:bCs/>
          <w:sz w:val="28"/>
          <w:szCs w:val="28"/>
        </w:rPr>
        <w:t xml:space="preserve">标项1： </w:t>
      </w:r>
    </w:p>
    <w:tbl>
      <w:tblPr>
        <w:tblStyle w:val="44"/>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hint="eastAsia" w:ascii="宋体" w:hAnsi="宋体"/>
          <w:b/>
          <w:sz w:val="28"/>
          <w:szCs w:val="28"/>
        </w:rPr>
        <w:t>投标报价以投标人在政府采购云平台开标一览表中填写的报价为准。</w:t>
      </w:r>
    </w:p>
    <w:p>
      <w:pPr>
        <w:snapToGrid w:val="0"/>
        <w:spacing w:line="500" w:lineRule="exact"/>
        <w:ind w:left="1445" w:right="-57" w:rightChars="-27" w:hanging="1445" w:hangingChars="514"/>
        <w:rPr>
          <w:rFonts w:ascii="宋体" w:hAnsi="宋体"/>
          <w:b/>
          <w:bCs/>
          <w:sz w:val="28"/>
          <w:u w:val="single"/>
        </w:rPr>
      </w:pPr>
    </w:p>
    <w:p>
      <w:pPr>
        <w:spacing w:line="360" w:lineRule="auto"/>
        <w:rPr>
          <w:rFonts w:ascii="宋体" w:hAnsi="宋体"/>
          <w:b/>
          <w:sz w:val="28"/>
          <w:szCs w:val="28"/>
          <w:u w:val="single"/>
        </w:rPr>
      </w:pPr>
    </w:p>
    <w:p>
      <w:pPr>
        <w:rPr>
          <w:rFonts w:ascii="宋体" w:hAnsi="宋体"/>
          <w:b/>
          <w:sz w:val="28"/>
          <w:szCs w:val="28"/>
        </w:rPr>
      </w:pPr>
      <w:r>
        <w:rPr>
          <w:rFonts w:ascii="宋体" w:hAnsi="宋体"/>
          <w:b/>
          <w:sz w:val="28"/>
          <w:szCs w:val="28"/>
        </w:rPr>
        <w:br w:type="page"/>
      </w:r>
    </w:p>
    <w:p>
      <w:pPr>
        <w:pStyle w:val="2"/>
      </w:pPr>
    </w:p>
    <w:p>
      <w:pPr>
        <w:spacing w:line="440" w:lineRule="atLeast"/>
        <w:rPr>
          <w:rFonts w:ascii="宋体" w:hAnsi="宋体"/>
          <w:b/>
          <w:sz w:val="28"/>
          <w:szCs w:val="28"/>
        </w:rPr>
      </w:pPr>
    </w:p>
    <w:p>
      <w:pPr>
        <w:keepNext/>
        <w:keepLines/>
        <w:numPr>
          <w:ilvl w:val="2"/>
          <w:numId w:val="4"/>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snapToGrid w:val="0"/>
        <w:spacing w:line="440" w:lineRule="exact"/>
        <w:ind w:right="-624" w:rightChars="-297"/>
        <w:rPr>
          <w:rFonts w:ascii="宋体" w:hAnsi="宋体"/>
          <w:b/>
          <w:sz w:val="28"/>
        </w:rPr>
      </w:pPr>
      <w:r>
        <w:rPr>
          <w:rFonts w:hint="eastAsia" w:ascii="宋体" w:hAnsi="宋体"/>
          <w:b/>
          <w:sz w:val="28"/>
        </w:rPr>
        <w:t>项目名称：</w:t>
      </w:r>
      <w:r>
        <w:rPr>
          <w:rFonts w:ascii="宋体" w:hAnsi="宋体"/>
          <w:b/>
          <w:sz w:val="28"/>
          <w:szCs w:val="28"/>
          <w:u w:val="single"/>
        </w:rPr>
        <w:t>XXXX</w:t>
      </w:r>
      <w:r>
        <w:rPr>
          <w:rFonts w:hint="eastAsia" w:ascii="宋体" w:hAnsi="宋体"/>
          <w:b/>
          <w:sz w:val="28"/>
          <w:szCs w:val="28"/>
          <w:u w:val="single"/>
        </w:rPr>
        <w:t>采购项目</w:t>
      </w:r>
    </w:p>
    <w:p>
      <w:pPr>
        <w:snapToGrid w:val="0"/>
        <w:rPr>
          <w:rFonts w:ascii="宋体" w:hAnsi="宋体"/>
          <w:b/>
          <w:sz w:val="28"/>
          <w:szCs w:val="20"/>
        </w:rPr>
      </w:pPr>
      <w:r>
        <w:rPr>
          <w:rFonts w:hint="eastAsia" w:ascii="宋体" w:hAnsi="宋体"/>
          <w:b/>
          <w:sz w:val="28"/>
          <w:szCs w:val="20"/>
        </w:rPr>
        <w:t>项目编号：</w:t>
      </w:r>
      <w:r>
        <w:rPr>
          <w:rFonts w:hint="eastAsia" w:ascii="宋体" w:hAnsi="宋体"/>
          <w:b/>
          <w:color w:val="000000" w:themeColor="text1"/>
          <w:sz w:val="28"/>
          <w:szCs w:val="28"/>
          <w:u w:val="single"/>
          <w:lang w:val="en-US" w:eastAsia="zh-CN"/>
          <w14:textFill>
            <w14:solidFill>
              <w14:schemeClr w14:val="tx1"/>
            </w14:solidFill>
          </w14:textFill>
        </w:rPr>
        <w:t xml:space="preserve">JY3202       </w:t>
      </w:r>
      <w:r>
        <w:rPr>
          <w:rFonts w:hint="eastAsia" w:ascii="宋体" w:hAnsi="宋体"/>
          <w:b/>
          <w:color w:val="000000" w:themeColor="text1"/>
          <w:sz w:val="28"/>
          <w:szCs w:val="28"/>
          <w:u w:val="single"/>
          <w14:textFill>
            <w14:solidFill>
              <w14:schemeClr w14:val="tx1"/>
            </w14:solidFill>
          </w14:textFill>
        </w:rPr>
        <w:t>号</w:t>
      </w:r>
    </w:p>
    <w:tbl>
      <w:tblPr>
        <w:tblStyle w:val="43"/>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824"/>
        <w:gridCol w:w="2552"/>
        <w:gridCol w:w="992"/>
        <w:gridCol w:w="1417"/>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24" w:type="dxa"/>
            <w:vAlign w:val="center"/>
          </w:tcPr>
          <w:p>
            <w:pPr>
              <w:widowControl/>
              <w:jc w:val="center"/>
              <w:rPr>
                <w:rFonts w:asciiTheme="majorEastAsia" w:hAnsiTheme="majorEastAsia" w:eastAsiaTheme="majorEastAsia" w:cstheme="majorEastAsia"/>
                <w:b/>
                <w:sz w:val="28"/>
              </w:rPr>
            </w:pPr>
            <w:r>
              <w:rPr>
                <w:rFonts w:hint="eastAsia" w:asciiTheme="majorEastAsia" w:hAnsiTheme="majorEastAsia" w:eastAsiaTheme="majorEastAsia" w:cstheme="majorEastAsia"/>
                <w:b/>
                <w:sz w:val="28"/>
              </w:rPr>
              <w:t>序号</w:t>
            </w:r>
          </w:p>
        </w:tc>
        <w:tc>
          <w:tcPr>
            <w:tcW w:w="2552" w:type="dxa"/>
            <w:vAlign w:val="center"/>
          </w:tcPr>
          <w:p>
            <w:pPr>
              <w:widowControl/>
              <w:jc w:val="center"/>
              <w:rPr>
                <w:rFonts w:asciiTheme="majorEastAsia" w:hAnsiTheme="majorEastAsia" w:eastAsiaTheme="majorEastAsia" w:cstheme="majorEastAsia"/>
                <w:b/>
                <w:sz w:val="28"/>
              </w:rPr>
            </w:pPr>
            <w:r>
              <w:rPr>
                <w:rFonts w:hint="eastAsia" w:asciiTheme="majorEastAsia" w:hAnsiTheme="majorEastAsia" w:eastAsiaTheme="majorEastAsia" w:cstheme="majorEastAsia"/>
                <w:b/>
                <w:sz w:val="28"/>
              </w:rPr>
              <w:t>服务岗位</w:t>
            </w:r>
          </w:p>
        </w:tc>
        <w:tc>
          <w:tcPr>
            <w:tcW w:w="992" w:type="dxa"/>
            <w:vAlign w:val="center"/>
          </w:tcPr>
          <w:p>
            <w:pPr>
              <w:pStyle w:val="50"/>
              <w:rPr>
                <w:rFonts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b/>
                <w:color w:val="auto"/>
                <w:sz w:val="28"/>
                <w:szCs w:val="28"/>
              </w:rPr>
              <w:t>人数</w:t>
            </w:r>
          </w:p>
        </w:tc>
        <w:tc>
          <w:tcPr>
            <w:tcW w:w="1417" w:type="dxa"/>
            <w:shd w:val="clear" w:color="auto" w:fill="auto"/>
            <w:vAlign w:val="center"/>
          </w:tcPr>
          <w:p>
            <w:pPr>
              <w:pStyle w:val="50"/>
              <w:rPr>
                <w:rFonts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b/>
                <w:color w:val="auto"/>
                <w:sz w:val="28"/>
                <w:szCs w:val="28"/>
              </w:rPr>
              <w:t>服务期限</w:t>
            </w:r>
          </w:p>
        </w:tc>
        <w:tc>
          <w:tcPr>
            <w:tcW w:w="1701" w:type="dxa"/>
            <w:vAlign w:val="center"/>
          </w:tcPr>
          <w:p>
            <w:pPr>
              <w:pStyle w:val="50"/>
              <w:ind w:firstLine="422" w:firstLineChars="150"/>
              <w:rPr>
                <w:rFonts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b/>
                <w:color w:val="auto"/>
                <w:sz w:val="28"/>
                <w:szCs w:val="28"/>
              </w:rPr>
              <w:t>单价</w:t>
            </w:r>
          </w:p>
        </w:tc>
        <w:tc>
          <w:tcPr>
            <w:tcW w:w="993" w:type="dxa"/>
            <w:vAlign w:val="center"/>
          </w:tcPr>
          <w:p>
            <w:pPr>
              <w:pStyle w:val="50"/>
              <w:rPr>
                <w:rFonts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b/>
                <w:color w:val="auto"/>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24" w:type="dxa"/>
            <w:vAlign w:val="center"/>
          </w:tcPr>
          <w:p>
            <w:pPr>
              <w:widowControl/>
              <w:jc w:val="cente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1</w:t>
            </w:r>
          </w:p>
        </w:tc>
        <w:tc>
          <w:tcPr>
            <w:tcW w:w="2552" w:type="dxa"/>
            <w:vAlign w:val="center"/>
          </w:tcPr>
          <w:p>
            <w:pPr>
              <w:widowControl/>
              <w:jc w:val="center"/>
              <w:rPr>
                <w:rFonts w:asciiTheme="majorEastAsia" w:hAnsiTheme="majorEastAsia" w:eastAsiaTheme="majorEastAsia" w:cstheme="majorEastAsia"/>
                <w:bCs/>
                <w:sz w:val="28"/>
                <w:szCs w:val="28"/>
              </w:rPr>
            </w:pPr>
          </w:p>
        </w:tc>
        <w:tc>
          <w:tcPr>
            <w:tcW w:w="992" w:type="dxa"/>
            <w:vAlign w:val="center"/>
          </w:tcPr>
          <w:p>
            <w:pPr>
              <w:widowControl/>
              <w:jc w:val="center"/>
              <w:rPr>
                <w:rFonts w:asciiTheme="majorEastAsia" w:hAnsiTheme="majorEastAsia" w:eastAsiaTheme="majorEastAsia" w:cstheme="majorEastAsia"/>
                <w:bCs/>
                <w:sz w:val="28"/>
                <w:szCs w:val="28"/>
              </w:rPr>
            </w:pPr>
          </w:p>
        </w:tc>
        <w:tc>
          <w:tcPr>
            <w:tcW w:w="1417" w:type="dxa"/>
            <w:shd w:val="clear" w:color="auto" w:fill="auto"/>
            <w:vAlign w:val="center"/>
          </w:tcPr>
          <w:p>
            <w:pPr>
              <w:widowControl/>
              <w:jc w:val="center"/>
              <w:rPr>
                <w:rFonts w:asciiTheme="majorEastAsia" w:hAnsiTheme="majorEastAsia" w:eastAsiaTheme="majorEastAsia" w:cstheme="majorEastAsia"/>
                <w:bCs/>
                <w:sz w:val="28"/>
                <w:szCs w:val="28"/>
              </w:rPr>
            </w:pPr>
          </w:p>
        </w:tc>
        <w:tc>
          <w:tcPr>
            <w:tcW w:w="1701" w:type="dxa"/>
            <w:vAlign w:val="center"/>
          </w:tcPr>
          <w:p>
            <w:pPr>
              <w:widowControl/>
              <w:jc w:val="center"/>
              <w:rPr>
                <w:rFonts w:asciiTheme="majorEastAsia" w:hAnsiTheme="majorEastAsia" w:eastAsiaTheme="majorEastAsia" w:cstheme="majorEastAsia"/>
                <w:bCs/>
                <w:sz w:val="28"/>
                <w:szCs w:val="28"/>
              </w:rPr>
            </w:pPr>
          </w:p>
        </w:tc>
        <w:tc>
          <w:tcPr>
            <w:tcW w:w="993" w:type="dxa"/>
          </w:tcPr>
          <w:p>
            <w:pPr>
              <w:widowControl/>
              <w:jc w:val="center"/>
              <w:rPr>
                <w:rFonts w:asciiTheme="majorEastAsia" w:hAnsiTheme="majorEastAsia" w:eastAsiaTheme="majorEastAsia" w:cstheme="majorEastAsia"/>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24" w:type="dxa"/>
            <w:vAlign w:val="center"/>
          </w:tcPr>
          <w:p>
            <w:pPr>
              <w:widowControl/>
              <w:jc w:val="cente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2</w:t>
            </w:r>
          </w:p>
        </w:tc>
        <w:tc>
          <w:tcPr>
            <w:tcW w:w="2552" w:type="dxa"/>
            <w:vAlign w:val="center"/>
          </w:tcPr>
          <w:p>
            <w:pPr>
              <w:widowControl/>
              <w:jc w:val="center"/>
              <w:rPr>
                <w:rFonts w:asciiTheme="majorEastAsia" w:hAnsiTheme="majorEastAsia" w:eastAsiaTheme="majorEastAsia" w:cstheme="majorEastAsia"/>
                <w:bCs/>
                <w:sz w:val="28"/>
                <w:szCs w:val="28"/>
              </w:rPr>
            </w:pPr>
          </w:p>
        </w:tc>
        <w:tc>
          <w:tcPr>
            <w:tcW w:w="992" w:type="dxa"/>
            <w:vAlign w:val="center"/>
          </w:tcPr>
          <w:p>
            <w:pPr>
              <w:widowControl/>
              <w:jc w:val="center"/>
              <w:rPr>
                <w:rFonts w:asciiTheme="majorEastAsia" w:hAnsiTheme="majorEastAsia" w:eastAsiaTheme="majorEastAsia" w:cstheme="majorEastAsia"/>
                <w:bCs/>
                <w:sz w:val="28"/>
                <w:szCs w:val="28"/>
              </w:rPr>
            </w:pPr>
          </w:p>
        </w:tc>
        <w:tc>
          <w:tcPr>
            <w:tcW w:w="1417" w:type="dxa"/>
            <w:shd w:val="clear" w:color="auto" w:fill="auto"/>
            <w:vAlign w:val="center"/>
          </w:tcPr>
          <w:p>
            <w:pPr>
              <w:widowControl/>
              <w:jc w:val="center"/>
              <w:rPr>
                <w:rFonts w:asciiTheme="majorEastAsia" w:hAnsiTheme="majorEastAsia" w:eastAsiaTheme="majorEastAsia" w:cstheme="majorEastAsia"/>
                <w:bCs/>
                <w:sz w:val="28"/>
                <w:szCs w:val="28"/>
              </w:rPr>
            </w:pPr>
          </w:p>
        </w:tc>
        <w:tc>
          <w:tcPr>
            <w:tcW w:w="1701" w:type="dxa"/>
            <w:vAlign w:val="center"/>
          </w:tcPr>
          <w:p>
            <w:pPr>
              <w:widowControl/>
              <w:jc w:val="center"/>
              <w:rPr>
                <w:rFonts w:asciiTheme="majorEastAsia" w:hAnsiTheme="majorEastAsia" w:eastAsiaTheme="majorEastAsia" w:cstheme="majorEastAsia"/>
                <w:bCs/>
                <w:sz w:val="28"/>
                <w:szCs w:val="28"/>
                <w:u w:val="single"/>
              </w:rPr>
            </w:pPr>
          </w:p>
        </w:tc>
        <w:tc>
          <w:tcPr>
            <w:tcW w:w="993" w:type="dxa"/>
          </w:tcPr>
          <w:p>
            <w:pPr>
              <w:widowControl/>
              <w:jc w:val="center"/>
              <w:rPr>
                <w:rFonts w:asciiTheme="majorEastAsia" w:hAnsiTheme="majorEastAsia" w:eastAsiaTheme="majorEastAsia" w:cstheme="majorEastAsia"/>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24" w:type="dxa"/>
            <w:vAlign w:val="center"/>
          </w:tcPr>
          <w:p>
            <w:pPr>
              <w:widowControl/>
              <w:jc w:val="cente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3</w:t>
            </w:r>
          </w:p>
        </w:tc>
        <w:tc>
          <w:tcPr>
            <w:tcW w:w="2552" w:type="dxa"/>
            <w:vAlign w:val="center"/>
          </w:tcPr>
          <w:p>
            <w:pPr>
              <w:widowControl/>
              <w:jc w:val="center"/>
              <w:rPr>
                <w:rFonts w:asciiTheme="majorEastAsia" w:hAnsiTheme="majorEastAsia" w:eastAsiaTheme="majorEastAsia" w:cstheme="majorEastAsia"/>
                <w:bCs/>
                <w:sz w:val="28"/>
                <w:szCs w:val="28"/>
              </w:rPr>
            </w:pPr>
          </w:p>
        </w:tc>
        <w:tc>
          <w:tcPr>
            <w:tcW w:w="992" w:type="dxa"/>
            <w:vAlign w:val="center"/>
          </w:tcPr>
          <w:p>
            <w:pPr>
              <w:widowControl/>
              <w:jc w:val="center"/>
              <w:rPr>
                <w:rFonts w:asciiTheme="majorEastAsia" w:hAnsiTheme="majorEastAsia" w:eastAsiaTheme="majorEastAsia" w:cstheme="majorEastAsia"/>
                <w:bCs/>
                <w:sz w:val="28"/>
                <w:szCs w:val="28"/>
              </w:rPr>
            </w:pPr>
          </w:p>
        </w:tc>
        <w:tc>
          <w:tcPr>
            <w:tcW w:w="1417" w:type="dxa"/>
            <w:shd w:val="clear" w:color="auto" w:fill="auto"/>
            <w:vAlign w:val="center"/>
          </w:tcPr>
          <w:p>
            <w:pPr>
              <w:widowControl/>
              <w:jc w:val="center"/>
              <w:rPr>
                <w:rFonts w:asciiTheme="majorEastAsia" w:hAnsiTheme="majorEastAsia" w:eastAsiaTheme="majorEastAsia" w:cstheme="majorEastAsia"/>
                <w:bCs/>
                <w:sz w:val="28"/>
                <w:szCs w:val="28"/>
              </w:rPr>
            </w:pPr>
          </w:p>
        </w:tc>
        <w:tc>
          <w:tcPr>
            <w:tcW w:w="1701" w:type="dxa"/>
            <w:vAlign w:val="center"/>
          </w:tcPr>
          <w:p>
            <w:pPr>
              <w:widowControl/>
              <w:jc w:val="center"/>
              <w:rPr>
                <w:rFonts w:asciiTheme="majorEastAsia" w:hAnsiTheme="majorEastAsia" w:eastAsiaTheme="majorEastAsia" w:cstheme="majorEastAsia"/>
                <w:bCs/>
                <w:sz w:val="28"/>
                <w:szCs w:val="28"/>
                <w:u w:val="single"/>
              </w:rPr>
            </w:pPr>
          </w:p>
        </w:tc>
        <w:tc>
          <w:tcPr>
            <w:tcW w:w="993" w:type="dxa"/>
          </w:tcPr>
          <w:p>
            <w:pPr>
              <w:widowControl/>
              <w:jc w:val="center"/>
              <w:rPr>
                <w:rFonts w:asciiTheme="majorEastAsia" w:hAnsiTheme="majorEastAsia" w:eastAsiaTheme="majorEastAsia" w:cstheme="majorEastAsia"/>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24" w:type="dxa"/>
            <w:vAlign w:val="center"/>
          </w:tcPr>
          <w:p>
            <w:pPr>
              <w:widowControl/>
              <w:jc w:val="cente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4</w:t>
            </w:r>
          </w:p>
        </w:tc>
        <w:tc>
          <w:tcPr>
            <w:tcW w:w="2552" w:type="dxa"/>
            <w:vAlign w:val="center"/>
          </w:tcPr>
          <w:p>
            <w:pPr>
              <w:widowControl/>
              <w:jc w:val="center"/>
              <w:rPr>
                <w:rFonts w:asciiTheme="majorEastAsia" w:hAnsiTheme="majorEastAsia" w:eastAsiaTheme="majorEastAsia" w:cstheme="majorEastAsia"/>
                <w:bCs/>
                <w:sz w:val="28"/>
                <w:szCs w:val="28"/>
              </w:rPr>
            </w:pPr>
          </w:p>
        </w:tc>
        <w:tc>
          <w:tcPr>
            <w:tcW w:w="992" w:type="dxa"/>
            <w:vAlign w:val="center"/>
          </w:tcPr>
          <w:p>
            <w:pPr>
              <w:widowControl/>
              <w:jc w:val="center"/>
              <w:rPr>
                <w:rFonts w:asciiTheme="majorEastAsia" w:hAnsiTheme="majorEastAsia" w:eastAsiaTheme="majorEastAsia" w:cstheme="majorEastAsia"/>
                <w:bCs/>
                <w:sz w:val="28"/>
                <w:szCs w:val="28"/>
              </w:rPr>
            </w:pPr>
          </w:p>
        </w:tc>
        <w:tc>
          <w:tcPr>
            <w:tcW w:w="1417" w:type="dxa"/>
            <w:shd w:val="clear" w:color="auto" w:fill="auto"/>
            <w:vAlign w:val="center"/>
          </w:tcPr>
          <w:p>
            <w:pPr>
              <w:widowControl/>
              <w:jc w:val="center"/>
              <w:rPr>
                <w:rFonts w:asciiTheme="majorEastAsia" w:hAnsiTheme="majorEastAsia" w:eastAsiaTheme="majorEastAsia" w:cstheme="majorEastAsia"/>
                <w:bCs/>
                <w:sz w:val="28"/>
                <w:szCs w:val="28"/>
              </w:rPr>
            </w:pPr>
          </w:p>
        </w:tc>
        <w:tc>
          <w:tcPr>
            <w:tcW w:w="1701" w:type="dxa"/>
            <w:vAlign w:val="center"/>
          </w:tcPr>
          <w:p>
            <w:pPr>
              <w:widowControl/>
              <w:jc w:val="center"/>
              <w:rPr>
                <w:rFonts w:asciiTheme="majorEastAsia" w:hAnsiTheme="majorEastAsia" w:eastAsiaTheme="majorEastAsia" w:cstheme="majorEastAsia"/>
                <w:bCs/>
                <w:sz w:val="28"/>
                <w:szCs w:val="28"/>
                <w:u w:val="single"/>
              </w:rPr>
            </w:pPr>
          </w:p>
        </w:tc>
        <w:tc>
          <w:tcPr>
            <w:tcW w:w="993" w:type="dxa"/>
          </w:tcPr>
          <w:p>
            <w:pPr>
              <w:widowControl/>
              <w:jc w:val="center"/>
              <w:rPr>
                <w:rFonts w:asciiTheme="majorEastAsia" w:hAnsiTheme="majorEastAsia" w:eastAsiaTheme="majorEastAsia" w:cstheme="majorEastAsia"/>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24" w:type="dxa"/>
            <w:vAlign w:val="center"/>
          </w:tcPr>
          <w:p>
            <w:pPr>
              <w:widowControl/>
              <w:jc w:val="cente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5</w:t>
            </w:r>
          </w:p>
        </w:tc>
        <w:tc>
          <w:tcPr>
            <w:tcW w:w="2552" w:type="dxa"/>
            <w:vAlign w:val="center"/>
          </w:tcPr>
          <w:p>
            <w:pPr>
              <w:widowControl/>
              <w:jc w:val="center"/>
              <w:rPr>
                <w:rFonts w:asciiTheme="majorEastAsia" w:hAnsiTheme="majorEastAsia" w:eastAsiaTheme="majorEastAsia" w:cstheme="majorEastAsia"/>
                <w:bCs/>
                <w:sz w:val="28"/>
                <w:szCs w:val="28"/>
              </w:rPr>
            </w:pPr>
          </w:p>
        </w:tc>
        <w:tc>
          <w:tcPr>
            <w:tcW w:w="992" w:type="dxa"/>
            <w:vAlign w:val="center"/>
          </w:tcPr>
          <w:p>
            <w:pPr>
              <w:widowControl/>
              <w:jc w:val="center"/>
              <w:rPr>
                <w:rFonts w:asciiTheme="majorEastAsia" w:hAnsiTheme="majorEastAsia" w:eastAsiaTheme="majorEastAsia" w:cstheme="majorEastAsia"/>
                <w:bCs/>
                <w:sz w:val="28"/>
                <w:szCs w:val="28"/>
              </w:rPr>
            </w:pPr>
          </w:p>
        </w:tc>
        <w:tc>
          <w:tcPr>
            <w:tcW w:w="1417" w:type="dxa"/>
            <w:shd w:val="clear" w:color="auto" w:fill="auto"/>
            <w:vAlign w:val="center"/>
          </w:tcPr>
          <w:p>
            <w:pPr>
              <w:widowControl/>
              <w:jc w:val="center"/>
              <w:rPr>
                <w:rFonts w:asciiTheme="majorEastAsia" w:hAnsiTheme="majorEastAsia" w:eastAsiaTheme="majorEastAsia" w:cstheme="majorEastAsia"/>
                <w:bCs/>
                <w:sz w:val="28"/>
                <w:szCs w:val="28"/>
              </w:rPr>
            </w:pPr>
          </w:p>
        </w:tc>
        <w:tc>
          <w:tcPr>
            <w:tcW w:w="1701" w:type="dxa"/>
            <w:vAlign w:val="center"/>
          </w:tcPr>
          <w:p>
            <w:pPr>
              <w:widowControl/>
              <w:jc w:val="center"/>
              <w:rPr>
                <w:rFonts w:asciiTheme="majorEastAsia" w:hAnsiTheme="majorEastAsia" w:eastAsiaTheme="majorEastAsia" w:cstheme="majorEastAsia"/>
                <w:bCs/>
                <w:sz w:val="28"/>
                <w:szCs w:val="28"/>
                <w:u w:val="single"/>
              </w:rPr>
            </w:pPr>
          </w:p>
        </w:tc>
        <w:tc>
          <w:tcPr>
            <w:tcW w:w="993" w:type="dxa"/>
          </w:tcPr>
          <w:p>
            <w:pPr>
              <w:widowControl/>
              <w:jc w:val="center"/>
              <w:rPr>
                <w:rFonts w:asciiTheme="majorEastAsia" w:hAnsiTheme="majorEastAsia" w:eastAsiaTheme="majorEastAsia" w:cstheme="majorEastAsia"/>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24" w:type="dxa"/>
            <w:vAlign w:val="center"/>
          </w:tcPr>
          <w:p>
            <w:pPr>
              <w:widowControl/>
              <w:jc w:val="cente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6</w:t>
            </w:r>
          </w:p>
        </w:tc>
        <w:tc>
          <w:tcPr>
            <w:tcW w:w="2552" w:type="dxa"/>
            <w:vAlign w:val="center"/>
          </w:tcPr>
          <w:p>
            <w:pPr>
              <w:widowControl/>
              <w:jc w:val="center"/>
              <w:rPr>
                <w:rFonts w:asciiTheme="majorEastAsia" w:hAnsiTheme="majorEastAsia" w:eastAsiaTheme="majorEastAsia" w:cstheme="majorEastAsia"/>
                <w:bCs/>
                <w:sz w:val="28"/>
                <w:szCs w:val="28"/>
              </w:rPr>
            </w:pPr>
          </w:p>
        </w:tc>
        <w:tc>
          <w:tcPr>
            <w:tcW w:w="992" w:type="dxa"/>
            <w:vAlign w:val="center"/>
          </w:tcPr>
          <w:p>
            <w:pPr>
              <w:widowControl/>
              <w:jc w:val="center"/>
              <w:rPr>
                <w:rFonts w:asciiTheme="majorEastAsia" w:hAnsiTheme="majorEastAsia" w:eastAsiaTheme="majorEastAsia" w:cstheme="majorEastAsia"/>
                <w:bCs/>
                <w:sz w:val="28"/>
                <w:szCs w:val="28"/>
              </w:rPr>
            </w:pPr>
          </w:p>
        </w:tc>
        <w:tc>
          <w:tcPr>
            <w:tcW w:w="1417" w:type="dxa"/>
            <w:shd w:val="clear" w:color="auto" w:fill="auto"/>
            <w:vAlign w:val="center"/>
          </w:tcPr>
          <w:p>
            <w:pPr>
              <w:widowControl/>
              <w:jc w:val="center"/>
              <w:rPr>
                <w:rFonts w:asciiTheme="majorEastAsia" w:hAnsiTheme="majorEastAsia" w:eastAsiaTheme="majorEastAsia" w:cstheme="majorEastAsia"/>
                <w:bCs/>
                <w:sz w:val="28"/>
                <w:szCs w:val="28"/>
              </w:rPr>
            </w:pPr>
          </w:p>
        </w:tc>
        <w:tc>
          <w:tcPr>
            <w:tcW w:w="1701" w:type="dxa"/>
            <w:vAlign w:val="center"/>
          </w:tcPr>
          <w:p>
            <w:pPr>
              <w:widowControl/>
              <w:jc w:val="center"/>
              <w:rPr>
                <w:rFonts w:asciiTheme="majorEastAsia" w:hAnsiTheme="majorEastAsia" w:eastAsiaTheme="majorEastAsia" w:cstheme="majorEastAsia"/>
                <w:bCs/>
                <w:sz w:val="28"/>
                <w:szCs w:val="28"/>
                <w:u w:val="single"/>
              </w:rPr>
            </w:pPr>
          </w:p>
        </w:tc>
        <w:tc>
          <w:tcPr>
            <w:tcW w:w="993" w:type="dxa"/>
          </w:tcPr>
          <w:p>
            <w:pPr>
              <w:widowControl/>
              <w:jc w:val="center"/>
              <w:rPr>
                <w:rFonts w:asciiTheme="majorEastAsia" w:hAnsiTheme="majorEastAsia" w:eastAsiaTheme="majorEastAsia" w:cstheme="majorEastAsia"/>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7486" w:type="dxa"/>
            <w:gridSpan w:val="5"/>
            <w:vAlign w:val="center"/>
          </w:tcPr>
          <w:p>
            <w:pPr>
              <w:jc w:val="center"/>
              <w:rPr>
                <w:rFonts w:asciiTheme="majorEastAsia" w:hAnsiTheme="majorEastAsia" w:eastAsiaTheme="majorEastAsia" w:cstheme="majorEastAsia"/>
                <w:bCs/>
                <w:sz w:val="28"/>
                <w:u w:val="single"/>
              </w:rPr>
            </w:pPr>
            <w:r>
              <w:rPr>
                <w:rFonts w:hint="eastAsia" w:asciiTheme="majorEastAsia" w:hAnsiTheme="majorEastAsia" w:eastAsiaTheme="majorEastAsia" w:cstheme="majorEastAsia"/>
                <w:b/>
                <w:bCs/>
                <w:sz w:val="28"/>
              </w:rPr>
              <w:t>投标报价（报价合计）</w:t>
            </w:r>
          </w:p>
        </w:tc>
        <w:tc>
          <w:tcPr>
            <w:tcW w:w="993" w:type="dxa"/>
          </w:tcPr>
          <w:p>
            <w:pPr>
              <w:jc w:val="center"/>
              <w:rPr>
                <w:rFonts w:asciiTheme="majorEastAsia" w:hAnsiTheme="majorEastAsia" w:eastAsiaTheme="majorEastAsia" w:cstheme="majorEastAsia"/>
                <w:b/>
                <w:bCs/>
                <w:sz w:val="28"/>
              </w:rPr>
            </w:pPr>
            <w:r>
              <w:rPr>
                <w:rFonts w:hint="eastAsia" w:asciiTheme="majorEastAsia" w:hAnsiTheme="majorEastAsia" w:eastAsiaTheme="majorEastAsia" w:cstheme="majorEastAsia"/>
                <w:bCs/>
                <w:sz w:val="28"/>
                <w:u w:val="single"/>
              </w:rPr>
              <w:t>XX</w:t>
            </w:r>
            <w:r>
              <w:rPr>
                <w:rFonts w:hint="eastAsia" w:asciiTheme="majorEastAsia" w:hAnsiTheme="majorEastAsia" w:eastAsiaTheme="majorEastAsia" w:cstheme="majorEastAsia"/>
                <w:bCs/>
                <w:sz w:val="28"/>
              </w:rPr>
              <w:t>元</w:t>
            </w:r>
          </w:p>
        </w:tc>
      </w:tr>
    </w:tbl>
    <w:p>
      <w:pPr>
        <w:rPr>
          <w:rFonts w:ascii="宋体" w:hAnsi="宋体"/>
          <w:sz w:val="28"/>
          <w:lang w:val="zh-CN"/>
        </w:rPr>
      </w:pPr>
      <w:r>
        <w:rPr>
          <w:rFonts w:hint="eastAsia" w:ascii="宋体" w:hAnsi="宋体"/>
          <w:sz w:val="28"/>
          <w:lang w:val="zh-CN"/>
        </w:rPr>
        <w:t>投标人名称：XXXX</w:t>
      </w:r>
    </w:p>
    <w:p>
      <w:pPr>
        <w:rPr>
          <w:rFonts w:ascii="宋体" w:hAnsi="宋体"/>
          <w:bCs/>
          <w:sz w:val="28"/>
          <w:szCs w:val="28"/>
        </w:rPr>
      </w:pPr>
      <w:r>
        <w:rPr>
          <w:rFonts w:hint="eastAsia" w:ascii="宋体" w:hAnsi="宋体"/>
          <w:sz w:val="28"/>
        </w:rPr>
        <w:t>日期：</w:t>
      </w:r>
      <w:r>
        <w:rPr>
          <w:rFonts w:hint="eastAsia" w:ascii="宋体" w:hAnsi="宋体"/>
          <w:bCs/>
          <w:sz w:val="28"/>
        </w:rPr>
        <w:t>20XX年XX月XX日</w:t>
      </w:r>
    </w:p>
    <w:p>
      <w:pPr>
        <w:pStyle w:val="13"/>
        <w:spacing w:after="0" w:line="240" w:lineRule="auto"/>
        <w:ind w:firstLine="0"/>
        <w:rPr>
          <w:rFonts w:ascii="宋体" w:hAnsi="宋体"/>
          <w:b/>
          <w:sz w:val="28"/>
        </w:rPr>
      </w:pPr>
      <w:r>
        <w:rPr>
          <w:rFonts w:hint="eastAsia" w:ascii="宋体" w:hAnsi="宋体"/>
          <w:b/>
          <w:sz w:val="28"/>
        </w:rPr>
        <w:t>说明：投标人应根据以上表格格式填写分项报价，报价合计应包括投标人完成本项目所需的一切费用。</w:t>
      </w:r>
    </w:p>
    <w:p>
      <w:pPr>
        <w:pStyle w:val="25"/>
        <w:spacing w:line="500" w:lineRule="exact"/>
        <w:ind w:firstLine="145" w:firstLineChars="52"/>
        <w:rPr>
          <w:rFonts w:ascii="宋体" w:hAnsi="宋体"/>
          <w:bCs/>
          <w:color w:val="000000" w:themeColor="text1"/>
          <w:sz w:val="28"/>
          <w14:textFill>
            <w14:solidFill>
              <w14:schemeClr w14:val="tx1"/>
            </w14:solidFill>
          </w14:textFill>
        </w:rPr>
      </w:pPr>
    </w:p>
    <w:p>
      <w:pPr>
        <w:pStyle w:val="25"/>
        <w:spacing w:line="500" w:lineRule="exact"/>
        <w:ind w:firstLine="145" w:firstLineChars="52"/>
        <w:rPr>
          <w:rFonts w:ascii="宋体" w:hAnsi="宋体"/>
          <w:bCs/>
          <w:color w:val="000000" w:themeColor="text1"/>
          <w:sz w:val="28"/>
          <w14:textFill>
            <w14:solidFill>
              <w14:schemeClr w14:val="tx1"/>
            </w14:solidFill>
          </w14:textFill>
        </w:rPr>
      </w:pPr>
    </w:p>
    <w:p>
      <w:pPr>
        <w:pStyle w:val="25"/>
        <w:spacing w:line="500" w:lineRule="exact"/>
        <w:ind w:firstLine="145" w:firstLineChars="52"/>
        <w:rPr>
          <w:rFonts w:ascii="宋体" w:hAnsi="宋体"/>
          <w:bCs/>
          <w:color w:val="000000" w:themeColor="text1"/>
          <w:sz w:val="28"/>
          <w14:textFill>
            <w14:solidFill>
              <w14:schemeClr w14:val="tx1"/>
            </w14:solidFill>
          </w14:textFill>
        </w:rPr>
      </w:pPr>
    </w:p>
    <w:p>
      <w:pPr>
        <w:pStyle w:val="25"/>
        <w:spacing w:line="500" w:lineRule="exact"/>
        <w:ind w:firstLine="145" w:firstLineChars="52"/>
        <w:rPr>
          <w:rFonts w:ascii="宋体" w:hAnsi="宋体"/>
          <w:bCs/>
          <w:color w:val="000000" w:themeColor="text1"/>
          <w:sz w:val="28"/>
          <w14:textFill>
            <w14:solidFill>
              <w14:schemeClr w14:val="tx1"/>
            </w14:solidFill>
          </w14:textFill>
        </w:rPr>
      </w:pPr>
    </w:p>
    <w:p>
      <w:pPr>
        <w:pStyle w:val="25"/>
        <w:spacing w:line="500" w:lineRule="exact"/>
        <w:ind w:firstLine="145" w:firstLineChars="52"/>
        <w:rPr>
          <w:rFonts w:ascii="宋体" w:hAnsi="宋体"/>
          <w:bCs/>
          <w:color w:val="000000" w:themeColor="text1"/>
          <w:sz w:val="28"/>
          <w14:textFill>
            <w14:solidFill>
              <w14:schemeClr w14:val="tx1"/>
            </w14:solidFill>
          </w14:textFill>
        </w:rPr>
      </w:pPr>
    </w:p>
    <w:p>
      <w:pPr>
        <w:pStyle w:val="25"/>
        <w:spacing w:line="500" w:lineRule="exact"/>
        <w:ind w:firstLine="145" w:firstLineChars="52"/>
        <w:rPr>
          <w:rFonts w:ascii="宋体" w:hAnsi="宋体"/>
          <w:bCs/>
          <w:color w:val="000000" w:themeColor="text1"/>
          <w:sz w:val="28"/>
          <w14:textFill>
            <w14:solidFill>
              <w14:schemeClr w14:val="tx1"/>
            </w14:solidFill>
          </w14:textFill>
        </w:rPr>
      </w:pPr>
    </w:p>
    <w:bookmarkEnd w:id="222"/>
    <w:bookmarkEnd w:id="223"/>
    <w:bookmarkEnd w:id="224"/>
    <w:bookmarkEnd w:id="225"/>
    <w:p>
      <w:pPr>
        <w:pStyle w:val="3"/>
        <w:numPr>
          <w:ilvl w:val="0"/>
          <w:numId w:val="4"/>
        </w:numPr>
        <w:spacing w:before="0" w:after="0" w:line="500" w:lineRule="exact"/>
        <w:rPr>
          <w:color w:val="000000" w:themeColor="text1"/>
          <w14:textFill>
            <w14:solidFill>
              <w14:schemeClr w14:val="tx1"/>
            </w14:solidFill>
          </w14:textFill>
        </w:rPr>
      </w:pPr>
      <w:bookmarkStart w:id="227" w:name="_Toc17291826"/>
      <w:bookmarkStart w:id="228" w:name="_Toc1870"/>
      <w:bookmarkStart w:id="229" w:name="_Toc65573699"/>
      <w:bookmarkStart w:id="230" w:name="_Toc24469"/>
      <w:bookmarkStart w:id="231" w:name="_Toc30585"/>
      <w:bookmarkStart w:id="232" w:name="_Toc4768"/>
      <w:bookmarkStart w:id="233" w:name="_Toc321382057"/>
      <w:bookmarkStart w:id="234" w:name="_Toc316292231"/>
      <w:r>
        <w:rPr>
          <w:rFonts w:hint="eastAsia"/>
          <w:color w:val="000000" w:themeColor="text1"/>
          <w14:textFill>
            <w14:solidFill>
              <w14:schemeClr w14:val="tx1"/>
            </w14:solidFill>
          </w14:textFill>
        </w:rPr>
        <w:t>招标项目服务、商务及其他要求</w:t>
      </w:r>
      <w:bookmarkEnd w:id="227"/>
      <w:bookmarkEnd w:id="228"/>
      <w:bookmarkEnd w:id="229"/>
      <w:bookmarkEnd w:id="230"/>
      <w:bookmarkEnd w:id="231"/>
      <w:bookmarkEnd w:id="232"/>
    </w:p>
    <w:bookmarkEnd w:id="233"/>
    <w:bookmarkEnd w:id="234"/>
    <w:p>
      <w:pPr>
        <w:pStyle w:val="4"/>
        <w:numPr>
          <w:ilvl w:val="1"/>
          <w:numId w:val="35"/>
        </w:numPr>
        <w:tabs>
          <w:tab w:val="left" w:pos="0"/>
          <w:tab w:val="left" w:pos="426"/>
          <w:tab w:val="left" w:pos="576"/>
          <w:tab w:val="left" w:pos="786"/>
        </w:tabs>
        <w:spacing w:before="0" w:after="0" w:line="500" w:lineRule="exact"/>
        <w:ind w:left="210" w:leftChars="0" w:firstLine="0" w:firstLineChars="0"/>
        <w:jc w:val="both"/>
        <w:rPr>
          <w:color w:val="000000"/>
        </w:rPr>
      </w:pPr>
      <w:bookmarkStart w:id="235" w:name="_Toc54857461"/>
      <w:bookmarkStart w:id="236" w:name="_Toc65573700"/>
      <w:bookmarkStart w:id="237" w:name="_Toc21821"/>
      <w:bookmarkStart w:id="238" w:name="_Toc5355"/>
      <w:bookmarkStart w:id="239" w:name="_Toc24101"/>
      <w:bookmarkStart w:id="240" w:name="_Toc8639"/>
      <w:bookmarkStart w:id="241" w:name="_Toc26497"/>
      <w:r>
        <w:rPr>
          <w:rFonts w:hint="eastAsia"/>
          <w:color w:val="000000"/>
        </w:rPr>
        <w:t>项目概况</w:t>
      </w:r>
      <w:bookmarkEnd w:id="235"/>
      <w:bookmarkEnd w:id="236"/>
    </w:p>
    <w:p>
      <w:pPr>
        <w:pStyle w:val="2"/>
        <w:spacing w:before="177" w:line="240" w:lineRule="auto"/>
        <w:ind w:left="560" w:leftChars="0" w:right="0" w:hanging="560" w:hangingChars="200"/>
        <w:jc w:val="left"/>
        <w:rPr>
          <w:sz w:val="28"/>
          <w:szCs w:val="28"/>
        </w:rPr>
      </w:pPr>
      <w:bookmarkStart w:id="242" w:name="_Toc3868"/>
      <w:bookmarkStart w:id="243" w:name="_Toc65573701"/>
      <w:bookmarkStart w:id="244" w:name="_Toc4509118"/>
      <w:bookmarkStart w:id="245" w:name="_Toc24356540"/>
      <w:bookmarkStart w:id="246" w:name="_Toc30090"/>
      <w:bookmarkStart w:id="247" w:name="_Toc31844"/>
      <w:bookmarkStart w:id="248" w:name="_Toc4576"/>
      <w:bookmarkStart w:id="249" w:name="_Toc13016"/>
      <w:bookmarkStart w:id="250" w:name="_Toc54857462"/>
      <w:bookmarkStart w:id="251" w:name="_Toc513796935"/>
      <w:r>
        <w:rPr>
          <w:rFonts w:hint="eastAsia" w:ascii="Times New Roman" w:hAnsi="Times New Roman" w:cs="Times New Roman"/>
          <w:sz w:val="28"/>
          <w:szCs w:val="28"/>
          <w:lang w:val="en-US" w:eastAsia="zh-CN"/>
        </w:rPr>
        <w:t>1</w:t>
      </w:r>
      <w:r>
        <w:rPr>
          <w:rFonts w:hint="eastAsia" w:cs="Times New Roman"/>
          <w:sz w:val="28"/>
          <w:szCs w:val="28"/>
          <w:lang w:val="en-US" w:eastAsia="zh-CN"/>
        </w:rPr>
        <w:t>、</w:t>
      </w:r>
      <w:r>
        <w:rPr>
          <w:sz w:val="28"/>
          <w:szCs w:val="28"/>
        </w:rPr>
        <w:t>项目概况：位于成都市都江堰市都江堰大道</w:t>
      </w:r>
      <w:r>
        <w:rPr>
          <w:spacing w:val="-57"/>
          <w:sz w:val="28"/>
          <w:szCs w:val="28"/>
        </w:rPr>
        <w:t xml:space="preserve"> </w:t>
      </w:r>
      <w:r>
        <w:rPr>
          <w:rFonts w:ascii="Times New Roman" w:hAnsi="Times New Roman" w:eastAsia="Times New Roman" w:cs="Times New Roman"/>
          <w:sz w:val="28"/>
          <w:szCs w:val="28"/>
        </w:rPr>
        <w:t>299</w:t>
      </w:r>
      <w:r>
        <w:rPr>
          <w:rFonts w:ascii="Times New Roman" w:hAnsi="Times New Roman" w:eastAsia="Times New Roman" w:cs="Times New Roman"/>
          <w:spacing w:val="-3"/>
          <w:sz w:val="28"/>
          <w:szCs w:val="28"/>
        </w:rPr>
        <w:t xml:space="preserve"> </w:t>
      </w:r>
      <w:r>
        <w:rPr>
          <w:sz w:val="28"/>
          <w:szCs w:val="28"/>
        </w:rPr>
        <w:t>号，</w:t>
      </w:r>
      <w:r>
        <w:rPr>
          <w:spacing w:val="-6"/>
          <w:sz w:val="28"/>
          <w:szCs w:val="28"/>
        </w:rPr>
        <w:t xml:space="preserve"> </w:t>
      </w:r>
      <w:r>
        <w:rPr>
          <w:rFonts w:ascii="Times New Roman" w:hAnsi="Times New Roman" w:eastAsia="Times New Roman" w:cs="Times New Roman"/>
          <w:sz w:val="28"/>
          <w:szCs w:val="28"/>
        </w:rPr>
        <w:t>1</w:t>
      </w:r>
      <w:r>
        <w:rPr>
          <w:rFonts w:ascii="Times New Roman" w:hAnsi="Times New Roman" w:eastAsia="Times New Roman" w:cs="Times New Roman"/>
          <w:spacing w:val="-5"/>
          <w:sz w:val="28"/>
          <w:szCs w:val="28"/>
        </w:rPr>
        <w:t xml:space="preserve"> </w:t>
      </w:r>
      <w:r>
        <w:rPr>
          <w:sz w:val="28"/>
          <w:szCs w:val="28"/>
        </w:rPr>
        <w:t>道主大门，</w:t>
      </w:r>
      <w:r>
        <w:rPr>
          <w:rFonts w:ascii="Times New Roman" w:hAnsi="Times New Roman" w:eastAsia="Times New Roman" w:cs="Times New Roman"/>
          <w:sz w:val="28"/>
          <w:szCs w:val="28"/>
        </w:rPr>
        <w:t>3</w:t>
      </w:r>
      <w:r>
        <w:rPr>
          <w:rFonts w:ascii="Times New Roman" w:hAnsi="Times New Roman" w:eastAsia="Times New Roman" w:cs="Times New Roman"/>
          <w:spacing w:val="-3"/>
          <w:sz w:val="28"/>
          <w:szCs w:val="28"/>
        </w:rPr>
        <w:t xml:space="preserve"> </w:t>
      </w:r>
      <w:r>
        <w:rPr>
          <w:sz w:val="28"/>
          <w:szCs w:val="28"/>
        </w:rPr>
        <w:t>栋办公大楼。</w:t>
      </w:r>
    </w:p>
    <w:p>
      <w:pPr>
        <w:pStyle w:val="2"/>
        <w:spacing w:before="177" w:line="240" w:lineRule="auto"/>
        <w:ind w:left="0" w:leftChars="0" w:right="0" w:firstLine="0" w:firstLineChars="0"/>
        <w:jc w:val="left"/>
        <w:rPr>
          <w:sz w:val="28"/>
          <w:szCs w:val="28"/>
        </w:rPr>
      </w:pPr>
      <w:r>
        <w:rPr>
          <w:rFonts w:hint="eastAsia" w:ascii="Times New Roman" w:hAnsi="Times New Roman" w:cs="Times New Roman"/>
          <w:sz w:val="28"/>
          <w:szCs w:val="28"/>
          <w:lang w:val="en-US" w:eastAsia="zh-CN"/>
        </w:rPr>
        <w:t>2</w:t>
      </w:r>
      <w:r>
        <w:rPr>
          <w:rFonts w:hint="eastAsia" w:cs="Times New Roman"/>
          <w:sz w:val="28"/>
          <w:szCs w:val="28"/>
          <w:lang w:val="en-US" w:eastAsia="zh-CN"/>
        </w:rPr>
        <w:t>、</w:t>
      </w:r>
      <w:r>
        <w:rPr>
          <w:sz w:val="28"/>
          <w:szCs w:val="28"/>
        </w:rPr>
        <w:t>服务面积：占地</w:t>
      </w:r>
      <w:r>
        <w:rPr>
          <w:spacing w:val="-57"/>
          <w:sz w:val="28"/>
          <w:szCs w:val="28"/>
        </w:rPr>
        <w:t xml:space="preserve"> </w:t>
      </w:r>
      <w:r>
        <w:rPr>
          <w:rFonts w:ascii="Times New Roman" w:hAnsi="Times New Roman" w:eastAsia="Times New Roman" w:cs="Times New Roman"/>
          <w:sz w:val="28"/>
          <w:szCs w:val="28"/>
        </w:rPr>
        <w:t>8.9</w:t>
      </w:r>
      <w:r>
        <w:rPr>
          <w:rFonts w:ascii="Times New Roman" w:hAnsi="Times New Roman" w:eastAsia="Times New Roman" w:cs="Times New Roman"/>
          <w:spacing w:val="-3"/>
          <w:sz w:val="28"/>
          <w:szCs w:val="28"/>
        </w:rPr>
        <w:t xml:space="preserve"> </w:t>
      </w:r>
      <w:r>
        <w:rPr>
          <w:sz w:val="28"/>
          <w:szCs w:val="28"/>
        </w:rPr>
        <w:t>亩，主</w:t>
      </w:r>
      <w:r>
        <w:rPr>
          <w:rFonts w:hint="eastAsia"/>
          <w:sz w:val="28"/>
          <w:szCs w:val="28"/>
          <w:lang w:eastAsia="zh-CN"/>
        </w:rPr>
        <w:t>、</w:t>
      </w:r>
      <w:r>
        <w:rPr>
          <w:sz w:val="28"/>
          <w:szCs w:val="28"/>
        </w:rPr>
        <w:t>附楼共计</w:t>
      </w:r>
      <w:r>
        <w:rPr>
          <w:spacing w:val="-54"/>
          <w:sz w:val="28"/>
          <w:szCs w:val="28"/>
        </w:rPr>
        <w:t xml:space="preserve"> </w:t>
      </w:r>
      <w:r>
        <w:rPr>
          <w:rFonts w:ascii="Times New Roman" w:hAnsi="Times New Roman" w:eastAsia="Times New Roman" w:cs="Times New Roman"/>
          <w:sz w:val="28"/>
          <w:szCs w:val="28"/>
        </w:rPr>
        <w:t>4456</w:t>
      </w:r>
      <w:r>
        <w:rPr>
          <w:rFonts w:ascii="Times New Roman" w:hAnsi="Times New Roman" w:eastAsia="Times New Roman" w:cs="Times New Roman"/>
          <w:spacing w:val="-7"/>
          <w:sz w:val="28"/>
          <w:szCs w:val="28"/>
        </w:rPr>
        <w:t xml:space="preserve"> </w:t>
      </w:r>
      <w:r>
        <w:rPr>
          <w:sz w:val="28"/>
          <w:szCs w:val="28"/>
        </w:rPr>
        <w:t>平方米。</w:t>
      </w:r>
    </w:p>
    <w:tbl>
      <w:tblPr>
        <w:tblStyle w:val="43"/>
        <w:tblpPr w:leftFromText="180" w:rightFromText="180" w:vertAnchor="text" w:horzAnchor="page" w:tblpX="1293" w:tblpY="164"/>
        <w:tblOverlap w:val="never"/>
        <w:tblW w:w="8980" w:type="dxa"/>
        <w:tblInd w:w="0" w:type="dxa"/>
        <w:tblLayout w:type="fixed"/>
        <w:tblCellMar>
          <w:top w:w="0" w:type="dxa"/>
          <w:left w:w="0" w:type="dxa"/>
          <w:bottom w:w="0" w:type="dxa"/>
          <w:right w:w="0" w:type="dxa"/>
        </w:tblCellMar>
      </w:tblPr>
      <w:tblGrid>
        <w:gridCol w:w="1622"/>
        <w:gridCol w:w="1911"/>
        <w:gridCol w:w="1501"/>
        <w:gridCol w:w="1604"/>
        <w:gridCol w:w="2342"/>
      </w:tblGrid>
      <w:tr>
        <w:tblPrEx>
          <w:tblLayout w:type="fixed"/>
          <w:tblCellMar>
            <w:top w:w="0" w:type="dxa"/>
            <w:left w:w="0" w:type="dxa"/>
            <w:bottom w:w="0" w:type="dxa"/>
            <w:right w:w="0" w:type="dxa"/>
          </w:tblCellMar>
        </w:tblPrEx>
        <w:trPr>
          <w:trHeight w:val="479" w:hRule="exact"/>
        </w:trPr>
        <w:tc>
          <w:tcPr>
            <w:tcW w:w="8980" w:type="dxa"/>
            <w:gridSpan w:val="5"/>
            <w:tcBorders>
              <w:top w:val="single" w:color="000000" w:sz="4" w:space="0"/>
              <w:left w:val="single" w:color="000000" w:sz="4" w:space="0"/>
              <w:bottom w:val="single" w:color="000000" w:sz="4" w:space="0"/>
              <w:right w:val="single" w:color="000000" w:sz="4" w:space="0"/>
            </w:tcBorders>
            <w:vAlign w:val="top"/>
          </w:tcPr>
          <w:p>
            <w:pPr>
              <w:pStyle w:val="236"/>
              <w:spacing w:before="91" w:line="240" w:lineRule="auto"/>
              <w:ind w:left="0" w:leftChars="0" w:right="0" w:firstLine="0" w:firstLineChars="0"/>
              <w:jc w:val="left"/>
              <w:rPr>
                <w:rFonts w:ascii="宋体" w:hAnsi="宋体" w:eastAsia="宋体" w:cs="宋体"/>
                <w:sz w:val="21"/>
                <w:szCs w:val="21"/>
              </w:rPr>
            </w:pPr>
            <w:r>
              <w:rPr>
                <w:rFonts w:ascii="宋体" w:hAnsi="宋体" w:eastAsia="宋体" w:cs="宋体"/>
                <w:sz w:val="21"/>
                <w:szCs w:val="21"/>
              </w:rPr>
              <w:t>服务面积表</w:t>
            </w:r>
          </w:p>
        </w:tc>
      </w:tr>
      <w:tr>
        <w:tblPrEx>
          <w:tblLayout w:type="fixed"/>
          <w:tblCellMar>
            <w:top w:w="0" w:type="dxa"/>
            <w:left w:w="0" w:type="dxa"/>
            <w:bottom w:w="0" w:type="dxa"/>
            <w:right w:w="0" w:type="dxa"/>
          </w:tblCellMar>
        </w:tblPrEx>
        <w:trPr>
          <w:trHeight w:val="479" w:hRule="exact"/>
        </w:trPr>
        <w:tc>
          <w:tcPr>
            <w:tcW w:w="1622" w:type="dxa"/>
            <w:tcBorders>
              <w:top w:val="single" w:color="000000" w:sz="4" w:space="0"/>
              <w:left w:val="single" w:color="000000" w:sz="4" w:space="0"/>
              <w:bottom w:val="single" w:color="000000" w:sz="4" w:space="0"/>
              <w:right w:val="single" w:color="000000" w:sz="4" w:space="0"/>
            </w:tcBorders>
            <w:vAlign w:val="top"/>
          </w:tcPr>
          <w:p>
            <w:pPr>
              <w:pStyle w:val="236"/>
              <w:spacing w:before="91" w:line="240" w:lineRule="auto"/>
              <w:ind w:left="0" w:leftChars="0" w:right="0" w:firstLine="0" w:firstLineChars="0"/>
              <w:jc w:val="center"/>
              <w:rPr>
                <w:rFonts w:ascii="宋体" w:hAnsi="宋体" w:eastAsia="宋体" w:cs="宋体"/>
                <w:sz w:val="21"/>
                <w:szCs w:val="21"/>
              </w:rPr>
            </w:pPr>
            <w:r>
              <w:rPr>
                <w:rFonts w:ascii="宋体" w:hAnsi="宋体" w:eastAsia="宋体" w:cs="宋体"/>
                <w:sz w:val="21"/>
                <w:szCs w:val="21"/>
              </w:rPr>
              <w:t>地点</w:t>
            </w:r>
          </w:p>
        </w:tc>
        <w:tc>
          <w:tcPr>
            <w:tcW w:w="1911" w:type="dxa"/>
            <w:tcBorders>
              <w:top w:val="single" w:color="000000" w:sz="4" w:space="0"/>
              <w:left w:val="single" w:color="000000" w:sz="4" w:space="0"/>
              <w:bottom w:val="single" w:color="000000" w:sz="4" w:space="0"/>
              <w:right w:val="single" w:color="000000" w:sz="4" w:space="0"/>
            </w:tcBorders>
            <w:vAlign w:val="top"/>
          </w:tcPr>
          <w:p>
            <w:pPr>
              <w:pStyle w:val="236"/>
              <w:spacing w:before="91" w:line="240" w:lineRule="auto"/>
              <w:ind w:left="0" w:leftChars="0" w:right="1" w:firstLine="0" w:firstLineChars="0"/>
              <w:jc w:val="center"/>
              <w:rPr>
                <w:rFonts w:ascii="宋体" w:hAnsi="宋体" w:eastAsia="宋体" w:cs="宋体"/>
                <w:sz w:val="21"/>
                <w:szCs w:val="21"/>
              </w:rPr>
            </w:pPr>
            <w:r>
              <w:rPr>
                <w:rFonts w:ascii="宋体" w:hAnsi="宋体" w:eastAsia="宋体" w:cs="宋体"/>
                <w:sz w:val="21"/>
                <w:szCs w:val="21"/>
              </w:rPr>
              <w:t>楼层数</w:t>
            </w:r>
          </w:p>
        </w:tc>
        <w:tc>
          <w:tcPr>
            <w:tcW w:w="1501" w:type="dxa"/>
            <w:tcBorders>
              <w:top w:val="single" w:color="000000" w:sz="4" w:space="0"/>
              <w:left w:val="single" w:color="000000" w:sz="4" w:space="0"/>
              <w:bottom w:val="single" w:color="000000" w:sz="4" w:space="0"/>
              <w:right w:val="single" w:color="000000" w:sz="4" w:space="0"/>
            </w:tcBorders>
            <w:vAlign w:val="top"/>
          </w:tcPr>
          <w:p>
            <w:pPr>
              <w:pStyle w:val="236"/>
              <w:spacing w:before="91" w:line="240" w:lineRule="auto"/>
              <w:ind w:left="0" w:leftChars="0" w:right="0" w:firstLine="0" w:firstLineChars="0"/>
              <w:jc w:val="left"/>
              <w:rPr>
                <w:rFonts w:ascii="宋体" w:hAnsi="宋体" w:eastAsia="宋体" w:cs="宋体"/>
                <w:sz w:val="21"/>
                <w:szCs w:val="21"/>
              </w:rPr>
            </w:pPr>
            <w:r>
              <w:rPr>
                <w:rFonts w:ascii="宋体" w:hAnsi="宋体" w:eastAsia="宋体" w:cs="宋体"/>
                <w:sz w:val="21"/>
                <w:szCs w:val="21"/>
              </w:rPr>
              <w:t>每层面积</w:t>
            </w:r>
          </w:p>
        </w:tc>
        <w:tc>
          <w:tcPr>
            <w:tcW w:w="1604" w:type="dxa"/>
            <w:tcBorders>
              <w:top w:val="single" w:color="000000" w:sz="4" w:space="0"/>
              <w:left w:val="single" w:color="000000" w:sz="4" w:space="0"/>
              <w:bottom w:val="single" w:color="000000" w:sz="4" w:space="0"/>
              <w:right w:val="single" w:color="000000" w:sz="4" w:space="0"/>
            </w:tcBorders>
            <w:vAlign w:val="top"/>
          </w:tcPr>
          <w:p>
            <w:pPr>
              <w:pStyle w:val="236"/>
              <w:spacing w:before="91" w:line="240" w:lineRule="auto"/>
              <w:ind w:left="0" w:leftChars="0" w:right="2" w:firstLine="0" w:firstLineChars="0"/>
              <w:jc w:val="center"/>
              <w:rPr>
                <w:rFonts w:ascii="宋体" w:hAnsi="宋体" w:eastAsia="宋体" w:cs="宋体"/>
                <w:sz w:val="21"/>
                <w:szCs w:val="21"/>
              </w:rPr>
            </w:pPr>
            <w:r>
              <w:rPr>
                <w:rFonts w:ascii="宋体" w:hAnsi="宋体" w:eastAsia="宋体" w:cs="宋体"/>
                <w:sz w:val="21"/>
                <w:szCs w:val="21"/>
              </w:rPr>
              <w:t>小计</w:t>
            </w:r>
          </w:p>
        </w:tc>
        <w:tc>
          <w:tcPr>
            <w:tcW w:w="2342" w:type="dxa"/>
            <w:tcBorders>
              <w:top w:val="single" w:color="000000" w:sz="4" w:space="0"/>
              <w:left w:val="single" w:color="000000" w:sz="4" w:space="0"/>
              <w:bottom w:val="single" w:color="000000" w:sz="4" w:space="0"/>
              <w:right w:val="single" w:color="000000" w:sz="4" w:space="0"/>
            </w:tcBorders>
            <w:vAlign w:val="top"/>
          </w:tcPr>
          <w:p>
            <w:pPr>
              <w:pStyle w:val="236"/>
              <w:spacing w:before="91" w:line="240" w:lineRule="auto"/>
              <w:ind w:left="0" w:leftChars="0" w:right="1" w:firstLine="0" w:firstLineChars="0"/>
              <w:jc w:val="center"/>
              <w:rPr>
                <w:rFonts w:ascii="宋体" w:hAnsi="宋体" w:eastAsia="宋体" w:cs="宋体"/>
                <w:sz w:val="21"/>
                <w:szCs w:val="21"/>
              </w:rPr>
            </w:pPr>
            <w:r>
              <w:rPr>
                <w:rFonts w:ascii="宋体" w:hAnsi="宋体" w:eastAsia="宋体" w:cs="宋体"/>
                <w:sz w:val="21"/>
                <w:szCs w:val="21"/>
              </w:rPr>
              <w:t>备注</w:t>
            </w:r>
          </w:p>
        </w:tc>
      </w:tr>
      <w:tr>
        <w:tblPrEx>
          <w:tblLayout w:type="fixed"/>
          <w:tblCellMar>
            <w:top w:w="0" w:type="dxa"/>
            <w:left w:w="0" w:type="dxa"/>
            <w:bottom w:w="0" w:type="dxa"/>
            <w:right w:w="0" w:type="dxa"/>
          </w:tblCellMar>
        </w:tblPrEx>
        <w:trPr>
          <w:trHeight w:val="948" w:hRule="exact"/>
        </w:trPr>
        <w:tc>
          <w:tcPr>
            <w:tcW w:w="1622" w:type="dxa"/>
            <w:tcBorders>
              <w:top w:val="single" w:color="000000" w:sz="4" w:space="0"/>
              <w:left w:val="single" w:color="000000" w:sz="4" w:space="0"/>
              <w:bottom w:val="single" w:color="000000" w:sz="4" w:space="0"/>
              <w:right w:val="single" w:color="000000" w:sz="4" w:space="0"/>
            </w:tcBorders>
            <w:vAlign w:val="top"/>
          </w:tcPr>
          <w:p>
            <w:pPr>
              <w:pStyle w:val="236"/>
              <w:spacing w:before="1" w:line="240" w:lineRule="auto"/>
              <w:ind w:left="0" w:leftChars="0" w:right="0" w:firstLine="0" w:firstLineChars="0"/>
              <w:jc w:val="left"/>
              <w:rPr>
                <w:rFonts w:ascii="宋体" w:hAnsi="宋体" w:eastAsia="宋体" w:cs="宋体"/>
                <w:sz w:val="23"/>
                <w:szCs w:val="23"/>
              </w:rPr>
            </w:pPr>
          </w:p>
          <w:p>
            <w:pPr>
              <w:pStyle w:val="236"/>
              <w:spacing w:line="240" w:lineRule="auto"/>
              <w:ind w:left="0" w:leftChars="0" w:right="0" w:firstLine="0" w:firstLineChars="0"/>
              <w:jc w:val="left"/>
              <w:rPr>
                <w:rFonts w:ascii="宋体" w:hAnsi="宋体" w:eastAsia="宋体" w:cs="宋体"/>
                <w:sz w:val="21"/>
                <w:szCs w:val="21"/>
              </w:rPr>
            </w:pPr>
            <w:r>
              <w:rPr>
                <w:rFonts w:ascii="宋体" w:hAnsi="宋体" w:eastAsia="宋体" w:cs="宋体"/>
                <w:sz w:val="21"/>
                <w:szCs w:val="21"/>
              </w:rPr>
              <w:t>主楼、副楼</w:t>
            </w:r>
          </w:p>
        </w:tc>
        <w:tc>
          <w:tcPr>
            <w:tcW w:w="1911" w:type="dxa"/>
            <w:tcBorders>
              <w:top w:val="single" w:color="000000" w:sz="4" w:space="0"/>
              <w:left w:val="single" w:color="000000" w:sz="4" w:space="0"/>
              <w:bottom w:val="single" w:color="000000" w:sz="4" w:space="0"/>
              <w:right w:val="single" w:color="000000" w:sz="4" w:space="0"/>
            </w:tcBorders>
            <w:vAlign w:val="top"/>
          </w:tcPr>
          <w:p>
            <w:pPr>
              <w:pStyle w:val="236"/>
              <w:spacing w:before="90" w:line="240" w:lineRule="auto"/>
              <w:ind w:left="0" w:leftChars="0" w:right="-2" w:firstLine="0" w:firstLineChars="0"/>
              <w:jc w:val="left"/>
              <w:rPr>
                <w:rFonts w:ascii="宋体" w:hAnsi="宋体" w:eastAsia="宋体" w:cs="宋体"/>
                <w:sz w:val="21"/>
                <w:szCs w:val="21"/>
              </w:rPr>
            </w:pPr>
            <w:r>
              <w:rPr>
                <w:rFonts w:ascii="宋体" w:hAnsi="宋体" w:eastAsia="宋体" w:cs="宋体"/>
                <w:sz w:val="21"/>
                <w:szCs w:val="21"/>
              </w:rPr>
              <w:t>主楼</w:t>
            </w:r>
            <w:r>
              <w:rPr>
                <w:rFonts w:ascii="宋体" w:hAnsi="宋体" w:eastAsia="宋体" w:cs="宋体"/>
                <w:spacing w:val="-57"/>
                <w:sz w:val="21"/>
                <w:szCs w:val="21"/>
              </w:rPr>
              <w:t xml:space="preserve"> </w:t>
            </w:r>
            <w:r>
              <w:rPr>
                <w:rFonts w:ascii="Times New Roman" w:hAnsi="Times New Roman" w:eastAsia="Times New Roman" w:cs="Times New Roman"/>
                <w:sz w:val="21"/>
                <w:szCs w:val="21"/>
              </w:rPr>
              <w:t>6</w:t>
            </w:r>
            <w:r>
              <w:rPr>
                <w:rFonts w:ascii="Times New Roman" w:hAnsi="Times New Roman" w:eastAsia="Times New Roman" w:cs="Times New Roman"/>
                <w:spacing w:val="-1"/>
                <w:sz w:val="21"/>
                <w:szCs w:val="21"/>
              </w:rPr>
              <w:t xml:space="preserve"> </w:t>
            </w:r>
            <w:r>
              <w:rPr>
                <w:rFonts w:ascii="宋体" w:hAnsi="宋体" w:eastAsia="宋体" w:cs="宋体"/>
                <w:spacing w:val="-16"/>
                <w:sz w:val="21"/>
                <w:szCs w:val="21"/>
              </w:rPr>
              <w:t>层，次楼</w:t>
            </w:r>
            <w:r>
              <w:rPr>
                <w:rFonts w:ascii="宋体" w:hAnsi="宋体" w:eastAsia="宋体" w:cs="宋体"/>
                <w:spacing w:val="-55"/>
                <w:sz w:val="21"/>
                <w:szCs w:val="21"/>
              </w:rPr>
              <w:t xml:space="preserve"> </w:t>
            </w:r>
            <w:r>
              <w:rPr>
                <w:rFonts w:ascii="Times New Roman" w:hAnsi="Times New Roman" w:eastAsia="Times New Roman" w:cs="Times New Roman"/>
                <w:sz w:val="21"/>
                <w:szCs w:val="21"/>
              </w:rPr>
              <w:t>2</w:t>
            </w:r>
            <w:r>
              <w:rPr>
                <w:rFonts w:ascii="Times New Roman" w:hAnsi="Times New Roman" w:eastAsia="Times New Roman" w:cs="Times New Roman"/>
                <w:spacing w:val="-1"/>
                <w:sz w:val="21"/>
                <w:szCs w:val="21"/>
              </w:rPr>
              <w:t xml:space="preserve"> </w:t>
            </w:r>
            <w:r>
              <w:rPr>
                <w:rFonts w:ascii="宋体" w:hAnsi="宋体" w:eastAsia="宋体" w:cs="宋体"/>
                <w:sz w:val="21"/>
                <w:szCs w:val="21"/>
              </w:rPr>
              <w:t>层，</w:t>
            </w:r>
          </w:p>
          <w:p>
            <w:pPr>
              <w:pStyle w:val="236"/>
              <w:spacing w:before="129" w:line="240" w:lineRule="auto"/>
              <w:ind w:left="0" w:leftChars="0" w:right="0" w:firstLine="0" w:firstLineChars="0"/>
              <w:jc w:val="left"/>
              <w:rPr>
                <w:rFonts w:ascii="宋体" w:hAnsi="宋体" w:eastAsia="宋体" w:cs="宋体"/>
                <w:sz w:val="21"/>
                <w:szCs w:val="21"/>
              </w:rPr>
            </w:pPr>
            <w:r>
              <w:rPr>
                <w:rFonts w:ascii="宋体" w:hAnsi="宋体" w:eastAsia="宋体" w:cs="宋体"/>
                <w:sz w:val="21"/>
                <w:szCs w:val="21"/>
              </w:rPr>
              <w:t>副楼</w:t>
            </w:r>
            <w:r>
              <w:rPr>
                <w:rFonts w:ascii="宋体" w:hAnsi="宋体" w:eastAsia="宋体" w:cs="宋体"/>
                <w:spacing w:val="-56"/>
                <w:sz w:val="21"/>
                <w:szCs w:val="21"/>
              </w:rPr>
              <w:t xml:space="preserve"> </w:t>
            </w:r>
            <w:r>
              <w:rPr>
                <w:rFonts w:ascii="Times New Roman" w:hAnsi="Times New Roman" w:eastAsia="Times New Roman" w:cs="Times New Roman"/>
                <w:sz w:val="21"/>
                <w:szCs w:val="21"/>
              </w:rPr>
              <w:t>3</w:t>
            </w:r>
            <w:r>
              <w:rPr>
                <w:rFonts w:ascii="Times New Roman" w:hAnsi="Times New Roman" w:eastAsia="Times New Roman" w:cs="Times New Roman"/>
                <w:spacing w:val="-2"/>
                <w:sz w:val="21"/>
                <w:szCs w:val="21"/>
              </w:rPr>
              <w:t xml:space="preserve"> </w:t>
            </w:r>
            <w:r>
              <w:rPr>
                <w:rFonts w:ascii="宋体" w:hAnsi="宋体" w:eastAsia="宋体" w:cs="宋体"/>
                <w:sz w:val="21"/>
                <w:szCs w:val="21"/>
              </w:rPr>
              <w:t>层</w:t>
            </w:r>
          </w:p>
        </w:tc>
        <w:tc>
          <w:tcPr>
            <w:tcW w:w="1501" w:type="dxa"/>
            <w:tcBorders>
              <w:top w:val="single" w:color="000000" w:sz="4" w:space="0"/>
              <w:left w:val="single" w:color="000000" w:sz="4" w:space="0"/>
              <w:bottom w:val="single" w:color="000000" w:sz="4" w:space="0"/>
              <w:right w:val="single" w:color="000000" w:sz="4" w:space="0"/>
            </w:tcBorders>
            <w:vAlign w:val="top"/>
          </w:tcPr>
          <w:p>
            <w:pPr>
              <w:ind w:left="0" w:leftChars="0" w:firstLine="0" w:firstLineChars="0"/>
            </w:pPr>
          </w:p>
        </w:tc>
        <w:tc>
          <w:tcPr>
            <w:tcW w:w="1604" w:type="dxa"/>
            <w:tcBorders>
              <w:top w:val="single" w:color="000000" w:sz="4" w:space="0"/>
              <w:left w:val="single" w:color="000000" w:sz="4" w:space="0"/>
              <w:bottom w:val="single" w:color="000000" w:sz="4" w:space="0"/>
              <w:right w:val="single" w:color="000000" w:sz="4" w:space="0"/>
            </w:tcBorders>
            <w:vAlign w:val="top"/>
          </w:tcPr>
          <w:p>
            <w:pPr>
              <w:ind w:left="0" w:leftChars="0" w:firstLine="0" w:firstLineChars="0"/>
            </w:pPr>
          </w:p>
        </w:tc>
        <w:tc>
          <w:tcPr>
            <w:tcW w:w="2342" w:type="dxa"/>
            <w:tcBorders>
              <w:top w:val="single" w:color="000000" w:sz="4" w:space="0"/>
              <w:left w:val="single" w:color="000000" w:sz="4" w:space="0"/>
              <w:bottom w:val="single" w:color="000000" w:sz="4" w:space="0"/>
              <w:right w:val="single" w:color="000000" w:sz="4" w:space="0"/>
            </w:tcBorders>
            <w:vAlign w:val="top"/>
          </w:tcPr>
          <w:p>
            <w:pPr>
              <w:pStyle w:val="236"/>
              <w:spacing w:before="90" w:line="240" w:lineRule="auto"/>
              <w:ind w:left="0" w:leftChars="0" w:right="0" w:firstLine="0" w:firstLineChars="0"/>
              <w:jc w:val="left"/>
              <w:rPr>
                <w:rFonts w:ascii="宋体" w:hAnsi="宋体" w:eastAsia="宋体" w:cs="宋体"/>
                <w:sz w:val="21"/>
                <w:szCs w:val="21"/>
              </w:rPr>
            </w:pPr>
            <w:r>
              <w:rPr>
                <w:rFonts w:ascii="宋体" w:hAnsi="宋体" w:eastAsia="宋体" w:cs="宋体"/>
                <w:sz w:val="21"/>
                <w:szCs w:val="21"/>
              </w:rPr>
              <w:t>主、次、附楼共计</w:t>
            </w:r>
            <w:r>
              <w:rPr>
                <w:rFonts w:ascii="宋体" w:hAnsi="宋体" w:eastAsia="宋体" w:cs="宋体"/>
                <w:spacing w:val="-61"/>
                <w:sz w:val="21"/>
                <w:szCs w:val="21"/>
              </w:rPr>
              <w:t xml:space="preserve"> </w:t>
            </w:r>
            <w:r>
              <w:rPr>
                <w:rFonts w:ascii="Times New Roman" w:hAnsi="Times New Roman" w:eastAsia="Times New Roman" w:cs="Times New Roman"/>
                <w:sz w:val="21"/>
                <w:szCs w:val="21"/>
              </w:rPr>
              <w:t>4456</w:t>
            </w:r>
            <w:r>
              <w:rPr>
                <w:rFonts w:ascii="Times New Roman" w:hAnsi="Times New Roman" w:eastAsia="Times New Roman" w:cs="Times New Roman"/>
                <w:spacing w:val="-8"/>
                <w:sz w:val="21"/>
                <w:szCs w:val="21"/>
              </w:rPr>
              <w:t xml:space="preserve"> </w:t>
            </w:r>
            <w:r>
              <w:rPr>
                <w:rFonts w:ascii="宋体" w:hAnsi="宋体" w:eastAsia="宋体" w:cs="宋体"/>
                <w:sz w:val="21"/>
                <w:szCs w:val="21"/>
              </w:rPr>
              <w:t>平</w:t>
            </w:r>
          </w:p>
          <w:p>
            <w:pPr>
              <w:pStyle w:val="236"/>
              <w:spacing w:before="129" w:line="240" w:lineRule="auto"/>
              <w:ind w:left="0" w:leftChars="0" w:right="0" w:firstLine="0" w:firstLineChars="0"/>
              <w:jc w:val="left"/>
              <w:rPr>
                <w:rFonts w:ascii="宋体" w:hAnsi="宋体" w:eastAsia="宋体" w:cs="宋体"/>
                <w:sz w:val="21"/>
                <w:szCs w:val="21"/>
              </w:rPr>
            </w:pPr>
            <w:r>
              <w:rPr>
                <w:rFonts w:ascii="宋体" w:hAnsi="宋体" w:eastAsia="宋体" w:cs="宋体"/>
                <w:sz w:val="21"/>
                <w:szCs w:val="21"/>
              </w:rPr>
              <w:t>方米。</w:t>
            </w:r>
          </w:p>
        </w:tc>
      </w:tr>
      <w:tr>
        <w:tblPrEx>
          <w:tblLayout w:type="fixed"/>
          <w:tblCellMar>
            <w:top w:w="0" w:type="dxa"/>
            <w:left w:w="0" w:type="dxa"/>
            <w:bottom w:w="0" w:type="dxa"/>
            <w:right w:w="0" w:type="dxa"/>
          </w:tblCellMar>
        </w:tblPrEx>
        <w:trPr>
          <w:trHeight w:val="479" w:hRule="exact"/>
        </w:trPr>
        <w:tc>
          <w:tcPr>
            <w:tcW w:w="1622" w:type="dxa"/>
            <w:tcBorders>
              <w:top w:val="single" w:color="000000" w:sz="4" w:space="0"/>
              <w:left w:val="single" w:color="000000" w:sz="4" w:space="0"/>
              <w:bottom w:val="single" w:color="000000" w:sz="4" w:space="0"/>
              <w:right w:val="single" w:color="000000" w:sz="4" w:space="0"/>
            </w:tcBorders>
            <w:vAlign w:val="top"/>
          </w:tcPr>
          <w:p>
            <w:pPr>
              <w:pStyle w:val="236"/>
              <w:spacing w:before="90" w:line="240" w:lineRule="auto"/>
              <w:ind w:left="0" w:leftChars="0" w:right="0" w:firstLine="0" w:firstLineChars="0"/>
              <w:jc w:val="left"/>
              <w:rPr>
                <w:rFonts w:ascii="宋体" w:hAnsi="宋体" w:eastAsia="宋体" w:cs="宋体"/>
                <w:sz w:val="21"/>
                <w:szCs w:val="21"/>
              </w:rPr>
            </w:pPr>
            <w:r>
              <w:rPr>
                <w:rFonts w:ascii="宋体" w:hAnsi="宋体" w:eastAsia="宋体" w:cs="宋体"/>
                <w:sz w:val="21"/>
                <w:szCs w:val="21"/>
              </w:rPr>
              <w:t>外墙玻璃幕墙</w:t>
            </w:r>
          </w:p>
        </w:tc>
        <w:tc>
          <w:tcPr>
            <w:tcW w:w="1911" w:type="dxa"/>
            <w:tcBorders>
              <w:top w:val="single" w:color="000000" w:sz="4" w:space="0"/>
              <w:left w:val="single" w:color="000000" w:sz="4" w:space="0"/>
              <w:bottom w:val="single" w:color="000000" w:sz="4" w:space="0"/>
              <w:right w:val="single" w:color="000000" w:sz="4" w:space="0"/>
            </w:tcBorders>
            <w:vAlign w:val="top"/>
          </w:tcPr>
          <w:p>
            <w:pPr>
              <w:ind w:left="0" w:leftChars="0" w:firstLine="0" w:firstLineChars="0"/>
            </w:pPr>
          </w:p>
        </w:tc>
        <w:tc>
          <w:tcPr>
            <w:tcW w:w="1501" w:type="dxa"/>
            <w:tcBorders>
              <w:top w:val="single" w:color="000000" w:sz="4" w:space="0"/>
              <w:left w:val="single" w:color="000000" w:sz="4" w:space="0"/>
              <w:bottom w:val="single" w:color="000000" w:sz="4" w:space="0"/>
              <w:right w:val="single" w:color="000000" w:sz="4" w:space="0"/>
            </w:tcBorders>
            <w:vAlign w:val="top"/>
          </w:tcPr>
          <w:p>
            <w:pPr>
              <w:ind w:left="0" w:leftChars="0" w:firstLine="0" w:firstLineChars="0"/>
            </w:pPr>
          </w:p>
        </w:tc>
        <w:tc>
          <w:tcPr>
            <w:tcW w:w="1604" w:type="dxa"/>
            <w:tcBorders>
              <w:top w:val="single" w:color="000000" w:sz="4" w:space="0"/>
              <w:left w:val="single" w:color="000000" w:sz="4" w:space="0"/>
              <w:bottom w:val="single" w:color="000000" w:sz="4" w:space="0"/>
              <w:right w:val="single" w:color="000000" w:sz="4" w:space="0"/>
            </w:tcBorders>
            <w:vAlign w:val="top"/>
          </w:tcPr>
          <w:p>
            <w:pPr>
              <w:pStyle w:val="236"/>
              <w:spacing w:before="90" w:line="240" w:lineRule="auto"/>
              <w:ind w:left="0" w:leftChars="0" w:right="0" w:firstLine="0" w:firstLineChars="0"/>
              <w:jc w:val="left"/>
              <w:rPr>
                <w:rFonts w:ascii="宋体" w:hAnsi="宋体" w:eastAsia="宋体" w:cs="宋体"/>
                <w:sz w:val="21"/>
                <w:szCs w:val="21"/>
              </w:rPr>
            </w:pPr>
            <w:r>
              <w:rPr>
                <w:rFonts w:ascii="Times New Roman" w:hAnsi="Times New Roman" w:eastAsia="Times New Roman" w:cs="Times New Roman"/>
                <w:sz w:val="21"/>
                <w:szCs w:val="21"/>
              </w:rPr>
              <w:t>500</w:t>
            </w:r>
            <w:r>
              <w:rPr>
                <w:rFonts w:ascii="Times New Roman" w:hAnsi="Times New Roman" w:eastAsia="Times New Roman" w:cs="Times New Roman"/>
                <w:spacing w:val="-3"/>
                <w:sz w:val="21"/>
                <w:szCs w:val="21"/>
              </w:rPr>
              <w:t xml:space="preserve"> </w:t>
            </w:r>
            <w:r>
              <w:rPr>
                <w:rFonts w:ascii="宋体" w:hAnsi="宋体" w:eastAsia="宋体" w:cs="宋体"/>
                <w:sz w:val="21"/>
                <w:szCs w:val="21"/>
              </w:rPr>
              <w:t>平方米</w:t>
            </w:r>
          </w:p>
        </w:tc>
        <w:tc>
          <w:tcPr>
            <w:tcW w:w="2342" w:type="dxa"/>
            <w:tcBorders>
              <w:top w:val="single" w:color="000000" w:sz="4" w:space="0"/>
              <w:left w:val="single" w:color="000000" w:sz="4" w:space="0"/>
              <w:bottom w:val="single" w:color="000000" w:sz="4" w:space="0"/>
              <w:right w:val="single" w:color="000000" w:sz="4" w:space="0"/>
            </w:tcBorders>
            <w:vAlign w:val="top"/>
          </w:tcPr>
          <w:p>
            <w:pPr>
              <w:ind w:left="0" w:leftChars="0" w:firstLine="0" w:firstLineChars="0"/>
            </w:pPr>
          </w:p>
        </w:tc>
      </w:tr>
      <w:tr>
        <w:tblPrEx>
          <w:tblLayout w:type="fixed"/>
          <w:tblCellMar>
            <w:top w:w="0" w:type="dxa"/>
            <w:left w:w="0" w:type="dxa"/>
            <w:bottom w:w="0" w:type="dxa"/>
            <w:right w:w="0" w:type="dxa"/>
          </w:tblCellMar>
        </w:tblPrEx>
        <w:trPr>
          <w:trHeight w:val="504" w:hRule="exact"/>
        </w:trPr>
        <w:tc>
          <w:tcPr>
            <w:tcW w:w="1622" w:type="dxa"/>
            <w:tcBorders>
              <w:top w:val="single" w:color="000000" w:sz="4" w:space="0"/>
              <w:left w:val="single" w:color="000000" w:sz="4" w:space="0"/>
              <w:bottom w:val="single" w:color="000000" w:sz="4" w:space="0"/>
              <w:right w:val="single" w:color="000000" w:sz="4" w:space="0"/>
            </w:tcBorders>
            <w:vAlign w:val="top"/>
          </w:tcPr>
          <w:p>
            <w:pPr>
              <w:pStyle w:val="236"/>
              <w:spacing w:before="92" w:line="240" w:lineRule="auto"/>
              <w:ind w:left="0" w:leftChars="0" w:right="0" w:firstLine="0" w:firstLineChars="0"/>
              <w:jc w:val="left"/>
              <w:rPr>
                <w:rFonts w:ascii="宋体" w:hAnsi="宋体" w:eastAsia="宋体" w:cs="宋体"/>
                <w:sz w:val="21"/>
                <w:szCs w:val="21"/>
              </w:rPr>
            </w:pPr>
            <w:r>
              <w:rPr>
                <w:rFonts w:ascii="宋体" w:hAnsi="宋体" w:eastAsia="宋体" w:cs="宋体"/>
                <w:sz w:val="21"/>
                <w:szCs w:val="21"/>
              </w:rPr>
              <w:t>楼道玻璃</w:t>
            </w:r>
          </w:p>
        </w:tc>
        <w:tc>
          <w:tcPr>
            <w:tcW w:w="1911" w:type="dxa"/>
            <w:tcBorders>
              <w:top w:val="single" w:color="000000" w:sz="4" w:space="0"/>
              <w:left w:val="single" w:color="000000" w:sz="4" w:space="0"/>
              <w:bottom w:val="single" w:color="000000" w:sz="4" w:space="0"/>
              <w:right w:val="single" w:color="000000" w:sz="4" w:space="0"/>
            </w:tcBorders>
            <w:vAlign w:val="top"/>
          </w:tcPr>
          <w:p>
            <w:pPr>
              <w:ind w:left="0" w:leftChars="0" w:firstLine="0" w:firstLineChars="0"/>
            </w:pPr>
          </w:p>
        </w:tc>
        <w:tc>
          <w:tcPr>
            <w:tcW w:w="1501" w:type="dxa"/>
            <w:tcBorders>
              <w:top w:val="single" w:color="000000" w:sz="4" w:space="0"/>
              <w:left w:val="single" w:color="000000" w:sz="4" w:space="0"/>
              <w:bottom w:val="single" w:color="000000" w:sz="4" w:space="0"/>
              <w:right w:val="single" w:color="000000" w:sz="4" w:space="0"/>
            </w:tcBorders>
            <w:vAlign w:val="top"/>
          </w:tcPr>
          <w:p>
            <w:pPr>
              <w:ind w:left="0" w:leftChars="0" w:firstLine="0" w:firstLineChars="0"/>
            </w:pPr>
          </w:p>
        </w:tc>
        <w:tc>
          <w:tcPr>
            <w:tcW w:w="1604" w:type="dxa"/>
            <w:tcBorders>
              <w:top w:val="single" w:color="000000" w:sz="4" w:space="0"/>
              <w:left w:val="single" w:color="000000" w:sz="4" w:space="0"/>
              <w:bottom w:val="single" w:color="000000" w:sz="4" w:space="0"/>
              <w:right w:val="single" w:color="000000" w:sz="4" w:space="0"/>
            </w:tcBorders>
            <w:vAlign w:val="top"/>
          </w:tcPr>
          <w:p>
            <w:pPr>
              <w:pStyle w:val="236"/>
              <w:spacing w:before="92" w:line="240" w:lineRule="auto"/>
              <w:ind w:left="0" w:leftChars="0" w:right="0" w:firstLine="0" w:firstLineChars="0"/>
              <w:jc w:val="left"/>
              <w:rPr>
                <w:rFonts w:ascii="宋体" w:hAnsi="宋体" w:eastAsia="宋体" w:cs="宋体"/>
                <w:sz w:val="21"/>
                <w:szCs w:val="21"/>
              </w:rPr>
            </w:pPr>
            <w:r>
              <w:rPr>
                <w:rFonts w:ascii="Times New Roman" w:hAnsi="Times New Roman" w:eastAsia="Times New Roman" w:cs="Times New Roman"/>
                <w:sz w:val="21"/>
                <w:szCs w:val="21"/>
              </w:rPr>
              <w:t>500</w:t>
            </w:r>
            <w:r>
              <w:rPr>
                <w:rFonts w:ascii="Times New Roman" w:hAnsi="Times New Roman" w:eastAsia="Times New Roman" w:cs="Times New Roman"/>
                <w:spacing w:val="-3"/>
                <w:sz w:val="21"/>
                <w:szCs w:val="21"/>
              </w:rPr>
              <w:t xml:space="preserve"> </w:t>
            </w:r>
            <w:r>
              <w:rPr>
                <w:rFonts w:ascii="宋体" w:hAnsi="宋体" w:eastAsia="宋体" w:cs="宋体"/>
                <w:sz w:val="21"/>
                <w:szCs w:val="21"/>
              </w:rPr>
              <w:t>平方米</w:t>
            </w:r>
          </w:p>
        </w:tc>
        <w:tc>
          <w:tcPr>
            <w:tcW w:w="2342" w:type="dxa"/>
            <w:tcBorders>
              <w:top w:val="single" w:color="000000" w:sz="4" w:space="0"/>
              <w:left w:val="single" w:color="000000" w:sz="4" w:space="0"/>
              <w:bottom w:val="single" w:color="000000" w:sz="4" w:space="0"/>
              <w:right w:val="single" w:color="000000" w:sz="4" w:space="0"/>
            </w:tcBorders>
            <w:vAlign w:val="top"/>
          </w:tcPr>
          <w:p>
            <w:pPr>
              <w:ind w:left="0" w:leftChars="0" w:firstLine="0" w:firstLineChars="0"/>
            </w:pPr>
          </w:p>
        </w:tc>
      </w:tr>
    </w:tbl>
    <w:p>
      <w:pPr>
        <w:spacing w:before="10" w:line="240" w:lineRule="auto"/>
        <w:ind w:left="0" w:leftChars="0" w:firstLine="0" w:firstLineChars="0"/>
        <w:rPr>
          <w:rFonts w:ascii="宋体" w:hAnsi="宋体" w:eastAsia="宋体" w:cs="宋体"/>
          <w:sz w:val="8"/>
          <w:szCs w:val="8"/>
        </w:rPr>
      </w:pPr>
    </w:p>
    <w:p>
      <w:pPr>
        <w:pStyle w:val="4"/>
        <w:numPr>
          <w:ilvl w:val="1"/>
          <w:numId w:val="35"/>
        </w:numPr>
        <w:tabs>
          <w:tab w:val="left" w:pos="0"/>
          <w:tab w:val="left" w:pos="426"/>
          <w:tab w:val="left" w:pos="576"/>
          <w:tab w:val="left" w:pos="786"/>
        </w:tabs>
        <w:spacing w:before="0" w:after="0" w:line="520" w:lineRule="exact"/>
        <w:ind w:left="210" w:leftChars="0" w:firstLine="0" w:firstLineChars="0"/>
        <w:jc w:val="both"/>
        <w:rPr>
          <w:color w:val="000000"/>
        </w:rPr>
      </w:pPr>
      <w:r>
        <w:rPr>
          <w:rFonts w:hint="eastAsia"/>
          <w:color w:val="000000"/>
        </w:rPr>
        <w:t>服务内容及要求</w:t>
      </w:r>
      <w:bookmarkEnd w:id="242"/>
      <w:bookmarkEnd w:id="243"/>
      <w:bookmarkEnd w:id="244"/>
      <w:bookmarkEnd w:id="245"/>
      <w:bookmarkEnd w:id="246"/>
      <w:bookmarkEnd w:id="247"/>
      <w:bookmarkEnd w:id="248"/>
      <w:bookmarkEnd w:id="249"/>
      <w:bookmarkEnd w:id="250"/>
      <w:bookmarkEnd w:id="251"/>
    </w:p>
    <w:p>
      <w:pPr>
        <w:pStyle w:val="5"/>
        <w:numPr>
          <w:ilvl w:val="2"/>
          <w:numId w:val="35"/>
        </w:numPr>
        <w:spacing w:after="200" w:line="520" w:lineRule="exact"/>
        <w:rPr>
          <w:bCs w:val="0"/>
          <w:color w:val="000000"/>
        </w:rPr>
      </w:pPr>
      <w:bookmarkStart w:id="252" w:name="_Toc513796936"/>
      <w:r>
        <w:rPr>
          <w:rFonts w:hint="eastAsia"/>
          <w:bCs w:val="0"/>
          <w:color w:val="000000"/>
        </w:rPr>
        <w:t>服务内容及范围</w:t>
      </w:r>
    </w:p>
    <w:p>
      <w:pPr>
        <w:ind w:firstLine="574" w:firstLineChars="202"/>
        <w:rPr>
          <w:rFonts w:hint="eastAsia" w:ascii="宋体" w:hAnsi="宋体"/>
          <w:color w:val="FF0000"/>
          <w:sz w:val="28"/>
          <w:szCs w:val="28"/>
        </w:rPr>
      </w:pPr>
      <w:r>
        <w:rPr>
          <w:rFonts w:ascii="Times New Roman" w:hAnsi="Times New Roman" w:eastAsia="Times New Roman" w:cs="Times New Roman"/>
          <w:b/>
          <w:bCs/>
          <w:color w:val="FF0000"/>
          <w:spacing w:val="-8"/>
          <w:sz w:val="30"/>
          <w:szCs w:val="30"/>
        </w:rPr>
        <w:t xml:space="preserve"> </w:t>
      </w:r>
      <w:r>
        <w:rPr>
          <w:rFonts w:hint="eastAsia" w:cs="Times New Roman"/>
          <w:b/>
          <w:bCs/>
          <w:color w:val="FF0000"/>
          <w:spacing w:val="-8"/>
          <w:sz w:val="30"/>
          <w:szCs w:val="30"/>
          <w:lang w:val="en-US" w:eastAsia="zh-CN"/>
        </w:rPr>
        <w:t xml:space="preserve">  </w:t>
      </w:r>
      <w:r>
        <w:rPr>
          <w:rFonts w:hint="eastAsia" w:ascii="宋体" w:hAnsi="宋体"/>
          <w:color w:val="FF0000"/>
          <w:sz w:val="28"/>
          <w:szCs w:val="28"/>
        </w:rPr>
        <w:t>1、安保服务内容</w:t>
      </w:r>
    </w:p>
    <w:p>
      <w:pPr>
        <w:ind w:firstLine="565" w:firstLineChars="202"/>
        <w:rPr>
          <w:rFonts w:hint="eastAsia" w:ascii="宋体" w:hAnsi="宋体"/>
          <w:color w:val="FF0000"/>
          <w:sz w:val="28"/>
          <w:szCs w:val="28"/>
        </w:rPr>
      </w:pPr>
      <w:r>
        <w:rPr>
          <w:rFonts w:hint="eastAsia" w:ascii="宋体" w:hAnsi="宋体"/>
          <w:color w:val="FF0000"/>
          <w:sz w:val="28"/>
          <w:szCs w:val="28"/>
        </w:rPr>
        <w:t>（1）按照相关规定，实行24小时门卫值班制度、24小时巡查制度、进出查验登记制度。</w:t>
      </w:r>
    </w:p>
    <w:p>
      <w:pPr>
        <w:ind w:firstLine="565" w:firstLineChars="202"/>
        <w:rPr>
          <w:rFonts w:hint="eastAsia" w:ascii="宋体" w:hAnsi="宋体"/>
          <w:color w:val="FF0000"/>
          <w:sz w:val="28"/>
          <w:szCs w:val="28"/>
        </w:rPr>
      </w:pPr>
      <w:r>
        <w:rPr>
          <w:rFonts w:hint="eastAsia" w:ascii="宋体" w:hAnsi="宋体"/>
          <w:color w:val="FF0000"/>
          <w:sz w:val="28"/>
          <w:szCs w:val="28"/>
        </w:rPr>
        <w:t>（2）保证都江堰市</w:t>
      </w:r>
      <w:r>
        <w:rPr>
          <w:rFonts w:hint="eastAsia" w:ascii="宋体" w:hAnsi="宋体"/>
          <w:color w:val="FF0000"/>
          <w:sz w:val="28"/>
          <w:szCs w:val="28"/>
          <w:lang w:eastAsia="zh-CN"/>
        </w:rPr>
        <w:t>人民政府幸福街道</w:t>
      </w:r>
      <w:r>
        <w:rPr>
          <w:rFonts w:hint="eastAsia" w:ascii="宋体" w:hAnsi="宋体"/>
          <w:color w:val="FF0000"/>
          <w:sz w:val="28"/>
          <w:szCs w:val="28"/>
        </w:rPr>
        <w:t>办公楼安全，维护项目区域内各种秩序，配合处理各种突发事故。</w:t>
      </w:r>
    </w:p>
    <w:p>
      <w:pPr>
        <w:ind w:firstLine="565" w:firstLineChars="202"/>
        <w:rPr>
          <w:rFonts w:hint="eastAsia" w:ascii="宋体" w:hAnsi="宋体"/>
          <w:color w:val="FF0000"/>
          <w:sz w:val="28"/>
          <w:szCs w:val="28"/>
        </w:rPr>
      </w:pPr>
      <w:r>
        <w:rPr>
          <w:rFonts w:hint="eastAsia" w:ascii="宋体" w:hAnsi="宋体"/>
          <w:color w:val="FF0000"/>
          <w:sz w:val="28"/>
          <w:szCs w:val="28"/>
        </w:rPr>
        <w:t>（3）车辆停放秩序管理、车辆进出管理。</w:t>
      </w:r>
    </w:p>
    <w:p>
      <w:pPr>
        <w:ind w:firstLine="565" w:firstLineChars="202"/>
        <w:rPr>
          <w:rFonts w:hint="eastAsia" w:ascii="宋体" w:hAnsi="宋体"/>
          <w:color w:val="FF0000"/>
          <w:sz w:val="28"/>
          <w:szCs w:val="28"/>
        </w:rPr>
      </w:pPr>
      <w:r>
        <w:rPr>
          <w:rFonts w:hint="eastAsia" w:ascii="宋体" w:hAnsi="宋体"/>
          <w:color w:val="FF0000"/>
          <w:sz w:val="28"/>
          <w:szCs w:val="28"/>
        </w:rPr>
        <w:t>（4）协助对公共设施设备进行维修、养护、运行和管理等。</w:t>
      </w:r>
    </w:p>
    <w:p>
      <w:pPr>
        <w:ind w:firstLine="565" w:firstLineChars="202"/>
        <w:rPr>
          <w:rFonts w:hint="eastAsia" w:ascii="宋体" w:hAnsi="宋体"/>
          <w:color w:val="FF0000"/>
          <w:sz w:val="28"/>
          <w:szCs w:val="28"/>
        </w:rPr>
      </w:pPr>
      <w:r>
        <w:rPr>
          <w:rFonts w:hint="eastAsia" w:ascii="宋体" w:hAnsi="宋体"/>
          <w:color w:val="FF0000"/>
          <w:sz w:val="28"/>
          <w:szCs w:val="28"/>
        </w:rPr>
        <w:t>（5）公共财物的安全管理。</w:t>
      </w:r>
    </w:p>
    <w:p>
      <w:pPr>
        <w:ind w:firstLine="565" w:firstLineChars="202"/>
        <w:rPr>
          <w:rFonts w:hint="eastAsia" w:ascii="宋体" w:hAnsi="宋体"/>
          <w:color w:val="FF0000"/>
          <w:sz w:val="28"/>
          <w:szCs w:val="28"/>
        </w:rPr>
      </w:pPr>
      <w:r>
        <w:rPr>
          <w:rFonts w:hint="eastAsia" w:ascii="宋体" w:hAnsi="宋体"/>
          <w:color w:val="FF0000"/>
          <w:sz w:val="28"/>
          <w:szCs w:val="28"/>
        </w:rPr>
        <w:t>（6）如遇到地震、火灾、袭击等天灾和突发事件,应进行应急处理，并有应急预案。</w:t>
      </w:r>
    </w:p>
    <w:p>
      <w:pPr>
        <w:ind w:firstLine="565" w:firstLineChars="202"/>
        <w:rPr>
          <w:rFonts w:hint="eastAsia" w:ascii="宋体" w:hAnsi="宋体"/>
          <w:color w:val="FF0000"/>
          <w:sz w:val="28"/>
          <w:szCs w:val="28"/>
        </w:rPr>
      </w:pPr>
      <w:r>
        <w:rPr>
          <w:rFonts w:hint="eastAsia" w:ascii="宋体" w:hAnsi="宋体"/>
          <w:color w:val="FF0000"/>
          <w:sz w:val="28"/>
          <w:szCs w:val="28"/>
        </w:rPr>
        <w:t>（7）指派专人值守监控，及时反馈监控信息，并做好信息保密工作。</w:t>
      </w:r>
    </w:p>
    <w:p>
      <w:pPr>
        <w:ind w:firstLine="565" w:firstLineChars="202"/>
        <w:rPr>
          <w:rFonts w:hint="eastAsia" w:ascii="宋体" w:hAnsi="宋体"/>
          <w:color w:val="FF0000"/>
          <w:sz w:val="28"/>
          <w:szCs w:val="28"/>
        </w:rPr>
      </w:pPr>
      <w:r>
        <w:rPr>
          <w:rFonts w:hint="eastAsia" w:ascii="宋体" w:hAnsi="宋体"/>
          <w:color w:val="FF0000"/>
          <w:sz w:val="28"/>
          <w:szCs w:val="28"/>
        </w:rPr>
        <w:t xml:space="preserve">（8）完成其它临时性后勤工作。 </w:t>
      </w:r>
    </w:p>
    <w:p>
      <w:pPr>
        <w:ind w:firstLine="565" w:firstLineChars="202"/>
        <w:rPr>
          <w:rFonts w:hint="eastAsia" w:ascii="宋体" w:hAnsi="宋体"/>
          <w:color w:val="FF0000"/>
          <w:sz w:val="28"/>
          <w:szCs w:val="28"/>
        </w:rPr>
      </w:pPr>
      <w:r>
        <w:rPr>
          <w:rFonts w:hint="eastAsia" w:ascii="宋体" w:hAnsi="宋体"/>
          <w:color w:val="FF0000"/>
          <w:sz w:val="28"/>
          <w:szCs w:val="28"/>
        </w:rPr>
        <w:t>2、保洁服务内容</w:t>
      </w:r>
    </w:p>
    <w:p>
      <w:pPr>
        <w:ind w:firstLine="565" w:firstLineChars="202"/>
        <w:rPr>
          <w:rFonts w:hint="eastAsia" w:ascii="宋体" w:hAnsi="宋体"/>
          <w:color w:val="FF0000"/>
          <w:sz w:val="28"/>
          <w:szCs w:val="28"/>
        </w:rPr>
      </w:pPr>
      <w:r>
        <w:rPr>
          <w:rFonts w:hint="eastAsia" w:ascii="宋体" w:hAnsi="宋体"/>
          <w:color w:val="FF0000"/>
          <w:sz w:val="28"/>
          <w:szCs w:val="28"/>
        </w:rPr>
        <w:t>（1）负责项目区域道路、绿化、廊道、会议室、公共厕所等公共环境卫生，包括公共场所的清洁卫生、垃圾收集、清运。</w:t>
      </w:r>
    </w:p>
    <w:p>
      <w:pPr>
        <w:ind w:firstLine="565" w:firstLineChars="202"/>
        <w:rPr>
          <w:rFonts w:hint="eastAsia" w:ascii="宋体" w:hAnsi="宋体"/>
          <w:color w:val="FF0000"/>
          <w:sz w:val="28"/>
          <w:szCs w:val="28"/>
        </w:rPr>
      </w:pPr>
      <w:r>
        <w:rPr>
          <w:rFonts w:hint="eastAsia" w:ascii="宋体" w:hAnsi="宋体"/>
          <w:color w:val="FF0000"/>
          <w:sz w:val="28"/>
          <w:szCs w:val="28"/>
        </w:rPr>
        <w:t>（2）实行卫生保洁制，严格执行清洁工作标准，加强保洁巡视，发现问题及时处理。</w:t>
      </w:r>
    </w:p>
    <w:p>
      <w:pPr>
        <w:ind w:firstLine="565" w:firstLineChars="202"/>
        <w:rPr>
          <w:rFonts w:hint="eastAsia" w:ascii="宋体" w:hAnsi="宋体"/>
          <w:color w:val="FF0000"/>
          <w:sz w:val="28"/>
          <w:szCs w:val="28"/>
        </w:rPr>
      </w:pPr>
      <w:r>
        <w:rPr>
          <w:rFonts w:hint="eastAsia" w:ascii="宋体" w:hAnsi="宋体"/>
          <w:color w:val="FF0000"/>
          <w:sz w:val="28"/>
          <w:szCs w:val="28"/>
        </w:rPr>
        <w:t>（3）定期进行消杀、除灭四害工作。</w:t>
      </w:r>
    </w:p>
    <w:p>
      <w:pPr>
        <w:ind w:firstLine="565" w:firstLineChars="202"/>
        <w:rPr>
          <w:rFonts w:hint="eastAsia" w:ascii="宋体" w:hAnsi="宋体"/>
          <w:color w:val="FF0000"/>
          <w:sz w:val="28"/>
          <w:szCs w:val="28"/>
        </w:rPr>
      </w:pPr>
      <w:r>
        <w:rPr>
          <w:rFonts w:hint="eastAsia" w:ascii="宋体" w:hAnsi="宋体"/>
          <w:color w:val="FF0000"/>
          <w:sz w:val="28"/>
          <w:szCs w:val="28"/>
        </w:rPr>
        <w:t>3、水电工服务内容</w:t>
      </w:r>
    </w:p>
    <w:p>
      <w:pPr>
        <w:ind w:firstLine="565" w:firstLineChars="202"/>
        <w:rPr>
          <w:rFonts w:hint="eastAsia" w:ascii="宋体" w:hAnsi="宋体"/>
          <w:color w:val="FF0000"/>
          <w:sz w:val="28"/>
          <w:szCs w:val="28"/>
        </w:rPr>
      </w:pPr>
      <w:r>
        <w:rPr>
          <w:rFonts w:hint="eastAsia" w:ascii="宋体" w:hAnsi="宋体"/>
          <w:color w:val="FF0000"/>
          <w:sz w:val="28"/>
          <w:szCs w:val="28"/>
        </w:rPr>
        <w:t>（1）项目区域内水、电、气路及设备维护维修。</w:t>
      </w:r>
    </w:p>
    <w:p>
      <w:pPr>
        <w:ind w:firstLine="565" w:firstLineChars="202"/>
        <w:rPr>
          <w:rFonts w:hint="eastAsia" w:ascii="宋体" w:hAnsi="宋体"/>
          <w:color w:val="FF0000"/>
          <w:sz w:val="28"/>
          <w:szCs w:val="28"/>
        </w:rPr>
      </w:pPr>
      <w:r>
        <w:rPr>
          <w:rFonts w:hint="eastAsia" w:ascii="宋体" w:hAnsi="宋体"/>
          <w:color w:val="FF0000"/>
          <w:sz w:val="28"/>
          <w:szCs w:val="28"/>
        </w:rPr>
        <w:t>（2）具有相关上岗证书。</w:t>
      </w:r>
    </w:p>
    <w:p>
      <w:pPr>
        <w:ind w:firstLine="565" w:firstLineChars="202"/>
        <w:rPr>
          <w:rFonts w:hint="eastAsia" w:ascii="宋体" w:hAnsi="宋体"/>
          <w:color w:val="FF0000"/>
          <w:sz w:val="28"/>
          <w:szCs w:val="28"/>
        </w:rPr>
      </w:pPr>
      <w:r>
        <w:rPr>
          <w:rFonts w:hint="eastAsia" w:ascii="宋体" w:hAnsi="宋体"/>
          <w:color w:val="FF0000"/>
          <w:sz w:val="28"/>
          <w:szCs w:val="28"/>
        </w:rPr>
        <w:t>（3）水、电、气表的监管、抄报。</w:t>
      </w:r>
    </w:p>
    <w:p>
      <w:pPr>
        <w:ind w:firstLine="565" w:firstLineChars="202"/>
        <w:rPr>
          <w:rFonts w:hint="eastAsia" w:ascii="宋体" w:hAnsi="宋体"/>
          <w:color w:val="FF0000"/>
          <w:sz w:val="28"/>
          <w:szCs w:val="28"/>
        </w:rPr>
      </w:pPr>
      <w:r>
        <w:rPr>
          <w:rFonts w:hint="eastAsia" w:ascii="宋体" w:hAnsi="宋体"/>
          <w:color w:val="FF0000"/>
          <w:sz w:val="28"/>
          <w:szCs w:val="28"/>
        </w:rPr>
        <w:t>（4）水、电、气故障报告，协调相关部门（单位）处理故障。</w:t>
      </w:r>
    </w:p>
    <w:p>
      <w:pPr>
        <w:ind w:firstLine="565" w:firstLineChars="202"/>
        <w:rPr>
          <w:rFonts w:hint="eastAsia" w:ascii="宋体" w:hAnsi="宋体"/>
          <w:color w:val="FF0000"/>
          <w:sz w:val="28"/>
          <w:szCs w:val="28"/>
        </w:rPr>
      </w:pPr>
      <w:r>
        <w:rPr>
          <w:rFonts w:hint="eastAsia" w:ascii="宋体" w:hAnsi="宋体"/>
          <w:color w:val="FF0000"/>
          <w:sz w:val="28"/>
          <w:szCs w:val="28"/>
        </w:rPr>
        <w:t>（5）小型线路改造施工。</w:t>
      </w:r>
    </w:p>
    <w:p>
      <w:pPr>
        <w:ind w:firstLine="565" w:firstLineChars="202"/>
        <w:rPr>
          <w:rFonts w:hint="eastAsia" w:ascii="宋体" w:hAnsi="宋体"/>
          <w:color w:val="FF0000"/>
          <w:sz w:val="28"/>
          <w:szCs w:val="28"/>
        </w:rPr>
      </w:pPr>
      <w:r>
        <w:rPr>
          <w:rFonts w:hint="eastAsia" w:ascii="宋体" w:hAnsi="宋体"/>
          <w:color w:val="FF0000"/>
          <w:sz w:val="28"/>
          <w:szCs w:val="28"/>
        </w:rPr>
        <w:t>（6）完成其它临时性后勤工作。</w:t>
      </w:r>
    </w:p>
    <w:p>
      <w:pPr>
        <w:ind w:firstLine="565" w:firstLineChars="202"/>
        <w:rPr>
          <w:rFonts w:hint="eastAsia" w:ascii="宋体" w:hAnsi="宋体"/>
          <w:color w:val="FF0000"/>
          <w:sz w:val="28"/>
          <w:szCs w:val="28"/>
        </w:rPr>
      </w:pPr>
      <w:r>
        <w:rPr>
          <w:rFonts w:hint="eastAsia" w:ascii="宋体" w:hAnsi="宋体"/>
          <w:color w:val="FF0000"/>
          <w:sz w:val="28"/>
          <w:szCs w:val="28"/>
        </w:rPr>
        <w:t>4、会务服务内容：</w:t>
      </w:r>
    </w:p>
    <w:p>
      <w:pPr>
        <w:ind w:firstLine="565" w:firstLineChars="202"/>
        <w:rPr>
          <w:rFonts w:hint="eastAsia" w:ascii="宋体" w:hAnsi="宋体"/>
          <w:color w:val="FF0000"/>
          <w:sz w:val="28"/>
          <w:szCs w:val="28"/>
        </w:rPr>
      </w:pPr>
      <w:r>
        <w:rPr>
          <w:rFonts w:hint="eastAsia" w:ascii="宋体" w:hAnsi="宋体"/>
          <w:color w:val="FF0000"/>
          <w:sz w:val="28"/>
          <w:szCs w:val="28"/>
        </w:rPr>
        <w:t>（1）负责会议室及公共区域的卫生检查工作，上、下午各一次，包括地面、门窗、桌椅、植物及会议室。</w:t>
      </w:r>
    </w:p>
    <w:p>
      <w:pPr>
        <w:ind w:firstLine="565" w:firstLineChars="202"/>
        <w:rPr>
          <w:rFonts w:hint="eastAsia" w:ascii="宋体" w:hAnsi="宋体"/>
          <w:color w:val="FF0000"/>
          <w:sz w:val="28"/>
          <w:szCs w:val="28"/>
        </w:rPr>
      </w:pPr>
      <w:r>
        <w:rPr>
          <w:rFonts w:hint="eastAsia" w:ascii="宋体" w:hAnsi="宋体"/>
          <w:color w:val="FF0000"/>
          <w:sz w:val="28"/>
          <w:szCs w:val="28"/>
        </w:rPr>
        <w:t>（2）对会议室照明、空调、饮水设施进行例行检查，保证设施运行正常。</w:t>
      </w:r>
    </w:p>
    <w:p>
      <w:pPr>
        <w:ind w:firstLine="565" w:firstLineChars="202"/>
        <w:rPr>
          <w:rFonts w:hint="eastAsia" w:ascii="宋体" w:hAnsi="宋体"/>
          <w:color w:val="FF0000"/>
          <w:sz w:val="28"/>
          <w:szCs w:val="28"/>
        </w:rPr>
      </w:pPr>
      <w:r>
        <w:rPr>
          <w:rFonts w:hint="eastAsia" w:ascii="宋体" w:hAnsi="宋体"/>
          <w:color w:val="FF0000"/>
          <w:sz w:val="28"/>
          <w:szCs w:val="28"/>
        </w:rPr>
        <w:t>（3）保证会议室、接待室通风和卫生状况良好，使其始终处于完善良好的备用状态。</w:t>
      </w:r>
    </w:p>
    <w:p>
      <w:pPr>
        <w:ind w:firstLine="565" w:firstLineChars="202"/>
        <w:rPr>
          <w:rFonts w:hint="eastAsia" w:ascii="宋体" w:hAnsi="宋体"/>
          <w:color w:val="FF0000"/>
          <w:sz w:val="28"/>
          <w:szCs w:val="28"/>
        </w:rPr>
      </w:pPr>
      <w:r>
        <w:rPr>
          <w:rFonts w:hint="eastAsia" w:ascii="宋体" w:hAnsi="宋体"/>
          <w:color w:val="FF0000"/>
          <w:sz w:val="28"/>
          <w:szCs w:val="28"/>
        </w:rPr>
        <w:t>（4）及时与保洁人员做好工作协同和配合，确保会议室内时刻保持干净整洁。</w:t>
      </w:r>
    </w:p>
    <w:p>
      <w:pPr>
        <w:ind w:firstLine="565" w:firstLineChars="202"/>
        <w:rPr>
          <w:rFonts w:hint="eastAsia" w:ascii="宋体" w:hAnsi="宋体"/>
          <w:color w:val="FF0000"/>
          <w:sz w:val="28"/>
          <w:szCs w:val="28"/>
        </w:rPr>
      </w:pPr>
      <w:r>
        <w:rPr>
          <w:rFonts w:hint="eastAsia" w:ascii="宋体" w:hAnsi="宋体"/>
          <w:color w:val="FF0000"/>
          <w:sz w:val="28"/>
          <w:szCs w:val="28"/>
        </w:rPr>
        <w:t>（5）提前做好会议室的设备调试，询问会议的特定要求，做好会议准备。</w:t>
      </w:r>
    </w:p>
    <w:p>
      <w:pPr>
        <w:pStyle w:val="2"/>
        <w:spacing w:before="0" w:line="240" w:lineRule="auto"/>
        <w:ind w:left="0" w:leftChars="0" w:right="0" w:firstLine="0" w:firstLineChars="0"/>
        <w:jc w:val="left"/>
        <w:rPr>
          <w:rFonts w:hint="eastAsia" w:ascii="Times New Roman" w:hAnsi="Times New Roman" w:eastAsia="Times New Roman" w:cs="Times New Roman"/>
          <w:b/>
          <w:bCs/>
          <w:spacing w:val="-8"/>
          <w:sz w:val="30"/>
          <w:szCs w:val="30"/>
          <w:lang w:val="en-US" w:eastAsia="zh-CN"/>
        </w:rPr>
      </w:pPr>
      <w:r>
        <w:rPr>
          <w:rFonts w:hint="eastAsia" w:ascii="宋体" w:hAnsi="宋体"/>
          <w:color w:val="FF0000"/>
          <w:sz w:val="28"/>
          <w:szCs w:val="28"/>
        </w:rPr>
        <w:t>（6）严格做好保密工作，不询问、议论、外传会议内容和领导讲话内容，不带无关人员进入工作间。</w:t>
      </w:r>
    </w:p>
    <w:p>
      <w:pPr>
        <w:pStyle w:val="5"/>
        <w:numPr>
          <w:ilvl w:val="2"/>
          <w:numId w:val="35"/>
        </w:numPr>
        <w:spacing w:after="200" w:line="520" w:lineRule="exact"/>
        <w:rPr>
          <w:bCs w:val="0"/>
          <w:color w:val="000000"/>
        </w:rPr>
      </w:pPr>
    </w:p>
    <w:p>
      <w:pPr>
        <w:pStyle w:val="2"/>
        <w:spacing w:before="129" w:line="240" w:lineRule="auto"/>
        <w:ind w:left="0" w:leftChars="0" w:right="0" w:firstLine="0" w:firstLineChars="0"/>
        <w:jc w:val="left"/>
        <w:rPr>
          <w:b/>
          <w:bCs/>
          <w:sz w:val="30"/>
          <w:szCs w:val="30"/>
        </w:rPr>
      </w:pPr>
      <w:r>
        <w:rPr>
          <w:b/>
          <w:bCs/>
          <w:sz w:val="30"/>
          <w:szCs w:val="30"/>
        </w:rPr>
        <w:t>人员配置要求</w:t>
      </w:r>
    </w:p>
    <w:p>
      <w:pPr>
        <w:pStyle w:val="2"/>
        <w:spacing w:before="0" w:line="240" w:lineRule="auto"/>
        <w:ind w:left="0" w:leftChars="0" w:right="0" w:firstLine="288" w:firstLineChars="100"/>
        <w:jc w:val="left"/>
        <w:rPr>
          <w:rFonts w:ascii="宋体" w:hAnsi="宋体" w:eastAsia="宋体" w:cs="宋体"/>
          <w:b w:val="0"/>
          <w:bCs w:val="0"/>
          <w:color w:val="FF0000"/>
          <w:sz w:val="30"/>
          <w:szCs w:val="30"/>
        </w:rPr>
      </w:pPr>
      <w:r>
        <w:rPr>
          <w:rFonts w:ascii="Times New Roman" w:hAnsi="Times New Roman" w:eastAsia="Times New Roman" w:cs="Times New Roman"/>
          <w:b w:val="0"/>
          <w:bCs w:val="0"/>
          <w:color w:val="FF0000"/>
          <w:spacing w:val="-6"/>
          <w:sz w:val="30"/>
          <w:szCs w:val="30"/>
        </w:rPr>
        <w:t xml:space="preserve"> </w:t>
      </w:r>
      <w:r>
        <w:rPr>
          <w:rFonts w:hint="eastAsia" w:cs="Times New Roman"/>
          <w:b w:val="0"/>
          <w:bCs w:val="0"/>
          <w:color w:val="FF0000"/>
          <w:spacing w:val="-6"/>
          <w:sz w:val="30"/>
          <w:szCs w:val="30"/>
          <w:lang w:val="en-US" w:eastAsia="zh-CN"/>
        </w:rPr>
        <w:t>1、</w:t>
      </w:r>
      <w:r>
        <w:rPr>
          <w:b w:val="0"/>
          <w:bCs w:val="0"/>
          <w:color w:val="FF0000"/>
          <w:spacing w:val="2"/>
          <w:sz w:val="30"/>
          <w:szCs w:val="30"/>
        </w:rPr>
        <w:t>服务人员定点、定位、定责、定编准确合理。本项目服务人员定编不得少于</w:t>
      </w:r>
      <w:r>
        <w:rPr>
          <w:b w:val="0"/>
          <w:bCs w:val="0"/>
          <w:color w:val="FF0000"/>
          <w:spacing w:val="-57"/>
          <w:sz w:val="30"/>
          <w:szCs w:val="30"/>
        </w:rPr>
        <w:t xml:space="preserve"> </w:t>
      </w:r>
      <w:r>
        <w:rPr>
          <w:rFonts w:ascii="Times New Roman" w:hAnsi="Times New Roman" w:eastAsia="Times New Roman" w:cs="Times New Roman"/>
          <w:b w:val="0"/>
          <w:bCs w:val="0"/>
          <w:color w:val="FF0000"/>
          <w:sz w:val="30"/>
          <w:szCs w:val="30"/>
        </w:rPr>
        <w:t>9</w:t>
      </w:r>
      <w:r>
        <w:rPr>
          <w:rFonts w:ascii="Times New Roman" w:hAnsi="Times New Roman" w:eastAsia="Times New Roman" w:cs="Times New Roman"/>
          <w:b w:val="0"/>
          <w:bCs w:val="0"/>
          <w:color w:val="FF0000"/>
          <w:spacing w:val="-4"/>
          <w:sz w:val="30"/>
          <w:szCs w:val="30"/>
        </w:rPr>
        <w:t xml:space="preserve"> </w:t>
      </w:r>
      <w:r>
        <w:rPr>
          <w:b w:val="0"/>
          <w:bCs w:val="0"/>
          <w:color w:val="FF0000"/>
          <w:sz w:val="30"/>
          <w:szCs w:val="30"/>
        </w:rPr>
        <w:t>人；</w:t>
      </w:r>
      <w:r>
        <w:rPr>
          <w:rFonts w:ascii="宋体" w:hAnsi="宋体" w:eastAsia="宋体" w:cs="宋体"/>
          <w:b w:val="0"/>
          <w:bCs w:val="0"/>
          <w:color w:val="FF0000"/>
          <w:sz w:val="30"/>
          <w:szCs w:val="30"/>
        </w:rPr>
        <w:t>其中项目</w:t>
      </w:r>
      <w:r>
        <w:rPr>
          <w:b w:val="0"/>
          <w:bCs w:val="0"/>
          <w:color w:val="FF0000"/>
          <w:sz w:val="30"/>
          <w:szCs w:val="30"/>
        </w:rPr>
        <w:t>经理</w:t>
      </w:r>
      <w:r>
        <w:rPr>
          <w:b w:val="0"/>
          <w:bCs w:val="0"/>
          <w:color w:val="FF0000"/>
          <w:spacing w:val="-61"/>
          <w:sz w:val="30"/>
          <w:szCs w:val="30"/>
        </w:rPr>
        <w:t xml:space="preserve"> </w:t>
      </w:r>
      <w:r>
        <w:rPr>
          <w:b w:val="0"/>
          <w:bCs w:val="0"/>
          <w:color w:val="FF0000"/>
          <w:sz w:val="30"/>
          <w:szCs w:val="30"/>
        </w:rPr>
        <w:t>1</w:t>
      </w:r>
      <w:r>
        <w:rPr>
          <w:b w:val="0"/>
          <w:bCs w:val="0"/>
          <w:color w:val="FF0000"/>
          <w:spacing w:val="-61"/>
          <w:sz w:val="30"/>
          <w:szCs w:val="30"/>
        </w:rPr>
        <w:t xml:space="preserve"> </w:t>
      </w:r>
      <w:r>
        <w:rPr>
          <w:b w:val="0"/>
          <w:bCs w:val="0"/>
          <w:color w:val="FF0000"/>
          <w:spacing w:val="-7"/>
          <w:sz w:val="30"/>
          <w:szCs w:val="30"/>
        </w:rPr>
        <w:t>人，会务服务员</w:t>
      </w:r>
      <w:r>
        <w:rPr>
          <w:b w:val="0"/>
          <w:bCs w:val="0"/>
          <w:color w:val="FF0000"/>
          <w:spacing w:val="-61"/>
          <w:sz w:val="30"/>
          <w:szCs w:val="30"/>
        </w:rPr>
        <w:t xml:space="preserve"> </w:t>
      </w:r>
      <w:r>
        <w:rPr>
          <w:b w:val="0"/>
          <w:bCs w:val="0"/>
          <w:color w:val="FF0000"/>
          <w:sz w:val="30"/>
          <w:szCs w:val="30"/>
        </w:rPr>
        <w:t>1</w:t>
      </w:r>
      <w:r>
        <w:rPr>
          <w:b w:val="0"/>
          <w:bCs w:val="0"/>
          <w:color w:val="FF0000"/>
          <w:spacing w:val="-61"/>
          <w:sz w:val="30"/>
          <w:szCs w:val="30"/>
        </w:rPr>
        <w:t xml:space="preserve"> </w:t>
      </w:r>
      <w:r>
        <w:rPr>
          <w:b w:val="0"/>
          <w:bCs w:val="0"/>
          <w:color w:val="FF0000"/>
          <w:spacing w:val="-8"/>
          <w:sz w:val="30"/>
          <w:szCs w:val="30"/>
        </w:rPr>
        <w:t>人，保洁人员</w:t>
      </w:r>
      <w:r>
        <w:rPr>
          <w:b w:val="0"/>
          <w:bCs w:val="0"/>
          <w:color w:val="FF0000"/>
          <w:spacing w:val="-61"/>
          <w:sz w:val="30"/>
          <w:szCs w:val="30"/>
        </w:rPr>
        <w:t xml:space="preserve"> </w:t>
      </w:r>
      <w:r>
        <w:rPr>
          <w:b w:val="0"/>
          <w:bCs w:val="0"/>
          <w:color w:val="FF0000"/>
          <w:sz w:val="30"/>
          <w:szCs w:val="30"/>
        </w:rPr>
        <w:t>2</w:t>
      </w:r>
      <w:r>
        <w:rPr>
          <w:b w:val="0"/>
          <w:bCs w:val="0"/>
          <w:color w:val="FF0000"/>
          <w:spacing w:val="-63"/>
          <w:sz w:val="30"/>
          <w:szCs w:val="30"/>
        </w:rPr>
        <w:t xml:space="preserve"> </w:t>
      </w:r>
      <w:r>
        <w:rPr>
          <w:b w:val="0"/>
          <w:bCs w:val="0"/>
          <w:color w:val="FF0000"/>
          <w:spacing w:val="-8"/>
          <w:sz w:val="30"/>
          <w:szCs w:val="30"/>
        </w:rPr>
        <w:t>人，保安人员</w:t>
      </w:r>
      <w:r>
        <w:rPr>
          <w:b w:val="0"/>
          <w:bCs w:val="0"/>
          <w:color w:val="FF0000"/>
          <w:spacing w:val="-61"/>
          <w:sz w:val="30"/>
          <w:szCs w:val="30"/>
        </w:rPr>
        <w:t xml:space="preserve"> </w:t>
      </w:r>
      <w:r>
        <w:rPr>
          <w:b w:val="0"/>
          <w:bCs w:val="0"/>
          <w:color w:val="FF0000"/>
          <w:sz w:val="30"/>
          <w:szCs w:val="30"/>
        </w:rPr>
        <w:t>3</w:t>
      </w:r>
      <w:r>
        <w:rPr>
          <w:b w:val="0"/>
          <w:bCs w:val="0"/>
          <w:color w:val="FF0000"/>
          <w:spacing w:val="-61"/>
          <w:sz w:val="30"/>
          <w:szCs w:val="30"/>
        </w:rPr>
        <w:t xml:space="preserve"> </w:t>
      </w:r>
      <w:r>
        <w:rPr>
          <w:b w:val="0"/>
          <w:bCs w:val="0"/>
          <w:color w:val="FF0000"/>
          <w:spacing w:val="-10"/>
          <w:sz w:val="30"/>
          <w:szCs w:val="30"/>
        </w:rPr>
        <w:t>人，水电工</w:t>
      </w:r>
      <w:r>
        <w:rPr>
          <w:b w:val="0"/>
          <w:bCs w:val="0"/>
          <w:color w:val="FF0000"/>
          <w:spacing w:val="-63"/>
          <w:sz w:val="30"/>
          <w:szCs w:val="30"/>
        </w:rPr>
        <w:t xml:space="preserve"> </w:t>
      </w:r>
      <w:r>
        <w:rPr>
          <w:b w:val="0"/>
          <w:bCs w:val="0"/>
          <w:color w:val="FF0000"/>
          <w:sz w:val="30"/>
          <w:szCs w:val="30"/>
        </w:rPr>
        <w:t>1</w:t>
      </w:r>
      <w:r>
        <w:rPr>
          <w:b w:val="0"/>
          <w:bCs w:val="0"/>
          <w:color w:val="FF0000"/>
          <w:spacing w:val="-61"/>
          <w:sz w:val="30"/>
          <w:szCs w:val="30"/>
        </w:rPr>
        <w:t xml:space="preserve"> </w:t>
      </w:r>
      <w:r>
        <w:rPr>
          <w:b w:val="0"/>
          <w:bCs w:val="0"/>
          <w:color w:val="FF0000"/>
          <w:spacing w:val="-9"/>
          <w:sz w:val="30"/>
          <w:szCs w:val="30"/>
        </w:rPr>
        <w:t>人，绿化维护</w:t>
      </w:r>
      <w:r>
        <w:rPr>
          <w:b w:val="0"/>
          <w:bCs w:val="0"/>
          <w:color w:val="FF0000"/>
          <w:spacing w:val="-61"/>
          <w:sz w:val="30"/>
          <w:szCs w:val="30"/>
        </w:rPr>
        <w:t xml:space="preserve"> </w:t>
      </w:r>
      <w:r>
        <w:rPr>
          <w:b w:val="0"/>
          <w:bCs w:val="0"/>
          <w:color w:val="FF0000"/>
          <w:sz w:val="30"/>
          <w:szCs w:val="30"/>
        </w:rPr>
        <w:t>1</w:t>
      </w:r>
      <w:r>
        <w:rPr>
          <w:b w:val="0"/>
          <w:bCs w:val="0"/>
          <w:color w:val="FF0000"/>
          <w:spacing w:val="-61"/>
          <w:sz w:val="30"/>
          <w:szCs w:val="30"/>
        </w:rPr>
        <w:t xml:space="preserve"> </w:t>
      </w:r>
      <w:r>
        <w:rPr>
          <w:b w:val="0"/>
          <w:bCs w:val="0"/>
          <w:color w:val="FF0000"/>
          <w:sz w:val="30"/>
          <w:szCs w:val="30"/>
        </w:rPr>
        <w:t>人；</w:t>
      </w:r>
      <w:r>
        <w:rPr>
          <w:b w:val="0"/>
          <w:bCs w:val="0"/>
          <w:color w:val="FF0000"/>
          <w:spacing w:val="-56"/>
          <w:sz w:val="30"/>
          <w:szCs w:val="30"/>
        </w:rPr>
        <w:t xml:space="preserve"> </w:t>
      </w:r>
      <w:r>
        <w:rPr>
          <w:rFonts w:ascii="宋体" w:hAnsi="宋体" w:eastAsia="宋体" w:cs="宋体"/>
          <w:b w:val="0"/>
          <w:bCs w:val="0"/>
          <w:color w:val="FF0000"/>
          <w:sz w:val="30"/>
          <w:szCs w:val="30"/>
        </w:rPr>
        <w:t>可多于此配置人数。</w:t>
      </w:r>
    </w:p>
    <w:p>
      <w:pPr>
        <w:pStyle w:val="5"/>
        <w:numPr>
          <w:ilvl w:val="2"/>
          <w:numId w:val="35"/>
        </w:numPr>
        <w:spacing w:after="200" w:line="520" w:lineRule="exact"/>
        <w:rPr>
          <w:bCs w:val="0"/>
          <w:color w:val="auto"/>
        </w:rPr>
      </w:pPr>
      <w:r>
        <w:rPr>
          <w:rFonts w:hint="eastAsia"/>
          <w:bCs w:val="0"/>
          <w:color w:val="auto"/>
        </w:rPr>
        <w:t>具体服务内容及要求</w:t>
      </w:r>
    </w:p>
    <w:p>
      <w:pPr>
        <w:pStyle w:val="2"/>
        <w:spacing w:before="129" w:line="240" w:lineRule="auto"/>
        <w:ind w:left="0" w:leftChars="0" w:right="0" w:firstLine="284" w:firstLineChars="100"/>
        <w:jc w:val="left"/>
        <w:rPr>
          <w:rFonts w:hint="eastAsia" w:eastAsia="宋体"/>
          <w:b/>
          <w:bCs/>
          <w:color w:val="FF0000"/>
          <w:sz w:val="30"/>
          <w:szCs w:val="30"/>
          <w:lang w:eastAsia="zh-CN"/>
        </w:rPr>
      </w:pPr>
      <w:bookmarkStart w:id="253" w:name="_Toc27442"/>
      <w:bookmarkStart w:id="254" w:name="_Toc24972"/>
      <w:bookmarkStart w:id="255" w:name="_Toc19248"/>
      <w:bookmarkStart w:id="256" w:name="_Toc12170"/>
      <w:bookmarkStart w:id="257" w:name="_Toc24356563"/>
      <w:bookmarkStart w:id="258" w:name="_Toc4509120"/>
      <w:bookmarkStart w:id="259" w:name="_Toc9486"/>
      <w:bookmarkStart w:id="260" w:name="_Toc54857463"/>
      <w:bookmarkStart w:id="261" w:name="_Toc65573702"/>
      <w:r>
        <w:rPr>
          <w:rFonts w:ascii="Times New Roman" w:hAnsi="Times New Roman" w:eastAsia="Times New Roman" w:cs="Times New Roman"/>
          <w:b/>
          <w:bCs/>
          <w:color w:val="FF0000"/>
          <w:spacing w:val="-8"/>
          <w:sz w:val="30"/>
          <w:szCs w:val="30"/>
        </w:rPr>
        <w:t xml:space="preserve"> </w:t>
      </w:r>
      <w:r>
        <w:rPr>
          <w:rFonts w:hint="eastAsia" w:cs="Times New Roman"/>
          <w:b/>
          <w:bCs/>
          <w:color w:val="FF0000"/>
          <w:spacing w:val="-8"/>
          <w:sz w:val="30"/>
          <w:szCs w:val="30"/>
          <w:lang w:val="en-US" w:eastAsia="zh-CN"/>
        </w:rPr>
        <w:t>1、</w:t>
      </w:r>
      <w:r>
        <w:rPr>
          <w:rFonts w:hint="eastAsia"/>
          <w:b/>
          <w:bCs/>
          <w:color w:val="FF0000"/>
          <w:sz w:val="30"/>
          <w:szCs w:val="30"/>
          <w:lang w:eastAsia="zh-CN"/>
        </w:rPr>
        <w:t>保安服务内容</w:t>
      </w:r>
    </w:p>
    <w:p>
      <w:pPr>
        <w:pStyle w:val="2"/>
        <w:spacing w:before="129" w:line="345" w:lineRule="auto"/>
        <w:ind w:left="0" w:leftChars="0" w:right="0" w:firstLine="0" w:firstLineChars="0"/>
        <w:jc w:val="left"/>
        <w:rPr>
          <w:color w:val="FF0000"/>
          <w:sz w:val="30"/>
          <w:szCs w:val="30"/>
        </w:rPr>
      </w:pPr>
      <w:r>
        <w:rPr>
          <w:color w:val="FF0000"/>
          <w:spacing w:val="2"/>
          <w:sz w:val="30"/>
          <w:szCs w:val="30"/>
        </w:rPr>
        <w:t>（</w:t>
      </w:r>
      <w:r>
        <w:rPr>
          <w:rFonts w:ascii="Times New Roman" w:hAnsi="Times New Roman" w:eastAsia="Times New Roman" w:cs="Times New Roman"/>
          <w:color w:val="FF0000"/>
          <w:spacing w:val="2"/>
          <w:sz w:val="30"/>
          <w:szCs w:val="30"/>
        </w:rPr>
        <w:t>1</w:t>
      </w:r>
      <w:r>
        <w:rPr>
          <w:color w:val="FF0000"/>
          <w:spacing w:val="2"/>
          <w:sz w:val="30"/>
          <w:szCs w:val="30"/>
        </w:rPr>
        <w:t>）</w:t>
      </w:r>
      <w:r>
        <w:rPr>
          <w:rFonts w:hint="eastAsia"/>
          <w:color w:val="FF0000"/>
          <w:spacing w:val="2"/>
          <w:sz w:val="30"/>
          <w:szCs w:val="30"/>
          <w:lang w:eastAsia="zh-CN"/>
        </w:rPr>
        <w:t>保安服务</w:t>
      </w:r>
      <w:r>
        <w:rPr>
          <w:color w:val="FF0000"/>
          <w:spacing w:val="2"/>
          <w:sz w:val="30"/>
          <w:szCs w:val="30"/>
        </w:rPr>
        <w:t>人员</w:t>
      </w:r>
      <w:r>
        <w:rPr>
          <w:color w:val="FF0000"/>
          <w:spacing w:val="-75"/>
          <w:sz w:val="30"/>
          <w:szCs w:val="30"/>
        </w:rPr>
        <w:t xml:space="preserve"> </w:t>
      </w:r>
      <w:r>
        <w:rPr>
          <w:rFonts w:ascii="Times New Roman" w:hAnsi="Times New Roman" w:eastAsia="Times New Roman" w:cs="Times New Roman"/>
          <w:color w:val="FF0000"/>
          <w:sz w:val="30"/>
          <w:szCs w:val="30"/>
        </w:rPr>
        <w:t>5</w:t>
      </w:r>
      <w:r>
        <w:rPr>
          <w:rFonts w:hint="eastAsia" w:eastAsia="宋体" w:cs="Times New Roman"/>
          <w:color w:val="FF0000"/>
          <w:sz w:val="30"/>
          <w:szCs w:val="30"/>
          <w:lang w:val="en-US" w:eastAsia="zh-CN"/>
        </w:rPr>
        <w:t>5</w:t>
      </w:r>
      <w:r>
        <w:rPr>
          <w:rFonts w:ascii="Times New Roman" w:hAnsi="Times New Roman" w:eastAsia="Times New Roman" w:cs="Times New Roman"/>
          <w:color w:val="FF0000"/>
          <w:spacing w:val="-23"/>
          <w:sz w:val="30"/>
          <w:szCs w:val="30"/>
        </w:rPr>
        <w:t xml:space="preserve"> </w:t>
      </w:r>
      <w:r>
        <w:rPr>
          <w:color w:val="FF0000"/>
          <w:sz w:val="30"/>
          <w:szCs w:val="30"/>
        </w:rPr>
        <w:t>岁以下（无违法犯罪前科、无吸毒史），初中以上文化程度，着制服、佩戴工</w:t>
      </w:r>
      <w:r>
        <w:rPr>
          <w:color w:val="FF0000"/>
          <w:w w:val="99"/>
          <w:sz w:val="30"/>
          <w:szCs w:val="30"/>
        </w:rPr>
        <w:t xml:space="preserve"> </w:t>
      </w:r>
      <w:r>
        <w:rPr>
          <w:color w:val="FF0000"/>
          <w:sz w:val="30"/>
          <w:szCs w:val="30"/>
        </w:rPr>
        <w:t>牌、配置安防器械、标志明显。</w:t>
      </w:r>
    </w:p>
    <w:p>
      <w:pPr>
        <w:pStyle w:val="2"/>
        <w:spacing w:before="52" w:line="240"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2</w:t>
      </w:r>
      <w:r>
        <w:rPr>
          <w:color w:val="FF0000"/>
          <w:sz w:val="30"/>
          <w:szCs w:val="30"/>
        </w:rPr>
        <w:t>）做到文明礼貌、谈吐文雅、遵章守约、衣冠整洁、举止大方、动作雅观、称呼得当。</w:t>
      </w:r>
    </w:p>
    <w:p>
      <w:pPr>
        <w:pStyle w:val="2"/>
        <w:spacing w:before="129" w:line="360" w:lineRule="auto"/>
        <w:ind w:left="0" w:leftChars="0" w:right="330" w:firstLine="0" w:firstLineChars="0"/>
        <w:jc w:val="both"/>
        <w:rPr>
          <w:color w:val="FF0000"/>
          <w:sz w:val="30"/>
          <w:szCs w:val="30"/>
        </w:rPr>
      </w:pPr>
      <w:r>
        <w:rPr>
          <w:color w:val="FF0000"/>
          <w:spacing w:val="2"/>
          <w:sz w:val="30"/>
          <w:szCs w:val="30"/>
        </w:rPr>
        <w:t>（</w:t>
      </w:r>
      <w:r>
        <w:rPr>
          <w:rFonts w:ascii="Times New Roman" w:hAnsi="Times New Roman" w:eastAsia="Times New Roman" w:cs="Times New Roman"/>
          <w:color w:val="FF0000"/>
          <w:spacing w:val="2"/>
          <w:sz w:val="30"/>
          <w:szCs w:val="30"/>
        </w:rPr>
        <w:t>3</w:t>
      </w:r>
      <w:r>
        <w:rPr>
          <w:color w:val="FF0000"/>
          <w:spacing w:val="2"/>
          <w:sz w:val="30"/>
          <w:szCs w:val="30"/>
        </w:rPr>
        <w:t>）国家法定工作日保证至少</w:t>
      </w:r>
      <w:r>
        <w:rPr>
          <w:color w:val="FF0000"/>
          <w:spacing w:val="-58"/>
          <w:sz w:val="30"/>
          <w:szCs w:val="30"/>
        </w:rPr>
        <w:t xml:space="preserve"> </w:t>
      </w:r>
      <w:r>
        <w:rPr>
          <w:rFonts w:ascii="Times New Roman" w:hAnsi="Times New Roman" w:eastAsia="Times New Roman" w:cs="Times New Roman"/>
          <w:color w:val="FF0000"/>
          <w:sz w:val="30"/>
          <w:szCs w:val="30"/>
        </w:rPr>
        <w:t>2</w:t>
      </w:r>
      <w:r>
        <w:rPr>
          <w:rFonts w:ascii="Times New Roman" w:hAnsi="Times New Roman" w:eastAsia="Times New Roman" w:cs="Times New Roman"/>
          <w:color w:val="FF0000"/>
          <w:spacing w:val="-8"/>
          <w:sz w:val="30"/>
          <w:szCs w:val="30"/>
        </w:rPr>
        <w:t xml:space="preserve"> </w:t>
      </w:r>
      <w:r>
        <w:rPr>
          <w:color w:val="FF0000"/>
          <w:spacing w:val="2"/>
          <w:sz w:val="30"/>
          <w:szCs w:val="30"/>
        </w:rPr>
        <w:t>名</w:t>
      </w:r>
      <w:r>
        <w:rPr>
          <w:rFonts w:hint="eastAsia"/>
          <w:color w:val="FF0000"/>
          <w:spacing w:val="2"/>
          <w:sz w:val="30"/>
          <w:szCs w:val="30"/>
          <w:lang w:eastAsia="zh-CN"/>
        </w:rPr>
        <w:t>保安服务</w:t>
      </w:r>
      <w:r>
        <w:rPr>
          <w:color w:val="FF0000"/>
          <w:spacing w:val="2"/>
          <w:sz w:val="30"/>
          <w:szCs w:val="30"/>
        </w:rPr>
        <w:t>员在门口值班，维护门岗物品、人员进出秩序、车辆进</w:t>
      </w:r>
      <w:r>
        <w:rPr>
          <w:color w:val="FF0000"/>
          <w:w w:val="95"/>
          <w:sz w:val="30"/>
          <w:szCs w:val="30"/>
        </w:rPr>
        <w:t>出停放秩序；院内</w:t>
      </w:r>
      <w:r>
        <w:rPr>
          <w:rFonts w:hint="eastAsia"/>
          <w:color w:val="FF0000"/>
          <w:w w:val="95"/>
          <w:sz w:val="30"/>
          <w:szCs w:val="30"/>
          <w:lang w:eastAsia="zh-CN"/>
        </w:rPr>
        <w:t>保安服务</w:t>
      </w:r>
      <w:r>
        <w:rPr>
          <w:color w:val="FF0000"/>
          <w:w w:val="95"/>
          <w:sz w:val="30"/>
          <w:szCs w:val="30"/>
        </w:rPr>
        <w:t>、院内消防、治安巡查；物品出门实行凭条核实登记制度，外来人员进出实行核实登记制度（询问、盘查、核实、登记）；突发性群体性上访事件、治安事件、刑事案件的前期</w:t>
      </w:r>
      <w:r>
        <w:rPr>
          <w:rFonts w:hint="eastAsia"/>
          <w:color w:val="FF0000"/>
          <w:w w:val="95"/>
          <w:sz w:val="30"/>
          <w:szCs w:val="30"/>
          <w:lang w:eastAsia="zh-CN"/>
        </w:rPr>
        <w:t>保安服务</w:t>
      </w:r>
      <w:r>
        <w:rPr>
          <w:color w:val="FF0000"/>
          <w:sz w:val="30"/>
          <w:szCs w:val="30"/>
        </w:rPr>
        <w:t>及前期处置；做好来访来电的咨询并记录在案；每天做好值班室交接班记录。</w:t>
      </w:r>
    </w:p>
    <w:p>
      <w:pPr>
        <w:pStyle w:val="2"/>
        <w:spacing w:before="129" w:line="345" w:lineRule="auto"/>
        <w:ind w:left="0" w:leftChars="0" w:right="0" w:firstLine="0" w:firstLineChars="0"/>
        <w:jc w:val="left"/>
        <w:rPr>
          <w:color w:val="FF0000"/>
          <w:sz w:val="30"/>
          <w:szCs w:val="30"/>
        </w:rPr>
      </w:pPr>
      <w:r>
        <w:rPr>
          <w:color w:val="FF0000"/>
          <w:sz w:val="30"/>
          <w:szCs w:val="30"/>
        </w:rPr>
        <w:t>（</w:t>
      </w:r>
      <w:r>
        <w:rPr>
          <w:rFonts w:hint="eastAsia" w:cs="Times New Roman"/>
          <w:color w:val="FF0000"/>
          <w:sz w:val="30"/>
          <w:szCs w:val="30"/>
          <w:lang w:val="en-US" w:eastAsia="zh-CN"/>
        </w:rPr>
        <w:t>4</w:t>
      </w:r>
      <w:r>
        <w:rPr>
          <w:color w:val="FF0000"/>
          <w:sz w:val="30"/>
          <w:szCs w:val="30"/>
        </w:rPr>
        <w:t>）</w:t>
      </w:r>
      <w:r>
        <w:rPr>
          <w:rFonts w:hint="eastAsia"/>
          <w:color w:val="FF0000"/>
          <w:sz w:val="30"/>
          <w:szCs w:val="30"/>
          <w:lang w:eastAsia="zh-CN"/>
        </w:rPr>
        <w:t>保安服务</w:t>
      </w:r>
      <w:r>
        <w:rPr>
          <w:color w:val="FF0000"/>
          <w:sz w:val="30"/>
          <w:szCs w:val="30"/>
        </w:rPr>
        <w:t>人员</w:t>
      </w:r>
      <w:r>
        <w:rPr>
          <w:color w:val="FF0000"/>
          <w:spacing w:val="-69"/>
          <w:sz w:val="30"/>
          <w:szCs w:val="30"/>
        </w:rPr>
        <w:t xml:space="preserve"> </w:t>
      </w:r>
      <w:r>
        <w:rPr>
          <w:rFonts w:ascii="Times New Roman" w:hAnsi="Times New Roman" w:eastAsia="Times New Roman" w:cs="Times New Roman"/>
          <w:color w:val="FF0000"/>
          <w:sz w:val="30"/>
          <w:szCs w:val="30"/>
        </w:rPr>
        <w:t>24</w:t>
      </w:r>
      <w:r>
        <w:rPr>
          <w:rFonts w:ascii="Times New Roman" w:hAnsi="Times New Roman" w:eastAsia="Times New Roman" w:cs="Times New Roman"/>
          <w:color w:val="FF0000"/>
          <w:spacing w:val="-15"/>
          <w:sz w:val="30"/>
          <w:szCs w:val="30"/>
        </w:rPr>
        <w:t xml:space="preserve"> </w:t>
      </w:r>
      <w:r>
        <w:rPr>
          <w:color w:val="FF0000"/>
          <w:sz w:val="30"/>
          <w:szCs w:val="30"/>
        </w:rPr>
        <w:t>小时值班，所有服务人员的联系方式交幸福街道办事处一份，以备紧急事件能够联系。</w:t>
      </w:r>
      <w:r>
        <w:rPr>
          <w:rFonts w:ascii="Times New Roman" w:hAnsi="Times New Roman" w:eastAsia="Times New Roman" w:cs="Times New Roman"/>
          <w:color w:val="FF0000"/>
          <w:sz w:val="30"/>
          <w:szCs w:val="30"/>
        </w:rPr>
        <w:t>24</w:t>
      </w:r>
      <w:r>
        <w:rPr>
          <w:rFonts w:ascii="Times New Roman" w:hAnsi="Times New Roman" w:eastAsia="Times New Roman" w:cs="Times New Roman"/>
          <w:color w:val="FF0000"/>
          <w:spacing w:val="-12"/>
          <w:sz w:val="30"/>
          <w:szCs w:val="30"/>
        </w:rPr>
        <w:t xml:space="preserve"> </w:t>
      </w:r>
      <w:r>
        <w:rPr>
          <w:color w:val="FF0000"/>
          <w:sz w:val="30"/>
          <w:szCs w:val="30"/>
        </w:rPr>
        <w:t>小时值班不因双休与节假日而中断。</w:t>
      </w:r>
    </w:p>
    <w:p>
      <w:pPr>
        <w:pStyle w:val="2"/>
        <w:spacing w:before="27" w:line="240" w:lineRule="auto"/>
        <w:ind w:left="0" w:leftChars="0" w:right="0" w:firstLine="0" w:firstLineChars="0"/>
        <w:jc w:val="left"/>
        <w:rPr>
          <w:color w:val="FF0000"/>
          <w:sz w:val="30"/>
          <w:szCs w:val="30"/>
        </w:rPr>
      </w:pPr>
      <w:r>
        <w:rPr>
          <w:color w:val="FF0000"/>
          <w:spacing w:val="-8"/>
          <w:w w:val="95"/>
          <w:sz w:val="30"/>
          <w:szCs w:val="30"/>
        </w:rPr>
        <w:t>（</w:t>
      </w:r>
      <w:r>
        <w:rPr>
          <w:rFonts w:hint="eastAsia" w:cs="Times New Roman"/>
          <w:color w:val="FF0000"/>
          <w:spacing w:val="-8"/>
          <w:w w:val="95"/>
          <w:sz w:val="30"/>
          <w:szCs w:val="30"/>
          <w:lang w:val="en-US" w:eastAsia="zh-CN"/>
        </w:rPr>
        <w:t>5</w:t>
      </w:r>
      <w:r>
        <w:rPr>
          <w:color w:val="FF0000"/>
          <w:spacing w:val="-8"/>
          <w:w w:val="95"/>
          <w:sz w:val="30"/>
          <w:szCs w:val="30"/>
        </w:rPr>
        <w:t>）负责</w:t>
      </w:r>
      <w:r>
        <w:rPr>
          <w:rFonts w:ascii="Times New Roman" w:hAnsi="Times New Roman" w:eastAsia="Times New Roman" w:cs="Times New Roman"/>
          <w:color w:val="FF0000"/>
          <w:w w:val="95"/>
          <w:sz w:val="30"/>
          <w:szCs w:val="30"/>
        </w:rPr>
        <w:t>24</w:t>
      </w:r>
      <w:r>
        <w:rPr>
          <w:color w:val="FF0000"/>
          <w:w w:val="95"/>
          <w:sz w:val="30"/>
          <w:szCs w:val="30"/>
        </w:rPr>
        <w:t>小时不间断安全巡逻工作，保障工作人员人身与物品安全，保障办事处内公共设施完好</w:t>
      </w:r>
      <w:r>
        <w:rPr>
          <w:rFonts w:hint="eastAsia"/>
          <w:color w:val="FF0000"/>
          <w:w w:val="95"/>
          <w:sz w:val="30"/>
          <w:szCs w:val="30"/>
          <w:lang w:eastAsia="zh-CN"/>
        </w:rPr>
        <w:t>，</w:t>
      </w:r>
      <w:r>
        <w:rPr>
          <w:color w:val="FF0000"/>
          <w:sz w:val="30"/>
          <w:szCs w:val="30"/>
        </w:rPr>
        <w:t>营造良好的秩序环境。</w:t>
      </w:r>
    </w:p>
    <w:p>
      <w:pPr>
        <w:pStyle w:val="2"/>
        <w:spacing w:before="145" w:line="345" w:lineRule="auto"/>
        <w:ind w:left="0" w:leftChars="0" w:right="0" w:firstLine="0" w:firstLineChars="0"/>
        <w:jc w:val="left"/>
        <w:rPr>
          <w:color w:val="FF0000"/>
          <w:sz w:val="30"/>
          <w:szCs w:val="30"/>
        </w:rPr>
      </w:pPr>
      <w:r>
        <w:rPr>
          <w:color w:val="FF0000"/>
          <w:spacing w:val="2"/>
          <w:w w:val="95"/>
          <w:sz w:val="30"/>
          <w:szCs w:val="30"/>
        </w:rPr>
        <w:t>（</w:t>
      </w:r>
      <w:r>
        <w:rPr>
          <w:rFonts w:hint="eastAsia" w:cs="Times New Roman"/>
          <w:color w:val="FF0000"/>
          <w:spacing w:val="2"/>
          <w:w w:val="95"/>
          <w:sz w:val="30"/>
          <w:szCs w:val="30"/>
          <w:lang w:val="en-US" w:eastAsia="zh-CN"/>
        </w:rPr>
        <w:t>6</w:t>
      </w:r>
      <w:r>
        <w:rPr>
          <w:color w:val="FF0000"/>
          <w:spacing w:val="2"/>
          <w:w w:val="95"/>
          <w:sz w:val="30"/>
          <w:szCs w:val="30"/>
        </w:rPr>
        <w:t>）开展意见调查，物业定期（每季度或半年）发放意见调查表，征求办事处工作人员意见，了解</w:t>
      </w:r>
      <w:r>
        <w:rPr>
          <w:color w:val="FF0000"/>
          <w:spacing w:val="-84"/>
          <w:w w:val="95"/>
          <w:sz w:val="30"/>
          <w:szCs w:val="30"/>
        </w:rPr>
        <w:t xml:space="preserve"> </w:t>
      </w:r>
      <w:r>
        <w:rPr>
          <w:color w:val="FF0000"/>
          <w:sz w:val="30"/>
          <w:szCs w:val="30"/>
        </w:rPr>
        <w:t>对物业管理的需求，提供及时、周到、方便的物业管理服务。</w:t>
      </w:r>
    </w:p>
    <w:p>
      <w:pPr>
        <w:ind w:firstLine="300" w:firstLineChars="100"/>
      </w:pPr>
      <w:r>
        <w:rPr>
          <w:rFonts w:hint="eastAsia"/>
          <w:color w:val="FF0000"/>
          <w:sz w:val="30"/>
          <w:szCs w:val="30"/>
          <w:lang w:val="en-US" w:eastAsia="zh-CN"/>
        </w:rPr>
        <w:t xml:space="preserve">(7)  </w:t>
      </w:r>
      <w:r>
        <w:rPr>
          <w:rFonts w:hint="eastAsia"/>
          <w:color w:val="FF0000"/>
          <w:sz w:val="30"/>
          <w:szCs w:val="30"/>
        </w:rPr>
        <w:t>在完成本职工作的前提下，协助办事处处理临时事务。</w:t>
      </w:r>
    </w:p>
    <w:p>
      <w:pPr>
        <w:pStyle w:val="2"/>
        <w:spacing w:before="129" w:line="240" w:lineRule="auto"/>
        <w:ind w:left="0" w:leftChars="0" w:right="0" w:firstLine="0" w:firstLineChars="0"/>
        <w:jc w:val="left"/>
        <w:rPr>
          <w:color w:val="FF0000"/>
          <w:sz w:val="30"/>
          <w:szCs w:val="30"/>
        </w:rPr>
      </w:pPr>
      <w:r>
        <w:rPr>
          <w:rFonts w:ascii="Times New Roman" w:hAnsi="Times New Roman" w:eastAsia="Times New Roman" w:cs="Times New Roman"/>
          <w:color w:val="FF0000"/>
          <w:sz w:val="30"/>
          <w:szCs w:val="30"/>
        </w:rPr>
        <w:t>6.3.2.2</w:t>
      </w:r>
      <w:r>
        <w:rPr>
          <w:rFonts w:ascii="Times New Roman" w:hAnsi="Times New Roman" w:eastAsia="Times New Roman" w:cs="Times New Roman"/>
          <w:color w:val="FF0000"/>
          <w:spacing w:val="-9"/>
          <w:sz w:val="30"/>
          <w:szCs w:val="30"/>
        </w:rPr>
        <w:t xml:space="preserve"> </w:t>
      </w:r>
      <w:r>
        <w:rPr>
          <w:color w:val="FF0000"/>
          <w:sz w:val="30"/>
          <w:szCs w:val="30"/>
        </w:rPr>
        <w:t>现场管理兼会务服务人员要求</w:t>
      </w:r>
    </w:p>
    <w:p>
      <w:pPr>
        <w:pStyle w:val="2"/>
        <w:spacing w:before="129" w:line="345"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1</w:t>
      </w:r>
      <w:r>
        <w:rPr>
          <w:color w:val="FF0000"/>
          <w:sz w:val="30"/>
          <w:szCs w:val="30"/>
        </w:rPr>
        <w:t xml:space="preserve">）现场管理兼会务服务人员 </w:t>
      </w:r>
      <w:r>
        <w:rPr>
          <w:rFonts w:ascii="Times New Roman" w:hAnsi="Times New Roman" w:eastAsia="Times New Roman" w:cs="Times New Roman"/>
          <w:color w:val="FF0000"/>
          <w:sz w:val="30"/>
          <w:szCs w:val="30"/>
        </w:rPr>
        <w:t>45</w:t>
      </w:r>
      <w:r>
        <w:rPr>
          <w:rFonts w:ascii="Times New Roman" w:hAnsi="Times New Roman" w:eastAsia="Times New Roman" w:cs="Times New Roman"/>
          <w:color w:val="FF0000"/>
          <w:spacing w:val="-1"/>
          <w:sz w:val="30"/>
          <w:szCs w:val="30"/>
        </w:rPr>
        <w:t xml:space="preserve"> </w:t>
      </w:r>
      <w:r>
        <w:rPr>
          <w:color w:val="FF0000"/>
          <w:spacing w:val="-3"/>
          <w:sz w:val="30"/>
          <w:szCs w:val="30"/>
        </w:rPr>
        <w:t>岁以下（无违法犯罪前科、无吸毒史），大专以上文化程度，着制</w:t>
      </w:r>
      <w:r>
        <w:rPr>
          <w:color w:val="FF0000"/>
          <w:sz w:val="30"/>
          <w:szCs w:val="30"/>
        </w:rPr>
        <w:t>服、佩戴工牌。</w:t>
      </w:r>
    </w:p>
    <w:p>
      <w:pPr>
        <w:pStyle w:val="2"/>
        <w:spacing w:before="52" w:line="240"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2</w:t>
      </w:r>
      <w:r>
        <w:rPr>
          <w:color w:val="FF0000"/>
          <w:sz w:val="30"/>
          <w:szCs w:val="30"/>
        </w:rPr>
        <w:t>）做到文明礼貌、谈吐文雅、遵章守约、衣冠整洁、举止大方、动作雅观、称呼得当。</w:t>
      </w:r>
    </w:p>
    <w:p>
      <w:pPr>
        <w:pStyle w:val="2"/>
        <w:spacing w:before="129" w:line="240"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3</w:t>
      </w:r>
      <w:r>
        <w:rPr>
          <w:color w:val="FF0000"/>
          <w:sz w:val="30"/>
          <w:szCs w:val="30"/>
        </w:rPr>
        <w:t>）负责项目现场管理工作，做好项目现场工作的检查和工作纪律的监督。</w:t>
      </w:r>
    </w:p>
    <w:p>
      <w:pPr>
        <w:pStyle w:val="2"/>
        <w:spacing w:before="129" w:line="240"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4</w:t>
      </w:r>
      <w:r>
        <w:rPr>
          <w:color w:val="FF0000"/>
          <w:sz w:val="30"/>
          <w:szCs w:val="30"/>
        </w:rPr>
        <w:t>）按照幸福街道办事处要求开展会务服务。</w:t>
      </w:r>
    </w:p>
    <w:p>
      <w:pPr>
        <w:pStyle w:val="2"/>
        <w:spacing w:before="129" w:line="240" w:lineRule="auto"/>
        <w:ind w:left="0" w:leftChars="0" w:right="0" w:firstLine="0" w:firstLineChars="0"/>
        <w:jc w:val="left"/>
        <w:rPr>
          <w:rFonts w:ascii="Times New Roman" w:hAnsi="Times New Roman" w:eastAsia="Times New Roman" w:cs="Times New Roman"/>
          <w:color w:val="FF0000"/>
          <w:sz w:val="30"/>
          <w:szCs w:val="30"/>
        </w:rPr>
      </w:pPr>
      <w:r>
        <w:rPr>
          <w:color w:val="FF0000"/>
          <w:sz w:val="30"/>
          <w:szCs w:val="30"/>
        </w:rPr>
        <w:t>（</w:t>
      </w:r>
      <w:r>
        <w:rPr>
          <w:rFonts w:ascii="Times New Roman" w:hAnsi="Times New Roman" w:eastAsia="Times New Roman" w:cs="Times New Roman"/>
          <w:color w:val="FF0000"/>
          <w:sz w:val="30"/>
          <w:szCs w:val="30"/>
        </w:rPr>
        <w:t>5</w:t>
      </w:r>
      <w:r>
        <w:rPr>
          <w:color w:val="FF0000"/>
          <w:sz w:val="30"/>
          <w:szCs w:val="30"/>
        </w:rPr>
        <w:t>）根据会议安排，做好会议前的准备工作</w:t>
      </w:r>
      <w:r>
        <w:rPr>
          <w:rFonts w:ascii="Times New Roman" w:hAnsi="Times New Roman" w:eastAsia="Times New Roman" w:cs="Times New Roman"/>
          <w:color w:val="FF0000"/>
          <w:sz w:val="30"/>
          <w:szCs w:val="30"/>
        </w:rPr>
        <w:t>.</w:t>
      </w:r>
    </w:p>
    <w:p>
      <w:pPr>
        <w:pStyle w:val="2"/>
        <w:spacing w:before="129" w:line="240"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6</w:t>
      </w:r>
      <w:r>
        <w:rPr>
          <w:color w:val="FF0000"/>
          <w:sz w:val="30"/>
          <w:szCs w:val="30"/>
        </w:rPr>
        <w:t>）会议服务实行低干扰服务，茶水续添等工作必须避免发出噪音。</w:t>
      </w:r>
    </w:p>
    <w:p>
      <w:pPr>
        <w:pStyle w:val="2"/>
        <w:spacing w:before="129" w:line="240"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7</w:t>
      </w:r>
      <w:r>
        <w:rPr>
          <w:color w:val="FF0000"/>
          <w:sz w:val="30"/>
          <w:szCs w:val="30"/>
        </w:rPr>
        <w:t>）每月提供不超过</w:t>
      </w:r>
      <w:r>
        <w:rPr>
          <w:color w:val="FF0000"/>
          <w:spacing w:val="-58"/>
          <w:sz w:val="30"/>
          <w:szCs w:val="30"/>
        </w:rPr>
        <w:t xml:space="preserve"> </w:t>
      </w:r>
      <w:r>
        <w:rPr>
          <w:rFonts w:ascii="Times New Roman" w:hAnsi="Times New Roman" w:eastAsia="Times New Roman" w:cs="Times New Roman"/>
          <w:color w:val="FF0000"/>
          <w:sz w:val="30"/>
          <w:szCs w:val="30"/>
        </w:rPr>
        <w:t>8</w:t>
      </w:r>
      <w:r>
        <w:rPr>
          <w:rFonts w:ascii="Times New Roman" w:hAnsi="Times New Roman" w:eastAsia="Times New Roman" w:cs="Times New Roman"/>
          <w:color w:val="FF0000"/>
          <w:spacing w:val="-4"/>
          <w:sz w:val="30"/>
          <w:szCs w:val="30"/>
        </w:rPr>
        <w:t xml:space="preserve"> </w:t>
      </w:r>
      <w:r>
        <w:rPr>
          <w:color w:val="FF0000"/>
          <w:sz w:val="30"/>
          <w:szCs w:val="30"/>
        </w:rPr>
        <w:t>次的高级别专门会议服务或</w:t>
      </w:r>
      <w:r>
        <w:rPr>
          <w:color w:val="FF0000"/>
          <w:spacing w:val="-55"/>
          <w:sz w:val="30"/>
          <w:szCs w:val="30"/>
        </w:rPr>
        <w:t xml:space="preserve"> </w:t>
      </w:r>
      <w:r>
        <w:rPr>
          <w:rFonts w:ascii="Times New Roman" w:hAnsi="Times New Roman" w:eastAsia="Times New Roman" w:cs="Times New Roman"/>
          <w:color w:val="FF0000"/>
          <w:sz w:val="30"/>
          <w:szCs w:val="30"/>
        </w:rPr>
        <w:t>VIP</w:t>
      </w:r>
      <w:r>
        <w:rPr>
          <w:rFonts w:ascii="Times New Roman" w:hAnsi="Times New Roman" w:eastAsia="Times New Roman" w:cs="Times New Roman"/>
          <w:color w:val="FF0000"/>
          <w:spacing w:val="-4"/>
          <w:sz w:val="30"/>
          <w:szCs w:val="30"/>
        </w:rPr>
        <w:t xml:space="preserve"> </w:t>
      </w:r>
      <w:r>
        <w:rPr>
          <w:color w:val="FF0000"/>
          <w:sz w:val="30"/>
          <w:szCs w:val="30"/>
        </w:rPr>
        <w:t>接待服务。</w:t>
      </w:r>
    </w:p>
    <w:p>
      <w:pPr>
        <w:pStyle w:val="2"/>
        <w:spacing w:before="129" w:line="240"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8</w:t>
      </w:r>
      <w:r>
        <w:rPr>
          <w:color w:val="FF0000"/>
          <w:sz w:val="30"/>
          <w:szCs w:val="30"/>
        </w:rPr>
        <w:t>）每月负责统计下个月现场耗品的需求量，并报街道办事处相关部门。</w:t>
      </w:r>
    </w:p>
    <w:p>
      <w:pPr>
        <w:pStyle w:val="2"/>
        <w:spacing w:before="129" w:line="240" w:lineRule="auto"/>
        <w:ind w:left="0" w:leftChars="0" w:right="0" w:firstLine="0" w:firstLineChars="0"/>
        <w:jc w:val="left"/>
        <w:rPr>
          <w:color w:val="FF0000"/>
          <w:sz w:val="30"/>
          <w:szCs w:val="30"/>
        </w:rPr>
      </w:pPr>
      <w:r>
        <w:rPr>
          <w:rFonts w:hint="eastAsia" w:ascii="Times New Roman" w:hAnsi="Times New Roman" w:cs="Times New Roman"/>
          <w:color w:val="FF0000"/>
          <w:sz w:val="30"/>
          <w:szCs w:val="30"/>
          <w:lang w:val="en-US" w:eastAsia="zh-CN"/>
        </w:rPr>
        <w:t>4、</w:t>
      </w:r>
      <w:r>
        <w:rPr>
          <w:color w:val="FF0000"/>
          <w:sz w:val="30"/>
          <w:szCs w:val="30"/>
        </w:rPr>
        <w:t>环境维护及绿化管理要求</w:t>
      </w:r>
    </w:p>
    <w:p>
      <w:pPr>
        <w:pStyle w:val="2"/>
        <w:spacing w:before="129" w:line="240" w:lineRule="auto"/>
        <w:ind w:left="0" w:leftChars="0" w:right="0" w:firstLine="0" w:firstLineChars="0"/>
        <w:jc w:val="left"/>
        <w:rPr>
          <w:color w:val="FF0000"/>
          <w:sz w:val="30"/>
          <w:szCs w:val="30"/>
        </w:rPr>
      </w:pPr>
      <w:r>
        <w:rPr>
          <w:color w:val="FF0000"/>
          <w:spacing w:val="2"/>
          <w:sz w:val="30"/>
          <w:szCs w:val="30"/>
        </w:rPr>
        <w:t>（</w:t>
      </w:r>
      <w:r>
        <w:rPr>
          <w:rFonts w:ascii="Times New Roman" w:hAnsi="Times New Roman" w:eastAsia="Times New Roman" w:cs="Times New Roman"/>
          <w:color w:val="FF0000"/>
          <w:spacing w:val="2"/>
          <w:sz w:val="30"/>
          <w:szCs w:val="30"/>
        </w:rPr>
        <w:t>1</w:t>
      </w:r>
      <w:r>
        <w:rPr>
          <w:color w:val="FF0000"/>
          <w:spacing w:val="2"/>
          <w:sz w:val="30"/>
          <w:szCs w:val="30"/>
        </w:rPr>
        <w:t>）环境维护人员</w:t>
      </w:r>
      <w:r>
        <w:rPr>
          <w:color w:val="FF0000"/>
          <w:spacing w:val="-79"/>
          <w:sz w:val="30"/>
          <w:szCs w:val="30"/>
        </w:rPr>
        <w:t xml:space="preserve"> </w:t>
      </w:r>
      <w:r>
        <w:rPr>
          <w:rFonts w:ascii="Times New Roman" w:hAnsi="Times New Roman" w:eastAsia="Times New Roman" w:cs="Times New Roman"/>
          <w:color w:val="FF0000"/>
          <w:sz w:val="30"/>
          <w:szCs w:val="30"/>
        </w:rPr>
        <w:t>55</w:t>
      </w:r>
      <w:r>
        <w:rPr>
          <w:rFonts w:ascii="Times New Roman" w:hAnsi="Times New Roman" w:eastAsia="Times New Roman" w:cs="Times New Roman"/>
          <w:color w:val="FF0000"/>
          <w:spacing w:val="-28"/>
          <w:sz w:val="30"/>
          <w:szCs w:val="30"/>
        </w:rPr>
        <w:t xml:space="preserve"> </w:t>
      </w:r>
      <w:r>
        <w:rPr>
          <w:color w:val="FF0000"/>
          <w:sz w:val="30"/>
          <w:szCs w:val="30"/>
        </w:rPr>
        <w:t>岁以下（无违法犯罪前科、无吸毒史），初中以上文化程度，着制服、佩戴工</w:t>
      </w:r>
    </w:p>
    <w:p>
      <w:pPr>
        <w:pStyle w:val="2"/>
        <w:spacing w:before="129" w:line="240" w:lineRule="auto"/>
        <w:ind w:left="0" w:leftChars="0" w:right="0" w:firstLine="0" w:firstLineChars="0"/>
        <w:jc w:val="left"/>
        <w:rPr>
          <w:color w:val="FF0000"/>
          <w:sz w:val="30"/>
          <w:szCs w:val="30"/>
        </w:rPr>
      </w:pPr>
      <w:r>
        <w:rPr>
          <w:color w:val="FF0000"/>
          <w:sz w:val="30"/>
          <w:szCs w:val="30"/>
        </w:rPr>
        <w:t>牌。</w:t>
      </w:r>
    </w:p>
    <w:p>
      <w:pPr>
        <w:pStyle w:val="2"/>
        <w:spacing w:before="145" w:line="240"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2</w:t>
      </w:r>
      <w:r>
        <w:rPr>
          <w:color w:val="FF0000"/>
          <w:sz w:val="30"/>
          <w:szCs w:val="30"/>
        </w:rPr>
        <w:t>）做到文明礼貌、谈吐文雅、遵章守约、衣冠整洁、举止大方、动作雅观、称呼得当。</w:t>
      </w:r>
    </w:p>
    <w:p>
      <w:pPr>
        <w:pStyle w:val="2"/>
        <w:spacing w:before="129" w:line="240"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3</w:t>
      </w:r>
      <w:r>
        <w:rPr>
          <w:color w:val="FF0000"/>
          <w:sz w:val="30"/>
          <w:szCs w:val="30"/>
        </w:rPr>
        <w:t>）实行低干扰清洁卫生服务，每天</w:t>
      </w:r>
      <w:r>
        <w:rPr>
          <w:color w:val="FF0000"/>
          <w:spacing w:val="-49"/>
          <w:sz w:val="30"/>
          <w:szCs w:val="30"/>
        </w:rPr>
        <w:t xml:space="preserve"> </w:t>
      </w:r>
      <w:r>
        <w:rPr>
          <w:rFonts w:ascii="Times New Roman" w:hAnsi="Times New Roman" w:eastAsia="Times New Roman" w:cs="Times New Roman"/>
          <w:color w:val="FF0000"/>
          <w:sz w:val="30"/>
          <w:szCs w:val="30"/>
        </w:rPr>
        <w:t>8:30</w:t>
      </w:r>
      <w:r>
        <w:rPr>
          <w:rFonts w:ascii="Times New Roman" w:hAnsi="Times New Roman" w:eastAsia="Times New Roman" w:cs="Times New Roman"/>
          <w:color w:val="FF0000"/>
          <w:spacing w:val="5"/>
          <w:sz w:val="30"/>
          <w:szCs w:val="30"/>
        </w:rPr>
        <w:t xml:space="preserve"> </w:t>
      </w:r>
      <w:r>
        <w:rPr>
          <w:color w:val="FF0000"/>
          <w:sz w:val="30"/>
          <w:szCs w:val="30"/>
        </w:rPr>
        <w:t>前，环境维护人员做好办公楼卫生清理工作，工作时间仅</w:t>
      </w:r>
    </w:p>
    <w:p>
      <w:pPr>
        <w:pStyle w:val="2"/>
        <w:spacing w:before="129" w:line="240" w:lineRule="auto"/>
        <w:ind w:left="0" w:leftChars="0" w:right="0" w:firstLine="0" w:firstLineChars="0"/>
        <w:jc w:val="left"/>
        <w:rPr>
          <w:color w:val="FF0000"/>
          <w:sz w:val="30"/>
          <w:szCs w:val="30"/>
        </w:rPr>
      </w:pPr>
      <w:r>
        <w:rPr>
          <w:color w:val="FF0000"/>
          <w:sz w:val="30"/>
          <w:szCs w:val="30"/>
        </w:rPr>
        <w:t>做卫生维护工作。</w:t>
      </w:r>
    </w:p>
    <w:p>
      <w:pPr>
        <w:pStyle w:val="2"/>
        <w:spacing w:before="145" w:line="240"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4</w:t>
      </w:r>
      <w:r>
        <w:rPr>
          <w:color w:val="FF0000"/>
          <w:sz w:val="30"/>
          <w:szCs w:val="30"/>
        </w:rPr>
        <w:t>）园区内地面道路、环境、绿地和非机动车场：每天全面清扫两遍，早上</w:t>
      </w:r>
      <w:r>
        <w:rPr>
          <w:color w:val="FF0000"/>
          <w:spacing w:val="-47"/>
          <w:sz w:val="30"/>
          <w:szCs w:val="30"/>
        </w:rPr>
        <w:t xml:space="preserve"> </w:t>
      </w:r>
      <w:r>
        <w:rPr>
          <w:rFonts w:ascii="Times New Roman" w:hAnsi="Times New Roman" w:eastAsia="Times New Roman" w:cs="Times New Roman"/>
          <w:color w:val="FF0000"/>
          <w:sz w:val="30"/>
          <w:szCs w:val="30"/>
        </w:rPr>
        <w:t>8:30</w:t>
      </w:r>
      <w:r>
        <w:rPr>
          <w:rFonts w:ascii="Times New Roman" w:hAnsi="Times New Roman" w:eastAsia="Times New Roman" w:cs="Times New Roman"/>
          <w:color w:val="FF0000"/>
          <w:spacing w:val="4"/>
          <w:sz w:val="30"/>
          <w:szCs w:val="30"/>
        </w:rPr>
        <w:t xml:space="preserve"> </w:t>
      </w:r>
      <w:r>
        <w:rPr>
          <w:color w:val="FF0000"/>
          <w:sz w:val="30"/>
          <w:szCs w:val="30"/>
        </w:rPr>
        <w:t>以前完成全面清扫</w:t>
      </w:r>
    </w:p>
    <w:p>
      <w:pPr>
        <w:pStyle w:val="2"/>
        <w:spacing w:before="129" w:line="240" w:lineRule="auto"/>
        <w:ind w:left="0" w:leftChars="0" w:right="0" w:firstLine="0" w:firstLineChars="0"/>
        <w:jc w:val="left"/>
        <w:rPr>
          <w:color w:val="FF0000"/>
          <w:sz w:val="30"/>
          <w:szCs w:val="30"/>
        </w:rPr>
      </w:pPr>
      <w:r>
        <w:rPr>
          <w:color w:val="FF0000"/>
          <w:sz w:val="30"/>
          <w:szCs w:val="30"/>
        </w:rPr>
        <w:t>一次，重点清洗花台栏杆等，下午</w:t>
      </w:r>
      <w:r>
        <w:rPr>
          <w:color w:val="FF0000"/>
          <w:spacing w:val="-63"/>
          <w:sz w:val="30"/>
          <w:szCs w:val="30"/>
        </w:rPr>
        <w:t xml:space="preserve"> </w:t>
      </w:r>
      <w:r>
        <w:rPr>
          <w:rFonts w:ascii="Times New Roman" w:hAnsi="Times New Roman" w:eastAsia="Times New Roman" w:cs="Times New Roman"/>
          <w:color w:val="FF0000"/>
          <w:sz w:val="30"/>
          <w:szCs w:val="30"/>
        </w:rPr>
        <w:t>16:30</w:t>
      </w:r>
      <w:r>
        <w:rPr>
          <w:rFonts w:ascii="Times New Roman" w:hAnsi="Times New Roman" w:eastAsia="Times New Roman" w:cs="Times New Roman"/>
          <w:color w:val="FF0000"/>
          <w:spacing w:val="-13"/>
          <w:sz w:val="30"/>
          <w:szCs w:val="30"/>
        </w:rPr>
        <w:t xml:space="preserve"> </w:t>
      </w:r>
      <w:r>
        <w:rPr>
          <w:color w:val="FF0000"/>
          <w:sz w:val="30"/>
          <w:szCs w:val="30"/>
        </w:rPr>
        <w:t>以后进行全面清扫一次，其他时段每小时巡回保洁和清运垃圾。</w:t>
      </w:r>
    </w:p>
    <w:p>
      <w:pPr>
        <w:pStyle w:val="2"/>
        <w:spacing w:before="129" w:line="240"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5</w:t>
      </w:r>
      <w:r>
        <w:rPr>
          <w:color w:val="FF0000"/>
          <w:sz w:val="30"/>
          <w:szCs w:val="30"/>
        </w:rPr>
        <w:t>）楼道、走廊及公共场所：早上</w:t>
      </w:r>
      <w:r>
        <w:rPr>
          <w:color w:val="FF0000"/>
          <w:spacing w:val="-46"/>
          <w:sz w:val="30"/>
          <w:szCs w:val="30"/>
        </w:rPr>
        <w:t xml:space="preserve"> </w:t>
      </w:r>
      <w:r>
        <w:rPr>
          <w:rFonts w:ascii="Times New Roman" w:hAnsi="Times New Roman" w:eastAsia="Times New Roman" w:cs="Times New Roman"/>
          <w:color w:val="FF0000"/>
          <w:sz w:val="30"/>
          <w:szCs w:val="30"/>
        </w:rPr>
        <w:t>8:30</w:t>
      </w:r>
      <w:r>
        <w:rPr>
          <w:rFonts w:ascii="Times New Roman" w:hAnsi="Times New Roman" w:eastAsia="Times New Roman" w:cs="Times New Roman"/>
          <w:color w:val="FF0000"/>
          <w:spacing w:val="3"/>
          <w:sz w:val="30"/>
          <w:szCs w:val="30"/>
        </w:rPr>
        <w:t xml:space="preserve"> </w:t>
      </w:r>
      <w:r>
        <w:rPr>
          <w:color w:val="FF0000"/>
          <w:sz w:val="30"/>
          <w:szCs w:val="30"/>
        </w:rPr>
        <w:t>完成公共区域全面清扫一次，重点清扫楼道、擦抹楼梯扶手</w:t>
      </w:r>
    </w:p>
    <w:p>
      <w:pPr>
        <w:pStyle w:val="2"/>
        <w:spacing w:before="129" w:line="345" w:lineRule="auto"/>
        <w:ind w:left="0" w:leftChars="0" w:right="0" w:firstLine="0" w:firstLineChars="0"/>
        <w:jc w:val="left"/>
        <w:rPr>
          <w:color w:val="FF0000"/>
          <w:sz w:val="30"/>
          <w:szCs w:val="30"/>
        </w:rPr>
      </w:pPr>
      <w:r>
        <w:rPr>
          <w:color w:val="FF0000"/>
          <w:sz w:val="30"/>
          <w:szCs w:val="30"/>
        </w:rPr>
        <w:t>等，做好巡回保洁，下午</w:t>
      </w:r>
      <w:r>
        <w:rPr>
          <w:color w:val="FF0000"/>
          <w:spacing w:val="-47"/>
          <w:sz w:val="30"/>
          <w:szCs w:val="30"/>
        </w:rPr>
        <w:t xml:space="preserve"> </w:t>
      </w:r>
      <w:r>
        <w:rPr>
          <w:rFonts w:ascii="Times New Roman" w:hAnsi="Times New Roman" w:eastAsia="Times New Roman" w:cs="Times New Roman"/>
          <w:color w:val="FF0000"/>
          <w:sz w:val="30"/>
          <w:szCs w:val="30"/>
        </w:rPr>
        <w:t>16:30</w:t>
      </w:r>
      <w:r>
        <w:rPr>
          <w:rFonts w:ascii="Times New Roman" w:hAnsi="Times New Roman" w:eastAsia="Times New Roman" w:cs="Times New Roman"/>
          <w:color w:val="FF0000"/>
          <w:spacing w:val="2"/>
          <w:sz w:val="30"/>
          <w:szCs w:val="30"/>
        </w:rPr>
        <w:t xml:space="preserve"> </w:t>
      </w:r>
      <w:r>
        <w:rPr>
          <w:color w:val="FF0000"/>
          <w:sz w:val="30"/>
          <w:szCs w:val="30"/>
        </w:rPr>
        <w:t>以后完成全面清扫一次，其他时段每小时巡回保洁、清运垃圾，做好每天</w:t>
      </w:r>
      <w:r>
        <w:rPr>
          <w:color w:val="FF0000"/>
          <w:w w:val="99"/>
          <w:sz w:val="30"/>
          <w:szCs w:val="30"/>
        </w:rPr>
        <w:t xml:space="preserve"> </w:t>
      </w:r>
      <w:r>
        <w:rPr>
          <w:color w:val="FF0000"/>
          <w:sz w:val="30"/>
          <w:szCs w:val="30"/>
        </w:rPr>
        <w:t>清扫记录台账。</w:t>
      </w:r>
    </w:p>
    <w:p>
      <w:pPr>
        <w:pStyle w:val="2"/>
        <w:spacing w:before="52" w:line="345"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6</w:t>
      </w:r>
      <w:r>
        <w:rPr>
          <w:color w:val="FF0000"/>
          <w:sz w:val="30"/>
          <w:szCs w:val="30"/>
        </w:rPr>
        <w:t>）卫生间：每天</w:t>
      </w:r>
      <w:r>
        <w:rPr>
          <w:color w:val="FF0000"/>
          <w:spacing w:val="-58"/>
          <w:sz w:val="30"/>
          <w:szCs w:val="30"/>
        </w:rPr>
        <w:t xml:space="preserve"> </w:t>
      </w:r>
      <w:r>
        <w:rPr>
          <w:rFonts w:ascii="Times New Roman" w:hAnsi="Times New Roman" w:eastAsia="Times New Roman" w:cs="Times New Roman"/>
          <w:color w:val="FF0000"/>
          <w:sz w:val="30"/>
          <w:szCs w:val="30"/>
        </w:rPr>
        <w:t>8:30</w:t>
      </w:r>
      <w:r>
        <w:rPr>
          <w:rFonts w:ascii="Times New Roman" w:hAnsi="Times New Roman" w:eastAsia="Times New Roman" w:cs="Times New Roman"/>
          <w:color w:val="FF0000"/>
          <w:spacing w:val="-4"/>
          <w:sz w:val="30"/>
          <w:szCs w:val="30"/>
        </w:rPr>
        <w:t xml:space="preserve"> </w:t>
      </w:r>
      <w:r>
        <w:rPr>
          <w:color w:val="FF0000"/>
          <w:sz w:val="30"/>
          <w:szCs w:val="30"/>
        </w:rPr>
        <w:t>以前完成清洁一次，期间每小时巡检一次，</w:t>
      </w:r>
      <w:r>
        <w:rPr>
          <w:rFonts w:ascii="Times New Roman" w:hAnsi="Times New Roman" w:eastAsia="Times New Roman" w:cs="Times New Roman"/>
          <w:color w:val="FF0000"/>
          <w:sz w:val="30"/>
          <w:szCs w:val="30"/>
        </w:rPr>
        <w:t>17:00</w:t>
      </w:r>
      <w:r>
        <w:rPr>
          <w:rFonts w:ascii="Times New Roman" w:hAnsi="Times New Roman" w:eastAsia="Times New Roman" w:cs="Times New Roman"/>
          <w:color w:val="FF0000"/>
          <w:spacing w:val="-6"/>
          <w:sz w:val="30"/>
          <w:szCs w:val="30"/>
        </w:rPr>
        <w:t xml:space="preserve"> </w:t>
      </w:r>
      <w:r>
        <w:rPr>
          <w:color w:val="FF0000"/>
          <w:sz w:val="30"/>
          <w:szCs w:val="30"/>
        </w:rPr>
        <w:t>以后清洁一次、清运垃圾。</w:t>
      </w:r>
      <w:r>
        <w:rPr>
          <w:color w:val="FF0000"/>
          <w:w w:val="99"/>
          <w:sz w:val="30"/>
          <w:szCs w:val="30"/>
        </w:rPr>
        <w:t xml:space="preserve"> </w:t>
      </w:r>
      <w:r>
        <w:rPr>
          <w:color w:val="FF0000"/>
          <w:sz w:val="30"/>
          <w:szCs w:val="30"/>
        </w:rPr>
        <w:t>卫生间要定期施放空气清新剂（清洁球），保持卫生间无异味，做好每天厕所清扫消杀记录台帐。</w:t>
      </w:r>
    </w:p>
    <w:p>
      <w:pPr>
        <w:pStyle w:val="2"/>
        <w:spacing w:before="52" w:line="240" w:lineRule="auto"/>
        <w:ind w:left="0" w:leftChars="0" w:right="0" w:firstLine="0" w:firstLineChars="0"/>
        <w:jc w:val="left"/>
        <w:rPr>
          <w:rFonts w:ascii="Times New Roman" w:hAnsi="Times New Roman" w:eastAsia="Times New Roman" w:cs="Times New Roman"/>
          <w:color w:val="FF0000"/>
          <w:sz w:val="30"/>
          <w:szCs w:val="30"/>
        </w:rPr>
      </w:pPr>
      <w:r>
        <w:rPr>
          <w:color w:val="FF0000"/>
          <w:spacing w:val="-2"/>
          <w:sz w:val="30"/>
          <w:szCs w:val="30"/>
        </w:rPr>
        <w:t>（</w:t>
      </w:r>
      <w:r>
        <w:rPr>
          <w:rFonts w:ascii="Times New Roman" w:hAnsi="Times New Roman" w:eastAsia="Times New Roman" w:cs="Times New Roman"/>
          <w:color w:val="FF0000"/>
          <w:spacing w:val="-2"/>
          <w:sz w:val="30"/>
          <w:szCs w:val="30"/>
        </w:rPr>
        <w:t>7</w:t>
      </w:r>
      <w:r>
        <w:rPr>
          <w:color w:val="FF0000"/>
          <w:spacing w:val="-2"/>
          <w:sz w:val="30"/>
          <w:szCs w:val="30"/>
        </w:rPr>
        <w:t>）其他公共区域：每天对门框、窗台、消防栓、指示牌、通风井格栏、垃圾桶的清洁工作不少于</w:t>
      </w:r>
      <w:r>
        <w:rPr>
          <w:color w:val="FF0000"/>
          <w:spacing w:val="-56"/>
          <w:sz w:val="30"/>
          <w:szCs w:val="30"/>
        </w:rPr>
        <w:t xml:space="preserve"> </w:t>
      </w:r>
      <w:r>
        <w:rPr>
          <w:rFonts w:ascii="Times New Roman" w:hAnsi="Times New Roman" w:eastAsia="Times New Roman" w:cs="Times New Roman"/>
          <w:color w:val="FF0000"/>
          <w:sz w:val="30"/>
          <w:szCs w:val="30"/>
        </w:rPr>
        <w:t>1</w:t>
      </w:r>
    </w:p>
    <w:p>
      <w:pPr>
        <w:pStyle w:val="2"/>
        <w:spacing w:before="129" w:line="240" w:lineRule="auto"/>
        <w:ind w:left="0" w:leftChars="0" w:right="0" w:firstLine="0" w:firstLineChars="0"/>
        <w:jc w:val="left"/>
        <w:rPr>
          <w:color w:val="FF0000"/>
          <w:sz w:val="30"/>
          <w:szCs w:val="30"/>
        </w:rPr>
      </w:pPr>
      <w:r>
        <w:rPr>
          <w:color w:val="FF0000"/>
          <w:sz w:val="30"/>
          <w:szCs w:val="30"/>
        </w:rPr>
        <w:t>次。</w:t>
      </w:r>
    </w:p>
    <w:p>
      <w:pPr>
        <w:pStyle w:val="2"/>
        <w:spacing w:before="145" w:line="240"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8</w:t>
      </w:r>
      <w:r>
        <w:rPr>
          <w:color w:val="FF0000"/>
          <w:sz w:val="30"/>
          <w:szCs w:val="30"/>
        </w:rPr>
        <w:t>）垃圾的清倒：垃圾清运应做到日产日清，不得将垃圾在园区内放置过夜。</w:t>
      </w:r>
    </w:p>
    <w:p>
      <w:pPr>
        <w:pStyle w:val="2"/>
        <w:spacing w:before="129" w:line="240" w:lineRule="auto"/>
        <w:ind w:left="0" w:leftChars="0" w:right="0" w:firstLine="0" w:firstLineChars="0"/>
        <w:jc w:val="left"/>
        <w:rPr>
          <w:color w:val="FF0000"/>
          <w:sz w:val="30"/>
          <w:szCs w:val="30"/>
        </w:rPr>
      </w:pPr>
      <w:r>
        <w:rPr>
          <w:color w:val="FF0000"/>
          <w:spacing w:val="2"/>
          <w:sz w:val="30"/>
          <w:szCs w:val="30"/>
        </w:rPr>
        <w:t>（</w:t>
      </w:r>
      <w:r>
        <w:rPr>
          <w:rFonts w:ascii="Times New Roman" w:hAnsi="Times New Roman" w:eastAsia="Times New Roman" w:cs="Times New Roman"/>
          <w:color w:val="FF0000"/>
          <w:spacing w:val="2"/>
          <w:sz w:val="30"/>
          <w:szCs w:val="30"/>
        </w:rPr>
        <w:t>9</w:t>
      </w:r>
      <w:r>
        <w:rPr>
          <w:color w:val="FF0000"/>
          <w:spacing w:val="2"/>
          <w:sz w:val="30"/>
          <w:szCs w:val="30"/>
        </w:rPr>
        <w:t>）园区内绿化、绿草地及花卉、苗木、树木定期维护、养护、浇水、修剪、施肥和病虫害防治等</w:t>
      </w:r>
    </w:p>
    <w:p>
      <w:pPr>
        <w:pStyle w:val="2"/>
        <w:spacing w:before="129" w:line="240" w:lineRule="auto"/>
        <w:ind w:left="0" w:leftChars="0" w:right="0" w:firstLine="0" w:firstLineChars="0"/>
        <w:jc w:val="left"/>
        <w:rPr>
          <w:color w:val="FF0000"/>
          <w:sz w:val="30"/>
          <w:szCs w:val="30"/>
        </w:rPr>
      </w:pPr>
      <w:r>
        <w:rPr>
          <w:color w:val="FF0000"/>
          <w:sz w:val="30"/>
          <w:szCs w:val="30"/>
        </w:rPr>
        <w:t>日常管理工作。</w:t>
      </w:r>
    </w:p>
    <w:p>
      <w:pPr>
        <w:pStyle w:val="2"/>
        <w:spacing w:before="145" w:line="240"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10</w:t>
      </w:r>
      <w:r>
        <w:rPr>
          <w:color w:val="FF0000"/>
          <w:sz w:val="30"/>
          <w:szCs w:val="30"/>
        </w:rPr>
        <w:t>）根据实际情况定期进行消毒和灭虫除害。</w:t>
      </w:r>
    </w:p>
    <w:p>
      <w:pPr>
        <w:pStyle w:val="2"/>
        <w:spacing w:before="145" w:line="240" w:lineRule="auto"/>
        <w:ind w:left="0" w:leftChars="0" w:right="0" w:firstLine="0" w:firstLineChars="0"/>
        <w:jc w:val="left"/>
        <w:rPr>
          <w:color w:val="FF0000"/>
          <w:sz w:val="30"/>
          <w:szCs w:val="30"/>
        </w:rPr>
      </w:pPr>
      <w:r>
        <w:rPr>
          <w:rFonts w:hint="eastAsia" w:ascii="Times New Roman" w:hAnsi="Times New Roman" w:cs="Times New Roman"/>
          <w:color w:val="FF0000"/>
          <w:sz w:val="30"/>
          <w:szCs w:val="30"/>
          <w:lang w:val="en-US" w:eastAsia="zh-CN"/>
        </w:rPr>
        <w:t>5、</w:t>
      </w:r>
      <w:r>
        <w:rPr>
          <w:rFonts w:ascii="Times New Roman" w:hAnsi="Times New Roman" w:eastAsia="Times New Roman" w:cs="Times New Roman"/>
          <w:color w:val="FF0000"/>
          <w:spacing w:val="44"/>
          <w:sz w:val="30"/>
          <w:szCs w:val="30"/>
        </w:rPr>
        <w:t xml:space="preserve"> </w:t>
      </w:r>
      <w:r>
        <w:rPr>
          <w:color w:val="FF0000"/>
          <w:sz w:val="30"/>
          <w:szCs w:val="30"/>
        </w:rPr>
        <w:t>现场管理人员的工作要求</w:t>
      </w:r>
    </w:p>
    <w:p>
      <w:pPr>
        <w:pStyle w:val="2"/>
        <w:spacing w:before="129" w:line="240"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1</w:t>
      </w:r>
      <w:r>
        <w:rPr>
          <w:color w:val="FF0000"/>
          <w:sz w:val="30"/>
          <w:szCs w:val="30"/>
        </w:rPr>
        <w:t>）做好街道办事处的物业人员的日常管理工作。</w:t>
      </w:r>
    </w:p>
    <w:p>
      <w:pPr>
        <w:pStyle w:val="2"/>
        <w:spacing w:before="129" w:line="240"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2</w:t>
      </w:r>
      <w:r>
        <w:rPr>
          <w:color w:val="FF0000"/>
          <w:sz w:val="30"/>
          <w:szCs w:val="30"/>
        </w:rPr>
        <w:t>）按时向街道办事处上报周计划，月计划，年计划。</w:t>
      </w:r>
    </w:p>
    <w:p>
      <w:pPr>
        <w:pStyle w:val="2"/>
        <w:spacing w:before="129" w:line="240" w:lineRule="auto"/>
        <w:ind w:left="0" w:leftChars="0" w:right="0" w:firstLine="0" w:firstLineChars="0"/>
        <w:jc w:val="left"/>
        <w:rPr>
          <w:color w:val="FF0000"/>
          <w:sz w:val="30"/>
          <w:szCs w:val="30"/>
        </w:rPr>
      </w:pPr>
      <w:r>
        <w:rPr>
          <w:color w:val="FF0000"/>
          <w:sz w:val="30"/>
          <w:szCs w:val="30"/>
        </w:rPr>
        <w:t>（</w:t>
      </w:r>
      <w:r>
        <w:rPr>
          <w:rFonts w:ascii="Times New Roman" w:hAnsi="Times New Roman" w:eastAsia="Times New Roman" w:cs="Times New Roman"/>
          <w:color w:val="FF0000"/>
          <w:sz w:val="30"/>
          <w:szCs w:val="30"/>
        </w:rPr>
        <w:t>3</w:t>
      </w:r>
      <w:r>
        <w:rPr>
          <w:color w:val="FF0000"/>
          <w:sz w:val="30"/>
          <w:szCs w:val="30"/>
        </w:rPr>
        <w:t>）应向街道办事处上报保洁方案、绿化养护方案、安保、安全、应急处置方案、消防方案。</w:t>
      </w:r>
    </w:p>
    <w:p>
      <w:pPr>
        <w:pStyle w:val="4"/>
        <w:numPr>
          <w:ilvl w:val="1"/>
          <w:numId w:val="35"/>
        </w:numPr>
        <w:tabs>
          <w:tab w:val="left" w:pos="0"/>
          <w:tab w:val="left" w:pos="426"/>
          <w:tab w:val="left" w:pos="576"/>
          <w:tab w:val="left" w:pos="786"/>
        </w:tabs>
        <w:spacing w:before="0" w:after="0" w:line="560" w:lineRule="exact"/>
        <w:ind w:left="210" w:leftChars="0" w:firstLine="0" w:firstLineChars="0"/>
        <w:jc w:val="both"/>
        <w:rPr>
          <w:color w:val="000000"/>
        </w:rPr>
      </w:pPr>
      <w:r>
        <w:rPr>
          <w:rFonts w:hint="eastAsia"/>
          <w:color w:val="000000"/>
        </w:rPr>
        <w:t>商务要求</w:t>
      </w:r>
      <w:bookmarkEnd w:id="252"/>
      <w:bookmarkEnd w:id="253"/>
      <w:bookmarkEnd w:id="254"/>
      <w:bookmarkEnd w:id="255"/>
      <w:bookmarkEnd w:id="256"/>
      <w:bookmarkEnd w:id="257"/>
      <w:bookmarkEnd w:id="258"/>
      <w:bookmarkEnd w:id="259"/>
      <w:bookmarkEnd w:id="260"/>
      <w:bookmarkEnd w:id="261"/>
    </w:p>
    <w:p>
      <w:pPr>
        <w:pStyle w:val="5"/>
        <w:numPr>
          <w:ilvl w:val="2"/>
          <w:numId w:val="35"/>
        </w:numPr>
        <w:spacing w:after="200" w:line="560" w:lineRule="exact"/>
        <w:rPr>
          <w:color w:val="000000"/>
        </w:rPr>
      </w:pPr>
      <w:r>
        <w:rPr>
          <w:rFonts w:hint="eastAsia"/>
          <w:color w:val="000000"/>
        </w:rPr>
        <w:t>服务地点</w:t>
      </w:r>
    </w:p>
    <w:p>
      <w:pPr>
        <w:pStyle w:val="2"/>
        <w:spacing w:before="177" w:line="240" w:lineRule="auto"/>
        <w:ind w:right="0"/>
        <w:jc w:val="left"/>
        <w:rPr>
          <w:rFonts w:hint="eastAsia" w:eastAsia="宋体"/>
          <w:sz w:val="28"/>
          <w:szCs w:val="28"/>
          <w:lang w:eastAsia="zh-CN"/>
        </w:rPr>
      </w:pPr>
      <w:r>
        <w:rPr>
          <w:rFonts w:hint="eastAsia" w:cs="Times New Roman"/>
          <w:color w:val="FF0000"/>
          <w:sz w:val="28"/>
          <w:szCs w:val="28"/>
          <w:lang w:val="en-US" w:eastAsia="zh-CN"/>
        </w:rPr>
        <w:t>地址</w:t>
      </w:r>
      <w:r>
        <w:rPr>
          <w:color w:val="FF0000"/>
          <w:sz w:val="28"/>
          <w:szCs w:val="28"/>
        </w:rPr>
        <w:t>：成都市都江堰市都江堰大道</w:t>
      </w:r>
      <w:r>
        <w:rPr>
          <w:color w:val="FF0000"/>
          <w:spacing w:val="-57"/>
          <w:sz w:val="28"/>
          <w:szCs w:val="28"/>
        </w:rPr>
        <w:t xml:space="preserve"> </w:t>
      </w:r>
      <w:r>
        <w:rPr>
          <w:rFonts w:ascii="Times New Roman" w:hAnsi="Times New Roman" w:eastAsia="Times New Roman" w:cs="Times New Roman"/>
          <w:color w:val="FF0000"/>
          <w:sz w:val="28"/>
          <w:szCs w:val="28"/>
        </w:rPr>
        <w:t>299</w:t>
      </w:r>
      <w:r>
        <w:rPr>
          <w:rFonts w:ascii="Times New Roman" w:hAnsi="Times New Roman" w:eastAsia="Times New Roman" w:cs="Times New Roman"/>
          <w:color w:val="FF0000"/>
          <w:spacing w:val="-3"/>
          <w:sz w:val="28"/>
          <w:szCs w:val="28"/>
        </w:rPr>
        <w:t xml:space="preserve"> </w:t>
      </w:r>
      <w:r>
        <w:rPr>
          <w:color w:val="FF0000"/>
          <w:sz w:val="28"/>
          <w:szCs w:val="28"/>
        </w:rPr>
        <w:t>号</w:t>
      </w:r>
      <w:r>
        <w:rPr>
          <w:rFonts w:hint="eastAsia"/>
          <w:sz w:val="28"/>
          <w:szCs w:val="28"/>
          <w:lang w:eastAsia="zh-CN"/>
        </w:rPr>
        <w:t>。</w:t>
      </w:r>
    </w:p>
    <w:p>
      <w:pPr>
        <w:ind w:firstLine="565" w:firstLineChars="202"/>
        <w:rPr>
          <w:rFonts w:ascii="宋体" w:hAnsi="宋体"/>
          <w:color w:val="000000"/>
          <w:sz w:val="28"/>
          <w:szCs w:val="28"/>
        </w:rPr>
      </w:pPr>
    </w:p>
    <w:p>
      <w:pPr>
        <w:pStyle w:val="5"/>
        <w:numPr>
          <w:ilvl w:val="2"/>
          <w:numId w:val="35"/>
        </w:numPr>
        <w:spacing w:after="200" w:line="560" w:lineRule="exact"/>
        <w:rPr>
          <w:rFonts w:cs="Times New Roman"/>
          <w:bCs w:val="0"/>
          <w:color w:val="000000"/>
          <w:kern w:val="2"/>
          <w:lang w:val="zh-CN"/>
        </w:rPr>
      </w:pPr>
      <w:r>
        <w:rPr>
          <w:rFonts w:hint="eastAsia"/>
          <w:color w:val="000000"/>
        </w:rPr>
        <w:t>服务期限</w:t>
      </w:r>
    </w:p>
    <w:p>
      <w:pPr>
        <w:pStyle w:val="2"/>
        <w:spacing w:before="177" w:line="240" w:lineRule="auto"/>
        <w:ind w:left="0" w:leftChars="0" w:right="0" w:firstLine="268" w:firstLineChars="100"/>
        <w:jc w:val="left"/>
        <w:rPr>
          <w:rFonts w:hint="eastAsia" w:eastAsia="宋体"/>
          <w:b w:val="0"/>
          <w:bCs w:val="0"/>
          <w:color w:val="FF0000"/>
          <w:sz w:val="28"/>
          <w:szCs w:val="28"/>
          <w:lang w:eastAsia="zh-CN"/>
        </w:rPr>
      </w:pPr>
      <w:r>
        <w:rPr>
          <w:rFonts w:hint="eastAsia" w:ascii="Times New Roman" w:hAnsi="Times New Roman" w:cs="Times New Roman"/>
          <w:color w:val="FF0000"/>
          <w:spacing w:val="-6"/>
          <w:sz w:val="28"/>
          <w:szCs w:val="28"/>
          <w:lang w:eastAsia="zh-CN"/>
        </w:rPr>
        <w:t>本项目</w:t>
      </w:r>
      <w:r>
        <w:rPr>
          <w:color w:val="FF0000"/>
          <w:sz w:val="28"/>
          <w:szCs w:val="28"/>
        </w:rPr>
        <w:t>服务</w:t>
      </w:r>
      <w:r>
        <w:rPr>
          <w:rFonts w:hint="eastAsia"/>
          <w:color w:val="FF0000"/>
          <w:sz w:val="28"/>
          <w:szCs w:val="28"/>
          <w:lang w:eastAsia="zh-CN"/>
        </w:rPr>
        <w:t>期限为一年。</w:t>
      </w:r>
    </w:p>
    <w:p>
      <w:pPr>
        <w:pStyle w:val="5"/>
        <w:numPr>
          <w:ilvl w:val="2"/>
          <w:numId w:val="35"/>
        </w:numPr>
        <w:spacing w:after="200" w:line="560" w:lineRule="exact"/>
        <w:rPr>
          <w:color w:val="000000"/>
        </w:rPr>
      </w:pPr>
      <w:r>
        <w:rPr>
          <w:rFonts w:hint="eastAsia"/>
          <w:color w:val="000000"/>
        </w:rPr>
        <w:t>考核标准及办法</w:t>
      </w:r>
    </w:p>
    <w:p>
      <w:pPr>
        <w:spacing w:before="34" w:line="372" w:lineRule="auto"/>
        <w:ind w:left="0" w:leftChars="0" w:right="0" w:firstLine="570" w:firstLineChars="200"/>
        <w:jc w:val="left"/>
        <w:rPr>
          <w:color w:val="FF0000"/>
          <w:sz w:val="30"/>
          <w:szCs w:val="30"/>
        </w:rPr>
      </w:pPr>
      <w:r>
        <w:rPr>
          <w:rFonts w:ascii="宋体" w:hAnsi="宋体" w:eastAsia="宋体" w:cs="宋体"/>
          <w:color w:val="FF0000"/>
          <w:w w:val="95"/>
          <w:sz w:val="30"/>
          <w:szCs w:val="30"/>
        </w:rPr>
        <w:t>为加强街道办事处的物业服务工作，确保服务质量，保证项目服务工作的正常开展，成立质量考核小</w:t>
      </w:r>
      <w:r>
        <w:rPr>
          <w:color w:val="FF0000"/>
          <w:sz w:val="30"/>
          <w:szCs w:val="30"/>
        </w:rPr>
        <w:t>组，由街道办事处综合办牵头组织并负责具体实施考核。本项目月度物业服务费的</w:t>
      </w:r>
      <w:r>
        <w:rPr>
          <w:color w:val="FF0000"/>
          <w:spacing w:val="-66"/>
          <w:sz w:val="30"/>
          <w:szCs w:val="30"/>
        </w:rPr>
        <w:t xml:space="preserve"> </w:t>
      </w:r>
      <w:r>
        <w:rPr>
          <w:color w:val="FF0000"/>
          <w:sz w:val="30"/>
          <w:szCs w:val="30"/>
        </w:rPr>
        <w:t>90%为基础服务费，10</w:t>
      </w:r>
      <w:r>
        <w:rPr>
          <w:rFonts w:hint="eastAsia" w:eastAsia="宋体"/>
          <w:color w:val="FF0000"/>
          <w:w w:val="99"/>
          <w:sz w:val="30"/>
          <w:szCs w:val="30"/>
          <w:lang w:val="en-US" w:eastAsia="zh-CN"/>
        </w:rPr>
        <w:t>%</w:t>
      </w:r>
      <w:r>
        <w:rPr>
          <w:color w:val="FF0000"/>
          <w:sz w:val="30"/>
          <w:szCs w:val="30"/>
        </w:rPr>
        <w:t>为考核服务费，根据考核结果进行拨付。</w:t>
      </w:r>
    </w:p>
    <w:p>
      <w:pPr>
        <w:pStyle w:val="2"/>
        <w:spacing w:before="46" w:line="408" w:lineRule="auto"/>
        <w:ind w:left="0" w:leftChars="0" w:right="0" w:firstLine="600" w:firstLineChars="200"/>
        <w:jc w:val="left"/>
        <w:rPr>
          <w:color w:val="FF0000"/>
          <w:sz w:val="30"/>
          <w:szCs w:val="30"/>
        </w:rPr>
      </w:pPr>
      <w:r>
        <w:rPr>
          <w:rFonts w:hint="eastAsia"/>
          <w:color w:val="FF0000"/>
          <w:sz w:val="30"/>
          <w:szCs w:val="30"/>
          <w:lang w:eastAsia="zh-CN"/>
        </w:rPr>
        <w:t>（</w:t>
      </w:r>
      <w:r>
        <w:rPr>
          <w:rFonts w:hint="eastAsia"/>
          <w:color w:val="FF0000"/>
          <w:sz w:val="30"/>
          <w:szCs w:val="30"/>
          <w:lang w:val="en-US" w:eastAsia="zh-CN"/>
        </w:rPr>
        <w:t>2</w:t>
      </w:r>
      <w:r>
        <w:rPr>
          <w:rFonts w:hint="eastAsia"/>
          <w:color w:val="FF0000"/>
          <w:sz w:val="30"/>
          <w:szCs w:val="30"/>
          <w:lang w:eastAsia="zh-CN"/>
        </w:rPr>
        <w:t>）、物业</w:t>
      </w:r>
      <w:r>
        <w:rPr>
          <w:color w:val="FF0000"/>
          <w:sz w:val="30"/>
          <w:szCs w:val="30"/>
        </w:rPr>
        <w:t>服务人员在岗考核，无缺岗行为，无迟到早退现象。服务人员因事无法上班造成人</w:t>
      </w:r>
      <w:r>
        <w:rPr>
          <w:color w:val="FF0000"/>
          <w:spacing w:val="-3"/>
          <w:sz w:val="30"/>
          <w:szCs w:val="30"/>
        </w:rPr>
        <w:t>员减少，中选应答人须及时补充符合岗位条件的服务人员，以确保街道办工作的顺利开展，如未及时补充，</w:t>
      </w:r>
      <w:r>
        <w:rPr>
          <w:color w:val="FF0000"/>
          <w:w w:val="99"/>
          <w:sz w:val="30"/>
          <w:szCs w:val="30"/>
        </w:rPr>
        <w:t xml:space="preserve"> </w:t>
      </w:r>
      <w:r>
        <w:rPr>
          <w:color w:val="FF0000"/>
          <w:sz w:val="30"/>
          <w:szCs w:val="30"/>
        </w:rPr>
        <w:t>扣除当月</w:t>
      </w:r>
      <w:r>
        <w:rPr>
          <w:color w:val="FF0000"/>
          <w:spacing w:val="-73"/>
          <w:sz w:val="30"/>
          <w:szCs w:val="30"/>
        </w:rPr>
        <w:t xml:space="preserve"> </w:t>
      </w:r>
      <w:r>
        <w:rPr>
          <w:color w:val="FF0000"/>
          <w:sz w:val="30"/>
          <w:szCs w:val="30"/>
        </w:rPr>
        <w:t>5%的考核服务费。工作时听从比选采购人相关负责人指挥，严格遵守街道办劳动纪律。</w:t>
      </w:r>
    </w:p>
    <w:p>
      <w:pPr>
        <w:pStyle w:val="2"/>
        <w:spacing w:before="46" w:line="408" w:lineRule="auto"/>
        <w:ind w:left="0" w:leftChars="0" w:right="0" w:firstLine="600" w:firstLineChars="200"/>
        <w:jc w:val="left"/>
        <w:rPr>
          <w:color w:val="FF0000"/>
          <w:sz w:val="30"/>
          <w:szCs w:val="30"/>
        </w:rPr>
      </w:pPr>
      <w:r>
        <w:rPr>
          <w:rFonts w:hint="eastAsia"/>
          <w:color w:val="FF0000"/>
          <w:sz w:val="30"/>
          <w:szCs w:val="30"/>
          <w:lang w:eastAsia="zh-CN"/>
        </w:rPr>
        <w:t>（</w:t>
      </w:r>
      <w:r>
        <w:rPr>
          <w:rFonts w:hint="eastAsia"/>
          <w:color w:val="FF0000"/>
          <w:sz w:val="30"/>
          <w:szCs w:val="30"/>
          <w:lang w:val="en-US" w:eastAsia="zh-CN"/>
        </w:rPr>
        <w:t>3</w:t>
      </w:r>
      <w:r>
        <w:rPr>
          <w:rFonts w:hint="eastAsia"/>
          <w:color w:val="FF0000"/>
          <w:sz w:val="30"/>
          <w:szCs w:val="30"/>
          <w:lang w:eastAsia="zh-CN"/>
        </w:rPr>
        <w:t>）、</w:t>
      </w:r>
      <w:r>
        <w:rPr>
          <w:color w:val="FF0000"/>
          <w:spacing w:val="-41"/>
          <w:sz w:val="30"/>
          <w:szCs w:val="30"/>
        </w:rPr>
        <w:t xml:space="preserve"> </w:t>
      </w:r>
      <w:r>
        <w:rPr>
          <w:color w:val="FF0000"/>
          <w:sz w:val="30"/>
          <w:szCs w:val="30"/>
        </w:rPr>
        <w:t>比选采购人不得强令中选应答人服务人员违规作业，对违规作业或存在不安全作业的要求，</w:t>
      </w:r>
      <w:r>
        <w:rPr>
          <w:color w:val="FF0000"/>
          <w:w w:val="99"/>
          <w:sz w:val="30"/>
          <w:szCs w:val="30"/>
        </w:rPr>
        <w:t xml:space="preserve"> </w:t>
      </w:r>
      <w:r>
        <w:rPr>
          <w:color w:val="FF0000"/>
          <w:sz w:val="30"/>
          <w:szCs w:val="30"/>
        </w:rPr>
        <w:t>中选应答人服务人员有权拒绝。比选采购人每月组织所在单位部分职工开展服务满意度测评。</w:t>
      </w:r>
    </w:p>
    <w:p>
      <w:pPr>
        <w:spacing w:line="400" w:lineRule="exact"/>
        <w:ind w:firstLine="600" w:firstLineChars="200"/>
        <w:rPr>
          <w:rFonts w:hint="eastAsia" w:eastAsia="宋体"/>
          <w:color w:val="FF0000"/>
          <w:sz w:val="30"/>
          <w:szCs w:val="30"/>
          <w:lang w:eastAsia="zh-CN"/>
        </w:rPr>
      </w:pPr>
      <w:r>
        <w:rPr>
          <w:rFonts w:hint="eastAsia"/>
          <w:color w:val="FF0000"/>
          <w:sz w:val="30"/>
          <w:szCs w:val="30"/>
          <w:lang w:eastAsia="zh-CN"/>
        </w:rPr>
        <w:t>（</w:t>
      </w:r>
      <w:r>
        <w:rPr>
          <w:rFonts w:hint="eastAsia"/>
          <w:color w:val="FF0000"/>
          <w:sz w:val="30"/>
          <w:szCs w:val="30"/>
          <w:lang w:val="en-US" w:eastAsia="zh-CN"/>
        </w:rPr>
        <w:t>4</w:t>
      </w:r>
      <w:r>
        <w:rPr>
          <w:rFonts w:hint="eastAsia"/>
          <w:color w:val="FF0000"/>
          <w:sz w:val="30"/>
          <w:szCs w:val="30"/>
          <w:lang w:eastAsia="zh-CN"/>
        </w:rPr>
        <w:t>）、</w:t>
      </w:r>
      <w:r>
        <w:rPr>
          <w:rFonts w:hint="eastAsia" w:eastAsia="宋体"/>
          <w:color w:val="FF0000"/>
          <w:sz w:val="30"/>
          <w:szCs w:val="30"/>
          <w:lang w:eastAsia="zh-CN"/>
        </w:rPr>
        <w:t>物业</w:t>
      </w:r>
      <w:r>
        <w:rPr>
          <w:color w:val="FF0000"/>
          <w:sz w:val="30"/>
          <w:szCs w:val="30"/>
        </w:rPr>
        <w:t>服务考核内容为</w:t>
      </w:r>
      <w:r>
        <w:rPr>
          <w:rFonts w:hint="eastAsia" w:eastAsia="宋体"/>
          <w:color w:val="FF0000"/>
          <w:sz w:val="30"/>
          <w:szCs w:val="30"/>
          <w:lang w:eastAsia="zh-CN"/>
        </w:rPr>
        <w:t>《物业服务考核细则表》。考核工作每月进行一次，由总务办进行考核监督。考核设置总分为 100 分制，所得分数为基准分数减去所扣分数，每项分数每次扣完为止，不计负分。</w:t>
      </w:r>
    </w:p>
    <w:p>
      <w:pPr>
        <w:spacing w:line="400" w:lineRule="exact"/>
        <w:ind w:firstLine="1200" w:firstLineChars="400"/>
        <w:rPr>
          <w:rFonts w:hint="eastAsia" w:eastAsia="宋体"/>
          <w:color w:val="FF0000"/>
          <w:sz w:val="30"/>
          <w:szCs w:val="30"/>
          <w:lang w:eastAsia="zh-CN"/>
        </w:rPr>
      </w:pPr>
      <w:r>
        <w:rPr>
          <w:rFonts w:hint="eastAsia" w:eastAsia="宋体"/>
          <w:color w:val="FF0000"/>
          <w:sz w:val="30"/>
          <w:szCs w:val="30"/>
          <w:lang w:eastAsia="zh-CN"/>
        </w:rPr>
        <w:t>月等级设置：</w:t>
      </w:r>
      <w:r>
        <w:rPr>
          <w:rFonts w:hint="eastAsia" w:eastAsia="宋体"/>
          <w:color w:val="FF0000"/>
          <w:sz w:val="30"/>
          <w:szCs w:val="30"/>
          <w:lang w:val="en-US" w:eastAsia="zh-CN"/>
        </w:rPr>
        <w:t>考评满分为100分，90分-100分为满意、85-89分为基本满意、85分以下为不满意。</w:t>
      </w:r>
    </w:p>
    <w:p>
      <w:pPr>
        <w:pStyle w:val="5"/>
        <w:numPr>
          <w:ilvl w:val="2"/>
          <w:numId w:val="35"/>
        </w:numPr>
        <w:spacing w:after="200" w:line="520" w:lineRule="exact"/>
        <w:rPr>
          <w:rFonts w:cs="宋体"/>
          <w:color w:val="FF0000"/>
        </w:rPr>
      </w:pPr>
      <w:r>
        <w:rPr>
          <w:rFonts w:hint="eastAsia" w:ascii="Calibri" w:hAnsi="Calibri" w:eastAsia="宋体" w:cs="Times New Roman"/>
          <w:b w:val="0"/>
          <w:bCs w:val="0"/>
          <w:color w:val="FF0000"/>
          <w:kern w:val="2"/>
          <w:sz w:val="30"/>
          <w:szCs w:val="30"/>
          <w:lang w:val="en-US" w:eastAsia="zh-CN" w:bidi="ar-SA"/>
        </w:rPr>
        <w:t>考核 90 分及以上的，100%支付考核服务费，考核得分 90</w:t>
      </w:r>
      <w:r>
        <w:rPr>
          <w:color w:val="FF0000"/>
          <w:sz w:val="30"/>
          <w:szCs w:val="30"/>
        </w:rPr>
        <w:t>分以下的，按扣</w:t>
      </w:r>
      <w:r>
        <w:rPr>
          <w:color w:val="FF0000"/>
          <w:spacing w:val="-49"/>
          <w:sz w:val="30"/>
          <w:szCs w:val="30"/>
        </w:rPr>
        <w:t xml:space="preserve"> </w:t>
      </w:r>
      <w:r>
        <w:rPr>
          <w:color w:val="FF0000"/>
          <w:sz w:val="30"/>
          <w:szCs w:val="30"/>
        </w:rPr>
        <w:t>1</w:t>
      </w:r>
      <w:r>
        <w:rPr>
          <w:color w:val="FF0000"/>
          <w:spacing w:val="-53"/>
          <w:sz w:val="30"/>
          <w:szCs w:val="30"/>
        </w:rPr>
        <w:t xml:space="preserve"> </w:t>
      </w:r>
      <w:r>
        <w:rPr>
          <w:color w:val="FF0000"/>
          <w:sz w:val="30"/>
          <w:szCs w:val="30"/>
        </w:rPr>
        <w:t>分扣拨</w:t>
      </w:r>
      <w:r>
        <w:rPr>
          <w:color w:val="FF0000"/>
          <w:spacing w:val="-49"/>
          <w:sz w:val="30"/>
          <w:szCs w:val="30"/>
        </w:rPr>
        <w:t xml:space="preserve"> </w:t>
      </w:r>
      <w:r>
        <w:rPr>
          <w:color w:val="FF0000"/>
          <w:sz w:val="30"/>
          <w:szCs w:val="30"/>
        </w:rPr>
        <w:t>1％的考核服务费</w:t>
      </w:r>
      <w:r>
        <w:rPr>
          <w:color w:val="FF0000"/>
          <w:w w:val="95"/>
          <w:sz w:val="30"/>
          <w:szCs w:val="30"/>
        </w:rPr>
        <w:t>用。每月评分等级作为年度等级评定的主要依据，年度等级评定为是否续签合同的主要依据。</w:t>
      </w:r>
    </w:p>
    <w:p>
      <w:pPr>
        <w:pStyle w:val="5"/>
        <w:numPr>
          <w:ilvl w:val="2"/>
          <w:numId w:val="35"/>
        </w:numPr>
        <w:spacing w:after="200" w:line="520" w:lineRule="exact"/>
        <w:rPr>
          <w:rFonts w:cs="宋体"/>
          <w:color w:val="000000"/>
        </w:rPr>
      </w:pPr>
      <w:r>
        <w:rPr>
          <w:rFonts w:hint="eastAsia" w:cs="宋体"/>
          <w:color w:val="000000"/>
        </w:rPr>
        <w:t>付款方式</w:t>
      </w:r>
    </w:p>
    <w:p>
      <w:pPr>
        <w:ind w:firstLine="565" w:firstLineChars="202"/>
        <w:rPr>
          <w:rFonts w:hint="eastAsia" w:ascii="宋体" w:hAnsi="宋体"/>
          <w:color w:val="FF0000"/>
          <w:sz w:val="28"/>
          <w:szCs w:val="28"/>
        </w:rPr>
      </w:pPr>
      <w:r>
        <w:rPr>
          <w:rFonts w:hint="eastAsia" w:ascii="宋体" w:hAnsi="宋体"/>
          <w:color w:val="FF0000"/>
          <w:sz w:val="28"/>
          <w:szCs w:val="28"/>
        </w:rPr>
        <w:t>1、甲方每月末5日内对乙方的物业服务进行考核，经考核合格后以银行转账的方式向乙方支付物业服务费用</w:t>
      </w:r>
      <w:r>
        <w:rPr>
          <w:rFonts w:hint="eastAsia" w:ascii="宋体" w:hAnsi="宋体"/>
          <w:color w:val="FF0000"/>
          <w:sz w:val="28"/>
          <w:szCs w:val="28"/>
          <w:lang w:eastAsia="zh-CN"/>
        </w:rPr>
        <w:t>，</w:t>
      </w:r>
      <w:r>
        <w:rPr>
          <w:rFonts w:hint="eastAsia" w:ascii="宋体" w:hAnsi="宋体"/>
          <w:color w:val="FF0000"/>
          <w:sz w:val="28"/>
          <w:szCs w:val="28"/>
        </w:rPr>
        <w:t xml:space="preserve">乙方应当在甲方付款前向甲方提供等额合规的增值税专用发票，否则，甲方有权拒绝付款且不视为甲方违约，甲方在收到发票之日起十个工作日内向乙方付款。 </w:t>
      </w:r>
    </w:p>
    <w:p>
      <w:pPr>
        <w:ind w:firstLine="565" w:firstLineChars="202"/>
        <w:rPr>
          <w:rFonts w:hint="eastAsia" w:ascii="宋体" w:hAnsi="宋体"/>
          <w:color w:val="FF0000"/>
          <w:sz w:val="28"/>
          <w:szCs w:val="28"/>
        </w:rPr>
      </w:pPr>
      <w:r>
        <w:rPr>
          <w:rFonts w:hint="eastAsia" w:ascii="宋体" w:hAnsi="宋体"/>
          <w:color w:val="FF0000"/>
          <w:sz w:val="28"/>
          <w:szCs w:val="28"/>
        </w:rPr>
        <w:t>2、本物业专项管理服务费自乙方进场实施服务管理后按季支付。</w:t>
      </w:r>
    </w:p>
    <w:p>
      <w:pPr>
        <w:ind w:firstLine="562" w:firstLineChars="200"/>
        <w:rPr>
          <w:rFonts w:hint="eastAsia" w:cs="宋体"/>
          <w:b/>
          <w:bCs/>
          <w:color w:val="000000"/>
          <w:sz w:val="28"/>
          <w:szCs w:val="28"/>
          <w:lang w:val="en-US" w:eastAsia="zh-CN"/>
        </w:rPr>
      </w:pPr>
    </w:p>
    <w:p>
      <w:pPr>
        <w:rPr>
          <w:rFonts w:hint="eastAsia" w:eastAsia="宋体"/>
          <w:lang w:eastAsia="zh-CN"/>
        </w:rPr>
      </w:pPr>
    </w:p>
    <w:p>
      <w:pPr>
        <w:pStyle w:val="5"/>
        <w:numPr>
          <w:ilvl w:val="2"/>
          <w:numId w:val="35"/>
        </w:numPr>
        <w:spacing w:after="200" w:line="520" w:lineRule="exact"/>
        <w:rPr>
          <w:rFonts w:cs="宋体"/>
          <w:color w:val="000000"/>
        </w:rPr>
      </w:pPr>
      <w:r>
        <w:rPr>
          <w:rFonts w:hint="eastAsia" w:cs="宋体"/>
          <w:color w:val="000000"/>
        </w:rPr>
        <w:t>违约责任</w:t>
      </w:r>
    </w:p>
    <w:p>
      <w:pPr>
        <w:ind w:firstLine="565" w:firstLineChars="202"/>
        <w:rPr>
          <w:rFonts w:hint="eastAsia" w:ascii="宋体" w:hAnsi="宋体"/>
          <w:color w:val="FF0000"/>
          <w:sz w:val="28"/>
          <w:szCs w:val="28"/>
        </w:rPr>
      </w:pPr>
      <w:r>
        <w:rPr>
          <w:rFonts w:hint="eastAsia" w:ascii="宋体" w:hAnsi="宋体"/>
          <w:color w:val="FF0000"/>
          <w:sz w:val="28"/>
          <w:szCs w:val="28"/>
        </w:rPr>
        <w:t>(一)甲、乙双方必须遵守本合同并执行合同中的各项规定，保证本合同的正常履行。</w:t>
      </w:r>
    </w:p>
    <w:p>
      <w:pPr>
        <w:ind w:firstLine="565" w:firstLineChars="202"/>
        <w:rPr>
          <w:rFonts w:hint="eastAsia" w:ascii="宋体" w:hAnsi="宋体"/>
          <w:color w:val="FF0000"/>
          <w:sz w:val="28"/>
          <w:szCs w:val="28"/>
        </w:rPr>
      </w:pPr>
      <w:r>
        <w:rPr>
          <w:rFonts w:hint="eastAsia" w:ascii="宋体" w:hAnsi="宋体"/>
          <w:color w:val="FF0000"/>
          <w:sz w:val="28"/>
          <w:szCs w:val="28"/>
        </w:rPr>
        <w:t>(二)若乙方执行合同过程中出现本合同第四条第4款约定的甲方可以解除合同的情况的，甲方可单方面解除合同，不承担违约责任。</w:t>
      </w:r>
    </w:p>
    <w:p>
      <w:pPr>
        <w:ind w:firstLine="565" w:firstLineChars="202"/>
        <w:rPr>
          <w:rFonts w:hint="eastAsia" w:ascii="宋体" w:hAnsi="宋体"/>
          <w:color w:val="FF0000"/>
          <w:sz w:val="28"/>
          <w:szCs w:val="28"/>
        </w:rPr>
      </w:pPr>
      <w:r>
        <w:rPr>
          <w:rFonts w:hint="eastAsia" w:ascii="宋体" w:hAnsi="宋体"/>
          <w:color w:val="FF0000"/>
          <w:sz w:val="28"/>
          <w:szCs w:val="28"/>
        </w:rPr>
        <w:t>(三)若无正当理由甲方不按期支付款项，乙方有权解除本合同并要求补偿经济损失，逾期壹个月的，补偿当月服务费金额的10%。</w:t>
      </w:r>
    </w:p>
    <w:p>
      <w:pPr>
        <w:ind w:firstLine="565" w:firstLineChars="202"/>
        <w:rPr>
          <w:rFonts w:hint="eastAsia" w:ascii="宋体" w:hAnsi="宋体"/>
          <w:color w:val="FF0000"/>
          <w:sz w:val="28"/>
          <w:szCs w:val="28"/>
        </w:rPr>
      </w:pPr>
      <w:r>
        <w:rPr>
          <w:rFonts w:hint="eastAsia" w:ascii="宋体" w:hAnsi="宋体"/>
          <w:color w:val="FF0000"/>
          <w:sz w:val="28"/>
          <w:szCs w:val="28"/>
        </w:rPr>
        <w:t xml:space="preserve">(四)如因乙方工作人员在履行职务过程中的的疏忽、失职、过错等故意或者过失原因给甲方造成损失或侵害，由乙方承担赔偿责任。   </w:t>
      </w:r>
    </w:p>
    <w:p>
      <w:pPr>
        <w:ind w:firstLine="565" w:firstLineChars="202"/>
        <w:rPr>
          <w:rFonts w:hint="eastAsia" w:ascii="宋体" w:hAnsi="宋体"/>
          <w:color w:val="FF0000"/>
          <w:sz w:val="28"/>
          <w:szCs w:val="28"/>
        </w:rPr>
      </w:pPr>
      <w:r>
        <w:rPr>
          <w:rFonts w:hint="eastAsia" w:ascii="宋体" w:hAnsi="宋体"/>
          <w:color w:val="FF0000"/>
          <w:sz w:val="28"/>
          <w:szCs w:val="28"/>
        </w:rPr>
        <w:t>(五)由公安机关确认因技防系统故障，造成甲方损失乙方不承担赔偿责任。</w:t>
      </w:r>
    </w:p>
    <w:p>
      <w:pPr>
        <w:pStyle w:val="2"/>
        <w:ind w:firstLine="560" w:firstLineChars="200"/>
        <w:rPr>
          <w:rFonts w:hint="eastAsia"/>
          <w:color w:val="00B0F0"/>
        </w:rPr>
      </w:pPr>
      <w:r>
        <w:rPr>
          <w:rFonts w:hint="eastAsia" w:ascii="宋体" w:hAnsi="宋体"/>
          <w:color w:val="00B0F0"/>
          <w:sz w:val="28"/>
          <w:szCs w:val="28"/>
        </w:rPr>
        <w:t>(</w:t>
      </w:r>
      <w:r>
        <w:rPr>
          <w:rFonts w:hint="eastAsia" w:ascii="宋体" w:hAnsi="宋体"/>
          <w:color w:val="00B0F0"/>
          <w:sz w:val="28"/>
          <w:szCs w:val="28"/>
          <w:lang w:eastAsia="zh-CN"/>
        </w:rPr>
        <w:t>六</w:t>
      </w:r>
      <w:r>
        <w:rPr>
          <w:rFonts w:hint="eastAsia" w:ascii="宋体" w:hAnsi="宋体"/>
          <w:color w:val="00B0F0"/>
          <w:sz w:val="28"/>
          <w:szCs w:val="28"/>
        </w:rPr>
        <w:t>)其他违约条款合同约定。</w:t>
      </w:r>
    </w:p>
    <w:p>
      <w:pPr>
        <w:pStyle w:val="5"/>
        <w:numPr>
          <w:ilvl w:val="2"/>
          <w:numId w:val="35"/>
        </w:numPr>
        <w:spacing w:after="200" w:line="520" w:lineRule="exact"/>
        <w:rPr>
          <w:rFonts w:cs="宋体"/>
          <w:color w:val="000000"/>
        </w:rPr>
      </w:pPr>
      <w:r>
        <w:rPr>
          <w:rFonts w:hint="eastAsia" w:cs="宋体"/>
          <w:color w:val="000000"/>
        </w:rPr>
        <w:t>其他要求</w:t>
      </w:r>
    </w:p>
    <w:p>
      <w:pPr>
        <w:spacing w:line="560" w:lineRule="exact"/>
        <w:ind w:firstLine="560" w:firstLineChars="200"/>
        <w:rPr>
          <w:rFonts w:ascii="宋体" w:hAnsi="宋体"/>
          <w:b/>
          <w:sz w:val="28"/>
          <w:szCs w:val="28"/>
        </w:rPr>
      </w:pPr>
      <w:r>
        <w:rPr>
          <w:rFonts w:hint="eastAsia" w:ascii="宋体" w:hAnsi="宋体"/>
          <w:color w:val="000000"/>
          <w:sz w:val="28"/>
          <w:szCs w:val="28"/>
        </w:rPr>
        <w:t>一</w:t>
      </w:r>
      <w:r>
        <w:rPr>
          <w:rFonts w:ascii="宋体" w:hAnsi="宋体"/>
          <w:color w:val="000000"/>
          <w:sz w:val="28"/>
          <w:szCs w:val="28"/>
        </w:rPr>
        <w:t>、</w:t>
      </w:r>
      <w:r>
        <w:rPr>
          <w:rFonts w:hint="eastAsia" w:ascii="宋体" w:hAnsi="宋体"/>
          <w:b/>
          <w:sz w:val="28"/>
          <w:szCs w:val="28"/>
          <w:lang w:val="zh-CN"/>
        </w:rPr>
        <w:t>★</w:t>
      </w:r>
      <w:r>
        <w:rPr>
          <w:rFonts w:hint="eastAsia" w:ascii="宋体" w:hAnsi="宋体" w:cs="宋体"/>
          <w:b/>
          <w:sz w:val="28"/>
          <w:szCs w:val="28"/>
        </w:rPr>
        <w:t>供应商</w:t>
      </w:r>
      <w:r>
        <w:rPr>
          <w:rFonts w:ascii="宋体" w:hAnsi="宋体" w:cs="宋体"/>
          <w:b/>
          <w:sz w:val="28"/>
          <w:szCs w:val="28"/>
        </w:rPr>
        <w:t>为</w:t>
      </w:r>
      <w:r>
        <w:rPr>
          <w:rFonts w:hint="eastAsia" w:ascii="宋体" w:hAnsi="宋体" w:cs="宋体"/>
          <w:b/>
          <w:sz w:val="28"/>
          <w:szCs w:val="28"/>
        </w:rPr>
        <w:t>本</w:t>
      </w:r>
      <w:r>
        <w:rPr>
          <w:rFonts w:ascii="宋体" w:hAnsi="宋体" w:cs="宋体"/>
          <w:b/>
          <w:sz w:val="28"/>
          <w:szCs w:val="28"/>
        </w:rPr>
        <w:t>项目提供的所有</w:t>
      </w:r>
      <w:r>
        <w:rPr>
          <w:rFonts w:hint="eastAsia" w:ascii="宋体" w:hAnsi="宋体" w:cs="宋体"/>
          <w:b/>
          <w:sz w:val="28"/>
          <w:szCs w:val="28"/>
        </w:rPr>
        <w:t>服务</w:t>
      </w:r>
      <w:r>
        <w:rPr>
          <w:rFonts w:hint="eastAsia" w:ascii="宋体" w:hAnsi="宋体"/>
          <w:b/>
          <w:sz w:val="28"/>
          <w:szCs w:val="28"/>
        </w:rPr>
        <w:t>符合现行的强制性国家相关标准、行业标准。</w:t>
      </w:r>
      <w:r>
        <w:rPr>
          <w:rFonts w:ascii="宋体" w:hAnsi="宋体"/>
          <w:b/>
          <w:sz w:val="28"/>
          <w:szCs w:val="28"/>
        </w:rPr>
        <w:t>（说明：按</w:t>
      </w:r>
      <w:r>
        <w:rPr>
          <w:rFonts w:hint="eastAsia" w:ascii="宋体" w:hAnsi="宋体"/>
          <w:b/>
          <w:sz w:val="28"/>
          <w:szCs w:val="28"/>
        </w:rPr>
        <w:t>招标文件</w:t>
      </w:r>
      <w:r>
        <w:rPr>
          <w:rFonts w:hint="eastAsia" w:ascii="宋体" w:hAnsi="宋体"/>
          <w:b/>
          <w:color w:val="FF0000"/>
          <w:sz w:val="28"/>
          <w:szCs w:val="28"/>
          <w:lang w:val="en-US" w:eastAsia="zh-CN"/>
        </w:rPr>
        <w:t>3.3.5</w:t>
      </w:r>
      <w:r>
        <w:rPr>
          <w:rFonts w:ascii="宋体" w:hAnsi="宋体"/>
          <w:b/>
          <w:sz w:val="28"/>
          <w:szCs w:val="28"/>
        </w:rPr>
        <w:t>承诺函</w:t>
      </w:r>
      <w:r>
        <w:rPr>
          <w:rFonts w:hint="eastAsia" w:ascii="宋体" w:hAnsi="宋体"/>
          <w:b/>
          <w:sz w:val="28"/>
          <w:szCs w:val="28"/>
        </w:rPr>
        <w:t>的</w:t>
      </w:r>
      <w:r>
        <w:rPr>
          <w:rFonts w:ascii="宋体" w:hAnsi="宋体"/>
          <w:b/>
          <w:sz w:val="28"/>
          <w:szCs w:val="28"/>
        </w:rPr>
        <w:t>内容进行承诺。）</w:t>
      </w:r>
    </w:p>
    <w:p>
      <w:pPr>
        <w:pStyle w:val="5"/>
        <w:numPr>
          <w:ilvl w:val="2"/>
          <w:numId w:val="35"/>
        </w:numPr>
        <w:spacing w:after="200" w:line="560" w:lineRule="exact"/>
        <w:rPr>
          <w:color w:val="000000"/>
        </w:rPr>
      </w:pPr>
      <w:r>
        <w:rPr>
          <w:rFonts w:hint="eastAsia"/>
          <w:color w:val="000000"/>
        </w:rPr>
        <w:t>报价要求</w:t>
      </w:r>
    </w:p>
    <w:p>
      <w:pPr>
        <w:pStyle w:val="6"/>
        <w:numPr>
          <w:ilvl w:val="3"/>
          <w:numId w:val="35"/>
        </w:numPr>
        <w:spacing w:line="560" w:lineRule="exact"/>
        <w:rPr>
          <w:rFonts w:ascii="宋体" w:hAnsi="宋体"/>
          <w:color w:val="000000"/>
        </w:rPr>
      </w:pPr>
      <w:r>
        <w:rPr>
          <w:rFonts w:hint="eastAsia" w:ascii="宋体" w:hAnsi="宋体"/>
          <w:color w:val="000000"/>
        </w:rPr>
        <w:t>最高限价</w:t>
      </w:r>
    </w:p>
    <w:p>
      <w:pPr>
        <w:pStyle w:val="85"/>
        <w:tabs>
          <w:tab w:val="left" w:pos="993"/>
          <w:tab w:val="left" w:pos="1134"/>
        </w:tabs>
        <w:spacing w:line="560" w:lineRule="exact"/>
        <w:ind w:firstLine="565" w:firstLineChars="201"/>
        <w:rPr>
          <w:rFonts w:ascii="宋体" w:hAnsi="宋体" w:eastAsia="宋体"/>
          <w:b/>
          <w:color w:val="000000"/>
          <w:sz w:val="28"/>
          <w:szCs w:val="28"/>
        </w:rPr>
      </w:pPr>
      <w:r>
        <w:rPr>
          <w:rFonts w:hint="eastAsia" w:ascii="宋体" w:hAnsi="宋体" w:eastAsia="宋体"/>
          <w:b/>
          <w:color w:val="000000"/>
          <w:sz w:val="28"/>
          <w:szCs w:val="28"/>
        </w:rPr>
        <w:t>★本项目最高限价为人民币</w:t>
      </w:r>
      <w:r>
        <w:rPr>
          <w:rFonts w:hint="eastAsia" w:ascii="宋体" w:hAnsi="宋体"/>
          <w:b/>
          <w:color w:val="FF0000"/>
          <w:sz w:val="28"/>
          <w:szCs w:val="28"/>
          <w:lang w:val="en-US" w:eastAsia="zh-CN"/>
        </w:rPr>
        <w:t>300000.00</w:t>
      </w:r>
      <w:r>
        <w:rPr>
          <w:rFonts w:hint="eastAsia" w:ascii="宋体" w:hAnsi="宋体" w:eastAsia="宋体"/>
          <w:b/>
          <w:color w:val="000000"/>
          <w:sz w:val="28"/>
          <w:szCs w:val="28"/>
        </w:rPr>
        <w:t>元，投标人投标报价高于最高限价的，则其投标文件将按无效投标文件处理。</w:t>
      </w:r>
    </w:p>
    <w:p>
      <w:pPr>
        <w:pStyle w:val="6"/>
        <w:numPr>
          <w:ilvl w:val="3"/>
          <w:numId w:val="35"/>
        </w:numPr>
        <w:spacing w:line="560" w:lineRule="exact"/>
        <w:rPr>
          <w:rFonts w:ascii="宋体" w:hAnsi="宋体"/>
          <w:color w:val="000000"/>
        </w:rPr>
      </w:pPr>
      <w:r>
        <w:rPr>
          <w:rFonts w:hint="eastAsia" w:ascii="宋体" w:hAnsi="宋体"/>
          <w:color w:val="000000"/>
        </w:rPr>
        <w:t>其他要求</w:t>
      </w:r>
    </w:p>
    <w:p>
      <w:pPr>
        <w:pStyle w:val="85"/>
        <w:tabs>
          <w:tab w:val="left" w:pos="993"/>
          <w:tab w:val="left" w:pos="1134"/>
        </w:tabs>
        <w:spacing w:line="560" w:lineRule="exact"/>
        <w:ind w:firstLine="568" w:firstLineChars="202"/>
        <w:rPr>
          <w:rFonts w:hint="eastAsia" w:ascii="宋体" w:hAnsi="宋体" w:eastAsia="宋体"/>
          <w:b/>
          <w:color w:val="000000"/>
          <w:sz w:val="28"/>
          <w:szCs w:val="28"/>
          <w:lang w:val="zh-CN"/>
        </w:rPr>
      </w:pPr>
      <w:r>
        <w:rPr>
          <w:rFonts w:hint="eastAsia" w:ascii="宋体" w:hAnsi="宋体" w:eastAsia="宋体"/>
          <w:b/>
          <w:color w:val="000000"/>
          <w:sz w:val="28"/>
          <w:szCs w:val="28"/>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pPr>
        <w:pStyle w:val="85"/>
        <w:tabs>
          <w:tab w:val="left" w:pos="993"/>
          <w:tab w:val="left" w:pos="1134"/>
        </w:tabs>
        <w:spacing w:line="560" w:lineRule="exact"/>
        <w:ind w:firstLine="568" w:firstLineChars="202"/>
        <w:rPr>
          <w:rFonts w:hint="eastAsia" w:ascii="宋体" w:hAnsi="宋体" w:eastAsia="宋体"/>
          <w:b/>
          <w:color w:val="0070C0"/>
          <w:sz w:val="28"/>
          <w:szCs w:val="28"/>
          <w:lang w:val="en-US" w:eastAsia="zh-CN"/>
        </w:rPr>
      </w:pPr>
      <w:r>
        <w:rPr>
          <w:rFonts w:hint="eastAsia" w:ascii="宋体" w:hAnsi="宋体" w:eastAsia="宋体"/>
          <w:b/>
          <w:color w:val="0070C0"/>
          <w:sz w:val="28"/>
          <w:szCs w:val="28"/>
          <w:lang w:val="zh-CN"/>
        </w:rPr>
        <w:t>以上打★号要求，招标文件对证明材料有具体要求的，投标文件应按要求提供证明材料，没有具体要求的，以按照</w:t>
      </w:r>
      <w:r>
        <w:rPr>
          <w:rFonts w:hint="eastAsia" w:ascii="宋体" w:hAnsi="宋体" w:eastAsia="宋体"/>
          <w:b/>
          <w:color w:val="FF0000"/>
          <w:sz w:val="28"/>
          <w:szCs w:val="28"/>
          <w:lang w:val="en-US" w:eastAsia="zh-CN"/>
        </w:rPr>
        <w:t>3.3.5</w:t>
      </w:r>
      <w:r>
        <w:rPr>
          <w:rFonts w:hint="eastAsia" w:ascii="宋体" w:hAnsi="宋体" w:eastAsia="宋体"/>
          <w:b/>
          <w:color w:val="0070C0"/>
          <w:sz w:val="28"/>
          <w:szCs w:val="28"/>
          <w:lang w:val="en-US" w:eastAsia="zh-CN"/>
        </w:rPr>
        <w:t>格式提供的承诺为准。</w:t>
      </w:r>
    </w:p>
    <w:p>
      <w:pPr>
        <w:pStyle w:val="85"/>
        <w:tabs>
          <w:tab w:val="left" w:pos="993"/>
          <w:tab w:val="left" w:pos="1134"/>
        </w:tabs>
        <w:spacing w:line="560" w:lineRule="exact"/>
        <w:ind w:firstLine="568" w:firstLineChars="202"/>
        <w:rPr>
          <w:rFonts w:hint="eastAsia" w:ascii="宋体" w:hAnsi="宋体" w:eastAsia="宋体"/>
          <w:b/>
          <w:color w:val="000000" w:themeColor="text1"/>
          <w:sz w:val="28"/>
          <w:szCs w:val="28"/>
          <w:lang w:val="zh-CN"/>
          <w14:textFill>
            <w14:solidFill>
              <w14:schemeClr w14:val="tx1"/>
            </w14:solidFill>
          </w14:textFill>
        </w:rPr>
      </w:pPr>
    </w:p>
    <w:p>
      <w:pPr>
        <w:spacing w:line="360" w:lineRule="auto"/>
        <w:ind w:firstLine="565" w:firstLineChars="202"/>
        <w:rPr>
          <w:rFonts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5" w:firstLineChars="202"/>
        <w:rPr>
          <w:rFonts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5" w:firstLineChars="202"/>
        <w:rPr>
          <w:rFonts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5" w:firstLineChars="202"/>
        <w:rPr>
          <w:rFonts w:asciiTheme="minorEastAsia" w:hAnsiTheme="minorEastAsia" w:eastAsiaTheme="minorEastAsia"/>
          <w:color w:val="000000" w:themeColor="text1"/>
          <w:sz w:val="28"/>
          <w:szCs w:val="28"/>
          <w14:textFill>
            <w14:solidFill>
              <w14:schemeClr w14:val="tx1"/>
            </w14:solidFill>
          </w14:textFill>
        </w:rPr>
      </w:pPr>
    </w:p>
    <w:p>
      <w:pPr>
        <w:pStyle w:val="50"/>
        <w:rPr>
          <w:rFonts w:asciiTheme="minorEastAsia" w:hAnsiTheme="minorEastAsia" w:eastAsiaTheme="minorEastAsia"/>
          <w:color w:val="000000" w:themeColor="text1"/>
          <w:sz w:val="28"/>
          <w:szCs w:val="28"/>
          <w14:textFill>
            <w14:solidFill>
              <w14:schemeClr w14:val="tx1"/>
            </w14:solidFill>
          </w14:textFill>
        </w:rPr>
      </w:pPr>
    </w:p>
    <w:p>
      <w:pPr>
        <w:pStyle w:val="50"/>
        <w:rPr>
          <w:rFonts w:asciiTheme="minorEastAsia" w:hAnsiTheme="minorEastAsia" w:eastAsiaTheme="minorEastAsia"/>
          <w:color w:val="000000" w:themeColor="text1"/>
          <w:sz w:val="28"/>
          <w:szCs w:val="28"/>
          <w14:textFill>
            <w14:solidFill>
              <w14:schemeClr w14:val="tx1"/>
            </w14:solidFill>
          </w14:textFill>
        </w:rPr>
      </w:pPr>
    </w:p>
    <w:p>
      <w:pPr>
        <w:pStyle w:val="50"/>
        <w:rPr>
          <w:rFonts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65" w:firstLineChars="202"/>
        <w:rPr>
          <w:rFonts w:asciiTheme="minorEastAsia" w:hAnsiTheme="minorEastAsia" w:eastAsiaTheme="minorEastAsia"/>
          <w:color w:val="000000" w:themeColor="text1"/>
          <w:sz w:val="28"/>
          <w:szCs w:val="28"/>
          <w14:textFill>
            <w14:solidFill>
              <w14:schemeClr w14:val="tx1"/>
            </w14:solidFill>
          </w14:textFill>
        </w:rPr>
      </w:pPr>
    </w:p>
    <w:bookmarkEnd w:id="237"/>
    <w:bookmarkEnd w:id="238"/>
    <w:bookmarkEnd w:id="239"/>
    <w:bookmarkEnd w:id="240"/>
    <w:bookmarkEnd w:id="241"/>
    <w:p>
      <w:pPr>
        <w:pStyle w:val="3"/>
        <w:numPr>
          <w:ilvl w:val="0"/>
          <w:numId w:val="4"/>
        </w:numPr>
        <w:spacing w:before="0" w:after="0" w:line="360" w:lineRule="auto"/>
        <w:ind w:left="0" w:firstLine="0"/>
        <w:rPr>
          <w:color w:val="000000" w:themeColor="text1"/>
          <w14:textFill>
            <w14:solidFill>
              <w14:schemeClr w14:val="tx1"/>
            </w14:solidFill>
          </w14:textFill>
        </w:rPr>
      </w:pPr>
      <w:bookmarkStart w:id="262" w:name="_Toc10524"/>
      <w:bookmarkStart w:id="263" w:name="_Toc65573703"/>
      <w:bookmarkStart w:id="264" w:name="_Toc7093"/>
      <w:bookmarkStart w:id="265" w:name="_Toc1676"/>
      <w:bookmarkStart w:id="266" w:name="_Toc7800"/>
      <w:r>
        <w:rPr>
          <w:rFonts w:hint="eastAsia"/>
          <w:color w:val="000000" w:themeColor="text1"/>
          <w14:textFill>
            <w14:solidFill>
              <w14:schemeClr w14:val="tx1"/>
            </w14:solidFill>
          </w14:textFill>
        </w:rPr>
        <w:t>资格性审查</w:t>
      </w:r>
      <w:bookmarkEnd w:id="262"/>
      <w:bookmarkEnd w:id="263"/>
      <w:bookmarkEnd w:id="264"/>
      <w:bookmarkEnd w:id="265"/>
      <w:bookmarkEnd w:id="266"/>
    </w:p>
    <w:p>
      <w:pPr>
        <w:tabs>
          <w:tab w:val="left" w:pos="851"/>
        </w:tabs>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资格性审查由采购人组建的资格审查小组依据法律法规和招标文件的规定，对投标文件中的资格证明等进行审查，以确定投标人是否具备投标资格，并出具资格性审查报告。</w:t>
      </w:r>
    </w:p>
    <w:p>
      <w:pPr>
        <w:tabs>
          <w:tab w:val="left" w:pos="851"/>
        </w:tabs>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资格性审查时因断电、断网、系统故障或其他不可抗力等因素，导致资格审查小组无法通过系统阅读投标文件进行审查的，待系统恢复后继续审查。出现上述情况时，市公资交易中心将以电子邮件形式通知各投标人。资格性审查标准见下表：</w:t>
      </w:r>
    </w:p>
    <w:tbl>
      <w:tblPr>
        <w:tblStyle w:val="43"/>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00"/>
        <w:gridCol w:w="1197"/>
        <w:gridCol w:w="5940"/>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2585"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资格性审查项</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000000" w:themeColor="text1"/>
                <w:sz w:val="20"/>
                <w14:textFill>
                  <w14:solidFill>
                    <w14:schemeClr w14:val="tx1"/>
                  </w14:solidFill>
                </w14:textFill>
              </w:rPr>
            </w:pPr>
            <w:r>
              <w:rPr>
                <w:b/>
                <w:color w:val="000000" w:themeColor="text1"/>
                <w:sz w:val="20"/>
                <w14:textFill>
                  <w14:solidFill>
                    <w14:schemeClr w14:val="tx1"/>
                  </w14:solidFill>
                </w14:textFill>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eastAsia="宋体"/>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1</w:t>
            </w:r>
          </w:p>
        </w:tc>
        <w:tc>
          <w:tcPr>
            <w:tcW w:w="700" w:type="dxa"/>
            <w:vMerge w:val="restart"/>
            <w:tcBorders>
              <w:top w:val="single" w:color="auto" w:sz="2" w:space="0"/>
              <w:left w:val="single" w:color="auto" w:sz="2" w:space="0"/>
              <w:right w:val="single" w:color="auto" w:sz="4" w:space="0"/>
            </w:tcBorders>
            <w:vAlign w:val="center"/>
          </w:tcPr>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书面声明材料</w:t>
            </w: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具有独立承担民事责任的能力</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投标人具有独立承担民事责任的能力的书面声明材料。【说明：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；②供应商具有</w:t>
            </w:r>
            <w:r>
              <w:rPr>
                <w:rFonts w:hint="eastAsia"/>
                <w:color w:val="000000" w:themeColor="text1"/>
                <w:sz w:val="20"/>
                <w14:textFill>
                  <w14:solidFill>
                    <w14:schemeClr w14:val="tx1"/>
                  </w14:solidFill>
                </w14:textFill>
              </w:rPr>
              <w:t>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rFonts w:hint="eastAsia"/>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具有良好的商业信誉的证明材料</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投标人具有良好的商业信誉的书面声明材料。【说明：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；②供应商具有良好的商业信誉</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具有履行合同所必须的设备和专业技术能力</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投标人具有履行合同所必须的设备和专业技术能力的书面声明材料。【说明：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具有履行合同所必须的设备和专业技术能力。】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有依法缴纳税收和社会保障资金的良好记录</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投标人有依法缴纳税收和社会保障资金的良好记录的书面声明材料。【说明：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参加政府采购活动前三年内，在经营活动中没有重大违法记录</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投标人参加政府采购活动前三年内，在经营活动中没有重大违法记录的书面声明材料。【说明：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法律、行政法规规定的其他条件</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w:t>
            </w:r>
            <w:r>
              <w:rPr>
                <w:rFonts w:hint="eastAsia"/>
                <w:color w:val="000000" w:themeColor="text1"/>
                <w:sz w:val="20"/>
                <w:lang w:eastAsia="zh-CN"/>
                <w14:textFill>
                  <w14:solidFill>
                    <w14:schemeClr w14:val="tx1"/>
                  </w14:solidFill>
                </w14:textFill>
              </w:rPr>
              <w:t>具有</w:t>
            </w:r>
            <w:r>
              <w:rPr>
                <w:rFonts w:hint="eastAsia"/>
                <w:color w:val="000000" w:themeColor="text1"/>
                <w:sz w:val="20"/>
                <w14:textFill>
                  <w14:solidFill>
                    <w14:schemeClr w14:val="tx1"/>
                  </w14:solidFill>
                </w14:textFill>
              </w:rPr>
              <w:t>法律、行政法规规定的其他条件的书面声明材料。【说明：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lang w:eastAsia="zh-CN"/>
                <w14:textFill>
                  <w14:solidFill>
                    <w14:schemeClr w14:val="tx1"/>
                  </w14:solidFill>
                </w14:textFill>
              </w:rPr>
              <w:t>具有</w:t>
            </w:r>
            <w:r>
              <w:rPr>
                <w:rFonts w:hint="eastAsia"/>
                <w:color w:val="000000" w:themeColor="text1"/>
                <w:sz w:val="20"/>
                <w14:textFill>
                  <w14:solidFill>
                    <w14:schemeClr w14:val="tx1"/>
                  </w14:solidFill>
                </w14:textFill>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未被列入失信被执行人、重大税收违法案件当事人名单、政府采购严重违法失信行为记录名单</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投标人未列入失信被执行人、重大税收违法案件当事人名单、政府采购严重违法失信行为记录名单的书面声明材料。【说明：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投标人未列入失信被执行人、重大税收违法案件当事人名单、政府采购严重违法失信行为记录名单；</w:t>
            </w:r>
            <w:r>
              <w:rPr>
                <w:rFonts w:hint="eastAsia" w:ascii="宋体" w:hAnsi="宋体"/>
                <w:color w:val="000000" w:themeColor="text1"/>
                <w:sz w:val="20"/>
                <w:szCs w:val="28"/>
                <w14:textFill>
                  <w14:solidFill>
                    <w14:schemeClr w14:val="tx1"/>
                  </w14:solidFill>
                </w14:textFill>
              </w:rPr>
              <w:t>②</w:t>
            </w:r>
            <w:r>
              <w:rPr>
                <w:rFonts w:hint="eastAsia"/>
                <w:color w:val="000000" w:themeColor="text1"/>
                <w:sz w:val="20"/>
                <w14:textFill>
                  <w14:solidFill>
                    <w14:schemeClr w14:val="tx1"/>
                  </w14:solidFill>
                </w14:textFill>
              </w:rPr>
              <w:t>按第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p>
          <w:p>
            <w:pPr>
              <w:tabs>
                <w:tab w:val="left" w:pos="851"/>
              </w:tabs>
              <w:spacing w:line="360" w:lineRule="auto"/>
              <w:rPr>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未处于被行政部门禁止参与政府采购活动的期限内</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投标人未处于被行政部门禁止参与政府采购活动的期限内。【说明：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；②供应商未处于被行政部门禁止参与政府采购活动的期限内。</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行贿犯罪记录</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在行贿犯罪信息查询期限内，投标人及其现任法定代表人、主要负责人没有行贿犯罪记录的书面声明材料。【说明：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章的内容及要求提供书面声明材料，投标文件中不需提供中国裁判文书网（</w:t>
            </w:r>
            <w:r>
              <w:rPr>
                <w:color w:val="000000" w:themeColor="text1"/>
                <w:sz w:val="20"/>
                <w14:textFill>
                  <w14:solidFill>
                    <w14:schemeClr w14:val="tx1"/>
                  </w14:solidFill>
                </w14:textFill>
              </w:rPr>
              <w:t>https://wenshu.court.gov.cn</w:t>
            </w:r>
            <w:r>
              <w:rPr>
                <w:rFonts w:hint="eastAsia"/>
                <w:color w:val="000000" w:themeColor="text1"/>
                <w:sz w:val="20"/>
                <w14:textFill>
                  <w14:solidFill>
                    <w14:schemeClr w14:val="tx1"/>
                  </w14:solidFill>
                </w14:textFill>
              </w:rPr>
              <w:t>）查询结果的证明材料；</w:t>
            </w:r>
            <w:r>
              <w:rPr>
                <w:rFonts w:hint="eastAsia" w:ascii="宋体" w:hAnsi="宋体"/>
                <w:color w:val="000000" w:themeColor="text1"/>
                <w:sz w:val="20"/>
                <w:szCs w:val="28"/>
                <w14:textFill>
                  <w14:solidFill>
                    <w14:schemeClr w14:val="tx1"/>
                  </w14:solidFill>
                </w14:textFill>
              </w:rPr>
              <w:t>②在行贿犯罪信息查询期限内，供应商及其现任法定代表人、主要负责人没有行贿犯罪记录</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bottom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单位负责人为同一人或者存在直接控股、管理关系的不同供应商，不得参加同一项目的投标</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与投标人负责人为同一人或者存在直接控股、管理关系的相关供应商的书面声明材料。【说明：①按招标文件第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章的内容及要求提供书面声明材料；②参加投标的供应商中无与投标人的负责人为同一人或者存在直接控股、管理关系的供应商。】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tcBorders>
              <w:left w:val="single" w:color="auto" w:sz="2" w:space="0"/>
              <w:right w:val="single" w:color="auto" w:sz="2" w:space="0"/>
            </w:tcBorders>
            <w:vAlign w:val="center"/>
          </w:tcPr>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eastAsia="宋体"/>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2</w:t>
            </w:r>
          </w:p>
        </w:tc>
        <w:tc>
          <w:tcPr>
            <w:tcW w:w="700" w:type="dxa"/>
            <w:vMerge w:val="restart"/>
            <w:tcBorders>
              <w:left w:val="single" w:color="auto" w:sz="2" w:space="0"/>
              <w:right w:val="single" w:color="auto" w:sz="4" w:space="0"/>
            </w:tcBorders>
            <w:vAlign w:val="center"/>
          </w:tcPr>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其他</w:t>
            </w: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信用记录</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供应商未被列入失信被执行人、重大税收违法案件当事人名单、政府采购严重违法失信行为记录名单及其他不符合《中华人民共和国政府采购法》第二十二条规定条件的供应商，以下列查询记录为准：</w:t>
            </w:r>
          </w:p>
          <w:p>
            <w:pPr>
              <w:tabs>
                <w:tab w:val="left" w:pos="851"/>
              </w:tabs>
              <w:spacing w:line="360" w:lineRule="auto"/>
              <w:ind w:firstLine="400" w:firstLineChars="200"/>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格审查小组对“信用中国”网站、“中国政府采购网”网站进行查询，并根据查询结果对投标人的信用记录进行审查。（说明：投标人未被列入失信被执行人、重大税收违法案件当事人名单、政府采购严重违法失信行为记录名单[投标人在参加政府采购活动前被禁止在一定期限内参加政府采购活动，期限届满的可以参加政府采购活动，但投标人应在资格性投标文件中提供相关证明材料]，没有未依法缴纳税收和社会保障资金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rFonts w:hint="eastAsia" w:eastAsia="宋体"/>
                <w:color w:val="000000" w:themeColor="text1"/>
                <w:sz w:val="20"/>
                <w:lang w:eastAsia="zh-CN"/>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不属于其他国家相关法律法规规定的禁止参加投标的供应商</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color w:val="000000" w:themeColor="text1"/>
                <w:sz w:val="20"/>
                <w14:textFill>
                  <w14:solidFill>
                    <w14:schemeClr w14:val="tx1"/>
                  </w14:solidFill>
                </w14:textFill>
              </w:rPr>
              <w:t>1</w:t>
            </w:r>
            <w:r>
              <w:rPr>
                <w:rFonts w:hint="eastAsia"/>
                <w:color w:val="000000" w:themeColor="text1"/>
                <w:sz w:val="20"/>
                <w14:textFill>
                  <w14:solidFill>
                    <w14:schemeClr w14:val="tx1"/>
                  </w14:solidFill>
                </w14:textFill>
              </w:rPr>
              <w:t>、根据招标文件的要求不属于禁止参加投标或投标无效的供应商；</w:t>
            </w:r>
          </w:p>
          <w:p>
            <w:pPr>
              <w:tabs>
                <w:tab w:val="left" w:pos="851"/>
              </w:tabs>
              <w:spacing w:line="360" w:lineRule="auto"/>
              <w:rPr>
                <w:color w:val="000000" w:themeColor="text1"/>
                <w:sz w:val="20"/>
                <w14:textFill>
                  <w14:solidFill>
                    <w14:schemeClr w14:val="tx1"/>
                  </w14:solidFill>
                </w14:textFill>
              </w:rPr>
            </w:pPr>
            <w:r>
              <w:rPr>
                <w:color w:val="000000" w:themeColor="text1"/>
                <w:sz w:val="20"/>
                <w14:textFill>
                  <w14:solidFill>
                    <w14:schemeClr w14:val="tx1"/>
                  </w14:solidFill>
                </w14:textFill>
              </w:rPr>
              <w:t>2</w:t>
            </w:r>
            <w:r>
              <w:rPr>
                <w:rFonts w:hint="eastAsia"/>
                <w:color w:val="000000" w:themeColor="text1"/>
                <w:sz w:val="20"/>
                <w14:textFill>
                  <w14:solidFill>
                    <w14:schemeClr w14:val="tx1"/>
                  </w14:solidFill>
                </w14:textFill>
              </w:rPr>
              <w:t>、资格审查小组未发现或者未知晓投标人存在属于国家相关法律法规规定的禁止参加投标或投标无效的供应商。</w:t>
            </w: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联合体投标</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资质要求</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投标保证金</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投标文件解密情况</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ascii="宋体" w:hAnsi="宋体"/>
                <w:color w:val="000000" w:themeColor="text1"/>
                <w:sz w:val="20"/>
                <w:szCs w:val="28"/>
                <w14:textFill>
                  <w14:solidFill>
                    <w14:schemeClr w14:val="tx1"/>
                  </w14:solidFill>
                </w14:textFill>
              </w:rPr>
              <w:t>除因断电、断网、系统故障或其他不可抗力等因素，导致系统无法使用外，投标文件已成功解密。</w:t>
            </w:r>
            <w:r>
              <w:rPr>
                <w:rFonts w:hint="eastAsia"/>
                <w:color w:val="000000" w:themeColor="text1"/>
                <w:sz w:val="20"/>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投标文件签章</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sz w:val="20"/>
              </w:rPr>
              <w:t>投标文件加盖有投标人（法定名称）电子签章。【说明：无须提供证明材料，上传空白页即可，不对本项上传的材料作资格审查】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投标文件资格响应</w:t>
            </w:r>
            <w:r>
              <w:rPr>
                <w:color w:val="000000" w:themeColor="text1"/>
                <w:sz w:val="20"/>
                <w14:textFill>
                  <w14:solidFill>
                    <w14:schemeClr w14:val="tx1"/>
                  </w14:solidFill>
                </w14:textFill>
              </w:rPr>
              <w:t>文件</w:t>
            </w:r>
            <w:r>
              <w:rPr>
                <w:rFonts w:hint="eastAsia"/>
                <w:color w:val="000000" w:themeColor="text1"/>
                <w:sz w:val="20"/>
                <w14:textFill>
                  <w14:solidFill>
                    <w14:schemeClr w14:val="tx1"/>
                  </w14:solidFill>
                </w14:textFill>
              </w:rPr>
              <w:t>组成</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符合招标文件</w:t>
            </w:r>
            <w:r>
              <w:rPr>
                <w:color w:val="000000" w:themeColor="text1"/>
                <w:sz w:val="20"/>
                <w14:textFill>
                  <w14:solidFill>
                    <w14:schemeClr w14:val="tx1"/>
                  </w14:solidFill>
                </w14:textFill>
              </w:rPr>
              <w:t>“2.4.6</w:t>
            </w:r>
            <w:r>
              <w:rPr>
                <w:rFonts w:hint="eastAsia"/>
                <w:color w:val="000000" w:themeColor="text1"/>
                <w:sz w:val="20"/>
                <w14:textFill>
                  <w14:solidFill>
                    <w14:schemeClr w14:val="tx1"/>
                  </w14:solidFill>
                </w14:textFill>
              </w:rPr>
              <w:t>投标文件的组成</w:t>
            </w:r>
            <w:r>
              <w:rPr>
                <w:color w:val="000000" w:themeColor="text1"/>
                <w:sz w:val="20"/>
                <w14:textFill>
                  <w14:solidFill>
                    <w14:schemeClr w14:val="tx1"/>
                  </w14:solidFill>
                </w14:textFill>
              </w:rPr>
              <w:t>”</w:t>
            </w:r>
            <w:r>
              <w:rPr>
                <w:rFonts w:hint="eastAsia"/>
                <w:color w:val="000000" w:themeColor="text1"/>
                <w:sz w:val="20"/>
                <w14:textFill>
                  <w14:solidFill>
                    <w14:schemeClr w14:val="tx1"/>
                  </w14:solidFill>
                </w14:textFill>
              </w:rPr>
              <w:t>规定要求。【说明：无须提供证明材料，上传空白页即可，不对本项上传的材料作资格审查】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投标文件资格响应文件的语言</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语言符合招标文件的要求。【说明：无须提供证明材料，上传空白页即可，不对本项上传的材料作资格审查】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eastAsia="宋体"/>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3</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eastAsia="宋体"/>
                <w:color w:val="000000" w:themeColor="text1"/>
                <w:sz w:val="20"/>
                <w:lang w:eastAsia="zh-CN"/>
                <w14:textFill>
                  <w14:solidFill>
                    <w14:schemeClr w14:val="tx1"/>
                  </w14:solidFill>
                </w14:textFill>
              </w:rPr>
            </w:pPr>
            <w:r>
              <w:rPr>
                <w:rFonts w:hint="eastAsia"/>
                <w:color w:val="000000" w:themeColor="text1"/>
                <w:sz w:val="20"/>
                <w:lang w:eastAsia="zh-CN"/>
                <w14:textFill>
                  <w14:solidFill>
                    <w14:schemeClr w14:val="tx1"/>
                  </w14:solidFill>
                </w14:textFill>
              </w:rPr>
              <w:t>专门面向中小企业证明材料</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numPr>
                <w:ilvl w:val="0"/>
                <w:numId w:val="0"/>
              </w:numPr>
              <w:tabs>
                <w:tab w:val="left" w:pos="851"/>
              </w:tabs>
              <w:spacing w:line="360" w:lineRule="auto"/>
              <w:rPr>
                <w:rFonts w:hint="eastAsia"/>
                <w:lang w:val="en-US" w:eastAsia="zh-CN"/>
              </w:rPr>
            </w:pPr>
            <w:r>
              <w:rPr>
                <w:rFonts w:hint="eastAsia"/>
                <w:lang w:val="en-US" w:eastAsia="zh-CN"/>
              </w:rPr>
              <w:t>按3.2.3.1格式提供的中小企业声明函</w:t>
            </w:r>
            <w:r>
              <w:rPr>
                <w:rFonts w:hint="eastAsia"/>
                <w:lang w:eastAsia="zh-CN"/>
              </w:rPr>
              <w:t>或按</w:t>
            </w:r>
            <w:r>
              <w:rPr>
                <w:rFonts w:hint="eastAsia"/>
                <w:lang w:val="en-US" w:eastAsia="zh-CN"/>
              </w:rPr>
              <w:t>3.2.3.2格式提供的</w:t>
            </w:r>
            <w:r>
              <w:rPr>
                <w:rFonts w:hint="eastAsia"/>
              </w:rPr>
              <w:t>残疾人福利</w:t>
            </w:r>
            <w:r>
              <w:rPr>
                <w:rFonts w:hint="eastAsia"/>
                <w:lang w:val="en-US" w:eastAsia="zh-CN"/>
              </w:rPr>
              <w:t>性单位声明函（格式详见3.2.3.2）或</w:t>
            </w:r>
            <w:r>
              <w:rPr>
                <w:rFonts w:hint="eastAsia"/>
                <w:lang w:val="zh-CN" w:eastAsia="zh-CN"/>
              </w:rPr>
              <w:t>由省级以上监狱管理局、戒毒管理局（含新疆生产建设兵团）出具的投标人属于监狱企业的证明文件复印件。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4</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lang w:eastAsia="zh-CN"/>
                <w14:textFill>
                  <w14:solidFill>
                    <w14:schemeClr w14:val="tx1"/>
                  </w14:solidFill>
                </w14:textFill>
              </w:rPr>
            </w:pPr>
            <w:r>
              <w:rPr>
                <w:rFonts w:hint="eastAsia"/>
                <w:color w:val="000000" w:themeColor="text1"/>
                <w:sz w:val="20"/>
                <w:lang w:eastAsia="zh-CN"/>
                <w14:textFill>
                  <w14:solidFill>
                    <w14:schemeClr w14:val="tx1"/>
                  </w14:solidFill>
                </w14:textFill>
              </w:rPr>
              <w:t>根据采购项目提出的特殊资格条件证明材料</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pStyle w:val="2"/>
              <w:numPr>
                <w:ilvl w:val="0"/>
                <w:numId w:val="0"/>
              </w:numPr>
              <w:ind w:left="0" w:leftChars="0" w:firstLine="0" w:firstLineChars="0"/>
              <w:rPr>
                <w:rFonts w:hint="eastAsia"/>
                <w:lang w:val="en-US" w:eastAsia="zh-CN"/>
              </w:rPr>
            </w:pPr>
            <w:r>
              <w:rPr>
                <w:rFonts w:hint="eastAsia"/>
                <w:color w:val="FF0000"/>
                <w:lang w:val="en-US" w:eastAsia="zh-CN"/>
              </w:rPr>
              <w:t>无</w:t>
            </w:r>
          </w:p>
        </w:tc>
      </w:tr>
    </w:tbl>
    <w:p>
      <w:pPr>
        <w:tabs>
          <w:tab w:val="left" w:pos="851"/>
        </w:tabs>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二、“信用中国”和“中国政府采购网”网站查询结果，将以纸质截图或将截图保存至电子介质的形式留存。</w:t>
      </w:r>
    </w:p>
    <w:p>
      <w:pPr>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投标人的投标文件资格性审查时被判定为无效的，市公资交易中心将通知投标人（以短信、现场公示、电话、“政府采购云平台”等任一方式）。投标人如对资格审查结论有异议的，应及时向市公资交易中心反馈意见。市公资交易中心将及时告知资格审查小组。（说明：无论投标人是否收到通知或提供反馈意见，均不影响资格审查和评标工作，且市公资交易中心对此将不承担任何的责任。投标人对资格审查结论有异议的，其反馈意见仅限于资格审查小组对资格审查结论的正确性进行复核，避免出现审查错误。）</w:t>
      </w:r>
    </w:p>
    <w:p>
      <w:pPr>
        <w:ind w:firstLine="565" w:firstLineChars="202"/>
        <w:rPr>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四、通过资格性审查的供应商＜3名，采购失败。</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pStyle w:val="3"/>
        <w:numPr>
          <w:ilvl w:val="0"/>
          <w:numId w:val="4"/>
        </w:numPr>
        <w:spacing w:before="0" w:after="0" w:line="360" w:lineRule="auto"/>
        <w:ind w:left="0" w:firstLine="0"/>
        <w:rPr>
          <w:color w:val="000000" w:themeColor="text1"/>
          <w14:textFill>
            <w14:solidFill>
              <w14:schemeClr w14:val="tx1"/>
            </w14:solidFill>
          </w14:textFill>
        </w:rPr>
      </w:pPr>
      <w:bookmarkStart w:id="267" w:name="_Toc65573704"/>
      <w:bookmarkStart w:id="268" w:name="_Toc18121"/>
      <w:bookmarkStart w:id="269" w:name="_Toc16118"/>
      <w:bookmarkStart w:id="270" w:name="_Toc11596"/>
      <w:bookmarkStart w:id="271" w:name="_Toc29184"/>
      <w:r>
        <w:rPr>
          <w:rFonts w:hint="eastAsia"/>
          <w:color w:val="000000" w:themeColor="text1"/>
          <w14:textFill>
            <w14:solidFill>
              <w14:schemeClr w14:val="tx1"/>
            </w14:solidFill>
          </w14:textFill>
        </w:rPr>
        <w:t>评标办法</w:t>
      </w:r>
      <w:bookmarkEnd w:id="267"/>
      <w:bookmarkEnd w:id="268"/>
      <w:bookmarkEnd w:id="269"/>
      <w:bookmarkEnd w:id="270"/>
      <w:bookmarkEnd w:id="271"/>
      <w:bookmarkStart w:id="272" w:name="_Toc217446097"/>
      <w:bookmarkStart w:id="273" w:name="_Toc183682415"/>
      <w:bookmarkStart w:id="274" w:name="_Toc183582280"/>
      <w:bookmarkStart w:id="275" w:name="_Toc208849007"/>
    </w:p>
    <w:p>
      <w:pPr>
        <w:pStyle w:val="4"/>
        <w:numPr>
          <w:ilvl w:val="1"/>
          <w:numId w:val="4"/>
        </w:numPr>
        <w:spacing w:before="0" w:after="0" w:line="560" w:lineRule="exact"/>
        <w:ind w:left="2269" w:hanging="2269"/>
        <w:rPr>
          <w:color w:val="000000" w:themeColor="text1"/>
          <w14:textFill>
            <w14:solidFill>
              <w14:schemeClr w14:val="tx1"/>
            </w14:solidFill>
          </w14:textFill>
        </w:rPr>
      </w:pPr>
      <w:bookmarkStart w:id="276" w:name="_Toc10788"/>
      <w:bookmarkStart w:id="277" w:name="_Toc65573705"/>
      <w:bookmarkStart w:id="278" w:name="_Toc12005"/>
      <w:bookmarkStart w:id="279" w:name="_Toc13609"/>
      <w:bookmarkStart w:id="280" w:name="_Toc30790"/>
      <w:bookmarkStart w:id="281" w:name="_Toc315871642"/>
      <w:bookmarkStart w:id="282" w:name="_Toc316292248"/>
      <w:r>
        <w:rPr>
          <w:rFonts w:hint="eastAsia"/>
          <w:color w:val="000000" w:themeColor="text1"/>
          <w14:textFill>
            <w14:solidFill>
              <w14:schemeClr w14:val="tx1"/>
            </w14:solidFill>
          </w14:textFill>
        </w:rPr>
        <w:t>总则</w:t>
      </w:r>
      <w:bookmarkEnd w:id="272"/>
      <w:bookmarkEnd w:id="273"/>
      <w:bookmarkEnd w:id="274"/>
      <w:bookmarkEnd w:id="275"/>
      <w:bookmarkEnd w:id="276"/>
      <w:bookmarkEnd w:id="277"/>
      <w:bookmarkEnd w:id="278"/>
      <w:bookmarkEnd w:id="279"/>
      <w:bookmarkEnd w:id="280"/>
      <w:bookmarkEnd w:id="281"/>
      <w:bookmarkEnd w:id="282"/>
    </w:p>
    <w:p>
      <w:pPr>
        <w:numPr>
          <w:ilvl w:val="0"/>
          <w:numId w:val="36"/>
        </w:numPr>
        <w:tabs>
          <w:tab w:val="left" w:pos="1134"/>
        </w:tabs>
        <w:spacing w:after="200" w:line="560" w:lineRule="exact"/>
        <w:ind w:left="0" w:firstLine="565" w:firstLineChars="20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根据《中华人民共和国政府采购法》、《中华人民共和国政府采购法实施条例》和《政府采购货物和服务招标投标管理办法》等法律规章，结合采购项目特点制定本评标办法。</w:t>
      </w:r>
    </w:p>
    <w:p>
      <w:pPr>
        <w:numPr>
          <w:ilvl w:val="0"/>
          <w:numId w:val="36"/>
        </w:numPr>
        <w:tabs>
          <w:tab w:val="left" w:pos="1134"/>
        </w:tabs>
        <w:spacing w:after="200" w:line="560" w:lineRule="exact"/>
        <w:ind w:left="0" w:firstLine="565" w:firstLineChars="20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评标工作由市公资交易中心负责组织，具体评标事务由采购人或市公资交易中心依法组建的评标委员会负责。评标委员会由采购人代表和评审专家组成。</w:t>
      </w:r>
    </w:p>
    <w:p>
      <w:pPr>
        <w:numPr>
          <w:ilvl w:val="0"/>
          <w:numId w:val="36"/>
        </w:numPr>
        <w:tabs>
          <w:tab w:val="left" w:pos="1134"/>
        </w:tabs>
        <w:spacing w:after="200" w:line="560" w:lineRule="exact"/>
        <w:ind w:left="0" w:firstLine="565" w:firstLineChars="20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评标工作应遵循公平、公正、科学及择优的原则，并以相同的评标程序和标准对待所有的投标人。</w:t>
      </w:r>
    </w:p>
    <w:p>
      <w:pPr>
        <w:numPr>
          <w:ilvl w:val="0"/>
          <w:numId w:val="36"/>
        </w:numPr>
        <w:tabs>
          <w:tab w:val="left" w:pos="1134"/>
        </w:tabs>
        <w:spacing w:after="200" w:line="560" w:lineRule="exact"/>
        <w:ind w:left="0" w:firstLine="565" w:firstLineChars="20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评标委员会按照招标文件规定的评标程序、评标方法和标准进行独立评审，并独立履行下列职责：</w:t>
      </w:r>
    </w:p>
    <w:p>
      <w:pPr>
        <w:numPr>
          <w:ilvl w:val="1"/>
          <w:numId w:val="37"/>
        </w:numPr>
        <w:spacing w:after="200"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熟悉和理解招标文件；</w:t>
      </w:r>
    </w:p>
    <w:p>
      <w:pPr>
        <w:numPr>
          <w:ilvl w:val="1"/>
          <w:numId w:val="37"/>
        </w:numPr>
        <w:spacing w:after="200"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审查、评价投标文件是否符合招标文件的商务、技术等实质性要求；</w:t>
      </w:r>
    </w:p>
    <w:p>
      <w:pPr>
        <w:numPr>
          <w:ilvl w:val="1"/>
          <w:numId w:val="37"/>
        </w:numPr>
        <w:spacing w:after="200"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对投标文件进行比较和评价；</w:t>
      </w:r>
    </w:p>
    <w:p>
      <w:pPr>
        <w:numPr>
          <w:ilvl w:val="1"/>
          <w:numId w:val="37"/>
        </w:numPr>
        <w:spacing w:after="200"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根据需要要求采购人对招标文件作出解释；根据需要要求投标人对投标文件有关事项作出解释或者澄清；</w:t>
      </w:r>
    </w:p>
    <w:p>
      <w:pPr>
        <w:numPr>
          <w:ilvl w:val="1"/>
          <w:numId w:val="37"/>
        </w:numPr>
        <w:spacing w:after="200"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确定中标候选人名单，以及根据采购人委托直接确定中标人；</w:t>
      </w:r>
    </w:p>
    <w:p>
      <w:pPr>
        <w:numPr>
          <w:ilvl w:val="1"/>
          <w:numId w:val="37"/>
        </w:numPr>
        <w:spacing w:after="200"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起草评标报告并进行签署；</w:t>
      </w:r>
    </w:p>
    <w:p>
      <w:pPr>
        <w:numPr>
          <w:ilvl w:val="1"/>
          <w:numId w:val="37"/>
        </w:numPr>
        <w:spacing w:after="200"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向采购人、市公资交易中心或者财政、监察等有关部门报告或举报非法干预评标工作的行为；</w:t>
      </w:r>
    </w:p>
    <w:p>
      <w:pPr>
        <w:numPr>
          <w:ilvl w:val="1"/>
          <w:numId w:val="37"/>
        </w:numPr>
        <w:spacing w:after="200"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向采购人、</w:t>
      </w:r>
      <w:r>
        <w:rPr>
          <w:rFonts w:hint="eastAsia" w:cs="Arial"/>
          <w:color w:val="000000" w:themeColor="text1"/>
          <w:sz w:val="28"/>
          <w:szCs w:val="28"/>
          <w14:textFill>
            <w14:solidFill>
              <w14:schemeClr w14:val="tx1"/>
            </w14:solidFill>
          </w14:textFill>
        </w:rPr>
        <w:t>市公资交易中心</w:t>
      </w:r>
      <w:r>
        <w:rPr>
          <w:rFonts w:hint="eastAsia" w:ascii="宋体" w:hAnsi="宋体"/>
          <w:color w:val="000000" w:themeColor="text1"/>
          <w:sz w:val="28"/>
          <w:szCs w:val="28"/>
          <w14:textFill>
            <w14:solidFill>
              <w14:schemeClr w14:val="tx1"/>
            </w14:solidFill>
          </w14:textFill>
        </w:rPr>
        <w:t>或者有关部门报告评标中发现的违法行为。</w:t>
      </w:r>
    </w:p>
    <w:p>
      <w:pPr>
        <w:numPr>
          <w:ilvl w:val="1"/>
          <w:numId w:val="37"/>
        </w:numPr>
        <w:spacing w:after="200"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法律、法规和规章规定的其他职责。</w:t>
      </w:r>
    </w:p>
    <w:p>
      <w:pPr>
        <w:numPr>
          <w:ilvl w:val="0"/>
          <w:numId w:val="36"/>
        </w:numPr>
        <w:tabs>
          <w:tab w:val="left" w:pos="1134"/>
        </w:tabs>
        <w:spacing w:after="200" w:line="560" w:lineRule="exact"/>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评标过程独立、保密。投标人非法干预评标过程的行为将导致其投标文件作为无效处理。</w:t>
      </w:r>
    </w:p>
    <w:p>
      <w:pPr>
        <w:numPr>
          <w:ilvl w:val="0"/>
          <w:numId w:val="36"/>
        </w:numPr>
        <w:tabs>
          <w:tab w:val="left" w:pos="1134"/>
        </w:tabs>
        <w:spacing w:after="200" w:line="560" w:lineRule="exact"/>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评标委员会决定投标文件的响应性依据投标文件本身的内容，而不寻求外部的证据，招标文件有明确约定的除外。</w:t>
      </w:r>
    </w:p>
    <w:p>
      <w:pPr>
        <w:tabs>
          <w:tab w:val="left" w:pos="1134"/>
        </w:tabs>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七、评标委员会发现招标文件表述不明确或需要说明的事项，可提请采购人和市公资交易中心书面解释说明。</w:t>
      </w:r>
    </w:p>
    <w:p>
      <w:pPr>
        <w:pStyle w:val="4"/>
        <w:numPr>
          <w:ilvl w:val="1"/>
          <w:numId w:val="4"/>
        </w:numPr>
        <w:spacing w:before="0" w:after="0" w:line="560" w:lineRule="exact"/>
        <w:ind w:left="2269" w:hanging="2269"/>
        <w:rPr>
          <w:color w:val="000000" w:themeColor="text1"/>
          <w14:textFill>
            <w14:solidFill>
              <w14:schemeClr w14:val="tx1"/>
            </w14:solidFill>
          </w14:textFill>
        </w:rPr>
      </w:pPr>
      <w:bookmarkStart w:id="283" w:name="_Toc3818"/>
      <w:bookmarkStart w:id="284" w:name="_Toc29481"/>
      <w:bookmarkStart w:id="285" w:name="_Toc65573706"/>
      <w:bookmarkStart w:id="286" w:name="_Toc7423"/>
      <w:bookmarkStart w:id="287" w:name="_Toc28274"/>
      <w:bookmarkStart w:id="288" w:name="_Toc315871644"/>
      <w:bookmarkStart w:id="289" w:name="_Toc316292250"/>
      <w:bookmarkStart w:id="290" w:name="_Toc217446098"/>
      <w:r>
        <w:rPr>
          <w:rFonts w:hint="eastAsia"/>
          <w:color w:val="000000" w:themeColor="text1"/>
          <w14:textFill>
            <w14:solidFill>
              <w14:schemeClr w14:val="tx1"/>
            </w14:solidFill>
          </w14:textFill>
        </w:rPr>
        <w:t>评标方法</w:t>
      </w:r>
      <w:bookmarkEnd w:id="283"/>
      <w:bookmarkEnd w:id="284"/>
      <w:bookmarkEnd w:id="285"/>
      <w:bookmarkEnd w:id="286"/>
      <w:bookmarkEnd w:id="287"/>
    </w:p>
    <w:p>
      <w:pPr>
        <w:spacing w:line="560" w:lineRule="exact"/>
        <w:rPr>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综合评分法。</w:t>
      </w:r>
    </w:p>
    <w:p>
      <w:pPr>
        <w:pStyle w:val="4"/>
        <w:numPr>
          <w:ilvl w:val="1"/>
          <w:numId w:val="4"/>
        </w:numPr>
        <w:spacing w:before="0" w:after="0" w:line="560" w:lineRule="exact"/>
        <w:ind w:left="2269" w:hanging="2269"/>
        <w:rPr>
          <w:color w:val="000000" w:themeColor="text1"/>
          <w14:textFill>
            <w14:solidFill>
              <w14:schemeClr w14:val="tx1"/>
            </w14:solidFill>
          </w14:textFill>
        </w:rPr>
      </w:pPr>
      <w:bookmarkStart w:id="291" w:name="_Toc65573707"/>
      <w:bookmarkStart w:id="292" w:name="_Toc30741"/>
      <w:bookmarkStart w:id="293" w:name="_Toc6803"/>
      <w:bookmarkStart w:id="294" w:name="_Toc3207"/>
      <w:bookmarkStart w:id="295" w:name="_Toc10678"/>
      <w:r>
        <w:rPr>
          <w:rFonts w:hint="eastAsia"/>
          <w:color w:val="000000" w:themeColor="text1"/>
          <w14:textFill>
            <w14:solidFill>
              <w14:schemeClr w14:val="tx1"/>
            </w14:solidFill>
          </w14:textFill>
        </w:rPr>
        <w:t>评标程序</w:t>
      </w:r>
      <w:bookmarkEnd w:id="288"/>
      <w:bookmarkEnd w:id="289"/>
      <w:bookmarkEnd w:id="290"/>
      <w:bookmarkEnd w:id="291"/>
      <w:bookmarkEnd w:id="292"/>
      <w:bookmarkEnd w:id="293"/>
      <w:bookmarkEnd w:id="294"/>
      <w:bookmarkEnd w:id="295"/>
    </w:p>
    <w:p>
      <w:pPr>
        <w:pStyle w:val="5"/>
        <w:numPr>
          <w:ilvl w:val="2"/>
          <w:numId w:val="4"/>
        </w:numPr>
        <w:spacing w:after="200" w:line="560" w:lineRule="exact"/>
        <w:ind w:left="0" w:firstLine="0"/>
        <w:rPr>
          <w:color w:val="000000" w:themeColor="text1"/>
          <w14:textFill>
            <w14:solidFill>
              <w14:schemeClr w14:val="tx1"/>
            </w14:solidFill>
          </w14:textFill>
        </w:rPr>
      </w:pPr>
      <w:bookmarkStart w:id="296" w:name="_Toc316475650"/>
      <w:bookmarkEnd w:id="296"/>
      <w:bookmarkStart w:id="297" w:name="_Toc217446099"/>
      <w:r>
        <w:rPr>
          <w:rFonts w:hint="eastAsia"/>
          <w:color w:val="000000" w:themeColor="text1"/>
          <w14:textFill>
            <w14:solidFill>
              <w14:schemeClr w14:val="tx1"/>
            </w14:solidFill>
          </w14:textFill>
        </w:rPr>
        <w:t>符合性审查</w:t>
      </w:r>
    </w:p>
    <w:p>
      <w:pPr>
        <w:tabs>
          <w:tab w:val="left" w:pos="851"/>
        </w:tabs>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符合性审查标准见下表（按以下顺序审查）：</w:t>
      </w:r>
    </w:p>
    <w:tbl>
      <w:tblPr>
        <w:tblStyle w:val="43"/>
        <w:tblW w:w="88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862"/>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符合性审查项</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1</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投标文件商务技术</w:t>
            </w:r>
            <w:r>
              <w:rPr>
                <w:rFonts w:ascii="宋体" w:hAnsi="宋体"/>
                <w:color w:val="000000" w:themeColor="text1"/>
                <w:sz w:val="24"/>
                <w:szCs w:val="28"/>
                <w14:textFill>
                  <w14:solidFill>
                    <w14:schemeClr w14:val="tx1"/>
                  </w14:solidFill>
                </w14:textFill>
              </w:rPr>
              <w:t>响应文件</w:t>
            </w:r>
            <w:r>
              <w:rPr>
                <w:rFonts w:hint="eastAsia" w:ascii="宋体" w:hAnsi="宋体"/>
                <w:color w:val="000000" w:themeColor="text1"/>
                <w:sz w:val="24"/>
                <w:szCs w:val="28"/>
                <w14:textFill>
                  <w14:solidFill>
                    <w14:schemeClr w14:val="tx1"/>
                  </w14:solidFill>
                </w14:textFill>
              </w:rPr>
              <w:t>及</w:t>
            </w:r>
            <w:r>
              <w:rPr>
                <w:rFonts w:ascii="宋体" w:hAnsi="宋体"/>
                <w:color w:val="000000" w:themeColor="text1"/>
                <w:sz w:val="24"/>
                <w:szCs w:val="28"/>
                <w14:textFill>
                  <w14:solidFill>
                    <w14:schemeClr w14:val="tx1"/>
                  </w14:solidFill>
                </w14:textFill>
              </w:rPr>
              <w:t>报价要求响应文件</w:t>
            </w:r>
            <w:r>
              <w:rPr>
                <w:rFonts w:hint="eastAsia" w:ascii="宋体" w:hAnsi="宋体"/>
                <w:color w:val="000000" w:themeColor="text1"/>
                <w:sz w:val="24"/>
                <w:szCs w:val="28"/>
                <w14:textFill>
                  <w14:solidFill>
                    <w14:schemeClr w14:val="tx1"/>
                  </w14:solidFill>
                </w14:textFill>
              </w:rPr>
              <w:t>组成</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 xml:space="preserve">2 </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投标文件签章投标文件加盖有投标人（法定名称）电子签章。</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均按招标文件要求签章。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3</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投标文件商务技术</w:t>
            </w:r>
            <w:r>
              <w:rPr>
                <w:rFonts w:ascii="宋体" w:hAnsi="宋体"/>
                <w:color w:val="000000" w:themeColor="text1"/>
                <w:sz w:val="24"/>
                <w:szCs w:val="28"/>
                <w14:textFill>
                  <w14:solidFill>
                    <w14:schemeClr w14:val="tx1"/>
                  </w14:solidFill>
                </w14:textFill>
              </w:rPr>
              <w:t>响应文件</w:t>
            </w:r>
            <w:r>
              <w:rPr>
                <w:rFonts w:hint="eastAsia" w:ascii="宋体" w:hAnsi="宋体"/>
                <w:color w:val="000000" w:themeColor="text1"/>
                <w:sz w:val="24"/>
                <w:szCs w:val="28"/>
                <w14:textFill>
                  <w14:solidFill>
                    <w14:schemeClr w14:val="tx1"/>
                  </w14:solidFill>
                </w14:textFill>
              </w:rPr>
              <w:t>的计量单位、语言、报价货币、投标有效期</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4</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报价</w:t>
            </w:r>
            <w:r>
              <w:rPr>
                <w:rFonts w:ascii="宋体" w:hAnsi="宋体"/>
                <w:color w:val="000000" w:themeColor="text1"/>
                <w:sz w:val="24"/>
                <w:szCs w:val="28"/>
                <w14:textFill>
                  <w14:solidFill>
                    <w14:schemeClr w14:val="tx1"/>
                  </w14:solidFill>
                </w14:textFill>
              </w:rPr>
              <w:t>要求响应文件</w:t>
            </w:r>
            <w:r>
              <w:rPr>
                <w:rFonts w:hint="eastAsia" w:ascii="宋体" w:hAnsi="宋体"/>
                <w:color w:val="000000" w:themeColor="text1"/>
                <w:sz w:val="24"/>
                <w:szCs w:val="28"/>
                <w14:textFill>
                  <w14:solidFill>
                    <w14:schemeClr w14:val="tx1"/>
                  </w14:solidFill>
                </w14:textFill>
              </w:rPr>
              <w:t>的</w:t>
            </w:r>
            <w:r>
              <w:rPr>
                <w:rFonts w:ascii="宋体" w:hAnsi="宋体"/>
                <w:color w:val="000000" w:themeColor="text1"/>
                <w:sz w:val="24"/>
                <w:szCs w:val="28"/>
                <w14:textFill>
                  <w14:solidFill>
                    <w14:schemeClr w14:val="tx1"/>
                  </w14:solidFill>
                </w14:textFill>
              </w:rPr>
              <w:t>计量单位、语言、报价货币</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计量单位、语言、报价货币均符合招标文件的要求。【说明：无须提供证明材料，上传空白页即可，不对本项上传的材料作符合性审查】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5</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投标报价</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开标记录、投标文件【注：（1）投标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color w:val="000000" w:themeColor="text1"/>
                <w:sz w:val="24"/>
                <w:szCs w:val="28"/>
                <w14:textFill>
                  <w14:solidFill>
                    <w14:schemeClr w14:val="tx1"/>
                  </w14:solidFill>
                </w14:textFill>
              </w:rPr>
              <w:t>②</w:t>
            </w:r>
            <w:r>
              <w:rPr>
                <w:rFonts w:hint="eastAsia" w:ascii="宋体" w:hAnsi="宋体"/>
                <w:color w:val="000000" w:themeColor="text1"/>
                <w:sz w:val="24"/>
                <w:szCs w:val="28"/>
                <w14:textFill>
                  <w14:solidFill>
                    <w14:schemeClr w14:val="tx1"/>
                  </w14:solidFill>
                </w14:textFill>
              </w:rPr>
              <w:t>单价金额小数点或者百分比有明显错位的，以总价为准，并修改单价；</w:t>
            </w:r>
            <w:r>
              <w:rPr>
                <w:rFonts w:hint="eastAsia" w:ascii="宋体" w:hAnsi="宋体" w:cs="宋体"/>
                <w:color w:val="000000" w:themeColor="text1"/>
                <w:sz w:val="24"/>
                <w:szCs w:val="28"/>
                <w14:textFill>
                  <w14:solidFill>
                    <w14:schemeClr w14:val="tx1"/>
                  </w14:solidFill>
                </w14:textFill>
              </w:rPr>
              <w:t>③</w:t>
            </w:r>
            <w:r>
              <w:rPr>
                <w:rFonts w:hint="eastAsia" w:ascii="宋体" w:hAnsi="宋体"/>
                <w:color w:val="000000" w:themeColor="text1"/>
                <w:sz w:val="24"/>
                <w:szCs w:val="28"/>
                <w14:textFill>
                  <w14:solidFill>
                    <w14:schemeClr w14:val="tx1"/>
                  </w14:solidFill>
                </w14:textFill>
              </w:rPr>
              <w:t>总价金额与按单价汇总金额不一致的，以单价金额计算结果为准；同时出现两种以上不一致的，按照前款规定的顺序修正。修正后的投标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color w:val="000000" w:themeColor="text1"/>
                <w:sz w:val="24"/>
                <w:szCs w:val="28"/>
                <w14:textFill>
                  <w14:solidFill>
                    <w14:schemeClr w14:val="tx1"/>
                  </w14:solidFill>
                </w14:textFill>
              </w:rPr>
              <w:t>5）如因断电、断网、系统故障或其他不可抗力等因素，导致系统无法使用的，由投标人按评标委员会的要求进行澄清或者说明</w:t>
            </w:r>
            <w:r>
              <w:rPr>
                <w:rFonts w:hint="eastAsia" w:ascii="宋体" w:hAnsi="宋体"/>
                <w:color w:val="000000" w:themeColor="text1"/>
                <w:sz w:val="24"/>
                <w:szCs w:val="28"/>
                <w14:textFill>
                  <w14:solidFill>
                    <w14:schemeClr w14:val="tx1"/>
                  </w14:solidFill>
                </w14:textFill>
              </w:rPr>
              <w:t>。（6）无须提供证明材料，上传空白页即可，不对本项上传的材料作符合性审查。】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6</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第4章打★号的服务、商务和其他要求</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投标文件均实质性响应招标文件中加★号的服务、商务和其他要求。【说明：无须提供证明材料，上传空白页即可，不对本项上传的材料作符合性审查】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7</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进口产品</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招标文件中未载明“允许采购进口产品”的产品，投标产品为国产产品。【说明：无须提供证明材料，上传空白页即可，不对本项上传的材料作符合性审查】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8</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不属于禁止参加投标或投标无效的供应商</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（1）根据招标文件的要求不属于禁止参加投标或投标无效的供应商；</w:t>
            </w:r>
          </w:p>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（2）评标委员会未发现或者未知晓投标人存在属于国家相关法律法规规定的禁止参加投标或投标无效的供应商。</w:t>
            </w:r>
          </w:p>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9</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法定代表人身份证复印件或护照复印件</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10</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除资格性审查要求的证明材料外，招标文件要求提供的其他证明材料</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ascii="宋体" w:hAnsi="宋体" w:eastAsia="宋体" w:cs="宋体"/>
                <w:sz w:val="24"/>
                <w:szCs w:val="24"/>
              </w:rPr>
              <w:t>承诺函【注：①按3.3.</w:t>
            </w:r>
            <w:r>
              <w:rPr>
                <w:rFonts w:hint="eastAsia" w:ascii="宋体" w:hAnsi="宋体" w:cs="宋体"/>
                <w:sz w:val="24"/>
                <w:szCs w:val="24"/>
                <w:lang w:val="en-US" w:eastAsia="zh-CN"/>
              </w:rPr>
              <w:t>5</w:t>
            </w:r>
            <w:r>
              <w:rPr>
                <w:rFonts w:ascii="宋体" w:hAnsi="宋体" w:eastAsia="宋体" w:cs="宋体"/>
                <w:sz w:val="24"/>
                <w:szCs w:val="24"/>
              </w:rPr>
              <w:t>的格式及要求提</w:t>
            </w:r>
            <w:bookmarkStart w:id="445" w:name="_GoBack"/>
            <w:bookmarkEnd w:id="445"/>
            <w:r>
              <w:rPr>
                <w:rFonts w:ascii="宋体" w:hAnsi="宋体" w:eastAsia="宋体" w:cs="宋体"/>
                <w:sz w:val="24"/>
                <w:szCs w:val="24"/>
              </w:rPr>
              <w:t>供承诺函；②承诺的内容满足招标文件的要求。】。</w:t>
            </w:r>
          </w:p>
        </w:tc>
      </w:tr>
    </w:tbl>
    <w:p>
      <w:pPr>
        <w:tabs>
          <w:tab w:val="left" w:pos="851"/>
        </w:tabs>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投标人的投标文件符合性审查时被判定为无效投标文件的，市公资交易中心将通知投标人（以短信、现场公示、电话、“政府采购云平台”等任一方式）。投标人如对评审结论有异议的，应及时向市公资交易中心反馈意见。市公资交易中心在评审结束前将收到的反馈意见及时告知评标委员会。（说明：无论投标人是否收到通知或提供反馈意见，均不影响评标委员会的评标工作，且市公资交易中心对此将不承担任何的责任。投标人对评审结论有异议的，其反馈意见仅限于评标委员会对评审结论的正确性进行复核，避免出现评审错误。）</w:t>
      </w:r>
    </w:p>
    <w:p>
      <w:pPr>
        <w:tabs>
          <w:tab w:val="left" w:pos="851"/>
        </w:tabs>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三、通过符合性审查的供应商＜3名，本项目采购失败。</w:t>
      </w:r>
    </w:p>
    <w:p>
      <w:pPr>
        <w:pStyle w:val="5"/>
        <w:numPr>
          <w:ilvl w:val="2"/>
          <w:numId w:val="4"/>
        </w:numPr>
        <w:spacing w:after="200" w:line="560" w:lineRule="exact"/>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解释、澄清有关问题</w:t>
      </w:r>
    </w:p>
    <w:p>
      <w:pPr>
        <w:numPr>
          <w:ilvl w:val="0"/>
          <w:numId w:val="38"/>
        </w:numPr>
        <w:tabs>
          <w:tab w:val="left" w:pos="1134"/>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过程中，评标委员会认为招标文件有关事项表述不明确或需要说明的，可以提请市公资交易中心书面解释。市公资交易中心的解释不得改变招标文件的原义或者影响公平、公正，解释事项如果涉及投标人权益的以有利于投标人的原则进行解释。</w:t>
      </w:r>
    </w:p>
    <w:p>
      <w:pPr>
        <w:numPr>
          <w:ilvl w:val="0"/>
          <w:numId w:val="38"/>
        </w:numPr>
        <w:tabs>
          <w:tab w:val="left" w:pos="1134"/>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38"/>
        </w:numPr>
        <w:tabs>
          <w:tab w:val="left" w:pos="1134"/>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澄清应当不超出投标文件的范围、不实质性改变投标文件的内容、不影响投标人的公平竞争、不导致投标文件从不响应招标文件变为响应招标文件的条件。下列内容不得澄清：</w:t>
      </w:r>
    </w:p>
    <w:p>
      <w:pPr>
        <w:pStyle w:val="157"/>
        <w:numPr>
          <w:ilvl w:val="0"/>
          <w:numId w:val="39"/>
        </w:numPr>
        <w:tabs>
          <w:tab w:val="left" w:pos="1260"/>
        </w:tabs>
        <w:spacing w:after="200" w:line="560" w:lineRule="exact"/>
        <w:ind w:left="0" w:firstLine="525"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投标人投标文件中不响应招标文件规定的技术参数指标和商务应答；</w:t>
      </w:r>
    </w:p>
    <w:p>
      <w:pPr>
        <w:pStyle w:val="157"/>
        <w:numPr>
          <w:ilvl w:val="0"/>
          <w:numId w:val="39"/>
        </w:numPr>
        <w:tabs>
          <w:tab w:val="left" w:pos="1260"/>
        </w:tabs>
        <w:spacing w:after="200" w:line="560" w:lineRule="exact"/>
        <w:ind w:left="0" w:firstLine="525"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投标人投标文件中未提供的证明其是否符合招标文件资格性、符合性规定要求的相关材料。</w:t>
      </w:r>
    </w:p>
    <w:p>
      <w:pPr>
        <w:pStyle w:val="157"/>
        <w:numPr>
          <w:ilvl w:val="0"/>
          <w:numId w:val="39"/>
        </w:numPr>
        <w:tabs>
          <w:tab w:val="left" w:pos="1260"/>
        </w:tabs>
        <w:spacing w:after="200" w:line="560" w:lineRule="exact"/>
        <w:ind w:left="0" w:firstLine="525"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投标人投标文件中的材料因印刷、影印等不清晰而难以辨认的。</w:t>
      </w:r>
    </w:p>
    <w:p>
      <w:pPr>
        <w:numPr>
          <w:ilvl w:val="0"/>
          <w:numId w:val="38"/>
        </w:numPr>
        <w:tabs>
          <w:tab w:val="left" w:pos="1134"/>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投标文件报价出现下列情况的，不需要投标人澄清，按以下原则处理：</w:t>
      </w:r>
    </w:p>
    <w:p>
      <w:pPr>
        <w:pStyle w:val="157"/>
        <w:numPr>
          <w:ilvl w:val="0"/>
          <w:numId w:val="40"/>
        </w:numPr>
        <w:tabs>
          <w:tab w:val="left" w:pos="1050"/>
        </w:tabs>
        <w:spacing w:after="200" w:line="560" w:lineRule="exact"/>
        <w:ind w:left="0" w:firstLine="525"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大写金额和小写金额不一致的，以大写金额为准，但大写金额出现文字错误，导致金额无法判断的除外；</w:t>
      </w:r>
    </w:p>
    <w:p>
      <w:pPr>
        <w:pStyle w:val="157"/>
        <w:numPr>
          <w:ilvl w:val="0"/>
          <w:numId w:val="40"/>
        </w:numPr>
        <w:tabs>
          <w:tab w:val="left" w:pos="1050"/>
        </w:tabs>
        <w:spacing w:after="200" w:line="560" w:lineRule="exact"/>
        <w:ind w:left="0" w:firstLine="525"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单价金额小数点或者百分比有明显错位的，以总价为准，并修改单价；</w:t>
      </w:r>
    </w:p>
    <w:p>
      <w:pPr>
        <w:pStyle w:val="157"/>
        <w:numPr>
          <w:ilvl w:val="0"/>
          <w:numId w:val="40"/>
        </w:numPr>
        <w:tabs>
          <w:tab w:val="left" w:pos="1050"/>
        </w:tabs>
        <w:spacing w:after="200" w:line="560" w:lineRule="exact"/>
        <w:ind w:left="0" w:firstLine="525"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总价金额与按单价汇总金额不一致的，以单价金额计算结果为准。</w:t>
      </w:r>
    </w:p>
    <w:p>
      <w:pPr>
        <w:spacing w:line="560" w:lineRule="exact"/>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同时出现两种以上不一致的，按照前款规定的顺序修正。修正后的报价经投标人确认后产生约束力，投标人不确认的，其投标无效。</w:t>
      </w:r>
    </w:p>
    <w:p>
      <w:pPr>
        <w:spacing w:line="5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五、对不同语言文本投标文件的解释发生异议的，以中文文本为准。</w:t>
      </w:r>
    </w:p>
    <w:p>
      <w:pPr>
        <w:tabs>
          <w:tab w:val="left" w:pos="720"/>
        </w:tabs>
        <w:spacing w:line="5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560" w:lineRule="exact"/>
        <w:ind w:firstLine="551" w:firstLineChars="196"/>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评标委员会应当积极履行澄清、说明或者更正的职责，不得滥用权力。</w:t>
      </w:r>
    </w:p>
    <w:p>
      <w:pPr>
        <w:pStyle w:val="5"/>
        <w:numPr>
          <w:ilvl w:val="2"/>
          <w:numId w:val="4"/>
        </w:numPr>
        <w:spacing w:after="200" w:line="560" w:lineRule="exact"/>
        <w:ind w:left="851"/>
        <w:rPr>
          <w:color w:val="000000" w:themeColor="text1"/>
          <w14:textFill>
            <w14:solidFill>
              <w14:schemeClr w14:val="tx1"/>
            </w14:solidFill>
          </w14:textFill>
        </w:rPr>
      </w:pPr>
      <w:bookmarkStart w:id="298" w:name="_Toc315871649"/>
      <w:bookmarkEnd w:id="298"/>
      <w:bookmarkStart w:id="299" w:name="_Toc315871652"/>
      <w:bookmarkEnd w:id="299"/>
      <w:bookmarkStart w:id="300" w:name="_Toc315871650"/>
      <w:bookmarkEnd w:id="300"/>
      <w:bookmarkStart w:id="301" w:name="_Toc315871651"/>
      <w:bookmarkEnd w:id="301"/>
      <w:bookmarkStart w:id="302" w:name="_Toc316292253"/>
      <w:bookmarkStart w:id="303" w:name="_Toc315871647"/>
      <w:bookmarkStart w:id="304" w:name="_Toc315871653"/>
      <w:bookmarkStart w:id="305" w:name="_Toc316292255"/>
      <w:r>
        <w:rPr>
          <w:rFonts w:hint="eastAsia"/>
          <w:color w:val="000000" w:themeColor="text1"/>
          <w14:textFill>
            <w14:solidFill>
              <w14:schemeClr w14:val="tx1"/>
            </w14:solidFill>
          </w14:textFill>
        </w:rPr>
        <w:t>比较与评价</w:t>
      </w:r>
      <w:bookmarkEnd w:id="302"/>
      <w:bookmarkEnd w:id="303"/>
    </w:p>
    <w:p>
      <w:pPr>
        <w:tabs>
          <w:tab w:val="left" w:pos="851"/>
        </w:tabs>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按招标文件中规定的评标细则及标准，对符合性检查合格的投标文件进行商务和服务评估，综合比较与评价。</w:t>
      </w:r>
    </w:p>
    <w:p>
      <w:pPr>
        <w:pStyle w:val="5"/>
        <w:numPr>
          <w:ilvl w:val="2"/>
          <w:numId w:val="4"/>
        </w:numPr>
        <w:spacing w:after="200" w:line="560" w:lineRule="exact"/>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复核</w:t>
      </w:r>
    </w:p>
    <w:p>
      <w:pPr>
        <w:tabs>
          <w:tab w:val="left" w:pos="851"/>
        </w:tabs>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评分汇总结束后，评标委员会应当进行复核，特别要对拟推荐为中标候选供应商的、报价最低的、投标文件被认定为无效的进行重点复核。</w:t>
      </w:r>
    </w:p>
    <w:p>
      <w:pPr>
        <w:tabs>
          <w:tab w:val="left" w:pos="851"/>
        </w:tabs>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评标结果汇总完成后，评标委员会拟出具评审报告前，</w:t>
      </w:r>
      <w:r>
        <w:rPr>
          <w:rFonts w:hint="eastAsia" w:cs="Arial"/>
          <w:color w:val="000000" w:themeColor="text1"/>
          <w:sz w:val="28"/>
          <w:szCs w:val="28"/>
          <w14:textFill>
            <w14:solidFill>
              <w14:schemeClr w14:val="tx1"/>
            </w14:solidFill>
          </w14:textFill>
        </w:rPr>
        <w:t>市公资交易中心</w:t>
      </w:r>
      <w:r>
        <w:rPr>
          <w:rFonts w:hint="eastAsia" w:ascii="宋体" w:hAnsi="宋体"/>
          <w:color w:val="000000" w:themeColor="text1"/>
          <w:sz w:val="28"/>
          <w:szCs w:val="28"/>
          <w14:textFill>
            <w14:solidFill>
              <w14:schemeClr w14:val="tx1"/>
            </w14:solidFill>
          </w14:textFill>
        </w:rPr>
        <w:t>应当组织2名以上的工作人员，在采购现场监督人员的监督之下，依据有关的法律制度和采购文件对评审结果进行复核，出具复核报告。</w:t>
      </w:r>
    </w:p>
    <w:p>
      <w:pPr>
        <w:tabs>
          <w:tab w:val="left" w:pos="851"/>
        </w:tabs>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评标结果汇总完成后，除下列情形外，任何人不得修改评标结果：</w:t>
      </w:r>
    </w:p>
    <w:p>
      <w:pPr>
        <w:pStyle w:val="85"/>
        <w:numPr>
          <w:ilvl w:val="0"/>
          <w:numId w:val="41"/>
        </w:numPr>
        <w:tabs>
          <w:tab w:val="left" w:pos="851"/>
          <w:tab w:val="left" w:pos="1276"/>
        </w:tabs>
        <w:spacing w:after="200" w:line="560" w:lineRule="exact"/>
        <w:ind w:left="0" w:firstLine="424"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分值汇总计算错误的；</w:t>
      </w:r>
    </w:p>
    <w:p>
      <w:pPr>
        <w:pStyle w:val="85"/>
        <w:numPr>
          <w:ilvl w:val="0"/>
          <w:numId w:val="41"/>
        </w:numPr>
        <w:tabs>
          <w:tab w:val="left" w:pos="851"/>
          <w:tab w:val="left" w:pos="1276"/>
        </w:tabs>
        <w:spacing w:after="200" w:line="560" w:lineRule="exact"/>
        <w:ind w:left="0" w:firstLine="424"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分项评分超出评分标准范围的；</w:t>
      </w:r>
    </w:p>
    <w:p>
      <w:pPr>
        <w:pStyle w:val="85"/>
        <w:numPr>
          <w:ilvl w:val="0"/>
          <w:numId w:val="41"/>
        </w:numPr>
        <w:tabs>
          <w:tab w:val="left" w:pos="851"/>
          <w:tab w:val="left" w:pos="1276"/>
          <w:tab w:val="left" w:pos="1418"/>
        </w:tabs>
        <w:spacing w:after="200" w:line="560" w:lineRule="exact"/>
        <w:ind w:left="0" w:firstLine="424"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评标委员会成员对客观评审因素评分不一致的；</w:t>
      </w:r>
    </w:p>
    <w:p>
      <w:pPr>
        <w:pStyle w:val="85"/>
        <w:numPr>
          <w:ilvl w:val="0"/>
          <w:numId w:val="41"/>
        </w:numPr>
        <w:tabs>
          <w:tab w:val="left" w:pos="851"/>
          <w:tab w:val="left" w:pos="1276"/>
        </w:tabs>
        <w:spacing w:after="200" w:line="560" w:lineRule="exact"/>
        <w:ind w:left="0" w:firstLine="426"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经评标委员会认定评分畸高、畸低的。</w:t>
      </w:r>
    </w:p>
    <w:p>
      <w:pPr>
        <w:tabs>
          <w:tab w:val="left" w:pos="851"/>
        </w:tabs>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pStyle w:val="5"/>
        <w:numPr>
          <w:ilvl w:val="2"/>
          <w:numId w:val="4"/>
        </w:numPr>
        <w:spacing w:after="200" w:line="560" w:lineRule="exact"/>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确定中标候选人名单</w:t>
      </w:r>
    </w:p>
    <w:p>
      <w:pPr>
        <w:tabs>
          <w:tab w:val="left" w:pos="851"/>
        </w:tabs>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按投标人综合得分从高到低进行排序，确定1至3名中标候选人。综合得分相同的，按投标报价由低到高顺序排列，得分且投标报价相同的并列。</w:t>
      </w:r>
      <w:r>
        <w:rPr>
          <w:rFonts w:hint="eastAsia" w:ascii="Helvetica" w:hAnsi="Helvetica" w:cs="Helvetica"/>
          <w:color w:val="000000" w:themeColor="text1"/>
          <w:kern w:val="0"/>
          <w:sz w:val="28"/>
          <w:szCs w:val="28"/>
          <w14:textFill>
            <w14:solidFill>
              <w14:schemeClr w14:val="tx1"/>
            </w14:solidFill>
          </w14:textFill>
        </w:rPr>
        <w:t>投标文件满足招标文件全部实质性要求，且按照评审因素的量化指标评审得分最高的投标人为排名第一的中标候选人。</w:t>
      </w:r>
    </w:p>
    <w:p>
      <w:pPr>
        <w:pStyle w:val="5"/>
        <w:numPr>
          <w:ilvl w:val="2"/>
          <w:numId w:val="4"/>
        </w:numPr>
        <w:spacing w:after="200" w:line="560" w:lineRule="exact"/>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编写评标报告</w:t>
      </w:r>
      <w:bookmarkEnd w:id="304"/>
      <w:bookmarkEnd w:id="305"/>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评标报告是评标委员会根据全体评标成员签字的原始评标记录和评标结果编写的报告，其主要内容包括：</w:t>
      </w:r>
    </w:p>
    <w:p>
      <w:pPr>
        <w:numPr>
          <w:ilvl w:val="0"/>
          <w:numId w:val="42"/>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招标公告刊登的媒体名称、开标日期和地点；</w:t>
      </w:r>
    </w:p>
    <w:p>
      <w:pPr>
        <w:numPr>
          <w:ilvl w:val="0"/>
          <w:numId w:val="42"/>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投标人名单和评标委员会成员名单；</w:t>
      </w:r>
    </w:p>
    <w:p>
      <w:pPr>
        <w:numPr>
          <w:ilvl w:val="0"/>
          <w:numId w:val="42"/>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评标方法和标准；</w:t>
      </w:r>
    </w:p>
    <w:p>
      <w:pPr>
        <w:numPr>
          <w:ilvl w:val="0"/>
          <w:numId w:val="42"/>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开标记录和评标情况及说明，包括投标无效投标人名单及原因；</w:t>
      </w:r>
    </w:p>
    <w:p>
      <w:pPr>
        <w:numPr>
          <w:ilvl w:val="0"/>
          <w:numId w:val="42"/>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评标结果，确定的中标候选人名单或者经采购人委托直接确定的中标人；</w:t>
      </w:r>
    </w:p>
    <w:p>
      <w:pPr>
        <w:numPr>
          <w:ilvl w:val="0"/>
          <w:numId w:val="42"/>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其他需要说明的情况，包括评标过程中投标人根据评标委员会要求进行的澄清、说明或者补正，评标委员会成员的更换等； </w:t>
      </w:r>
    </w:p>
    <w:p>
      <w:pPr>
        <w:numPr>
          <w:ilvl w:val="0"/>
          <w:numId w:val="42"/>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报价最高的投标人为中标候选人的，评标委员会应当对其报价的合理性予以特别说明。</w:t>
      </w:r>
    </w:p>
    <w:p>
      <w:pPr>
        <w:tabs>
          <w:tab w:val="left" w:pos="1155"/>
        </w:tabs>
        <w:spacing w:line="560" w:lineRule="exact"/>
        <w:ind w:firstLine="523" w:firstLineChars="18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numPr>
          <w:ilvl w:val="1"/>
          <w:numId w:val="4"/>
        </w:numPr>
        <w:spacing w:line="560" w:lineRule="exact"/>
        <w:ind w:left="2269" w:hanging="2269"/>
        <w:rPr>
          <w:color w:val="000000" w:themeColor="text1"/>
          <w14:textFill>
            <w14:solidFill>
              <w14:schemeClr w14:val="tx1"/>
            </w14:solidFill>
          </w14:textFill>
        </w:rPr>
      </w:pPr>
      <w:bookmarkStart w:id="306" w:name="_Toc479753445"/>
      <w:bookmarkStart w:id="307" w:name="_Toc27797"/>
      <w:bookmarkStart w:id="308" w:name="_Toc65573708"/>
      <w:bookmarkStart w:id="309" w:name="_Toc30340"/>
      <w:bookmarkStart w:id="310" w:name="_Toc11482"/>
      <w:bookmarkStart w:id="311" w:name="_Toc7609"/>
      <w:bookmarkStart w:id="312" w:name="_Toc316292256"/>
      <w:bookmarkStart w:id="313" w:name="_Toc315871654"/>
      <w:bookmarkStart w:id="314" w:name="_Toc217446103"/>
      <w:r>
        <w:rPr>
          <w:rFonts w:hint="eastAsia"/>
          <w:color w:val="000000" w:themeColor="text1"/>
          <w14:textFill>
            <w14:solidFill>
              <w14:schemeClr w14:val="tx1"/>
            </w14:solidFill>
          </w14:textFill>
        </w:rPr>
        <w:t>评标争议处理规则</w:t>
      </w:r>
      <w:bookmarkEnd w:id="306"/>
      <w:bookmarkEnd w:id="307"/>
      <w:bookmarkEnd w:id="308"/>
      <w:bookmarkEnd w:id="309"/>
      <w:bookmarkEnd w:id="310"/>
      <w:bookmarkEnd w:id="311"/>
    </w:p>
    <w:p>
      <w:pPr>
        <w:tabs>
          <w:tab w:val="left" w:pos="1155"/>
        </w:tabs>
        <w:spacing w:line="560" w:lineRule="exact"/>
        <w:ind w:firstLine="523" w:firstLineChars="18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color w:val="000000" w:themeColor="text1"/>
          <w:sz w:val="28"/>
          <w:szCs w:val="28"/>
          <w14:textFill>
            <w14:solidFill>
              <w14:schemeClr w14:val="tx1"/>
            </w14:solidFill>
          </w14:textFill>
        </w:rPr>
        <w:t>持不同意见的评标委员会成员应当在评标报告上签署不同意见及理由，否则视为同意评标报告。</w:t>
      </w:r>
      <w:r>
        <w:rPr>
          <w:rFonts w:hint="eastAsia" w:ascii="宋体" w:hAnsi="宋体"/>
          <w:color w:val="000000" w:themeColor="text1"/>
          <w:sz w:val="28"/>
          <w:szCs w:val="28"/>
          <w14:textFill>
            <w14:solidFill>
              <w14:schemeClr w14:val="tx1"/>
            </w14:solidFill>
          </w14:textFill>
        </w:rPr>
        <w:t>持不同意见的评标委员会成员认为认定过程和结果不符合法律法规或者招标文件规定的，应当及时向采购人或</w:t>
      </w:r>
      <w:r>
        <w:rPr>
          <w:rFonts w:hint="eastAsia" w:cs="Arial"/>
          <w:color w:val="000000" w:themeColor="text1"/>
          <w:sz w:val="28"/>
          <w:szCs w:val="28"/>
          <w14:textFill>
            <w14:solidFill>
              <w14:schemeClr w14:val="tx1"/>
            </w14:solidFill>
          </w14:textFill>
        </w:rPr>
        <w:t>市公资交易中心</w:t>
      </w:r>
      <w:r>
        <w:rPr>
          <w:rFonts w:hint="eastAsia" w:ascii="宋体" w:hAnsi="宋体"/>
          <w:color w:val="000000" w:themeColor="text1"/>
          <w:sz w:val="28"/>
          <w:szCs w:val="28"/>
          <w14:textFill>
            <w14:solidFill>
              <w14:schemeClr w14:val="tx1"/>
            </w14:solidFill>
          </w14:textFill>
        </w:rPr>
        <w:t>书面反映。采购人或</w:t>
      </w:r>
      <w:r>
        <w:rPr>
          <w:rFonts w:hint="eastAsia" w:cs="Arial"/>
          <w:color w:val="000000" w:themeColor="text1"/>
          <w:sz w:val="28"/>
          <w:szCs w:val="28"/>
          <w14:textFill>
            <w14:solidFill>
              <w14:schemeClr w14:val="tx1"/>
            </w14:solidFill>
          </w14:textFill>
        </w:rPr>
        <w:t>市公资交易中心</w:t>
      </w:r>
      <w:r>
        <w:rPr>
          <w:rFonts w:hint="eastAsia" w:ascii="宋体" w:hAnsi="宋体"/>
          <w:color w:val="000000" w:themeColor="text1"/>
          <w:sz w:val="28"/>
          <w:szCs w:val="28"/>
          <w14:textFill>
            <w14:solidFill>
              <w14:schemeClr w14:val="tx1"/>
            </w14:solidFill>
          </w14:textFill>
        </w:rPr>
        <w:t>收到书面反映后，应当书面报告采购项目同级财政部门依法处理。</w:t>
      </w:r>
    </w:p>
    <w:p>
      <w:pPr>
        <w:pStyle w:val="4"/>
        <w:numPr>
          <w:ilvl w:val="1"/>
          <w:numId w:val="4"/>
        </w:numPr>
        <w:spacing w:before="0" w:after="0" w:line="560" w:lineRule="exact"/>
        <w:ind w:left="2269" w:hanging="2269"/>
        <w:rPr>
          <w:color w:val="000000" w:themeColor="text1"/>
          <w14:textFill>
            <w14:solidFill>
              <w14:schemeClr w14:val="tx1"/>
            </w14:solidFill>
          </w14:textFill>
        </w:rPr>
      </w:pPr>
      <w:bookmarkStart w:id="315" w:name="_Toc18642"/>
      <w:bookmarkStart w:id="316" w:name="_Toc23552"/>
      <w:bookmarkStart w:id="317" w:name="_Toc6600"/>
      <w:bookmarkStart w:id="318" w:name="_Toc25222"/>
      <w:bookmarkStart w:id="319" w:name="_Toc65573709"/>
      <w:r>
        <w:rPr>
          <w:rFonts w:hint="eastAsia"/>
          <w:color w:val="000000" w:themeColor="text1"/>
          <w14:textFill>
            <w14:solidFill>
              <w14:schemeClr w14:val="tx1"/>
            </w14:solidFill>
          </w14:textFill>
        </w:rPr>
        <w:t>评标细则及标准</w:t>
      </w:r>
      <w:bookmarkEnd w:id="312"/>
      <w:bookmarkEnd w:id="313"/>
      <w:bookmarkEnd w:id="314"/>
      <w:bookmarkEnd w:id="315"/>
      <w:bookmarkEnd w:id="316"/>
      <w:bookmarkEnd w:id="317"/>
      <w:bookmarkEnd w:id="318"/>
      <w:bookmarkEnd w:id="319"/>
    </w:p>
    <w:p>
      <w:pPr>
        <w:numPr>
          <w:ilvl w:val="0"/>
          <w:numId w:val="43"/>
        </w:numPr>
        <w:tabs>
          <w:tab w:val="left" w:pos="1155"/>
        </w:tabs>
        <w:spacing w:after="200"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评标委员会只对通过初审的投标文件，根据招标文件的要求采用相同的评标程序、评分办法及标准进行评价和比较。</w:t>
      </w:r>
    </w:p>
    <w:p>
      <w:pPr>
        <w:numPr>
          <w:ilvl w:val="0"/>
          <w:numId w:val="43"/>
        </w:numPr>
        <w:tabs>
          <w:tab w:val="left" w:pos="1155"/>
        </w:tabs>
        <w:spacing w:after="200"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本次综合评分的因素是：价格、服务、商务等。</w:t>
      </w:r>
    </w:p>
    <w:p>
      <w:pPr>
        <w:numPr>
          <w:ilvl w:val="0"/>
          <w:numId w:val="43"/>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bookmarkStart w:id="320" w:name="_Toc217102344"/>
      <w:bookmarkStart w:id="321" w:name="_Toc310176995"/>
      <w:bookmarkStart w:id="322" w:name="_Toc218498587"/>
      <w:r>
        <w:rPr>
          <w:rFonts w:hint="eastAsia" w:ascii="宋体" w:hAnsi="宋体"/>
          <w:color w:val="000000" w:themeColor="text1"/>
          <w:sz w:val="28"/>
          <w:szCs w:val="28"/>
          <w14:textFill>
            <w14:solidFill>
              <w14:schemeClr w14:val="tx1"/>
            </w14:solidFill>
          </w14:textFill>
        </w:rPr>
        <w:t>评标委员会成员应依据招标文件规定的评分标准和方法独立打分。</w:t>
      </w:r>
    </w:p>
    <w:p>
      <w:pPr>
        <w:pStyle w:val="5"/>
        <w:numPr>
          <w:ilvl w:val="2"/>
          <w:numId w:val="4"/>
        </w:numPr>
        <w:spacing w:after="200" w:line="560" w:lineRule="exact"/>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评分办法</w:t>
      </w:r>
      <w:bookmarkEnd w:id="320"/>
      <w:bookmarkEnd w:id="321"/>
      <w:bookmarkEnd w:id="322"/>
    </w:p>
    <w:p>
      <w:pPr>
        <w:spacing w:line="560" w:lineRule="exact"/>
        <w:ind w:firstLine="630" w:firstLineChars="2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本次评标采用综合评分法，由评标委员会各成员独立对通过初审（资格检查和符合性检查）的投标人的投标文件进行评审和打分，    </w:t>
      </w:r>
    </w:p>
    <w:p>
      <w:pPr>
        <w:spacing w:line="560" w:lineRule="exact"/>
        <w:ind w:firstLine="630" w:firstLineChars="2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评标得分＝（A</w:t>
      </w:r>
      <w:r>
        <w:rPr>
          <w:rFonts w:hint="eastAsia" w:ascii="宋体" w:hAnsi="宋体"/>
          <w:color w:val="000000" w:themeColor="text1"/>
          <w:sz w:val="28"/>
          <w:szCs w:val="28"/>
          <w:vertAlign w:val="subscript"/>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＋A</w:t>
      </w:r>
      <w:r>
        <w:rPr>
          <w:rFonts w:hint="eastAsia" w:ascii="宋体" w:hAnsi="宋体"/>
          <w:color w:val="000000" w:themeColor="text1"/>
          <w:sz w:val="28"/>
          <w:szCs w:val="28"/>
          <w:vertAlign w:val="sub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＋……＋A</w:t>
      </w:r>
      <w:r>
        <w:rPr>
          <w:rFonts w:hint="eastAsia" w:ascii="宋体" w:hAnsi="宋体"/>
          <w:color w:val="000000" w:themeColor="text1"/>
          <w:sz w:val="28"/>
          <w:szCs w:val="28"/>
          <w:vertAlign w:val="subscript"/>
          <w14:textFill>
            <w14:solidFill>
              <w14:schemeClr w14:val="tx1"/>
            </w14:solidFill>
          </w14:textFill>
        </w:rPr>
        <w:t>n</w:t>
      </w:r>
      <w:r>
        <w:rPr>
          <w:rFonts w:hint="eastAsia" w:ascii="宋体" w:hAnsi="宋体"/>
          <w:color w:val="000000" w:themeColor="text1"/>
          <w:sz w:val="28"/>
          <w:szCs w:val="28"/>
          <w14:textFill>
            <w14:solidFill>
              <w14:schemeClr w14:val="tx1"/>
            </w14:solidFill>
          </w14:textFill>
        </w:rPr>
        <w:t>）/n</w:t>
      </w:r>
      <w:r>
        <w:rPr>
          <w:rFonts w:hint="eastAsia" w:ascii="宋体" w:hAnsi="宋体"/>
          <w:color w:val="000000" w:themeColor="text1"/>
          <w:sz w:val="28"/>
          <w:szCs w:val="28"/>
          <w:vertAlign w:val="subscript"/>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+（B</w:t>
      </w:r>
      <w:r>
        <w:rPr>
          <w:rFonts w:hint="eastAsia" w:ascii="宋体" w:hAnsi="宋体"/>
          <w:color w:val="000000" w:themeColor="text1"/>
          <w:sz w:val="28"/>
          <w:szCs w:val="28"/>
          <w:vertAlign w:val="subscript"/>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＋B</w:t>
      </w:r>
      <w:r>
        <w:rPr>
          <w:rFonts w:hint="eastAsia" w:ascii="宋体" w:hAnsi="宋体"/>
          <w:color w:val="000000" w:themeColor="text1"/>
          <w:sz w:val="28"/>
          <w:szCs w:val="28"/>
          <w:vertAlign w:val="sub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＋……＋B</w:t>
      </w:r>
      <w:r>
        <w:rPr>
          <w:rFonts w:hint="eastAsia" w:ascii="宋体" w:hAnsi="宋体"/>
          <w:color w:val="000000" w:themeColor="text1"/>
          <w:sz w:val="28"/>
          <w:szCs w:val="28"/>
          <w:vertAlign w:val="subscript"/>
          <w14:textFill>
            <w14:solidFill>
              <w14:schemeClr w14:val="tx1"/>
            </w14:solidFill>
          </w14:textFill>
        </w:rPr>
        <w:t>n</w:t>
      </w:r>
      <w:r>
        <w:rPr>
          <w:rFonts w:hint="eastAsia" w:ascii="宋体" w:hAnsi="宋体"/>
          <w:color w:val="000000" w:themeColor="text1"/>
          <w:sz w:val="28"/>
          <w:szCs w:val="28"/>
          <w14:textFill>
            <w14:solidFill>
              <w14:schemeClr w14:val="tx1"/>
            </w14:solidFill>
          </w14:textFill>
        </w:rPr>
        <w:t>）/ n</w:t>
      </w:r>
      <w:r>
        <w:rPr>
          <w:rFonts w:hint="eastAsia" w:ascii="宋体" w:hAnsi="宋体"/>
          <w:color w:val="000000" w:themeColor="text1"/>
          <w:sz w:val="28"/>
          <w:szCs w:val="28"/>
          <w:vertAlign w:val="sub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+（C</w:t>
      </w:r>
      <w:r>
        <w:rPr>
          <w:rFonts w:hint="eastAsia" w:ascii="宋体" w:hAnsi="宋体"/>
          <w:color w:val="000000" w:themeColor="text1"/>
          <w:sz w:val="28"/>
          <w:szCs w:val="28"/>
          <w:vertAlign w:val="subscript"/>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＋C</w:t>
      </w:r>
      <w:r>
        <w:rPr>
          <w:rFonts w:hint="eastAsia" w:ascii="宋体" w:hAnsi="宋体"/>
          <w:color w:val="000000" w:themeColor="text1"/>
          <w:sz w:val="28"/>
          <w:szCs w:val="28"/>
          <w:vertAlign w:val="sub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＋……＋C</w:t>
      </w:r>
      <w:r>
        <w:rPr>
          <w:rFonts w:hint="eastAsia" w:ascii="宋体" w:hAnsi="宋体"/>
          <w:color w:val="000000" w:themeColor="text1"/>
          <w:sz w:val="28"/>
          <w:szCs w:val="28"/>
          <w:vertAlign w:val="subscript"/>
          <w14:textFill>
            <w14:solidFill>
              <w14:schemeClr w14:val="tx1"/>
            </w14:solidFill>
          </w14:textFill>
        </w:rPr>
        <w:t>n</w:t>
      </w:r>
      <w:r>
        <w:rPr>
          <w:rFonts w:hint="eastAsia" w:ascii="宋体" w:hAnsi="宋体"/>
          <w:color w:val="000000" w:themeColor="text1"/>
          <w:sz w:val="28"/>
          <w:szCs w:val="28"/>
          <w14:textFill>
            <w14:solidFill>
              <w14:schemeClr w14:val="tx1"/>
            </w14:solidFill>
          </w14:textFill>
        </w:rPr>
        <w:t>）/ n</w:t>
      </w:r>
      <w:r>
        <w:rPr>
          <w:rFonts w:hint="eastAsia" w:ascii="宋体" w:hAnsi="宋体"/>
          <w:color w:val="000000" w:themeColor="text1"/>
          <w:sz w:val="28"/>
          <w:szCs w:val="28"/>
          <w:vertAlign w:val="subscript"/>
          <w14:textFill>
            <w14:solidFill>
              <w14:schemeClr w14:val="tx1"/>
            </w14:solidFill>
          </w14:textFill>
        </w:rPr>
        <w:t>3</w:t>
      </w:r>
    </w:p>
    <w:p>
      <w:pPr>
        <w:widowControl/>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w:t>
      </w:r>
      <w:r>
        <w:rPr>
          <w:rFonts w:hint="eastAsia" w:ascii="宋体" w:hAnsi="宋体"/>
          <w:color w:val="000000" w:themeColor="text1"/>
          <w:sz w:val="28"/>
          <w:szCs w:val="28"/>
          <w:vertAlign w:val="subscript"/>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、A</w:t>
      </w:r>
      <w:r>
        <w:rPr>
          <w:rFonts w:hint="eastAsia" w:ascii="宋体" w:hAnsi="宋体"/>
          <w:color w:val="000000" w:themeColor="text1"/>
          <w:sz w:val="28"/>
          <w:szCs w:val="28"/>
          <w:vertAlign w:val="sub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……A</w:t>
      </w:r>
      <w:r>
        <w:rPr>
          <w:rFonts w:hint="eastAsia" w:ascii="宋体" w:hAnsi="宋体"/>
          <w:color w:val="000000" w:themeColor="text1"/>
          <w:sz w:val="28"/>
          <w:szCs w:val="28"/>
          <w:vertAlign w:val="subscript"/>
          <w14:textFill>
            <w14:solidFill>
              <w14:schemeClr w14:val="tx1"/>
            </w14:solidFill>
          </w14:textFill>
        </w:rPr>
        <w:t>n</w:t>
      </w:r>
      <w:r>
        <w:rPr>
          <w:rFonts w:hint="eastAsia" w:ascii="宋体" w:hAnsi="宋体"/>
          <w:color w:val="000000" w:themeColor="text1"/>
          <w:sz w:val="28"/>
          <w:szCs w:val="28"/>
          <w14:textFill>
            <w14:solidFill>
              <w14:schemeClr w14:val="tx1"/>
            </w14:solidFill>
          </w14:textFill>
        </w:rPr>
        <w:t>分别为每个</w:t>
      </w:r>
      <w:r>
        <w:rPr>
          <w:rFonts w:hint="eastAsia" w:ascii="宋体" w:hAnsi="宋体" w:cs="宋体"/>
          <w:color w:val="000000" w:themeColor="text1"/>
          <w:kern w:val="0"/>
          <w:sz w:val="28"/>
          <w:szCs w:val="28"/>
          <w14:textFill>
            <w14:solidFill>
              <w14:schemeClr w14:val="tx1"/>
            </w14:solidFill>
          </w14:textFill>
        </w:rPr>
        <w:t>经济类</w:t>
      </w:r>
      <w:r>
        <w:rPr>
          <w:rFonts w:hint="eastAsia" w:ascii="宋体" w:hAnsi="宋体"/>
          <w:color w:val="000000" w:themeColor="text1"/>
          <w:sz w:val="28"/>
          <w:szCs w:val="28"/>
          <w14:textFill>
            <w14:solidFill>
              <w14:schemeClr w14:val="tx1"/>
            </w14:solidFill>
          </w14:textFill>
        </w:rPr>
        <w:t>评委的打分，n</w:t>
      </w:r>
      <w:r>
        <w:rPr>
          <w:rFonts w:hint="eastAsia" w:ascii="宋体" w:hAnsi="宋体"/>
          <w:color w:val="000000" w:themeColor="text1"/>
          <w:sz w:val="28"/>
          <w:szCs w:val="28"/>
          <w:vertAlign w:val="subscript"/>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为</w:t>
      </w:r>
      <w:r>
        <w:rPr>
          <w:rFonts w:hint="eastAsia" w:ascii="宋体" w:hAnsi="宋体" w:cs="宋体"/>
          <w:color w:val="000000" w:themeColor="text1"/>
          <w:kern w:val="0"/>
          <w:sz w:val="28"/>
          <w:szCs w:val="28"/>
          <w14:textFill>
            <w14:solidFill>
              <w14:schemeClr w14:val="tx1"/>
            </w14:solidFill>
          </w14:textFill>
        </w:rPr>
        <w:t>经济类</w:t>
      </w:r>
      <w:r>
        <w:rPr>
          <w:rFonts w:hint="eastAsia" w:ascii="宋体" w:hAnsi="宋体"/>
          <w:color w:val="000000" w:themeColor="text1"/>
          <w:sz w:val="28"/>
          <w:szCs w:val="28"/>
          <w14:textFill>
            <w14:solidFill>
              <w14:schemeClr w14:val="tx1"/>
            </w14:solidFill>
          </w14:textFill>
        </w:rPr>
        <w:t>评委人数；B</w:t>
      </w:r>
      <w:r>
        <w:rPr>
          <w:rFonts w:hint="eastAsia" w:ascii="宋体" w:hAnsi="宋体"/>
          <w:color w:val="000000" w:themeColor="text1"/>
          <w:sz w:val="28"/>
          <w:szCs w:val="28"/>
          <w:vertAlign w:val="subscript"/>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、B</w:t>
      </w:r>
      <w:r>
        <w:rPr>
          <w:rFonts w:hint="eastAsia" w:ascii="宋体" w:hAnsi="宋体"/>
          <w:color w:val="000000" w:themeColor="text1"/>
          <w:sz w:val="28"/>
          <w:szCs w:val="28"/>
          <w:vertAlign w:val="sub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＋……B</w:t>
      </w:r>
      <w:r>
        <w:rPr>
          <w:rFonts w:hint="eastAsia" w:ascii="宋体" w:hAnsi="宋体"/>
          <w:color w:val="000000" w:themeColor="text1"/>
          <w:sz w:val="28"/>
          <w:szCs w:val="28"/>
          <w:vertAlign w:val="subscript"/>
          <w14:textFill>
            <w14:solidFill>
              <w14:schemeClr w14:val="tx1"/>
            </w14:solidFill>
          </w14:textFill>
        </w:rPr>
        <w:t>n</w:t>
      </w:r>
      <w:r>
        <w:rPr>
          <w:rFonts w:hint="eastAsia" w:ascii="宋体" w:hAnsi="宋体"/>
          <w:color w:val="000000" w:themeColor="text1"/>
          <w:sz w:val="28"/>
          <w:szCs w:val="28"/>
          <w14:textFill>
            <w14:solidFill>
              <w14:schemeClr w14:val="tx1"/>
            </w14:solidFill>
          </w14:textFill>
        </w:rPr>
        <w:t xml:space="preserve"> 分别为每个技术类评委（含采购人代表）的打分，n</w:t>
      </w:r>
      <w:r>
        <w:rPr>
          <w:rFonts w:hint="eastAsia" w:ascii="宋体" w:hAnsi="宋体"/>
          <w:color w:val="000000" w:themeColor="text1"/>
          <w:sz w:val="28"/>
          <w:szCs w:val="28"/>
          <w:vertAlign w:val="sub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为</w:t>
      </w:r>
      <w:r>
        <w:rPr>
          <w:rFonts w:hint="eastAsia" w:ascii="宋体" w:hAnsi="宋体" w:cs="宋体"/>
          <w:color w:val="000000" w:themeColor="text1"/>
          <w:kern w:val="0"/>
          <w:sz w:val="28"/>
          <w:szCs w:val="28"/>
          <w14:textFill>
            <w14:solidFill>
              <w14:schemeClr w14:val="tx1"/>
            </w14:solidFill>
          </w14:textFill>
        </w:rPr>
        <w:t>技术类</w:t>
      </w:r>
      <w:r>
        <w:rPr>
          <w:rFonts w:hint="eastAsia" w:ascii="宋体" w:hAnsi="宋体"/>
          <w:color w:val="000000" w:themeColor="text1"/>
          <w:sz w:val="28"/>
          <w:szCs w:val="28"/>
          <w14:textFill>
            <w14:solidFill>
              <w14:schemeClr w14:val="tx1"/>
            </w14:solidFill>
          </w14:textFill>
        </w:rPr>
        <w:t>评委（含采购人代表）人数；C</w:t>
      </w:r>
      <w:r>
        <w:rPr>
          <w:rFonts w:hint="eastAsia" w:ascii="宋体" w:hAnsi="宋体"/>
          <w:color w:val="000000" w:themeColor="text1"/>
          <w:sz w:val="28"/>
          <w:szCs w:val="28"/>
          <w:vertAlign w:val="subscript"/>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、C</w:t>
      </w:r>
      <w:r>
        <w:rPr>
          <w:rFonts w:hint="eastAsia" w:ascii="宋体" w:hAnsi="宋体"/>
          <w:color w:val="000000" w:themeColor="text1"/>
          <w:sz w:val="28"/>
          <w:szCs w:val="28"/>
          <w:vertAlign w:val="sub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……C</w:t>
      </w:r>
      <w:r>
        <w:rPr>
          <w:rFonts w:hint="eastAsia" w:ascii="宋体" w:hAnsi="宋体"/>
          <w:color w:val="000000" w:themeColor="text1"/>
          <w:sz w:val="28"/>
          <w:szCs w:val="28"/>
          <w:vertAlign w:val="subscript"/>
          <w14:textFill>
            <w14:solidFill>
              <w14:schemeClr w14:val="tx1"/>
            </w14:solidFill>
          </w14:textFill>
        </w:rPr>
        <w:t>n</w:t>
      </w:r>
      <w:r>
        <w:rPr>
          <w:rFonts w:hint="eastAsia" w:ascii="宋体" w:hAnsi="宋体"/>
          <w:color w:val="000000" w:themeColor="text1"/>
          <w:sz w:val="28"/>
          <w:szCs w:val="28"/>
          <w14:textFill>
            <w14:solidFill>
              <w14:schemeClr w14:val="tx1"/>
            </w14:solidFill>
          </w14:textFill>
        </w:rPr>
        <w:t xml:space="preserve"> 分别为评审委员会每个成员的打分，n</w:t>
      </w:r>
      <w:r>
        <w:rPr>
          <w:rFonts w:hint="eastAsia" w:ascii="宋体" w:hAnsi="宋体"/>
          <w:color w:val="000000" w:themeColor="text1"/>
          <w:sz w:val="28"/>
          <w:szCs w:val="28"/>
          <w:vertAlign w:val="subscript"/>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为评委人数。</w:t>
      </w:r>
    </w:p>
    <w:p>
      <w:pPr>
        <w:pStyle w:val="5"/>
        <w:numPr>
          <w:ilvl w:val="2"/>
          <w:numId w:val="4"/>
        </w:numPr>
        <w:spacing w:after="200"/>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评分标准</w:t>
      </w:r>
    </w:p>
    <w:tbl>
      <w:tblPr>
        <w:tblStyle w:val="4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1575"/>
        <w:gridCol w:w="538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blHeader/>
        </w:trPr>
        <w:tc>
          <w:tcPr>
            <w:tcW w:w="648" w:type="dxa"/>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2295"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评审项目</w:t>
            </w:r>
          </w:p>
        </w:tc>
        <w:tc>
          <w:tcPr>
            <w:tcW w:w="5387" w:type="dxa"/>
            <w:vAlign w:val="center"/>
          </w:tcPr>
          <w:p>
            <w:pPr>
              <w:widowControl/>
              <w:jc w:val="center"/>
              <w:rPr>
                <w:rFonts w:ascii="宋体" w:hAnsi="宋体" w:cs="宋体"/>
                <w:b/>
                <w:bCs/>
                <w:kern w:val="0"/>
                <w:szCs w:val="21"/>
              </w:rPr>
            </w:pPr>
            <w:r>
              <w:rPr>
                <w:rFonts w:hint="eastAsia" w:ascii="宋体" w:hAnsi="宋体" w:cs="宋体"/>
                <w:b/>
                <w:bCs/>
                <w:kern w:val="0"/>
                <w:szCs w:val="21"/>
              </w:rPr>
              <w:t>评分标准</w:t>
            </w:r>
          </w:p>
        </w:tc>
        <w:tc>
          <w:tcPr>
            <w:tcW w:w="1134" w:type="dxa"/>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4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295" w:type="dxa"/>
            <w:gridSpan w:val="2"/>
            <w:vAlign w:val="center"/>
          </w:tcPr>
          <w:p>
            <w:pPr>
              <w:widowControl/>
              <w:jc w:val="center"/>
              <w:rPr>
                <w:rFonts w:ascii="宋体" w:hAnsi="宋体" w:cs="宋体"/>
                <w:kern w:val="0"/>
                <w:szCs w:val="21"/>
              </w:rPr>
            </w:pPr>
            <w:r>
              <w:rPr>
                <w:rFonts w:hint="eastAsia" w:ascii="宋体" w:hAnsi="宋体" w:cs="宋体"/>
                <w:bCs/>
                <w:szCs w:val="21"/>
              </w:rPr>
              <w:t>报价</w:t>
            </w:r>
          </w:p>
        </w:tc>
        <w:tc>
          <w:tcPr>
            <w:tcW w:w="5387" w:type="dxa"/>
            <w:vAlign w:val="center"/>
          </w:tcPr>
          <w:p>
            <w:pPr>
              <w:widowControl/>
              <w:numPr>
                <w:ilvl w:val="0"/>
                <w:numId w:val="44"/>
              </w:numPr>
              <w:jc w:val="left"/>
              <w:rPr>
                <w:rFonts w:hint="eastAsia" w:ascii="宋体" w:hAnsi="宋体"/>
                <w:szCs w:val="21"/>
                <w:lang w:val="en-US" w:eastAsia="zh-CN"/>
              </w:rPr>
            </w:pPr>
            <w:r>
              <w:rPr>
                <w:rFonts w:hint="eastAsia" w:ascii="宋体" w:hAnsi="宋体"/>
                <w:szCs w:val="21"/>
              </w:rPr>
              <w:t>以本次有效的最低投标报价为基准价，投标报价得分</w:t>
            </w:r>
            <w:r>
              <w:rPr>
                <w:rFonts w:ascii="宋体" w:hAnsi="宋体"/>
                <w:szCs w:val="21"/>
              </w:rPr>
              <w:t>=(基准价／投标报价)</w:t>
            </w:r>
            <w:r>
              <w:rPr>
                <w:rFonts w:hint="eastAsia" w:ascii="宋体" w:hAnsi="宋体"/>
                <w:szCs w:val="21"/>
              </w:rPr>
              <w:t xml:space="preserve">* </w:t>
            </w:r>
            <w:r>
              <w:rPr>
                <w:rFonts w:hint="eastAsia" w:ascii="宋体" w:hAnsi="宋体"/>
                <w:color w:val="FF0000"/>
                <w:szCs w:val="21"/>
                <w:lang w:val="en-US" w:eastAsia="zh-CN"/>
              </w:rPr>
              <w:t>10</w:t>
            </w:r>
          </w:p>
          <w:p>
            <w:pPr>
              <w:widowControl/>
              <w:jc w:val="left"/>
              <w:rPr>
                <w:rFonts w:ascii="宋体" w:hAnsi="宋体"/>
                <w:szCs w:val="21"/>
              </w:rPr>
            </w:pPr>
            <w:r>
              <w:rPr>
                <w:rFonts w:hint="eastAsia" w:ascii="宋体" w:hAnsi="宋体" w:cs="Times New Roman"/>
                <w:szCs w:val="21"/>
              </w:rPr>
              <w:t>四舍五入，保留小数点后两位。</w:t>
            </w:r>
          </w:p>
        </w:tc>
        <w:tc>
          <w:tcPr>
            <w:tcW w:w="1134" w:type="dxa"/>
            <w:vAlign w:val="center"/>
          </w:tcPr>
          <w:p>
            <w:pPr>
              <w:jc w:val="center"/>
              <w:rPr>
                <w:rFonts w:ascii="宋体" w:hAnsi="宋体"/>
                <w:szCs w:val="21"/>
              </w:rPr>
            </w:pPr>
            <w:r>
              <w:rPr>
                <w:rFonts w:hint="eastAsia" w:ascii="宋体" w:hAnsi="宋体" w:cs="宋体"/>
                <w:color w:val="FF0000"/>
                <w:szCs w:val="21"/>
                <w:lang w:val="en-US" w:eastAsia="zh-CN"/>
              </w:rPr>
              <w:t>10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648" w:type="dxa"/>
            <w:vMerge w:val="restart"/>
            <w:vAlign w:val="center"/>
          </w:tcPr>
          <w:p>
            <w:pPr>
              <w:jc w:val="center"/>
              <w:rPr>
                <w:rFonts w:ascii="宋体" w:hAnsi="宋体" w:cs="宋体"/>
                <w:kern w:val="0"/>
                <w:szCs w:val="21"/>
              </w:rPr>
            </w:pPr>
            <w:r>
              <w:rPr>
                <w:rFonts w:hint="eastAsia" w:ascii="宋体" w:hAnsi="宋体" w:cs="宋体"/>
                <w:kern w:val="0"/>
                <w:szCs w:val="21"/>
              </w:rPr>
              <w:t>2</w:t>
            </w:r>
          </w:p>
        </w:tc>
        <w:tc>
          <w:tcPr>
            <w:tcW w:w="720" w:type="dxa"/>
            <w:vMerge w:val="restart"/>
            <w:vAlign w:val="center"/>
          </w:tcPr>
          <w:p>
            <w:pPr>
              <w:widowControl/>
              <w:jc w:val="center"/>
              <w:rPr>
                <w:rFonts w:ascii="宋体" w:hAnsi="宋体" w:cs="宋体"/>
                <w:bCs/>
                <w:szCs w:val="21"/>
              </w:rPr>
            </w:pPr>
            <w:r>
              <w:rPr>
                <w:rFonts w:hint="eastAsia" w:ascii="宋体" w:hAnsi="宋体" w:cs="宋体"/>
                <w:bCs/>
                <w:szCs w:val="21"/>
              </w:rPr>
              <w:t>技术或者服务水平</w:t>
            </w:r>
          </w:p>
        </w:tc>
        <w:tc>
          <w:tcPr>
            <w:tcW w:w="1575" w:type="dxa"/>
            <w:vAlign w:val="center"/>
          </w:tcPr>
          <w:p>
            <w:pPr>
              <w:jc w:val="center"/>
              <w:rPr>
                <w:rFonts w:ascii="宋体" w:hAnsi="宋体"/>
                <w:szCs w:val="21"/>
              </w:rPr>
            </w:pPr>
            <w:r>
              <w:rPr>
                <w:rFonts w:hint="eastAsia" w:ascii="宋体" w:hAnsi="宋体"/>
                <w:szCs w:val="21"/>
              </w:rPr>
              <w:t>（1）物业管理服务整体实施方案</w:t>
            </w:r>
          </w:p>
        </w:tc>
        <w:tc>
          <w:tcPr>
            <w:tcW w:w="5387" w:type="dxa"/>
            <w:vAlign w:val="center"/>
          </w:tcPr>
          <w:p>
            <w:pPr>
              <w:ind w:right="42" w:rightChars="20"/>
              <w:jc w:val="left"/>
              <w:rPr>
                <w:rFonts w:ascii="宋体"/>
                <w:szCs w:val="21"/>
              </w:rPr>
            </w:pPr>
            <w:r>
              <w:rPr>
                <w:rFonts w:hint="eastAsia" w:ascii="宋体" w:hAnsi="宋体"/>
                <w:szCs w:val="21"/>
              </w:rPr>
              <w:t>投标人针对本项目拟出的服务方案进行评分：</w:t>
            </w:r>
          </w:p>
          <w:p>
            <w:pPr>
              <w:ind w:right="42" w:rightChars="20"/>
              <w:jc w:val="left"/>
              <w:rPr>
                <w:rFonts w:ascii="宋体"/>
                <w:szCs w:val="21"/>
              </w:rPr>
            </w:pPr>
            <w:r>
              <w:rPr>
                <w:rFonts w:ascii="宋体" w:hAnsi="宋体"/>
                <w:szCs w:val="21"/>
              </w:rPr>
              <w:t>1</w:t>
            </w:r>
            <w:r>
              <w:rPr>
                <w:rFonts w:hint="eastAsia" w:ascii="宋体" w:hAnsi="宋体"/>
                <w:szCs w:val="21"/>
              </w:rPr>
              <w:t>、提供方案得</w:t>
            </w:r>
            <w:r>
              <w:rPr>
                <w:rFonts w:hint="eastAsia" w:ascii="宋体" w:hAnsi="宋体"/>
                <w:color w:val="FF0000"/>
                <w:szCs w:val="21"/>
                <w:lang w:val="en-US" w:eastAsia="zh-CN"/>
              </w:rPr>
              <w:t>3</w:t>
            </w:r>
            <w:r>
              <w:rPr>
                <w:rFonts w:hint="eastAsia" w:ascii="宋体" w:hAnsi="宋体"/>
                <w:szCs w:val="21"/>
              </w:rPr>
              <w:t>分；</w:t>
            </w:r>
          </w:p>
          <w:p>
            <w:pPr>
              <w:ind w:right="42" w:rightChars="20"/>
              <w:jc w:val="left"/>
              <w:rPr>
                <w:rFonts w:ascii="宋体"/>
                <w:szCs w:val="21"/>
              </w:rPr>
            </w:pPr>
            <w:r>
              <w:rPr>
                <w:rFonts w:ascii="宋体" w:hAnsi="宋体"/>
                <w:szCs w:val="21"/>
              </w:rPr>
              <w:t>2</w:t>
            </w:r>
            <w:r>
              <w:rPr>
                <w:rFonts w:hint="eastAsia" w:ascii="宋体" w:hAnsi="宋体"/>
                <w:szCs w:val="21"/>
              </w:rPr>
              <w:t>、在此基础上，方案中体现整体策划且符合采购需求的，加</w:t>
            </w:r>
            <w:r>
              <w:rPr>
                <w:rFonts w:hint="eastAsia" w:ascii="宋体" w:hAnsi="宋体"/>
                <w:color w:val="FF0000"/>
                <w:szCs w:val="21"/>
                <w:lang w:val="en-US" w:eastAsia="zh-CN"/>
              </w:rPr>
              <w:t>3</w:t>
            </w:r>
            <w:r>
              <w:rPr>
                <w:rFonts w:hint="eastAsia" w:ascii="宋体" w:hAnsi="宋体"/>
                <w:szCs w:val="21"/>
              </w:rPr>
              <w:t>分；</w:t>
            </w:r>
          </w:p>
          <w:p>
            <w:pPr>
              <w:ind w:right="42" w:rightChars="20"/>
              <w:jc w:val="left"/>
              <w:rPr>
                <w:rFonts w:ascii="宋体" w:hAnsi="宋体"/>
                <w:szCs w:val="21"/>
              </w:rPr>
            </w:pPr>
            <w:r>
              <w:rPr>
                <w:rFonts w:ascii="宋体" w:hAnsi="宋体"/>
                <w:szCs w:val="21"/>
              </w:rPr>
              <w:t>3</w:t>
            </w:r>
            <w:r>
              <w:rPr>
                <w:rFonts w:hint="eastAsia" w:ascii="宋体" w:hAnsi="宋体"/>
                <w:szCs w:val="21"/>
              </w:rPr>
              <w:t>、方案中体现“物业管理的目标”、“物业服务的标准和承诺”、“物业服务机构的设置”、“项目入驻和承接”四个方面，每具备一个方面且符合项目采购需求的，加</w:t>
            </w:r>
            <w:r>
              <w:rPr>
                <w:rFonts w:hint="eastAsia" w:ascii="宋体" w:hAnsi="宋体"/>
                <w:color w:val="FF0000"/>
                <w:szCs w:val="21"/>
                <w:lang w:val="en-US" w:eastAsia="zh-CN"/>
              </w:rPr>
              <w:t>1</w:t>
            </w:r>
            <w:r>
              <w:rPr>
                <w:rFonts w:hint="eastAsia" w:ascii="宋体" w:hAnsi="宋体"/>
                <w:szCs w:val="21"/>
              </w:rPr>
              <w:t>分，最多加</w:t>
            </w:r>
            <w:r>
              <w:rPr>
                <w:rFonts w:hint="eastAsia" w:ascii="宋体" w:hAnsi="宋体"/>
                <w:color w:val="FF0000"/>
                <w:szCs w:val="21"/>
                <w:lang w:val="en-US" w:eastAsia="zh-CN"/>
              </w:rPr>
              <w:t>4</w:t>
            </w:r>
            <w:r>
              <w:rPr>
                <w:rFonts w:hint="eastAsia" w:ascii="宋体" w:hAnsi="宋体"/>
                <w:szCs w:val="21"/>
              </w:rPr>
              <w:t>分。</w:t>
            </w:r>
          </w:p>
          <w:p>
            <w:pPr>
              <w:widowControl/>
              <w:jc w:val="left"/>
              <w:rPr>
                <w:rFonts w:ascii="宋体" w:hAnsi="宋体"/>
                <w:szCs w:val="21"/>
              </w:rPr>
            </w:pPr>
            <w:r>
              <w:rPr>
                <w:rFonts w:hint="eastAsia" w:ascii="宋体"/>
                <w:szCs w:val="21"/>
              </w:rPr>
              <w:t>（说明：不符合釆购需求是指存在不适用项目实际情况、凭空编造、逻辑漏洞、原理错误情形。</w:t>
            </w:r>
            <w:r>
              <w:rPr>
                <w:rFonts w:hint="eastAsia" w:ascii="宋体"/>
                <w:szCs w:val="21"/>
                <w:lang w:eastAsia="zh-CN"/>
              </w:rPr>
              <w:t>下同</w:t>
            </w:r>
            <w:r>
              <w:rPr>
                <w:rFonts w:hint="eastAsia" w:ascii="宋体"/>
                <w:szCs w:val="21"/>
              </w:rPr>
              <w:t>）</w:t>
            </w:r>
          </w:p>
        </w:tc>
        <w:tc>
          <w:tcPr>
            <w:tcW w:w="1134" w:type="dxa"/>
            <w:vAlign w:val="center"/>
          </w:tcPr>
          <w:p>
            <w:pPr>
              <w:adjustRightInd w:val="0"/>
              <w:snapToGrid w:val="0"/>
              <w:jc w:val="center"/>
              <w:rPr>
                <w:rFonts w:ascii="宋体" w:hAnsi="宋体" w:cs="宋体"/>
                <w:szCs w:val="21"/>
              </w:rPr>
            </w:pPr>
            <w:r>
              <w:rPr>
                <w:rFonts w:hint="eastAsia" w:ascii="宋体" w:hAnsi="宋体" w:cs="宋体"/>
                <w:color w:val="FF0000"/>
                <w:szCs w:val="21"/>
                <w:lang w:val="en-US" w:eastAsia="zh-CN"/>
              </w:rPr>
              <w:t>10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48" w:type="dxa"/>
            <w:vMerge w:val="continue"/>
            <w:vAlign w:val="center"/>
          </w:tcPr>
          <w:p>
            <w:pPr>
              <w:jc w:val="center"/>
              <w:rPr>
                <w:rFonts w:ascii="宋体" w:hAnsi="宋体" w:cs="宋体"/>
                <w:kern w:val="0"/>
                <w:szCs w:val="21"/>
              </w:rPr>
            </w:pPr>
          </w:p>
        </w:tc>
        <w:tc>
          <w:tcPr>
            <w:tcW w:w="720" w:type="dxa"/>
            <w:vMerge w:val="continue"/>
            <w:vAlign w:val="center"/>
          </w:tcPr>
          <w:p>
            <w:pPr>
              <w:widowControl/>
              <w:jc w:val="center"/>
              <w:rPr>
                <w:rFonts w:ascii="宋体" w:hAnsi="宋体" w:cs="宋体"/>
                <w:bCs/>
                <w:szCs w:val="21"/>
              </w:rPr>
            </w:pPr>
          </w:p>
        </w:tc>
        <w:tc>
          <w:tcPr>
            <w:tcW w:w="1575" w:type="dxa"/>
            <w:vAlign w:val="center"/>
          </w:tcPr>
          <w:p>
            <w:pPr>
              <w:jc w:val="center"/>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团队配置</w:t>
            </w:r>
          </w:p>
        </w:tc>
        <w:tc>
          <w:tcPr>
            <w:tcW w:w="5387" w:type="dxa"/>
            <w:vAlign w:val="center"/>
          </w:tcPr>
          <w:p>
            <w:pPr>
              <w:rPr>
                <w:rFonts w:hint="eastAsia" w:hAnsi="宋体"/>
                <w:color w:val="auto"/>
                <w:szCs w:val="21"/>
                <w:lang w:eastAsia="zh-CN"/>
              </w:rPr>
            </w:pPr>
            <w:r>
              <w:rPr>
                <w:rFonts w:hint="eastAsia" w:hAnsi="宋体"/>
                <w:color w:val="auto"/>
                <w:szCs w:val="21"/>
              </w:rPr>
              <w:t>根据投标人本项目服务团队的配置</w:t>
            </w:r>
            <w:r>
              <w:rPr>
                <w:rFonts w:hint="eastAsia" w:hAnsi="宋体"/>
                <w:color w:val="auto"/>
                <w:szCs w:val="21"/>
                <w:lang w:eastAsia="zh-CN"/>
              </w:rPr>
              <w:t>情况进行评分：</w:t>
            </w:r>
          </w:p>
          <w:p>
            <w:pPr>
              <w:rPr>
                <w:rFonts w:hint="eastAsia" w:hAnsi="宋体"/>
                <w:color w:val="auto"/>
                <w:szCs w:val="21"/>
                <w:lang w:val="en-US" w:eastAsia="zh-CN"/>
              </w:rPr>
            </w:pPr>
            <w:r>
              <w:rPr>
                <w:rFonts w:hint="eastAsia" w:hAnsi="宋体"/>
                <w:color w:val="auto"/>
                <w:szCs w:val="21"/>
                <w:lang w:eastAsia="zh-CN"/>
              </w:rPr>
              <w:t>完全满足招标文件要求的得</w:t>
            </w:r>
            <w:r>
              <w:rPr>
                <w:rFonts w:hint="eastAsia" w:hAnsi="宋体"/>
                <w:color w:val="FF0000"/>
                <w:szCs w:val="21"/>
                <w:lang w:val="en-US" w:eastAsia="zh-CN"/>
              </w:rPr>
              <w:t>4</w:t>
            </w:r>
            <w:r>
              <w:rPr>
                <w:rFonts w:hint="eastAsia" w:hAnsi="宋体"/>
                <w:color w:val="auto"/>
                <w:szCs w:val="21"/>
                <w:lang w:val="en-US" w:eastAsia="zh-CN"/>
              </w:rPr>
              <w:t>分；</w:t>
            </w:r>
          </w:p>
          <w:p>
            <w:pPr>
              <w:rPr>
                <w:rFonts w:hint="eastAsia" w:hAnsi="宋体" w:eastAsia="宋体"/>
                <w:color w:val="auto"/>
                <w:szCs w:val="21"/>
                <w:lang w:eastAsia="zh-CN"/>
              </w:rPr>
            </w:pPr>
            <w:r>
              <w:rPr>
                <w:rFonts w:hint="eastAsia" w:hAnsi="宋体"/>
                <w:color w:val="auto"/>
                <w:szCs w:val="21"/>
                <w:lang w:eastAsia="zh-CN"/>
              </w:rPr>
              <w:t>在此基础上：</w:t>
            </w:r>
          </w:p>
          <w:p>
            <w:pPr>
              <w:rPr>
                <w:rFonts w:hAnsi="宋体"/>
                <w:bCs/>
                <w:szCs w:val="21"/>
              </w:rPr>
            </w:pPr>
            <w:r>
              <w:rPr>
                <w:rFonts w:hAnsi="宋体"/>
                <w:bCs/>
                <w:szCs w:val="21"/>
              </w:rPr>
              <w:t>1</w:t>
            </w:r>
            <w:r>
              <w:rPr>
                <w:rFonts w:hint="eastAsia" w:hAnsi="宋体"/>
                <w:bCs/>
                <w:szCs w:val="21"/>
              </w:rPr>
              <w:t>、拟派</w:t>
            </w:r>
            <w:r>
              <w:rPr>
                <w:rFonts w:hint="eastAsia" w:hAnsi="宋体"/>
                <w:bCs/>
                <w:szCs w:val="21"/>
                <w:lang w:eastAsia="zh-CN"/>
              </w:rPr>
              <w:t>项目负责人</w:t>
            </w:r>
            <w:r>
              <w:rPr>
                <w:rFonts w:hint="eastAsia" w:hAnsi="宋体"/>
                <w:bCs/>
                <w:szCs w:val="21"/>
              </w:rPr>
              <w:t>具有</w:t>
            </w:r>
            <w:r>
              <w:rPr>
                <w:rFonts w:hint="eastAsia"/>
                <w:color w:val="FF0000"/>
                <w:szCs w:val="21"/>
                <w:lang w:val="en-US" w:eastAsia="zh-CN"/>
              </w:rPr>
              <w:t>大专及以上学历、持有物业项目经理证书得1分。</w:t>
            </w:r>
          </w:p>
          <w:p>
            <w:pPr>
              <w:rPr>
                <w:rFonts w:hint="eastAsia" w:hAnsi="宋体"/>
                <w:bCs/>
                <w:color w:val="FF0000"/>
                <w:szCs w:val="21"/>
                <w:lang w:val="en-US" w:eastAsia="zh-CN"/>
              </w:rPr>
            </w:pPr>
            <w:r>
              <w:rPr>
                <w:rFonts w:hAnsi="宋体"/>
                <w:bCs/>
                <w:szCs w:val="21"/>
              </w:rPr>
              <w:t>2</w:t>
            </w:r>
            <w:r>
              <w:rPr>
                <w:rFonts w:hint="eastAsia" w:hAnsi="宋体"/>
                <w:bCs/>
                <w:szCs w:val="21"/>
              </w:rPr>
              <w:t>、拟派</w:t>
            </w:r>
            <w:r>
              <w:rPr>
                <w:rFonts w:hint="eastAsia" w:hAnsi="宋体"/>
                <w:bCs/>
                <w:szCs w:val="21"/>
                <w:lang w:eastAsia="zh-CN"/>
              </w:rPr>
              <w:t>项目水电工人员</w:t>
            </w:r>
            <w:r>
              <w:rPr>
                <w:rFonts w:hint="eastAsia" w:hAnsi="宋体"/>
                <w:bCs/>
                <w:color w:val="FF0000"/>
                <w:szCs w:val="21"/>
                <w:lang w:val="en-US" w:eastAsia="zh-CN"/>
              </w:rPr>
              <w:t>具有高压及低压电工作业证得1分；</w:t>
            </w:r>
            <w:r>
              <w:rPr>
                <w:rFonts w:hint="eastAsia" w:hAnsi="宋体"/>
                <w:bCs/>
                <w:szCs w:val="21"/>
              </w:rPr>
              <w:t>拟派</w:t>
            </w:r>
            <w:r>
              <w:rPr>
                <w:rFonts w:hint="eastAsia" w:hAnsi="宋体"/>
                <w:bCs/>
                <w:color w:val="FF0000"/>
                <w:szCs w:val="21"/>
                <w:lang w:val="en-US" w:eastAsia="zh-CN"/>
              </w:rPr>
              <w:t>人员中具有建（构）筑物消防员证、电梯管理员证得2分。</w:t>
            </w:r>
          </w:p>
          <w:p>
            <w:pPr>
              <w:rPr>
                <w:rFonts w:hint="default" w:hAnsi="宋体"/>
                <w:bCs/>
                <w:color w:val="FF0000"/>
                <w:szCs w:val="21"/>
                <w:lang w:val="en-US" w:eastAsia="zh-CN"/>
              </w:rPr>
            </w:pPr>
            <w:r>
              <w:rPr>
                <w:rFonts w:hint="eastAsia" w:hAnsi="宋体"/>
                <w:bCs/>
                <w:color w:val="FF0000"/>
                <w:szCs w:val="21"/>
                <w:lang w:val="en-US" w:eastAsia="zh-CN"/>
              </w:rPr>
              <w:t>3、会议服务人员中具有大专及以上学历、持有普通话等级证书有一个得1分，最多得2分。</w:t>
            </w:r>
          </w:p>
          <w:p>
            <w:pPr>
              <w:adjustRightInd w:val="0"/>
              <w:snapToGrid w:val="0"/>
              <w:jc w:val="left"/>
              <w:rPr>
                <w:rFonts w:hint="eastAsia" w:hAnsi="宋体"/>
                <w:szCs w:val="21"/>
              </w:rPr>
            </w:pPr>
            <w:r>
              <w:rPr>
                <w:rFonts w:hint="eastAsia" w:hAnsi="宋体"/>
                <w:bCs/>
                <w:szCs w:val="21"/>
              </w:rPr>
              <w:t>（说明：提供有效证书复印件）</w:t>
            </w:r>
          </w:p>
        </w:tc>
        <w:tc>
          <w:tcPr>
            <w:tcW w:w="1134" w:type="dxa"/>
            <w:vAlign w:val="center"/>
          </w:tcPr>
          <w:p>
            <w:pPr>
              <w:jc w:val="center"/>
              <w:rPr>
                <w:rFonts w:hint="eastAsia" w:ascii="宋体" w:hAnsi="宋体"/>
                <w:kern w:val="0"/>
                <w:szCs w:val="21"/>
              </w:rPr>
            </w:pPr>
            <w:r>
              <w:rPr>
                <w:rFonts w:hint="eastAsia" w:hAnsi="宋体"/>
                <w:bCs/>
                <w:color w:val="FF0000"/>
                <w:szCs w:val="21"/>
                <w:lang w:val="en-US" w:eastAsia="zh-CN"/>
              </w:rPr>
              <w:t>10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48" w:type="dxa"/>
            <w:vMerge w:val="continue"/>
            <w:vAlign w:val="center"/>
          </w:tcPr>
          <w:p>
            <w:pPr>
              <w:jc w:val="center"/>
              <w:rPr>
                <w:rFonts w:ascii="宋体" w:hAnsi="宋体" w:cs="宋体"/>
                <w:kern w:val="0"/>
                <w:szCs w:val="21"/>
              </w:rPr>
            </w:pPr>
          </w:p>
        </w:tc>
        <w:tc>
          <w:tcPr>
            <w:tcW w:w="720" w:type="dxa"/>
            <w:vMerge w:val="continue"/>
            <w:vAlign w:val="center"/>
          </w:tcPr>
          <w:p>
            <w:pPr>
              <w:widowControl/>
              <w:jc w:val="center"/>
              <w:rPr>
                <w:rFonts w:ascii="宋体" w:hAnsi="宋体" w:cs="宋体"/>
                <w:bCs/>
                <w:szCs w:val="21"/>
              </w:rPr>
            </w:pPr>
          </w:p>
        </w:tc>
        <w:tc>
          <w:tcPr>
            <w:tcW w:w="1575" w:type="dxa"/>
            <w:vAlign w:val="center"/>
          </w:tcPr>
          <w:p>
            <w:pPr>
              <w:jc w:val="center"/>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w:t>
            </w:r>
            <w:r>
              <w:rPr>
                <w:rFonts w:hint="eastAsia" w:hAnsi="宋体"/>
                <w:szCs w:val="21"/>
              </w:rPr>
              <w:t>秩序维护方案</w:t>
            </w:r>
          </w:p>
        </w:tc>
        <w:tc>
          <w:tcPr>
            <w:tcW w:w="5387" w:type="dxa"/>
            <w:vAlign w:val="center"/>
          </w:tcPr>
          <w:p>
            <w:pPr>
              <w:widowControl/>
              <w:jc w:val="left"/>
              <w:rPr>
                <w:rFonts w:hAnsi="宋体"/>
                <w:szCs w:val="21"/>
              </w:rPr>
            </w:pPr>
            <w:r>
              <w:rPr>
                <w:rFonts w:hint="eastAsia" w:hAnsi="宋体"/>
                <w:szCs w:val="21"/>
              </w:rPr>
              <w:t>根据投标人针对本项目制定的秩序维护方案进行评分：</w:t>
            </w:r>
          </w:p>
          <w:p>
            <w:pPr>
              <w:rPr>
                <w:rFonts w:hAnsi="宋体"/>
                <w:szCs w:val="21"/>
              </w:rPr>
            </w:pPr>
            <w:r>
              <w:rPr>
                <w:rFonts w:hint="eastAsia" w:hAnsi="宋体"/>
                <w:szCs w:val="21"/>
              </w:rPr>
              <w:t>包含秩序维护方案的得</w:t>
            </w:r>
            <w:r>
              <w:rPr>
                <w:rFonts w:hint="eastAsia" w:hAnsi="宋体"/>
                <w:color w:val="FF0000"/>
                <w:szCs w:val="21"/>
                <w:lang w:val="en-US" w:eastAsia="zh-CN"/>
              </w:rPr>
              <w:t>5</w:t>
            </w:r>
            <w:r>
              <w:rPr>
                <w:rFonts w:hint="eastAsia" w:hAnsi="宋体"/>
                <w:color w:val="FF0000"/>
                <w:szCs w:val="21"/>
              </w:rPr>
              <w:t>分</w:t>
            </w:r>
            <w:r>
              <w:rPr>
                <w:rFonts w:hint="eastAsia" w:hAnsi="宋体"/>
                <w:szCs w:val="21"/>
              </w:rPr>
              <w:t>；</w:t>
            </w:r>
          </w:p>
          <w:p>
            <w:pPr>
              <w:rPr>
                <w:rFonts w:hAnsi="宋体"/>
                <w:szCs w:val="21"/>
              </w:rPr>
            </w:pPr>
            <w:r>
              <w:rPr>
                <w:rFonts w:hint="eastAsia" w:hAnsi="宋体"/>
                <w:szCs w:val="21"/>
              </w:rPr>
              <w:t>在此基础上：</w:t>
            </w:r>
          </w:p>
          <w:p>
            <w:pPr>
              <w:adjustRightInd w:val="0"/>
              <w:snapToGrid w:val="0"/>
              <w:jc w:val="left"/>
              <w:rPr>
                <w:rFonts w:ascii="宋体" w:hAnsi="宋体"/>
                <w:szCs w:val="21"/>
              </w:rPr>
            </w:pPr>
            <w:r>
              <w:rPr>
                <w:rFonts w:hint="eastAsia" w:hAnsi="宋体"/>
                <w:szCs w:val="21"/>
              </w:rPr>
              <w:t>方案中体现“人员配置</w:t>
            </w:r>
            <w:r>
              <w:rPr>
                <w:rFonts w:hAnsi="宋体"/>
                <w:szCs w:val="21"/>
              </w:rPr>
              <w:t>及</w:t>
            </w:r>
            <w:r>
              <w:rPr>
                <w:rFonts w:hint="eastAsia" w:hAnsi="宋体"/>
                <w:szCs w:val="21"/>
              </w:rPr>
              <w:t>岗位职责”、“工作制度及考评标准”、“秩序维护措施”</w:t>
            </w:r>
            <w:r>
              <w:rPr>
                <w:rFonts w:hint="eastAsia" w:hAnsi="宋体"/>
                <w:bCs/>
                <w:color w:val="auto"/>
                <w:szCs w:val="21"/>
                <w:lang w:val="en-US" w:eastAsia="zh-CN"/>
              </w:rPr>
              <w:t>3</w:t>
            </w:r>
            <w:r>
              <w:rPr>
                <w:rFonts w:hint="eastAsia" w:hAnsi="宋体"/>
                <w:szCs w:val="21"/>
              </w:rPr>
              <w:t>个方面要素，每具备一个要素且符合采购需求的加</w:t>
            </w:r>
            <w:r>
              <w:rPr>
                <w:rFonts w:hint="eastAsia" w:hAnsi="宋体"/>
                <w:bCs/>
                <w:color w:val="FF0000"/>
                <w:szCs w:val="21"/>
                <w:lang w:val="en-US" w:eastAsia="zh-CN"/>
              </w:rPr>
              <w:t>1</w:t>
            </w:r>
            <w:r>
              <w:rPr>
                <w:rFonts w:hint="eastAsia" w:hAnsi="宋体"/>
                <w:szCs w:val="21"/>
              </w:rPr>
              <w:t>分，最多加</w:t>
            </w:r>
            <w:r>
              <w:rPr>
                <w:rFonts w:hint="eastAsia" w:hAnsi="宋体"/>
                <w:bCs/>
                <w:color w:val="FF0000"/>
                <w:szCs w:val="21"/>
                <w:lang w:val="en-US" w:eastAsia="zh-CN"/>
              </w:rPr>
              <w:t>3</w:t>
            </w:r>
            <w:r>
              <w:rPr>
                <w:rFonts w:hint="eastAsia" w:hAnsi="宋体"/>
                <w:szCs w:val="21"/>
              </w:rPr>
              <w:t>分。</w:t>
            </w:r>
          </w:p>
        </w:tc>
        <w:tc>
          <w:tcPr>
            <w:tcW w:w="1134" w:type="dxa"/>
            <w:vAlign w:val="center"/>
          </w:tcPr>
          <w:p>
            <w:pPr>
              <w:jc w:val="center"/>
              <w:rPr>
                <w:rFonts w:ascii="宋体" w:hAnsi="宋体"/>
                <w:kern w:val="0"/>
                <w:szCs w:val="21"/>
              </w:rPr>
            </w:pPr>
            <w:r>
              <w:rPr>
                <w:rFonts w:hint="eastAsia" w:hAnsi="宋体"/>
                <w:bCs/>
                <w:color w:val="FF0000"/>
                <w:szCs w:val="21"/>
                <w:lang w:val="en-US" w:eastAsia="zh-CN"/>
              </w:rPr>
              <w:t>8</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648" w:type="dxa"/>
            <w:vMerge w:val="continue"/>
            <w:vAlign w:val="center"/>
          </w:tcPr>
          <w:p>
            <w:pPr>
              <w:jc w:val="center"/>
              <w:rPr>
                <w:rFonts w:ascii="宋体" w:hAnsi="宋体" w:cs="宋体"/>
                <w:kern w:val="0"/>
                <w:szCs w:val="21"/>
              </w:rPr>
            </w:pPr>
          </w:p>
        </w:tc>
        <w:tc>
          <w:tcPr>
            <w:tcW w:w="720" w:type="dxa"/>
            <w:vMerge w:val="continue"/>
            <w:vAlign w:val="center"/>
          </w:tcPr>
          <w:p>
            <w:pPr>
              <w:widowControl/>
              <w:jc w:val="center"/>
              <w:rPr>
                <w:rFonts w:ascii="宋体" w:hAnsi="宋体" w:cs="宋体"/>
                <w:bCs/>
                <w:szCs w:val="21"/>
              </w:rPr>
            </w:pPr>
          </w:p>
        </w:tc>
        <w:tc>
          <w:tcPr>
            <w:tcW w:w="1575" w:type="dxa"/>
            <w:vAlign w:val="center"/>
          </w:tcPr>
          <w:p>
            <w:pPr>
              <w:jc w:val="center"/>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hAnsi="宋体"/>
                <w:szCs w:val="21"/>
              </w:rPr>
              <w:t>环境卫生服务方案</w:t>
            </w:r>
          </w:p>
        </w:tc>
        <w:tc>
          <w:tcPr>
            <w:tcW w:w="5387" w:type="dxa"/>
            <w:vAlign w:val="center"/>
          </w:tcPr>
          <w:p>
            <w:pPr>
              <w:widowControl/>
              <w:jc w:val="left"/>
              <w:rPr>
                <w:rFonts w:hAnsi="宋体"/>
                <w:szCs w:val="21"/>
              </w:rPr>
            </w:pPr>
            <w:r>
              <w:rPr>
                <w:rFonts w:hint="eastAsia" w:hAnsi="宋体"/>
                <w:szCs w:val="21"/>
              </w:rPr>
              <w:t>根据投标人针对本项目制定的环境卫生服务方案进行评分：</w:t>
            </w:r>
          </w:p>
          <w:p>
            <w:pPr>
              <w:rPr>
                <w:rFonts w:hAnsi="宋体"/>
                <w:szCs w:val="21"/>
              </w:rPr>
            </w:pPr>
            <w:r>
              <w:rPr>
                <w:rFonts w:hint="eastAsia" w:hAnsi="宋体"/>
                <w:szCs w:val="21"/>
              </w:rPr>
              <w:t>包含环境卫生服务方案的得</w:t>
            </w:r>
            <w:r>
              <w:rPr>
                <w:rFonts w:hint="eastAsia" w:hAnsi="宋体"/>
                <w:bCs/>
                <w:color w:val="FF0000"/>
                <w:szCs w:val="21"/>
                <w:lang w:val="en-US" w:eastAsia="zh-CN"/>
              </w:rPr>
              <w:t>5</w:t>
            </w:r>
            <w:r>
              <w:rPr>
                <w:rFonts w:hint="eastAsia" w:hAnsi="宋体"/>
                <w:szCs w:val="21"/>
              </w:rPr>
              <w:t>分；</w:t>
            </w:r>
          </w:p>
          <w:p>
            <w:pPr>
              <w:rPr>
                <w:rFonts w:hAnsi="宋体"/>
                <w:szCs w:val="21"/>
              </w:rPr>
            </w:pPr>
            <w:r>
              <w:rPr>
                <w:rFonts w:hint="eastAsia" w:hAnsi="宋体"/>
                <w:szCs w:val="21"/>
              </w:rPr>
              <w:t>在此基础上：</w:t>
            </w:r>
          </w:p>
          <w:p>
            <w:pPr>
              <w:adjustRightInd w:val="0"/>
              <w:snapToGrid w:val="0"/>
              <w:jc w:val="left"/>
              <w:rPr>
                <w:rFonts w:ascii="宋体" w:hAnsi="宋体"/>
                <w:bCs/>
                <w:szCs w:val="21"/>
              </w:rPr>
            </w:pPr>
            <w:r>
              <w:rPr>
                <w:rFonts w:hint="eastAsia" w:hAnsi="宋体"/>
                <w:szCs w:val="21"/>
              </w:rPr>
              <w:t>方案中体现“人员配置</w:t>
            </w:r>
            <w:r>
              <w:rPr>
                <w:rFonts w:hAnsi="宋体"/>
                <w:szCs w:val="21"/>
              </w:rPr>
              <w:t>及</w:t>
            </w:r>
            <w:r>
              <w:rPr>
                <w:rFonts w:hint="eastAsia" w:hAnsi="宋体"/>
                <w:szCs w:val="21"/>
              </w:rPr>
              <w:t>岗位职责”、“工作制度及考评标准”、“环境卫生服务措施”</w:t>
            </w:r>
            <w:r>
              <w:rPr>
                <w:rFonts w:hint="eastAsia" w:hAnsi="宋体"/>
                <w:bCs/>
                <w:color w:val="auto"/>
                <w:szCs w:val="21"/>
                <w:lang w:val="en-US" w:eastAsia="zh-CN"/>
              </w:rPr>
              <w:t>3</w:t>
            </w:r>
            <w:r>
              <w:rPr>
                <w:rFonts w:hint="eastAsia" w:hAnsi="宋体"/>
                <w:szCs w:val="21"/>
              </w:rPr>
              <w:t>个方面要素，每具备一个要素且符合采购需求的加</w:t>
            </w:r>
            <w:r>
              <w:rPr>
                <w:rFonts w:hint="eastAsia" w:hAnsi="宋体"/>
                <w:bCs/>
                <w:color w:val="FF0000"/>
                <w:szCs w:val="21"/>
                <w:lang w:val="en-US" w:eastAsia="zh-CN"/>
              </w:rPr>
              <w:t>1</w:t>
            </w:r>
            <w:r>
              <w:rPr>
                <w:rFonts w:hint="eastAsia" w:hAnsi="宋体"/>
                <w:szCs w:val="21"/>
              </w:rPr>
              <w:t>分，最多加</w:t>
            </w:r>
            <w:r>
              <w:rPr>
                <w:rFonts w:hint="eastAsia" w:hAnsi="宋体"/>
                <w:bCs/>
                <w:color w:val="FF0000"/>
                <w:szCs w:val="21"/>
                <w:lang w:val="en-US" w:eastAsia="zh-CN"/>
              </w:rPr>
              <w:t>3</w:t>
            </w:r>
            <w:r>
              <w:rPr>
                <w:rFonts w:hint="eastAsia" w:hAnsi="宋体"/>
                <w:szCs w:val="21"/>
              </w:rPr>
              <w:t>分。</w:t>
            </w:r>
          </w:p>
        </w:tc>
        <w:tc>
          <w:tcPr>
            <w:tcW w:w="1134" w:type="dxa"/>
            <w:vAlign w:val="center"/>
          </w:tcPr>
          <w:p>
            <w:pPr>
              <w:jc w:val="center"/>
              <w:rPr>
                <w:rFonts w:ascii="宋体" w:hAnsi="宋体"/>
                <w:kern w:val="0"/>
                <w:szCs w:val="21"/>
              </w:rPr>
            </w:pPr>
            <w:r>
              <w:rPr>
                <w:rFonts w:hint="eastAsia" w:hAnsi="宋体"/>
                <w:bCs/>
                <w:color w:val="FF0000"/>
                <w:szCs w:val="21"/>
                <w:lang w:val="en-US" w:eastAsia="zh-CN"/>
              </w:rPr>
              <w:t>8</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648" w:type="dxa"/>
            <w:vMerge w:val="continue"/>
            <w:vAlign w:val="center"/>
          </w:tcPr>
          <w:p>
            <w:pPr>
              <w:jc w:val="center"/>
              <w:rPr>
                <w:rFonts w:ascii="宋体" w:hAnsi="宋体" w:cs="宋体"/>
                <w:kern w:val="0"/>
                <w:szCs w:val="21"/>
              </w:rPr>
            </w:pPr>
          </w:p>
        </w:tc>
        <w:tc>
          <w:tcPr>
            <w:tcW w:w="720" w:type="dxa"/>
            <w:vMerge w:val="continue"/>
            <w:vAlign w:val="center"/>
          </w:tcPr>
          <w:p>
            <w:pPr>
              <w:widowControl/>
              <w:jc w:val="center"/>
              <w:rPr>
                <w:rFonts w:ascii="宋体" w:hAnsi="宋体" w:cs="宋体"/>
                <w:bCs/>
                <w:szCs w:val="21"/>
              </w:rPr>
            </w:pPr>
          </w:p>
        </w:tc>
        <w:tc>
          <w:tcPr>
            <w:tcW w:w="1575" w:type="dxa"/>
            <w:vAlign w:val="center"/>
          </w:tcPr>
          <w:p>
            <w:pPr>
              <w:jc w:val="center"/>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hAnsi="宋体"/>
                <w:szCs w:val="21"/>
              </w:rPr>
              <w:t>设备运行、维护管理方案</w:t>
            </w:r>
          </w:p>
        </w:tc>
        <w:tc>
          <w:tcPr>
            <w:tcW w:w="5387" w:type="dxa"/>
            <w:vAlign w:val="center"/>
          </w:tcPr>
          <w:p>
            <w:pPr>
              <w:widowControl/>
              <w:jc w:val="left"/>
              <w:rPr>
                <w:rFonts w:hAnsi="宋体"/>
                <w:szCs w:val="21"/>
              </w:rPr>
            </w:pPr>
            <w:r>
              <w:rPr>
                <w:rFonts w:hint="eastAsia" w:hAnsi="宋体"/>
                <w:szCs w:val="21"/>
              </w:rPr>
              <w:t>根据投标人针对本项目制定的设备运行、维护管理方案进行评分：</w:t>
            </w:r>
          </w:p>
          <w:p>
            <w:pPr>
              <w:rPr>
                <w:rFonts w:hAnsi="宋体"/>
                <w:szCs w:val="21"/>
              </w:rPr>
            </w:pPr>
            <w:r>
              <w:rPr>
                <w:rFonts w:hint="eastAsia" w:hAnsi="宋体"/>
                <w:szCs w:val="21"/>
              </w:rPr>
              <w:t>包含设备运行、维护管理方案的得</w:t>
            </w:r>
            <w:r>
              <w:rPr>
                <w:rFonts w:hint="eastAsia" w:hAnsi="宋体"/>
                <w:bCs/>
                <w:color w:val="FF0000"/>
                <w:szCs w:val="21"/>
                <w:lang w:val="en-US" w:eastAsia="zh-CN"/>
              </w:rPr>
              <w:t>5</w:t>
            </w:r>
            <w:r>
              <w:rPr>
                <w:rFonts w:hint="eastAsia" w:hAnsi="宋体"/>
                <w:szCs w:val="21"/>
              </w:rPr>
              <w:t>分；</w:t>
            </w:r>
          </w:p>
          <w:p>
            <w:pPr>
              <w:rPr>
                <w:rFonts w:hAnsi="宋体"/>
                <w:szCs w:val="21"/>
              </w:rPr>
            </w:pPr>
            <w:r>
              <w:rPr>
                <w:rFonts w:hint="eastAsia" w:hAnsi="宋体"/>
                <w:szCs w:val="21"/>
              </w:rPr>
              <w:t>在此基础上：</w:t>
            </w:r>
          </w:p>
          <w:p>
            <w:pPr>
              <w:adjustRightInd w:val="0"/>
              <w:snapToGrid w:val="0"/>
              <w:jc w:val="left"/>
              <w:rPr>
                <w:rFonts w:ascii="宋体" w:hAnsi="宋体"/>
                <w:bCs/>
                <w:szCs w:val="21"/>
              </w:rPr>
            </w:pPr>
            <w:r>
              <w:rPr>
                <w:rFonts w:hint="eastAsia" w:hAnsi="宋体"/>
                <w:szCs w:val="21"/>
              </w:rPr>
              <w:t>方案中体现“人员配置</w:t>
            </w:r>
            <w:r>
              <w:rPr>
                <w:rFonts w:hAnsi="宋体"/>
                <w:szCs w:val="21"/>
              </w:rPr>
              <w:t>及</w:t>
            </w:r>
            <w:r>
              <w:rPr>
                <w:rFonts w:hint="eastAsia" w:hAnsi="宋体"/>
                <w:szCs w:val="21"/>
              </w:rPr>
              <w:t>岗位职责”、“工作制度及考评标准”、“设备运行、维护管理措施”</w:t>
            </w:r>
            <w:r>
              <w:rPr>
                <w:rFonts w:hint="eastAsia" w:hAnsi="宋体"/>
                <w:bCs/>
                <w:color w:val="auto"/>
                <w:szCs w:val="21"/>
                <w:lang w:val="en-US" w:eastAsia="zh-CN"/>
              </w:rPr>
              <w:t>3</w:t>
            </w:r>
            <w:r>
              <w:rPr>
                <w:rFonts w:hint="eastAsia" w:hAnsi="宋体"/>
                <w:szCs w:val="21"/>
              </w:rPr>
              <w:t>个方面要素，每具备一个要素且符合采购需求的加</w:t>
            </w:r>
            <w:r>
              <w:rPr>
                <w:rFonts w:hint="eastAsia" w:hAnsi="宋体"/>
                <w:bCs/>
                <w:color w:val="FF0000"/>
                <w:szCs w:val="21"/>
                <w:lang w:val="en-US" w:eastAsia="zh-CN"/>
              </w:rPr>
              <w:t>1</w:t>
            </w:r>
            <w:r>
              <w:rPr>
                <w:rFonts w:hint="eastAsia" w:hAnsi="宋体"/>
                <w:szCs w:val="21"/>
              </w:rPr>
              <w:t>分，最多加</w:t>
            </w:r>
            <w:r>
              <w:rPr>
                <w:rFonts w:hint="eastAsia" w:hAnsi="宋体"/>
                <w:bCs/>
                <w:color w:val="FF0000"/>
                <w:szCs w:val="21"/>
                <w:lang w:val="en-US" w:eastAsia="zh-CN"/>
              </w:rPr>
              <w:t>3</w:t>
            </w:r>
            <w:r>
              <w:rPr>
                <w:rFonts w:hint="eastAsia" w:hAnsi="宋体"/>
                <w:szCs w:val="21"/>
              </w:rPr>
              <w:t>分。</w:t>
            </w:r>
          </w:p>
        </w:tc>
        <w:tc>
          <w:tcPr>
            <w:tcW w:w="1134" w:type="dxa"/>
            <w:vAlign w:val="center"/>
          </w:tcPr>
          <w:p>
            <w:pPr>
              <w:jc w:val="center"/>
              <w:rPr>
                <w:rFonts w:ascii="宋体" w:hAnsi="宋体"/>
                <w:kern w:val="0"/>
                <w:szCs w:val="21"/>
              </w:rPr>
            </w:pPr>
            <w:r>
              <w:rPr>
                <w:rFonts w:hint="eastAsia" w:hAnsi="宋体"/>
                <w:bCs/>
                <w:color w:val="FF0000"/>
                <w:szCs w:val="21"/>
                <w:lang w:val="en-US" w:eastAsia="zh-CN"/>
              </w:rPr>
              <w:t>8</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648" w:type="dxa"/>
            <w:vMerge w:val="continue"/>
            <w:vAlign w:val="center"/>
          </w:tcPr>
          <w:p>
            <w:pPr>
              <w:jc w:val="center"/>
              <w:rPr>
                <w:rFonts w:ascii="宋体" w:hAnsi="宋体" w:cs="宋体"/>
                <w:kern w:val="0"/>
                <w:szCs w:val="21"/>
              </w:rPr>
            </w:pPr>
          </w:p>
        </w:tc>
        <w:tc>
          <w:tcPr>
            <w:tcW w:w="720" w:type="dxa"/>
            <w:vMerge w:val="continue"/>
            <w:vAlign w:val="center"/>
          </w:tcPr>
          <w:p>
            <w:pPr>
              <w:widowControl/>
              <w:jc w:val="center"/>
              <w:rPr>
                <w:rFonts w:ascii="宋体" w:hAnsi="宋体" w:cs="宋体"/>
                <w:bCs/>
                <w:szCs w:val="21"/>
              </w:rPr>
            </w:pPr>
          </w:p>
        </w:tc>
        <w:tc>
          <w:tcPr>
            <w:tcW w:w="1575" w:type="dxa"/>
            <w:vAlign w:val="center"/>
          </w:tcPr>
          <w:p>
            <w:pPr>
              <w:jc w:val="center"/>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w:t>
            </w:r>
            <w:r>
              <w:rPr>
                <w:rFonts w:hint="eastAsia" w:hAnsi="宋体"/>
                <w:szCs w:val="21"/>
              </w:rPr>
              <w:t>绿化维护</w:t>
            </w:r>
            <w:r>
              <w:rPr>
                <w:rFonts w:hint="eastAsia" w:ascii="宋体" w:hAnsi="宋体"/>
                <w:szCs w:val="21"/>
              </w:rPr>
              <w:t>管理服务方案</w:t>
            </w:r>
          </w:p>
        </w:tc>
        <w:tc>
          <w:tcPr>
            <w:tcW w:w="5387" w:type="dxa"/>
            <w:vAlign w:val="center"/>
          </w:tcPr>
          <w:p>
            <w:pPr>
              <w:widowControl/>
              <w:jc w:val="left"/>
              <w:rPr>
                <w:rFonts w:hAnsi="宋体"/>
                <w:szCs w:val="21"/>
              </w:rPr>
            </w:pPr>
            <w:r>
              <w:rPr>
                <w:rFonts w:hint="eastAsia" w:hAnsi="宋体"/>
                <w:szCs w:val="21"/>
              </w:rPr>
              <w:t>根据投标人针对本项目制定的绿化维护</w:t>
            </w:r>
            <w:r>
              <w:rPr>
                <w:rFonts w:hint="eastAsia" w:ascii="宋体" w:hAnsi="宋体"/>
                <w:szCs w:val="21"/>
              </w:rPr>
              <w:t>管理服务方案</w:t>
            </w:r>
            <w:r>
              <w:rPr>
                <w:rFonts w:hint="eastAsia" w:hAnsi="宋体"/>
                <w:szCs w:val="21"/>
              </w:rPr>
              <w:t>进行评分：</w:t>
            </w:r>
          </w:p>
          <w:p>
            <w:pPr>
              <w:rPr>
                <w:rFonts w:hAnsi="宋体"/>
                <w:szCs w:val="21"/>
              </w:rPr>
            </w:pPr>
            <w:r>
              <w:rPr>
                <w:rFonts w:hint="eastAsia" w:hAnsi="宋体"/>
                <w:szCs w:val="21"/>
              </w:rPr>
              <w:t>包含绿化维护</w:t>
            </w:r>
            <w:r>
              <w:rPr>
                <w:rFonts w:hint="eastAsia" w:ascii="宋体" w:hAnsi="宋体"/>
                <w:szCs w:val="21"/>
              </w:rPr>
              <w:t>管理服务方案</w:t>
            </w:r>
            <w:r>
              <w:rPr>
                <w:rFonts w:hint="eastAsia" w:hAnsi="宋体"/>
                <w:szCs w:val="21"/>
              </w:rPr>
              <w:t>的得</w:t>
            </w:r>
            <w:r>
              <w:rPr>
                <w:rFonts w:hint="eastAsia" w:hAnsi="宋体"/>
                <w:bCs/>
                <w:color w:val="FF0000"/>
                <w:szCs w:val="21"/>
                <w:lang w:val="en-US" w:eastAsia="zh-CN"/>
              </w:rPr>
              <w:t>5</w:t>
            </w:r>
            <w:r>
              <w:rPr>
                <w:rFonts w:hint="eastAsia" w:hAnsi="宋体"/>
                <w:szCs w:val="21"/>
              </w:rPr>
              <w:t>分；</w:t>
            </w:r>
          </w:p>
          <w:p>
            <w:pPr>
              <w:rPr>
                <w:rFonts w:hAnsi="宋体"/>
                <w:szCs w:val="21"/>
              </w:rPr>
            </w:pPr>
            <w:r>
              <w:rPr>
                <w:rFonts w:hint="eastAsia" w:hAnsi="宋体"/>
                <w:szCs w:val="21"/>
              </w:rPr>
              <w:t>在此基础上：</w:t>
            </w:r>
          </w:p>
          <w:p>
            <w:pPr>
              <w:adjustRightInd w:val="0"/>
              <w:snapToGrid w:val="0"/>
              <w:jc w:val="left"/>
              <w:rPr>
                <w:rFonts w:ascii="宋体" w:hAnsi="宋体"/>
                <w:bCs/>
                <w:szCs w:val="21"/>
              </w:rPr>
            </w:pPr>
            <w:r>
              <w:rPr>
                <w:rFonts w:hint="eastAsia" w:hAnsi="宋体"/>
                <w:szCs w:val="21"/>
              </w:rPr>
              <w:t>方案中体现“人员配置</w:t>
            </w:r>
            <w:r>
              <w:rPr>
                <w:rFonts w:hAnsi="宋体"/>
                <w:szCs w:val="21"/>
              </w:rPr>
              <w:t>及</w:t>
            </w:r>
            <w:r>
              <w:rPr>
                <w:rFonts w:hint="eastAsia" w:hAnsi="宋体"/>
                <w:szCs w:val="21"/>
              </w:rPr>
              <w:t>岗位职责”、“工作制度及考评标准”、“绿化维护</w:t>
            </w:r>
            <w:r>
              <w:rPr>
                <w:rFonts w:hint="eastAsia" w:ascii="宋体" w:hAnsi="宋体"/>
                <w:szCs w:val="21"/>
              </w:rPr>
              <w:t>管理服务</w:t>
            </w:r>
            <w:r>
              <w:rPr>
                <w:rFonts w:hint="eastAsia" w:hAnsi="宋体"/>
                <w:szCs w:val="21"/>
              </w:rPr>
              <w:t>措施”</w:t>
            </w:r>
            <w:r>
              <w:rPr>
                <w:rFonts w:hint="eastAsia" w:hAnsi="宋体"/>
                <w:bCs/>
                <w:color w:val="auto"/>
                <w:szCs w:val="21"/>
                <w:lang w:val="en-US" w:eastAsia="zh-CN"/>
              </w:rPr>
              <w:t>3</w:t>
            </w:r>
            <w:r>
              <w:rPr>
                <w:rFonts w:hint="eastAsia" w:hAnsi="宋体"/>
                <w:szCs w:val="21"/>
              </w:rPr>
              <w:t>个方面要素，每具备一个要素且符合采购需求的加</w:t>
            </w:r>
            <w:r>
              <w:rPr>
                <w:rFonts w:hint="eastAsia" w:hAnsi="宋体"/>
                <w:bCs/>
                <w:color w:val="FF0000"/>
                <w:szCs w:val="21"/>
                <w:lang w:val="en-US" w:eastAsia="zh-CN"/>
              </w:rPr>
              <w:t>1</w:t>
            </w:r>
            <w:r>
              <w:rPr>
                <w:rFonts w:hint="eastAsia" w:hAnsi="宋体"/>
                <w:szCs w:val="21"/>
              </w:rPr>
              <w:t>分，最多加</w:t>
            </w:r>
            <w:r>
              <w:rPr>
                <w:rFonts w:hint="eastAsia" w:hAnsi="宋体"/>
                <w:bCs/>
                <w:color w:val="FF0000"/>
                <w:szCs w:val="21"/>
                <w:lang w:val="en-US" w:eastAsia="zh-CN"/>
              </w:rPr>
              <w:t>3</w:t>
            </w:r>
            <w:r>
              <w:rPr>
                <w:rFonts w:hint="eastAsia" w:hAnsi="宋体"/>
                <w:szCs w:val="21"/>
              </w:rPr>
              <w:t>分。</w:t>
            </w:r>
          </w:p>
        </w:tc>
        <w:tc>
          <w:tcPr>
            <w:tcW w:w="1134" w:type="dxa"/>
            <w:vAlign w:val="center"/>
          </w:tcPr>
          <w:p>
            <w:pPr>
              <w:jc w:val="center"/>
              <w:rPr>
                <w:rFonts w:ascii="宋体" w:hAnsi="宋体"/>
                <w:kern w:val="0"/>
                <w:szCs w:val="21"/>
              </w:rPr>
            </w:pPr>
            <w:r>
              <w:rPr>
                <w:rFonts w:hint="eastAsia" w:hAnsi="宋体"/>
                <w:bCs/>
                <w:color w:val="FF0000"/>
                <w:szCs w:val="21"/>
                <w:lang w:val="en-US" w:eastAsia="zh-CN"/>
              </w:rPr>
              <w:t>8</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648" w:type="dxa"/>
            <w:vMerge w:val="continue"/>
            <w:vAlign w:val="center"/>
          </w:tcPr>
          <w:p>
            <w:pPr>
              <w:jc w:val="center"/>
              <w:rPr>
                <w:rFonts w:ascii="宋体" w:hAnsi="宋体" w:cs="宋体"/>
                <w:kern w:val="0"/>
                <w:szCs w:val="21"/>
              </w:rPr>
            </w:pPr>
          </w:p>
        </w:tc>
        <w:tc>
          <w:tcPr>
            <w:tcW w:w="720" w:type="dxa"/>
            <w:vMerge w:val="continue"/>
            <w:vAlign w:val="center"/>
          </w:tcPr>
          <w:p>
            <w:pPr>
              <w:widowControl/>
              <w:jc w:val="center"/>
              <w:rPr>
                <w:rFonts w:ascii="宋体" w:hAnsi="宋体" w:cs="宋体"/>
                <w:bCs/>
                <w:szCs w:val="21"/>
              </w:rPr>
            </w:pPr>
          </w:p>
        </w:tc>
        <w:tc>
          <w:tcPr>
            <w:tcW w:w="1575" w:type="dxa"/>
            <w:vAlign w:val="center"/>
          </w:tcPr>
          <w:p>
            <w:pPr>
              <w:jc w:val="center"/>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w:t>
            </w:r>
            <w:r>
              <w:rPr>
                <w:rFonts w:hint="eastAsia"/>
                <w:szCs w:val="21"/>
              </w:rPr>
              <w:t>会务接待</w:t>
            </w:r>
            <w:r>
              <w:rPr>
                <w:rFonts w:hint="eastAsia"/>
                <w:szCs w:val="21"/>
                <w:lang w:eastAsia="zh-CN"/>
              </w:rPr>
              <w:t>服务</w:t>
            </w:r>
            <w:r>
              <w:rPr>
                <w:rFonts w:hint="eastAsia"/>
                <w:szCs w:val="21"/>
              </w:rPr>
              <w:t>方案</w:t>
            </w:r>
          </w:p>
        </w:tc>
        <w:tc>
          <w:tcPr>
            <w:tcW w:w="5387" w:type="dxa"/>
            <w:vAlign w:val="center"/>
          </w:tcPr>
          <w:p>
            <w:pPr>
              <w:widowControl/>
              <w:jc w:val="left"/>
              <w:rPr>
                <w:rFonts w:hAnsi="宋体"/>
                <w:szCs w:val="21"/>
              </w:rPr>
            </w:pPr>
            <w:r>
              <w:rPr>
                <w:rFonts w:hint="eastAsia" w:hAnsi="宋体"/>
                <w:szCs w:val="21"/>
              </w:rPr>
              <w:t>根据投标人针对本项目制定的</w:t>
            </w:r>
            <w:r>
              <w:rPr>
                <w:rFonts w:hint="eastAsia"/>
                <w:szCs w:val="21"/>
              </w:rPr>
              <w:t>会务接待</w:t>
            </w:r>
            <w:r>
              <w:rPr>
                <w:rFonts w:hint="eastAsia"/>
                <w:szCs w:val="21"/>
                <w:lang w:eastAsia="zh-CN"/>
              </w:rPr>
              <w:t>服务</w:t>
            </w:r>
            <w:r>
              <w:rPr>
                <w:rFonts w:hint="eastAsia"/>
                <w:szCs w:val="21"/>
              </w:rPr>
              <w:t>方案</w:t>
            </w:r>
            <w:r>
              <w:rPr>
                <w:rFonts w:hint="eastAsia" w:hAnsi="宋体"/>
                <w:szCs w:val="21"/>
              </w:rPr>
              <w:t>进行评分：</w:t>
            </w:r>
          </w:p>
          <w:p>
            <w:pPr>
              <w:rPr>
                <w:rFonts w:hAnsi="宋体"/>
                <w:szCs w:val="21"/>
              </w:rPr>
            </w:pPr>
            <w:r>
              <w:rPr>
                <w:rFonts w:hint="eastAsia" w:hAnsi="宋体"/>
                <w:szCs w:val="21"/>
              </w:rPr>
              <w:t>包含</w:t>
            </w:r>
            <w:r>
              <w:rPr>
                <w:rFonts w:hint="eastAsia"/>
                <w:szCs w:val="21"/>
              </w:rPr>
              <w:t>会务接待方案</w:t>
            </w:r>
            <w:r>
              <w:rPr>
                <w:rFonts w:hint="eastAsia" w:hAnsi="宋体"/>
                <w:szCs w:val="21"/>
              </w:rPr>
              <w:t>的得</w:t>
            </w:r>
            <w:r>
              <w:rPr>
                <w:rFonts w:hint="eastAsia" w:hAnsi="宋体"/>
                <w:bCs/>
                <w:color w:val="FF0000"/>
                <w:szCs w:val="21"/>
                <w:lang w:val="en-US" w:eastAsia="zh-CN"/>
              </w:rPr>
              <w:t>5</w:t>
            </w:r>
            <w:r>
              <w:rPr>
                <w:rFonts w:hint="eastAsia" w:hAnsi="宋体"/>
                <w:szCs w:val="21"/>
              </w:rPr>
              <w:t>分；</w:t>
            </w:r>
          </w:p>
          <w:p>
            <w:pPr>
              <w:rPr>
                <w:rFonts w:hAnsi="宋体"/>
                <w:szCs w:val="21"/>
              </w:rPr>
            </w:pPr>
            <w:r>
              <w:rPr>
                <w:rFonts w:hint="eastAsia" w:hAnsi="宋体"/>
                <w:szCs w:val="21"/>
              </w:rPr>
              <w:t>在此基础上：</w:t>
            </w:r>
          </w:p>
          <w:p>
            <w:pPr>
              <w:adjustRightInd w:val="0"/>
              <w:snapToGrid w:val="0"/>
              <w:jc w:val="left"/>
              <w:rPr>
                <w:rFonts w:hAnsi="宋体"/>
                <w:szCs w:val="21"/>
              </w:rPr>
            </w:pPr>
            <w:r>
              <w:rPr>
                <w:rFonts w:hint="eastAsia" w:hAnsi="宋体"/>
                <w:szCs w:val="21"/>
              </w:rPr>
              <w:t>方案中体现“人员配置</w:t>
            </w:r>
            <w:r>
              <w:rPr>
                <w:rFonts w:hAnsi="宋体"/>
                <w:szCs w:val="21"/>
              </w:rPr>
              <w:t>及</w:t>
            </w:r>
            <w:r>
              <w:rPr>
                <w:rFonts w:hint="eastAsia" w:hAnsi="宋体"/>
                <w:szCs w:val="21"/>
              </w:rPr>
              <w:t>岗位职责”、“工作制度及考评标准”、“</w:t>
            </w:r>
            <w:r>
              <w:rPr>
                <w:rFonts w:hint="eastAsia"/>
                <w:szCs w:val="21"/>
              </w:rPr>
              <w:t>会务接待</w:t>
            </w:r>
            <w:r>
              <w:rPr>
                <w:rFonts w:hint="eastAsia"/>
                <w:szCs w:val="21"/>
                <w:lang w:eastAsia="zh-CN"/>
              </w:rPr>
              <w:t>服务</w:t>
            </w:r>
            <w:r>
              <w:rPr>
                <w:rFonts w:hint="eastAsia" w:hAnsi="宋体"/>
                <w:szCs w:val="21"/>
              </w:rPr>
              <w:t>措施”</w:t>
            </w:r>
            <w:r>
              <w:rPr>
                <w:rFonts w:hint="eastAsia" w:hAnsi="宋体"/>
                <w:bCs/>
                <w:color w:val="auto"/>
                <w:szCs w:val="21"/>
                <w:lang w:val="en-US" w:eastAsia="zh-CN"/>
              </w:rPr>
              <w:t>3</w:t>
            </w:r>
            <w:r>
              <w:rPr>
                <w:rFonts w:hint="eastAsia" w:hAnsi="宋体"/>
                <w:szCs w:val="21"/>
              </w:rPr>
              <w:t>个方面要素，每具备一个要素且符合采购需求的加</w:t>
            </w:r>
            <w:r>
              <w:rPr>
                <w:rFonts w:hint="eastAsia" w:hAnsi="宋体"/>
                <w:bCs/>
                <w:color w:val="FF0000"/>
                <w:szCs w:val="21"/>
                <w:lang w:val="en-US" w:eastAsia="zh-CN"/>
              </w:rPr>
              <w:t>1</w:t>
            </w:r>
            <w:r>
              <w:rPr>
                <w:rFonts w:hint="eastAsia" w:hAnsi="宋体"/>
                <w:szCs w:val="21"/>
              </w:rPr>
              <w:t>分，最多加</w:t>
            </w:r>
            <w:r>
              <w:rPr>
                <w:rFonts w:hint="eastAsia" w:hAnsi="宋体"/>
                <w:bCs/>
                <w:color w:val="FF0000"/>
                <w:szCs w:val="21"/>
                <w:lang w:val="en-US" w:eastAsia="zh-CN"/>
              </w:rPr>
              <w:t>3</w:t>
            </w:r>
            <w:r>
              <w:rPr>
                <w:rFonts w:hint="eastAsia" w:hAnsi="宋体"/>
                <w:szCs w:val="21"/>
              </w:rPr>
              <w:t>分。</w:t>
            </w:r>
          </w:p>
        </w:tc>
        <w:tc>
          <w:tcPr>
            <w:tcW w:w="1134" w:type="dxa"/>
            <w:vAlign w:val="center"/>
          </w:tcPr>
          <w:p>
            <w:pPr>
              <w:jc w:val="center"/>
              <w:rPr>
                <w:rFonts w:ascii="宋体" w:hAnsi="宋体"/>
                <w:kern w:val="0"/>
                <w:szCs w:val="21"/>
              </w:rPr>
            </w:pPr>
            <w:r>
              <w:rPr>
                <w:rFonts w:hint="eastAsia" w:hAnsi="宋体"/>
                <w:bCs/>
                <w:color w:val="FF0000"/>
                <w:szCs w:val="21"/>
                <w:lang w:val="en-US" w:eastAsia="zh-CN"/>
              </w:rPr>
              <w:t>8</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648" w:type="dxa"/>
            <w:vMerge w:val="continue"/>
            <w:vAlign w:val="center"/>
          </w:tcPr>
          <w:p>
            <w:pPr>
              <w:jc w:val="center"/>
              <w:rPr>
                <w:rFonts w:ascii="宋体" w:hAnsi="宋体" w:cs="宋体"/>
                <w:kern w:val="0"/>
                <w:szCs w:val="21"/>
              </w:rPr>
            </w:pPr>
          </w:p>
        </w:tc>
        <w:tc>
          <w:tcPr>
            <w:tcW w:w="720" w:type="dxa"/>
            <w:vMerge w:val="continue"/>
            <w:vAlign w:val="center"/>
          </w:tcPr>
          <w:p>
            <w:pPr>
              <w:widowControl/>
              <w:jc w:val="center"/>
              <w:rPr>
                <w:rFonts w:ascii="宋体" w:hAnsi="宋体" w:cs="宋体"/>
                <w:bCs/>
                <w:szCs w:val="21"/>
              </w:rPr>
            </w:pPr>
          </w:p>
        </w:tc>
        <w:tc>
          <w:tcPr>
            <w:tcW w:w="1575" w:type="dxa"/>
            <w:vAlign w:val="center"/>
          </w:tcPr>
          <w:p>
            <w:pPr>
              <w:jc w:val="center"/>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）应急预案</w:t>
            </w:r>
          </w:p>
        </w:tc>
        <w:tc>
          <w:tcPr>
            <w:tcW w:w="5387" w:type="dxa"/>
            <w:vAlign w:val="center"/>
          </w:tcPr>
          <w:p>
            <w:pPr>
              <w:rPr>
                <w:rFonts w:hint="eastAsia" w:hAnsi="宋体"/>
                <w:szCs w:val="21"/>
              </w:rPr>
            </w:pPr>
            <w:r>
              <w:rPr>
                <w:rFonts w:hint="eastAsia" w:hAnsi="宋体"/>
                <w:szCs w:val="21"/>
              </w:rPr>
              <w:t>投标人提供了应急预案的得</w:t>
            </w:r>
            <w:r>
              <w:rPr>
                <w:rFonts w:hint="eastAsia" w:hAnsi="宋体"/>
                <w:bCs/>
                <w:color w:val="FF0000"/>
                <w:szCs w:val="21"/>
                <w:lang w:val="en-US" w:eastAsia="zh-CN"/>
              </w:rPr>
              <w:t>4</w:t>
            </w:r>
            <w:r>
              <w:rPr>
                <w:rFonts w:hint="eastAsia" w:hAnsi="宋体"/>
                <w:szCs w:val="21"/>
              </w:rPr>
              <w:t>分；</w:t>
            </w:r>
          </w:p>
          <w:p>
            <w:pPr>
              <w:rPr>
                <w:rFonts w:hint="eastAsia" w:hAnsi="宋体" w:eastAsia="宋体"/>
                <w:szCs w:val="21"/>
                <w:lang w:eastAsia="zh-CN"/>
              </w:rPr>
            </w:pPr>
            <w:r>
              <w:rPr>
                <w:rFonts w:hint="eastAsia" w:hAnsi="宋体"/>
                <w:szCs w:val="21"/>
              </w:rPr>
              <w:t>在此基础上</w:t>
            </w:r>
            <w:r>
              <w:rPr>
                <w:rFonts w:hint="eastAsia" w:hAnsi="宋体"/>
                <w:szCs w:val="21"/>
                <w:lang w:eastAsia="zh-CN"/>
              </w:rPr>
              <w:t>：</w:t>
            </w:r>
          </w:p>
          <w:p>
            <w:pPr>
              <w:rPr>
                <w:rFonts w:hint="eastAsia" w:hAnsi="宋体"/>
                <w:szCs w:val="21"/>
              </w:rPr>
            </w:pPr>
            <w:r>
              <w:rPr>
                <w:rFonts w:hint="eastAsia" w:hAnsi="宋体"/>
                <w:szCs w:val="21"/>
              </w:rPr>
              <w:t>方案中体现“突发性公共事件应急处置”、“火灾事故应急处理”“断水断电应急处理”、“突发设施设备异常或故障应急处理”、“</w:t>
            </w:r>
            <w:r>
              <w:rPr>
                <w:rFonts w:hint="eastAsia" w:hAnsi="宋体"/>
                <w:szCs w:val="21"/>
                <w:lang w:eastAsia="zh-CN"/>
              </w:rPr>
              <w:t>人员</w:t>
            </w:r>
            <w:r>
              <w:rPr>
                <w:rFonts w:hint="eastAsia" w:hAnsi="宋体"/>
                <w:szCs w:val="21"/>
              </w:rPr>
              <w:t>突发意外应急处理”、“公共卫生事件应急处置”6个要素的，每具备一个要素且符合采购需求的，加</w:t>
            </w:r>
            <w:r>
              <w:rPr>
                <w:rFonts w:hint="eastAsia" w:hAnsi="宋体"/>
                <w:bCs/>
                <w:color w:val="FF0000"/>
                <w:szCs w:val="21"/>
                <w:lang w:val="en-US" w:eastAsia="zh-CN"/>
              </w:rPr>
              <w:t>1</w:t>
            </w:r>
            <w:r>
              <w:rPr>
                <w:rFonts w:hint="eastAsia" w:hAnsi="宋体"/>
                <w:szCs w:val="21"/>
              </w:rPr>
              <w:t>分，最多加</w:t>
            </w:r>
            <w:r>
              <w:rPr>
                <w:rFonts w:hint="eastAsia" w:hAnsi="宋体"/>
                <w:bCs/>
                <w:color w:val="FF0000"/>
                <w:szCs w:val="21"/>
                <w:lang w:val="en-US" w:eastAsia="zh-CN"/>
              </w:rPr>
              <w:t>6</w:t>
            </w:r>
            <w:r>
              <w:rPr>
                <w:rFonts w:hint="eastAsia" w:hAnsi="宋体"/>
                <w:szCs w:val="21"/>
              </w:rPr>
              <w:t>分。</w:t>
            </w:r>
          </w:p>
        </w:tc>
        <w:tc>
          <w:tcPr>
            <w:tcW w:w="1134" w:type="dxa"/>
            <w:vAlign w:val="center"/>
          </w:tcPr>
          <w:p>
            <w:pPr>
              <w:jc w:val="center"/>
              <w:rPr>
                <w:rFonts w:hint="eastAsia" w:ascii="宋体" w:hAnsi="宋体"/>
                <w:kern w:val="0"/>
                <w:szCs w:val="21"/>
                <w:lang w:val="en-US" w:eastAsia="zh-CN"/>
              </w:rPr>
            </w:pPr>
            <w:r>
              <w:rPr>
                <w:rFonts w:hint="eastAsia" w:hAnsi="宋体"/>
                <w:bCs/>
                <w:color w:val="FF0000"/>
                <w:szCs w:val="21"/>
                <w:lang w:val="en-US" w:eastAsia="zh-CN"/>
              </w:rPr>
              <w:t>10</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48" w:type="dxa"/>
            <w:vMerge w:val="restart"/>
            <w:vAlign w:val="center"/>
          </w:tcPr>
          <w:p>
            <w:pPr>
              <w:jc w:val="center"/>
              <w:rPr>
                <w:rFonts w:ascii="宋体" w:hAnsi="宋体" w:cs="宋体"/>
                <w:kern w:val="0"/>
                <w:szCs w:val="21"/>
              </w:rPr>
            </w:pPr>
            <w:r>
              <w:rPr>
                <w:rFonts w:hint="eastAsia" w:ascii="宋体" w:hAnsi="宋体" w:cs="宋体"/>
                <w:kern w:val="0"/>
                <w:szCs w:val="21"/>
              </w:rPr>
              <w:t>3</w:t>
            </w:r>
          </w:p>
        </w:tc>
        <w:tc>
          <w:tcPr>
            <w:tcW w:w="720" w:type="dxa"/>
            <w:vMerge w:val="restart"/>
            <w:vAlign w:val="center"/>
          </w:tcPr>
          <w:p>
            <w:pPr>
              <w:jc w:val="center"/>
              <w:rPr>
                <w:rFonts w:ascii="宋体" w:hAnsi="宋体"/>
                <w:szCs w:val="21"/>
              </w:rPr>
            </w:pPr>
            <w:r>
              <w:rPr>
                <w:rFonts w:hint="eastAsia" w:ascii="宋体" w:hAnsi="宋体"/>
                <w:szCs w:val="21"/>
              </w:rPr>
              <w:t>履约能力</w:t>
            </w:r>
          </w:p>
        </w:tc>
        <w:tc>
          <w:tcPr>
            <w:tcW w:w="1575" w:type="dxa"/>
            <w:vAlign w:val="center"/>
          </w:tcPr>
          <w:p>
            <w:pPr>
              <w:jc w:val="center"/>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项目业绩</w:t>
            </w:r>
          </w:p>
        </w:tc>
        <w:tc>
          <w:tcPr>
            <w:tcW w:w="5387" w:type="dxa"/>
            <w:vAlign w:val="center"/>
          </w:tcPr>
          <w:p>
            <w:pPr>
              <w:rPr>
                <w:rFonts w:hint="eastAsia" w:ascii="宋体" w:hAnsi="宋体"/>
                <w:szCs w:val="21"/>
              </w:rPr>
            </w:pPr>
            <w:r>
              <w:rPr>
                <w:rFonts w:hint="eastAsia" w:ascii="宋体" w:hAnsi="宋体"/>
                <w:szCs w:val="21"/>
              </w:rPr>
              <w:t>以投标人20</w:t>
            </w:r>
            <w:r>
              <w:rPr>
                <w:rFonts w:hint="eastAsia" w:ascii="宋体" w:hAnsi="宋体"/>
                <w:color w:val="FF0000"/>
                <w:szCs w:val="21"/>
                <w:u w:val="none"/>
                <w:lang w:val="en-US" w:eastAsia="zh-CN"/>
              </w:rPr>
              <w:t>19</w:t>
            </w:r>
            <w:r>
              <w:rPr>
                <w:rFonts w:hint="eastAsia" w:ascii="宋体" w:hAnsi="宋体"/>
                <w:szCs w:val="21"/>
              </w:rPr>
              <w:t>年以来的类似</w:t>
            </w:r>
            <w:r>
              <w:rPr>
                <w:rFonts w:hint="eastAsia" w:ascii="宋体" w:hAnsi="宋体"/>
                <w:color w:val="auto"/>
                <w:szCs w:val="21"/>
                <w:lang w:eastAsia="zh-CN"/>
              </w:rPr>
              <w:t>非住宅</w:t>
            </w:r>
            <w:r>
              <w:rPr>
                <w:rFonts w:hint="eastAsia" w:ascii="宋体" w:hAnsi="宋体"/>
                <w:szCs w:val="21"/>
              </w:rPr>
              <w:t>项目业绩计算，每有1个得</w:t>
            </w:r>
            <w:r>
              <w:rPr>
                <w:rFonts w:hint="eastAsia" w:hAnsi="宋体"/>
                <w:bCs/>
                <w:color w:val="FF0000"/>
                <w:szCs w:val="21"/>
                <w:lang w:val="en-US" w:eastAsia="zh-CN"/>
              </w:rPr>
              <w:t>1</w:t>
            </w:r>
            <w:r>
              <w:rPr>
                <w:rFonts w:hint="eastAsia" w:ascii="宋体" w:hAnsi="宋体"/>
                <w:szCs w:val="21"/>
              </w:rPr>
              <w:t>分，本项最多得</w:t>
            </w:r>
            <w:r>
              <w:rPr>
                <w:rFonts w:hint="eastAsia" w:hAnsi="宋体"/>
                <w:bCs/>
                <w:color w:val="FF0000"/>
                <w:szCs w:val="21"/>
                <w:lang w:val="en-US" w:eastAsia="zh-CN"/>
              </w:rPr>
              <w:t>8</w:t>
            </w:r>
            <w:r>
              <w:rPr>
                <w:rFonts w:hint="eastAsia" w:ascii="宋体" w:hAnsi="宋体"/>
                <w:szCs w:val="21"/>
              </w:rPr>
              <w:t>分。</w:t>
            </w:r>
          </w:p>
          <w:p>
            <w:pPr>
              <w:rPr>
                <w:rFonts w:hint="eastAsia" w:ascii="宋体" w:hAnsi="宋体"/>
                <w:szCs w:val="21"/>
              </w:rPr>
            </w:pPr>
          </w:p>
          <w:p>
            <w:pPr>
              <w:widowControl/>
              <w:jc w:val="left"/>
              <w:rPr>
                <w:rFonts w:ascii="宋体" w:hAnsi="宋体" w:cs="宋体"/>
                <w:szCs w:val="21"/>
                <w:lang w:bidi="ar"/>
              </w:rPr>
            </w:pPr>
            <w:r>
              <w:rPr>
                <w:rFonts w:hint="eastAsia" w:ascii="宋体" w:hAnsi="宋体"/>
                <w:szCs w:val="21"/>
              </w:rPr>
              <w:t>提供项目业绩合同复印件和合同资金支付的银行票据复印件（合同资金为分期付款的，至少应提供一次合同资金支付的银行票据复印件）。</w:t>
            </w:r>
          </w:p>
        </w:tc>
        <w:tc>
          <w:tcPr>
            <w:tcW w:w="1134" w:type="dxa"/>
            <w:vAlign w:val="center"/>
          </w:tcPr>
          <w:p>
            <w:pPr>
              <w:jc w:val="center"/>
              <w:rPr>
                <w:rFonts w:ascii="宋体" w:hAnsi="宋体"/>
                <w:bCs/>
                <w:szCs w:val="21"/>
              </w:rPr>
            </w:pPr>
            <w:r>
              <w:rPr>
                <w:rFonts w:hint="eastAsia" w:hAnsi="宋体"/>
                <w:bCs/>
                <w:color w:val="FF0000"/>
                <w:szCs w:val="21"/>
                <w:lang w:val="en-US" w:eastAsia="zh-CN"/>
              </w:rPr>
              <w:t>8</w:t>
            </w:r>
            <w:r>
              <w:rPr>
                <w:rFonts w:hint="eastAsia" w:ascii="宋体" w:hAnsi="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648" w:type="dxa"/>
            <w:vMerge w:val="continue"/>
            <w:vAlign w:val="center"/>
          </w:tcPr>
          <w:p>
            <w:pPr>
              <w:widowControl/>
              <w:jc w:val="center"/>
              <w:rPr>
                <w:rFonts w:ascii="宋体" w:hAnsi="宋体" w:cs="宋体"/>
                <w:kern w:val="0"/>
                <w:szCs w:val="21"/>
              </w:rPr>
            </w:pPr>
          </w:p>
        </w:tc>
        <w:tc>
          <w:tcPr>
            <w:tcW w:w="720" w:type="dxa"/>
            <w:vMerge w:val="continue"/>
            <w:vAlign w:val="center"/>
          </w:tcPr>
          <w:p>
            <w:pPr>
              <w:widowControl/>
              <w:jc w:val="center"/>
              <w:rPr>
                <w:rFonts w:ascii="宋体" w:hAnsi="宋体"/>
                <w:szCs w:val="21"/>
              </w:rPr>
            </w:pPr>
          </w:p>
        </w:tc>
        <w:tc>
          <w:tcPr>
            <w:tcW w:w="1575" w:type="dxa"/>
            <w:vAlign w:val="center"/>
          </w:tcPr>
          <w:p>
            <w:pPr>
              <w:widowControl/>
              <w:jc w:val="both"/>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资信</w:t>
            </w:r>
          </w:p>
        </w:tc>
        <w:tc>
          <w:tcPr>
            <w:tcW w:w="5387" w:type="dxa"/>
            <w:vAlign w:val="center"/>
          </w:tcPr>
          <w:p>
            <w:pPr>
              <w:pStyle w:val="16"/>
              <w:rPr>
                <w:rFonts w:ascii="宋体" w:hAnsi="宋体"/>
                <w:szCs w:val="21"/>
              </w:rPr>
            </w:pPr>
            <w:r>
              <w:rPr>
                <w:rFonts w:hint="eastAsia" w:ascii="宋体" w:hAnsi="宋体"/>
                <w:szCs w:val="21"/>
              </w:rPr>
              <w:t>（1）</w:t>
            </w:r>
            <w:r>
              <w:rPr>
                <w:rFonts w:hint="eastAsia" w:ascii="宋体" w:hAnsi="宋体"/>
                <w:szCs w:val="21"/>
                <w:lang w:eastAsia="zh-CN"/>
              </w:rPr>
              <w:t>投标人</w:t>
            </w:r>
            <w:r>
              <w:rPr>
                <w:rFonts w:hint="eastAsia" w:ascii="宋体" w:hAnsi="宋体"/>
                <w:szCs w:val="21"/>
              </w:rPr>
              <w:t>获得</w:t>
            </w:r>
            <w:r>
              <w:rPr>
                <w:rFonts w:hint="eastAsia" w:ascii="宋体" w:hAnsi="宋体"/>
              </w:rPr>
              <w:t>GB/T24001系列或</w:t>
            </w:r>
            <w:r>
              <w:rPr>
                <w:rFonts w:hint="eastAsia" w:ascii="宋体" w:hAnsi="宋体"/>
                <w:szCs w:val="21"/>
              </w:rPr>
              <w:t>ISO14001认证得</w:t>
            </w:r>
            <w:r>
              <w:rPr>
                <w:rFonts w:hint="eastAsia" w:hAnsi="宋体"/>
                <w:bCs/>
                <w:color w:val="FF0000"/>
                <w:szCs w:val="21"/>
                <w:lang w:val="en-US" w:eastAsia="zh-CN"/>
              </w:rPr>
              <w:t>1</w:t>
            </w:r>
            <w:r>
              <w:rPr>
                <w:rFonts w:hint="eastAsia" w:ascii="宋体" w:hAnsi="宋体"/>
                <w:szCs w:val="21"/>
              </w:rPr>
              <w:t>分；</w:t>
            </w:r>
          </w:p>
          <w:p>
            <w:pPr>
              <w:pStyle w:val="16"/>
              <w:rPr>
                <w:rFonts w:ascii="宋体" w:hAnsi="宋体"/>
                <w:szCs w:val="21"/>
              </w:rPr>
            </w:pPr>
            <w:r>
              <w:rPr>
                <w:rFonts w:hint="eastAsia" w:ascii="宋体" w:hAnsi="宋体"/>
                <w:szCs w:val="21"/>
              </w:rPr>
              <w:t>（2）</w:t>
            </w:r>
            <w:r>
              <w:rPr>
                <w:rFonts w:hint="eastAsia" w:ascii="宋体" w:hAnsi="宋体"/>
                <w:szCs w:val="21"/>
                <w:lang w:eastAsia="zh-CN"/>
              </w:rPr>
              <w:t>投标人</w:t>
            </w:r>
            <w:r>
              <w:rPr>
                <w:rFonts w:hint="eastAsia" w:ascii="宋体" w:hAnsi="宋体"/>
                <w:szCs w:val="21"/>
              </w:rPr>
              <w:t>获得</w:t>
            </w:r>
            <w:r>
              <w:rPr>
                <w:rFonts w:hint="eastAsia" w:ascii="宋体" w:hAnsi="宋体"/>
              </w:rPr>
              <w:t>GB/T19001系列或</w:t>
            </w:r>
            <w:r>
              <w:rPr>
                <w:rFonts w:hint="eastAsia" w:ascii="宋体" w:hAnsi="宋体"/>
                <w:szCs w:val="21"/>
              </w:rPr>
              <w:t>ISO9001认证得</w:t>
            </w:r>
            <w:r>
              <w:rPr>
                <w:rFonts w:hint="eastAsia" w:hAnsi="宋体"/>
                <w:bCs/>
                <w:color w:val="FF0000"/>
                <w:szCs w:val="21"/>
                <w:lang w:val="en-US" w:eastAsia="zh-CN"/>
              </w:rPr>
              <w:t>1</w:t>
            </w:r>
            <w:r>
              <w:rPr>
                <w:rFonts w:hint="eastAsia" w:ascii="宋体" w:hAnsi="宋体"/>
                <w:szCs w:val="21"/>
              </w:rPr>
              <w:t>分；</w:t>
            </w:r>
          </w:p>
          <w:p>
            <w:pPr>
              <w:pStyle w:val="16"/>
              <w:rPr>
                <w:rFonts w:hint="eastAsia" w:ascii="宋体" w:hAnsi="宋体"/>
                <w:szCs w:val="21"/>
              </w:rPr>
            </w:pPr>
            <w:r>
              <w:rPr>
                <w:rFonts w:hint="eastAsia" w:ascii="宋体" w:hAnsi="宋体"/>
                <w:szCs w:val="21"/>
              </w:rPr>
              <w:t>（3）</w:t>
            </w:r>
            <w:r>
              <w:rPr>
                <w:rFonts w:hint="eastAsia" w:ascii="宋体" w:hAnsi="宋体"/>
                <w:szCs w:val="21"/>
                <w:lang w:eastAsia="zh-CN"/>
              </w:rPr>
              <w:t>投标人</w:t>
            </w:r>
            <w:r>
              <w:rPr>
                <w:rFonts w:hint="eastAsia" w:ascii="宋体" w:hAnsi="宋体"/>
                <w:szCs w:val="21"/>
              </w:rPr>
              <w:t>获得</w:t>
            </w:r>
            <w:r>
              <w:rPr>
                <w:rFonts w:hint="eastAsia" w:ascii="宋体" w:hAnsi="宋体"/>
              </w:rPr>
              <w:t>GB/T28001系列</w:t>
            </w:r>
            <w:r>
              <w:rPr>
                <w:rFonts w:hint="eastAsia" w:ascii="宋体" w:hAnsi="宋体"/>
                <w:lang w:eastAsia="zh-CN"/>
              </w:rPr>
              <w:t>或</w:t>
            </w:r>
            <w:r>
              <w:rPr>
                <w:rFonts w:hint="eastAsia" w:ascii="宋体" w:hAnsi="宋体"/>
                <w:szCs w:val="21"/>
              </w:rPr>
              <w:t>OHSAS18001</w:t>
            </w:r>
            <w:r>
              <w:rPr>
                <w:rFonts w:hint="eastAsia" w:ascii="宋体" w:hAnsi="宋体" w:cs="Times New Roman"/>
                <w:szCs w:val="21"/>
              </w:rPr>
              <w:t>或IS045001认证得</w:t>
            </w:r>
            <w:r>
              <w:rPr>
                <w:rFonts w:hint="eastAsia" w:hAnsi="宋体"/>
                <w:bCs/>
                <w:color w:val="FF0000"/>
                <w:szCs w:val="21"/>
                <w:lang w:val="en-US" w:eastAsia="zh-CN"/>
              </w:rPr>
              <w:t>1</w:t>
            </w:r>
            <w:r>
              <w:rPr>
                <w:rFonts w:hint="eastAsia" w:ascii="宋体" w:hAnsi="宋体"/>
                <w:szCs w:val="21"/>
              </w:rPr>
              <w:t>分；</w:t>
            </w:r>
          </w:p>
          <w:p>
            <w:pPr>
              <w:rPr>
                <w:rFonts w:hAnsi="宋体"/>
                <w:b/>
                <w:szCs w:val="21"/>
              </w:rPr>
            </w:pPr>
            <w:r>
              <w:rPr>
                <w:rFonts w:hint="eastAsia" w:ascii="宋体"/>
                <w:szCs w:val="21"/>
                <w:lang w:eastAsia="zh-CN"/>
              </w:rPr>
              <w:t>（</w:t>
            </w:r>
            <w:r>
              <w:rPr>
                <w:rFonts w:hint="eastAsia" w:ascii="宋体"/>
                <w:szCs w:val="21"/>
                <w:lang w:val="en-US" w:eastAsia="zh-CN"/>
              </w:rPr>
              <w:t>4</w:t>
            </w:r>
            <w:r>
              <w:rPr>
                <w:rFonts w:hint="eastAsia" w:ascii="宋体"/>
                <w:szCs w:val="21"/>
                <w:lang w:eastAsia="zh-CN"/>
              </w:rPr>
              <w:t>）</w:t>
            </w:r>
            <w:r>
              <w:rPr>
                <w:rFonts w:hint="eastAsia" w:ascii="宋体"/>
                <w:szCs w:val="21"/>
              </w:rPr>
              <w:t>投标人具有在有效期内的GB/T31950-2015企业诚信管理体系认证证书的，得</w:t>
            </w:r>
            <w:r>
              <w:rPr>
                <w:rFonts w:hint="eastAsia" w:ascii="宋体"/>
                <w:color w:val="FF0000"/>
                <w:szCs w:val="21"/>
                <w:lang w:val="en-US" w:eastAsia="zh-CN"/>
              </w:rPr>
              <w:t>2</w:t>
            </w:r>
            <w:r>
              <w:rPr>
                <w:rFonts w:hint="eastAsia" w:ascii="宋体"/>
                <w:szCs w:val="21"/>
              </w:rPr>
              <w:t>分。</w:t>
            </w:r>
          </w:p>
          <w:p>
            <w:pPr>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）从20</w:t>
            </w:r>
            <w:r>
              <w:rPr>
                <w:rFonts w:hint="eastAsia" w:hAnsi="宋体"/>
                <w:bCs/>
                <w:color w:val="FF0000"/>
                <w:szCs w:val="21"/>
                <w:lang w:val="en-US" w:eastAsia="zh-CN"/>
              </w:rPr>
              <w:t>19</w:t>
            </w:r>
            <w:r>
              <w:rPr>
                <w:rFonts w:hint="eastAsia" w:ascii="宋体" w:hAnsi="宋体"/>
                <w:szCs w:val="21"/>
              </w:rPr>
              <w:t>年至今，有管理项目获得过县级</w:t>
            </w:r>
            <w:r>
              <w:rPr>
                <w:rFonts w:hint="eastAsia" w:ascii="宋体" w:hAnsi="宋体"/>
                <w:szCs w:val="21"/>
                <w:lang w:eastAsia="zh-CN"/>
              </w:rPr>
              <w:t>及以上</w:t>
            </w:r>
            <w:r>
              <w:rPr>
                <w:rFonts w:hint="eastAsia" w:ascii="宋体" w:hAnsi="宋体"/>
                <w:szCs w:val="21"/>
              </w:rPr>
              <w:t>政府部门表彰的得</w:t>
            </w:r>
            <w:r>
              <w:rPr>
                <w:rFonts w:hint="eastAsia" w:hAnsi="宋体"/>
                <w:bCs/>
                <w:color w:val="FF0000"/>
                <w:szCs w:val="21"/>
                <w:lang w:val="en-US" w:eastAsia="zh-CN"/>
              </w:rPr>
              <w:t>1</w:t>
            </w:r>
            <w:r>
              <w:rPr>
                <w:rFonts w:hint="eastAsia" w:ascii="宋体" w:hAnsi="宋体"/>
                <w:szCs w:val="21"/>
              </w:rPr>
              <w:t>分</w:t>
            </w:r>
            <w:r>
              <w:rPr>
                <w:rFonts w:hint="eastAsia" w:ascii="宋体" w:hAnsi="宋体"/>
                <w:szCs w:val="21"/>
                <w:lang w:eastAsia="zh-CN"/>
              </w:rPr>
              <w:t>，</w:t>
            </w:r>
            <w:r>
              <w:rPr>
                <w:rFonts w:hint="eastAsia" w:ascii="宋体" w:hAnsi="宋体"/>
                <w:szCs w:val="21"/>
              </w:rPr>
              <w:t>本项最多得</w:t>
            </w:r>
            <w:r>
              <w:rPr>
                <w:rFonts w:hint="eastAsia" w:hAnsi="宋体"/>
                <w:bCs/>
                <w:color w:val="FF0000"/>
                <w:szCs w:val="21"/>
                <w:lang w:val="en-US" w:eastAsia="zh-CN"/>
              </w:rPr>
              <w:t>1</w:t>
            </w:r>
            <w:r>
              <w:rPr>
                <w:rFonts w:hint="eastAsia" w:ascii="宋体" w:hAnsi="宋体"/>
                <w:szCs w:val="21"/>
              </w:rPr>
              <w:t>分。</w:t>
            </w:r>
          </w:p>
          <w:p>
            <w:pPr>
              <w:widowControl/>
              <w:jc w:val="left"/>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）根据业主用户出具的投标人20</w:t>
            </w:r>
            <w:r>
              <w:rPr>
                <w:rFonts w:hint="eastAsia" w:hAnsi="宋体"/>
                <w:bCs/>
                <w:color w:val="FF0000"/>
                <w:szCs w:val="21"/>
                <w:lang w:val="en-US" w:eastAsia="zh-CN"/>
              </w:rPr>
              <w:t>19</w:t>
            </w:r>
            <w:r>
              <w:rPr>
                <w:rFonts w:hint="eastAsia" w:ascii="宋体" w:hAnsi="宋体"/>
                <w:szCs w:val="21"/>
              </w:rPr>
              <w:t>年以来服务过的类似项目的综合评价书面证明评分：每有一个合同项目的综合评价书面证明为满意的，得</w:t>
            </w:r>
            <w:r>
              <w:rPr>
                <w:rFonts w:hint="eastAsia" w:hAnsi="宋体"/>
                <w:bCs/>
                <w:color w:val="FF0000"/>
                <w:szCs w:val="21"/>
                <w:lang w:val="en-US" w:eastAsia="zh-CN"/>
              </w:rPr>
              <w:t>1</w:t>
            </w:r>
            <w:r>
              <w:rPr>
                <w:rFonts w:hint="eastAsia" w:ascii="宋体" w:hAnsi="宋体"/>
                <w:szCs w:val="21"/>
              </w:rPr>
              <w:t>分，本项最多得</w:t>
            </w:r>
            <w:r>
              <w:rPr>
                <w:rFonts w:hint="eastAsia" w:hAnsi="宋体"/>
                <w:bCs/>
                <w:color w:val="FF0000"/>
                <w:szCs w:val="21"/>
                <w:lang w:val="en-US" w:eastAsia="zh-CN"/>
              </w:rPr>
              <w:t>4</w:t>
            </w:r>
            <w:r>
              <w:rPr>
                <w:rFonts w:hint="eastAsia" w:ascii="宋体" w:hAnsi="宋体"/>
                <w:szCs w:val="21"/>
              </w:rPr>
              <w:t>分。</w:t>
            </w:r>
          </w:p>
          <w:p>
            <w:pPr>
              <w:widowControl/>
              <w:jc w:val="left"/>
              <w:rPr>
                <w:rFonts w:hint="eastAsia" w:ascii="宋体" w:hAnsi="宋体"/>
                <w:color w:val="auto"/>
                <w:szCs w:val="21"/>
              </w:rPr>
            </w:pPr>
          </w:p>
          <w:p>
            <w:pPr>
              <w:widowControl/>
              <w:jc w:val="left"/>
              <w:rPr>
                <w:rFonts w:ascii="宋体" w:hAnsi="宋体"/>
                <w:szCs w:val="21"/>
              </w:rPr>
            </w:pPr>
            <w:r>
              <w:rPr>
                <w:rFonts w:hint="eastAsia" w:ascii="宋体" w:hAnsi="宋体"/>
                <w:color w:val="auto"/>
                <w:szCs w:val="21"/>
              </w:rPr>
              <w:t>评分项第（1）-（</w:t>
            </w:r>
            <w:r>
              <w:rPr>
                <w:rFonts w:hint="eastAsia" w:ascii="宋体" w:hAnsi="宋体"/>
                <w:color w:val="auto"/>
                <w:szCs w:val="21"/>
                <w:lang w:val="en-US" w:eastAsia="zh-CN"/>
              </w:rPr>
              <w:t>4</w:t>
            </w:r>
            <w:r>
              <w:rPr>
                <w:rFonts w:hint="eastAsia" w:ascii="宋体" w:hAnsi="宋体"/>
                <w:color w:val="auto"/>
                <w:szCs w:val="21"/>
              </w:rPr>
              <w:t>）项提供有效证书</w:t>
            </w:r>
            <w:r>
              <w:rPr>
                <w:rFonts w:hint="eastAsia" w:ascii="宋体" w:hAnsi="宋体"/>
                <w:color w:val="auto"/>
                <w:szCs w:val="21"/>
                <w:lang w:eastAsia="zh-CN"/>
              </w:rPr>
              <w:t>复印件</w:t>
            </w:r>
            <w:r>
              <w:rPr>
                <w:rFonts w:hint="eastAsia" w:ascii="宋体" w:hAnsi="宋体"/>
                <w:color w:val="auto"/>
                <w:szCs w:val="21"/>
              </w:rPr>
              <w:t>，复印件加盖投标人公章鲜章；评分项第（</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eastAsia="zh-CN"/>
              </w:rPr>
              <w:t>项提供</w:t>
            </w:r>
            <w:r>
              <w:rPr>
                <w:rFonts w:hint="eastAsia" w:ascii="宋体" w:hAnsi="宋体"/>
                <w:szCs w:val="21"/>
              </w:rPr>
              <w:t>县级</w:t>
            </w:r>
            <w:r>
              <w:rPr>
                <w:rFonts w:hint="eastAsia" w:ascii="宋体" w:hAnsi="宋体"/>
                <w:szCs w:val="21"/>
                <w:lang w:eastAsia="zh-CN"/>
              </w:rPr>
              <w:t>及以上</w:t>
            </w:r>
            <w:r>
              <w:rPr>
                <w:rFonts w:hint="eastAsia" w:ascii="宋体" w:hAnsi="宋体"/>
                <w:szCs w:val="21"/>
              </w:rPr>
              <w:t>政府部门</w:t>
            </w:r>
            <w:r>
              <w:rPr>
                <w:rFonts w:hint="eastAsia" w:ascii="宋体" w:hAnsi="宋体"/>
                <w:color w:val="auto"/>
                <w:szCs w:val="21"/>
              </w:rPr>
              <w:t>出具的有效证书、文件复印件，复印件加盖投标人公章鲜章；评分项第（</w:t>
            </w:r>
            <w:r>
              <w:rPr>
                <w:rFonts w:hint="eastAsia" w:ascii="宋体" w:hAnsi="宋体"/>
                <w:color w:val="auto"/>
                <w:szCs w:val="21"/>
                <w:lang w:val="en-US" w:eastAsia="zh-CN"/>
              </w:rPr>
              <w:t>6</w:t>
            </w:r>
            <w:r>
              <w:rPr>
                <w:rFonts w:hint="eastAsia" w:ascii="宋体" w:hAnsi="宋体"/>
                <w:color w:val="auto"/>
                <w:szCs w:val="21"/>
              </w:rPr>
              <w:t>）项提供合同和综合评价书面证明材料复印件，复印件加盖投标人公章鲜章。</w:t>
            </w:r>
          </w:p>
        </w:tc>
        <w:tc>
          <w:tcPr>
            <w:tcW w:w="1134" w:type="dxa"/>
            <w:vAlign w:val="center"/>
          </w:tcPr>
          <w:p>
            <w:pPr>
              <w:widowControl/>
              <w:ind w:left="-38"/>
              <w:jc w:val="center"/>
              <w:rPr>
                <w:rFonts w:ascii="宋体" w:hAnsi="宋体"/>
                <w:bCs/>
                <w:szCs w:val="21"/>
              </w:rPr>
            </w:pPr>
            <w:r>
              <w:rPr>
                <w:rFonts w:hint="eastAsia" w:hAnsi="宋体"/>
                <w:bCs/>
                <w:color w:val="FF0000"/>
                <w:szCs w:val="21"/>
                <w:lang w:val="en-US" w:eastAsia="zh-CN"/>
              </w:rPr>
              <w:t>10</w:t>
            </w:r>
            <w:r>
              <w:rPr>
                <w:rFonts w:hint="eastAsia" w:ascii="宋体" w:hAnsi="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648" w:type="dxa"/>
            <w:vMerge w:val="restart"/>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720" w:type="dxa"/>
            <w:vMerge w:val="restart"/>
            <w:vAlign w:val="center"/>
          </w:tcPr>
          <w:p>
            <w:pPr>
              <w:widowControl/>
              <w:jc w:val="center"/>
              <w:rPr>
                <w:rFonts w:hint="eastAsia" w:ascii="宋体" w:hAnsi="宋体" w:eastAsia="宋体"/>
                <w:szCs w:val="21"/>
                <w:lang w:eastAsia="zh-CN"/>
              </w:rPr>
            </w:pPr>
            <w:r>
              <w:rPr>
                <w:rFonts w:hint="eastAsia" w:ascii="宋体" w:hAnsi="宋体"/>
                <w:szCs w:val="21"/>
                <w:lang w:eastAsia="zh-CN"/>
              </w:rPr>
              <w:t>扶持政策</w:t>
            </w:r>
          </w:p>
        </w:tc>
        <w:tc>
          <w:tcPr>
            <w:tcW w:w="1575" w:type="dxa"/>
            <w:vAlign w:val="center"/>
          </w:tcPr>
          <w:p>
            <w:pPr>
              <w:jc w:val="center"/>
              <w:rPr>
                <w:rFonts w:hint="eastAsia" w:ascii="宋体" w:hAnsi="宋体"/>
                <w:szCs w:val="21"/>
              </w:rPr>
            </w:pPr>
            <w:r>
              <w:rPr>
                <w:rFonts w:hint="eastAsia" w:hAnsi="宋体"/>
                <w:szCs w:val="21"/>
              </w:rPr>
              <w:t>支持不发达地区或少数民族地区</w:t>
            </w:r>
          </w:p>
        </w:tc>
        <w:tc>
          <w:tcPr>
            <w:tcW w:w="5387" w:type="dxa"/>
            <w:vAlign w:val="center"/>
          </w:tcPr>
          <w:p>
            <w:pPr>
              <w:rPr>
                <w:rFonts w:hAnsi="宋体"/>
                <w:szCs w:val="21"/>
              </w:rPr>
            </w:pPr>
            <w:r>
              <w:rPr>
                <w:rFonts w:hint="eastAsia" w:ascii="宋体" w:hAnsi="宋体"/>
                <w:szCs w:val="21"/>
              </w:rPr>
              <w:t>供应商注册地为少数民族或不发达地区的</w:t>
            </w:r>
            <w:r>
              <w:rPr>
                <w:rFonts w:hint="eastAsia" w:hAnsi="宋体"/>
                <w:szCs w:val="21"/>
              </w:rPr>
              <w:t>得</w:t>
            </w:r>
            <w:r>
              <w:rPr>
                <w:rFonts w:hint="eastAsia" w:hAnsi="宋体"/>
                <w:bCs/>
                <w:color w:val="FF0000"/>
                <w:szCs w:val="21"/>
                <w:lang w:val="en-US" w:eastAsia="zh-CN"/>
              </w:rPr>
              <w:t>1</w:t>
            </w:r>
            <w:r>
              <w:rPr>
                <w:rFonts w:hint="eastAsia" w:hAnsi="宋体"/>
                <w:szCs w:val="21"/>
              </w:rPr>
              <w:t>分。</w:t>
            </w:r>
          </w:p>
          <w:p>
            <w:pPr>
              <w:rPr>
                <w:rFonts w:hint="eastAsia" w:ascii="宋体" w:hAnsi="宋体"/>
                <w:color w:val="auto"/>
                <w:szCs w:val="21"/>
              </w:rPr>
            </w:pPr>
            <w:r>
              <w:rPr>
                <w:rFonts w:hint="eastAsia" w:hAnsi="宋体"/>
                <w:szCs w:val="21"/>
              </w:rPr>
              <w:cr/>
            </w:r>
            <w:r>
              <w:rPr>
                <w:rFonts w:hint="eastAsia" w:hAnsi="宋体"/>
                <w:szCs w:val="21"/>
              </w:rPr>
              <w:t>(说明：在投标文件中承诺。）</w:t>
            </w:r>
          </w:p>
        </w:tc>
        <w:tc>
          <w:tcPr>
            <w:tcW w:w="1134" w:type="dxa"/>
            <w:vAlign w:val="center"/>
          </w:tcPr>
          <w:p>
            <w:pPr>
              <w:jc w:val="center"/>
              <w:rPr>
                <w:rFonts w:hint="eastAsia" w:hAnsi="宋体"/>
                <w:bCs/>
                <w:color w:val="FF0000"/>
                <w:szCs w:val="21"/>
                <w:lang w:val="en-US" w:eastAsia="zh-CN"/>
              </w:rPr>
            </w:pPr>
            <w:r>
              <w:rPr>
                <w:rFonts w:hint="eastAsia" w:hAnsi="宋体"/>
                <w:bCs/>
                <w:color w:val="FF0000"/>
                <w:szCs w:val="21"/>
                <w:lang w:val="en-US" w:eastAsia="zh-CN"/>
              </w:rPr>
              <w:t>1</w:t>
            </w:r>
            <w:r>
              <w:rPr>
                <w:rFonts w:hint="eastAsia" w:ascii="宋体" w:hAnsi="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648" w:type="dxa"/>
            <w:vMerge w:val="continue"/>
            <w:vAlign w:val="center"/>
          </w:tcPr>
          <w:p>
            <w:pPr>
              <w:widowControl/>
              <w:jc w:val="center"/>
              <w:rPr>
                <w:rFonts w:ascii="宋体" w:hAnsi="宋体" w:cs="宋体"/>
                <w:kern w:val="0"/>
                <w:szCs w:val="21"/>
              </w:rPr>
            </w:pPr>
          </w:p>
        </w:tc>
        <w:tc>
          <w:tcPr>
            <w:tcW w:w="720" w:type="dxa"/>
            <w:vMerge w:val="continue"/>
            <w:vAlign w:val="center"/>
          </w:tcPr>
          <w:p>
            <w:pPr>
              <w:widowControl/>
              <w:jc w:val="center"/>
              <w:rPr>
                <w:rFonts w:ascii="宋体" w:hAnsi="宋体"/>
                <w:szCs w:val="21"/>
              </w:rPr>
            </w:pPr>
          </w:p>
        </w:tc>
        <w:tc>
          <w:tcPr>
            <w:tcW w:w="1575" w:type="dxa"/>
            <w:vAlign w:val="center"/>
          </w:tcPr>
          <w:p>
            <w:pPr>
              <w:jc w:val="center"/>
              <w:rPr>
                <w:rFonts w:hint="eastAsia" w:ascii="宋体" w:hAnsi="宋体"/>
                <w:szCs w:val="21"/>
              </w:rPr>
            </w:pPr>
            <w:r>
              <w:rPr>
                <w:rFonts w:hint="eastAsia"/>
                <w:szCs w:val="21"/>
              </w:rPr>
              <w:t>贫困地区物业公司</w:t>
            </w:r>
          </w:p>
        </w:tc>
        <w:tc>
          <w:tcPr>
            <w:tcW w:w="5387" w:type="dxa"/>
            <w:vAlign w:val="center"/>
          </w:tcPr>
          <w:p>
            <w:pPr>
              <w:rPr>
                <w:szCs w:val="21"/>
              </w:rPr>
            </w:pPr>
            <w:r>
              <w:rPr>
                <w:rFonts w:hint="eastAsia"/>
                <w:szCs w:val="21"/>
              </w:rPr>
              <w:t>投标人注册地在832个国家级贫困县域内，且投标人聘用建档立卡贫困人员的，得</w:t>
            </w:r>
            <w:r>
              <w:rPr>
                <w:rFonts w:hint="eastAsia" w:hAnsi="宋体"/>
                <w:bCs/>
                <w:color w:val="FF0000"/>
                <w:szCs w:val="21"/>
                <w:lang w:val="en-US" w:eastAsia="zh-CN"/>
              </w:rPr>
              <w:t>1</w:t>
            </w:r>
            <w:r>
              <w:rPr>
                <w:rFonts w:hint="eastAsia"/>
                <w:szCs w:val="21"/>
              </w:rPr>
              <w:t>分。</w:t>
            </w:r>
          </w:p>
          <w:p>
            <w:pPr>
              <w:rPr>
                <w:rFonts w:hint="eastAsia" w:ascii="宋体" w:hAnsi="宋体"/>
                <w:color w:val="auto"/>
                <w:szCs w:val="21"/>
              </w:rPr>
            </w:pPr>
            <w:r>
              <w:rPr>
                <w:rFonts w:hint="eastAsia"/>
                <w:szCs w:val="21"/>
              </w:rPr>
              <w:cr/>
            </w:r>
            <w:r>
              <w:rPr>
                <w:rFonts w:hint="eastAsia"/>
                <w:szCs w:val="21"/>
              </w:rPr>
              <w:t>(说明：1、提供营业执照复印件，且注册地在832个国家级贫困县域内。2、提供注册所在县扶贫部门出具的聘用建档立卡贫困人员具体数量的证明材料复印件。）</w:t>
            </w:r>
          </w:p>
        </w:tc>
        <w:tc>
          <w:tcPr>
            <w:tcW w:w="1134" w:type="dxa"/>
            <w:vAlign w:val="center"/>
          </w:tcPr>
          <w:p>
            <w:pPr>
              <w:jc w:val="center"/>
              <w:rPr>
                <w:rFonts w:hint="eastAsia" w:hAnsi="宋体"/>
                <w:bCs/>
                <w:color w:val="FF0000"/>
                <w:szCs w:val="21"/>
                <w:lang w:val="en-US" w:eastAsia="zh-CN"/>
              </w:rPr>
            </w:pPr>
            <w:r>
              <w:rPr>
                <w:rFonts w:hint="eastAsia" w:hAnsi="宋体"/>
                <w:bCs/>
                <w:color w:val="FF0000"/>
                <w:szCs w:val="21"/>
                <w:lang w:val="en-US" w:eastAsia="zh-CN"/>
              </w:rPr>
              <w:t>1</w:t>
            </w:r>
            <w:r>
              <w:rPr>
                <w:rFonts w:hint="eastAsia" w:ascii="宋体" w:hAnsi="宋体"/>
                <w:bCs/>
                <w:szCs w:val="21"/>
              </w:rPr>
              <w:t>分</w:t>
            </w:r>
          </w:p>
        </w:tc>
      </w:tr>
    </w:tbl>
    <w:p/>
    <w:p>
      <w:pPr>
        <w:spacing w:line="56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说明：</w:t>
      </w:r>
    </w:p>
    <w:p>
      <w:pPr>
        <w:spacing w:line="56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1、评分的取值按四舍五入法，保留小数点后两位；</w:t>
      </w:r>
    </w:p>
    <w:p>
      <w:pPr>
        <w:spacing w:line="56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2、评分标准中要求提供复印件的证明材料须清晰可辨。</w:t>
      </w:r>
    </w:p>
    <w:p>
      <w:pPr>
        <w:pStyle w:val="4"/>
        <w:numPr>
          <w:ilvl w:val="1"/>
          <w:numId w:val="4"/>
        </w:numPr>
        <w:spacing w:before="0" w:after="0" w:line="560" w:lineRule="exact"/>
        <w:ind w:left="2269" w:hanging="2127"/>
        <w:rPr>
          <w:color w:val="000000" w:themeColor="text1"/>
          <w14:textFill>
            <w14:solidFill>
              <w14:schemeClr w14:val="tx1"/>
            </w14:solidFill>
          </w14:textFill>
        </w:rPr>
      </w:pPr>
      <w:bookmarkStart w:id="323" w:name="_Toc315871725"/>
      <w:bookmarkEnd w:id="323"/>
      <w:bookmarkStart w:id="324" w:name="_Toc315871656"/>
      <w:bookmarkEnd w:id="324"/>
      <w:bookmarkStart w:id="325" w:name="_Toc320624290"/>
      <w:bookmarkEnd w:id="325"/>
      <w:bookmarkStart w:id="326" w:name="_Toc320624275"/>
      <w:bookmarkEnd w:id="326"/>
      <w:bookmarkStart w:id="327" w:name="_Toc320624265"/>
      <w:bookmarkEnd w:id="327"/>
      <w:bookmarkStart w:id="328" w:name="_Toc315871658"/>
      <w:bookmarkEnd w:id="328"/>
      <w:bookmarkStart w:id="329" w:name="_Toc320624260"/>
      <w:bookmarkEnd w:id="329"/>
      <w:bookmarkStart w:id="330" w:name="_Toc315871657"/>
      <w:bookmarkEnd w:id="330"/>
      <w:bookmarkStart w:id="331" w:name="_Toc320624255"/>
      <w:bookmarkEnd w:id="331"/>
      <w:bookmarkStart w:id="332" w:name="_Toc320624285"/>
      <w:bookmarkEnd w:id="332"/>
      <w:bookmarkStart w:id="333" w:name="_Toc320624240"/>
      <w:bookmarkEnd w:id="333"/>
      <w:bookmarkStart w:id="334" w:name="_Toc320624280"/>
      <w:bookmarkEnd w:id="334"/>
      <w:bookmarkStart w:id="335" w:name="_Toc320624295"/>
      <w:bookmarkEnd w:id="335"/>
      <w:bookmarkStart w:id="336" w:name="_Toc318206701"/>
      <w:bookmarkEnd w:id="336"/>
      <w:bookmarkStart w:id="337" w:name="_Toc15076"/>
      <w:bookmarkStart w:id="338" w:name="_Toc18803"/>
      <w:bookmarkStart w:id="339" w:name="_Toc23841"/>
      <w:bookmarkStart w:id="340" w:name="_Toc315871726"/>
      <w:bookmarkStart w:id="341" w:name="_Toc19565"/>
      <w:bookmarkStart w:id="342" w:name="_Toc316292258"/>
      <w:bookmarkStart w:id="343" w:name="_Toc65573710"/>
      <w:bookmarkStart w:id="344" w:name="_Toc217446060"/>
      <w:r>
        <w:rPr>
          <w:rFonts w:hint="eastAsia"/>
          <w:color w:val="000000" w:themeColor="text1"/>
          <w14:textFill>
            <w14:solidFill>
              <w14:schemeClr w14:val="tx1"/>
            </w14:solidFill>
          </w14:textFill>
        </w:rPr>
        <w:t>废标</w:t>
      </w:r>
      <w:bookmarkEnd w:id="337"/>
      <w:bookmarkEnd w:id="338"/>
      <w:bookmarkEnd w:id="339"/>
      <w:bookmarkEnd w:id="340"/>
      <w:bookmarkEnd w:id="341"/>
      <w:bookmarkEnd w:id="342"/>
      <w:bookmarkEnd w:id="343"/>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本次政府采购活动中，出现下列情形之一的，予以废标：</w:t>
      </w:r>
    </w:p>
    <w:p>
      <w:pPr>
        <w:numPr>
          <w:ilvl w:val="0"/>
          <w:numId w:val="45"/>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符合专业条件的投标人或者对招标文件作实质响应的投标人不足三家的；</w:t>
      </w:r>
    </w:p>
    <w:p>
      <w:pPr>
        <w:numPr>
          <w:ilvl w:val="0"/>
          <w:numId w:val="45"/>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出现影响采购公正的违法、违规行为的；</w:t>
      </w:r>
    </w:p>
    <w:p>
      <w:pPr>
        <w:numPr>
          <w:ilvl w:val="0"/>
          <w:numId w:val="45"/>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投标人的报价均超过了采购预算，采购人不能支付的；</w:t>
      </w:r>
    </w:p>
    <w:p>
      <w:pPr>
        <w:numPr>
          <w:ilvl w:val="0"/>
          <w:numId w:val="45"/>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因重大变故，采购任务取消的；</w:t>
      </w:r>
    </w:p>
    <w:p>
      <w:pPr>
        <w:numPr>
          <w:ilvl w:val="0"/>
          <w:numId w:val="45"/>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废标后，市公资交易中心将在“四川政府采购网”和“</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”网站上公告。</w:t>
      </w:r>
    </w:p>
    <w:p>
      <w:pPr>
        <w:pStyle w:val="4"/>
        <w:numPr>
          <w:ilvl w:val="1"/>
          <w:numId w:val="4"/>
        </w:numPr>
        <w:spacing w:before="0" w:after="0" w:line="560" w:lineRule="exact"/>
        <w:ind w:left="2269" w:hanging="2127"/>
        <w:rPr>
          <w:color w:val="000000" w:themeColor="text1"/>
          <w14:textFill>
            <w14:solidFill>
              <w14:schemeClr w14:val="tx1"/>
            </w14:solidFill>
          </w14:textFill>
        </w:rPr>
      </w:pPr>
      <w:bookmarkStart w:id="345" w:name="_Toc316292259"/>
      <w:bookmarkStart w:id="346" w:name="_Toc27932"/>
      <w:bookmarkStart w:id="347" w:name="_Toc8992"/>
      <w:bookmarkStart w:id="348" w:name="_Toc3782"/>
      <w:bookmarkStart w:id="349" w:name="_Toc19880"/>
      <w:bookmarkStart w:id="350" w:name="_Toc315871727"/>
      <w:bookmarkStart w:id="351" w:name="_Toc65573711"/>
      <w:r>
        <w:rPr>
          <w:rFonts w:hint="eastAsia"/>
          <w:color w:val="000000" w:themeColor="text1"/>
          <w14:textFill>
            <w14:solidFill>
              <w14:schemeClr w14:val="tx1"/>
            </w14:solidFill>
          </w14:textFill>
        </w:rPr>
        <w:t>定标</w:t>
      </w:r>
      <w:bookmarkEnd w:id="344"/>
      <w:bookmarkEnd w:id="345"/>
      <w:bookmarkEnd w:id="346"/>
      <w:bookmarkEnd w:id="347"/>
      <w:bookmarkEnd w:id="348"/>
      <w:bookmarkEnd w:id="349"/>
      <w:bookmarkEnd w:id="350"/>
      <w:bookmarkEnd w:id="351"/>
      <w:bookmarkStart w:id="352" w:name="_Toc217446061"/>
    </w:p>
    <w:p>
      <w:pPr>
        <w:pStyle w:val="5"/>
        <w:numPr>
          <w:ilvl w:val="2"/>
          <w:numId w:val="4"/>
        </w:numPr>
        <w:spacing w:after="200" w:line="560" w:lineRule="exact"/>
        <w:ind w:left="0" w:firstLine="0"/>
        <w:rPr>
          <w:color w:val="000000" w:themeColor="text1"/>
          <w14:textFill>
            <w14:solidFill>
              <w14:schemeClr w14:val="tx1"/>
            </w14:solidFill>
          </w14:textFill>
        </w:rPr>
      </w:pPr>
      <w:bookmarkStart w:id="353" w:name="_Toc315871728"/>
      <w:bookmarkStart w:id="354" w:name="_Toc316292260"/>
      <w:r>
        <w:rPr>
          <w:rFonts w:hint="eastAsia"/>
          <w:color w:val="000000" w:themeColor="text1"/>
          <w14:textFill>
            <w14:solidFill>
              <w14:schemeClr w14:val="tx1"/>
            </w14:solidFill>
          </w14:textFill>
        </w:rPr>
        <w:t>定标原则</w:t>
      </w:r>
      <w:bookmarkEnd w:id="352"/>
      <w:bookmarkEnd w:id="353"/>
      <w:bookmarkEnd w:id="354"/>
    </w:p>
    <w:p>
      <w:pPr>
        <w:spacing w:line="560" w:lineRule="exact"/>
        <w:ind w:firstLine="560" w:firstLineChars="200"/>
        <w:rPr>
          <w:rFonts w:ascii="宋体" w:hAnsi="宋体"/>
          <w:color w:val="000000" w:themeColor="text1"/>
          <w:sz w:val="28"/>
          <w:szCs w:val="28"/>
          <w14:textFill>
            <w14:solidFill>
              <w14:schemeClr w14:val="tx1"/>
            </w14:solidFill>
          </w14:textFill>
        </w:rPr>
      </w:pPr>
      <w:bookmarkStart w:id="355" w:name="_Toc217446062"/>
      <w:bookmarkStart w:id="356" w:name="_Toc315871729"/>
      <w:bookmarkStart w:id="357" w:name="_Toc316292261"/>
      <w:r>
        <w:rPr>
          <w:rFonts w:hint="eastAsia" w:ascii="宋体" w:hAnsi="宋体"/>
          <w:color w:val="000000" w:themeColor="text1"/>
          <w:sz w:val="28"/>
          <w:szCs w:val="28"/>
          <w14:textFill>
            <w14:solidFill>
              <w14:schemeClr w14:val="tx1"/>
            </w14:solidFill>
          </w14:textFill>
        </w:rPr>
        <w:t>本项目根据评标委员会确定的中标候选人名单，采购人按顺序确定1名中标人。中标候选供应商并列的，</w:t>
      </w:r>
      <w:r>
        <w:rPr>
          <w:rFonts w:hint="eastAsia" w:ascii="宋体"/>
          <w:color w:val="000000" w:themeColor="text1"/>
          <w:sz w:val="28"/>
          <w:szCs w:val="28"/>
          <w14:textFill>
            <w14:solidFill>
              <w14:schemeClr w14:val="tx1"/>
            </w14:solidFill>
          </w14:textFill>
        </w:rPr>
        <w:t>由采购人采取随机抽取的方式确定中标人</w:t>
      </w:r>
      <w:r>
        <w:rPr>
          <w:rFonts w:hint="eastAsia" w:ascii="宋体" w:hAnsi="宋体"/>
          <w:color w:val="000000" w:themeColor="text1"/>
          <w:sz w:val="28"/>
          <w:szCs w:val="28"/>
          <w14:textFill>
            <w14:solidFill>
              <w14:schemeClr w14:val="tx1"/>
            </w14:solidFill>
          </w14:textFill>
        </w:rPr>
        <w:t>。</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cs="Helvetica" w:asciiTheme="minorEastAsia" w:hAnsiTheme="minorEastAsia" w:eastAsiaTheme="minorEastAsia"/>
          <w:color w:val="000000" w:themeColor="text1"/>
          <w:kern w:val="0"/>
          <w:sz w:val="28"/>
          <w:szCs w:val="28"/>
          <w14:textFill>
            <w14:solidFill>
              <w14:schemeClr w14:val="tx1"/>
            </w14:solidFill>
          </w14:textFill>
        </w:rPr>
        <w:t>采购人在收到评标报告</w:t>
      </w:r>
      <w:r>
        <w:rPr>
          <w:rFonts w:hint="eastAsia" w:cs="宋体" w:asciiTheme="minorEastAsia" w:hAnsiTheme="minorEastAsia" w:eastAsiaTheme="minorEastAsia"/>
          <w:color w:val="000000" w:themeColor="text1"/>
          <w:kern w:val="0"/>
          <w:sz w:val="28"/>
          <w:szCs w:val="28"/>
          <w14:textFill>
            <w14:solidFill>
              <w14:schemeClr w14:val="tx1"/>
            </w14:solidFill>
          </w14:textFill>
        </w:rPr>
        <w:t>5</w:t>
      </w:r>
      <w:r>
        <w:rPr>
          <w:rFonts w:hint="eastAsia" w:cs="Helvetica" w:asciiTheme="minorEastAsia" w:hAnsiTheme="minorEastAsia" w:eastAsiaTheme="minorEastAsia"/>
          <w:color w:val="000000" w:themeColor="text1"/>
          <w:kern w:val="0"/>
          <w:sz w:val="28"/>
          <w:szCs w:val="28"/>
          <w14:textFill>
            <w14:solidFill>
              <w14:schemeClr w14:val="tx1"/>
            </w14:solidFill>
          </w14:textFill>
        </w:rPr>
        <w:t>个工作日内未按评标报告推荐的中标候选人顺序确定中标人，又不能说明合法理由的，视同按评标报告推荐的顺序确定排名第一的中标候选人为中标人。</w:t>
      </w:r>
    </w:p>
    <w:p>
      <w:pPr>
        <w:pStyle w:val="5"/>
        <w:numPr>
          <w:ilvl w:val="2"/>
          <w:numId w:val="4"/>
        </w:numPr>
        <w:spacing w:after="200" w:line="560" w:lineRule="exact"/>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定标程序</w:t>
      </w:r>
      <w:bookmarkEnd w:id="355"/>
      <w:bookmarkEnd w:id="356"/>
      <w:bookmarkEnd w:id="357"/>
    </w:p>
    <w:bookmarkEnd w:id="297"/>
    <w:p>
      <w:pPr>
        <w:spacing w:line="560" w:lineRule="exact"/>
        <w:ind w:firstLine="560" w:firstLineChars="200"/>
        <w:rPr>
          <w:rFonts w:ascii="宋体" w:hAnsi="宋体"/>
          <w:color w:val="000000" w:themeColor="text1"/>
          <w:kern w:val="0"/>
          <w:sz w:val="28"/>
          <w:szCs w:val="28"/>
          <w14:textFill>
            <w14:solidFill>
              <w14:schemeClr w14:val="tx1"/>
            </w14:solidFill>
          </w14:textFill>
        </w:rPr>
      </w:pPr>
      <w:bookmarkStart w:id="358" w:name="_Toc315871730"/>
      <w:bookmarkStart w:id="359" w:name="_Toc316292262"/>
      <w:r>
        <w:rPr>
          <w:rFonts w:hint="eastAsia" w:ascii="宋体" w:hAnsi="宋体"/>
          <w:color w:val="000000" w:themeColor="text1"/>
          <w:kern w:val="0"/>
          <w:sz w:val="28"/>
          <w:szCs w:val="28"/>
          <w14:textFill>
            <w14:solidFill>
              <w14:schemeClr w14:val="tx1"/>
            </w14:solidFill>
          </w14:textFill>
        </w:rPr>
        <w:t>一、评审委员会将评审情况写出书面报告。</w:t>
      </w:r>
    </w:p>
    <w:p>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二、市公资交易中心在评审结束之日起2个工作日内将评审报告送采购人。</w:t>
      </w:r>
    </w:p>
    <w:p>
      <w:pPr>
        <w:pStyle w:val="2"/>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560" w:lineRule="exact"/>
        <w:ind w:firstLine="560" w:firstLineChars="200"/>
        <w:jc w:val="left"/>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四、根据采购人确定的中标（成交）人，市公资交易中心在“四川政府采购网”和“</w:t>
      </w:r>
      <w:r>
        <w:rPr>
          <w:rFonts w:hint="eastAsia" w:ascii="宋体" w:hAnsi="宋体"/>
          <w:color w:val="000000" w:themeColor="text1"/>
          <w:kern w:val="0"/>
          <w:sz w:val="28"/>
          <w:szCs w:val="28"/>
          <w:lang w:eastAsia="zh-CN"/>
          <w14:textFill>
            <w14:solidFill>
              <w14:schemeClr w14:val="tx1"/>
            </w14:solidFill>
          </w14:textFill>
        </w:rPr>
        <w:t>成都市公共资源交易服务中心</w:t>
      </w:r>
      <w:r>
        <w:rPr>
          <w:rFonts w:hint="eastAsia" w:ascii="宋体" w:hAnsi="宋体"/>
          <w:color w:val="000000" w:themeColor="text1"/>
          <w:kern w:val="0"/>
          <w:sz w:val="28"/>
          <w:szCs w:val="28"/>
          <w14:textFill>
            <w14:solidFill>
              <w14:schemeClr w14:val="tx1"/>
            </w14:solidFill>
          </w14:textFill>
        </w:rPr>
        <w:t>”网站上发布中标（成交）公告，同时向中标（成交）人发出中标（成交）通知书。</w:t>
      </w:r>
    </w:p>
    <w:p>
      <w:pPr>
        <w:tabs>
          <w:tab w:val="left" w:pos="1155"/>
        </w:tabs>
        <w:spacing w:line="560" w:lineRule="exact"/>
        <w:ind w:firstLine="565" w:firstLineChars="202"/>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五、采购人、市公资交易中心不解释中标（成交）或未中标（成交）原因，不退回投标文件和其他投标资料。</w:t>
      </w:r>
    </w:p>
    <w:p>
      <w:pPr>
        <w:pStyle w:val="4"/>
        <w:numPr>
          <w:ilvl w:val="1"/>
          <w:numId w:val="4"/>
        </w:numPr>
        <w:spacing w:before="0" w:after="0" w:line="560" w:lineRule="exact"/>
        <w:ind w:left="2269" w:hanging="2269"/>
        <w:rPr>
          <w:color w:val="000000" w:themeColor="text1"/>
          <w14:textFill>
            <w14:solidFill>
              <w14:schemeClr w14:val="tx1"/>
            </w14:solidFill>
          </w14:textFill>
        </w:rPr>
      </w:pPr>
      <w:bookmarkStart w:id="360" w:name="_Toc20789"/>
      <w:bookmarkStart w:id="361" w:name="_Toc1482"/>
      <w:bookmarkStart w:id="362" w:name="_Toc24014"/>
      <w:bookmarkStart w:id="363" w:name="_Toc31963"/>
      <w:bookmarkStart w:id="364" w:name="_Toc65573712"/>
      <w:r>
        <w:rPr>
          <w:rFonts w:hint="eastAsia"/>
          <w:color w:val="000000" w:themeColor="text1"/>
          <w14:textFill>
            <w14:solidFill>
              <w14:schemeClr w14:val="tx1"/>
            </w14:solidFill>
          </w14:textFill>
        </w:rPr>
        <w:t>评标专家在政府采购活动中承担以下义务</w:t>
      </w:r>
      <w:bookmarkEnd w:id="358"/>
      <w:bookmarkEnd w:id="359"/>
      <w:bookmarkEnd w:id="360"/>
      <w:bookmarkEnd w:id="361"/>
      <w:bookmarkEnd w:id="362"/>
      <w:bookmarkEnd w:id="363"/>
      <w:bookmarkEnd w:id="364"/>
    </w:p>
    <w:p>
      <w:pPr>
        <w:numPr>
          <w:ilvl w:val="0"/>
          <w:numId w:val="46"/>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遵纪守法，客观、公正、廉洁地履行职责。</w:t>
      </w:r>
    </w:p>
    <w:p>
      <w:pPr>
        <w:numPr>
          <w:ilvl w:val="0"/>
          <w:numId w:val="46"/>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6"/>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保守秘密。不得泄漏投标人的投标文件及知悉的商业秘密，不得向投标人透露评审情况。</w:t>
      </w:r>
    </w:p>
    <w:p>
      <w:pPr>
        <w:numPr>
          <w:ilvl w:val="0"/>
          <w:numId w:val="46"/>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发现投标人在政府采购活动中有不正当竞争或恶意串通等违规行为，及时向政府采购评审工作的组织者或财政部门报告并加以制止。</w:t>
      </w:r>
    </w:p>
    <w:p>
      <w:pPr>
        <w:numPr>
          <w:ilvl w:val="0"/>
          <w:numId w:val="46"/>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发现采购人、市公资交易中心及其工作人员在政府采购活动中有干预评审、发表倾向性和歧视性言论、受贿或者接受投标人的其他好处及其他违法违规行为，及时向财政部门报告。</w:t>
      </w:r>
    </w:p>
    <w:p>
      <w:pPr>
        <w:numPr>
          <w:ilvl w:val="0"/>
          <w:numId w:val="46"/>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解答有关方面对政府采购评审工作中有关问题的询问，配合采购人或者市公资交易中心答复投标人的询问、质疑，配合财政部门的投诉处理工作等事宜。</w:t>
      </w:r>
    </w:p>
    <w:p>
      <w:pPr>
        <w:numPr>
          <w:ilvl w:val="0"/>
          <w:numId w:val="46"/>
        </w:numPr>
        <w:tabs>
          <w:tab w:val="left" w:pos="1155"/>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法律、法规和规章规定的其他义务。</w:t>
      </w:r>
    </w:p>
    <w:p>
      <w:pPr>
        <w:pStyle w:val="4"/>
        <w:numPr>
          <w:ilvl w:val="1"/>
          <w:numId w:val="4"/>
        </w:numPr>
        <w:spacing w:before="0" w:after="0" w:line="560" w:lineRule="exact"/>
        <w:ind w:left="2269" w:hanging="2269"/>
        <w:rPr>
          <w:color w:val="000000" w:themeColor="text1"/>
          <w14:textFill>
            <w14:solidFill>
              <w14:schemeClr w14:val="tx1"/>
            </w14:solidFill>
          </w14:textFill>
        </w:rPr>
      </w:pPr>
      <w:bookmarkStart w:id="365" w:name="_Toc65573713"/>
      <w:bookmarkStart w:id="366" w:name="_Toc31664"/>
      <w:bookmarkStart w:id="367" w:name="_Toc9396"/>
      <w:bookmarkStart w:id="368" w:name="_Toc3861"/>
      <w:bookmarkStart w:id="369" w:name="_Toc7637"/>
      <w:r>
        <w:rPr>
          <w:rFonts w:hint="eastAsia"/>
          <w:color w:val="000000" w:themeColor="text1"/>
          <w14:textFill>
            <w14:solidFill>
              <w14:schemeClr w14:val="tx1"/>
            </w14:solidFill>
          </w14:textFill>
        </w:rPr>
        <w:t>评标委员会及其成员不得有下列行为：</w:t>
      </w:r>
      <w:bookmarkEnd w:id="365"/>
      <w:bookmarkEnd w:id="366"/>
      <w:bookmarkEnd w:id="367"/>
      <w:bookmarkEnd w:id="368"/>
      <w:bookmarkEnd w:id="369"/>
    </w:p>
    <w:p>
      <w:pPr>
        <w:tabs>
          <w:tab w:val="left" w:pos="1418"/>
        </w:tabs>
        <w:spacing w:line="5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一、确定参与评标至评标结束前私自接触投标人；</w:t>
      </w:r>
    </w:p>
    <w:p>
      <w:pPr>
        <w:tabs>
          <w:tab w:val="left" w:pos="1418"/>
        </w:tabs>
        <w:spacing w:line="5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二、接受投标人提出的与投标文件不一致的澄清或者说明，除招标文件明确可以澄清的除外；</w:t>
      </w:r>
    </w:p>
    <w:p>
      <w:pPr>
        <w:tabs>
          <w:tab w:val="left" w:pos="1418"/>
        </w:tabs>
        <w:spacing w:line="5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三、违反评标纪律发表倾向性意见或者征询采购人的倾向性意见；</w:t>
      </w:r>
    </w:p>
    <w:p>
      <w:pPr>
        <w:tabs>
          <w:tab w:val="left" w:pos="1418"/>
        </w:tabs>
        <w:spacing w:line="5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四、对需要专业判断的主观评审因素协商评分；</w:t>
      </w:r>
    </w:p>
    <w:p>
      <w:pPr>
        <w:tabs>
          <w:tab w:val="left" w:pos="1418"/>
        </w:tabs>
        <w:spacing w:line="5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五、在评标过程中擅离职守，影响评标程序正常进行的；</w:t>
      </w:r>
    </w:p>
    <w:p>
      <w:pPr>
        <w:tabs>
          <w:tab w:val="left" w:pos="1276"/>
          <w:tab w:val="left" w:pos="1418"/>
        </w:tabs>
        <w:spacing w:line="5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六、记录、复制或者带走任何评标资料；</w:t>
      </w:r>
    </w:p>
    <w:p>
      <w:pPr>
        <w:tabs>
          <w:tab w:val="left" w:pos="993"/>
          <w:tab w:val="left" w:pos="1276"/>
          <w:tab w:val="left" w:pos="1418"/>
        </w:tabs>
        <w:spacing w:line="5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七、其他不遵守评标纪律的行为。</w:t>
      </w:r>
    </w:p>
    <w:p>
      <w:pPr>
        <w:tabs>
          <w:tab w:val="left" w:pos="1155"/>
        </w:tabs>
        <w:spacing w:line="560" w:lineRule="exact"/>
        <w:ind w:left="142" w:firstLine="565" w:firstLineChars="20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评标委员会成员有前款第一至五项行为之一的，其评审意见无效，并不得获取评审劳务报酬和报销异地评审差旅费。</w:t>
      </w:r>
    </w:p>
    <w:p>
      <w:pPr>
        <w:pStyle w:val="4"/>
        <w:numPr>
          <w:ilvl w:val="1"/>
          <w:numId w:val="4"/>
        </w:numPr>
        <w:spacing w:before="0" w:after="0" w:line="560" w:lineRule="exact"/>
        <w:ind w:left="2269" w:hanging="2127"/>
        <w:rPr>
          <w:color w:val="000000" w:themeColor="text1"/>
          <w14:textFill>
            <w14:solidFill>
              <w14:schemeClr w14:val="tx1"/>
            </w14:solidFill>
          </w14:textFill>
        </w:rPr>
      </w:pPr>
      <w:bookmarkStart w:id="370" w:name="_Toc15267"/>
      <w:bookmarkStart w:id="371" w:name="_Toc494464930"/>
      <w:bookmarkStart w:id="372" w:name="_Toc16147"/>
      <w:bookmarkStart w:id="373" w:name="_Toc6837"/>
      <w:bookmarkStart w:id="374" w:name="_Toc22920"/>
      <w:bookmarkStart w:id="375" w:name="_Toc65573714"/>
      <w:r>
        <w:rPr>
          <w:rFonts w:hint="eastAsia"/>
          <w:color w:val="000000" w:themeColor="text1"/>
          <w14:textFill>
            <w14:solidFill>
              <w14:schemeClr w14:val="tx1"/>
            </w14:solidFill>
          </w14:textFill>
        </w:rPr>
        <w:t>评审专家在政府采购活动中应当遵守以下工作纪律</w:t>
      </w:r>
      <w:bookmarkEnd w:id="370"/>
      <w:bookmarkEnd w:id="371"/>
      <w:bookmarkEnd w:id="372"/>
      <w:bookmarkEnd w:id="373"/>
      <w:bookmarkEnd w:id="374"/>
      <w:bookmarkEnd w:id="375"/>
    </w:p>
    <w:p>
      <w:pPr>
        <w:numPr>
          <w:ilvl w:val="0"/>
          <w:numId w:val="47"/>
        </w:numPr>
        <w:tabs>
          <w:tab w:val="left" w:pos="1155"/>
        </w:tabs>
        <w:spacing w:after="200" w:line="56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遵行《政府采购法》第十二条和《政府采购法实施条例》第九条及政府采购相关法律法规关于回避的规定。</w:t>
      </w:r>
    </w:p>
    <w:p>
      <w:pPr>
        <w:numPr>
          <w:ilvl w:val="0"/>
          <w:numId w:val="47"/>
        </w:numPr>
        <w:tabs>
          <w:tab w:val="left" w:pos="1155"/>
        </w:tabs>
        <w:spacing w:after="200" w:line="56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应邀按时参加评审和咨询活动，遵守评标区管理规定。</w:t>
      </w:r>
    </w:p>
    <w:p>
      <w:pPr>
        <w:numPr>
          <w:ilvl w:val="0"/>
          <w:numId w:val="47"/>
        </w:numPr>
        <w:tabs>
          <w:tab w:val="left" w:pos="1155"/>
        </w:tabs>
        <w:spacing w:after="200" w:line="56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color w:val="000000" w:themeColor="text1"/>
          <w:sz w:val="28"/>
          <w:szCs w:val="28"/>
          <w14:textFill>
            <w14:solidFill>
              <w14:schemeClr w14:val="tx1"/>
            </w14:solidFill>
          </w14:textFill>
        </w:rPr>
        <w:t>市公资交易中心</w:t>
      </w:r>
      <w:r>
        <w:rPr>
          <w:rFonts w:hint="eastAsia" w:ascii="宋体" w:hAnsi="宋体"/>
          <w:color w:val="000000" w:themeColor="text1"/>
          <w:sz w:val="28"/>
          <w:szCs w:val="28"/>
          <w14:textFill>
            <w14:solidFill>
              <w14:schemeClr w14:val="tx1"/>
            </w14:solidFill>
          </w14:textFill>
        </w:rPr>
        <w:t>，不得私自转托他人。</w:t>
      </w:r>
    </w:p>
    <w:p>
      <w:pPr>
        <w:numPr>
          <w:ilvl w:val="0"/>
          <w:numId w:val="47"/>
        </w:numPr>
        <w:tabs>
          <w:tab w:val="left" w:pos="1155"/>
        </w:tabs>
        <w:spacing w:after="200" w:line="56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不得参加与自己有利害关系的政府采购项目的评审活动。对与自己有利害关系的评审项目，如受到邀请，应主动提出回避。财政部门、采购人或</w:t>
      </w:r>
      <w:r>
        <w:rPr>
          <w:rFonts w:hint="eastAsia" w:cs="Arial"/>
          <w:color w:val="000000" w:themeColor="text1"/>
          <w:sz w:val="28"/>
          <w:szCs w:val="28"/>
          <w14:textFill>
            <w14:solidFill>
              <w14:schemeClr w14:val="tx1"/>
            </w14:solidFill>
          </w14:textFill>
        </w:rPr>
        <w:t>市公资交易中心</w:t>
      </w:r>
      <w:r>
        <w:rPr>
          <w:rFonts w:hint="eastAsia" w:ascii="宋体" w:hAnsi="宋体"/>
          <w:color w:val="000000" w:themeColor="text1"/>
          <w:sz w:val="28"/>
          <w:szCs w:val="28"/>
          <w14:textFill>
            <w14:solidFill>
              <w14:schemeClr w14:val="tx1"/>
            </w14:solidFill>
          </w14:textFill>
        </w:rPr>
        <w:t>也可要求该评审专家回避。</w:t>
      </w:r>
    </w:p>
    <w:p>
      <w:pPr>
        <w:numPr>
          <w:ilvl w:val="0"/>
          <w:numId w:val="47"/>
        </w:numPr>
        <w:tabs>
          <w:tab w:val="left" w:pos="1155"/>
        </w:tabs>
        <w:spacing w:after="200" w:line="56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47"/>
        </w:numPr>
        <w:tabs>
          <w:tab w:val="left" w:pos="1155"/>
        </w:tabs>
        <w:spacing w:after="200" w:line="56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47"/>
        </w:numPr>
        <w:tabs>
          <w:tab w:val="left" w:pos="1155"/>
        </w:tabs>
        <w:spacing w:after="200" w:line="56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在评标过程中和评标结束后，不得记录、复制或带走任何评标资料，除因规定的义务外，不得向外界透露评标内容。</w:t>
      </w:r>
    </w:p>
    <w:p>
      <w:pPr>
        <w:numPr>
          <w:ilvl w:val="0"/>
          <w:numId w:val="47"/>
        </w:numPr>
        <w:tabs>
          <w:tab w:val="left" w:pos="1155"/>
        </w:tabs>
        <w:spacing w:after="200" w:line="56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服从评标现场</w:t>
      </w:r>
      <w:r>
        <w:rPr>
          <w:rFonts w:hint="eastAsia" w:cs="Arial"/>
          <w:color w:val="000000" w:themeColor="text1"/>
          <w:sz w:val="28"/>
          <w:szCs w:val="28"/>
          <w14:textFill>
            <w14:solidFill>
              <w14:schemeClr w14:val="tx1"/>
            </w14:solidFill>
          </w14:textFill>
        </w:rPr>
        <w:t>市公资交易中心</w:t>
      </w:r>
      <w:r>
        <w:rPr>
          <w:rFonts w:hint="eastAsia" w:ascii="宋体" w:hAnsi="宋体"/>
          <w:color w:val="000000" w:themeColor="text1"/>
          <w:sz w:val="28"/>
          <w:szCs w:val="28"/>
          <w14:textFill>
            <w14:solidFill>
              <w14:schemeClr w14:val="tx1"/>
            </w14:solidFill>
          </w14:textFill>
        </w:rPr>
        <w:t>的现场秩序管理，接受评标现场监督人员的合法监督。</w:t>
      </w:r>
    </w:p>
    <w:p>
      <w:pPr>
        <w:numPr>
          <w:ilvl w:val="0"/>
          <w:numId w:val="47"/>
        </w:numPr>
        <w:tabs>
          <w:tab w:val="left" w:pos="1155"/>
        </w:tabs>
        <w:spacing w:after="200" w:line="56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遵守有关廉洁自律规定，不得私下接触投标人，不得收受投标人及有关业务单位和个人的财物或好处，不得接受采购组织单位的请托。</w:t>
      </w:r>
    </w:p>
    <w:p>
      <w:pPr>
        <w:numPr>
          <w:ilvl w:val="0"/>
          <w:numId w:val="47"/>
        </w:numPr>
        <w:tabs>
          <w:tab w:val="left" w:pos="1155"/>
        </w:tabs>
        <w:spacing w:after="200" w:line="56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在咨询工作中，严格执行国家产业政策和产品标准，认真听取咨询方的合理要求，提出科学合理的、无倾向性和歧视性的咨询方案，并对所提出的意见和建议承担个人责任。</w:t>
      </w:r>
    </w:p>
    <w:p>
      <w:pPr>
        <w:numPr>
          <w:ilvl w:val="0"/>
          <w:numId w:val="47"/>
        </w:numPr>
        <w:tabs>
          <w:tab w:val="left" w:pos="1155"/>
        </w:tabs>
        <w:spacing w:after="200" w:line="56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有关部门（机构）制定的其他评审工作纪律。</w:t>
      </w:r>
      <w:bookmarkEnd w:id="2"/>
      <w:bookmarkEnd w:id="3"/>
      <w:bookmarkEnd w:id="4"/>
      <w:bookmarkEnd w:id="5"/>
      <w:bookmarkStart w:id="376" w:name="_Toc19415"/>
      <w:r>
        <w:rPr>
          <w:color w:val="000000" w:themeColor="text1"/>
          <w14:textFill>
            <w14:solidFill>
              <w14:schemeClr w14:val="tx1"/>
            </w14:solidFill>
          </w14:textFill>
        </w:rPr>
        <w:br w:type="page"/>
      </w:r>
    </w:p>
    <w:p>
      <w:pPr>
        <w:pStyle w:val="3"/>
        <w:numPr>
          <w:ilvl w:val="0"/>
          <w:numId w:val="4"/>
        </w:numPr>
        <w:spacing w:before="0" w:after="0" w:line="360" w:lineRule="auto"/>
        <w:rPr>
          <w:color w:val="000000" w:themeColor="text1"/>
          <w:sz w:val="24"/>
          <w14:textFill>
            <w14:solidFill>
              <w14:schemeClr w14:val="tx1"/>
            </w14:solidFill>
          </w14:textFill>
        </w:rPr>
      </w:pPr>
      <w:bookmarkStart w:id="377" w:name="_Toc20535"/>
      <w:bookmarkStart w:id="378" w:name="_Toc27722"/>
      <w:bookmarkStart w:id="379" w:name="_Toc1640"/>
      <w:bookmarkStart w:id="380" w:name="_Toc65573715"/>
      <w:r>
        <w:rPr>
          <w:rFonts w:hint="eastAsia"/>
          <w:color w:val="000000" w:themeColor="text1"/>
          <w14:textFill>
            <w14:solidFill>
              <w14:schemeClr w14:val="tx1"/>
            </w14:solidFill>
          </w14:textFill>
        </w:rPr>
        <w:t>拟签订合同文本</w:t>
      </w:r>
      <w:bookmarkEnd w:id="376"/>
      <w:bookmarkEnd w:id="377"/>
      <w:bookmarkEnd w:id="378"/>
      <w:bookmarkEnd w:id="379"/>
      <w:bookmarkEnd w:id="380"/>
    </w:p>
    <w:p>
      <w:pPr>
        <w:spacing w:line="400" w:lineRule="exact"/>
        <w:jc w:val="center"/>
        <w:rPr>
          <w:b/>
          <w:color w:val="000000" w:themeColor="text1"/>
          <w:sz w:val="32"/>
          <w14:textFill>
            <w14:solidFill>
              <w14:schemeClr w14:val="tx1"/>
            </w14:solidFill>
          </w14:textFill>
        </w:rPr>
      </w:pPr>
      <w:bookmarkStart w:id="381" w:name="_Toc316475757"/>
      <w:bookmarkEnd w:id="381"/>
      <w:bookmarkStart w:id="382" w:name="_Toc316475674"/>
      <w:bookmarkEnd w:id="382"/>
      <w:bookmarkStart w:id="383" w:name="_Toc316475753"/>
      <w:bookmarkEnd w:id="383"/>
      <w:bookmarkStart w:id="384" w:name="_Toc316475668"/>
      <w:bookmarkEnd w:id="384"/>
      <w:bookmarkStart w:id="385" w:name="_Toc316475752"/>
      <w:bookmarkEnd w:id="385"/>
      <w:bookmarkStart w:id="386" w:name="_Toc316475760"/>
      <w:bookmarkEnd w:id="386"/>
      <w:bookmarkStart w:id="387" w:name="_Toc316475670"/>
      <w:bookmarkEnd w:id="387"/>
      <w:bookmarkStart w:id="388" w:name="_Toc316475666"/>
      <w:bookmarkEnd w:id="388"/>
      <w:bookmarkStart w:id="389" w:name="_Toc316475667"/>
      <w:bookmarkEnd w:id="389"/>
      <w:bookmarkStart w:id="390" w:name="_Toc316475673"/>
      <w:bookmarkEnd w:id="390"/>
      <w:bookmarkStart w:id="391" w:name="_Toc316475762"/>
      <w:bookmarkEnd w:id="391"/>
      <w:bookmarkStart w:id="392" w:name="_Toc316475669"/>
      <w:bookmarkEnd w:id="392"/>
      <w:bookmarkStart w:id="393" w:name="_Toc316475675"/>
      <w:bookmarkEnd w:id="393"/>
      <w:bookmarkStart w:id="394" w:name="_Toc316475754"/>
      <w:bookmarkEnd w:id="394"/>
      <w:bookmarkStart w:id="395" w:name="_Toc316475671"/>
      <w:bookmarkEnd w:id="395"/>
      <w:bookmarkStart w:id="396" w:name="_Toc316475761"/>
      <w:bookmarkEnd w:id="396"/>
      <w:bookmarkStart w:id="397" w:name="_Toc316475677"/>
      <w:bookmarkEnd w:id="397"/>
      <w:bookmarkStart w:id="398" w:name="_Toc316475755"/>
      <w:bookmarkEnd w:id="398"/>
      <w:bookmarkStart w:id="399" w:name="_Toc316475758"/>
      <w:bookmarkEnd w:id="399"/>
      <w:bookmarkStart w:id="400" w:name="_Toc316475751"/>
      <w:bookmarkEnd w:id="400"/>
      <w:bookmarkStart w:id="401" w:name="_Toc316475676"/>
      <w:bookmarkEnd w:id="401"/>
      <w:bookmarkStart w:id="402" w:name="_Toc316475664"/>
      <w:bookmarkEnd w:id="402"/>
      <w:bookmarkStart w:id="403" w:name="_Toc316475665"/>
      <w:bookmarkEnd w:id="403"/>
      <w:bookmarkStart w:id="404" w:name="_Toc316475759"/>
      <w:bookmarkEnd w:id="404"/>
      <w:bookmarkStart w:id="405" w:name="_Toc316475672"/>
      <w:bookmarkEnd w:id="405"/>
      <w:bookmarkStart w:id="406" w:name="_Toc316475756"/>
      <w:bookmarkEnd w:id="406"/>
      <w:bookmarkStart w:id="407" w:name="_Toc316475763"/>
      <w:bookmarkEnd w:id="407"/>
      <w:bookmarkStart w:id="408" w:name="_Toc316475764"/>
      <w:bookmarkEnd w:id="408"/>
      <w:bookmarkStart w:id="409" w:name="_Toc11710"/>
      <w:bookmarkStart w:id="410" w:name="_Toc3546"/>
    </w:p>
    <w:p>
      <w:pPr>
        <w:spacing w:line="360" w:lineRule="auto"/>
        <w:jc w:val="center"/>
        <w:outlineLvl w:val="0"/>
        <w:rPr>
          <w:rFonts w:hint="eastAsia" w:asciiTheme="majorEastAsia" w:hAnsiTheme="majorEastAsia" w:eastAsiaTheme="majorEastAsia" w:cstheme="majorEastAsia"/>
          <w:b/>
          <w:bCs w:val="0"/>
          <w:sz w:val="52"/>
          <w:szCs w:val="52"/>
        </w:rPr>
      </w:pPr>
      <w:r>
        <w:rPr>
          <w:rFonts w:hint="eastAsia" w:asciiTheme="majorEastAsia" w:hAnsiTheme="majorEastAsia" w:eastAsiaTheme="majorEastAsia" w:cstheme="majorEastAsia"/>
          <w:b/>
          <w:bCs w:val="0"/>
          <w:sz w:val="52"/>
          <w:szCs w:val="52"/>
        </w:rPr>
        <w:t>都江堰市人民政府幸福街道办事处</w:t>
      </w:r>
    </w:p>
    <w:p>
      <w:pPr>
        <w:spacing w:line="360" w:lineRule="auto"/>
        <w:jc w:val="center"/>
        <w:outlineLvl w:val="0"/>
        <w:rPr>
          <w:rFonts w:hint="eastAsia" w:asciiTheme="majorEastAsia" w:hAnsiTheme="majorEastAsia" w:eastAsiaTheme="majorEastAsia" w:cstheme="majorEastAsia"/>
          <w:b/>
          <w:bCs w:val="0"/>
          <w:sz w:val="52"/>
          <w:szCs w:val="52"/>
        </w:rPr>
      </w:pPr>
      <w:r>
        <w:rPr>
          <w:rFonts w:hint="eastAsia" w:asciiTheme="majorEastAsia" w:hAnsiTheme="majorEastAsia" w:eastAsiaTheme="majorEastAsia" w:cstheme="majorEastAsia"/>
          <w:b/>
          <w:bCs w:val="0"/>
          <w:sz w:val="52"/>
          <w:szCs w:val="52"/>
        </w:rPr>
        <w:t>物业服务</w:t>
      </w:r>
      <w:r>
        <w:rPr>
          <w:rFonts w:hint="eastAsia" w:asciiTheme="majorEastAsia" w:hAnsiTheme="majorEastAsia" w:eastAsiaTheme="majorEastAsia" w:cstheme="majorEastAsia"/>
          <w:b/>
          <w:bCs w:val="0"/>
          <w:sz w:val="52"/>
          <w:szCs w:val="52"/>
          <w:lang w:eastAsia="zh-CN"/>
        </w:rPr>
        <w:t>管理</w:t>
      </w:r>
      <w:r>
        <w:rPr>
          <w:rFonts w:hint="eastAsia" w:asciiTheme="majorEastAsia" w:hAnsiTheme="majorEastAsia" w:eastAsiaTheme="majorEastAsia" w:cstheme="majorEastAsia"/>
          <w:b/>
          <w:bCs w:val="0"/>
          <w:sz w:val="52"/>
          <w:szCs w:val="52"/>
        </w:rPr>
        <w:t>合同</w:t>
      </w:r>
    </w:p>
    <w:p>
      <w:pPr>
        <w:spacing w:line="450" w:lineRule="exact"/>
        <w:jc w:val="right"/>
        <w:rPr>
          <w:rFonts w:hint="eastAsia" w:ascii="宋体" w:hAnsi="宋体"/>
          <w:bCs/>
          <w:szCs w:val="21"/>
        </w:rPr>
      </w:pPr>
      <w:r>
        <w:rPr>
          <w:rFonts w:hint="eastAsia" w:ascii="宋体" w:hAnsi="宋体"/>
          <w:bCs/>
          <w:szCs w:val="21"/>
        </w:rPr>
        <w:t xml:space="preserve"> </w:t>
      </w:r>
    </w:p>
    <w:p>
      <w:pPr>
        <w:spacing w:line="450" w:lineRule="exact"/>
        <w:ind w:left="315" w:hanging="450" w:hangingChars="150"/>
        <w:rPr>
          <w:rFonts w:hint="eastAsia" w:ascii="宋体" w:hAnsi="宋体"/>
          <w:bCs/>
          <w:sz w:val="30"/>
          <w:szCs w:val="30"/>
        </w:rPr>
      </w:pPr>
      <w:r>
        <w:rPr>
          <w:rFonts w:hint="eastAsia" w:ascii="宋体" w:hAnsi="宋体"/>
          <w:bCs/>
          <w:sz w:val="30"/>
          <w:szCs w:val="30"/>
          <w:lang w:eastAsia="zh-CN"/>
        </w:rPr>
        <w:t>采购方：</w:t>
      </w:r>
      <w:r>
        <w:rPr>
          <w:rFonts w:hint="eastAsia" w:ascii="宋体" w:hAnsi="宋体"/>
          <w:bCs/>
          <w:sz w:val="30"/>
          <w:szCs w:val="30"/>
        </w:rPr>
        <w:t xml:space="preserve">（以下简称甲方）： </w:t>
      </w:r>
    </w:p>
    <w:p>
      <w:pPr>
        <w:spacing w:line="450" w:lineRule="exact"/>
        <w:ind w:left="315" w:hanging="450" w:hangingChars="150"/>
        <w:rPr>
          <w:rFonts w:hint="eastAsia" w:ascii="宋体" w:hAnsi="宋体"/>
          <w:bCs/>
          <w:sz w:val="30"/>
          <w:szCs w:val="30"/>
        </w:rPr>
      </w:pPr>
      <w:r>
        <w:rPr>
          <w:rFonts w:hint="eastAsia" w:ascii="宋体" w:hAnsi="宋体"/>
          <w:bCs/>
          <w:sz w:val="30"/>
          <w:szCs w:val="30"/>
        </w:rPr>
        <w:t>单位名称：都江堰市人民政府幸福街道办事处</w:t>
      </w:r>
    </w:p>
    <w:p>
      <w:pPr>
        <w:spacing w:line="450" w:lineRule="exact"/>
        <w:ind w:left="315" w:hanging="450" w:hangingChars="150"/>
        <w:rPr>
          <w:rFonts w:hint="eastAsia" w:ascii="宋体" w:hAnsi="宋体"/>
          <w:bCs/>
          <w:sz w:val="30"/>
          <w:szCs w:val="30"/>
        </w:rPr>
      </w:pPr>
      <w:r>
        <w:rPr>
          <w:rFonts w:hint="eastAsia" w:ascii="宋体" w:hAnsi="宋体"/>
          <w:bCs/>
          <w:sz w:val="30"/>
          <w:szCs w:val="30"/>
        </w:rPr>
        <w:t>单位地址：</w:t>
      </w:r>
    </w:p>
    <w:p>
      <w:pPr>
        <w:spacing w:line="450" w:lineRule="exact"/>
        <w:ind w:left="315" w:hanging="450" w:hangingChars="150"/>
        <w:rPr>
          <w:rFonts w:hint="eastAsia" w:ascii="宋体" w:hAnsi="宋体"/>
          <w:bCs/>
          <w:sz w:val="30"/>
          <w:szCs w:val="30"/>
        </w:rPr>
      </w:pPr>
      <w:r>
        <w:rPr>
          <w:rFonts w:hint="eastAsia" w:ascii="宋体" w:hAnsi="宋体"/>
          <w:bCs/>
          <w:sz w:val="30"/>
          <w:szCs w:val="30"/>
        </w:rPr>
        <w:t>联系电话：</w:t>
      </w:r>
    </w:p>
    <w:p>
      <w:pPr>
        <w:spacing w:line="450" w:lineRule="exact"/>
        <w:ind w:left="315" w:hanging="450" w:hangingChars="150"/>
        <w:rPr>
          <w:rFonts w:hint="eastAsia" w:ascii="宋体" w:hAnsi="宋体"/>
          <w:bCs/>
          <w:sz w:val="30"/>
          <w:szCs w:val="30"/>
        </w:rPr>
      </w:pPr>
      <w:r>
        <w:rPr>
          <w:rFonts w:hint="eastAsia" w:ascii="宋体" w:hAnsi="宋体"/>
          <w:bCs/>
          <w:sz w:val="30"/>
          <w:szCs w:val="30"/>
          <w:lang w:eastAsia="zh-CN"/>
        </w:rPr>
        <w:t>供应商：</w:t>
      </w:r>
      <w:r>
        <w:rPr>
          <w:rFonts w:hint="eastAsia" w:ascii="宋体" w:hAnsi="宋体"/>
          <w:bCs/>
          <w:sz w:val="30"/>
          <w:szCs w:val="30"/>
        </w:rPr>
        <w:t xml:space="preserve">（以下简称乙方）： </w:t>
      </w:r>
    </w:p>
    <w:p>
      <w:pPr>
        <w:spacing w:line="450" w:lineRule="exact"/>
        <w:ind w:left="315" w:hanging="450" w:hangingChars="150"/>
        <w:rPr>
          <w:rFonts w:hint="eastAsia" w:ascii="宋体" w:hAnsi="宋体"/>
          <w:bCs/>
          <w:sz w:val="30"/>
          <w:szCs w:val="30"/>
          <w:lang w:eastAsia="zh-CN"/>
        </w:rPr>
      </w:pPr>
      <w:r>
        <w:rPr>
          <w:rFonts w:hint="eastAsia" w:ascii="宋体" w:hAnsi="宋体"/>
          <w:bCs/>
          <w:sz w:val="30"/>
          <w:szCs w:val="30"/>
        </w:rPr>
        <w:t>企业名称:</w:t>
      </w:r>
    </w:p>
    <w:p>
      <w:pPr>
        <w:spacing w:line="450" w:lineRule="exact"/>
        <w:ind w:left="315" w:hanging="450" w:hangingChars="150"/>
        <w:rPr>
          <w:rFonts w:hint="eastAsia" w:ascii="宋体" w:hAnsi="宋体"/>
          <w:bCs/>
          <w:sz w:val="30"/>
          <w:szCs w:val="30"/>
        </w:rPr>
      </w:pPr>
      <w:r>
        <w:rPr>
          <w:rFonts w:hint="eastAsia" w:ascii="宋体" w:hAnsi="宋体"/>
          <w:bCs/>
          <w:sz w:val="30"/>
          <w:szCs w:val="30"/>
        </w:rPr>
        <w:t>法定代表人：</w:t>
      </w:r>
    </w:p>
    <w:p>
      <w:pPr>
        <w:spacing w:line="450" w:lineRule="exact"/>
        <w:ind w:left="315" w:hanging="450" w:hangingChars="150"/>
        <w:rPr>
          <w:rFonts w:hint="default" w:ascii="宋体" w:hAnsi="宋体" w:eastAsia="宋体"/>
          <w:bCs/>
          <w:sz w:val="30"/>
          <w:szCs w:val="30"/>
          <w:lang w:val="en-US" w:eastAsia="zh-CN"/>
        </w:rPr>
      </w:pPr>
      <w:r>
        <w:rPr>
          <w:rFonts w:hint="eastAsia" w:ascii="宋体" w:hAnsi="宋体"/>
          <w:bCs/>
          <w:sz w:val="30"/>
          <w:szCs w:val="30"/>
          <w:lang w:val="en-US" w:eastAsia="zh-CN"/>
        </w:rPr>
        <w:t>注册</w:t>
      </w:r>
      <w:r>
        <w:rPr>
          <w:rFonts w:hint="eastAsia" w:ascii="宋体" w:hAnsi="宋体"/>
          <w:bCs/>
          <w:sz w:val="30"/>
          <w:szCs w:val="30"/>
        </w:rPr>
        <w:t>地址：</w:t>
      </w:r>
    </w:p>
    <w:p>
      <w:pPr>
        <w:spacing w:line="450" w:lineRule="exact"/>
        <w:ind w:left="315" w:hanging="450" w:hangingChars="150"/>
        <w:rPr>
          <w:rFonts w:hint="eastAsia" w:ascii="宋体" w:hAnsi="宋体"/>
          <w:bCs/>
          <w:sz w:val="30"/>
          <w:szCs w:val="30"/>
        </w:rPr>
      </w:pPr>
      <w:r>
        <w:rPr>
          <w:rFonts w:hint="eastAsia" w:ascii="宋体" w:hAnsi="宋体"/>
          <w:bCs/>
          <w:sz w:val="30"/>
          <w:szCs w:val="30"/>
        </w:rPr>
        <w:t>联系电话：</w:t>
      </w:r>
    </w:p>
    <w:p>
      <w:pPr>
        <w:spacing w:line="450" w:lineRule="exact"/>
        <w:ind w:left="-141" w:leftChars="-67" w:firstLine="810" w:firstLineChars="270"/>
        <w:rPr>
          <w:rFonts w:hint="eastAsia" w:ascii="宋体" w:hAnsi="宋体"/>
          <w:bCs/>
          <w:sz w:val="30"/>
          <w:szCs w:val="30"/>
        </w:rPr>
      </w:pPr>
      <w:r>
        <w:rPr>
          <w:rFonts w:ascii="宋体" w:hAnsi="宋体"/>
          <w:bCs/>
          <w:color w:val="000000"/>
          <w:sz w:val="30"/>
          <w:szCs w:val="30"/>
        </w:rPr>
        <w:t>依据</w:t>
      </w:r>
      <w:r>
        <w:rPr>
          <w:rFonts w:hint="eastAsia" w:ascii="宋体" w:hAnsi="宋体"/>
          <w:bCs/>
          <w:color w:val="000000"/>
          <w:sz w:val="30"/>
          <w:szCs w:val="30"/>
          <w:lang w:eastAsia="zh-CN"/>
        </w:rPr>
        <w:t>《中华人民共和国民法典》</w:t>
      </w:r>
      <w:r>
        <w:rPr>
          <w:rFonts w:hint="eastAsia" w:ascii="宋体" w:hAnsi="宋体"/>
          <w:bCs/>
          <w:color w:val="000000"/>
          <w:sz w:val="30"/>
          <w:szCs w:val="30"/>
        </w:rPr>
        <w:t>，以及</w:t>
      </w:r>
      <w:r>
        <w:rPr>
          <w:rFonts w:hint="eastAsia" w:ascii="宋体" w:hAnsi="宋体"/>
          <w:bCs/>
          <w:sz w:val="30"/>
          <w:szCs w:val="30"/>
        </w:rPr>
        <w:t>四川省成都市都江堰人民政府幸福街道办事处物业服务采购</w:t>
      </w:r>
      <w:r>
        <w:rPr>
          <w:rFonts w:hint="eastAsia" w:ascii="宋体" w:hAnsi="宋体"/>
          <w:bCs/>
          <w:color w:val="000000"/>
          <w:sz w:val="30"/>
          <w:szCs w:val="30"/>
        </w:rPr>
        <w:t>项目</w:t>
      </w:r>
      <w:r>
        <w:rPr>
          <w:rFonts w:ascii="宋体" w:hAnsi="宋体"/>
          <w:bCs/>
          <w:color w:val="000000"/>
          <w:sz w:val="30"/>
          <w:szCs w:val="30"/>
        </w:rPr>
        <w:t>的</w:t>
      </w:r>
      <w:r>
        <w:rPr>
          <w:rFonts w:hint="eastAsia" w:ascii="宋体" w:hAnsi="宋体"/>
          <w:bCs/>
          <w:color w:val="000000"/>
          <w:sz w:val="30"/>
          <w:szCs w:val="30"/>
        </w:rPr>
        <w:t>《</w:t>
      </w:r>
      <w:r>
        <w:rPr>
          <w:rFonts w:hint="eastAsia" w:ascii="宋体" w:hAnsi="宋体"/>
          <w:bCs/>
          <w:color w:val="000000"/>
          <w:sz w:val="30"/>
          <w:szCs w:val="30"/>
          <w:lang w:eastAsia="zh-CN"/>
        </w:rPr>
        <w:t>中标通知书</w:t>
      </w:r>
      <w:r>
        <w:rPr>
          <w:rFonts w:hint="eastAsia" w:ascii="宋体" w:hAnsi="宋体"/>
          <w:bCs/>
          <w:color w:val="000000"/>
          <w:sz w:val="30"/>
          <w:szCs w:val="30"/>
        </w:rPr>
        <w:t>》，甲、乙双方</w:t>
      </w:r>
      <w:r>
        <w:rPr>
          <w:rFonts w:hint="eastAsia" w:ascii="宋体" w:hAnsi="宋体"/>
          <w:bCs/>
          <w:color w:val="000000"/>
          <w:sz w:val="30"/>
          <w:szCs w:val="30"/>
          <w:lang w:eastAsia="zh-CN"/>
        </w:rPr>
        <w:t>平等协商</w:t>
      </w:r>
      <w:r>
        <w:rPr>
          <w:rFonts w:hint="eastAsia" w:ascii="宋体" w:hAnsi="宋体"/>
          <w:bCs/>
          <w:color w:val="000000"/>
          <w:sz w:val="30"/>
          <w:szCs w:val="30"/>
        </w:rPr>
        <w:t>同意签订本合同。详细技术说明及其他有关合同项目的特定信息由合同附件予以说明。</w:t>
      </w:r>
    </w:p>
    <w:p>
      <w:pPr>
        <w:pStyle w:val="18"/>
        <w:spacing w:line="450" w:lineRule="exact"/>
        <w:ind w:left="0" w:leftChars="0" w:firstLine="602" w:firstLineChars="200"/>
        <w:rPr>
          <w:rFonts w:hint="eastAsia" w:ascii="宋体" w:hAnsi="宋体"/>
          <w:bCs/>
          <w:sz w:val="30"/>
          <w:szCs w:val="30"/>
        </w:rPr>
      </w:pPr>
      <w:r>
        <w:rPr>
          <w:rFonts w:hint="eastAsia" w:ascii="宋体" w:hAnsi="宋体"/>
          <w:b/>
          <w:bCs w:val="0"/>
          <w:sz w:val="30"/>
          <w:szCs w:val="30"/>
        </w:rPr>
        <w:t xml:space="preserve">第一条 </w:t>
      </w:r>
      <w:r>
        <w:rPr>
          <w:rFonts w:hint="eastAsia" w:ascii="宋体" w:hAnsi="宋体"/>
          <w:bCs/>
          <w:sz w:val="30"/>
          <w:szCs w:val="30"/>
        </w:rPr>
        <w:t xml:space="preserve"> 项目基本情况</w:t>
      </w:r>
    </w:p>
    <w:p>
      <w:pPr>
        <w:pStyle w:val="18"/>
        <w:spacing w:line="450" w:lineRule="exact"/>
        <w:ind w:left="0" w:leftChars="0" w:firstLine="600" w:firstLineChars="200"/>
        <w:rPr>
          <w:rFonts w:hint="eastAsia" w:ascii="宋体" w:hAnsi="宋体"/>
          <w:bCs/>
          <w:sz w:val="30"/>
          <w:szCs w:val="30"/>
          <w:u w:val="single"/>
        </w:rPr>
      </w:pPr>
      <w:r>
        <w:rPr>
          <w:rFonts w:hint="eastAsia" w:ascii="宋体" w:hAnsi="宋体"/>
          <w:bCs/>
          <w:sz w:val="30"/>
          <w:szCs w:val="30"/>
        </w:rPr>
        <w:t>1、地址：</w:t>
      </w:r>
      <w:r>
        <w:rPr>
          <w:rFonts w:hint="eastAsia" w:ascii="宋体" w:hAnsi="宋体"/>
          <w:bCs/>
          <w:sz w:val="30"/>
          <w:szCs w:val="30"/>
          <w:u w:val="single"/>
        </w:rPr>
        <w:t xml:space="preserve"> 都江堰市都江堰大道299号 </w:t>
      </w:r>
    </w:p>
    <w:p>
      <w:pPr>
        <w:spacing w:line="450" w:lineRule="exact"/>
        <w:ind w:firstLine="600" w:firstLineChars="200"/>
        <w:rPr>
          <w:rFonts w:hint="eastAsia" w:ascii="宋体" w:hAnsi="宋体"/>
          <w:bCs/>
          <w:color w:val="000000"/>
          <w:sz w:val="30"/>
          <w:szCs w:val="30"/>
        </w:rPr>
      </w:pPr>
      <w:r>
        <w:rPr>
          <w:rFonts w:hint="eastAsia" w:ascii="宋体" w:hAnsi="宋体"/>
          <w:bCs/>
          <w:color w:val="000000"/>
          <w:sz w:val="30"/>
          <w:szCs w:val="30"/>
        </w:rPr>
        <w:t>2、服务面积：占地8.9亩</w:t>
      </w:r>
    </w:p>
    <w:tbl>
      <w:tblPr>
        <w:tblStyle w:val="43"/>
        <w:tblW w:w="8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2126"/>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2108"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ascii="宋体" w:hAnsi="宋体"/>
                <w:bCs/>
                <w:color w:val="000000"/>
                <w:sz w:val="30"/>
                <w:szCs w:val="30"/>
              </w:rPr>
            </w:pPr>
            <w:r>
              <w:rPr>
                <w:rFonts w:hint="eastAsia" w:ascii="宋体" w:hAnsi="宋体"/>
                <w:bCs/>
                <w:color w:val="000000"/>
                <w:sz w:val="30"/>
                <w:szCs w:val="30"/>
              </w:rPr>
              <w:t>地点</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ascii="宋体" w:hAnsi="宋体"/>
                <w:bCs/>
                <w:color w:val="000000"/>
                <w:sz w:val="30"/>
                <w:szCs w:val="30"/>
              </w:rPr>
            </w:pPr>
            <w:r>
              <w:rPr>
                <w:rFonts w:hint="eastAsia" w:ascii="宋体" w:hAnsi="宋体"/>
                <w:bCs/>
                <w:color w:val="000000"/>
                <w:sz w:val="30"/>
                <w:szCs w:val="30"/>
              </w:rPr>
              <w:t>楼层数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ascii="宋体" w:hAnsi="宋体"/>
                <w:bCs/>
                <w:color w:val="000000"/>
                <w:sz w:val="30"/>
                <w:szCs w:val="30"/>
              </w:rPr>
            </w:pPr>
            <w:r>
              <w:rPr>
                <w:rFonts w:hint="eastAsia" w:ascii="宋体" w:hAnsi="宋体"/>
                <w:bCs/>
                <w:color w:val="000000"/>
                <w:sz w:val="30"/>
                <w:szCs w:val="30"/>
              </w:rPr>
              <w:t>小计</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ascii="宋体" w:hAnsi="宋体"/>
                <w:bCs/>
                <w:color w:val="000000"/>
                <w:sz w:val="30"/>
                <w:szCs w:val="30"/>
              </w:rPr>
            </w:pPr>
            <w:r>
              <w:rPr>
                <w:rFonts w:hint="eastAsia" w:ascii="宋体" w:hAnsi="宋体"/>
                <w:bCs/>
                <w:color w:val="0000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2108"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ascii="宋体" w:hAnsi="宋体"/>
                <w:bCs/>
                <w:color w:val="000000"/>
                <w:sz w:val="30"/>
                <w:szCs w:val="30"/>
              </w:rPr>
            </w:pPr>
            <w:r>
              <w:rPr>
                <w:rFonts w:hint="eastAsia" w:ascii="宋体" w:hAnsi="宋体"/>
                <w:bCs/>
                <w:color w:val="000000"/>
                <w:sz w:val="30"/>
                <w:szCs w:val="30"/>
              </w:rPr>
              <w:t>主楼、副楼</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宋体" w:hAnsi="宋体"/>
                <w:bCs/>
                <w:color w:val="000000"/>
                <w:sz w:val="30"/>
                <w:szCs w:val="30"/>
              </w:rPr>
            </w:pPr>
            <w:r>
              <w:rPr>
                <w:rFonts w:hint="eastAsia" w:ascii="宋体" w:hAnsi="宋体"/>
                <w:bCs/>
                <w:color w:val="000000"/>
                <w:sz w:val="30"/>
                <w:szCs w:val="30"/>
              </w:rPr>
              <w:t>主楼6层 次楼2层</w:t>
            </w:r>
          </w:p>
          <w:p>
            <w:pPr>
              <w:spacing w:line="450" w:lineRule="exact"/>
              <w:jc w:val="center"/>
              <w:rPr>
                <w:rFonts w:ascii="宋体" w:hAnsi="宋体"/>
                <w:bCs/>
                <w:color w:val="000000"/>
                <w:sz w:val="30"/>
                <w:szCs w:val="30"/>
              </w:rPr>
            </w:pPr>
            <w:r>
              <w:rPr>
                <w:rFonts w:hint="eastAsia" w:ascii="宋体" w:hAnsi="宋体"/>
                <w:bCs/>
                <w:color w:val="000000"/>
                <w:sz w:val="30"/>
                <w:szCs w:val="30"/>
              </w:rPr>
              <w:t>附楼3层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ascii="宋体" w:hAnsi="宋体"/>
                <w:bCs/>
                <w:color w:val="000000"/>
                <w:sz w:val="30"/>
                <w:szCs w:val="30"/>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宋体" w:hAnsi="宋体"/>
                <w:bCs/>
                <w:color w:val="000000"/>
                <w:sz w:val="30"/>
                <w:szCs w:val="30"/>
              </w:rPr>
            </w:pPr>
            <w:r>
              <w:rPr>
                <w:rFonts w:hint="eastAsia" w:ascii="宋体" w:hAnsi="宋体"/>
                <w:bCs/>
                <w:color w:val="000000"/>
                <w:sz w:val="30"/>
                <w:szCs w:val="30"/>
              </w:rPr>
              <w:t>主、次楼、附楼共计4456平方米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2108"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宋体" w:hAnsi="宋体"/>
                <w:bCs/>
                <w:color w:val="000000"/>
                <w:sz w:val="30"/>
                <w:szCs w:val="30"/>
              </w:rPr>
            </w:pPr>
            <w:r>
              <w:rPr>
                <w:rFonts w:hint="eastAsia" w:ascii="宋体" w:hAnsi="宋体"/>
                <w:bCs/>
                <w:color w:val="000000"/>
                <w:sz w:val="30"/>
                <w:szCs w:val="30"/>
              </w:rPr>
              <w:t>外墙玻璃幕墙</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ascii="宋体" w:hAnsi="宋体"/>
                <w:bCs/>
                <w:color w:val="000000"/>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ascii="宋体" w:hAnsi="宋体"/>
                <w:bCs/>
                <w:color w:val="000000"/>
                <w:sz w:val="30"/>
                <w:szCs w:val="30"/>
              </w:rPr>
            </w:pPr>
            <w:r>
              <w:rPr>
                <w:rFonts w:hint="eastAsia" w:ascii="宋体" w:hAnsi="宋体"/>
                <w:bCs/>
                <w:color w:val="000000"/>
                <w:sz w:val="30"/>
                <w:szCs w:val="30"/>
              </w:rPr>
              <w:t>500平方米</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宋体" w:hAnsi="宋体"/>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2108"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宋体" w:hAnsi="宋体"/>
                <w:bCs/>
                <w:color w:val="000000"/>
                <w:sz w:val="30"/>
                <w:szCs w:val="30"/>
              </w:rPr>
            </w:pPr>
            <w:r>
              <w:rPr>
                <w:rFonts w:hint="eastAsia" w:ascii="宋体" w:hAnsi="宋体"/>
                <w:bCs/>
                <w:color w:val="000000"/>
                <w:sz w:val="30"/>
                <w:szCs w:val="30"/>
              </w:rPr>
              <w:t>楼道玻璃</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ascii="宋体" w:hAnsi="宋体"/>
                <w:bCs/>
                <w:color w:val="000000"/>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ascii="宋体" w:hAnsi="宋体"/>
                <w:bCs/>
                <w:color w:val="000000"/>
                <w:sz w:val="30"/>
                <w:szCs w:val="30"/>
              </w:rPr>
            </w:pPr>
            <w:r>
              <w:rPr>
                <w:rFonts w:hint="eastAsia" w:ascii="宋体" w:hAnsi="宋体"/>
                <w:bCs/>
                <w:color w:val="000000"/>
                <w:sz w:val="30"/>
                <w:szCs w:val="30"/>
              </w:rPr>
              <w:t>500平方米</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宋体" w:hAnsi="宋体"/>
                <w:bCs/>
                <w:color w:val="000000"/>
                <w:sz w:val="30"/>
                <w:szCs w:val="30"/>
              </w:rPr>
            </w:pPr>
          </w:p>
        </w:tc>
      </w:tr>
    </w:tbl>
    <w:p>
      <w:pPr>
        <w:spacing w:line="450" w:lineRule="exact"/>
        <w:ind w:firstLine="600" w:firstLineChars="200"/>
        <w:rPr>
          <w:rFonts w:hint="eastAsia" w:ascii="宋体" w:hAnsi="宋体"/>
          <w:bCs/>
          <w:sz w:val="30"/>
          <w:szCs w:val="30"/>
        </w:rPr>
      </w:pPr>
    </w:p>
    <w:p>
      <w:pPr>
        <w:spacing w:line="450" w:lineRule="atLeast"/>
        <w:ind w:firstLine="600" w:firstLineChars="200"/>
        <w:rPr>
          <w:rFonts w:hint="eastAsia" w:ascii="宋体" w:hAnsi="宋体" w:cs="宋体"/>
          <w:bCs/>
          <w:color w:val="000000"/>
          <w:sz w:val="30"/>
          <w:szCs w:val="30"/>
        </w:rPr>
      </w:pPr>
      <w:r>
        <w:rPr>
          <w:rFonts w:hint="eastAsia" w:ascii="宋体" w:hAnsi="宋体"/>
          <w:bCs/>
          <w:sz w:val="30"/>
          <w:szCs w:val="30"/>
          <w:highlight w:val="none"/>
        </w:rPr>
        <w:t>3、物业服务内容</w:t>
      </w:r>
      <w:r>
        <w:rPr>
          <w:rFonts w:hint="eastAsia" w:ascii="宋体" w:hAnsi="宋体"/>
          <w:bCs/>
          <w:sz w:val="30"/>
          <w:szCs w:val="30"/>
        </w:rPr>
        <w:t>：</w:t>
      </w:r>
    </w:p>
    <w:p>
      <w:pPr>
        <w:pStyle w:val="18"/>
        <w:spacing w:line="450" w:lineRule="atLeast"/>
        <w:ind w:left="0" w:leftChars="0" w:firstLine="600" w:firstLineChars="200"/>
        <w:rPr>
          <w:rFonts w:hint="eastAsia" w:ascii="宋体" w:hAnsi="宋体"/>
          <w:bCs/>
          <w:sz w:val="30"/>
          <w:szCs w:val="30"/>
          <w:u w:val="single"/>
        </w:rPr>
      </w:pPr>
      <w:r>
        <w:rPr>
          <w:rFonts w:hint="eastAsia" w:ascii="宋体" w:hAnsi="宋体"/>
          <w:bCs/>
          <w:sz w:val="30"/>
          <w:szCs w:val="30"/>
        </w:rPr>
        <w:t>街道办事处办公区、停车场</w:t>
      </w:r>
      <w:r>
        <w:rPr>
          <w:rFonts w:hint="eastAsia" w:ascii="宋体" w:hAnsi="宋体"/>
          <w:bCs/>
          <w:sz w:val="30"/>
          <w:szCs w:val="30"/>
          <w:u w:val="single"/>
        </w:rPr>
        <w:t>公共秩序维护、日常安</w:t>
      </w:r>
      <w:r>
        <w:rPr>
          <w:rFonts w:hint="eastAsia" w:ascii="宋体" w:hAnsi="宋体"/>
          <w:bCs/>
          <w:color w:val="000000"/>
          <w:sz w:val="30"/>
          <w:szCs w:val="30"/>
          <w:u w:val="single"/>
        </w:rPr>
        <w:t>保</w:t>
      </w:r>
      <w:r>
        <w:rPr>
          <w:rFonts w:hint="eastAsia" w:ascii="宋体" w:hAnsi="宋体"/>
          <w:bCs/>
          <w:sz w:val="30"/>
          <w:szCs w:val="30"/>
          <w:u w:val="single"/>
        </w:rPr>
        <w:t>服务、消防安全管理、会务服务、卫生保洁、区域内交通安全和车辆的规范有序停放及管理、绿化修剪、日常工程水电维修维护</w:t>
      </w:r>
      <w:r>
        <w:rPr>
          <w:rFonts w:hint="eastAsia" w:ascii="宋体" w:hAnsi="宋体"/>
          <w:bCs/>
          <w:sz w:val="30"/>
          <w:szCs w:val="30"/>
        </w:rPr>
        <w:t>。</w:t>
      </w:r>
    </w:p>
    <w:p>
      <w:pPr>
        <w:pStyle w:val="18"/>
        <w:spacing w:line="450" w:lineRule="atLeast"/>
        <w:ind w:left="0" w:leftChars="0" w:firstLine="602" w:firstLineChars="200"/>
        <w:rPr>
          <w:rFonts w:hint="eastAsia" w:ascii="宋体" w:hAnsi="宋体"/>
          <w:bCs/>
          <w:sz w:val="30"/>
          <w:szCs w:val="30"/>
        </w:rPr>
      </w:pPr>
      <w:r>
        <w:rPr>
          <w:rFonts w:hint="eastAsia" w:ascii="宋体" w:hAnsi="宋体"/>
          <w:b/>
          <w:bCs w:val="0"/>
          <w:sz w:val="30"/>
          <w:szCs w:val="30"/>
        </w:rPr>
        <w:t>第二条</w:t>
      </w:r>
      <w:r>
        <w:rPr>
          <w:rFonts w:hint="eastAsia" w:ascii="宋体" w:hAnsi="宋体"/>
          <w:bCs/>
          <w:sz w:val="30"/>
          <w:szCs w:val="30"/>
        </w:rPr>
        <w:t xml:space="preserve">  </w:t>
      </w:r>
      <w:r>
        <w:rPr>
          <w:rFonts w:hint="eastAsia" w:ascii="宋体" w:hAnsi="宋体"/>
          <w:bCs/>
          <w:color w:val="000000"/>
          <w:sz w:val="30"/>
          <w:szCs w:val="30"/>
        </w:rPr>
        <w:t>合同期限为</w:t>
      </w:r>
      <w:r>
        <w:rPr>
          <w:rFonts w:hint="eastAsia" w:ascii="宋体" w:hAnsi="宋体"/>
          <w:bCs/>
          <w:color w:val="000000"/>
          <w:sz w:val="30"/>
          <w:szCs w:val="30"/>
          <w:u w:val="single"/>
        </w:rPr>
        <w:t xml:space="preserve"> </w:t>
      </w:r>
      <w:r>
        <w:rPr>
          <w:rFonts w:hint="eastAsia" w:ascii="宋体" w:hAnsi="宋体"/>
          <w:bCs/>
          <w:color w:val="000000"/>
          <w:sz w:val="30"/>
          <w:szCs w:val="30"/>
          <w:u w:val="single"/>
          <w:lang w:val="en-US" w:eastAsia="zh-CN"/>
        </w:rPr>
        <w:t xml:space="preserve">   </w:t>
      </w:r>
      <w:r>
        <w:rPr>
          <w:rFonts w:hint="eastAsia" w:ascii="宋体" w:hAnsi="宋体"/>
          <w:bCs/>
          <w:color w:val="000000"/>
          <w:sz w:val="30"/>
          <w:szCs w:val="30"/>
        </w:rPr>
        <w:t>年</w:t>
      </w:r>
      <w:r>
        <w:rPr>
          <w:rFonts w:hint="eastAsia" w:ascii="宋体" w:hAnsi="宋体"/>
          <w:bCs/>
          <w:color w:val="000000"/>
          <w:sz w:val="30"/>
          <w:szCs w:val="30"/>
          <w:u w:val="single"/>
          <w:lang w:val="en-US" w:eastAsia="zh-CN"/>
        </w:rPr>
        <w:t xml:space="preserve">   </w:t>
      </w:r>
      <w:r>
        <w:rPr>
          <w:rFonts w:hint="eastAsia" w:ascii="宋体" w:hAnsi="宋体"/>
          <w:bCs/>
          <w:color w:val="000000"/>
          <w:sz w:val="30"/>
          <w:szCs w:val="30"/>
        </w:rPr>
        <w:t>月</w:t>
      </w:r>
      <w:r>
        <w:rPr>
          <w:rFonts w:hint="eastAsia" w:ascii="宋体" w:hAnsi="宋体"/>
          <w:bCs/>
          <w:color w:val="000000"/>
          <w:sz w:val="30"/>
          <w:szCs w:val="30"/>
          <w:u w:val="single"/>
        </w:rPr>
        <w:t xml:space="preserve"> </w:t>
      </w:r>
      <w:r>
        <w:rPr>
          <w:rFonts w:hint="eastAsia" w:ascii="宋体" w:hAnsi="宋体"/>
          <w:bCs/>
          <w:color w:val="000000"/>
          <w:sz w:val="30"/>
          <w:szCs w:val="30"/>
          <w:u w:val="single"/>
          <w:lang w:val="en-US" w:eastAsia="zh-CN"/>
        </w:rPr>
        <w:t xml:space="preserve"> </w:t>
      </w:r>
      <w:r>
        <w:rPr>
          <w:rFonts w:hint="eastAsia" w:ascii="宋体" w:hAnsi="宋体"/>
          <w:bCs/>
          <w:color w:val="000000"/>
          <w:sz w:val="30"/>
          <w:szCs w:val="30"/>
          <w:u w:val="single"/>
        </w:rPr>
        <w:t xml:space="preserve"> </w:t>
      </w:r>
      <w:r>
        <w:rPr>
          <w:rFonts w:hint="eastAsia" w:ascii="宋体" w:hAnsi="宋体"/>
          <w:bCs/>
          <w:color w:val="000000"/>
          <w:sz w:val="30"/>
          <w:szCs w:val="30"/>
        </w:rPr>
        <w:t>日起至</w:t>
      </w:r>
      <w:r>
        <w:rPr>
          <w:rFonts w:hint="eastAsia" w:ascii="宋体" w:hAnsi="宋体"/>
          <w:bCs/>
          <w:color w:val="000000"/>
          <w:sz w:val="30"/>
          <w:szCs w:val="30"/>
          <w:u w:val="single"/>
        </w:rPr>
        <w:t xml:space="preserve"> </w:t>
      </w:r>
      <w:r>
        <w:rPr>
          <w:rFonts w:hint="eastAsia" w:ascii="宋体" w:hAnsi="宋体"/>
          <w:bCs/>
          <w:color w:val="000000"/>
          <w:sz w:val="30"/>
          <w:szCs w:val="30"/>
          <w:u w:val="single"/>
          <w:lang w:val="en-US" w:eastAsia="zh-CN"/>
        </w:rPr>
        <w:t xml:space="preserve">    </w:t>
      </w:r>
      <w:r>
        <w:rPr>
          <w:rFonts w:hint="eastAsia" w:ascii="宋体" w:hAnsi="宋体"/>
          <w:bCs/>
          <w:color w:val="000000"/>
          <w:sz w:val="30"/>
          <w:szCs w:val="30"/>
        </w:rPr>
        <w:t>年</w:t>
      </w:r>
      <w:r>
        <w:rPr>
          <w:rFonts w:hint="eastAsia" w:ascii="宋体" w:hAnsi="宋体"/>
          <w:bCs/>
          <w:color w:val="000000"/>
          <w:sz w:val="30"/>
          <w:szCs w:val="30"/>
          <w:u w:val="single"/>
        </w:rPr>
        <w:t xml:space="preserve"> </w:t>
      </w:r>
      <w:r>
        <w:rPr>
          <w:rFonts w:hint="eastAsia" w:ascii="宋体" w:hAnsi="宋体"/>
          <w:bCs/>
          <w:color w:val="000000"/>
          <w:sz w:val="30"/>
          <w:szCs w:val="30"/>
          <w:u w:val="single"/>
          <w:lang w:val="en-US" w:eastAsia="zh-CN"/>
        </w:rPr>
        <w:t xml:space="preserve">  </w:t>
      </w:r>
      <w:r>
        <w:rPr>
          <w:rFonts w:hint="eastAsia" w:ascii="宋体" w:hAnsi="宋体"/>
          <w:bCs/>
          <w:color w:val="000000"/>
          <w:sz w:val="30"/>
          <w:szCs w:val="30"/>
        </w:rPr>
        <w:t>月</w:t>
      </w:r>
      <w:r>
        <w:rPr>
          <w:rFonts w:hint="eastAsia" w:ascii="宋体" w:hAnsi="宋体"/>
          <w:bCs/>
          <w:color w:val="000000"/>
          <w:sz w:val="30"/>
          <w:szCs w:val="30"/>
          <w:u w:val="single"/>
        </w:rPr>
        <w:t xml:space="preserve"> </w:t>
      </w:r>
      <w:r>
        <w:rPr>
          <w:rFonts w:hint="eastAsia" w:ascii="宋体" w:hAnsi="宋体"/>
          <w:bCs/>
          <w:color w:val="000000"/>
          <w:sz w:val="30"/>
          <w:szCs w:val="30"/>
          <w:u w:val="single"/>
          <w:lang w:val="en-US" w:eastAsia="zh-CN"/>
        </w:rPr>
        <w:t xml:space="preserve">   </w:t>
      </w:r>
      <w:r>
        <w:rPr>
          <w:rFonts w:hint="eastAsia" w:ascii="宋体" w:hAnsi="宋体"/>
          <w:bCs/>
          <w:color w:val="000000"/>
          <w:sz w:val="30"/>
          <w:szCs w:val="30"/>
        </w:rPr>
        <w:t>日</w:t>
      </w:r>
      <w:r>
        <w:rPr>
          <w:rFonts w:hint="eastAsia" w:ascii="宋体" w:hAnsi="宋体"/>
          <w:bCs/>
          <w:color w:val="333333"/>
          <w:sz w:val="30"/>
          <w:szCs w:val="30"/>
        </w:rPr>
        <w:t>。</w:t>
      </w:r>
    </w:p>
    <w:p>
      <w:pPr>
        <w:pStyle w:val="18"/>
        <w:spacing w:line="450" w:lineRule="atLeast"/>
        <w:ind w:left="0" w:leftChars="0" w:firstLine="602" w:firstLineChars="200"/>
        <w:rPr>
          <w:rFonts w:hint="eastAsia" w:ascii="宋体" w:hAnsi="宋体"/>
          <w:bCs/>
          <w:sz w:val="30"/>
          <w:szCs w:val="30"/>
        </w:rPr>
      </w:pPr>
      <w:r>
        <w:rPr>
          <w:rFonts w:hint="eastAsia" w:ascii="宋体" w:hAnsi="宋体"/>
          <w:b/>
          <w:bCs w:val="0"/>
          <w:sz w:val="30"/>
          <w:szCs w:val="30"/>
        </w:rPr>
        <w:t>第三条</w:t>
      </w:r>
      <w:r>
        <w:rPr>
          <w:rFonts w:hint="eastAsia" w:ascii="宋体" w:hAnsi="宋体"/>
          <w:bCs/>
          <w:sz w:val="30"/>
          <w:szCs w:val="30"/>
        </w:rPr>
        <w:t xml:space="preserve">  乙方管理事项</w:t>
      </w:r>
    </w:p>
    <w:p>
      <w:pPr>
        <w:spacing w:line="450" w:lineRule="atLeast"/>
        <w:ind w:firstLine="600" w:firstLineChars="200"/>
        <w:rPr>
          <w:rFonts w:hint="eastAsia"/>
          <w:bCs/>
          <w:sz w:val="30"/>
          <w:szCs w:val="30"/>
        </w:rPr>
      </w:pPr>
      <w:r>
        <w:rPr>
          <w:rFonts w:hint="eastAsia"/>
          <w:bCs/>
          <w:sz w:val="30"/>
          <w:szCs w:val="30"/>
        </w:rPr>
        <w:t>1、服务范围内的人员进出甄别工作；</w:t>
      </w:r>
    </w:p>
    <w:p>
      <w:pPr>
        <w:spacing w:line="450" w:lineRule="atLeast"/>
        <w:ind w:firstLine="600" w:firstLineChars="200"/>
        <w:rPr>
          <w:rFonts w:hint="eastAsia"/>
          <w:bCs/>
          <w:sz w:val="30"/>
          <w:szCs w:val="30"/>
        </w:rPr>
      </w:pPr>
      <w:r>
        <w:rPr>
          <w:rFonts w:hint="eastAsia"/>
          <w:bCs/>
          <w:sz w:val="30"/>
          <w:szCs w:val="30"/>
        </w:rPr>
        <w:t>2、服务范围内的车辆进出甄别、放行工作；</w:t>
      </w:r>
    </w:p>
    <w:p>
      <w:pPr>
        <w:spacing w:line="450" w:lineRule="atLeast"/>
        <w:ind w:firstLine="600" w:firstLineChars="200"/>
        <w:rPr>
          <w:rFonts w:hint="eastAsia"/>
          <w:bCs/>
          <w:sz w:val="30"/>
          <w:szCs w:val="30"/>
        </w:rPr>
      </w:pPr>
      <w:r>
        <w:rPr>
          <w:rFonts w:hint="eastAsia"/>
          <w:bCs/>
          <w:sz w:val="30"/>
          <w:szCs w:val="30"/>
        </w:rPr>
        <w:t>3、服务范围内停车场车辆的按标准停放，保持道路畅通，维护行驶秩序；</w:t>
      </w:r>
    </w:p>
    <w:p>
      <w:pPr>
        <w:spacing w:line="450" w:lineRule="atLeast"/>
        <w:ind w:firstLine="600" w:firstLineChars="200"/>
        <w:rPr>
          <w:rFonts w:hint="eastAsia"/>
          <w:bCs/>
          <w:sz w:val="30"/>
          <w:szCs w:val="30"/>
        </w:rPr>
      </w:pPr>
      <w:r>
        <w:rPr>
          <w:rFonts w:hint="eastAsia"/>
          <w:bCs/>
          <w:sz w:val="30"/>
          <w:szCs w:val="30"/>
        </w:rPr>
        <w:t>4、服务范围内公共秩序的维护、巡查、突发事件</w:t>
      </w:r>
      <w:r>
        <w:rPr>
          <w:rFonts w:hint="eastAsia"/>
          <w:bCs/>
          <w:color w:val="000000"/>
          <w:sz w:val="30"/>
          <w:szCs w:val="30"/>
        </w:rPr>
        <w:t>前期应</w:t>
      </w:r>
      <w:r>
        <w:rPr>
          <w:rFonts w:hint="eastAsia"/>
          <w:bCs/>
          <w:sz w:val="30"/>
          <w:szCs w:val="30"/>
        </w:rPr>
        <w:t>急处理工作；</w:t>
      </w:r>
    </w:p>
    <w:p>
      <w:pPr>
        <w:spacing w:line="450" w:lineRule="atLeast"/>
        <w:ind w:firstLine="600" w:firstLineChars="200"/>
        <w:rPr>
          <w:rFonts w:hint="eastAsia"/>
          <w:bCs/>
          <w:sz w:val="30"/>
          <w:szCs w:val="30"/>
        </w:rPr>
      </w:pPr>
      <w:r>
        <w:rPr>
          <w:rFonts w:hint="eastAsia"/>
          <w:bCs/>
          <w:sz w:val="30"/>
          <w:szCs w:val="30"/>
        </w:rPr>
        <w:t>5、服务范围内秩序维护、服务形象树立工作；</w:t>
      </w:r>
    </w:p>
    <w:p>
      <w:pPr>
        <w:spacing w:line="450" w:lineRule="atLeast"/>
        <w:ind w:firstLine="600" w:firstLineChars="200"/>
        <w:rPr>
          <w:rFonts w:hint="eastAsia"/>
          <w:bCs/>
          <w:sz w:val="30"/>
          <w:szCs w:val="30"/>
        </w:rPr>
      </w:pPr>
      <w:r>
        <w:rPr>
          <w:rFonts w:hint="eastAsia"/>
          <w:bCs/>
          <w:sz w:val="30"/>
          <w:szCs w:val="30"/>
        </w:rPr>
        <w:t>6、服务范围内夜间值班与门岗安全工作；</w:t>
      </w:r>
    </w:p>
    <w:p>
      <w:pPr>
        <w:spacing w:line="450" w:lineRule="atLeast"/>
        <w:ind w:firstLine="600" w:firstLineChars="200"/>
        <w:rPr>
          <w:rFonts w:hint="eastAsia"/>
          <w:bCs/>
          <w:sz w:val="30"/>
          <w:szCs w:val="30"/>
        </w:rPr>
      </w:pPr>
      <w:r>
        <w:rPr>
          <w:rFonts w:hint="eastAsia"/>
          <w:bCs/>
          <w:sz w:val="30"/>
          <w:szCs w:val="30"/>
        </w:rPr>
        <w:t>7、服务范围内物品进出的控制与管理；</w:t>
      </w:r>
    </w:p>
    <w:p>
      <w:pPr>
        <w:spacing w:line="450" w:lineRule="atLeast"/>
        <w:ind w:firstLine="600" w:firstLineChars="200"/>
        <w:rPr>
          <w:rFonts w:hint="eastAsia"/>
          <w:bCs/>
          <w:sz w:val="30"/>
          <w:szCs w:val="30"/>
        </w:rPr>
      </w:pPr>
      <w:r>
        <w:rPr>
          <w:rFonts w:hint="eastAsia"/>
          <w:bCs/>
          <w:sz w:val="30"/>
          <w:szCs w:val="30"/>
        </w:rPr>
        <w:t>8、服务范围内园林花草树木造型、修剪、施肥、除草等养护工作；</w:t>
      </w:r>
    </w:p>
    <w:p>
      <w:pPr>
        <w:spacing w:line="450" w:lineRule="atLeast"/>
        <w:ind w:firstLine="600" w:firstLineChars="200"/>
        <w:rPr>
          <w:rFonts w:hint="eastAsia"/>
          <w:bCs/>
          <w:sz w:val="30"/>
          <w:szCs w:val="30"/>
        </w:rPr>
      </w:pPr>
      <w:r>
        <w:rPr>
          <w:rFonts w:hint="eastAsia"/>
          <w:bCs/>
          <w:sz w:val="30"/>
          <w:szCs w:val="30"/>
        </w:rPr>
        <w:t>9、服务范围内水电基础设施维修、维护工作</w:t>
      </w:r>
      <w:r>
        <w:rPr>
          <w:rFonts w:hint="eastAsia"/>
          <w:bCs/>
          <w:sz w:val="30"/>
          <w:szCs w:val="30"/>
          <w:lang w:eastAsia="zh-CN"/>
        </w:rPr>
        <w:t>（水电维修耗材由甲方购买</w:t>
      </w:r>
      <w:r>
        <w:rPr>
          <w:rFonts w:hint="eastAsia"/>
          <w:bCs/>
          <w:sz w:val="30"/>
          <w:szCs w:val="30"/>
          <w:highlight w:val="none"/>
          <w:lang w:eastAsia="zh-CN"/>
        </w:rPr>
        <w:t>）</w:t>
      </w:r>
      <w:r>
        <w:rPr>
          <w:rFonts w:hint="eastAsia"/>
          <w:bCs/>
          <w:sz w:val="30"/>
          <w:szCs w:val="30"/>
        </w:rPr>
        <w:t>；</w:t>
      </w:r>
    </w:p>
    <w:p>
      <w:pPr>
        <w:spacing w:line="450" w:lineRule="atLeast"/>
        <w:ind w:left="0" w:leftChars="0" w:firstLine="600" w:firstLineChars="200"/>
        <w:rPr>
          <w:rFonts w:hint="eastAsia"/>
          <w:bCs/>
          <w:sz w:val="30"/>
          <w:szCs w:val="30"/>
        </w:rPr>
      </w:pPr>
      <w:r>
        <w:rPr>
          <w:rFonts w:hint="eastAsia"/>
          <w:bCs/>
          <w:sz w:val="30"/>
          <w:szCs w:val="30"/>
        </w:rPr>
        <w:t>10、服务范围内清洁管理与保洁：领导独立办公室日常及定期清洁和保养；楼栋内公共区域日常及定期清洁和保养；楼层内公共卫生间的日常清洁和保养；院落内道路日常清洁和保养；</w:t>
      </w:r>
    </w:p>
    <w:p>
      <w:pPr>
        <w:spacing w:line="450" w:lineRule="atLeast"/>
        <w:ind w:firstLine="600" w:firstLineChars="200"/>
        <w:rPr>
          <w:rFonts w:hint="eastAsia"/>
          <w:bCs/>
          <w:color w:val="000000"/>
          <w:sz w:val="30"/>
          <w:szCs w:val="30"/>
        </w:rPr>
      </w:pPr>
      <w:r>
        <w:rPr>
          <w:rFonts w:hint="eastAsia"/>
          <w:bCs/>
          <w:color w:val="000000"/>
          <w:sz w:val="30"/>
          <w:szCs w:val="30"/>
        </w:rPr>
        <w:t>11、服务范围内</w:t>
      </w:r>
      <w:r>
        <w:rPr>
          <w:rFonts w:hint="eastAsia" w:ascii="宋体" w:hAnsi="宋体"/>
          <w:bCs/>
          <w:color w:val="000000"/>
          <w:sz w:val="30"/>
          <w:szCs w:val="30"/>
        </w:rPr>
        <w:t>玻璃幕墙、景观水池清洗</w:t>
      </w:r>
      <w:r>
        <w:rPr>
          <w:rFonts w:hint="eastAsia"/>
          <w:bCs/>
          <w:color w:val="000000"/>
          <w:sz w:val="30"/>
          <w:szCs w:val="30"/>
        </w:rPr>
        <w:t xml:space="preserve">工作（一年至少清洗一次）； </w:t>
      </w:r>
    </w:p>
    <w:p>
      <w:pPr>
        <w:spacing w:line="450" w:lineRule="atLeast"/>
        <w:ind w:firstLine="600" w:firstLineChars="200"/>
        <w:rPr>
          <w:rFonts w:hint="eastAsia"/>
          <w:bCs/>
          <w:sz w:val="30"/>
          <w:szCs w:val="30"/>
        </w:rPr>
      </w:pPr>
      <w:r>
        <w:rPr>
          <w:rFonts w:hint="eastAsia"/>
          <w:bCs/>
          <w:sz w:val="30"/>
          <w:szCs w:val="30"/>
        </w:rPr>
        <w:t>12、配合服务范围内的日常会议布置、茶水服务或其他</w:t>
      </w:r>
      <w:r>
        <w:rPr>
          <w:rFonts w:hint="eastAsia"/>
          <w:bCs/>
          <w:color w:val="000000"/>
          <w:sz w:val="30"/>
          <w:szCs w:val="30"/>
        </w:rPr>
        <w:t>临时</w:t>
      </w:r>
      <w:r>
        <w:rPr>
          <w:rFonts w:hint="eastAsia"/>
          <w:bCs/>
          <w:sz w:val="30"/>
          <w:szCs w:val="30"/>
        </w:rPr>
        <w:t>活动；</w:t>
      </w:r>
    </w:p>
    <w:p>
      <w:pPr>
        <w:spacing w:line="450" w:lineRule="atLeast"/>
        <w:ind w:firstLine="600" w:firstLineChars="200"/>
        <w:rPr>
          <w:rFonts w:hint="eastAsia"/>
          <w:bCs/>
          <w:sz w:val="30"/>
          <w:szCs w:val="30"/>
        </w:rPr>
      </w:pPr>
      <w:r>
        <w:rPr>
          <w:rFonts w:hint="eastAsia"/>
          <w:bCs/>
          <w:sz w:val="30"/>
          <w:szCs w:val="30"/>
        </w:rPr>
        <w:t>13、配合服务范围内工作人员做好现场其他工作。</w:t>
      </w:r>
    </w:p>
    <w:p>
      <w:pPr>
        <w:spacing w:line="450" w:lineRule="atLeast"/>
        <w:ind w:firstLine="600" w:firstLineChars="200"/>
        <w:rPr>
          <w:bCs/>
          <w:sz w:val="30"/>
          <w:szCs w:val="30"/>
        </w:rPr>
      </w:pPr>
      <w:r>
        <w:rPr>
          <w:rFonts w:hint="eastAsia"/>
          <w:bCs/>
          <w:sz w:val="30"/>
          <w:szCs w:val="30"/>
        </w:rPr>
        <w:t>14、甲方的通讯监控设备（非技术）交由乙方管理，乙方应保证监控正常运行，若监控未能正常运行或监控发生缺失，乙方应及时上报。若因未及时上报，产生的经济损失由乙方负责。</w:t>
      </w:r>
    </w:p>
    <w:p>
      <w:pPr>
        <w:spacing w:line="450" w:lineRule="atLeast"/>
        <w:ind w:firstLine="602" w:firstLineChars="200"/>
        <w:rPr>
          <w:rFonts w:hint="eastAsia" w:ascii="宋体" w:hAnsi="宋体"/>
          <w:bCs/>
          <w:sz w:val="30"/>
          <w:szCs w:val="30"/>
        </w:rPr>
      </w:pPr>
      <w:r>
        <w:rPr>
          <w:rFonts w:hint="eastAsia" w:ascii="宋体" w:hAnsi="宋体"/>
          <w:b/>
          <w:bCs w:val="0"/>
          <w:color w:val="000000"/>
          <w:sz w:val="30"/>
          <w:szCs w:val="30"/>
        </w:rPr>
        <w:t>第四条</w:t>
      </w:r>
      <w:r>
        <w:rPr>
          <w:rFonts w:hint="eastAsia" w:ascii="宋体" w:hAnsi="宋体"/>
          <w:bCs/>
          <w:color w:val="000000"/>
          <w:sz w:val="30"/>
          <w:szCs w:val="30"/>
        </w:rPr>
        <w:t xml:space="preserve">  </w:t>
      </w:r>
      <w:r>
        <w:rPr>
          <w:rFonts w:hint="eastAsia" w:ascii="宋体" w:hAnsi="宋体"/>
          <w:bCs/>
          <w:sz w:val="30"/>
          <w:szCs w:val="30"/>
        </w:rPr>
        <w:t>甲方权利义务：</w:t>
      </w:r>
    </w:p>
    <w:p>
      <w:pPr>
        <w:tabs>
          <w:tab w:val="left" w:pos="0"/>
        </w:tabs>
        <w:spacing w:line="450" w:lineRule="atLeast"/>
        <w:ind w:firstLine="600" w:firstLineChars="200"/>
        <w:rPr>
          <w:rFonts w:hint="eastAsia" w:ascii="宋体" w:hAnsi="宋体"/>
          <w:bCs/>
          <w:sz w:val="30"/>
          <w:szCs w:val="30"/>
        </w:rPr>
      </w:pPr>
      <w:r>
        <w:rPr>
          <w:rFonts w:hint="eastAsia" w:ascii="宋体" w:hAnsi="宋体"/>
          <w:bCs/>
          <w:sz w:val="30"/>
          <w:szCs w:val="30"/>
        </w:rPr>
        <w:t>1、有权指派专人负责指导及配合合同范围内乙方的工作，对现场发现问题可直接要求乙方现场人员进行整改处理或通知乙方指定的负责人进行整改处理；甲方对乙方在日常工作中提出的配合要求和合理化建议，应给予支持和配合。</w:t>
      </w:r>
    </w:p>
    <w:p>
      <w:pPr>
        <w:tabs>
          <w:tab w:val="left" w:pos="900"/>
          <w:tab w:val="left" w:pos="1260"/>
        </w:tabs>
        <w:spacing w:line="450" w:lineRule="atLeast"/>
        <w:ind w:firstLine="600" w:firstLineChars="200"/>
        <w:rPr>
          <w:rFonts w:hint="eastAsia" w:ascii="宋体" w:hAnsi="宋体"/>
          <w:bCs/>
          <w:color w:val="FF0000"/>
          <w:sz w:val="30"/>
          <w:szCs w:val="30"/>
        </w:rPr>
      </w:pPr>
      <w:r>
        <w:rPr>
          <w:rFonts w:hint="eastAsia" w:ascii="宋体" w:hAnsi="宋体"/>
          <w:bCs/>
          <w:sz w:val="30"/>
          <w:szCs w:val="30"/>
        </w:rPr>
        <w:t>2、有权派专人检查监督乙方日常管理工作的实施和相关制度执行情况，并定期以书面的方式对乙方的服务质量提出意见；</w:t>
      </w:r>
      <w:r>
        <w:rPr>
          <w:rFonts w:hint="eastAsia" w:ascii="宋体" w:hAnsi="宋体"/>
          <w:bCs/>
          <w:color w:val="000000"/>
          <w:sz w:val="30"/>
          <w:szCs w:val="30"/>
        </w:rPr>
        <w:t>乙方应在收到甲方通知后2个工作日进行整改完善。</w:t>
      </w:r>
    </w:p>
    <w:p>
      <w:pPr>
        <w:spacing w:line="450" w:lineRule="atLeast"/>
        <w:ind w:firstLine="600" w:firstLineChars="200"/>
        <w:rPr>
          <w:rFonts w:hint="eastAsia" w:ascii="宋体" w:hAnsi="宋体"/>
          <w:bCs/>
          <w:sz w:val="30"/>
          <w:szCs w:val="30"/>
        </w:rPr>
      </w:pPr>
      <w:r>
        <w:rPr>
          <w:rFonts w:hint="eastAsia" w:ascii="宋体" w:hAnsi="宋体"/>
          <w:bCs/>
          <w:sz w:val="30"/>
          <w:szCs w:val="30"/>
        </w:rPr>
        <w:t>3、在本合同履行期间，甲方应保证无偿提供乙方在本服务范围内各项正常服务工作中所需的水、电、乙方员工工作室（含配套设施）</w:t>
      </w:r>
      <w:r>
        <w:rPr>
          <w:rFonts w:hint="eastAsia" w:ascii="宋体" w:hAnsi="宋体"/>
          <w:bCs/>
          <w:color w:val="000000"/>
          <w:sz w:val="30"/>
          <w:szCs w:val="30"/>
        </w:rPr>
        <w:t>等必要</w:t>
      </w:r>
      <w:r>
        <w:rPr>
          <w:rFonts w:hint="eastAsia" w:ascii="宋体" w:hAnsi="宋体"/>
          <w:bCs/>
          <w:sz w:val="30"/>
          <w:szCs w:val="30"/>
        </w:rPr>
        <w:t>的工作条件。</w:t>
      </w:r>
    </w:p>
    <w:p>
      <w:pPr>
        <w:spacing w:line="450" w:lineRule="atLeast"/>
        <w:ind w:firstLine="602" w:firstLineChars="200"/>
        <w:rPr>
          <w:rFonts w:hint="eastAsia" w:ascii="宋体" w:hAnsi="宋体"/>
          <w:bCs/>
          <w:color w:val="000000"/>
          <w:sz w:val="30"/>
          <w:szCs w:val="30"/>
        </w:rPr>
      </w:pPr>
      <w:r>
        <w:rPr>
          <w:rFonts w:hint="eastAsia" w:ascii="宋体" w:hAnsi="宋体"/>
          <w:b/>
          <w:bCs w:val="0"/>
          <w:color w:val="000000"/>
          <w:sz w:val="30"/>
          <w:szCs w:val="30"/>
        </w:rPr>
        <w:t>第五条</w:t>
      </w:r>
      <w:r>
        <w:rPr>
          <w:rFonts w:hint="eastAsia" w:ascii="宋体" w:hAnsi="宋体"/>
          <w:bCs/>
          <w:color w:val="000000"/>
          <w:sz w:val="30"/>
          <w:szCs w:val="30"/>
        </w:rPr>
        <w:t xml:space="preserve">  乙方权利义务</w:t>
      </w:r>
    </w:p>
    <w:p>
      <w:pPr>
        <w:spacing w:line="450" w:lineRule="atLeast"/>
        <w:ind w:firstLine="600" w:firstLineChars="200"/>
        <w:rPr>
          <w:rFonts w:hint="eastAsia" w:ascii="宋体" w:hAnsi="宋体"/>
          <w:bCs/>
          <w:color w:val="000000"/>
          <w:sz w:val="30"/>
          <w:szCs w:val="30"/>
        </w:rPr>
      </w:pPr>
      <w:r>
        <w:rPr>
          <w:rFonts w:hint="eastAsia" w:ascii="宋体" w:hAnsi="宋体"/>
          <w:bCs/>
          <w:color w:val="000000"/>
          <w:sz w:val="30"/>
          <w:szCs w:val="30"/>
        </w:rPr>
        <w:t>1、根据合同中双方约定的服务标准对</w:t>
      </w:r>
      <w:r>
        <w:rPr>
          <w:rFonts w:hint="eastAsia" w:ascii="宋体" w:hAnsi="宋体"/>
          <w:bCs/>
          <w:sz w:val="30"/>
          <w:szCs w:val="30"/>
        </w:rPr>
        <w:t>服务范围内</w:t>
      </w:r>
      <w:r>
        <w:rPr>
          <w:rFonts w:hint="eastAsia" w:ascii="宋体" w:hAnsi="宋体"/>
          <w:bCs/>
          <w:color w:val="000000"/>
          <w:sz w:val="30"/>
          <w:szCs w:val="30"/>
        </w:rPr>
        <w:t>进行物业服务。</w:t>
      </w:r>
    </w:p>
    <w:p>
      <w:pPr>
        <w:spacing w:line="450" w:lineRule="atLeast"/>
        <w:ind w:firstLine="600" w:firstLineChars="200"/>
        <w:rPr>
          <w:rFonts w:hint="eastAsia" w:ascii="宋体" w:hAnsi="宋体"/>
          <w:bCs/>
          <w:sz w:val="30"/>
          <w:szCs w:val="30"/>
        </w:rPr>
      </w:pPr>
      <w:r>
        <w:rPr>
          <w:rFonts w:hint="eastAsia" w:ascii="宋体" w:hAnsi="宋体"/>
          <w:bCs/>
          <w:sz w:val="30"/>
          <w:szCs w:val="30"/>
        </w:rPr>
        <w:t>2、</w:t>
      </w:r>
      <w:r>
        <w:rPr>
          <w:rFonts w:hint="eastAsia" w:ascii="宋体" w:hAnsi="宋体"/>
          <w:bCs/>
          <w:color w:val="000000"/>
          <w:sz w:val="30"/>
          <w:szCs w:val="30"/>
        </w:rPr>
        <w:t>确保</w:t>
      </w:r>
      <w:r>
        <w:rPr>
          <w:rFonts w:hint="eastAsia" w:ascii="宋体" w:hAnsi="宋体"/>
          <w:bCs/>
          <w:sz w:val="30"/>
          <w:szCs w:val="30"/>
        </w:rPr>
        <w:t>服务范围内</w:t>
      </w:r>
      <w:r>
        <w:rPr>
          <w:rFonts w:hint="eastAsia" w:ascii="宋体" w:hAnsi="宋体"/>
          <w:bCs/>
          <w:color w:val="000000"/>
          <w:sz w:val="30"/>
          <w:szCs w:val="30"/>
        </w:rPr>
        <w:t>秩序稳定。</w:t>
      </w:r>
    </w:p>
    <w:p>
      <w:pPr>
        <w:spacing w:line="450" w:lineRule="atLeast"/>
        <w:ind w:firstLine="600" w:firstLineChars="200"/>
        <w:rPr>
          <w:rFonts w:hint="eastAsia" w:ascii="宋体" w:hAnsi="宋体"/>
          <w:bCs/>
          <w:color w:val="000000"/>
          <w:sz w:val="30"/>
          <w:szCs w:val="30"/>
        </w:rPr>
      </w:pPr>
      <w:r>
        <w:rPr>
          <w:rFonts w:hint="eastAsia" w:ascii="宋体" w:hAnsi="宋体"/>
          <w:bCs/>
          <w:color w:val="000000"/>
          <w:sz w:val="30"/>
          <w:szCs w:val="30"/>
        </w:rPr>
        <w:t>3、负责</w:t>
      </w:r>
      <w:r>
        <w:rPr>
          <w:rFonts w:hint="eastAsia" w:ascii="宋体" w:hAnsi="宋体"/>
          <w:bCs/>
          <w:sz w:val="30"/>
          <w:szCs w:val="30"/>
        </w:rPr>
        <w:t>服务范围内</w:t>
      </w:r>
      <w:r>
        <w:rPr>
          <w:rFonts w:hint="eastAsia" w:ascii="宋体" w:hAnsi="宋体"/>
          <w:bCs/>
          <w:color w:val="000000"/>
          <w:sz w:val="30"/>
          <w:szCs w:val="30"/>
        </w:rPr>
        <w:t>道路畅通以及车辆的有序停放。</w:t>
      </w:r>
    </w:p>
    <w:p>
      <w:pPr>
        <w:tabs>
          <w:tab w:val="left" w:pos="1620"/>
        </w:tabs>
        <w:spacing w:line="450" w:lineRule="atLeast"/>
        <w:ind w:firstLine="600" w:firstLineChars="200"/>
        <w:rPr>
          <w:rFonts w:hint="eastAsia" w:ascii="宋体" w:hAnsi="宋体"/>
          <w:bCs/>
          <w:color w:val="000000"/>
          <w:sz w:val="30"/>
          <w:szCs w:val="30"/>
        </w:rPr>
      </w:pPr>
      <w:r>
        <w:rPr>
          <w:rFonts w:hint="eastAsia" w:ascii="宋体" w:hAnsi="宋体"/>
          <w:bCs/>
          <w:color w:val="000000"/>
          <w:sz w:val="30"/>
          <w:szCs w:val="30"/>
        </w:rPr>
        <w:t>4、乙方保证所有上岗的员工均经过相应的岗前消防、安保、应急处置、保密、保洁、会务等技能培训，乙方负责教育、定期培训和管理派驻甲方的人员，严格遵守甲方各项规章制度，保持甲方良好的环境和秩序，协助维护甲方院内财物的安全，未经甲方相关负责人许可，不得擅自使用、移动</w:t>
      </w:r>
      <w:r>
        <w:rPr>
          <w:rFonts w:hint="eastAsia" w:ascii="宋体" w:hAnsi="宋体"/>
          <w:bCs/>
          <w:sz w:val="30"/>
          <w:szCs w:val="30"/>
        </w:rPr>
        <w:t>院内</w:t>
      </w:r>
      <w:r>
        <w:rPr>
          <w:rFonts w:hint="eastAsia" w:ascii="宋体" w:hAnsi="宋体"/>
          <w:bCs/>
          <w:color w:val="000000"/>
          <w:sz w:val="30"/>
          <w:szCs w:val="30"/>
        </w:rPr>
        <w:t>物品，爱护</w:t>
      </w:r>
      <w:r>
        <w:rPr>
          <w:rFonts w:hint="eastAsia" w:ascii="宋体" w:hAnsi="宋体"/>
          <w:bCs/>
          <w:sz w:val="30"/>
          <w:szCs w:val="30"/>
        </w:rPr>
        <w:t>院内</w:t>
      </w:r>
      <w:r>
        <w:rPr>
          <w:rFonts w:hint="eastAsia" w:ascii="宋体" w:hAnsi="宋体"/>
          <w:bCs/>
          <w:color w:val="000000"/>
          <w:sz w:val="30"/>
          <w:szCs w:val="30"/>
        </w:rPr>
        <w:t>财物，注意言行举止，讲究礼貌礼节，以维护甲方良好的形象。</w:t>
      </w:r>
    </w:p>
    <w:p>
      <w:pPr>
        <w:tabs>
          <w:tab w:val="left" w:pos="1620"/>
        </w:tabs>
        <w:spacing w:line="450" w:lineRule="atLeast"/>
        <w:ind w:firstLine="600" w:firstLineChars="200"/>
        <w:rPr>
          <w:rFonts w:hint="eastAsia" w:ascii="宋体" w:hAnsi="宋体"/>
          <w:bCs/>
          <w:color w:val="000000"/>
          <w:sz w:val="30"/>
          <w:szCs w:val="30"/>
        </w:rPr>
      </w:pPr>
      <w:r>
        <w:rPr>
          <w:rFonts w:hint="eastAsia" w:ascii="宋体" w:hAnsi="宋体"/>
          <w:bCs/>
          <w:color w:val="000000"/>
          <w:sz w:val="30"/>
          <w:szCs w:val="30"/>
        </w:rPr>
        <w:t>5、乙方负责发放其派驻员工的工资及福利待遇。</w:t>
      </w:r>
    </w:p>
    <w:p>
      <w:pPr>
        <w:tabs>
          <w:tab w:val="left" w:pos="1620"/>
        </w:tabs>
        <w:spacing w:line="450" w:lineRule="atLeast"/>
        <w:ind w:firstLine="600" w:firstLineChars="200"/>
        <w:rPr>
          <w:rFonts w:ascii="宋体" w:hAnsi="宋体"/>
          <w:bCs/>
          <w:color w:val="000000"/>
          <w:sz w:val="30"/>
          <w:szCs w:val="30"/>
        </w:rPr>
      </w:pPr>
      <w:r>
        <w:rPr>
          <w:rFonts w:hint="eastAsia" w:ascii="宋体" w:hAnsi="宋体"/>
          <w:bCs/>
          <w:color w:val="000000"/>
          <w:sz w:val="30"/>
          <w:szCs w:val="30"/>
        </w:rPr>
        <w:t>6、乙方派驻员工在工作期间（包括上下班途中）发生安全事故的，由乙方承担全部赔偿责任。</w:t>
      </w:r>
    </w:p>
    <w:p>
      <w:pPr>
        <w:tabs>
          <w:tab w:val="left" w:pos="1620"/>
        </w:tabs>
        <w:spacing w:line="450" w:lineRule="atLeast"/>
        <w:ind w:firstLine="600" w:firstLineChars="200"/>
        <w:rPr>
          <w:rFonts w:hint="eastAsia" w:ascii="宋体" w:hAnsi="宋体"/>
          <w:bCs/>
          <w:color w:val="000000"/>
          <w:sz w:val="30"/>
          <w:szCs w:val="30"/>
        </w:rPr>
      </w:pPr>
      <w:r>
        <w:rPr>
          <w:rFonts w:hint="eastAsia" w:ascii="宋体" w:hAnsi="宋体"/>
          <w:bCs/>
          <w:color w:val="000000"/>
          <w:sz w:val="30"/>
          <w:szCs w:val="30"/>
          <w:highlight w:val="none"/>
        </w:rPr>
        <w:t>7、乙方根据甲方要求为派驻</w:t>
      </w:r>
      <w:r>
        <w:rPr>
          <w:rFonts w:hint="eastAsia" w:ascii="宋体" w:hAnsi="宋体"/>
          <w:bCs/>
          <w:sz w:val="30"/>
          <w:szCs w:val="30"/>
          <w:highlight w:val="none"/>
        </w:rPr>
        <w:t>甲方的</w:t>
      </w:r>
      <w:r>
        <w:rPr>
          <w:rFonts w:hint="eastAsia" w:ascii="宋体" w:hAnsi="宋体"/>
          <w:bCs/>
          <w:color w:val="000000"/>
          <w:sz w:val="30"/>
          <w:szCs w:val="30"/>
          <w:highlight w:val="none"/>
        </w:rPr>
        <w:t>员工提供统一工作服和</w:t>
      </w:r>
      <w:r>
        <w:rPr>
          <w:rFonts w:hint="eastAsia" w:ascii="宋体" w:hAnsi="宋体"/>
          <w:bCs/>
          <w:color w:val="000000"/>
          <w:sz w:val="30"/>
          <w:szCs w:val="30"/>
        </w:rPr>
        <w:t>胸卡，并保证上岗期间着装的整洁卫生和佩戴胸卡，并根据现场服务标准对所属员工工装进行定期处理或更新。</w:t>
      </w:r>
    </w:p>
    <w:p>
      <w:pPr>
        <w:tabs>
          <w:tab w:val="left" w:pos="1620"/>
        </w:tabs>
        <w:spacing w:line="450" w:lineRule="atLeast"/>
        <w:ind w:firstLine="600" w:firstLineChars="200"/>
        <w:rPr>
          <w:rFonts w:hint="eastAsia" w:ascii="宋体" w:hAnsi="宋体"/>
          <w:bCs/>
          <w:color w:val="000000"/>
          <w:sz w:val="30"/>
          <w:szCs w:val="30"/>
        </w:rPr>
      </w:pPr>
      <w:r>
        <w:rPr>
          <w:rFonts w:hint="eastAsia" w:ascii="宋体" w:hAnsi="宋体"/>
          <w:bCs/>
          <w:color w:val="000000"/>
          <w:sz w:val="30"/>
          <w:szCs w:val="30"/>
        </w:rPr>
        <w:t>8、乙方派驻人员应自觉按照甲方相关节能制度的要求，注意安全节约用水、用电。</w:t>
      </w:r>
    </w:p>
    <w:p>
      <w:pPr>
        <w:spacing w:line="450" w:lineRule="atLeast"/>
        <w:ind w:firstLine="602" w:firstLineChars="200"/>
        <w:rPr>
          <w:rFonts w:hint="eastAsia" w:ascii="宋体" w:hAnsi="宋体"/>
          <w:bCs/>
          <w:sz w:val="30"/>
          <w:szCs w:val="30"/>
        </w:rPr>
      </w:pPr>
      <w:r>
        <w:rPr>
          <w:rFonts w:hint="eastAsia" w:ascii="宋体" w:hAnsi="宋体"/>
          <w:b/>
          <w:bCs w:val="0"/>
          <w:sz w:val="30"/>
          <w:szCs w:val="30"/>
        </w:rPr>
        <w:t xml:space="preserve">第六条 </w:t>
      </w:r>
      <w:r>
        <w:rPr>
          <w:rFonts w:hint="eastAsia" w:ascii="宋体" w:hAnsi="宋体"/>
          <w:bCs/>
          <w:sz w:val="30"/>
          <w:szCs w:val="30"/>
        </w:rPr>
        <w:t xml:space="preserve"> 乙方须按下列约定实行本物业服务管理：</w:t>
      </w:r>
    </w:p>
    <w:p>
      <w:pPr>
        <w:spacing w:line="450" w:lineRule="atLeast"/>
        <w:ind w:firstLine="600" w:firstLineChars="200"/>
        <w:rPr>
          <w:rFonts w:hint="eastAsia" w:ascii="宋体" w:hAnsi="宋体"/>
          <w:bCs/>
          <w:color w:val="000000"/>
          <w:sz w:val="30"/>
          <w:szCs w:val="30"/>
        </w:rPr>
      </w:pPr>
      <w:r>
        <w:rPr>
          <w:rFonts w:hint="eastAsia" w:ascii="宋体" w:hAnsi="宋体"/>
          <w:bCs/>
          <w:sz w:val="30"/>
          <w:szCs w:val="30"/>
        </w:rPr>
        <w:t>1、乙方根据甲方现场需求配备9人：项目负责人1人，秩序维护</w:t>
      </w:r>
      <w:r>
        <w:rPr>
          <w:rFonts w:hint="eastAsia" w:ascii="宋体" w:hAnsi="宋体"/>
          <w:bCs/>
          <w:sz w:val="30"/>
          <w:szCs w:val="30"/>
          <w:lang w:val="en-US" w:eastAsia="zh-CN"/>
        </w:rPr>
        <w:t>3</w:t>
      </w:r>
      <w:r>
        <w:rPr>
          <w:rFonts w:hint="eastAsia" w:ascii="宋体" w:hAnsi="宋体"/>
          <w:bCs/>
          <w:sz w:val="30"/>
          <w:szCs w:val="30"/>
        </w:rPr>
        <w:t>人、会议服务1人、保洁2人、工程</w:t>
      </w:r>
      <w:r>
        <w:rPr>
          <w:rFonts w:hint="eastAsia" w:ascii="宋体" w:hAnsi="宋体"/>
          <w:bCs/>
          <w:sz w:val="30"/>
          <w:szCs w:val="30"/>
          <w:lang w:eastAsia="zh-CN"/>
        </w:rPr>
        <w:t>维护</w:t>
      </w:r>
      <w:r>
        <w:rPr>
          <w:rFonts w:hint="eastAsia" w:ascii="宋体" w:hAnsi="宋体"/>
          <w:bCs/>
          <w:sz w:val="30"/>
          <w:szCs w:val="30"/>
          <w:lang w:val="en-US" w:eastAsia="zh-CN"/>
        </w:rPr>
        <w:t>1人、</w:t>
      </w:r>
      <w:r>
        <w:rPr>
          <w:rFonts w:hint="eastAsia" w:ascii="宋体" w:hAnsi="宋体"/>
          <w:bCs/>
          <w:sz w:val="30"/>
          <w:szCs w:val="30"/>
        </w:rPr>
        <w:t>绿化维护1人（其中：</w:t>
      </w:r>
      <w:r>
        <w:rPr>
          <w:rFonts w:hint="eastAsia" w:ascii="宋体" w:hAnsi="宋体"/>
          <w:bCs/>
          <w:sz w:val="30"/>
          <w:szCs w:val="30"/>
          <w:lang w:eastAsia="zh-CN"/>
        </w:rPr>
        <w:t>工程维护及</w:t>
      </w:r>
      <w:r>
        <w:rPr>
          <w:rFonts w:hint="eastAsia" w:ascii="宋体" w:hAnsi="宋体"/>
          <w:bCs/>
          <w:sz w:val="30"/>
          <w:szCs w:val="30"/>
        </w:rPr>
        <w:t>绿化维护员</w:t>
      </w:r>
      <w:r>
        <w:rPr>
          <w:rFonts w:hint="eastAsia" w:ascii="宋体" w:hAnsi="宋体"/>
          <w:bCs/>
          <w:color w:val="000000"/>
          <w:sz w:val="30"/>
          <w:szCs w:val="30"/>
        </w:rPr>
        <w:t>可不常驻现场，每周至少两次到现场开展维护工作）；</w:t>
      </w:r>
    </w:p>
    <w:p>
      <w:pPr>
        <w:spacing w:line="450" w:lineRule="atLeast"/>
        <w:ind w:firstLine="600" w:firstLineChars="200"/>
        <w:rPr>
          <w:rFonts w:hint="eastAsia" w:ascii="宋体" w:hAnsi="宋体"/>
          <w:bCs/>
          <w:sz w:val="30"/>
          <w:szCs w:val="30"/>
        </w:rPr>
      </w:pPr>
      <w:r>
        <w:rPr>
          <w:rFonts w:hint="eastAsia" w:ascii="宋体" w:hAnsi="宋体"/>
          <w:bCs/>
          <w:sz w:val="30"/>
          <w:szCs w:val="30"/>
        </w:rPr>
        <w:t>2、秩序维护、会务服务、保洁服务、工程维护、绿化维护由乙方按照合同附件载明的各项服务标准进行（物业管理服务标准详见附件）；</w:t>
      </w:r>
    </w:p>
    <w:p>
      <w:pPr>
        <w:spacing w:line="450" w:lineRule="atLeast"/>
        <w:ind w:firstLine="600" w:firstLineChars="200"/>
        <w:jc w:val="both"/>
        <w:rPr>
          <w:rFonts w:hint="eastAsia" w:ascii="宋体" w:hAnsi="宋体"/>
          <w:bCs/>
          <w:color w:val="000000"/>
          <w:sz w:val="30"/>
          <w:szCs w:val="30"/>
        </w:rPr>
      </w:pPr>
      <w:r>
        <w:rPr>
          <w:rFonts w:hint="eastAsia" w:ascii="宋体" w:hAnsi="宋体"/>
          <w:bCs/>
          <w:sz w:val="30"/>
          <w:szCs w:val="30"/>
        </w:rPr>
        <w:t>3、</w:t>
      </w:r>
      <w:r>
        <w:rPr>
          <w:rFonts w:hint="eastAsia" w:ascii="宋体" w:hAnsi="宋体"/>
          <w:bCs/>
          <w:color w:val="000000"/>
          <w:sz w:val="30"/>
          <w:szCs w:val="30"/>
        </w:rPr>
        <w:t>乙方应按时向甲方上报周计划、月计划、年计划及保洁、绿化养护、安保安全应急处置和消防方案。</w:t>
      </w:r>
    </w:p>
    <w:p>
      <w:pPr>
        <w:spacing w:line="450" w:lineRule="atLeast"/>
        <w:ind w:firstLine="600" w:firstLineChars="200"/>
        <w:jc w:val="both"/>
        <w:rPr>
          <w:rFonts w:hint="eastAsia" w:ascii="宋体" w:hAnsi="宋体"/>
          <w:bCs/>
          <w:color w:val="000000"/>
          <w:sz w:val="30"/>
          <w:szCs w:val="30"/>
        </w:rPr>
      </w:pPr>
      <w:r>
        <w:rPr>
          <w:rFonts w:hint="eastAsia" w:ascii="宋体" w:hAnsi="宋体"/>
          <w:bCs/>
          <w:color w:val="000000"/>
          <w:sz w:val="30"/>
          <w:szCs w:val="30"/>
        </w:rPr>
        <w:t>4、乙方派驻甲方工作人员应保持人员相对稳定。若人员发生变化，应于2日内向甲方说明情况，征得甲方同意。</w:t>
      </w:r>
    </w:p>
    <w:p>
      <w:pPr>
        <w:spacing w:line="450" w:lineRule="atLeast"/>
        <w:ind w:firstLine="600" w:firstLineChars="200"/>
        <w:jc w:val="both"/>
        <w:rPr>
          <w:rFonts w:hint="eastAsia" w:ascii="宋体" w:hAnsi="宋体"/>
          <w:bCs/>
          <w:color w:val="0000FF"/>
          <w:sz w:val="30"/>
          <w:szCs w:val="30"/>
          <w:highlight w:val="none"/>
        </w:rPr>
      </w:pPr>
      <w:r>
        <w:rPr>
          <w:rFonts w:hint="eastAsia" w:ascii="宋体" w:hAnsi="宋体"/>
          <w:bCs/>
          <w:color w:val="0000FF"/>
          <w:sz w:val="30"/>
          <w:szCs w:val="30"/>
          <w:highlight w:val="none"/>
        </w:rPr>
        <w:t>5、乙方应向甲方提交派驻甲方工作人员无违法犯罪记录的证明。</w:t>
      </w:r>
    </w:p>
    <w:p>
      <w:pPr>
        <w:spacing w:line="450" w:lineRule="atLeast"/>
        <w:ind w:firstLine="602" w:firstLineChars="200"/>
        <w:rPr>
          <w:rFonts w:hint="eastAsia" w:ascii="宋体" w:hAnsi="宋体"/>
          <w:bCs/>
          <w:color w:val="000000"/>
          <w:sz w:val="30"/>
          <w:szCs w:val="30"/>
        </w:rPr>
      </w:pPr>
      <w:r>
        <w:rPr>
          <w:rFonts w:hint="eastAsia" w:ascii="宋体" w:hAnsi="宋体"/>
          <w:b/>
          <w:bCs w:val="0"/>
          <w:color w:val="000000"/>
          <w:sz w:val="30"/>
          <w:szCs w:val="30"/>
        </w:rPr>
        <w:t xml:space="preserve">第七条 </w:t>
      </w:r>
      <w:r>
        <w:rPr>
          <w:rFonts w:hint="eastAsia" w:ascii="宋体" w:hAnsi="宋体"/>
          <w:bCs/>
          <w:color w:val="000000"/>
          <w:sz w:val="30"/>
          <w:szCs w:val="30"/>
        </w:rPr>
        <w:t xml:space="preserve"> 物业服务考核及费用支付方式：</w:t>
      </w:r>
    </w:p>
    <w:p>
      <w:pPr>
        <w:spacing w:line="450" w:lineRule="atLeast"/>
        <w:ind w:firstLine="600" w:firstLineChars="200"/>
        <w:rPr>
          <w:rFonts w:hint="eastAsia" w:ascii="宋体" w:hAnsi="宋体" w:cs="宋体"/>
          <w:bCs/>
          <w:color w:val="000000"/>
          <w:sz w:val="30"/>
          <w:szCs w:val="30"/>
        </w:rPr>
      </w:pPr>
      <w:r>
        <w:rPr>
          <w:rFonts w:hint="eastAsia" w:ascii="宋体" w:hAnsi="宋体" w:cs="宋体"/>
          <w:bCs/>
          <w:color w:val="000000"/>
          <w:sz w:val="30"/>
          <w:szCs w:val="30"/>
        </w:rPr>
        <w:t>1、物业服务合同总价为：</w:t>
      </w:r>
      <w:r>
        <w:rPr>
          <w:rFonts w:hint="eastAsia" w:ascii="宋体" w:hAnsi="宋体" w:cs="宋体"/>
          <w:bCs/>
          <w:color w:val="000000"/>
          <w:sz w:val="30"/>
          <w:szCs w:val="30"/>
          <w:u w:val="single"/>
          <w:lang w:val="en-US" w:eastAsia="zh-CN"/>
        </w:rPr>
        <w:t xml:space="preserve">             </w:t>
      </w:r>
      <w:r>
        <w:rPr>
          <w:rFonts w:hint="eastAsia" w:ascii="宋体" w:hAnsi="宋体" w:cs="宋体"/>
          <w:bCs/>
          <w:color w:val="000000"/>
          <w:sz w:val="30"/>
          <w:szCs w:val="30"/>
          <w:u w:val="single"/>
        </w:rPr>
        <w:t>元/</w:t>
      </w:r>
      <w:r>
        <w:rPr>
          <w:rFonts w:hint="eastAsia" w:ascii="宋体" w:hAnsi="宋体" w:cs="宋体"/>
          <w:bCs/>
          <w:color w:val="000000"/>
          <w:sz w:val="30"/>
          <w:szCs w:val="30"/>
          <w:u w:val="single"/>
          <w:lang w:eastAsia="zh-CN"/>
        </w:rPr>
        <w:t>年</w:t>
      </w:r>
      <w:r>
        <w:rPr>
          <w:rFonts w:hint="eastAsia" w:ascii="宋体" w:hAnsi="宋体" w:cs="宋体"/>
          <w:bCs/>
          <w:color w:val="000000"/>
          <w:sz w:val="30"/>
          <w:szCs w:val="30"/>
        </w:rPr>
        <w:t>（大写：</w:t>
      </w:r>
      <w:r>
        <w:rPr>
          <w:rFonts w:hint="eastAsia" w:ascii="宋体" w:hAnsi="宋体" w:cs="宋体"/>
          <w:bCs/>
          <w:color w:val="000000"/>
          <w:sz w:val="30"/>
          <w:szCs w:val="30"/>
          <w:u w:val="single"/>
        </w:rPr>
        <w:t xml:space="preserve"> </w:t>
      </w:r>
      <w:r>
        <w:rPr>
          <w:rFonts w:hint="eastAsia" w:ascii="宋体" w:hAnsi="宋体" w:cs="宋体"/>
          <w:bCs/>
          <w:color w:val="000000"/>
          <w:sz w:val="30"/>
          <w:szCs w:val="30"/>
          <w:u w:val="single"/>
          <w:lang w:val="en-US" w:eastAsia="zh-CN"/>
        </w:rPr>
        <w:t xml:space="preserve">           </w:t>
      </w:r>
      <w:r>
        <w:rPr>
          <w:rFonts w:hint="eastAsia" w:ascii="宋体" w:hAnsi="宋体" w:cs="宋体"/>
          <w:bCs/>
          <w:color w:val="000000"/>
          <w:sz w:val="30"/>
          <w:szCs w:val="30"/>
          <w:u w:val="single"/>
        </w:rPr>
        <w:t>元</w:t>
      </w:r>
      <w:r>
        <w:rPr>
          <w:rFonts w:hint="eastAsia" w:ascii="宋体" w:hAnsi="宋体" w:cs="宋体"/>
          <w:bCs/>
          <w:color w:val="000000"/>
          <w:sz w:val="30"/>
          <w:szCs w:val="30"/>
          <w:u w:val="single"/>
          <w:lang w:eastAsia="zh-CN"/>
        </w:rPr>
        <w:t>整</w:t>
      </w:r>
      <w:r>
        <w:rPr>
          <w:rFonts w:hint="eastAsia" w:ascii="宋体" w:hAnsi="宋体" w:cs="宋体"/>
          <w:bCs/>
          <w:color w:val="000000"/>
          <w:sz w:val="30"/>
          <w:szCs w:val="30"/>
        </w:rPr>
        <w:t>，包含人工成本，清洁机械设备，服装，对讲机，保洁耗材费用，工程维修</w:t>
      </w:r>
      <w:r>
        <w:rPr>
          <w:rFonts w:hint="eastAsia" w:ascii="宋体" w:hAnsi="宋体" w:cs="宋体"/>
          <w:bCs/>
          <w:color w:val="000000"/>
          <w:sz w:val="30"/>
          <w:szCs w:val="30"/>
          <w:lang w:eastAsia="zh-CN"/>
        </w:rPr>
        <w:t>人员工资</w:t>
      </w:r>
      <w:r>
        <w:rPr>
          <w:rFonts w:hint="eastAsia" w:ascii="宋体" w:hAnsi="宋体" w:cs="宋体"/>
          <w:bCs/>
          <w:color w:val="000000"/>
          <w:sz w:val="30"/>
          <w:szCs w:val="30"/>
        </w:rPr>
        <w:t>，景观水池清洗费用,法定税费等。</w:t>
      </w:r>
    </w:p>
    <w:p>
      <w:pPr>
        <w:spacing w:line="450" w:lineRule="atLeast"/>
        <w:ind w:left="1196" w:leftChars="284" w:hanging="600" w:hangingChars="200"/>
        <w:jc w:val="both"/>
        <w:rPr>
          <w:rFonts w:hint="eastAsia" w:ascii="宋体" w:hAnsi="宋体" w:cs="宋体"/>
          <w:bCs/>
          <w:color w:val="000000"/>
          <w:sz w:val="30"/>
          <w:szCs w:val="30"/>
          <w:u w:val="none"/>
          <w:lang w:eastAsia="zh-CN"/>
        </w:rPr>
      </w:pPr>
      <w:r>
        <w:rPr>
          <w:rFonts w:hint="eastAsia" w:ascii="宋体" w:hAnsi="宋体" w:cs="宋体"/>
          <w:bCs/>
          <w:color w:val="000000"/>
          <w:sz w:val="30"/>
          <w:szCs w:val="30"/>
        </w:rPr>
        <w:t>2、物业的管理服务费</w:t>
      </w:r>
      <w:r>
        <w:rPr>
          <w:rFonts w:hint="eastAsia" w:ascii="宋体" w:hAnsi="宋体" w:cs="宋体"/>
          <w:bCs/>
          <w:color w:val="000000"/>
          <w:sz w:val="30"/>
          <w:szCs w:val="30"/>
          <w:lang w:eastAsia="zh-CN"/>
        </w:rPr>
        <w:t>按季度支付</w:t>
      </w:r>
      <w:r>
        <w:rPr>
          <w:rFonts w:hint="eastAsia" w:ascii="宋体" w:hAnsi="宋体" w:cs="宋体"/>
          <w:bCs/>
          <w:color w:val="000000"/>
          <w:sz w:val="30"/>
          <w:szCs w:val="30"/>
          <w:u w:val="single"/>
          <w:lang w:val="en-US" w:eastAsia="zh-CN"/>
        </w:rPr>
        <w:t xml:space="preserve">       </w:t>
      </w:r>
      <w:r>
        <w:rPr>
          <w:rFonts w:hint="eastAsia" w:ascii="宋体" w:hAnsi="宋体" w:cs="宋体"/>
          <w:bCs/>
          <w:color w:val="000000"/>
          <w:sz w:val="30"/>
          <w:szCs w:val="30"/>
          <w:u w:val="single"/>
        </w:rPr>
        <w:t>元／</w:t>
      </w:r>
      <w:r>
        <w:rPr>
          <w:rFonts w:hint="eastAsia" w:ascii="宋体" w:hAnsi="宋体" w:cs="宋体"/>
          <w:bCs/>
          <w:color w:val="000000"/>
          <w:sz w:val="30"/>
          <w:szCs w:val="30"/>
          <w:u w:val="single"/>
          <w:lang w:eastAsia="zh-CN"/>
        </w:rPr>
        <w:t>季度</w:t>
      </w:r>
      <w:r>
        <w:rPr>
          <w:rFonts w:hint="eastAsia" w:ascii="宋体" w:hAnsi="宋体" w:cs="宋体"/>
          <w:bCs/>
          <w:color w:val="000000"/>
          <w:sz w:val="30"/>
          <w:szCs w:val="30"/>
          <w:u w:val="single"/>
        </w:rPr>
        <w:t xml:space="preserve">（大写： </w:t>
      </w:r>
      <w:r>
        <w:rPr>
          <w:rFonts w:hint="eastAsia" w:ascii="宋体" w:hAnsi="宋体" w:cs="宋体"/>
          <w:bCs/>
          <w:color w:val="000000"/>
          <w:sz w:val="30"/>
          <w:szCs w:val="30"/>
          <w:u w:val="single"/>
          <w:lang w:val="en-US" w:eastAsia="zh-CN"/>
        </w:rPr>
        <w:t xml:space="preserve">     </w:t>
      </w:r>
      <w:r>
        <w:rPr>
          <w:rFonts w:hint="eastAsia" w:ascii="宋体" w:hAnsi="宋体" w:cs="宋体"/>
          <w:bCs/>
          <w:color w:val="000000"/>
          <w:sz w:val="30"/>
          <w:szCs w:val="30"/>
          <w:u w:val="single"/>
          <w:lang w:eastAsia="zh-CN"/>
        </w:rPr>
        <w:t>元整），</w:t>
      </w:r>
      <w:r>
        <w:rPr>
          <w:rFonts w:hint="eastAsia" w:ascii="宋体" w:hAnsi="宋体" w:cs="宋体"/>
          <w:bCs/>
          <w:color w:val="000000"/>
          <w:sz w:val="30"/>
          <w:szCs w:val="30"/>
          <w:u w:val="none"/>
          <w:lang w:eastAsia="zh-CN"/>
        </w:rPr>
        <w:t>乙方需向甲方提供正式增值税专用发票，由甲方银行转账支付。</w:t>
      </w:r>
    </w:p>
    <w:p>
      <w:pPr>
        <w:pStyle w:val="2"/>
        <w:spacing w:line="450" w:lineRule="atLeast"/>
        <w:ind w:firstLine="600" w:firstLineChars="200"/>
        <w:rPr>
          <w:rFonts w:hint="eastAsia" w:ascii="宋体" w:hAnsi="宋体" w:cs="宋体"/>
          <w:bCs/>
          <w:color w:val="000000"/>
          <w:sz w:val="30"/>
          <w:szCs w:val="30"/>
          <w:u w:val="none"/>
          <w:lang w:val="en-US" w:eastAsia="zh-CN"/>
        </w:rPr>
      </w:pPr>
      <w:r>
        <w:rPr>
          <w:rFonts w:hint="eastAsia" w:ascii="宋体" w:hAnsi="宋体" w:cs="宋体"/>
          <w:bCs/>
          <w:color w:val="000000"/>
          <w:sz w:val="30"/>
          <w:szCs w:val="30"/>
          <w:u w:val="none"/>
          <w:lang w:val="en-US" w:eastAsia="zh-CN"/>
        </w:rPr>
        <w:t xml:space="preserve"> 3、乙方开户行：</w:t>
      </w:r>
    </w:p>
    <w:p>
      <w:pPr>
        <w:pStyle w:val="2"/>
        <w:spacing w:line="450" w:lineRule="atLeast"/>
        <w:ind w:firstLine="1200" w:firstLineChars="400"/>
        <w:rPr>
          <w:rFonts w:hint="eastAsia" w:ascii="宋体" w:hAnsi="宋体" w:cs="宋体"/>
          <w:bCs/>
          <w:color w:val="000000"/>
          <w:sz w:val="30"/>
          <w:szCs w:val="30"/>
          <w:u w:val="none"/>
          <w:lang w:val="en-US" w:eastAsia="zh-CN"/>
        </w:rPr>
      </w:pPr>
      <w:r>
        <w:rPr>
          <w:rFonts w:hint="eastAsia" w:ascii="宋体" w:hAnsi="宋体" w:cs="宋体"/>
          <w:bCs/>
          <w:color w:val="000000"/>
          <w:sz w:val="30"/>
          <w:szCs w:val="30"/>
          <w:u w:val="none"/>
          <w:lang w:val="en-US" w:eastAsia="zh-CN"/>
        </w:rPr>
        <w:t>户      名：</w:t>
      </w:r>
    </w:p>
    <w:p>
      <w:pPr>
        <w:spacing w:line="450" w:lineRule="atLeast"/>
        <w:ind w:firstLine="1200" w:firstLineChars="400"/>
        <w:rPr>
          <w:rFonts w:hint="eastAsia" w:ascii="宋体" w:hAnsi="宋体" w:cs="宋体"/>
          <w:bCs/>
          <w:color w:val="000000"/>
          <w:sz w:val="30"/>
          <w:szCs w:val="30"/>
          <w:u w:val="none"/>
          <w:lang w:val="en-US" w:eastAsia="zh-CN"/>
        </w:rPr>
      </w:pPr>
      <w:r>
        <w:rPr>
          <w:rFonts w:hint="eastAsia" w:ascii="宋体" w:hAnsi="宋体" w:cs="宋体"/>
          <w:bCs/>
          <w:color w:val="000000"/>
          <w:sz w:val="30"/>
          <w:szCs w:val="30"/>
          <w:u w:val="none"/>
          <w:lang w:val="en-US" w:eastAsia="zh-CN"/>
        </w:rPr>
        <w:t>帐      号：</w:t>
      </w:r>
    </w:p>
    <w:p>
      <w:pPr>
        <w:pStyle w:val="2"/>
        <w:spacing w:line="450" w:lineRule="atLeast"/>
        <w:ind w:firstLine="600" w:firstLineChars="200"/>
        <w:rPr>
          <w:rFonts w:hint="eastAsia" w:ascii="宋体" w:hAnsi="宋体" w:cs="宋体"/>
          <w:bCs/>
          <w:color w:val="000000"/>
          <w:sz w:val="30"/>
          <w:szCs w:val="30"/>
        </w:rPr>
      </w:pPr>
      <w:r>
        <w:rPr>
          <w:rFonts w:hint="eastAsia" w:ascii="宋体" w:hAnsi="宋体" w:cs="宋体"/>
          <w:bCs/>
          <w:color w:val="000000"/>
          <w:sz w:val="30"/>
          <w:szCs w:val="30"/>
          <w:u w:val="none"/>
          <w:lang w:val="en-US" w:eastAsia="zh-CN"/>
        </w:rPr>
        <w:t>4</w:t>
      </w:r>
      <w:r>
        <w:rPr>
          <w:rFonts w:hint="eastAsia" w:ascii="宋体" w:hAnsi="宋体" w:cs="宋体"/>
          <w:bCs/>
          <w:color w:val="000000"/>
          <w:sz w:val="30"/>
          <w:szCs w:val="30"/>
        </w:rPr>
        <w:t>、</w:t>
      </w:r>
      <w:r>
        <w:rPr>
          <w:rFonts w:hint="eastAsia" w:ascii="宋体" w:hAnsi="宋体" w:cs="宋体"/>
          <w:bCs/>
          <w:color w:val="000000"/>
          <w:sz w:val="30"/>
          <w:szCs w:val="30"/>
          <w:u w:val="none"/>
        </w:rPr>
        <w:t>物业服务实行</w:t>
      </w:r>
      <w:r>
        <w:rPr>
          <w:rFonts w:hint="eastAsia" w:ascii="宋体" w:hAnsi="宋体" w:cs="宋体"/>
          <w:bCs/>
          <w:color w:val="000000"/>
          <w:sz w:val="30"/>
          <w:szCs w:val="30"/>
        </w:rPr>
        <w:t>每</w:t>
      </w:r>
      <w:r>
        <w:rPr>
          <w:rFonts w:hint="eastAsia" w:ascii="宋体" w:hAnsi="宋体" w:cs="宋体"/>
          <w:bCs/>
          <w:color w:val="000000"/>
          <w:sz w:val="30"/>
          <w:szCs w:val="30"/>
          <w:lang w:eastAsia="zh-CN"/>
        </w:rPr>
        <w:t>季度</w:t>
      </w:r>
      <w:r>
        <w:rPr>
          <w:rFonts w:hint="eastAsia" w:ascii="宋体" w:hAnsi="宋体" w:cs="宋体"/>
          <w:bCs/>
          <w:color w:val="000000"/>
          <w:sz w:val="30"/>
          <w:szCs w:val="30"/>
        </w:rPr>
        <w:t>考核，90分以上为合格</w:t>
      </w:r>
      <w:r>
        <w:rPr>
          <w:rFonts w:hint="eastAsia" w:ascii="宋体" w:hAnsi="宋体" w:cs="宋体"/>
          <w:bCs/>
          <w:color w:val="000000"/>
          <w:sz w:val="30"/>
          <w:szCs w:val="30"/>
          <w:lang w:eastAsia="zh-CN"/>
        </w:rPr>
        <w:t>，考核合格后甲方将全额支付该季度的物业费用</w:t>
      </w:r>
      <w:r>
        <w:rPr>
          <w:rFonts w:hint="eastAsia" w:ascii="宋体" w:hAnsi="宋体" w:cs="宋体"/>
          <w:bCs/>
          <w:color w:val="000000"/>
          <w:sz w:val="30"/>
          <w:szCs w:val="30"/>
        </w:rPr>
        <w:t>。</w:t>
      </w:r>
      <w:r>
        <w:rPr>
          <w:rFonts w:hint="eastAsia" w:ascii="宋体" w:hAnsi="宋体" w:cs="宋体"/>
          <w:bCs/>
          <w:color w:val="000000"/>
          <w:sz w:val="30"/>
          <w:szCs w:val="30"/>
          <w:lang w:eastAsia="zh-CN"/>
        </w:rPr>
        <w:t>如考核</w:t>
      </w:r>
      <w:r>
        <w:rPr>
          <w:rFonts w:hint="eastAsia" w:ascii="宋体" w:hAnsi="宋体" w:cs="宋体"/>
          <w:bCs/>
          <w:color w:val="000000"/>
          <w:sz w:val="30"/>
          <w:szCs w:val="30"/>
        </w:rPr>
        <w:t>累计</w:t>
      </w:r>
      <w:r>
        <w:rPr>
          <w:rFonts w:hint="eastAsia" w:ascii="宋体" w:hAnsi="宋体" w:cs="宋体"/>
          <w:bCs/>
          <w:color w:val="000000"/>
          <w:sz w:val="30"/>
          <w:szCs w:val="30"/>
          <w:lang w:val="en-US" w:eastAsia="zh-CN"/>
        </w:rPr>
        <w:t>2个季度</w:t>
      </w:r>
      <w:r>
        <w:rPr>
          <w:rFonts w:hint="eastAsia" w:ascii="宋体" w:hAnsi="宋体" w:cs="宋体"/>
          <w:bCs/>
          <w:color w:val="000000"/>
          <w:sz w:val="30"/>
          <w:szCs w:val="30"/>
        </w:rPr>
        <w:t>低于90分，甲方有权单方解除合同</w:t>
      </w:r>
      <w:r>
        <w:rPr>
          <w:rFonts w:hint="eastAsia" w:ascii="宋体" w:hAnsi="宋体" w:cs="宋体"/>
          <w:bCs/>
          <w:color w:val="000000"/>
          <w:sz w:val="30"/>
          <w:szCs w:val="30"/>
          <w:lang w:eastAsia="zh-CN"/>
        </w:rPr>
        <w:t>（考核标准见附件）</w:t>
      </w:r>
      <w:r>
        <w:rPr>
          <w:rFonts w:hint="eastAsia" w:ascii="宋体" w:hAnsi="宋体" w:cs="宋体"/>
          <w:bCs/>
          <w:color w:val="000000"/>
          <w:sz w:val="30"/>
          <w:szCs w:val="30"/>
        </w:rPr>
        <w:t>。</w:t>
      </w:r>
    </w:p>
    <w:p>
      <w:pPr>
        <w:numPr>
          <w:ilvl w:val="0"/>
          <w:numId w:val="0"/>
        </w:numPr>
        <w:spacing w:line="450" w:lineRule="atLeast"/>
        <w:ind w:firstLine="600" w:firstLineChars="200"/>
        <w:rPr>
          <w:rFonts w:hint="eastAsia" w:ascii="宋体" w:hAnsi="宋体" w:cs="宋体"/>
          <w:bCs/>
          <w:color w:val="000000"/>
          <w:sz w:val="30"/>
          <w:szCs w:val="30"/>
        </w:rPr>
      </w:pPr>
      <w:r>
        <w:rPr>
          <w:rFonts w:hint="eastAsia" w:ascii="宋体" w:hAnsi="宋体" w:cs="宋体"/>
          <w:bCs/>
          <w:color w:val="000000"/>
          <w:sz w:val="30"/>
          <w:szCs w:val="30"/>
          <w:lang w:val="en-US" w:eastAsia="zh-CN"/>
        </w:rPr>
        <w:t>5、</w:t>
      </w:r>
      <w:r>
        <w:rPr>
          <w:rFonts w:hint="eastAsia" w:ascii="宋体" w:hAnsi="宋体" w:cs="宋体"/>
          <w:bCs/>
          <w:color w:val="000000"/>
          <w:sz w:val="30"/>
          <w:szCs w:val="30"/>
        </w:rPr>
        <w:t>物业管理服务费按</w:t>
      </w:r>
      <w:r>
        <w:rPr>
          <w:rFonts w:hint="eastAsia" w:ascii="宋体" w:hAnsi="宋体" w:cs="宋体"/>
          <w:bCs/>
          <w:color w:val="000000"/>
          <w:sz w:val="30"/>
          <w:szCs w:val="30"/>
          <w:lang w:eastAsia="zh-CN"/>
        </w:rPr>
        <w:t>季度</w:t>
      </w:r>
      <w:r>
        <w:rPr>
          <w:rFonts w:hint="eastAsia" w:ascii="宋体" w:hAnsi="宋体" w:cs="宋体"/>
          <w:bCs/>
          <w:color w:val="000000"/>
          <w:sz w:val="30"/>
          <w:szCs w:val="30"/>
        </w:rPr>
        <w:t>结算，经甲方考核为合格，由甲方在乙方</w:t>
      </w:r>
      <w:r>
        <w:rPr>
          <w:rFonts w:hint="eastAsia" w:ascii="宋体" w:hAnsi="宋体" w:cs="宋体"/>
          <w:bCs/>
          <w:color w:val="000000"/>
          <w:sz w:val="30"/>
          <w:szCs w:val="30"/>
          <w:lang w:eastAsia="zh-CN"/>
        </w:rPr>
        <w:t>季度</w:t>
      </w:r>
      <w:r>
        <w:rPr>
          <w:rFonts w:hint="eastAsia" w:ascii="宋体" w:hAnsi="宋体" w:cs="宋体"/>
          <w:bCs/>
          <w:color w:val="000000"/>
          <w:sz w:val="30"/>
          <w:szCs w:val="30"/>
        </w:rPr>
        <w:t>服务期届满后的次月15日前，向乙方支付上个</w:t>
      </w:r>
      <w:r>
        <w:rPr>
          <w:rFonts w:hint="eastAsia" w:ascii="宋体" w:hAnsi="宋体" w:cs="宋体"/>
          <w:bCs/>
          <w:color w:val="000000"/>
          <w:sz w:val="30"/>
          <w:szCs w:val="30"/>
          <w:lang w:eastAsia="zh-CN"/>
        </w:rPr>
        <w:t>季度</w:t>
      </w:r>
      <w:r>
        <w:rPr>
          <w:rFonts w:hint="eastAsia" w:ascii="宋体" w:hAnsi="宋体" w:cs="宋体"/>
          <w:bCs/>
          <w:color w:val="000000"/>
          <w:sz w:val="30"/>
          <w:szCs w:val="30"/>
        </w:rPr>
        <w:t>物业服务费用。</w:t>
      </w:r>
    </w:p>
    <w:p>
      <w:pPr>
        <w:spacing w:line="450" w:lineRule="atLeast"/>
        <w:ind w:firstLine="600" w:firstLineChars="200"/>
        <w:rPr>
          <w:rFonts w:ascii="宋体" w:hAnsi="宋体" w:cs="宋体"/>
          <w:bCs/>
          <w:color w:val="000000"/>
          <w:sz w:val="30"/>
          <w:szCs w:val="30"/>
        </w:rPr>
      </w:pPr>
      <w:r>
        <w:rPr>
          <w:rFonts w:hint="eastAsia" w:ascii="宋体" w:hAnsi="宋体" w:cs="宋体"/>
          <w:bCs/>
          <w:color w:val="000000"/>
          <w:sz w:val="30"/>
          <w:szCs w:val="30"/>
          <w:lang w:val="en-US" w:eastAsia="zh-CN"/>
        </w:rPr>
        <w:t>6</w:t>
      </w:r>
      <w:r>
        <w:rPr>
          <w:rFonts w:hint="eastAsia" w:ascii="宋体" w:hAnsi="宋体" w:cs="宋体"/>
          <w:bCs/>
          <w:color w:val="000000"/>
          <w:sz w:val="30"/>
          <w:szCs w:val="30"/>
        </w:rPr>
        <w:t>、乙方应在每次收款前向甲方出具对应金额的</w:t>
      </w:r>
      <w:r>
        <w:rPr>
          <w:rFonts w:hint="eastAsia" w:ascii="宋体" w:hAnsi="宋体" w:cs="宋体"/>
          <w:bCs/>
          <w:color w:val="000000"/>
          <w:sz w:val="30"/>
          <w:szCs w:val="30"/>
          <w:lang w:eastAsia="zh-CN"/>
        </w:rPr>
        <w:t>增值税专用</w:t>
      </w:r>
      <w:r>
        <w:rPr>
          <w:rFonts w:hint="eastAsia" w:ascii="宋体" w:hAnsi="宋体" w:cs="宋体"/>
          <w:bCs/>
          <w:color w:val="000000"/>
          <w:sz w:val="30"/>
          <w:szCs w:val="30"/>
        </w:rPr>
        <w:t>发票，否则甲方有权拒绝付款。</w:t>
      </w:r>
    </w:p>
    <w:p>
      <w:pPr>
        <w:spacing w:line="450" w:lineRule="atLeast"/>
        <w:ind w:firstLine="600" w:firstLineChars="200"/>
        <w:rPr>
          <w:rFonts w:hint="eastAsia" w:ascii="宋体" w:hAnsi="宋体" w:cs="宋体"/>
          <w:bCs/>
          <w:color w:val="000000"/>
          <w:sz w:val="30"/>
          <w:szCs w:val="30"/>
        </w:rPr>
      </w:pPr>
      <w:r>
        <w:rPr>
          <w:rFonts w:hint="eastAsia" w:ascii="宋体" w:hAnsi="宋体" w:cs="宋体"/>
          <w:bCs/>
          <w:color w:val="000000"/>
          <w:sz w:val="30"/>
          <w:szCs w:val="30"/>
          <w:lang w:val="en-US" w:eastAsia="zh-CN"/>
        </w:rPr>
        <w:t>7</w:t>
      </w:r>
      <w:r>
        <w:rPr>
          <w:rFonts w:hint="eastAsia" w:ascii="宋体" w:hAnsi="宋体" w:cs="宋体"/>
          <w:bCs/>
          <w:color w:val="000000"/>
          <w:sz w:val="30"/>
          <w:szCs w:val="30"/>
        </w:rPr>
        <w:t>、在本合同履行期间，为保证乙方人员在岗在位，确保乙方服务质量，甲方负责协调街道食堂为乙方派驻现场的工作人员提供工作午餐。乙方人员的餐费由乙方按照街道职工的餐标与食堂每月进行结算。若发现乙方人员外出用餐导致脱岗，甲方有权在合同总价中扣除乙方所有工作人员人员餐费。</w:t>
      </w:r>
    </w:p>
    <w:p>
      <w:pPr>
        <w:spacing w:line="450" w:lineRule="atLeast"/>
        <w:ind w:firstLine="602" w:firstLineChars="200"/>
        <w:rPr>
          <w:rFonts w:hint="eastAsia" w:ascii="宋体" w:hAnsi="宋体"/>
          <w:bCs/>
          <w:sz w:val="30"/>
          <w:szCs w:val="30"/>
        </w:rPr>
      </w:pPr>
      <w:r>
        <w:rPr>
          <w:rFonts w:hint="eastAsia" w:ascii="宋体" w:hAnsi="宋体"/>
          <w:b/>
          <w:bCs w:val="0"/>
          <w:sz w:val="30"/>
          <w:szCs w:val="30"/>
        </w:rPr>
        <w:t xml:space="preserve">第八条 </w:t>
      </w:r>
      <w:r>
        <w:rPr>
          <w:rFonts w:hint="eastAsia" w:ascii="宋体" w:hAnsi="宋体"/>
          <w:bCs/>
          <w:sz w:val="30"/>
          <w:szCs w:val="30"/>
        </w:rPr>
        <w:t>甲方有权就约定的服务内容完成情况进行核查，并根据核查情况支付物业管理服务费。乙方违反合同第六条的约定，甲方有权要求乙方在24小时内解决；</w:t>
      </w:r>
      <w:r>
        <w:rPr>
          <w:rFonts w:hint="eastAsia" w:ascii="宋体" w:hAnsi="宋体"/>
          <w:bCs/>
          <w:color w:val="000000"/>
          <w:sz w:val="30"/>
          <w:szCs w:val="30"/>
        </w:rPr>
        <w:t>未及时解决的，</w:t>
      </w:r>
      <w:r>
        <w:rPr>
          <w:rFonts w:hint="eastAsia" w:ascii="宋体" w:hAnsi="宋体"/>
          <w:bCs/>
          <w:sz w:val="30"/>
          <w:szCs w:val="30"/>
        </w:rPr>
        <w:t xml:space="preserve">甲方有权单方解除合同，造成甲方经济损失的，乙方应给予甲方经济补偿。  </w:t>
      </w:r>
    </w:p>
    <w:p>
      <w:pPr>
        <w:spacing w:line="450" w:lineRule="atLeast"/>
        <w:ind w:firstLine="602" w:firstLineChars="200"/>
        <w:rPr>
          <w:rFonts w:hint="eastAsia" w:ascii="宋体" w:hAnsi="宋体"/>
          <w:bCs/>
          <w:sz w:val="30"/>
          <w:szCs w:val="30"/>
        </w:rPr>
      </w:pPr>
      <w:r>
        <w:rPr>
          <w:rFonts w:hint="eastAsia" w:ascii="宋体" w:hAnsi="宋体"/>
          <w:b/>
          <w:bCs w:val="0"/>
          <w:sz w:val="30"/>
          <w:szCs w:val="30"/>
        </w:rPr>
        <w:t xml:space="preserve">第九条 </w:t>
      </w:r>
      <w:r>
        <w:rPr>
          <w:rFonts w:hint="eastAsia" w:ascii="宋体" w:hAnsi="宋体"/>
          <w:bCs/>
          <w:sz w:val="30"/>
          <w:szCs w:val="30"/>
        </w:rPr>
        <w:t xml:space="preserve"> 甲方违反合同</w:t>
      </w:r>
      <w:r>
        <w:rPr>
          <w:rFonts w:hint="eastAsia" w:ascii="宋体" w:hAnsi="宋体"/>
          <w:bCs/>
          <w:sz w:val="30"/>
          <w:szCs w:val="30"/>
          <w:lang w:eastAsia="zh-CN"/>
        </w:rPr>
        <w:t>约定逾期支付物业管理服务费的</w:t>
      </w:r>
      <w:r>
        <w:rPr>
          <w:rFonts w:hint="eastAsia" w:ascii="宋体" w:hAnsi="宋体"/>
          <w:bCs/>
          <w:sz w:val="30"/>
          <w:szCs w:val="30"/>
        </w:rPr>
        <w:t>，乙方有权要求甲方在七日内解决，经乙方书面告知函催促，甲方逾期一个月未支付的，乙方有权单方解除合同。</w:t>
      </w:r>
    </w:p>
    <w:p>
      <w:pPr>
        <w:spacing w:line="450" w:lineRule="atLeast"/>
        <w:ind w:firstLine="602" w:firstLineChars="200"/>
        <w:rPr>
          <w:rFonts w:hint="eastAsia" w:ascii="宋体" w:hAnsi="宋体"/>
          <w:bCs/>
          <w:sz w:val="30"/>
          <w:szCs w:val="30"/>
        </w:rPr>
      </w:pPr>
      <w:r>
        <w:rPr>
          <w:rFonts w:hint="eastAsia" w:ascii="宋体" w:hAnsi="宋体"/>
          <w:b/>
          <w:bCs w:val="0"/>
          <w:sz w:val="30"/>
          <w:szCs w:val="30"/>
        </w:rPr>
        <w:t xml:space="preserve">第十条 </w:t>
      </w:r>
      <w:r>
        <w:rPr>
          <w:rFonts w:hint="eastAsia" w:ascii="宋体" w:hAnsi="宋体"/>
          <w:bCs/>
          <w:sz w:val="30"/>
          <w:szCs w:val="30"/>
        </w:rPr>
        <w:t xml:space="preserve"> 乙方的经营管理行为及乙方工作人员的行为给甲方造成恶劣的社会影响或触犯法律，被依法提起诉讼的，甲方在追偿乙方经济责任的同时，有权单方解除合同。</w:t>
      </w:r>
    </w:p>
    <w:p>
      <w:pPr>
        <w:spacing w:line="450" w:lineRule="atLeast"/>
        <w:ind w:firstLine="602" w:firstLineChars="200"/>
        <w:rPr>
          <w:rFonts w:hint="eastAsia" w:ascii="宋体" w:hAnsi="宋体"/>
          <w:bCs/>
          <w:sz w:val="30"/>
          <w:szCs w:val="30"/>
        </w:rPr>
      </w:pPr>
      <w:r>
        <w:rPr>
          <w:rFonts w:hint="eastAsia" w:ascii="宋体" w:hAnsi="宋体"/>
          <w:b/>
          <w:bCs w:val="0"/>
          <w:sz w:val="30"/>
          <w:szCs w:val="30"/>
        </w:rPr>
        <w:t>第十一条</w:t>
      </w:r>
      <w:r>
        <w:rPr>
          <w:rFonts w:hint="eastAsia" w:ascii="宋体" w:hAnsi="宋体"/>
          <w:bCs/>
          <w:sz w:val="30"/>
          <w:szCs w:val="30"/>
        </w:rPr>
        <w:t xml:space="preserve">  双方可对本合同的条款进行补充，以书面形式签订补充协议，补充协议与本合同具有同等效力。</w:t>
      </w:r>
    </w:p>
    <w:p>
      <w:pPr>
        <w:spacing w:line="450" w:lineRule="atLeast"/>
        <w:ind w:firstLine="602" w:firstLineChars="200"/>
        <w:rPr>
          <w:rFonts w:hint="eastAsia" w:ascii="宋体" w:hAnsi="宋体"/>
          <w:bCs/>
          <w:sz w:val="30"/>
          <w:szCs w:val="30"/>
        </w:rPr>
      </w:pPr>
      <w:r>
        <w:rPr>
          <w:rFonts w:hint="eastAsia" w:ascii="宋体" w:hAnsi="宋体"/>
          <w:b/>
          <w:bCs w:val="0"/>
          <w:sz w:val="30"/>
          <w:szCs w:val="30"/>
        </w:rPr>
        <w:t>第十二条</w:t>
      </w:r>
      <w:r>
        <w:rPr>
          <w:rFonts w:hint="eastAsia" w:ascii="宋体" w:hAnsi="宋体"/>
          <w:bCs/>
          <w:sz w:val="30"/>
          <w:szCs w:val="30"/>
        </w:rPr>
        <w:t xml:space="preserve">  本合同及其附件和补充协议中未规定的事宜，均遵照中华人民共和国有关法律、法规和规章执行。</w:t>
      </w:r>
    </w:p>
    <w:p>
      <w:pPr>
        <w:spacing w:line="450" w:lineRule="atLeast"/>
        <w:ind w:firstLine="602" w:firstLineChars="200"/>
        <w:rPr>
          <w:rFonts w:hint="eastAsia" w:ascii="宋体" w:hAnsi="宋体"/>
          <w:bCs/>
          <w:sz w:val="30"/>
          <w:szCs w:val="30"/>
        </w:rPr>
      </w:pPr>
      <w:r>
        <w:rPr>
          <w:rFonts w:hint="eastAsia" w:ascii="宋体" w:hAnsi="宋体"/>
          <w:b/>
          <w:bCs w:val="0"/>
          <w:sz w:val="30"/>
          <w:szCs w:val="30"/>
        </w:rPr>
        <w:t>第十三条</w:t>
      </w:r>
      <w:r>
        <w:rPr>
          <w:rFonts w:hint="eastAsia" w:ascii="宋体" w:hAnsi="宋体"/>
          <w:bCs/>
          <w:sz w:val="30"/>
          <w:szCs w:val="30"/>
        </w:rPr>
        <w:t xml:space="preserve">  本合同执行期间，如遭遇不可抗力，致使合同无法履行时，双方应按有关法律规定及时协商处理。</w:t>
      </w:r>
    </w:p>
    <w:p>
      <w:pPr>
        <w:spacing w:line="450" w:lineRule="atLeast"/>
        <w:ind w:firstLine="602" w:firstLineChars="200"/>
        <w:rPr>
          <w:rFonts w:hint="eastAsia" w:ascii="宋体" w:hAnsi="宋体"/>
          <w:bCs/>
          <w:sz w:val="30"/>
          <w:szCs w:val="30"/>
        </w:rPr>
      </w:pPr>
      <w:r>
        <w:rPr>
          <w:rFonts w:hint="eastAsia" w:ascii="宋体" w:hAnsi="宋体"/>
          <w:b/>
          <w:bCs w:val="0"/>
          <w:sz w:val="30"/>
          <w:szCs w:val="30"/>
        </w:rPr>
        <w:t>第十四条</w:t>
      </w:r>
      <w:r>
        <w:rPr>
          <w:rFonts w:hint="eastAsia" w:ascii="宋体" w:hAnsi="宋体"/>
          <w:bCs/>
          <w:sz w:val="30"/>
          <w:szCs w:val="30"/>
        </w:rPr>
        <w:t xml:space="preserve">  附则：</w:t>
      </w:r>
    </w:p>
    <w:p>
      <w:pPr>
        <w:keepNext w:val="0"/>
        <w:keepLines w:val="0"/>
        <w:pageBreakBefore w:val="0"/>
        <w:widowControl w:val="0"/>
        <w:numPr>
          <w:ilvl w:val="0"/>
          <w:numId w:val="0"/>
        </w:numPr>
        <w:tabs>
          <w:tab w:val="left" w:pos="680"/>
        </w:tabs>
        <w:kinsoku/>
        <w:wordWrap/>
        <w:overflowPunct/>
        <w:topLinePunct w:val="0"/>
        <w:autoSpaceDE/>
        <w:autoSpaceDN/>
        <w:bidi w:val="0"/>
        <w:adjustRightInd/>
        <w:snapToGrid/>
        <w:spacing w:line="450" w:lineRule="atLeast"/>
        <w:ind w:left="414" w:leftChars="0" w:firstLine="600" w:firstLineChars="200"/>
        <w:textAlignment w:val="auto"/>
        <w:rPr>
          <w:rFonts w:hint="eastAsia" w:ascii="宋体" w:hAnsi="宋体"/>
          <w:bCs/>
          <w:sz w:val="30"/>
          <w:szCs w:val="30"/>
        </w:rPr>
      </w:pPr>
      <w:r>
        <w:rPr>
          <w:rFonts w:hint="eastAsia" w:ascii="宋体" w:hAnsi="宋体"/>
          <w:bCs/>
          <w:sz w:val="30"/>
          <w:szCs w:val="30"/>
          <w:lang w:val="en-US" w:eastAsia="zh-CN"/>
        </w:rPr>
        <w:t>1、</w:t>
      </w:r>
      <w:r>
        <w:rPr>
          <w:rFonts w:hint="eastAsia" w:ascii="宋体" w:hAnsi="宋体"/>
          <w:bCs/>
          <w:sz w:val="30"/>
          <w:szCs w:val="30"/>
        </w:rPr>
        <w:t>乙方应加强对派驻甲方工作人员的管理和教育，除保证服务质外，应杜绝与甲方工作人员和访客发生纠纷。乙方派驻甲方工作的人员所发生的工伤事故，由乙方负责处理并承担费用。</w:t>
      </w:r>
    </w:p>
    <w:p>
      <w:pPr>
        <w:tabs>
          <w:tab w:val="left" w:pos="680"/>
        </w:tabs>
        <w:spacing w:line="450" w:lineRule="atLeast"/>
        <w:ind w:firstLine="600" w:firstLineChars="200"/>
        <w:rPr>
          <w:rFonts w:hint="eastAsia" w:ascii="宋体" w:hAnsi="宋体"/>
          <w:bCs/>
          <w:sz w:val="30"/>
          <w:szCs w:val="30"/>
        </w:rPr>
      </w:pPr>
      <w:r>
        <w:rPr>
          <w:rFonts w:hint="eastAsia" w:ascii="宋体" w:hAnsi="宋体"/>
          <w:bCs/>
          <w:sz w:val="30"/>
          <w:szCs w:val="30"/>
        </w:rPr>
        <w:t>2、对乙方人员因个人原因发生在服务范围的打架斗殴事件，或者乙方人员违反职业操守发生的故意损坏甲方财产、资料以及乙方人员偷盗等违纪违法行为，乙方应严肃处理该违纪人员并追究责任；构成犯罪的，乙方应移送司法机关处理。</w:t>
      </w:r>
    </w:p>
    <w:p>
      <w:pPr>
        <w:spacing w:line="450" w:lineRule="atLeast"/>
        <w:ind w:left="426" w:firstLine="602" w:firstLineChars="200"/>
        <w:rPr>
          <w:rFonts w:ascii="宋体" w:hAnsi="宋体"/>
          <w:bCs/>
          <w:color w:val="000000"/>
          <w:sz w:val="30"/>
          <w:szCs w:val="30"/>
        </w:rPr>
      </w:pPr>
      <w:bookmarkStart w:id="411" w:name="_Toc211911353"/>
      <w:bookmarkStart w:id="412" w:name="_Toc212019599"/>
      <w:bookmarkStart w:id="413" w:name="_Toc225670756"/>
      <w:bookmarkStart w:id="414" w:name="_Toc247334846"/>
      <w:bookmarkStart w:id="415" w:name="_Toc239568423"/>
      <w:bookmarkStart w:id="416" w:name="_Toc225244857"/>
      <w:bookmarkStart w:id="417" w:name="_Toc241833908"/>
      <w:bookmarkStart w:id="418" w:name="_Toc232492933"/>
      <w:bookmarkStart w:id="419" w:name="_Toc239233919"/>
      <w:bookmarkStart w:id="420" w:name="_Toc238984980"/>
      <w:bookmarkStart w:id="421" w:name="_Toc225654649"/>
      <w:bookmarkStart w:id="422" w:name="_Toc237145411"/>
      <w:bookmarkStart w:id="423" w:name="_Toc185395254"/>
      <w:bookmarkStart w:id="424" w:name="_Toc211854454"/>
      <w:bookmarkStart w:id="425" w:name="_Toc251768867"/>
      <w:bookmarkStart w:id="426" w:name="_Toc286993792"/>
      <w:r>
        <w:rPr>
          <w:rFonts w:hint="eastAsia" w:ascii="宋体" w:hAnsi="宋体"/>
          <w:b/>
          <w:bCs w:val="0"/>
          <w:sz w:val="30"/>
          <w:szCs w:val="30"/>
        </w:rPr>
        <w:t>第十五条</w:t>
      </w:r>
      <w:r>
        <w:rPr>
          <w:rFonts w:hint="eastAsia" w:ascii="宋体" w:hAnsi="宋体"/>
          <w:bCs/>
          <w:sz w:val="30"/>
          <w:szCs w:val="30"/>
        </w:rPr>
        <w:t xml:space="preserve"> </w:t>
      </w:r>
      <w:r>
        <w:rPr>
          <w:rFonts w:hint="eastAsia" w:ascii="宋体" w:hAnsi="宋体"/>
          <w:bCs/>
          <w:color w:val="000000"/>
          <w:sz w:val="30"/>
          <w:szCs w:val="30"/>
        </w:rPr>
        <w:t>解</w:t>
      </w:r>
      <w:r>
        <w:rPr>
          <w:rFonts w:ascii="宋体" w:hAnsi="宋体"/>
          <w:bCs/>
          <w:color w:val="000000"/>
          <w:sz w:val="30"/>
          <w:szCs w:val="30"/>
        </w:rPr>
        <w:t>决合同纠纷的方式</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tabs>
          <w:tab w:val="left" w:pos="0"/>
        </w:tabs>
        <w:spacing w:line="450" w:lineRule="atLeast"/>
        <w:ind w:firstLine="600" w:firstLineChars="200"/>
        <w:rPr>
          <w:rFonts w:hint="eastAsia" w:ascii="宋体" w:hAnsi="宋体" w:eastAsia="宋体"/>
          <w:bCs/>
          <w:color w:val="000000"/>
          <w:sz w:val="30"/>
          <w:szCs w:val="30"/>
          <w:lang w:eastAsia="zh-CN"/>
        </w:rPr>
      </w:pPr>
      <w:r>
        <w:rPr>
          <w:rFonts w:hint="eastAsia" w:ascii="宋体" w:hAnsi="宋体"/>
          <w:bCs/>
          <w:color w:val="000000"/>
          <w:sz w:val="30"/>
          <w:szCs w:val="30"/>
        </w:rPr>
        <w:t>1、</w:t>
      </w:r>
      <w:r>
        <w:rPr>
          <w:rFonts w:ascii="宋体" w:hAnsi="宋体"/>
          <w:bCs/>
          <w:color w:val="000000"/>
          <w:sz w:val="30"/>
          <w:szCs w:val="30"/>
        </w:rPr>
        <w:t>在执行本合同中发生的或与本合同有关的争端，双方应通过友好协商解决，经协商在</w:t>
      </w:r>
      <w:r>
        <w:rPr>
          <w:rFonts w:hint="eastAsia" w:ascii="宋体" w:hAnsi="宋体"/>
          <w:bCs/>
          <w:color w:val="000000"/>
          <w:sz w:val="30"/>
          <w:szCs w:val="30"/>
        </w:rPr>
        <w:t>10</w:t>
      </w:r>
      <w:r>
        <w:rPr>
          <w:rFonts w:ascii="宋体" w:hAnsi="宋体"/>
          <w:bCs/>
          <w:color w:val="000000"/>
          <w:sz w:val="30"/>
          <w:szCs w:val="30"/>
        </w:rPr>
        <w:t>天内不能达成协议时，应提交</w:t>
      </w:r>
      <w:r>
        <w:rPr>
          <w:rFonts w:hint="eastAsia" w:ascii="宋体" w:hAnsi="宋体"/>
          <w:bCs/>
          <w:color w:val="000000"/>
          <w:sz w:val="30"/>
          <w:szCs w:val="30"/>
          <w:lang w:eastAsia="zh-CN"/>
        </w:rPr>
        <w:t>都江堰市人民法院诉讼解决。</w:t>
      </w:r>
    </w:p>
    <w:p>
      <w:pPr>
        <w:spacing w:line="450" w:lineRule="atLeast"/>
        <w:ind w:left="426" w:firstLine="602" w:firstLineChars="200"/>
        <w:rPr>
          <w:rFonts w:ascii="宋体" w:hAnsi="宋体"/>
          <w:bCs/>
          <w:color w:val="000000"/>
          <w:sz w:val="30"/>
          <w:szCs w:val="30"/>
        </w:rPr>
      </w:pPr>
      <w:bookmarkStart w:id="427" w:name="_Toc237145412"/>
      <w:bookmarkStart w:id="428" w:name="_Toc286993793"/>
      <w:bookmarkStart w:id="429" w:name="_Toc283019219"/>
      <w:bookmarkStart w:id="430" w:name="_Toc282696231"/>
      <w:bookmarkStart w:id="431" w:name="_Toc251768868"/>
      <w:bookmarkStart w:id="432" w:name="_Toc247334847"/>
      <w:bookmarkStart w:id="433" w:name="_Toc241833909"/>
      <w:bookmarkStart w:id="434" w:name="_Toc239568424"/>
      <w:bookmarkStart w:id="435" w:name="_Toc239233920"/>
      <w:bookmarkStart w:id="436" w:name="_Toc238984981"/>
      <w:bookmarkStart w:id="437" w:name="_Toc232492934"/>
      <w:bookmarkStart w:id="438" w:name="_Toc211911354"/>
      <w:bookmarkStart w:id="439" w:name="_Toc225670757"/>
      <w:bookmarkStart w:id="440" w:name="_Toc225654650"/>
      <w:bookmarkStart w:id="441" w:name="_Toc225244858"/>
      <w:bookmarkStart w:id="442" w:name="_Toc212019600"/>
      <w:bookmarkStart w:id="443" w:name="_Toc211854455"/>
      <w:bookmarkStart w:id="444" w:name="_Toc185395255"/>
      <w:r>
        <w:rPr>
          <w:rFonts w:hint="eastAsia" w:ascii="宋体" w:hAnsi="宋体"/>
          <w:b/>
          <w:bCs w:val="0"/>
          <w:sz w:val="30"/>
          <w:szCs w:val="30"/>
        </w:rPr>
        <w:t>第十六条</w:t>
      </w:r>
      <w:r>
        <w:rPr>
          <w:rFonts w:hint="eastAsia" w:ascii="宋体" w:hAnsi="宋体"/>
          <w:bCs/>
          <w:sz w:val="30"/>
          <w:szCs w:val="30"/>
        </w:rPr>
        <w:t xml:space="preserve"> </w:t>
      </w:r>
      <w:r>
        <w:rPr>
          <w:rFonts w:ascii="宋体" w:hAnsi="宋体"/>
          <w:bCs/>
          <w:color w:val="000000"/>
          <w:sz w:val="30"/>
          <w:szCs w:val="30"/>
        </w:rPr>
        <w:t>合同</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Fonts w:hint="eastAsia" w:ascii="宋体" w:hAnsi="宋体"/>
          <w:bCs/>
          <w:color w:val="000000"/>
          <w:sz w:val="30"/>
          <w:szCs w:val="30"/>
        </w:rPr>
        <w:t>生效及其他</w:t>
      </w:r>
    </w:p>
    <w:p>
      <w:pPr>
        <w:pStyle w:val="85"/>
        <w:spacing w:line="450" w:lineRule="atLeast"/>
        <w:ind w:firstLine="600"/>
        <w:rPr>
          <w:rFonts w:hint="eastAsia" w:ascii="宋体" w:hAnsi="宋体"/>
          <w:bCs/>
          <w:color w:val="000000"/>
          <w:sz w:val="30"/>
          <w:szCs w:val="30"/>
        </w:rPr>
      </w:pPr>
      <w:r>
        <w:rPr>
          <w:rFonts w:hint="eastAsia" w:ascii="宋体" w:hAnsi="宋体"/>
          <w:bCs/>
          <w:color w:val="000000"/>
          <w:sz w:val="30"/>
          <w:szCs w:val="30"/>
        </w:rPr>
        <w:t>1、合同经双方法定代表人或授权委托代理人签字并加盖单位公章后生效。</w:t>
      </w:r>
    </w:p>
    <w:p>
      <w:pPr>
        <w:pStyle w:val="85"/>
        <w:spacing w:line="450" w:lineRule="atLeast"/>
        <w:ind w:firstLine="600"/>
        <w:rPr>
          <w:rFonts w:hint="eastAsia" w:ascii="宋体" w:hAnsi="宋体"/>
          <w:bCs/>
          <w:color w:val="000000"/>
          <w:sz w:val="30"/>
          <w:szCs w:val="30"/>
        </w:rPr>
      </w:pPr>
      <w:r>
        <w:rPr>
          <w:rFonts w:hint="eastAsia" w:ascii="宋体" w:hAnsi="宋体"/>
          <w:bCs/>
          <w:color w:val="000000"/>
          <w:sz w:val="30"/>
          <w:szCs w:val="30"/>
        </w:rPr>
        <w:t>2、合同执行中涉及采购资金和采购内容修改或补充的，须签书面补充协议。</w:t>
      </w:r>
    </w:p>
    <w:p>
      <w:pPr>
        <w:pStyle w:val="85"/>
        <w:spacing w:line="450" w:lineRule="atLeast"/>
        <w:ind w:firstLine="600"/>
        <w:rPr>
          <w:rFonts w:hint="eastAsia" w:ascii="宋体" w:hAnsi="宋体"/>
          <w:bCs/>
          <w:color w:val="000000"/>
          <w:sz w:val="30"/>
          <w:szCs w:val="30"/>
        </w:rPr>
      </w:pPr>
      <w:r>
        <w:rPr>
          <w:rFonts w:hint="eastAsia" w:ascii="宋体" w:hAnsi="宋体"/>
          <w:bCs/>
          <w:color w:val="000000"/>
          <w:sz w:val="30"/>
          <w:szCs w:val="30"/>
        </w:rPr>
        <w:t>3、本合同一式</w:t>
      </w:r>
      <w:r>
        <w:rPr>
          <w:rFonts w:hint="eastAsia" w:ascii="宋体" w:hAnsi="宋体"/>
          <w:bCs/>
          <w:color w:val="000000"/>
          <w:sz w:val="30"/>
          <w:szCs w:val="30"/>
          <w:u w:val="single"/>
          <w:lang w:val="en-US" w:eastAsia="zh-CN"/>
        </w:rPr>
        <w:t xml:space="preserve">   </w:t>
      </w:r>
      <w:r>
        <w:rPr>
          <w:rFonts w:hint="eastAsia" w:ascii="宋体" w:hAnsi="宋体"/>
          <w:bCs/>
          <w:color w:val="000000"/>
          <w:sz w:val="30"/>
          <w:szCs w:val="30"/>
        </w:rPr>
        <w:t>份，自双方签章之日起起效。甲方</w:t>
      </w:r>
      <w:r>
        <w:rPr>
          <w:rFonts w:hint="eastAsia" w:ascii="宋体" w:hAnsi="宋体"/>
          <w:bCs/>
          <w:color w:val="000000"/>
          <w:sz w:val="30"/>
          <w:szCs w:val="30"/>
          <w:u w:val="single"/>
          <w:lang w:val="en-US" w:eastAsia="zh-CN"/>
        </w:rPr>
        <w:t xml:space="preserve">   </w:t>
      </w:r>
      <w:r>
        <w:rPr>
          <w:rFonts w:hint="eastAsia" w:ascii="宋体" w:hAnsi="宋体"/>
          <w:bCs/>
          <w:color w:val="000000"/>
          <w:sz w:val="30"/>
          <w:szCs w:val="30"/>
        </w:rPr>
        <w:t>份，乙方</w:t>
      </w:r>
      <w:r>
        <w:rPr>
          <w:rFonts w:hint="eastAsia" w:ascii="宋体" w:hAnsi="宋体"/>
          <w:bCs/>
          <w:color w:val="000000"/>
          <w:sz w:val="30"/>
          <w:szCs w:val="30"/>
          <w:u w:val="single"/>
          <w:lang w:val="en-US" w:eastAsia="zh-CN"/>
        </w:rPr>
        <w:t xml:space="preserve">   </w:t>
      </w:r>
      <w:r>
        <w:rPr>
          <w:rFonts w:hint="eastAsia" w:ascii="宋体" w:hAnsi="宋体"/>
          <w:bCs/>
          <w:color w:val="000000"/>
          <w:sz w:val="30"/>
          <w:szCs w:val="30"/>
        </w:rPr>
        <w:t>份，具有同等法律效力。</w:t>
      </w:r>
    </w:p>
    <w:p>
      <w:pPr>
        <w:spacing w:line="450" w:lineRule="atLeast"/>
        <w:ind w:firstLine="600" w:firstLineChars="200"/>
        <w:rPr>
          <w:rFonts w:hint="eastAsia" w:ascii="宋体" w:hAnsi="宋体"/>
          <w:bCs/>
          <w:color w:val="000000"/>
          <w:sz w:val="30"/>
          <w:szCs w:val="30"/>
        </w:rPr>
      </w:pPr>
      <w:r>
        <w:rPr>
          <w:rFonts w:hint="eastAsia" w:ascii="宋体" w:hAnsi="宋体"/>
          <w:bCs/>
          <w:color w:val="000000"/>
          <w:sz w:val="30"/>
          <w:szCs w:val="30"/>
        </w:rPr>
        <w:t>第十七条 附件</w:t>
      </w:r>
    </w:p>
    <w:p>
      <w:pPr>
        <w:spacing w:line="450" w:lineRule="atLeast"/>
        <w:ind w:left="426" w:firstLine="600" w:firstLineChars="200"/>
        <w:rPr>
          <w:rFonts w:hint="eastAsia" w:ascii="宋体" w:hAnsi="宋体"/>
          <w:bCs/>
          <w:color w:val="000000"/>
          <w:sz w:val="30"/>
          <w:szCs w:val="30"/>
        </w:rPr>
      </w:pPr>
      <w:r>
        <w:rPr>
          <w:rFonts w:hint="eastAsia" w:ascii="宋体" w:hAnsi="宋体"/>
          <w:bCs/>
          <w:color w:val="000000"/>
          <w:sz w:val="30"/>
          <w:szCs w:val="30"/>
        </w:rPr>
        <w:t>1、服务标准、考核标</w:t>
      </w:r>
    </w:p>
    <w:p>
      <w:pPr>
        <w:spacing w:line="450" w:lineRule="exact"/>
        <w:rPr>
          <w:rFonts w:hint="eastAsia" w:ascii="宋体" w:hAnsi="宋体"/>
          <w:bCs/>
          <w:sz w:val="30"/>
          <w:szCs w:val="30"/>
        </w:rPr>
      </w:pPr>
    </w:p>
    <w:p>
      <w:pPr>
        <w:spacing w:line="450" w:lineRule="exact"/>
        <w:rPr>
          <w:rFonts w:hint="eastAsia" w:ascii="宋体" w:hAnsi="宋体"/>
          <w:bCs/>
          <w:sz w:val="30"/>
          <w:szCs w:val="30"/>
        </w:rPr>
      </w:pPr>
      <w:r>
        <w:rPr>
          <w:rFonts w:hint="eastAsia" w:ascii="宋体" w:hAnsi="宋体"/>
          <w:bCs/>
          <w:sz w:val="30"/>
          <w:szCs w:val="30"/>
        </w:rPr>
        <w:t xml:space="preserve">甲方（委托方）                     </w:t>
      </w:r>
      <w:r>
        <w:rPr>
          <w:rFonts w:hint="eastAsia" w:ascii="宋体" w:hAnsi="宋体"/>
          <w:bCs/>
          <w:sz w:val="30"/>
          <w:szCs w:val="30"/>
          <w:lang w:val="en-US" w:eastAsia="zh-CN"/>
        </w:rPr>
        <w:t xml:space="preserve">    </w:t>
      </w:r>
      <w:r>
        <w:rPr>
          <w:rFonts w:hint="eastAsia" w:ascii="宋体" w:hAnsi="宋体"/>
          <w:bCs/>
          <w:sz w:val="30"/>
          <w:szCs w:val="30"/>
        </w:rPr>
        <w:t xml:space="preserve">乙方（受托方）                       </w:t>
      </w:r>
    </w:p>
    <w:p>
      <w:pPr>
        <w:widowControl/>
        <w:autoSpaceDE w:val="0"/>
        <w:autoSpaceDN w:val="0"/>
        <w:spacing w:line="450" w:lineRule="exact"/>
        <w:ind w:left="7200" w:hanging="7200" w:hangingChars="2400"/>
        <w:jc w:val="left"/>
        <w:rPr>
          <w:rFonts w:hint="eastAsia" w:ascii="宋体" w:hAnsi="宋体"/>
          <w:bCs/>
          <w:sz w:val="30"/>
          <w:szCs w:val="30"/>
          <w:lang w:eastAsia="zh-CN"/>
        </w:rPr>
      </w:pPr>
      <w:r>
        <w:rPr>
          <w:rFonts w:hint="eastAsia" w:ascii="宋体" w:hAnsi="宋体"/>
          <w:bCs/>
          <w:sz w:val="30"/>
          <w:szCs w:val="30"/>
        </w:rPr>
        <w:t>单位名称：</w:t>
      </w:r>
      <w:r>
        <w:rPr>
          <w:rFonts w:hint="eastAsia" w:ascii="宋体" w:hAnsi="宋体"/>
          <w:bCs/>
          <w:sz w:val="30"/>
          <w:szCs w:val="30"/>
          <w:lang w:val="en-US" w:eastAsia="zh-CN"/>
        </w:rPr>
        <w:t xml:space="preserve">                             </w:t>
      </w:r>
      <w:r>
        <w:rPr>
          <w:rFonts w:hint="eastAsia" w:ascii="宋体" w:hAnsi="宋体"/>
          <w:bCs/>
          <w:sz w:val="30"/>
          <w:szCs w:val="30"/>
        </w:rPr>
        <w:t>单位名称：</w:t>
      </w:r>
      <w:r>
        <w:rPr>
          <w:rFonts w:hint="eastAsia" w:ascii="宋体" w:hAnsi="宋体"/>
          <w:bCs/>
          <w:sz w:val="30"/>
          <w:szCs w:val="30"/>
          <w:lang w:val="en-US" w:eastAsia="zh-CN"/>
        </w:rPr>
        <w:t xml:space="preserve">                      </w:t>
      </w:r>
    </w:p>
    <w:p>
      <w:pPr>
        <w:widowControl/>
        <w:autoSpaceDE w:val="0"/>
        <w:autoSpaceDN w:val="0"/>
        <w:spacing w:line="450" w:lineRule="exact"/>
        <w:ind w:left="0" w:firstLine="0" w:firstLineChars="0"/>
        <w:jc w:val="left"/>
        <w:rPr>
          <w:rFonts w:hint="eastAsia" w:ascii="宋体" w:hAnsi="宋体"/>
          <w:bCs/>
          <w:sz w:val="30"/>
          <w:szCs w:val="30"/>
        </w:rPr>
      </w:pPr>
      <w:r>
        <w:rPr>
          <w:rFonts w:hint="eastAsia" w:ascii="宋体" w:hAnsi="宋体"/>
          <w:bCs/>
          <w:sz w:val="30"/>
          <w:szCs w:val="30"/>
          <w:lang w:eastAsia="zh-CN"/>
        </w:rPr>
        <w:t>代表</w:t>
      </w:r>
      <w:r>
        <w:rPr>
          <w:rFonts w:hint="eastAsia" w:ascii="宋体" w:hAnsi="宋体"/>
          <w:bCs/>
          <w:sz w:val="30"/>
          <w:szCs w:val="30"/>
        </w:rPr>
        <w:t xml:space="preserve">人 </w:t>
      </w:r>
      <w:r>
        <w:rPr>
          <w:rFonts w:hint="eastAsia" w:ascii="宋体" w:hAnsi="宋体"/>
          <w:bCs/>
          <w:sz w:val="30"/>
          <w:szCs w:val="30"/>
          <w:lang w:eastAsia="zh-CN"/>
        </w:rPr>
        <w:t>：</w:t>
      </w:r>
      <w:r>
        <w:rPr>
          <w:rFonts w:hint="eastAsia" w:ascii="宋体" w:hAnsi="宋体"/>
          <w:bCs/>
          <w:sz w:val="30"/>
          <w:szCs w:val="30"/>
        </w:rPr>
        <w:t xml:space="preserve">                         </w:t>
      </w:r>
      <w:r>
        <w:rPr>
          <w:rFonts w:hint="eastAsia" w:ascii="宋体" w:hAnsi="宋体"/>
          <w:bCs/>
          <w:sz w:val="30"/>
          <w:szCs w:val="30"/>
          <w:lang w:val="en-US" w:eastAsia="zh-CN"/>
        </w:rPr>
        <w:t xml:space="preserve">    </w:t>
      </w:r>
      <w:r>
        <w:rPr>
          <w:rFonts w:hint="eastAsia" w:ascii="宋体" w:hAnsi="宋体"/>
          <w:bCs/>
          <w:sz w:val="30"/>
          <w:szCs w:val="30"/>
        </w:rPr>
        <w:t xml:space="preserve"> 代表人：</w:t>
      </w:r>
    </w:p>
    <w:p>
      <w:pPr>
        <w:widowControl/>
        <w:autoSpaceDE w:val="0"/>
        <w:autoSpaceDN w:val="0"/>
        <w:spacing w:line="450" w:lineRule="exact"/>
        <w:ind w:left="6859" w:leftChars="3266" w:firstLine="0" w:firstLineChars="0"/>
        <w:jc w:val="left"/>
        <w:rPr>
          <w:rFonts w:hint="eastAsia" w:ascii="宋体" w:hAnsi="宋体"/>
          <w:bCs/>
          <w:sz w:val="30"/>
          <w:szCs w:val="30"/>
        </w:rPr>
      </w:pPr>
      <w:r>
        <w:rPr>
          <w:rFonts w:hint="eastAsia" w:ascii="宋体" w:hAnsi="宋体"/>
          <w:bCs/>
          <w:sz w:val="30"/>
          <w:szCs w:val="30"/>
        </w:rPr>
        <w:t xml:space="preserve">                                        </w:t>
      </w:r>
    </w:p>
    <w:p>
      <w:pPr>
        <w:widowControl/>
        <w:autoSpaceDE w:val="0"/>
        <w:autoSpaceDN w:val="0"/>
        <w:spacing w:line="450" w:lineRule="exact"/>
        <w:jc w:val="left"/>
        <w:rPr>
          <w:rFonts w:hint="eastAsia" w:ascii="宋体" w:hAnsi="宋体"/>
          <w:bCs/>
          <w:color w:val="000000"/>
          <w:sz w:val="30"/>
          <w:szCs w:val="30"/>
        </w:rPr>
      </w:pPr>
      <w:r>
        <w:rPr>
          <w:rFonts w:hint="eastAsia" w:ascii="宋体" w:hAnsi="宋体"/>
          <w:bCs/>
          <w:color w:val="000000"/>
          <w:sz w:val="30"/>
          <w:szCs w:val="30"/>
        </w:rPr>
        <w:t>签订日期：  年  月  日                 签订日期： 年  月  日</w:t>
      </w:r>
    </w:p>
    <w:p>
      <w:pPr>
        <w:pStyle w:val="2"/>
        <w:rPr>
          <w:rFonts w:hint="eastAsia"/>
          <w:sz w:val="30"/>
          <w:szCs w:val="30"/>
          <w:lang w:eastAsia="zh-CN"/>
        </w:rPr>
      </w:pPr>
      <w:r>
        <w:rPr>
          <w:rFonts w:hint="eastAsia"/>
          <w:sz w:val="30"/>
          <w:szCs w:val="30"/>
          <w:lang w:eastAsia="zh-CN"/>
        </w:rPr>
        <w:t>以下无正文</w:t>
      </w:r>
    </w:p>
    <w:p>
      <w:pPr>
        <w:pStyle w:val="2"/>
        <w:rPr>
          <w:rFonts w:hint="eastAsia" w:ascii="宋体" w:hAnsi="宋体"/>
          <w:bCs/>
          <w:color w:val="000000"/>
          <w:sz w:val="30"/>
          <w:szCs w:val="30"/>
        </w:rPr>
      </w:pPr>
      <w:r>
        <w:rPr>
          <w:rFonts w:hint="eastAsia" w:ascii="宋体" w:hAnsi="宋体"/>
          <w:bCs/>
          <w:color w:val="000000"/>
          <w:sz w:val="30"/>
          <w:szCs w:val="30"/>
        </w:rPr>
        <w:t>附件一：</w:t>
      </w:r>
    </w:p>
    <w:p>
      <w:pPr>
        <w:pStyle w:val="2"/>
        <w:rPr>
          <w:rFonts w:hint="eastAsia"/>
        </w:rPr>
      </w:pPr>
    </w:p>
    <w:tbl>
      <w:tblPr>
        <w:tblStyle w:val="43"/>
        <w:tblW w:w="98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3"/>
        <w:gridCol w:w="1046"/>
        <w:gridCol w:w="2162"/>
        <w:gridCol w:w="2268"/>
        <w:gridCol w:w="976"/>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99" w:type="dxa"/>
            <w:gridSpan w:val="4"/>
            <w:vAlign w:val="center"/>
          </w:tcPr>
          <w:p>
            <w:pPr>
              <w:pStyle w:val="238"/>
              <w:tabs>
                <w:tab w:val="left" w:pos="1134"/>
                <w:tab w:val="left" w:pos="1418"/>
              </w:tabs>
              <w:jc w:val="center"/>
              <w:rPr>
                <w:rFonts w:ascii="宋体" w:hAnsi="宋体" w:cs="宋体"/>
                <w:kern w:val="0"/>
                <w:sz w:val="21"/>
                <w:szCs w:val="21"/>
              </w:rPr>
            </w:pPr>
            <w:r>
              <w:rPr>
                <w:rFonts w:hint="eastAsia" w:ascii="宋体" w:hAnsi="宋体" w:cs="宋体"/>
                <w:kern w:val="0"/>
                <w:sz w:val="21"/>
                <w:szCs w:val="21"/>
              </w:rPr>
              <w:t>标准内容</w:t>
            </w:r>
          </w:p>
        </w:tc>
        <w:tc>
          <w:tcPr>
            <w:tcW w:w="976" w:type="dxa"/>
            <w:vAlign w:val="top"/>
          </w:tcPr>
          <w:p>
            <w:pPr>
              <w:pStyle w:val="238"/>
              <w:tabs>
                <w:tab w:val="left" w:pos="1134"/>
                <w:tab w:val="left" w:pos="1418"/>
              </w:tabs>
              <w:ind w:firstLine="18" w:firstLineChars="9"/>
              <w:jc w:val="center"/>
              <w:rPr>
                <w:rFonts w:hint="eastAsia" w:ascii="宋体" w:hAnsi="宋体" w:cs="宋体"/>
                <w:kern w:val="0"/>
                <w:sz w:val="21"/>
                <w:szCs w:val="21"/>
              </w:rPr>
            </w:pPr>
            <w:r>
              <w:rPr>
                <w:rFonts w:hint="eastAsia" w:ascii="宋体" w:hAnsi="宋体" w:cs="宋体"/>
                <w:kern w:val="0"/>
                <w:sz w:val="21"/>
                <w:szCs w:val="21"/>
              </w:rPr>
              <w:t>分值</w:t>
            </w:r>
          </w:p>
        </w:tc>
        <w:tc>
          <w:tcPr>
            <w:tcW w:w="2409" w:type="dxa"/>
            <w:vAlign w:val="center"/>
          </w:tcPr>
          <w:p>
            <w:pPr>
              <w:pStyle w:val="238"/>
              <w:tabs>
                <w:tab w:val="left" w:pos="1134"/>
                <w:tab w:val="left" w:pos="1418"/>
              </w:tabs>
              <w:jc w:val="center"/>
              <w:rPr>
                <w:rFonts w:ascii="宋体" w:hAnsi="宋体" w:cs="宋体"/>
                <w:kern w:val="0"/>
                <w:sz w:val="21"/>
                <w:szCs w:val="21"/>
              </w:rPr>
            </w:pPr>
            <w:r>
              <w:rPr>
                <w:rFonts w:hint="eastAsia" w:ascii="宋体" w:hAnsi="宋体" w:cs="宋体"/>
                <w:kern w:val="0"/>
                <w:sz w:val="21"/>
                <w:szCs w:val="21"/>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23" w:type="dxa"/>
            <w:vMerge w:val="restart"/>
            <w:vAlign w:val="center"/>
          </w:tcPr>
          <w:p>
            <w:pPr>
              <w:pStyle w:val="238"/>
              <w:tabs>
                <w:tab w:val="left" w:pos="1134"/>
                <w:tab w:val="left" w:pos="1418"/>
              </w:tabs>
              <w:ind w:firstLine="10" w:firstLineChars="5"/>
              <w:rPr>
                <w:rFonts w:ascii="宋体" w:hAnsi="宋体" w:cs="宋体"/>
                <w:kern w:val="0"/>
                <w:sz w:val="21"/>
                <w:szCs w:val="21"/>
              </w:rPr>
            </w:pPr>
            <w:r>
              <w:rPr>
                <w:rFonts w:hint="eastAsia" w:ascii="宋体" w:hAnsi="宋体" w:cs="宋体"/>
                <w:kern w:val="0"/>
                <w:sz w:val="21"/>
                <w:szCs w:val="21"/>
              </w:rPr>
              <w:t>保洁服务</w:t>
            </w:r>
          </w:p>
        </w:tc>
        <w:tc>
          <w:tcPr>
            <w:tcW w:w="1046" w:type="dxa"/>
            <w:vMerge w:val="restart"/>
            <w:tcBorders>
              <w:right w:val="single" w:color="auto" w:sz="4" w:space="0"/>
            </w:tcBorders>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办公楼及值班公共区域</w:t>
            </w:r>
          </w:p>
        </w:tc>
        <w:tc>
          <w:tcPr>
            <w:tcW w:w="2162" w:type="dxa"/>
            <w:tcBorders>
              <w:left w:val="single" w:color="auto" w:sz="4" w:space="0"/>
              <w:right w:val="single" w:color="auto" w:sz="4" w:space="0"/>
            </w:tcBorders>
            <w:vAlign w:val="center"/>
          </w:tcPr>
          <w:p>
            <w:pPr>
              <w:pStyle w:val="238"/>
              <w:tabs>
                <w:tab w:val="left" w:pos="1134"/>
                <w:tab w:val="left" w:pos="1418"/>
              </w:tabs>
              <w:ind w:firstLine="0" w:firstLineChars="0"/>
              <w:jc w:val="left"/>
              <w:rPr>
                <w:rFonts w:ascii="宋体" w:hAnsi="宋体" w:cs="宋体"/>
                <w:kern w:val="0"/>
                <w:sz w:val="21"/>
                <w:szCs w:val="21"/>
              </w:rPr>
            </w:pPr>
            <w:r>
              <w:rPr>
                <w:rFonts w:hint="eastAsia" w:ascii="宋体" w:hAnsi="宋体" w:cs="宋体"/>
                <w:kern w:val="0"/>
                <w:sz w:val="21"/>
                <w:szCs w:val="21"/>
              </w:rPr>
              <w:t>门窗（玻璃门、框架、窗台、门把手）</w:t>
            </w:r>
          </w:p>
        </w:tc>
        <w:tc>
          <w:tcPr>
            <w:tcW w:w="2268" w:type="dxa"/>
            <w:tcBorders>
              <w:left w:val="single" w:color="auto" w:sz="4" w:space="0"/>
            </w:tcBorders>
            <w:vAlign w:val="center"/>
          </w:tcPr>
          <w:p>
            <w:pPr>
              <w:pStyle w:val="238"/>
              <w:tabs>
                <w:tab w:val="left" w:pos="1134"/>
                <w:tab w:val="left" w:pos="1418"/>
              </w:tabs>
              <w:ind w:firstLine="0" w:firstLineChars="0"/>
              <w:jc w:val="left"/>
              <w:rPr>
                <w:rFonts w:ascii="宋体" w:hAnsi="宋体" w:cs="宋体"/>
                <w:kern w:val="0"/>
                <w:sz w:val="21"/>
                <w:szCs w:val="21"/>
              </w:rPr>
            </w:pPr>
            <w:r>
              <w:rPr>
                <w:rFonts w:hint="eastAsia" w:ascii="宋体" w:hAnsi="宋体" w:cs="宋体"/>
                <w:kern w:val="0"/>
                <w:sz w:val="21"/>
                <w:szCs w:val="21"/>
              </w:rPr>
              <w:t>无手印、无污渍、光洁明亮</w:t>
            </w:r>
          </w:p>
        </w:tc>
        <w:tc>
          <w:tcPr>
            <w:tcW w:w="976" w:type="dxa"/>
            <w:vAlign w:val="top"/>
          </w:tcPr>
          <w:p>
            <w:pPr>
              <w:pStyle w:val="238"/>
              <w:tabs>
                <w:tab w:val="left" w:pos="1134"/>
                <w:tab w:val="left" w:pos="1418"/>
              </w:tabs>
              <w:ind w:firstLine="0" w:firstLineChars="0"/>
              <w:rPr>
                <w:rFonts w:hint="eastAsia" w:ascii="宋体" w:hAnsi="宋体" w:cs="宋体"/>
                <w:kern w:val="0"/>
                <w:sz w:val="21"/>
                <w:szCs w:val="21"/>
              </w:rPr>
            </w:pPr>
            <w:r>
              <w:rPr>
                <w:rFonts w:hint="eastAsia" w:ascii="宋体" w:hAnsi="宋体" w:cs="宋体"/>
                <w:kern w:val="0"/>
                <w:sz w:val="21"/>
                <w:szCs w:val="21"/>
              </w:rPr>
              <w:t>10</w:t>
            </w:r>
          </w:p>
        </w:tc>
        <w:tc>
          <w:tcPr>
            <w:tcW w:w="2409" w:type="dxa"/>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一处不符扣0.5分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jc w:val="center"/>
        </w:trPr>
        <w:tc>
          <w:tcPr>
            <w:tcW w:w="1023" w:type="dxa"/>
            <w:vMerge w:val="continue"/>
            <w:vAlign w:val="center"/>
          </w:tcPr>
          <w:p>
            <w:pPr>
              <w:pStyle w:val="238"/>
              <w:tabs>
                <w:tab w:val="left" w:pos="1134"/>
                <w:tab w:val="left" w:pos="1418"/>
              </w:tabs>
              <w:rPr>
                <w:rFonts w:ascii="宋体" w:hAnsi="宋体" w:cs="宋体"/>
                <w:kern w:val="0"/>
                <w:sz w:val="21"/>
                <w:szCs w:val="21"/>
              </w:rPr>
            </w:pPr>
          </w:p>
        </w:tc>
        <w:tc>
          <w:tcPr>
            <w:tcW w:w="1046" w:type="dxa"/>
            <w:vMerge w:val="continue"/>
            <w:tcBorders>
              <w:right w:val="single" w:color="auto" w:sz="4" w:space="0"/>
            </w:tcBorders>
            <w:vAlign w:val="center"/>
          </w:tcPr>
          <w:p>
            <w:pPr>
              <w:pStyle w:val="238"/>
              <w:tabs>
                <w:tab w:val="left" w:pos="1134"/>
                <w:tab w:val="left" w:pos="1418"/>
              </w:tabs>
              <w:rPr>
                <w:rFonts w:ascii="宋体" w:hAnsi="宋体" w:cs="宋体"/>
                <w:kern w:val="0"/>
                <w:sz w:val="21"/>
                <w:szCs w:val="21"/>
              </w:rPr>
            </w:pPr>
          </w:p>
        </w:tc>
        <w:tc>
          <w:tcPr>
            <w:tcW w:w="2162" w:type="dxa"/>
            <w:tcBorders>
              <w:top w:val="single" w:color="auto" w:sz="4" w:space="0"/>
              <w:left w:val="single" w:color="auto" w:sz="4" w:space="0"/>
              <w:bottom w:val="single" w:color="auto" w:sz="4" w:space="0"/>
              <w:right w:val="single" w:color="auto" w:sz="4" w:space="0"/>
            </w:tcBorders>
            <w:vAlign w:val="center"/>
          </w:tcPr>
          <w:p>
            <w:pPr>
              <w:pStyle w:val="238"/>
              <w:tabs>
                <w:tab w:val="left" w:pos="1134"/>
                <w:tab w:val="left" w:pos="1418"/>
              </w:tabs>
              <w:ind w:firstLine="0" w:firstLineChars="0"/>
              <w:jc w:val="left"/>
              <w:rPr>
                <w:rFonts w:ascii="宋体" w:hAnsi="宋体" w:cs="宋体"/>
                <w:kern w:val="0"/>
                <w:sz w:val="21"/>
                <w:szCs w:val="21"/>
              </w:rPr>
            </w:pPr>
            <w:r>
              <w:rPr>
                <w:rFonts w:hint="eastAsia" w:ascii="宋体" w:hAnsi="宋体" w:cs="宋体"/>
                <w:kern w:val="0"/>
                <w:sz w:val="21"/>
                <w:szCs w:val="21"/>
              </w:rPr>
              <w:t>地面、指示牌、垃圾桶、消防设施）</w:t>
            </w:r>
          </w:p>
        </w:tc>
        <w:tc>
          <w:tcPr>
            <w:tcW w:w="2268" w:type="dxa"/>
            <w:tcBorders>
              <w:left w:val="single" w:color="auto" w:sz="4" w:space="0"/>
            </w:tcBorders>
            <w:vAlign w:val="center"/>
          </w:tcPr>
          <w:p>
            <w:pPr>
              <w:pStyle w:val="238"/>
              <w:tabs>
                <w:tab w:val="left" w:pos="1134"/>
                <w:tab w:val="left" w:pos="1418"/>
              </w:tabs>
              <w:ind w:firstLine="0" w:firstLineChars="0"/>
              <w:jc w:val="left"/>
              <w:rPr>
                <w:rFonts w:ascii="宋体" w:hAnsi="宋体" w:cs="宋体"/>
                <w:kern w:val="0"/>
                <w:sz w:val="21"/>
                <w:szCs w:val="21"/>
              </w:rPr>
            </w:pPr>
            <w:r>
              <w:rPr>
                <w:rFonts w:hint="eastAsia" w:ascii="宋体" w:hAnsi="宋体" w:cs="宋体"/>
                <w:kern w:val="0"/>
                <w:sz w:val="21"/>
                <w:szCs w:val="21"/>
              </w:rPr>
              <w:t>无污渍、水迹、尘迹、光洁明亮</w:t>
            </w:r>
          </w:p>
        </w:tc>
        <w:tc>
          <w:tcPr>
            <w:tcW w:w="976" w:type="dxa"/>
            <w:vAlign w:val="top"/>
          </w:tcPr>
          <w:p>
            <w:pPr>
              <w:pStyle w:val="238"/>
              <w:tabs>
                <w:tab w:val="left" w:pos="1134"/>
                <w:tab w:val="left" w:pos="1418"/>
              </w:tabs>
              <w:ind w:firstLine="0" w:firstLineChars="0"/>
              <w:rPr>
                <w:rFonts w:hint="eastAsia" w:ascii="宋体" w:hAnsi="宋体" w:cs="宋体"/>
                <w:kern w:val="0"/>
                <w:sz w:val="21"/>
                <w:szCs w:val="21"/>
              </w:rPr>
            </w:pPr>
            <w:r>
              <w:rPr>
                <w:rFonts w:hint="eastAsia" w:ascii="宋体" w:hAnsi="宋体" w:cs="宋体"/>
                <w:kern w:val="0"/>
                <w:sz w:val="21"/>
                <w:szCs w:val="21"/>
              </w:rPr>
              <w:t>10</w:t>
            </w:r>
          </w:p>
        </w:tc>
        <w:tc>
          <w:tcPr>
            <w:tcW w:w="2409" w:type="dxa"/>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一处不符扣0.5分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23" w:type="dxa"/>
            <w:vMerge w:val="continue"/>
            <w:vAlign w:val="top"/>
          </w:tcPr>
          <w:p>
            <w:pPr>
              <w:pStyle w:val="238"/>
              <w:tabs>
                <w:tab w:val="left" w:pos="1134"/>
                <w:tab w:val="left" w:pos="1418"/>
              </w:tabs>
              <w:rPr>
                <w:rFonts w:ascii="宋体" w:hAnsi="宋体" w:cs="宋体"/>
                <w:kern w:val="0"/>
                <w:sz w:val="21"/>
                <w:szCs w:val="21"/>
              </w:rPr>
            </w:pPr>
          </w:p>
        </w:tc>
        <w:tc>
          <w:tcPr>
            <w:tcW w:w="1046" w:type="dxa"/>
            <w:vMerge w:val="continue"/>
            <w:tcBorders>
              <w:bottom w:val="single" w:color="auto" w:sz="4" w:space="0"/>
              <w:right w:val="single" w:color="auto" w:sz="4" w:space="0"/>
            </w:tcBorders>
            <w:vAlign w:val="top"/>
          </w:tcPr>
          <w:p>
            <w:pPr>
              <w:pStyle w:val="238"/>
              <w:tabs>
                <w:tab w:val="left" w:pos="1134"/>
                <w:tab w:val="left" w:pos="1418"/>
              </w:tabs>
              <w:rPr>
                <w:rFonts w:ascii="宋体" w:hAnsi="宋体" w:cs="宋体"/>
                <w:kern w:val="0"/>
                <w:sz w:val="21"/>
                <w:szCs w:val="21"/>
              </w:rPr>
            </w:pPr>
          </w:p>
        </w:tc>
        <w:tc>
          <w:tcPr>
            <w:tcW w:w="2162" w:type="dxa"/>
            <w:tcBorders>
              <w:left w:val="single" w:color="auto" w:sz="4" w:space="0"/>
              <w:right w:val="single" w:color="auto" w:sz="4" w:space="0"/>
            </w:tcBorders>
            <w:vAlign w:val="center"/>
          </w:tcPr>
          <w:p>
            <w:pPr>
              <w:pStyle w:val="238"/>
              <w:tabs>
                <w:tab w:val="left" w:pos="1134"/>
                <w:tab w:val="left" w:pos="1418"/>
              </w:tabs>
              <w:ind w:firstLine="0" w:firstLineChars="0"/>
              <w:jc w:val="left"/>
              <w:rPr>
                <w:rFonts w:ascii="宋体" w:hAnsi="宋体" w:cs="宋体"/>
                <w:kern w:val="0"/>
                <w:sz w:val="21"/>
                <w:szCs w:val="21"/>
              </w:rPr>
            </w:pPr>
            <w:r>
              <w:rPr>
                <w:rFonts w:hint="eastAsia" w:ascii="宋体" w:hAnsi="宋体" w:cs="宋体"/>
                <w:kern w:val="0"/>
                <w:sz w:val="21"/>
                <w:szCs w:val="21"/>
              </w:rPr>
              <w:t>门把、镜面</w:t>
            </w:r>
          </w:p>
        </w:tc>
        <w:tc>
          <w:tcPr>
            <w:tcW w:w="2268" w:type="dxa"/>
            <w:tcBorders>
              <w:left w:val="single" w:color="auto" w:sz="4" w:space="0"/>
            </w:tcBorders>
            <w:vAlign w:val="center"/>
          </w:tcPr>
          <w:p>
            <w:pPr>
              <w:pStyle w:val="238"/>
              <w:tabs>
                <w:tab w:val="left" w:pos="1134"/>
                <w:tab w:val="left" w:pos="1418"/>
              </w:tabs>
              <w:ind w:firstLine="0" w:firstLineChars="0"/>
              <w:jc w:val="left"/>
              <w:rPr>
                <w:rFonts w:ascii="宋体" w:hAnsi="宋体" w:cs="宋体"/>
                <w:kern w:val="0"/>
                <w:sz w:val="21"/>
                <w:szCs w:val="21"/>
              </w:rPr>
            </w:pPr>
            <w:r>
              <w:rPr>
                <w:rFonts w:hint="eastAsia" w:ascii="宋体" w:hAnsi="宋体" w:cs="宋体"/>
                <w:kern w:val="0"/>
                <w:sz w:val="21"/>
                <w:szCs w:val="21"/>
              </w:rPr>
              <w:t>无水渍、无污渍</w:t>
            </w:r>
          </w:p>
        </w:tc>
        <w:tc>
          <w:tcPr>
            <w:tcW w:w="976" w:type="dxa"/>
            <w:vAlign w:val="top"/>
          </w:tcPr>
          <w:p>
            <w:pPr>
              <w:pStyle w:val="238"/>
              <w:tabs>
                <w:tab w:val="left" w:pos="1134"/>
                <w:tab w:val="left" w:pos="1418"/>
              </w:tabs>
              <w:ind w:firstLine="0" w:firstLineChars="0"/>
              <w:rPr>
                <w:rFonts w:hint="eastAsia" w:ascii="宋体" w:hAnsi="宋体" w:cs="宋体"/>
                <w:kern w:val="0"/>
                <w:sz w:val="21"/>
                <w:szCs w:val="21"/>
              </w:rPr>
            </w:pPr>
            <w:r>
              <w:rPr>
                <w:rFonts w:hint="eastAsia" w:ascii="宋体" w:hAnsi="宋体" w:cs="宋体"/>
                <w:kern w:val="0"/>
                <w:sz w:val="21"/>
                <w:szCs w:val="21"/>
              </w:rPr>
              <w:t>5</w:t>
            </w:r>
          </w:p>
        </w:tc>
        <w:tc>
          <w:tcPr>
            <w:tcW w:w="2409" w:type="dxa"/>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一处不符扣0.5分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23" w:type="dxa"/>
            <w:vMerge w:val="continue"/>
            <w:vAlign w:val="top"/>
          </w:tcPr>
          <w:p>
            <w:pPr>
              <w:pStyle w:val="238"/>
              <w:tabs>
                <w:tab w:val="left" w:pos="1134"/>
                <w:tab w:val="left" w:pos="1418"/>
              </w:tabs>
              <w:rPr>
                <w:rFonts w:ascii="宋体" w:hAnsi="宋体" w:cs="宋体"/>
                <w:kern w:val="0"/>
                <w:sz w:val="21"/>
                <w:szCs w:val="21"/>
              </w:rPr>
            </w:pPr>
          </w:p>
        </w:tc>
        <w:tc>
          <w:tcPr>
            <w:tcW w:w="1046" w:type="dxa"/>
            <w:vMerge w:val="restart"/>
            <w:tcBorders>
              <w:top w:val="single" w:color="auto" w:sz="4" w:space="0"/>
              <w:bottom w:val="nil"/>
              <w:right w:val="single" w:color="auto" w:sz="4" w:space="0"/>
            </w:tcBorders>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公共卫生间</w:t>
            </w:r>
          </w:p>
        </w:tc>
        <w:tc>
          <w:tcPr>
            <w:tcW w:w="2162" w:type="dxa"/>
            <w:tcBorders>
              <w:left w:val="single" w:color="auto" w:sz="4" w:space="0"/>
              <w:right w:val="single" w:color="auto" w:sz="4" w:space="0"/>
            </w:tcBorders>
            <w:vAlign w:val="center"/>
          </w:tcPr>
          <w:p>
            <w:pPr>
              <w:pStyle w:val="238"/>
              <w:tabs>
                <w:tab w:val="left" w:pos="1134"/>
                <w:tab w:val="left" w:pos="1418"/>
              </w:tabs>
              <w:ind w:firstLine="0" w:firstLineChars="0"/>
              <w:jc w:val="left"/>
              <w:rPr>
                <w:rFonts w:ascii="宋体" w:hAnsi="宋体" w:cs="宋体"/>
                <w:kern w:val="0"/>
                <w:sz w:val="21"/>
                <w:szCs w:val="21"/>
              </w:rPr>
            </w:pPr>
            <w:r>
              <w:rPr>
                <w:rFonts w:hint="eastAsia" w:ascii="宋体" w:hAnsi="宋体" w:cs="宋体"/>
                <w:kern w:val="0"/>
                <w:sz w:val="21"/>
                <w:szCs w:val="21"/>
              </w:rPr>
              <w:t>蹲厕、小便池</w:t>
            </w:r>
          </w:p>
        </w:tc>
        <w:tc>
          <w:tcPr>
            <w:tcW w:w="2268" w:type="dxa"/>
            <w:tcBorders>
              <w:left w:val="single" w:color="auto" w:sz="4" w:space="0"/>
            </w:tcBorders>
            <w:vAlign w:val="center"/>
          </w:tcPr>
          <w:p>
            <w:pPr>
              <w:pStyle w:val="238"/>
              <w:tabs>
                <w:tab w:val="left" w:pos="1134"/>
                <w:tab w:val="left" w:pos="1418"/>
              </w:tabs>
              <w:ind w:firstLine="0" w:firstLineChars="0"/>
              <w:jc w:val="left"/>
              <w:rPr>
                <w:rFonts w:ascii="宋体" w:hAnsi="宋体" w:cs="宋体"/>
                <w:kern w:val="0"/>
                <w:sz w:val="21"/>
                <w:szCs w:val="21"/>
              </w:rPr>
            </w:pPr>
            <w:r>
              <w:rPr>
                <w:rFonts w:hint="eastAsia" w:ascii="宋体" w:hAnsi="宋体" w:cs="宋体"/>
                <w:kern w:val="0"/>
                <w:sz w:val="21"/>
                <w:szCs w:val="21"/>
              </w:rPr>
              <w:t>洗刷干净，保持无异味、无污渍</w:t>
            </w:r>
          </w:p>
        </w:tc>
        <w:tc>
          <w:tcPr>
            <w:tcW w:w="976" w:type="dxa"/>
            <w:vAlign w:val="top"/>
          </w:tcPr>
          <w:p>
            <w:pPr>
              <w:pStyle w:val="238"/>
              <w:tabs>
                <w:tab w:val="left" w:pos="1134"/>
                <w:tab w:val="left" w:pos="1418"/>
              </w:tabs>
              <w:ind w:firstLine="0" w:firstLineChars="0"/>
              <w:rPr>
                <w:rFonts w:hint="eastAsia" w:ascii="宋体" w:hAnsi="宋体" w:cs="宋体"/>
                <w:kern w:val="0"/>
                <w:sz w:val="21"/>
                <w:szCs w:val="21"/>
              </w:rPr>
            </w:pPr>
            <w:r>
              <w:rPr>
                <w:rFonts w:hint="eastAsia" w:ascii="宋体" w:hAnsi="宋体" w:cs="宋体"/>
                <w:kern w:val="0"/>
                <w:sz w:val="21"/>
                <w:szCs w:val="21"/>
              </w:rPr>
              <w:t>10</w:t>
            </w:r>
          </w:p>
        </w:tc>
        <w:tc>
          <w:tcPr>
            <w:tcW w:w="2409" w:type="dxa"/>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一处不符扣0.5分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7" w:hRule="atLeast"/>
          <w:jc w:val="center"/>
        </w:trPr>
        <w:tc>
          <w:tcPr>
            <w:tcW w:w="1023" w:type="dxa"/>
            <w:vMerge w:val="continue"/>
            <w:vAlign w:val="top"/>
          </w:tcPr>
          <w:p>
            <w:pPr>
              <w:pStyle w:val="238"/>
              <w:tabs>
                <w:tab w:val="left" w:pos="1134"/>
                <w:tab w:val="left" w:pos="1418"/>
              </w:tabs>
              <w:rPr>
                <w:rFonts w:ascii="宋体" w:hAnsi="宋体" w:cs="宋体"/>
                <w:kern w:val="0"/>
                <w:sz w:val="21"/>
                <w:szCs w:val="21"/>
              </w:rPr>
            </w:pPr>
          </w:p>
        </w:tc>
        <w:tc>
          <w:tcPr>
            <w:tcW w:w="1046" w:type="dxa"/>
            <w:vMerge w:val="continue"/>
            <w:tcBorders>
              <w:top w:val="nil"/>
              <w:bottom w:val="nil"/>
              <w:right w:val="single" w:color="auto" w:sz="4" w:space="0"/>
            </w:tcBorders>
            <w:vAlign w:val="top"/>
          </w:tcPr>
          <w:p>
            <w:pPr>
              <w:pStyle w:val="238"/>
              <w:tabs>
                <w:tab w:val="left" w:pos="1134"/>
                <w:tab w:val="left" w:pos="1418"/>
              </w:tabs>
              <w:rPr>
                <w:rFonts w:ascii="宋体" w:hAnsi="宋体" w:cs="宋体"/>
                <w:kern w:val="0"/>
                <w:sz w:val="21"/>
                <w:szCs w:val="21"/>
              </w:rPr>
            </w:pPr>
          </w:p>
        </w:tc>
        <w:tc>
          <w:tcPr>
            <w:tcW w:w="2162" w:type="dxa"/>
            <w:tcBorders>
              <w:left w:val="single" w:color="auto" w:sz="4" w:space="0"/>
              <w:right w:val="single" w:color="auto" w:sz="4" w:space="0"/>
            </w:tcBorders>
            <w:vAlign w:val="center"/>
          </w:tcPr>
          <w:p>
            <w:pPr>
              <w:pStyle w:val="238"/>
              <w:tabs>
                <w:tab w:val="left" w:pos="1134"/>
                <w:tab w:val="left" w:pos="1418"/>
              </w:tabs>
              <w:ind w:firstLine="0" w:firstLineChars="0"/>
              <w:jc w:val="left"/>
              <w:rPr>
                <w:rFonts w:ascii="宋体" w:hAnsi="宋体" w:cs="宋体"/>
                <w:kern w:val="0"/>
                <w:sz w:val="21"/>
                <w:szCs w:val="21"/>
              </w:rPr>
            </w:pPr>
            <w:r>
              <w:rPr>
                <w:rFonts w:hint="eastAsia" w:ascii="宋体" w:hAnsi="宋体" w:cs="宋体"/>
                <w:kern w:val="0"/>
                <w:sz w:val="21"/>
                <w:szCs w:val="21"/>
              </w:rPr>
              <w:t>镜面</w:t>
            </w:r>
          </w:p>
        </w:tc>
        <w:tc>
          <w:tcPr>
            <w:tcW w:w="2268" w:type="dxa"/>
            <w:tcBorders>
              <w:left w:val="single" w:color="auto" w:sz="4" w:space="0"/>
            </w:tcBorders>
            <w:vAlign w:val="center"/>
          </w:tcPr>
          <w:p>
            <w:pPr>
              <w:pStyle w:val="238"/>
              <w:tabs>
                <w:tab w:val="left" w:pos="1134"/>
                <w:tab w:val="left" w:pos="1418"/>
              </w:tabs>
              <w:ind w:firstLine="0" w:firstLineChars="0"/>
              <w:jc w:val="left"/>
              <w:rPr>
                <w:rFonts w:ascii="宋体" w:hAnsi="宋体" w:cs="宋体"/>
                <w:kern w:val="0"/>
                <w:sz w:val="21"/>
                <w:szCs w:val="21"/>
              </w:rPr>
            </w:pPr>
            <w:r>
              <w:rPr>
                <w:rFonts w:hint="eastAsia" w:ascii="宋体" w:hAnsi="宋体" w:cs="宋体"/>
                <w:kern w:val="0"/>
                <w:sz w:val="21"/>
                <w:szCs w:val="21"/>
              </w:rPr>
              <w:t>保持光亮、无水迹，面盆无水锈</w:t>
            </w:r>
          </w:p>
        </w:tc>
        <w:tc>
          <w:tcPr>
            <w:tcW w:w="976" w:type="dxa"/>
            <w:vAlign w:val="top"/>
          </w:tcPr>
          <w:p>
            <w:pPr>
              <w:pStyle w:val="238"/>
              <w:tabs>
                <w:tab w:val="left" w:pos="1134"/>
                <w:tab w:val="left" w:pos="1418"/>
              </w:tabs>
              <w:ind w:firstLine="0" w:firstLineChars="0"/>
              <w:rPr>
                <w:rFonts w:hint="eastAsia" w:ascii="宋体" w:hAnsi="宋体" w:cs="宋体"/>
                <w:kern w:val="0"/>
                <w:sz w:val="21"/>
                <w:szCs w:val="21"/>
              </w:rPr>
            </w:pPr>
            <w:r>
              <w:rPr>
                <w:rFonts w:hint="eastAsia" w:ascii="宋体" w:hAnsi="宋体" w:cs="宋体"/>
                <w:kern w:val="0"/>
                <w:sz w:val="21"/>
                <w:szCs w:val="21"/>
              </w:rPr>
              <w:t>5</w:t>
            </w:r>
          </w:p>
        </w:tc>
        <w:tc>
          <w:tcPr>
            <w:tcW w:w="2409" w:type="dxa"/>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一处不符扣0.5分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23" w:type="dxa"/>
            <w:vMerge w:val="continue"/>
            <w:vAlign w:val="top"/>
          </w:tcPr>
          <w:p>
            <w:pPr>
              <w:pStyle w:val="238"/>
              <w:tabs>
                <w:tab w:val="left" w:pos="1134"/>
                <w:tab w:val="left" w:pos="1418"/>
              </w:tabs>
              <w:rPr>
                <w:rFonts w:ascii="宋体" w:hAnsi="宋体" w:cs="宋体"/>
                <w:kern w:val="0"/>
                <w:sz w:val="21"/>
                <w:szCs w:val="21"/>
              </w:rPr>
            </w:pPr>
          </w:p>
        </w:tc>
        <w:tc>
          <w:tcPr>
            <w:tcW w:w="1046" w:type="dxa"/>
            <w:vMerge w:val="continue"/>
            <w:tcBorders>
              <w:top w:val="nil"/>
              <w:bottom w:val="nil"/>
              <w:right w:val="single" w:color="auto" w:sz="4" w:space="0"/>
            </w:tcBorders>
            <w:vAlign w:val="top"/>
          </w:tcPr>
          <w:p>
            <w:pPr>
              <w:pStyle w:val="238"/>
              <w:tabs>
                <w:tab w:val="left" w:pos="1134"/>
                <w:tab w:val="left" w:pos="1418"/>
              </w:tabs>
              <w:rPr>
                <w:rFonts w:ascii="宋体" w:hAnsi="宋体" w:cs="宋体"/>
                <w:kern w:val="0"/>
                <w:sz w:val="21"/>
                <w:szCs w:val="21"/>
              </w:rPr>
            </w:pPr>
          </w:p>
        </w:tc>
        <w:tc>
          <w:tcPr>
            <w:tcW w:w="2162" w:type="dxa"/>
            <w:tcBorders>
              <w:left w:val="single" w:color="auto" w:sz="4" w:space="0"/>
              <w:right w:val="single" w:color="auto" w:sz="4" w:space="0"/>
            </w:tcBorders>
            <w:vAlign w:val="center"/>
          </w:tcPr>
          <w:p>
            <w:pPr>
              <w:pStyle w:val="238"/>
              <w:tabs>
                <w:tab w:val="left" w:pos="1134"/>
                <w:tab w:val="left" w:pos="1418"/>
              </w:tabs>
              <w:ind w:firstLine="0" w:firstLineChars="0"/>
              <w:jc w:val="left"/>
              <w:rPr>
                <w:rFonts w:ascii="宋体" w:hAnsi="宋体" w:cs="宋体"/>
                <w:kern w:val="0"/>
                <w:sz w:val="21"/>
                <w:szCs w:val="21"/>
              </w:rPr>
            </w:pPr>
            <w:r>
              <w:rPr>
                <w:rFonts w:hint="eastAsia" w:ascii="宋体" w:hAnsi="宋体" w:cs="宋体"/>
                <w:kern w:val="0"/>
                <w:sz w:val="21"/>
                <w:szCs w:val="21"/>
              </w:rPr>
              <w:t>台面</w:t>
            </w:r>
          </w:p>
        </w:tc>
        <w:tc>
          <w:tcPr>
            <w:tcW w:w="2268" w:type="dxa"/>
            <w:tcBorders>
              <w:left w:val="single" w:color="auto" w:sz="4" w:space="0"/>
            </w:tcBorders>
            <w:vAlign w:val="center"/>
          </w:tcPr>
          <w:p>
            <w:pPr>
              <w:pStyle w:val="238"/>
              <w:tabs>
                <w:tab w:val="left" w:pos="1134"/>
                <w:tab w:val="left" w:pos="1418"/>
              </w:tabs>
              <w:ind w:firstLine="0" w:firstLineChars="0"/>
              <w:jc w:val="left"/>
              <w:rPr>
                <w:rFonts w:ascii="宋体" w:hAnsi="宋体" w:cs="宋体"/>
                <w:kern w:val="0"/>
                <w:sz w:val="21"/>
                <w:szCs w:val="21"/>
              </w:rPr>
            </w:pPr>
            <w:r>
              <w:rPr>
                <w:rFonts w:hint="eastAsia" w:ascii="宋体" w:hAnsi="宋体" w:cs="宋体"/>
                <w:kern w:val="0"/>
                <w:sz w:val="21"/>
                <w:szCs w:val="21"/>
              </w:rPr>
              <w:t>无水迹、无皂迹</w:t>
            </w:r>
          </w:p>
        </w:tc>
        <w:tc>
          <w:tcPr>
            <w:tcW w:w="976" w:type="dxa"/>
            <w:vAlign w:val="top"/>
          </w:tcPr>
          <w:p>
            <w:pPr>
              <w:pStyle w:val="238"/>
              <w:tabs>
                <w:tab w:val="left" w:pos="1134"/>
                <w:tab w:val="left" w:pos="1418"/>
              </w:tabs>
              <w:ind w:firstLine="0" w:firstLineChars="0"/>
              <w:rPr>
                <w:rFonts w:hint="eastAsia" w:ascii="宋体" w:hAnsi="宋体" w:cs="宋体"/>
                <w:kern w:val="0"/>
                <w:sz w:val="21"/>
                <w:szCs w:val="21"/>
              </w:rPr>
            </w:pPr>
            <w:r>
              <w:rPr>
                <w:rFonts w:hint="eastAsia" w:ascii="宋体" w:hAnsi="宋体" w:cs="宋体"/>
                <w:kern w:val="0"/>
                <w:sz w:val="21"/>
                <w:szCs w:val="21"/>
              </w:rPr>
              <w:t>5</w:t>
            </w:r>
          </w:p>
        </w:tc>
        <w:tc>
          <w:tcPr>
            <w:tcW w:w="2409" w:type="dxa"/>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一处不符扣0.5分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1023" w:type="dxa"/>
            <w:vMerge w:val="continue"/>
            <w:vAlign w:val="top"/>
          </w:tcPr>
          <w:p>
            <w:pPr>
              <w:pStyle w:val="238"/>
              <w:tabs>
                <w:tab w:val="left" w:pos="1134"/>
                <w:tab w:val="left" w:pos="1418"/>
              </w:tabs>
              <w:rPr>
                <w:rFonts w:ascii="宋体" w:hAnsi="宋体" w:cs="宋体"/>
                <w:kern w:val="0"/>
                <w:sz w:val="21"/>
                <w:szCs w:val="21"/>
              </w:rPr>
            </w:pPr>
          </w:p>
        </w:tc>
        <w:tc>
          <w:tcPr>
            <w:tcW w:w="1046" w:type="dxa"/>
            <w:vMerge w:val="restart"/>
            <w:tcBorders>
              <w:top w:val="single" w:color="auto" w:sz="4" w:space="0"/>
              <w:right w:val="single" w:color="auto" w:sz="4" w:space="0"/>
            </w:tcBorders>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道路等露天区域</w:t>
            </w:r>
          </w:p>
        </w:tc>
        <w:tc>
          <w:tcPr>
            <w:tcW w:w="2162" w:type="dxa"/>
            <w:tcBorders>
              <w:top w:val="single" w:color="auto" w:sz="4" w:space="0"/>
              <w:left w:val="single" w:color="auto" w:sz="4" w:space="0"/>
              <w:right w:val="single" w:color="auto" w:sz="4" w:space="0"/>
            </w:tcBorders>
            <w:vAlign w:val="center"/>
          </w:tcPr>
          <w:p>
            <w:pPr>
              <w:pStyle w:val="238"/>
              <w:tabs>
                <w:tab w:val="left" w:pos="1134"/>
                <w:tab w:val="left" w:pos="1418"/>
              </w:tabs>
              <w:ind w:firstLine="0" w:firstLineChars="0"/>
              <w:jc w:val="left"/>
              <w:rPr>
                <w:rFonts w:ascii="宋体" w:hAnsi="宋体" w:cs="宋体"/>
                <w:kern w:val="0"/>
                <w:sz w:val="21"/>
                <w:szCs w:val="21"/>
              </w:rPr>
            </w:pPr>
            <w:r>
              <w:rPr>
                <w:rFonts w:hint="eastAsia" w:ascii="宋体" w:hAnsi="宋体" w:cs="宋体"/>
                <w:kern w:val="0"/>
                <w:sz w:val="21"/>
                <w:szCs w:val="21"/>
              </w:rPr>
              <w:t>地面</w:t>
            </w:r>
          </w:p>
        </w:tc>
        <w:tc>
          <w:tcPr>
            <w:tcW w:w="2268" w:type="dxa"/>
            <w:tcBorders>
              <w:left w:val="single" w:color="auto" w:sz="4" w:space="0"/>
            </w:tcBorders>
            <w:vAlign w:val="center"/>
          </w:tcPr>
          <w:p>
            <w:pPr>
              <w:pStyle w:val="238"/>
              <w:tabs>
                <w:tab w:val="left" w:pos="1134"/>
                <w:tab w:val="left" w:pos="1418"/>
              </w:tabs>
              <w:ind w:firstLine="0" w:firstLineChars="0"/>
              <w:jc w:val="left"/>
              <w:rPr>
                <w:rFonts w:ascii="宋体" w:hAnsi="宋体" w:cs="宋体"/>
                <w:kern w:val="0"/>
                <w:sz w:val="21"/>
                <w:szCs w:val="21"/>
              </w:rPr>
            </w:pPr>
            <w:r>
              <w:rPr>
                <w:rFonts w:hint="eastAsia" w:ascii="宋体" w:hAnsi="宋体" w:cs="宋体"/>
                <w:kern w:val="0"/>
                <w:sz w:val="21"/>
                <w:szCs w:val="21"/>
              </w:rPr>
              <w:t>无垃圾杂物、无积水</w:t>
            </w:r>
          </w:p>
        </w:tc>
        <w:tc>
          <w:tcPr>
            <w:tcW w:w="976" w:type="dxa"/>
            <w:vAlign w:val="top"/>
          </w:tcPr>
          <w:p>
            <w:pPr>
              <w:pStyle w:val="238"/>
              <w:tabs>
                <w:tab w:val="left" w:pos="1134"/>
                <w:tab w:val="left" w:pos="1418"/>
              </w:tabs>
              <w:ind w:firstLine="0" w:firstLineChars="0"/>
              <w:rPr>
                <w:rFonts w:hint="eastAsia" w:ascii="宋体" w:hAnsi="宋体" w:cs="宋体"/>
                <w:kern w:val="0"/>
                <w:sz w:val="21"/>
                <w:szCs w:val="21"/>
              </w:rPr>
            </w:pPr>
            <w:r>
              <w:rPr>
                <w:rFonts w:hint="eastAsia" w:ascii="宋体" w:hAnsi="宋体" w:cs="宋体"/>
                <w:kern w:val="0"/>
                <w:sz w:val="21"/>
                <w:szCs w:val="21"/>
              </w:rPr>
              <w:t>10</w:t>
            </w:r>
          </w:p>
        </w:tc>
        <w:tc>
          <w:tcPr>
            <w:tcW w:w="2409" w:type="dxa"/>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一处不符扣0.5分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jc w:val="center"/>
        </w:trPr>
        <w:tc>
          <w:tcPr>
            <w:tcW w:w="1023" w:type="dxa"/>
            <w:vMerge w:val="continue"/>
            <w:vAlign w:val="top"/>
          </w:tcPr>
          <w:p>
            <w:pPr>
              <w:pStyle w:val="238"/>
              <w:tabs>
                <w:tab w:val="left" w:pos="1134"/>
                <w:tab w:val="left" w:pos="1418"/>
              </w:tabs>
              <w:rPr>
                <w:rFonts w:ascii="宋体" w:hAnsi="宋体" w:cs="宋体"/>
                <w:kern w:val="0"/>
                <w:sz w:val="21"/>
                <w:szCs w:val="21"/>
              </w:rPr>
            </w:pPr>
          </w:p>
        </w:tc>
        <w:tc>
          <w:tcPr>
            <w:tcW w:w="1046" w:type="dxa"/>
            <w:vMerge w:val="continue"/>
            <w:tcBorders>
              <w:right w:val="single" w:color="auto" w:sz="4" w:space="0"/>
            </w:tcBorders>
            <w:vAlign w:val="top"/>
          </w:tcPr>
          <w:p>
            <w:pPr>
              <w:pStyle w:val="238"/>
              <w:tabs>
                <w:tab w:val="left" w:pos="1134"/>
                <w:tab w:val="left" w:pos="1418"/>
              </w:tabs>
              <w:rPr>
                <w:rFonts w:ascii="宋体" w:hAnsi="宋体" w:cs="宋体"/>
                <w:kern w:val="0"/>
                <w:sz w:val="21"/>
                <w:szCs w:val="21"/>
              </w:rPr>
            </w:pPr>
          </w:p>
        </w:tc>
        <w:tc>
          <w:tcPr>
            <w:tcW w:w="2162" w:type="dxa"/>
            <w:tcBorders>
              <w:left w:val="single" w:color="auto" w:sz="4" w:space="0"/>
              <w:bottom w:val="single" w:color="auto" w:sz="4" w:space="0"/>
              <w:right w:val="single" w:color="auto" w:sz="4" w:space="0"/>
            </w:tcBorders>
            <w:vAlign w:val="center"/>
          </w:tcPr>
          <w:p>
            <w:pPr>
              <w:pStyle w:val="238"/>
              <w:tabs>
                <w:tab w:val="left" w:pos="1134"/>
                <w:tab w:val="left" w:pos="1418"/>
              </w:tabs>
              <w:ind w:firstLine="0" w:firstLineChars="0"/>
              <w:jc w:val="left"/>
              <w:rPr>
                <w:rFonts w:ascii="宋体" w:hAnsi="宋体" w:cs="宋体"/>
                <w:kern w:val="0"/>
                <w:sz w:val="21"/>
                <w:szCs w:val="21"/>
              </w:rPr>
            </w:pPr>
            <w:r>
              <w:rPr>
                <w:rFonts w:hint="eastAsia" w:ascii="宋体" w:hAnsi="宋体" w:cs="宋体"/>
                <w:kern w:val="0"/>
                <w:sz w:val="21"/>
                <w:szCs w:val="21"/>
              </w:rPr>
              <w:t>通道</w:t>
            </w:r>
          </w:p>
        </w:tc>
        <w:tc>
          <w:tcPr>
            <w:tcW w:w="2268" w:type="dxa"/>
            <w:tcBorders>
              <w:left w:val="single" w:color="auto" w:sz="4" w:space="0"/>
              <w:bottom w:val="single" w:color="auto" w:sz="4" w:space="0"/>
            </w:tcBorders>
            <w:vAlign w:val="center"/>
          </w:tcPr>
          <w:p>
            <w:pPr>
              <w:pStyle w:val="238"/>
              <w:tabs>
                <w:tab w:val="left" w:pos="1134"/>
                <w:tab w:val="left" w:pos="1418"/>
              </w:tabs>
              <w:ind w:firstLine="0" w:firstLineChars="0"/>
              <w:jc w:val="left"/>
              <w:rPr>
                <w:rFonts w:ascii="宋体" w:hAnsi="宋体" w:cs="宋体"/>
                <w:kern w:val="0"/>
                <w:sz w:val="21"/>
                <w:szCs w:val="21"/>
              </w:rPr>
            </w:pPr>
            <w:r>
              <w:rPr>
                <w:rFonts w:hint="eastAsia" w:ascii="宋体" w:hAnsi="宋体" w:cs="宋体"/>
                <w:kern w:val="0"/>
                <w:sz w:val="21"/>
                <w:szCs w:val="21"/>
              </w:rPr>
              <w:t>整洁、无杂物堆积</w:t>
            </w:r>
          </w:p>
        </w:tc>
        <w:tc>
          <w:tcPr>
            <w:tcW w:w="976" w:type="dxa"/>
            <w:vAlign w:val="top"/>
          </w:tcPr>
          <w:p>
            <w:pPr>
              <w:pStyle w:val="238"/>
              <w:tabs>
                <w:tab w:val="left" w:pos="1134"/>
                <w:tab w:val="left" w:pos="1418"/>
              </w:tabs>
              <w:ind w:firstLine="0" w:firstLineChars="0"/>
              <w:rPr>
                <w:rFonts w:hint="eastAsia" w:ascii="宋体" w:hAnsi="宋体" w:cs="宋体"/>
                <w:kern w:val="0"/>
                <w:sz w:val="21"/>
                <w:szCs w:val="21"/>
              </w:rPr>
            </w:pPr>
            <w:r>
              <w:rPr>
                <w:rFonts w:hint="eastAsia" w:ascii="宋体" w:hAnsi="宋体" w:cs="宋体"/>
                <w:kern w:val="0"/>
                <w:sz w:val="21"/>
                <w:szCs w:val="21"/>
              </w:rPr>
              <w:t>5</w:t>
            </w:r>
          </w:p>
        </w:tc>
        <w:tc>
          <w:tcPr>
            <w:tcW w:w="2409" w:type="dxa"/>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一处不符扣0.5分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23" w:type="dxa"/>
            <w:vMerge w:val="continue"/>
            <w:vAlign w:val="top"/>
          </w:tcPr>
          <w:p>
            <w:pPr>
              <w:pStyle w:val="238"/>
              <w:tabs>
                <w:tab w:val="left" w:pos="1134"/>
                <w:tab w:val="left" w:pos="1418"/>
              </w:tabs>
              <w:rPr>
                <w:rFonts w:ascii="宋体" w:hAnsi="宋体" w:cs="宋体"/>
                <w:kern w:val="0"/>
                <w:sz w:val="21"/>
                <w:szCs w:val="21"/>
              </w:rPr>
            </w:pPr>
          </w:p>
        </w:tc>
        <w:tc>
          <w:tcPr>
            <w:tcW w:w="1046" w:type="dxa"/>
            <w:tcBorders>
              <w:top w:val="single" w:color="auto" w:sz="4" w:space="0"/>
              <w:bottom w:val="single" w:color="auto" w:sz="4" w:space="0"/>
              <w:right w:val="single" w:color="auto" w:sz="4" w:space="0"/>
            </w:tcBorders>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垃圾收集</w:t>
            </w:r>
          </w:p>
        </w:tc>
        <w:tc>
          <w:tcPr>
            <w:tcW w:w="4430" w:type="dxa"/>
            <w:gridSpan w:val="2"/>
            <w:tcBorders>
              <w:top w:val="single" w:color="auto" w:sz="4" w:space="0"/>
              <w:left w:val="single" w:color="auto" w:sz="4" w:space="0"/>
              <w:bottom w:val="single" w:color="auto" w:sz="4" w:space="0"/>
            </w:tcBorders>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垃圾桶存量不超过上沿、垃圾不在桶内过夜；无法装入桶内的物品要及时清理</w:t>
            </w:r>
          </w:p>
        </w:tc>
        <w:tc>
          <w:tcPr>
            <w:tcW w:w="976" w:type="dxa"/>
            <w:vAlign w:val="top"/>
          </w:tcPr>
          <w:p>
            <w:pPr>
              <w:pStyle w:val="238"/>
              <w:tabs>
                <w:tab w:val="left" w:pos="1134"/>
                <w:tab w:val="left" w:pos="1418"/>
              </w:tabs>
              <w:ind w:firstLine="0" w:firstLineChars="0"/>
              <w:rPr>
                <w:rFonts w:hint="eastAsia" w:ascii="宋体" w:hAnsi="宋体" w:cs="宋体"/>
                <w:kern w:val="0"/>
                <w:sz w:val="21"/>
                <w:szCs w:val="21"/>
              </w:rPr>
            </w:pPr>
            <w:r>
              <w:rPr>
                <w:rFonts w:hint="eastAsia" w:ascii="宋体" w:hAnsi="宋体" w:cs="宋体"/>
                <w:kern w:val="0"/>
                <w:sz w:val="21"/>
                <w:szCs w:val="21"/>
              </w:rPr>
              <w:t>10</w:t>
            </w:r>
          </w:p>
        </w:tc>
        <w:tc>
          <w:tcPr>
            <w:tcW w:w="2409" w:type="dxa"/>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一处不符扣0.5分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23" w:type="dxa"/>
            <w:vMerge w:val="continue"/>
            <w:vAlign w:val="top"/>
          </w:tcPr>
          <w:p>
            <w:pPr>
              <w:pStyle w:val="238"/>
              <w:tabs>
                <w:tab w:val="left" w:pos="1134"/>
                <w:tab w:val="left" w:pos="1418"/>
              </w:tabs>
              <w:rPr>
                <w:rFonts w:ascii="宋体" w:hAnsi="宋体" w:cs="宋体"/>
                <w:kern w:val="0"/>
                <w:sz w:val="21"/>
                <w:szCs w:val="21"/>
              </w:rPr>
            </w:pPr>
          </w:p>
        </w:tc>
        <w:tc>
          <w:tcPr>
            <w:tcW w:w="1046" w:type="dxa"/>
            <w:tcBorders>
              <w:top w:val="single" w:color="auto" w:sz="4" w:space="0"/>
              <w:bottom w:val="single" w:color="auto" w:sz="4" w:space="0"/>
              <w:right w:val="single" w:color="auto" w:sz="4" w:space="0"/>
            </w:tcBorders>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保洁工具摆放</w:t>
            </w:r>
          </w:p>
        </w:tc>
        <w:tc>
          <w:tcPr>
            <w:tcW w:w="4430" w:type="dxa"/>
            <w:gridSpan w:val="2"/>
            <w:tcBorders>
              <w:top w:val="single" w:color="auto" w:sz="4" w:space="0"/>
              <w:left w:val="single" w:color="auto" w:sz="4" w:space="0"/>
              <w:bottom w:val="single" w:color="auto" w:sz="4" w:space="0"/>
            </w:tcBorders>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摆放整齐、无异味</w:t>
            </w:r>
          </w:p>
        </w:tc>
        <w:tc>
          <w:tcPr>
            <w:tcW w:w="976" w:type="dxa"/>
            <w:vAlign w:val="top"/>
          </w:tcPr>
          <w:p>
            <w:pPr>
              <w:pStyle w:val="238"/>
              <w:tabs>
                <w:tab w:val="left" w:pos="1134"/>
                <w:tab w:val="left" w:pos="1418"/>
              </w:tabs>
              <w:ind w:firstLine="0" w:firstLineChars="0"/>
              <w:rPr>
                <w:rFonts w:hint="eastAsia" w:ascii="宋体" w:hAnsi="宋体" w:cs="宋体"/>
                <w:kern w:val="0"/>
                <w:sz w:val="21"/>
                <w:szCs w:val="21"/>
              </w:rPr>
            </w:pPr>
            <w:r>
              <w:rPr>
                <w:rFonts w:hint="eastAsia" w:ascii="宋体" w:hAnsi="宋体" w:cs="宋体"/>
                <w:kern w:val="0"/>
                <w:sz w:val="21"/>
                <w:szCs w:val="21"/>
              </w:rPr>
              <w:t>10</w:t>
            </w:r>
          </w:p>
        </w:tc>
        <w:tc>
          <w:tcPr>
            <w:tcW w:w="2409" w:type="dxa"/>
            <w:vAlign w:val="center"/>
          </w:tcPr>
          <w:p>
            <w:pPr>
              <w:pStyle w:val="238"/>
              <w:tabs>
                <w:tab w:val="left" w:pos="1134"/>
                <w:tab w:val="left" w:pos="1418"/>
              </w:tabs>
              <w:ind w:firstLine="0" w:firstLineChars="0"/>
              <w:rPr>
                <w:rFonts w:ascii="宋体" w:hAnsi="宋体" w:cs="宋体"/>
                <w:kern w:val="0"/>
                <w:sz w:val="21"/>
                <w:szCs w:val="21"/>
              </w:rPr>
            </w:pPr>
            <w:r>
              <w:rPr>
                <w:rFonts w:hint="eastAsia" w:ascii="宋体" w:hAnsi="宋体" w:cs="宋体"/>
                <w:kern w:val="0"/>
                <w:sz w:val="21"/>
                <w:szCs w:val="21"/>
              </w:rPr>
              <w:t>一次不符扣0.5分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69" w:type="dxa"/>
            <w:gridSpan w:val="2"/>
            <w:tcBorders>
              <w:right w:val="single" w:color="auto" w:sz="4" w:space="0"/>
            </w:tcBorders>
            <w:vAlign w:val="top"/>
          </w:tcPr>
          <w:p>
            <w:pPr>
              <w:pStyle w:val="238"/>
              <w:tabs>
                <w:tab w:val="left" w:pos="1134"/>
                <w:tab w:val="left" w:pos="1418"/>
              </w:tabs>
              <w:ind w:firstLine="0" w:firstLineChars="0"/>
              <w:rPr>
                <w:rFonts w:ascii="宋体" w:hAnsi="宋体" w:cs="宋体"/>
                <w:kern w:val="0"/>
                <w:sz w:val="21"/>
                <w:szCs w:val="21"/>
                <w:lang w:val="zh-CN"/>
              </w:rPr>
            </w:pPr>
            <w:r>
              <w:rPr>
                <w:rFonts w:hint="eastAsia" w:ascii="宋体" w:hAnsi="宋体" w:cs="宋体"/>
                <w:kern w:val="0"/>
                <w:sz w:val="21"/>
                <w:szCs w:val="21"/>
                <w:lang w:val="zh-CN"/>
              </w:rPr>
              <w:t>服务满意度测评</w:t>
            </w:r>
          </w:p>
        </w:tc>
        <w:tc>
          <w:tcPr>
            <w:tcW w:w="4430" w:type="dxa"/>
            <w:gridSpan w:val="2"/>
            <w:tcBorders>
              <w:top w:val="single" w:color="auto" w:sz="4" w:space="0"/>
              <w:left w:val="single" w:color="auto" w:sz="4" w:space="0"/>
              <w:bottom w:val="single" w:color="auto" w:sz="4" w:space="0"/>
            </w:tcBorders>
            <w:vAlign w:val="center"/>
          </w:tcPr>
          <w:p>
            <w:pPr>
              <w:pStyle w:val="238"/>
              <w:tabs>
                <w:tab w:val="left" w:pos="1134"/>
                <w:tab w:val="left" w:pos="1418"/>
              </w:tabs>
              <w:ind w:firstLine="0" w:firstLineChars="0"/>
              <w:rPr>
                <w:rFonts w:ascii="宋体" w:hAnsi="宋体" w:cs="宋体"/>
                <w:kern w:val="0"/>
                <w:sz w:val="21"/>
                <w:szCs w:val="21"/>
                <w:lang w:val="zh-CN"/>
              </w:rPr>
            </w:pPr>
            <w:r>
              <w:rPr>
                <w:rFonts w:hint="eastAsia" w:ascii="宋体" w:hAnsi="宋体" w:cs="宋体"/>
                <w:kern w:val="0"/>
                <w:sz w:val="21"/>
                <w:szCs w:val="21"/>
                <w:lang w:val="zh-CN"/>
              </w:rPr>
              <w:t>用户满意度达90%以上</w:t>
            </w:r>
          </w:p>
        </w:tc>
        <w:tc>
          <w:tcPr>
            <w:tcW w:w="976" w:type="dxa"/>
            <w:vAlign w:val="top"/>
          </w:tcPr>
          <w:p>
            <w:pPr>
              <w:pStyle w:val="238"/>
              <w:tabs>
                <w:tab w:val="left" w:pos="1134"/>
                <w:tab w:val="left" w:pos="1418"/>
              </w:tabs>
              <w:ind w:firstLine="0" w:firstLineChars="0"/>
              <w:rPr>
                <w:rFonts w:hint="eastAsia" w:ascii="宋体" w:hAnsi="宋体" w:cs="宋体"/>
                <w:kern w:val="0"/>
                <w:sz w:val="21"/>
                <w:szCs w:val="21"/>
                <w:lang w:val="zh-CN"/>
              </w:rPr>
            </w:pPr>
            <w:r>
              <w:rPr>
                <w:rFonts w:hint="eastAsia" w:ascii="宋体" w:hAnsi="宋体" w:cs="宋体"/>
                <w:kern w:val="0"/>
                <w:sz w:val="21"/>
                <w:szCs w:val="21"/>
                <w:lang w:val="zh-CN"/>
              </w:rPr>
              <w:t>20</w:t>
            </w:r>
          </w:p>
        </w:tc>
        <w:tc>
          <w:tcPr>
            <w:tcW w:w="2409" w:type="dxa"/>
            <w:vAlign w:val="center"/>
          </w:tcPr>
          <w:p>
            <w:pPr>
              <w:pStyle w:val="238"/>
              <w:tabs>
                <w:tab w:val="left" w:pos="1134"/>
                <w:tab w:val="left" w:pos="1418"/>
              </w:tabs>
              <w:ind w:firstLine="0" w:firstLineChars="0"/>
              <w:rPr>
                <w:rFonts w:ascii="宋体" w:hAnsi="宋体" w:cs="宋体"/>
                <w:kern w:val="0"/>
                <w:sz w:val="21"/>
                <w:szCs w:val="21"/>
                <w:lang w:val="zh-CN"/>
              </w:rPr>
            </w:pPr>
            <w:r>
              <w:rPr>
                <w:rFonts w:hint="eastAsia" w:ascii="宋体" w:hAnsi="宋体" w:cs="宋体"/>
                <w:kern w:val="0"/>
                <w:sz w:val="21"/>
                <w:szCs w:val="21"/>
                <w:lang w:val="zh-CN"/>
              </w:rPr>
              <w:t>一次不符扣0.5分</w:t>
            </w:r>
          </w:p>
        </w:tc>
      </w:tr>
    </w:tbl>
    <w:p>
      <w:pPr>
        <w:spacing w:line="480" w:lineRule="exact"/>
        <w:jc w:val="both"/>
        <w:rPr>
          <w:rFonts w:hint="eastAsia" w:ascii="宋体" w:hAnsi="宋体" w:cs="宋体"/>
          <w:bCs/>
          <w:sz w:val="30"/>
          <w:szCs w:val="30"/>
        </w:rPr>
      </w:pPr>
    </w:p>
    <w:p>
      <w:pPr>
        <w:spacing w:line="480" w:lineRule="exact"/>
        <w:jc w:val="both"/>
        <w:rPr>
          <w:rFonts w:hint="eastAsia" w:ascii="宋体" w:hAnsi="宋体" w:eastAsia="宋体" w:cs="宋体"/>
          <w:b/>
          <w:bCs w:val="0"/>
          <w:sz w:val="30"/>
          <w:szCs w:val="30"/>
          <w:lang w:eastAsia="zh-CN"/>
        </w:rPr>
      </w:pPr>
      <w:r>
        <w:rPr>
          <w:rFonts w:hint="eastAsia" w:ascii="宋体" w:hAnsi="宋体" w:cs="宋体"/>
          <w:b/>
          <w:bCs w:val="0"/>
          <w:sz w:val="30"/>
          <w:szCs w:val="30"/>
        </w:rPr>
        <w:t>物业服务方案</w:t>
      </w:r>
      <w:r>
        <w:rPr>
          <w:rFonts w:hint="eastAsia" w:ascii="宋体" w:hAnsi="宋体" w:cs="宋体"/>
          <w:b/>
          <w:bCs w:val="0"/>
          <w:sz w:val="30"/>
          <w:szCs w:val="30"/>
          <w:lang w:eastAsia="zh-CN"/>
        </w:rPr>
        <w:t>及要求</w:t>
      </w:r>
    </w:p>
    <w:p>
      <w:pPr>
        <w:spacing w:line="480" w:lineRule="exact"/>
        <w:rPr>
          <w:rFonts w:hint="eastAsia" w:ascii="宋体" w:hAnsi="宋体" w:cs="宋体"/>
          <w:b/>
          <w:sz w:val="30"/>
          <w:szCs w:val="30"/>
        </w:rPr>
      </w:pPr>
    </w:p>
    <w:p>
      <w:pPr>
        <w:spacing w:line="480" w:lineRule="exact"/>
        <w:rPr>
          <w:rFonts w:hint="eastAsia" w:ascii="宋体" w:hAnsi="宋体" w:cs="宋体"/>
          <w:b/>
          <w:bCs w:val="0"/>
          <w:sz w:val="30"/>
          <w:szCs w:val="30"/>
        </w:rPr>
      </w:pPr>
      <w:r>
        <w:rPr>
          <w:rFonts w:hint="eastAsia" w:ascii="宋体" w:hAnsi="宋体" w:cs="宋体"/>
          <w:b/>
          <w:bCs w:val="0"/>
          <w:sz w:val="30"/>
          <w:szCs w:val="30"/>
        </w:rPr>
        <w:t>一、秩序维护服务标准</w:t>
      </w:r>
    </w:p>
    <w:p>
      <w:pPr>
        <w:spacing w:line="420" w:lineRule="exact"/>
        <w:ind w:firstLine="600" w:firstLineChars="200"/>
        <w:rPr>
          <w:rFonts w:hint="eastAsia"/>
          <w:sz w:val="30"/>
          <w:szCs w:val="30"/>
        </w:rPr>
      </w:pPr>
      <w:r>
        <w:rPr>
          <w:rFonts w:hint="eastAsia"/>
          <w:sz w:val="30"/>
          <w:szCs w:val="30"/>
        </w:rPr>
        <w:t>（1）秩序维护人员55岁以下（无违法犯罪前科、无吸毒史），初中以上文化程度，着制服、佩戴工牌、配置安防器械、标志明显。</w:t>
      </w:r>
    </w:p>
    <w:p>
      <w:pPr>
        <w:spacing w:line="420" w:lineRule="exact"/>
        <w:ind w:firstLine="600" w:firstLineChars="200"/>
        <w:rPr>
          <w:rFonts w:hint="eastAsia"/>
          <w:sz w:val="30"/>
          <w:szCs w:val="30"/>
        </w:rPr>
      </w:pPr>
      <w:r>
        <w:rPr>
          <w:rFonts w:hint="eastAsia"/>
          <w:sz w:val="30"/>
          <w:szCs w:val="30"/>
        </w:rPr>
        <w:t>（2）做到文明礼貌、谈吐文雅、遵章守约、衣冠整洁、举止大方、动作雅观、称呼得当。</w:t>
      </w:r>
    </w:p>
    <w:p>
      <w:pPr>
        <w:spacing w:line="420" w:lineRule="exact"/>
        <w:ind w:firstLine="600" w:firstLineChars="200"/>
        <w:rPr>
          <w:rFonts w:hint="eastAsia"/>
          <w:sz w:val="30"/>
          <w:szCs w:val="30"/>
        </w:rPr>
      </w:pPr>
      <w:r>
        <w:rPr>
          <w:rFonts w:hint="eastAsia"/>
          <w:sz w:val="30"/>
          <w:szCs w:val="30"/>
        </w:rPr>
        <w:t>（3）国家法定工作日保证至少2名秩序维护员在门口值班，维护门岗物品、人员进出秩序、车辆进出停放秩序；院内秩序维护、院内消防、治安巡查；物品出门实行凭条核实登记制度，外来人员进出实行核实登记制度（询问、盘查、核实、登记）；突发性群体性上访事件、治安事件、刑事案件的前期秩序维护及前期处置；做好来访来电的咨询并记录在案；每天做好值班室交接班记录。</w:t>
      </w:r>
    </w:p>
    <w:p>
      <w:pPr>
        <w:spacing w:line="420" w:lineRule="exact"/>
        <w:ind w:firstLine="600" w:firstLineChars="200"/>
        <w:rPr>
          <w:rFonts w:hint="eastAsia"/>
          <w:sz w:val="30"/>
          <w:szCs w:val="30"/>
        </w:rPr>
      </w:pPr>
      <w:r>
        <w:rPr>
          <w:rFonts w:hint="eastAsia"/>
          <w:sz w:val="30"/>
          <w:szCs w:val="30"/>
        </w:rPr>
        <w:t>（4）负责报刊、杂志、信件的收发登记工作，门前三包工作。</w:t>
      </w:r>
    </w:p>
    <w:p>
      <w:pPr>
        <w:spacing w:line="420" w:lineRule="exact"/>
        <w:ind w:firstLine="600" w:firstLineChars="200"/>
        <w:rPr>
          <w:rFonts w:hint="eastAsia"/>
          <w:sz w:val="30"/>
          <w:szCs w:val="30"/>
        </w:rPr>
      </w:pPr>
      <w:r>
        <w:rPr>
          <w:rFonts w:hint="eastAsia"/>
          <w:sz w:val="30"/>
          <w:szCs w:val="30"/>
        </w:rPr>
        <w:t>（5）秩序维护人员24小时值班，所有服务人员的联系方式交幸福街道办事处一份，以备紧急事件能够联系。24小时值班不因双休与节假日而中断。</w:t>
      </w:r>
    </w:p>
    <w:p>
      <w:pPr>
        <w:spacing w:line="420" w:lineRule="exact"/>
        <w:ind w:firstLine="600" w:firstLineChars="200"/>
        <w:rPr>
          <w:rFonts w:hint="eastAsia"/>
          <w:sz w:val="30"/>
          <w:szCs w:val="30"/>
        </w:rPr>
      </w:pPr>
      <w:r>
        <w:rPr>
          <w:rFonts w:hint="eastAsia"/>
          <w:sz w:val="30"/>
          <w:szCs w:val="30"/>
        </w:rPr>
        <w:t>（6）负责24小时不间断安全巡逻工作，保障工作人员人身与物品安全，保障办事处内公共设施完好，营造良好的秩序环境。</w:t>
      </w:r>
    </w:p>
    <w:p>
      <w:pPr>
        <w:spacing w:line="420" w:lineRule="exact"/>
        <w:ind w:firstLine="600" w:firstLineChars="200"/>
        <w:rPr>
          <w:rFonts w:hint="eastAsia"/>
          <w:sz w:val="30"/>
          <w:szCs w:val="30"/>
        </w:rPr>
      </w:pPr>
      <w:r>
        <w:rPr>
          <w:rFonts w:hint="eastAsia"/>
          <w:sz w:val="30"/>
          <w:szCs w:val="30"/>
        </w:rPr>
        <w:t>（7）开展意见调查，物业定期（每季度或半年）发放意见调查表，征求办事处工作人员意见，了解对物业管理的需求，提供及时、周到、方便的物业管理服务。</w:t>
      </w:r>
    </w:p>
    <w:p>
      <w:pPr>
        <w:spacing w:line="420" w:lineRule="exact"/>
        <w:ind w:firstLine="600" w:firstLineChars="200"/>
        <w:rPr>
          <w:rFonts w:hint="eastAsia"/>
          <w:sz w:val="30"/>
          <w:szCs w:val="30"/>
        </w:rPr>
      </w:pPr>
      <w:r>
        <w:rPr>
          <w:rFonts w:hint="eastAsia"/>
          <w:sz w:val="30"/>
          <w:szCs w:val="30"/>
        </w:rPr>
        <w:t>（8）在完成本职工作的前提下，协助办事处处理临时事务。</w:t>
      </w:r>
    </w:p>
    <w:p>
      <w:pPr>
        <w:spacing w:line="480" w:lineRule="exact"/>
        <w:ind w:firstLine="533" w:firstLineChars="177"/>
        <w:rPr>
          <w:rFonts w:hint="eastAsia" w:ascii="宋体" w:hAnsi="宋体" w:cs="宋体"/>
          <w:b/>
          <w:sz w:val="30"/>
          <w:szCs w:val="30"/>
        </w:rPr>
      </w:pPr>
      <w:r>
        <w:rPr>
          <w:rFonts w:hint="eastAsia" w:ascii="宋体" w:hAnsi="宋体" w:cs="宋体"/>
          <w:b/>
          <w:sz w:val="30"/>
          <w:szCs w:val="30"/>
        </w:rPr>
        <w:t>二、保洁服务标准</w:t>
      </w:r>
    </w:p>
    <w:p>
      <w:pPr>
        <w:spacing w:line="420" w:lineRule="exact"/>
        <w:ind w:firstLine="600" w:firstLineChars="200"/>
        <w:rPr>
          <w:rFonts w:hint="eastAsia"/>
          <w:sz w:val="30"/>
          <w:szCs w:val="30"/>
        </w:rPr>
      </w:pPr>
      <w:r>
        <w:rPr>
          <w:rFonts w:hint="eastAsia"/>
          <w:sz w:val="30"/>
          <w:szCs w:val="30"/>
        </w:rPr>
        <w:t>（1）环境维护人员55岁以下（无违法犯罪前科、无吸毒史），初中以上文化程度，着制服、佩戴工牌。</w:t>
      </w:r>
    </w:p>
    <w:p>
      <w:pPr>
        <w:spacing w:line="420" w:lineRule="exact"/>
        <w:ind w:firstLine="600" w:firstLineChars="200"/>
        <w:rPr>
          <w:rFonts w:hint="eastAsia"/>
          <w:sz w:val="30"/>
          <w:szCs w:val="30"/>
        </w:rPr>
      </w:pPr>
      <w:r>
        <w:rPr>
          <w:rFonts w:hint="eastAsia"/>
          <w:sz w:val="30"/>
          <w:szCs w:val="30"/>
        </w:rPr>
        <w:t>（2）做到文明礼貌、谈吐文雅、遵章守约、衣冠整洁、举止大方、动作雅观、称呼得当。</w:t>
      </w:r>
    </w:p>
    <w:p>
      <w:pPr>
        <w:spacing w:line="420" w:lineRule="exact"/>
        <w:ind w:firstLine="600" w:firstLineChars="200"/>
        <w:rPr>
          <w:rFonts w:hint="eastAsia"/>
          <w:sz w:val="30"/>
          <w:szCs w:val="30"/>
        </w:rPr>
      </w:pPr>
      <w:r>
        <w:rPr>
          <w:rFonts w:hint="eastAsia"/>
          <w:sz w:val="30"/>
          <w:szCs w:val="30"/>
        </w:rPr>
        <w:t>（3）实行低干扰清洁卫生服务，每天8:30前，环境维护人员做好办公楼卫生清理工作，工作时间仅做卫生维护工作。</w:t>
      </w:r>
    </w:p>
    <w:p>
      <w:pPr>
        <w:spacing w:line="420" w:lineRule="exact"/>
        <w:ind w:firstLine="600" w:firstLineChars="200"/>
        <w:rPr>
          <w:rFonts w:hint="eastAsia"/>
          <w:sz w:val="30"/>
          <w:szCs w:val="30"/>
        </w:rPr>
      </w:pPr>
      <w:r>
        <w:rPr>
          <w:rFonts w:hint="eastAsia"/>
          <w:sz w:val="30"/>
          <w:szCs w:val="30"/>
        </w:rPr>
        <w:t>（4）园区内地面道路、环境、绿地和非机动车场：每天全面清扫两遍，早上8:30以前完成全面清扫一次，重点清洗花台栏杆等，下午16:30以后进行全面清扫一次，其他时段每小时巡回保洁和清运垃圾。</w:t>
      </w:r>
    </w:p>
    <w:p>
      <w:pPr>
        <w:spacing w:line="420" w:lineRule="exact"/>
        <w:ind w:firstLine="600" w:firstLineChars="200"/>
        <w:rPr>
          <w:rFonts w:hint="eastAsia"/>
          <w:sz w:val="30"/>
          <w:szCs w:val="30"/>
        </w:rPr>
      </w:pPr>
      <w:r>
        <w:rPr>
          <w:rFonts w:hint="eastAsia"/>
          <w:sz w:val="30"/>
          <w:szCs w:val="30"/>
        </w:rPr>
        <w:t>（5）楼道、走廊及公共场所：早上8:30完成公共区域全面清扫一次，重点清扫楼道、擦抹楼梯扶手等，做好巡回保洁，下午16:30以后完成全面清扫一次，其他时段每小时巡回保洁、清运垃圾，做好每天清扫记录台账。</w:t>
      </w:r>
    </w:p>
    <w:p>
      <w:pPr>
        <w:spacing w:line="420" w:lineRule="exact"/>
        <w:ind w:firstLine="600" w:firstLineChars="200"/>
        <w:rPr>
          <w:rFonts w:hint="eastAsia"/>
          <w:sz w:val="30"/>
          <w:szCs w:val="30"/>
        </w:rPr>
      </w:pPr>
      <w:r>
        <w:rPr>
          <w:rFonts w:hint="eastAsia"/>
          <w:sz w:val="30"/>
          <w:szCs w:val="30"/>
        </w:rPr>
        <w:t>（6）卫生间：每天8:30以前完成清洁一次，期间每小时巡检一次，17:00以后清洁一次、清运垃圾。卫生间要定期施放空气清新剂（清洁球），保持卫生间无异味，做好每天厕所清扫消杀记录台帐。</w:t>
      </w:r>
    </w:p>
    <w:p>
      <w:pPr>
        <w:spacing w:line="420" w:lineRule="exact"/>
        <w:ind w:firstLine="600" w:firstLineChars="200"/>
        <w:rPr>
          <w:rFonts w:hint="eastAsia"/>
          <w:sz w:val="30"/>
          <w:szCs w:val="30"/>
        </w:rPr>
      </w:pPr>
      <w:r>
        <w:rPr>
          <w:rFonts w:hint="eastAsia"/>
          <w:sz w:val="30"/>
          <w:szCs w:val="30"/>
        </w:rPr>
        <w:t>（7）其他公共区域：每天对门框、窗台、消防栓、指示牌、通风井格栏、垃圾桶的清洁工作不少于1次。</w:t>
      </w:r>
    </w:p>
    <w:p>
      <w:pPr>
        <w:spacing w:line="420" w:lineRule="exact"/>
        <w:ind w:firstLine="600" w:firstLineChars="200"/>
        <w:rPr>
          <w:rFonts w:hint="eastAsia"/>
          <w:sz w:val="30"/>
          <w:szCs w:val="30"/>
        </w:rPr>
      </w:pPr>
      <w:r>
        <w:rPr>
          <w:rFonts w:hint="eastAsia"/>
          <w:sz w:val="30"/>
          <w:szCs w:val="30"/>
        </w:rPr>
        <w:t>（8）垃圾的清倒：垃圾清运应做到日产日清，不得将垃圾在园区内放置过夜。</w:t>
      </w:r>
    </w:p>
    <w:p>
      <w:pPr>
        <w:spacing w:line="420" w:lineRule="exact"/>
        <w:ind w:firstLine="600" w:firstLineChars="200"/>
        <w:rPr>
          <w:rFonts w:hint="eastAsia"/>
          <w:sz w:val="30"/>
          <w:szCs w:val="30"/>
        </w:rPr>
      </w:pPr>
      <w:r>
        <w:rPr>
          <w:rFonts w:hint="eastAsia"/>
          <w:sz w:val="30"/>
          <w:szCs w:val="30"/>
        </w:rPr>
        <w:t>（9）园区内绿化、绿草地及花卉、苗木、树木定期维护、养护、浇水、修剪、施肥和病虫害防治等日常管理工作。</w:t>
      </w:r>
    </w:p>
    <w:p>
      <w:pPr>
        <w:spacing w:line="420" w:lineRule="exact"/>
        <w:ind w:firstLine="600" w:firstLineChars="200"/>
        <w:rPr>
          <w:rFonts w:hint="eastAsia"/>
          <w:sz w:val="30"/>
          <w:szCs w:val="30"/>
        </w:rPr>
      </w:pPr>
      <w:r>
        <w:rPr>
          <w:rFonts w:hint="eastAsia"/>
          <w:sz w:val="30"/>
          <w:szCs w:val="30"/>
        </w:rPr>
        <w:t>（10）根据实际情况定期进行消毒和灭虫除害。</w:t>
      </w:r>
    </w:p>
    <w:p>
      <w:pPr>
        <w:spacing w:line="420" w:lineRule="exact"/>
        <w:ind w:firstLine="600" w:firstLineChars="200"/>
        <w:rPr>
          <w:rFonts w:hint="eastAsia"/>
          <w:color w:val="auto"/>
          <w:sz w:val="30"/>
          <w:szCs w:val="30"/>
          <w:highlight w:val="none"/>
        </w:rPr>
      </w:pPr>
      <w:r>
        <w:rPr>
          <w:rFonts w:hint="eastAsia"/>
          <w:sz w:val="30"/>
          <w:szCs w:val="30"/>
        </w:rPr>
        <w:t>（11）玻璃幕墙</w:t>
      </w:r>
      <w:r>
        <w:rPr>
          <w:rFonts w:hint="eastAsia"/>
          <w:sz w:val="30"/>
          <w:szCs w:val="30"/>
          <w:lang w:eastAsia="zh-CN"/>
        </w:rPr>
        <w:t>、</w:t>
      </w:r>
      <w:r>
        <w:rPr>
          <w:rFonts w:hint="eastAsia"/>
          <w:color w:val="auto"/>
          <w:sz w:val="30"/>
          <w:szCs w:val="30"/>
          <w:highlight w:val="none"/>
          <w:lang w:eastAsia="zh-CN"/>
        </w:rPr>
        <w:t>景观水池</w:t>
      </w:r>
      <w:r>
        <w:rPr>
          <w:rFonts w:hint="eastAsia"/>
          <w:color w:val="auto"/>
          <w:sz w:val="30"/>
          <w:szCs w:val="30"/>
          <w:highlight w:val="none"/>
        </w:rPr>
        <w:t>一年全面清洗一次，公区走廊玻璃每</w:t>
      </w:r>
      <w:r>
        <w:rPr>
          <w:rFonts w:hint="eastAsia"/>
          <w:color w:val="auto"/>
          <w:sz w:val="30"/>
          <w:szCs w:val="30"/>
          <w:highlight w:val="none"/>
          <w:lang w:eastAsia="zh-CN"/>
        </w:rPr>
        <w:t>季</w:t>
      </w:r>
      <w:r>
        <w:rPr>
          <w:rFonts w:hint="eastAsia"/>
          <w:color w:val="auto"/>
          <w:sz w:val="30"/>
          <w:szCs w:val="30"/>
          <w:highlight w:val="none"/>
        </w:rPr>
        <w:t>清洗</w:t>
      </w:r>
      <w:r>
        <w:rPr>
          <w:rFonts w:hint="eastAsia"/>
          <w:color w:val="auto"/>
          <w:sz w:val="30"/>
          <w:szCs w:val="30"/>
          <w:highlight w:val="none"/>
          <w:lang w:eastAsia="zh-CN"/>
        </w:rPr>
        <w:t>一次、科室办公室</w:t>
      </w:r>
      <w:r>
        <w:rPr>
          <w:rFonts w:hint="eastAsia"/>
          <w:color w:val="auto"/>
          <w:sz w:val="30"/>
          <w:szCs w:val="30"/>
          <w:highlight w:val="none"/>
        </w:rPr>
        <w:t>玻璃</w:t>
      </w:r>
      <w:r>
        <w:rPr>
          <w:rFonts w:hint="eastAsia"/>
          <w:color w:val="auto"/>
          <w:sz w:val="30"/>
          <w:szCs w:val="30"/>
          <w:highlight w:val="none"/>
          <w:lang w:eastAsia="zh-CN"/>
        </w:rPr>
        <w:t>一年全面清洗两次</w:t>
      </w:r>
      <w:r>
        <w:rPr>
          <w:rFonts w:hint="eastAsia"/>
          <w:color w:val="auto"/>
          <w:sz w:val="30"/>
          <w:szCs w:val="30"/>
          <w:highlight w:val="none"/>
        </w:rPr>
        <w:t>。</w:t>
      </w:r>
    </w:p>
    <w:p>
      <w:pPr>
        <w:spacing w:line="480" w:lineRule="exact"/>
        <w:rPr>
          <w:rFonts w:hint="eastAsia" w:ascii="宋体" w:hAnsi="宋体" w:cs="宋体"/>
          <w:b/>
          <w:sz w:val="30"/>
          <w:szCs w:val="30"/>
        </w:rPr>
      </w:pPr>
      <w:r>
        <w:rPr>
          <w:rFonts w:hint="eastAsia" w:ascii="宋体" w:hAnsi="宋体" w:cs="宋体"/>
          <w:b/>
          <w:sz w:val="30"/>
          <w:szCs w:val="30"/>
        </w:rPr>
        <w:t>三、会议服务标准</w:t>
      </w:r>
    </w:p>
    <w:p>
      <w:pPr>
        <w:spacing w:line="420" w:lineRule="exact"/>
        <w:ind w:firstLine="600" w:firstLineChars="200"/>
        <w:rPr>
          <w:rFonts w:hint="eastAsia"/>
          <w:sz w:val="30"/>
          <w:szCs w:val="30"/>
        </w:rPr>
      </w:pPr>
      <w:r>
        <w:rPr>
          <w:rFonts w:hint="eastAsia"/>
          <w:sz w:val="30"/>
          <w:szCs w:val="30"/>
        </w:rPr>
        <w:t>（1）现场管理兼会务服务人员45 岁以下（无违法犯罪前科、无吸毒史），大专以上文化程度，着制服、佩戴工牌。</w:t>
      </w:r>
    </w:p>
    <w:p>
      <w:pPr>
        <w:spacing w:line="420" w:lineRule="exact"/>
        <w:ind w:firstLine="600" w:firstLineChars="200"/>
        <w:rPr>
          <w:rFonts w:hint="eastAsia"/>
          <w:sz w:val="30"/>
          <w:szCs w:val="30"/>
        </w:rPr>
      </w:pPr>
      <w:r>
        <w:rPr>
          <w:rFonts w:hint="eastAsia"/>
          <w:sz w:val="30"/>
          <w:szCs w:val="30"/>
        </w:rPr>
        <w:t>（2）做到文明礼貌、谈吐文雅、遵章守约、衣冠整洁、举止大方、动作雅观、称呼得当。</w:t>
      </w:r>
    </w:p>
    <w:p>
      <w:pPr>
        <w:spacing w:line="420" w:lineRule="exact"/>
        <w:ind w:firstLine="600" w:firstLineChars="200"/>
        <w:rPr>
          <w:rFonts w:hint="eastAsia"/>
          <w:sz w:val="30"/>
          <w:szCs w:val="30"/>
        </w:rPr>
      </w:pPr>
      <w:r>
        <w:rPr>
          <w:rFonts w:hint="eastAsia"/>
          <w:sz w:val="30"/>
          <w:szCs w:val="30"/>
        </w:rPr>
        <w:t>（3）负责项目现场管理工作，做好项目现场工作的检查和工作纪律的监督。</w:t>
      </w:r>
    </w:p>
    <w:p>
      <w:pPr>
        <w:spacing w:line="420" w:lineRule="exact"/>
        <w:ind w:firstLine="600" w:firstLineChars="200"/>
        <w:rPr>
          <w:rFonts w:hint="eastAsia"/>
          <w:sz w:val="30"/>
          <w:szCs w:val="30"/>
        </w:rPr>
      </w:pPr>
      <w:r>
        <w:rPr>
          <w:rFonts w:hint="eastAsia"/>
          <w:sz w:val="30"/>
          <w:szCs w:val="30"/>
        </w:rPr>
        <w:t>（4）按照幸福街道办事处要求开展会务服务。</w:t>
      </w:r>
    </w:p>
    <w:p>
      <w:pPr>
        <w:spacing w:line="420" w:lineRule="exact"/>
        <w:ind w:firstLine="600" w:firstLineChars="200"/>
        <w:rPr>
          <w:rFonts w:hint="eastAsia"/>
          <w:sz w:val="30"/>
          <w:szCs w:val="30"/>
        </w:rPr>
      </w:pPr>
      <w:r>
        <w:rPr>
          <w:rFonts w:hint="eastAsia"/>
          <w:sz w:val="30"/>
          <w:szCs w:val="30"/>
        </w:rPr>
        <w:t>（5）根据会议安排，做好会议前的准备工作.</w:t>
      </w:r>
    </w:p>
    <w:p>
      <w:pPr>
        <w:spacing w:line="420" w:lineRule="exact"/>
        <w:ind w:firstLine="600" w:firstLineChars="200"/>
        <w:rPr>
          <w:sz w:val="30"/>
          <w:szCs w:val="30"/>
        </w:rPr>
      </w:pPr>
      <w:r>
        <w:rPr>
          <w:rFonts w:hint="eastAsia"/>
          <w:sz w:val="30"/>
          <w:szCs w:val="30"/>
        </w:rPr>
        <w:t>（6）会议服务实行低干扰服务，茶水续添等工作必须避免发出噪音。</w:t>
      </w:r>
    </w:p>
    <w:p>
      <w:pPr>
        <w:spacing w:line="420" w:lineRule="exact"/>
        <w:ind w:firstLine="600" w:firstLineChars="200"/>
        <w:rPr>
          <w:sz w:val="30"/>
          <w:szCs w:val="30"/>
        </w:rPr>
      </w:pPr>
      <w:r>
        <w:rPr>
          <w:rFonts w:hint="eastAsia"/>
          <w:sz w:val="30"/>
          <w:szCs w:val="30"/>
        </w:rPr>
        <w:t>（7）每月提供不超过</w:t>
      </w:r>
      <w:r>
        <w:rPr>
          <w:rFonts w:hint="eastAsia"/>
          <w:color w:val="auto"/>
          <w:sz w:val="30"/>
          <w:szCs w:val="30"/>
          <w:lang w:val="en-US" w:eastAsia="zh-CN"/>
        </w:rPr>
        <w:t>8</w:t>
      </w:r>
      <w:r>
        <w:rPr>
          <w:rFonts w:hint="eastAsia"/>
          <w:color w:val="auto"/>
          <w:sz w:val="30"/>
          <w:szCs w:val="30"/>
        </w:rPr>
        <w:t>次</w:t>
      </w:r>
      <w:r>
        <w:rPr>
          <w:rFonts w:hint="eastAsia"/>
          <w:sz w:val="30"/>
          <w:szCs w:val="30"/>
        </w:rPr>
        <w:t>的高级别专门会议服务或VIP接待服务。</w:t>
      </w:r>
    </w:p>
    <w:p>
      <w:pPr>
        <w:spacing w:line="420" w:lineRule="exact"/>
        <w:ind w:firstLine="600" w:firstLineChars="200"/>
        <w:rPr>
          <w:rFonts w:hint="eastAsia"/>
          <w:sz w:val="30"/>
          <w:szCs w:val="30"/>
        </w:rPr>
      </w:pPr>
      <w:r>
        <w:rPr>
          <w:rFonts w:hint="eastAsia"/>
          <w:sz w:val="30"/>
          <w:szCs w:val="30"/>
        </w:rPr>
        <w:t>（8）每月负责统计下个月现场耗品的需求量，并报街道办事处相关部门。</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bookmarkEnd w:id="409"/>
    <w:bookmarkEnd w:id="410"/>
    <w:p>
      <w:pPr>
        <w:pStyle w:val="2"/>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lETlDRECAAAJBAAADgAAAAAAAAABACAA&#10;AAAfAQAAZHJzL2Uyb0RvYy54bWxQSwUGAAAAAAYABgBZAQAAogU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EC3788"/>
    <w:multiLevelType w:val="singleLevel"/>
    <w:tmpl w:val="DDEC3788"/>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13"/>
    <w:multiLevelType w:val="multilevel"/>
    <w:tmpl w:val="000000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3"/>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6">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42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10">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413"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1">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00000029"/>
    <w:multiLevelType w:val="multilevel"/>
    <w:tmpl w:val="00000029"/>
    <w:lvl w:ilvl="0" w:tentative="0">
      <w:start w:val="1"/>
      <w:numFmt w:val="decimal"/>
      <w:lvlText w:val="%1."/>
      <w:lvlJc w:val="left"/>
      <w:pPr>
        <w:ind w:left="56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4">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5">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7">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3E"/>
    <w:multiLevelType w:val="multilevel"/>
    <w:tmpl w:val="0000003E"/>
    <w:lvl w:ilvl="0" w:tentative="0">
      <w:start w:val="1"/>
      <w:numFmt w:val="chineseCountingThousand"/>
      <w:suff w:val="nothing"/>
      <w:lvlText w:val="%1、"/>
      <w:lvlJc w:val="left"/>
      <w:pPr>
        <w:ind w:left="1272" w:hanging="420"/>
      </w:pPr>
      <w:rPr>
        <w:b/>
        <w:lang w:val="en-US"/>
      </w:rPr>
    </w:lvl>
    <w:lvl w:ilvl="1" w:tentative="0">
      <w:start w:val="1"/>
      <w:numFmt w:val="decimal"/>
      <w:lvlText w:val="%2、"/>
      <w:lvlJc w:val="left"/>
      <w:pPr>
        <w:ind w:left="1693"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9">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43"/>
    <w:multiLevelType w:val="multilevel"/>
    <w:tmpl w:val="00000043"/>
    <w:lvl w:ilvl="0" w:tentative="0">
      <w:start w:val="1"/>
      <w:numFmt w:val="chineseCountingThousand"/>
      <w:lvlText w:val="%1、"/>
      <w:lvlJc w:val="left"/>
      <w:pPr>
        <w:ind w:left="1413" w:hanging="420"/>
      </w:pPr>
      <w:rPr>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21">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2">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3">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4">
    <w:nsid w:val="163F29DE"/>
    <w:multiLevelType w:val="multilevel"/>
    <w:tmpl w:val="163F29DE"/>
    <w:lvl w:ilvl="0" w:tentative="0">
      <w:start w:val="1"/>
      <w:numFmt w:val="chineseCountingThousand"/>
      <w:lvlText w:val="%1、"/>
      <w:lvlJc w:val="left"/>
      <w:pPr>
        <w:ind w:left="1413" w:hanging="420"/>
      </w:pPr>
      <w:rPr>
        <w:rFonts w:ascii="宋体" w:hAnsi="宋体" w:eastAsia="宋体"/>
        <w:sz w:val="28"/>
        <w:szCs w:val="28"/>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5">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6">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7">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8">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9">
    <w:nsid w:val="3424055C"/>
    <w:multiLevelType w:val="multilevel"/>
    <w:tmpl w:val="3424055C"/>
    <w:lvl w:ilvl="0" w:tentative="0">
      <w:start w:val="1"/>
      <w:numFmt w:val="chineseCountingThousand"/>
      <w:lvlText w:val="%1、"/>
      <w:lvlJc w:val="left"/>
      <w:pPr>
        <w:ind w:left="1413" w:hanging="420"/>
      </w:pPr>
      <w:rPr>
        <w:rFonts w:ascii="宋体" w:hAnsi="宋体" w:eastAsia="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61F7C4C"/>
    <w:multiLevelType w:val="multilevel"/>
    <w:tmpl w:val="361F7C4C"/>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32">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3">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4">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5">
    <w:nsid w:val="51F311B1"/>
    <w:multiLevelType w:val="multilevel"/>
    <w:tmpl w:val="51F311B1"/>
    <w:lvl w:ilvl="0" w:tentative="0">
      <w:start w:val="1"/>
      <w:numFmt w:val="chineseCountingThousand"/>
      <w:lvlText w:val="%1、"/>
      <w:lvlJc w:val="left"/>
      <w:pPr>
        <w:ind w:left="96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36">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5B5B1C4A"/>
    <w:multiLevelType w:val="singleLevel"/>
    <w:tmpl w:val="5B5B1C4A"/>
    <w:lvl w:ilvl="0" w:tentative="0">
      <w:start w:val="1"/>
      <w:numFmt w:val="decimal"/>
      <w:suff w:val="nothing"/>
      <w:lvlText w:val="（%1）"/>
      <w:lvlJc w:val="left"/>
    </w:lvl>
  </w:abstractNum>
  <w:abstractNum w:abstractNumId="38">
    <w:nsid w:val="60642B38"/>
    <w:multiLevelType w:val="multilevel"/>
    <w:tmpl w:val="60642B38"/>
    <w:lvl w:ilvl="0" w:tentative="0">
      <w:start w:val="1"/>
      <w:numFmt w:val="chineseCountingThousand"/>
      <w:lvlText w:val="%1、"/>
      <w:lvlJc w:val="left"/>
      <w:pPr>
        <w:ind w:left="840" w:hanging="420"/>
      </w:pPr>
      <w:rPr>
        <w:rFonts w:asciiTheme="minorEastAsia" w:hAnsiTheme="minorEastAsia" w:eastAsiaTheme="minorEastAsia"/>
        <w:b w:val="0"/>
        <w:sz w:val="28"/>
        <w:szCs w:val="28"/>
      </w:r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9">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0">
    <w:nsid w:val="638064AA"/>
    <w:multiLevelType w:val="multilevel"/>
    <w:tmpl w:val="638064AA"/>
    <w:lvl w:ilvl="0" w:tentative="0">
      <w:start w:val="1"/>
      <w:numFmt w:val="japaneseCounting"/>
      <w:lvlText w:val="%1、"/>
      <w:lvlJc w:val="left"/>
      <w:pPr>
        <w:ind w:left="1998"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1">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2">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3">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4">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4"/>
  </w:num>
  <w:num w:numId="2">
    <w:abstractNumId w:val="9"/>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0%e3%80%95235%e5%8f%b7/"/>
  </w:docVars>
  <w:rsids>
    <w:rsidRoot w:val="0092431B"/>
    <w:rsid w:val="00011E2C"/>
    <w:rsid w:val="00017C65"/>
    <w:rsid w:val="00031675"/>
    <w:rsid w:val="00046547"/>
    <w:rsid w:val="00064008"/>
    <w:rsid w:val="00070D3F"/>
    <w:rsid w:val="00071BA9"/>
    <w:rsid w:val="00074CCC"/>
    <w:rsid w:val="0008193D"/>
    <w:rsid w:val="00086C1B"/>
    <w:rsid w:val="000E01D4"/>
    <w:rsid w:val="000E4FBE"/>
    <w:rsid w:val="000F0BF5"/>
    <w:rsid w:val="000F5214"/>
    <w:rsid w:val="00123F07"/>
    <w:rsid w:val="00130037"/>
    <w:rsid w:val="00142C44"/>
    <w:rsid w:val="00147768"/>
    <w:rsid w:val="001500A4"/>
    <w:rsid w:val="0015151D"/>
    <w:rsid w:val="00152E57"/>
    <w:rsid w:val="00153915"/>
    <w:rsid w:val="00171DDA"/>
    <w:rsid w:val="00175DA2"/>
    <w:rsid w:val="001922D3"/>
    <w:rsid w:val="001B34A4"/>
    <w:rsid w:val="001C2698"/>
    <w:rsid w:val="001C4FFA"/>
    <w:rsid w:val="001D392C"/>
    <w:rsid w:val="001D53CF"/>
    <w:rsid w:val="001E13EE"/>
    <w:rsid w:val="001E7B34"/>
    <w:rsid w:val="00214F93"/>
    <w:rsid w:val="00216FB4"/>
    <w:rsid w:val="002303BC"/>
    <w:rsid w:val="002304CC"/>
    <w:rsid w:val="00236C36"/>
    <w:rsid w:val="002441B7"/>
    <w:rsid w:val="0025011B"/>
    <w:rsid w:val="0025205A"/>
    <w:rsid w:val="00257EE4"/>
    <w:rsid w:val="0026015E"/>
    <w:rsid w:val="00266EFB"/>
    <w:rsid w:val="00285456"/>
    <w:rsid w:val="002933F7"/>
    <w:rsid w:val="002A5802"/>
    <w:rsid w:val="003074A8"/>
    <w:rsid w:val="003123B1"/>
    <w:rsid w:val="00327DC2"/>
    <w:rsid w:val="00337989"/>
    <w:rsid w:val="00354C2E"/>
    <w:rsid w:val="00394287"/>
    <w:rsid w:val="003A0F3D"/>
    <w:rsid w:val="003A29C7"/>
    <w:rsid w:val="003F007F"/>
    <w:rsid w:val="003F3F72"/>
    <w:rsid w:val="00410F3C"/>
    <w:rsid w:val="0042015A"/>
    <w:rsid w:val="004215D4"/>
    <w:rsid w:val="0045547F"/>
    <w:rsid w:val="004870EE"/>
    <w:rsid w:val="004A610A"/>
    <w:rsid w:val="004C1B1A"/>
    <w:rsid w:val="004C3093"/>
    <w:rsid w:val="004D49CB"/>
    <w:rsid w:val="004E1C00"/>
    <w:rsid w:val="004E603E"/>
    <w:rsid w:val="00500F25"/>
    <w:rsid w:val="00506303"/>
    <w:rsid w:val="00527A66"/>
    <w:rsid w:val="00545144"/>
    <w:rsid w:val="00563198"/>
    <w:rsid w:val="0057488F"/>
    <w:rsid w:val="005816DE"/>
    <w:rsid w:val="00592A25"/>
    <w:rsid w:val="005E4485"/>
    <w:rsid w:val="00606AFB"/>
    <w:rsid w:val="00610A61"/>
    <w:rsid w:val="006216DE"/>
    <w:rsid w:val="00634D91"/>
    <w:rsid w:val="006408B0"/>
    <w:rsid w:val="00652875"/>
    <w:rsid w:val="00652F59"/>
    <w:rsid w:val="006623DB"/>
    <w:rsid w:val="006B1930"/>
    <w:rsid w:val="006C2309"/>
    <w:rsid w:val="006D0D2A"/>
    <w:rsid w:val="0070048F"/>
    <w:rsid w:val="00702324"/>
    <w:rsid w:val="0073282C"/>
    <w:rsid w:val="00752731"/>
    <w:rsid w:val="00764541"/>
    <w:rsid w:val="007672B0"/>
    <w:rsid w:val="00794228"/>
    <w:rsid w:val="007C3748"/>
    <w:rsid w:val="007C4260"/>
    <w:rsid w:val="007D62B3"/>
    <w:rsid w:val="007E1B96"/>
    <w:rsid w:val="007F6DFD"/>
    <w:rsid w:val="00804CED"/>
    <w:rsid w:val="0081056F"/>
    <w:rsid w:val="00824DA8"/>
    <w:rsid w:val="008253BA"/>
    <w:rsid w:val="00826151"/>
    <w:rsid w:val="008410FC"/>
    <w:rsid w:val="0086125A"/>
    <w:rsid w:val="00862CEA"/>
    <w:rsid w:val="00862D3A"/>
    <w:rsid w:val="00873952"/>
    <w:rsid w:val="00876051"/>
    <w:rsid w:val="008907C8"/>
    <w:rsid w:val="00891F19"/>
    <w:rsid w:val="008B6817"/>
    <w:rsid w:val="008E5E8F"/>
    <w:rsid w:val="0092431B"/>
    <w:rsid w:val="00941F87"/>
    <w:rsid w:val="00944068"/>
    <w:rsid w:val="00950315"/>
    <w:rsid w:val="00955F71"/>
    <w:rsid w:val="00963021"/>
    <w:rsid w:val="00966025"/>
    <w:rsid w:val="00970330"/>
    <w:rsid w:val="00976A7C"/>
    <w:rsid w:val="009A253C"/>
    <w:rsid w:val="009E237A"/>
    <w:rsid w:val="00A00871"/>
    <w:rsid w:val="00A03833"/>
    <w:rsid w:val="00A068BA"/>
    <w:rsid w:val="00A10608"/>
    <w:rsid w:val="00A254C7"/>
    <w:rsid w:val="00A36BBE"/>
    <w:rsid w:val="00A41BDF"/>
    <w:rsid w:val="00A4727E"/>
    <w:rsid w:val="00A5235E"/>
    <w:rsid w:val="00A531AE"/>
    <w:rsid w:val="00A7160C"/>
    <w:rsid w:val="00A739BA"/>
    <w:rsid w:val="00A93C9B"/>
    <w:rsid w:val="00A94D0A"/>
    <w:rsid w:val="00AA3745"/>
    <w:rsid w:val="00AA62B4"/>
    <w:rsid w:val="00AB7617"/>
    <w:rsid w:val="00AC0E68"/>
    <w:rsid w:val="00AD025E"/>
    <w:rsid w:val="00AD5E60"/>
    <w:rsid w:val="00AF35A3"/>
    <w:rsid w:val="00AF3933"/>
    <w:rsid w:val="00B11843"/>
    <w:rsid w:val="00B2194B"/>
    <w:rsid w:val="00B36D21"/>
    <w:rsid w:val="00B50CEA"/>
    <w:rsid w:val="00B547D5"/>
    <w:rsid w:val="00B61C32"/>
    <w:rsid w:val="00B64E3B"/>
    <w:rsid w:val="00B74664"/>
    <w:rsid w:val="00BC3199"/>
    <w:rsid w:val="00BC59BF"/>
    <w:rsid w:val="00BD6746"/>
    <w:rsid w:val="00BE1211"/>
    <w:rsid w:val="00BF6991"/>
    <w:rsid w:val="00C16572"/>
    <w:rsid w:val="00C33A0C"/>
    <w:rsid w:val="00C5371B"/>
    <w:rsid w:val="00C54D07"/>
    <w:rsid w:val="00C56E01"/>
    <w:rsid w:val="00C62AD4"/>
    <w:rsid w:val="00C675B8"/>
    <w:rsid w:val="00C832DD"/>
    <w:rsid w:val="00CC4074"/>
    <w:rsid w:val="00CD0154"/>
    <w:rsid w:val="00CD0E71"/>
    <w:rsid w:val="00CF56C7"/>
    <w:rsid w:val="00D23C3B"/>
    <w:rsid w:val="00D50B2B"/>
    <w:rsid w:val="00D51C67"/>
    <w:rsid w:val="00D623BF"/>
    <w:rsid w:val="00D8071E"/>
    <w:rsid w:val="00DA547E"/>
    <w:rsid w:val="00DB22F1"/>
    <w:rsid w:val="00DD16AF"/>
    <w:rsid w:val="00DD19A0"/>
    <w:rsid w:val="00DE7F5C"/>
    <w:rsid w:val="00E029F6"/>
    <w:rsid w:val="00E17E77"/>
    <w:rsid w:val="00E23EC4"/>
    <w:rsid w:val="00E42AA9"/>
    <w:rsid w:val="00E473C0"/>
    <w:rsid w:val="00E547E7"/>
    <w:rsid w:val="00E5519E"/>
    <w:rsid w:val="00E618FD"/>
    <w:rsid w:val="00E87C88"/>
    <w:rsid w:val="00E922B6"/>
    <w:rsid w:val="00E93BF2"/>
    <w:rsid w:val="00E951E2"/>
    <w:rsid w:val="00EA45D0"/>
    <w:rsid w:val="00F00D97"/>
    <w:rsid w:val="00F24CB6"/>
    <w:rsid w:val="00F26EBF"/>
    <w:rsid w:val="00F525FC"/>
    <w:rsid w:val="00F67D54"/>
    <w:rsid w:val="00F72EEB"/>
    <w:rsid w:val="00F765D9"/>
    <w:rsid w:val="00F8165B"/>
    <w:rsid w:val="00F939A1"/>
    <w:rsid w:val="00FA324E"/>
    <w:rsid w:val="00FB4F2E"/>
    <w:rsid w:val="00FD0C41"/>
    <w:rsid w:val="00FE04E4"/>
    <w:rsid w:val="00FE39D8"/>
    <w:rsid w:val="035A3203"/>
    <w:rsid w:val="03761D55"/>
    <w:rsid w:val="0813143B"/>
    <w:rsid w:val="08BB351B"/>
    <w:rsid w:val="0F496AC1"/>
    <w:rsid w:val="107A54FB"/>
    <w:rsid w:val="11491F72"/>
    <w:rsid w:val="12D80AED"/>
    <w:rsid w:val="1486294F"/>
    <w:rsid w:val="14FF7C09"/>
    <w:rsid w:val="178A595B"/>
    <w:rsid w:val="17F3298D"/>
    <w:rsid w:val="185D56C9"/>
    <w:rsid w:val="190A5598"/>
    <w:rsid w:val="1D90641D"/>
    <w:rsid w:val="1E9D5E34"/>
    <w:rsid w:val="20D718BA"/>
    <w:rsid w:val="21E138EB"/>
    <w:rsid w:val="21E87463"/>
    <w:rsid w:val="230857BD"/>
    <w:rsid w:val="247B4005"/>
    <w:rsid w:val="250C7A53"/>
    <w:rsid w:val="25411B94"/>
    <w:rsid w:val="27E27DF8"/>
    <w:rsid w:val="281A2389"/>
    <w:rsid w:val="28847F42"/>
    <w:rsid w:val="29FC751F"/>
    <w:rsid w:val="2B3D42F9"/>
    <w:rsid w:val="2CE01F1F"/>
    <w:rsid w:val="2D690456"/>
    <w:rsid w:val="2E2937EA"/>
    <w:rsid w:val="2F822F9F"/>
    <w:rsid w:val="33D4797B"/>
    <w:rsid w:val="33F02E02"/>
    <w:rsid w:val="34FB1E7D"/>
    <w:rsid w:val="36A34012"/>
    <w:rsid w:val="37251ECA"/>
    <w:rsid w:val="37E60A32"/>
    <w:rsid w:val="38845FF0"/>
    <w:rsid w:val="3A654A61"/>
    <w:rsid w:val="3E7C2A2E"/>
    <w:rsid w:val="3EB019DC"/>
    <w:rsid w:val="405F2F9B"/>
    <w:rsid w:val="46A43C3A"/>
    <w:rsid w:val="507966F3"/>
    <w:rsid w:val="541E4032"/>
    <w:rsid w:val="542D5005"/>
    <w:rsid w:val="560C0DFE"/>
    <w:rsid w:val="568B57EA"/>
    <w:rsid w:val="56B451AE"/>
    <w:rsid w:val="575E73AC"/>
    <w:rsid w:val="5AC93B29"/>
    <w:rsid w:val="5BB2253B"/>
    <w:rsid w:val="5C9158D1"/>
    <w:rsid w:val="600551F0"/>
    <w:rsid w:val="61CB1A0D"/>
    <w:rsid w:val="63D30592"/>
    <w:rsid w:val="6A543799"/>
    <w:rsid w:val="6DCF754F"/>
    <w:rsid w:val="6DF8148B"/>
    <w:rsid w:val="6E061679"/>
    <w:rsid w:val="6F652459"/>
    <w:rsid w:val="702C6E63"/>
    <w:rsid w:val="70B16E48"/>
    <w:rsid w:val="77D238C0"/>
    <w:rsid w:val="7B877E29"/>
    <w:rsid w:val="7F47432C"/>
    <w:rsid w:val="7F8A1D98"/>
    <w:rsid w:val="7FCD3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nhideWhenUsed="0" w:uiPriority="99" w:semiHidden="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1"/>
    <w:qFormat/>
    <w:uiPriority w:val="9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52"/>
    <w:unhideWhenUsed/>
    <w:qFormat/>
    <w:uiPriority w:val="99"/>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3"/>
    <w:unhideWhenUsed/>
    <w:qFormat/>
    <w:uiPriority w:val="99"/>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4"/>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5"/>
    <w:unhideWhenUsed/>
    <w:qFormat/>
    <w:uiPriority w:val="0"/>
    <w:pPr>
      <w:numPr>
        <w:ilvl w:val="4"/>
        <w:numId w:val="2"/>
      </w:numPr>
      <w:tabs>
        <w:tab w:val="left" w:pos="1134"/>
      </w:tabs>
      <w:spacing w:before="280" w:after="290" w:line="360" w:lineRule="auto"/>
      <w:outlineLvl w:val="4"/>
    </w:pPr>
    <w:rPr>
      <w:b/>
      <w:bCs/>
      <w:kern w:val="0"/>
      <w:sz w:val="28"/>
      <w:szCs w:val="28"/>
    </w:rPr>
  </w:style>
  <w:style w:type="paragraph" w:styleId="8">
    <w:name w:val="heading 6"/>
    <w:basedOn w:val="1"/>
    <w:next w:val="1"/>
    <w:link w:val="56"/>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7"/>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8"/>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9"/>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84"/>
    <w:unhideWhenUsed/>
    <w:qFormat/>
    <w:uiPriority w:val="0"/>
    <w:pPr>
      <w:spacing w:after="120"/>
    </w:pPr>
    <w:rPr>
      <w:rFonts w:ascii="Times New Roman" w:hAnsi="Times New Roman"/>
      <w:kern w:val="0"/>
      <w:sz w:val="20"/>
      <w:szCs w:val="20"/>
    </w:rPr>
  </w:style>
  <w:style w:type="paragraph" w:styleId="12">
    <w:name w:val="toc 7"/>
    <w:basedOn w:val="1"/>
    <w:next w:val="1"/>
    <w:unhideWhenUsed/>
    <w:qFormat/>
    <w:uiPriority w:val="0"/>
    <w:pPr>
      <w:ind w:left="2520" w:leftChars="1200"/>
    </w:pPr>
    <w:rPr>
      <w:rFonts w:ascii="Times New Roman" w:hAnsi="Times New Roman"/>
      <w:szCs w:val="24"/>
    </w:rPr>
  </w:style>
  <w:style w:type="paragraph" w:styleId="13">
    <w:name w:val="Normal Indent"/>
    <w:basedOn w:val="1"/>
    <w:link w:val="64"/>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5">
    <w:name w:val="Document Map"/>
    <w:basedOn w:val="1"/>
    <w:link w:val="78"/>
    <w:unhideWhenUsed/>
    <w:qFormat/>
    <w:uiPriority w:val="99"/>
    <w:pPr>
      <w:shd w:val="clear" w:color="auto" w:fill="000080"/>
    </w:pPr>
    <w:rPr>
      <w:rFonts w:ascii="Times New Roman" w:hAnsi="Times New Roman"/>
      <w:kern w:val="0"/>
      <w:sz w:val="18"/>
      <w:szCs w:val="18"/>
    </w:rPr>
  </w:style>
  <w:style w:type="paragraph" w:styleId="16">
    <w:name w:val="annotation text"/>
    <w:basedOn w:val="1"/>
    <w:link w:val="197"/>
    <w:unhideWhenUsed/>
    <w:qFormat/>
    <w:uiPriority w:val="99"/>
    <w:pPr>
      <w:jc w:val="left"/>
    </w:pPr>
  </w:style>
  <w:style w:type="paragraph" w:styleId="17">
    <w:name w:val="Body Text 3"/>
    <w:basedOn w:val="1"/>
    <w:link w:val="75"/>
    <w:unhideWhenUsed/>
    <w:qFormat/>
    <w:uiPriority w:val="0"/>
    <w:pPr>
      <w:jc w:val="center"/>
    </w:pPr>
    <w:rPr>
      <w:rFonts w:ascii="Times New Roman" w:hAnsi="Times New Roman" w:eastAsia="黑体"/>
      <w:sz w:val="44"/>
      <w:szCs w:val="24"/>
    </w:rPr>
  </w:style>
  <w:style w:type="paragraph" w:styleId="18">
    <w:name w:val="Body Text Indent"/>
    <w:basedOn w:val="1"/>
    <w:link w:val="70"/>
    <w:unhideWhenUsed/>
    <w:qFormat/>
    <w:uiPriority w:val="0"/>
    <w:pPr>
      <w:spacing w:after="120"/>
      <w:ind w:left="420" w:leftChars="200"/>
    </w:pPr>
    <w:rPr>
      <w:rFonts w:ascii="Times New Roman" w:hAnsi="Times New Roman"/>
      <w:kern w:val="0"/>
      <w:sz w:val="20"/>
      <w:szCs w:val="24"/>
    </w:rPr>
  </w:style>
  <w:style w:type="paragraph" w:styleId="19">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0">
    <w:name w:val="toc 5"/>
    <w:basedOn w:val="1"/>
    <w:next w:val="1"/>
    <w:unhideWhenUsed/>
    <w:qFormat/>
    <w:uiPriority w:val="0"/>
    <w:pPr>
      <w:ind w:left="1680" w:leftChars="800"/>
    </w:pPr>
    <w:rPr>
      <w:rFonts w:ascii="Times New Roman" w:hAnsi="Times New Roman"/>
      <w:sz w:val="18"/>
      <w:szCs w:val="18"/>
    </w:rPr>
  </w:style>
  <w:style w:type="paragraph" w:styleId="21">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2">
    <w:name w:val="Plain Text"/>
    <w:basedOn w:val="1"/>
    <w:link w:val="188"/>
    <w:unhideWhenUsed/>
    <w:qFormat/>
    <w:uiPriority w:val="99"/>
    <w:rPr>
      <w:rFonts w:ascii="宋体" w:hAnsi="Courier New"/>
      <w:kern w:val="0"/>
      <w:sz w:val="20"/>
      <w:szCs w:val="18"/>
    </w:rPr>
  </w:style>
  <w:style w:type="paragraph" w:styleId="23">
    <w:name w:val="toc 8"/>
    <w:basedOn w:val="1"/>
    <w:next w:val="1"/>
    <w:unhideWhenUsed/>
    <w:qFormat/>
    <w:uiPriority w:val="0"/>
    <w:pPr>
      <w:ind w:left="2940" w:leftChars="1400"/>
    </w:pPr>
    <w:rPr>
      <w:rFonts w:ascii="Times New Roman" w:hAnsi="Times New Roman"/>
      <w:szCs w:val="24"/>
    </w:rPr>
  </w:style>
  <w:style w:type="paragraph" w:styleId="24">
    <w:name w:val="Date"/>
    <w:basedOn w:val="1"/>
    <w:next w:val="1"/>
    <w:link w:val="72"/>
    <w:unhideWhenUsed/>
    <w:qFormat/>
    <w:uiPriority w:val="99"/>
    <w:pPr>
      <w:ind w:left="100" w:leftChars="2500"/>
    </w:pPr>
    <w:rPr>
      <w:rFonts w:ascii="Times New Roman" w:hAnsi="Times New Roman"/>
      <w:kern w:val="0"/>
      <w:sz w:val="24"/>
      <w:szCs w:val="24"/>
    </w:rPr>
  </w:style>
  <w:style w:type="paragraph" w:styleId="25">
    <w:name w:val="Body Text Indent 2"/>
    <w:basedOn w:val="1"/>
    <w:link w:val="76"/>
    <w:unhideWhenUsed/>
    <w:qFormat/>
    <w:uiPriority w:val="0"/>
    <w:pPr>
      <w:spacing w:after="120" w:line="480" w:lineRule="auto"/>
      <w:ind w:left="420" w:leftChars="200"/>
    </w:pPr>
    <w:rPr>
      <w:rFonts w:ascii="Times New Roman" w:hAnsi="Times New Roman"/>
      <w:kern w:val="0"/>
      <w:sz w:val="20"/>
      <w:szCs w:val="20"/>
    </w:rPr>
  </w:style>
  <w:style w:type="paragraph" w:styleId="26">
    <w:name w:val="Balloon Text"/>
    <w:basedOn w:val="1"/>
    <w:link w:val="81"/>
    <w:unhideWhenUsed/>
    <w:qFormat/>
    <w:uiPriority w:val="99"/>
    <w:rPr>
      <w:rFonts w:ascii="Times New Roman" w:hAnsi="Times New Roman"/>
      <w:kern w:val="0"/>
      <w:sz w:val="18"/>
      <w:szCs w:val="18"/>
    </w:rPr>
  </w:style>
  <w:style w:type="paragraph" w:styleId="27">
    <w:name w:val="footer"/>
    <w:basedOn w:val="1"/>
    <w:link w:val="68"/>
    <w:unhideWhenUsed/>
    <w:qFormat/>
    <w:uiPriority w:val="99"/>
    <w:pPr>
      <w:tabs>
        <w:tab w:val="center" w:pos="4153"/>
        <w:tab w:val="right" w:pos="8306"/>
      </w:tabs>
      <w:snapToGrid w:val="0"/>
      <w:jc w:val="left"/>
    </w:pPr>
    <w:rPr>
      <w:kern w:val="0"/>
      <w:sz w:val="18"/>
      <w:szCs w:val="18"/>
    </w:rPr>
  </w:style>
  <w:style w:type="paragraph" w:styleId="28">
    <w:name w:val="header"/>
    <w:basedOn w:val="1"/>
    <w:link w:val="6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0">
    <w:name w:val="toc 4"/>
    <w:basedOn w:val="1"/>
    <w:next w:val="1"/>
    <w:unhideWhenUsed/>
    <w:qFormat/>
    <w:uiPriority w:val="0"/>
    <w:pPr>
      <w:ind w:left="1260" w:leftChars="600"/>
    </w:pPr>
    <w:rPr>
      <w:rFonts w:ascii="Times New Roman" w:hAnsi="Times New Roman"/>
      <w:sz w:val="18"/>
      <w:szCs w:val="18"/>
    </w:rPr>
  </w:style>
  <w:style w:type="paragraph" w:styleId="31">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65"/>
    <w:unhideWhenUsed/>
    <w:qFormat/>
    <w:uiPriority w:val="0"/>
    <w:pPr>
      <w:snapToGrid w:val="0"/>
      <w:jc w:val="left"/>
    </w:pPr>
    <w:rPr>
      <w:sz w:val="18"/>
      <w:szCs w:val="18"/>
    </w:rPr>
  </w:style>
  <w:style w:type="paragraph" w:styleId="33">
    <w:name w:val="toc 6"/>
    <w:basedOn w:val="1"/>
    <w:next w:val="1"/>
    <w:unhideWhenUsed/>
    <w:qFormat/>
    <w:uiPriority w:val="0"/>
    <w:pPr>
      <w:ind w:left="2100" w:leftChars="1000"/>
    </w:pPr>
    <w:rPr>
      <w:rFonts w:ascii="Times New Roman" w:hAnsi="Times New Roman"/>
      <w:szCs w:val="24"/>
    </w:rPr>
  </w:style>
  <w:style w:type="paragraph" w:styleId="34">
    <w:name w:val="Body Text Indent 3"/>
    <w:basedOn w:val="1"/>
    <w:link w:val="77"/>
    <w:unhideWhenUsed/>
    <w:qFormat/>
    <w:uiPriority w:val="0"/>
    <w:pPr>
      <w:spacing w:line="360" w:lineRule="auto"/>
      <w:ind w:left="153" w:leftChars="85" w:firstLine="560" w:firstLineChars="200"/>
    </w:pPr>
    <w:rPr>
      <w:rFonts w:ascii="宋体" w:hAnsi="宋体"/>
      <w:kern w:val="0"/>
      <w:sz w:val="28"/>
      <w:szCs w:val="28"/>
    </w:rPr>
  </w:style>
  <w:style w:type="paragraph" w:styleId="35">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6">
    <w:name w:val="toc 9"/>
    <w:basedOn w:val="1"/>
    <w:next w:val="1"/>
    <w:unhideWhenUsed/>
    <w:qFormat/>
    <w:uiPriority w:val="0"/>
    <w:pPr>
      <w:ind w:left="3360" w:leftChars="1600"/>
    </w:pPr>
    <w:rPr>
      <w:rFonts w:ascii="Times New Roman" w:hAnsi="Times New Roman"/>
      <w:szCs w:val="24"/>
    </w:rPr>
  </w:style>
  <w:style w:type="paragraph" w:styleId="37">
    <w:name w:val="Body Text 2"/>
    <w:basedOn w:val="1"/>
    <w:link w:val="74"/>
    <w:unhideWhenUsed/>
    <w:qFormat/>
    <w:uiPriority w:val="0"/>
    <w:pPr>
      <w:spacing w:after="120" w:line="480" w:lineRule="auto"/>
    </w:pPr>
    <w:rPr>
      <w:rFonts w:ascii="Times New Roman" w:hAnsi="Times New Roman"/>
      <w:kern w:val="0"/>
      <w:sz w:val="18"/>
      <w:szCs w:val="18"/>
    </w:rPr>
  </w:style>
  <w:style w:type="paragraph" w:styleId="38">
    <w:name w:val="HTML Preformatted"/>
    <w:basedOn w:val="1"/>
    <w:link w:val="20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jc w:val="left"/>
    </w:pPr>
    <w:rPr>
      <w:rFonts w:ascii="Arial" w:hAnsi="Arial" w:cs="Arial"/>
      <w:kern w:val="0"/>
      <w:sz w:val="24"/>
      <w:szCs w:val="28"/>
    </w:rPr>
  </w:style>
  <w:style w:type="paragraph" w:styleId="39">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paragraph" w:styleId="40">
    <w:name w:val="index 1"/>
    <w:basedOn w:val="1"/>
    <w:next w:val="1"/>
    <w:unhideWhenUsed/>
    <w:qFormat/>
    <w:uiPriority w:val="0"/>
    <w:pPr>
      <w:ind w:firstLine="560" w:firstLineChars="200"/>
    </w:pPr>
    <w:rPr>
      <w:rFonts w:ascii="宋体" w:hAnsi="宋体" w:cs="宋体"/>
      <w:sz w:val="28"/>
      <w:szCs w:val="28"/>
    </w:rPr>
  </w:style>
  <w:style w:type="paragraph" w:styleId="41">
    <w:name w:val="annotation subject"/>
    <w:basedOn w:val="16"/>
    <w:next w:val="16"/>
    <w:link w:val="80"/>
    <w:unhideWhenUsed/>
    <w:qFormat/>
    <w:uiPriority w:val="99"/>
    <w:rPr>
      <w:b/>
      <w:bCs/>
    </w:rPr>
  </w:style>
  <w:style w:type="paragraph" w:styleId="42">
    <w:name w:val="Body Text First Indent"/>
    <w:basedOn w:val="2"/>
    <w:link w:val="73"/>
    <w:unhideWhenUsed/>
    <w:qFormat/>
    <w:uiPriority w:val="0"/>
    <w:pPr>
      <w:ind w:firstLine="420" w:firstLineChars="100"/>
    </w:pPr>
    <w:rPr>
      <w:sz w:val="18"/>
      <w:szCs w:val="18"/>
    </w:rPr>
  </w:style>
  <w:style w:type="table" w:styleId="44">
    <w:name w:val="Table Grid"/>
    <w:basedOn w:val="4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6">
    <w:name w:val="FollowedHyperlink"/>
    <w:basedOn w:val="45"/>
    <w:unhideWhenUsed/>
    <w:qFormat/>
    <w:uiPriority w:val="99"/>
    <w:rPr>
      <w:color w:val="800080" w:themeColor="followedHyperlink"/>
      <w:u w:val="single"/>
      <w14:textFill>
        <w14:solidFill>
          <w14:schemeClr w14:val="folHlink"/>
        </w14:solidFill>
      </w14:textFill>
    </w:rPr>
  </w:style>
  <w:style w:type="character" w:styleId="47">
    <w:name w:val="Hyperlink"/>
    <w:unhideWhenUsed/>
    <w:qFormat/>
    <w:uiPriority w:val="99"/>
    <w:rPr>
      <w:color w:val="0000FF"/>
      <w:u w:val="single"/>
    </w:rPr>
  </w:style>
  <w:style w:type="character" w:styleId="48">
    <w:name w:val="annotation reference"/>
    <w:unhideWhenUsed/>
    <w:qFormat/>
    <w:uiPriority w:val="99"/>
    <w:rPr>
      <w:sz w:val="21"/>
      <w:szCs w:val="21"/>
    </w:rPr>
  </w:style>
  <w:style w:type="character" w:styleId="49">
    <w:name w:val="footnote reference"/>
    <w:unhideWhenUsed/>
    <w:qFormat/>
    <w:uiPriority w:val="0"/>
    <w:rPr>
      <w:vertAlign w:val="superscript"/>
    </w:rPr>
  </w:style>
  <w:style w:type="paragraph" w:customStyle="1" w:styleId="50">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51">
    <w:name w:val="标题 1 字符"/>
    <w:basedOn w:val="45"/>
    <w:link w:val="3"/>
    <w:qFormat/>
    <w:uiPriority w:val="99"/>
    <w:rPr>
      <w:rFonts w:ascii="宋体" w:hAnsi="宋体" w:eastAsia="宋体" w:cs="宋体"/>
      <w:b/>
      <w:bCs/>
      <w:spacing w:val="-20"/>
      <w:kern w:val="44"/>
      <w:sz w:val="32"/>
      <w:szCs w:val="32"/>
    </w:rPr>
  </w:style>
  <w:style w:type="character" w:customStyle="1" w:styleId="52">
    <w:name w:val="标题 2 字符"/>
    <w:basedOn w:val="45"/>
    <w:link w:val="4"/>
    <w:qFormat/>
    <w:uiPriority w:val="99"/>
    <w:rPr>
      <w:rFonts w:ascii="宋体" w:hAnsi="宋体" w:eastAsia="宋体" w:cs="宋体"/>
      <w:b/>
      <w:bCs/>
      <w:sz w:val="28"/>
      <w:szCs w:val="28"/>
    </w:rPr>
  </w:style>
  <w:style w:type="character" w:customStyle="1" w:styleId="53">
    <w:name w:val="标题 3 字符"/>
    <w:basedOn w:val="45"/>
    <w:link w:val="5"/>
    <w:qFormat/>
    <w:uiPriority w:val="99"/>
    <w:rPr>
      <w:rFonts w:ascii="宋体" w:hAnsi="宋体" w:eastAsia="宋体" w:cs="宋体"/>
      <w:b/>
      <w:bCs/>
      <w:color w:val="000000"/>
      <w:kern w:val="0"/>
      <w:sz w:val="28"/>
      <w:szCs w:val="28"/>
    </w:rPr>
  </w:style>
  <w:style w:type="character" w:customStyle="1" w:styleId="54">
    <w:name w:val="标题 4 字符"/>
    <w:basedOn w:val="45"/>
    <w:link w:val="6"/>
    <w:qFormat/>
    <w:uiPriority w:val="9"/>
    <w:rPr>
      <w:rFonts w:ascii="Arial" w:hAnsi="Arial" w:eastAsia="宋体" w:cs="Times New Roman"/>
      <w:b/>
      <w:bCs/>
      <w:kern w:val="0"/>
      <w:sz w:val="28"/>
      <w:szCs w:val="28"/>
    </w:rPr>
  </w:style>
  <w:style w:type="character" w:customStyle="1" w:styleId="55">
    <w:name w:val="标题 5 字符"/>
    <w:basedOn w:val="45"/>
    <w:link w:val="7"/>
    <w:qFormat/>
    <w:uiPriority w:val="0"/>
    <w:rPr>
      <w:rFonts w:ascii="Calibri" w:hAnsi="Calibri" w:eastAsia="宋体" w:cs="Times New Roman"/>
      <w:b/>
      <w:bCs/>
      <w:kern w:val="0"/>
      <w:sz w:val="28"/>
      <w:szCs w:val="28"/>
    </w:rPr>
  </w:style>
  <w:style w:type="character" w:customStyle="1" w:styleId="56">
    <w:name w:val="标题 6 字符"/>
    <w:basedOn w:val="45"/>
    <w:link w:val="8"/>
    <w:qFormat/>
    <w:uiPriority w:val="0"/>
    <w:rPr>
      <w:rFonts w:ascii="Arial" w:hAnsi="Arial" w:eastAsia="宋体" w:cs="Times New Roman"/>
      <w:b/>
      <w:bCs/>
      <w:kern w:val="0"/>
      <w:sz w:val="28"/>
      <w:szCs w:val="18"/>
    </w:rPr>
  </w:style>
  <w:style w:type="character" w:customStyle="1" w:styleId="57">
    <w:name w:val="标题 7 字符"/>
    <w:basedOn w:val="45"/>
    <w:link w:val="9"/>
    <w:qFormat/>
    <w:uiPriority w:val="0"/>
    <w:rPr>
      <w:rFonts w:ascii="Arial Narrow" w:hAnsi="Arial Narrow" w:eastAsia="宋体" w:cs="Times New Roman"/>
      <w:b/>
      <w:bCs/>
      <w:iCs/>
      <w:kern w:val="0"/>
      <w:sz w:val="20"/>
      <w:szCs w:val="24"/>
      <w:lang w:eastAsia="en-US"/>
    </w:rPr>
  </w:style>
  <w:style w:type="character" w:customStyle="1" w:styleId="58">
    <w:name w:val="标题 8 字符"/>
    <w:basedOn w:val="45"/>
    <w:link w:val="10"/>
    <w:semiHidden/>
    <w:qFormat/>
    <w:uiPriority w:val="0"/>
    <w:rPr>
      <w:rFonts w:ascii="Arial" w:hAnsi="Arial" w:eastAsia="黑体" w:cs="Times New Roman"/>
      <w:kern w:val="0"/>
      <w:sz w:val="24"/>
      <w:szCs w:val="24"/>
    </w:rPr>
  </w:style>
  <w:style w:type="character" w:customStyle="1" w:styleId="59">
    <w:name w:val="标题 9 字符"/>
    <w:basedOn w:val="45"/>
    <w:link w:val="11"/>
    <w:semiHidden/>
    <w:qFormat/>
    <w:uiPriority w:val="0"/>
    <w:rPr>
      <w:rFonts w:ascii="Arial" w:hAnsi="Arial" w:eastAsia="黑体" w:cs="Times New Roman"/>
      <w:kern w:val="0"/>
      <w:sz w:val="20"/>
      <w:szCs w:val="21"/>
    </w:rPr>
  </w:style>
  <w:style w:type="character" w:customStyle="1" w:styleId="60">
    <w:name w:val="标题 1 Char1"/>
    <w:qFormat/>
    <w:uiPriority w:val="0"/>
    <w:rPr>
      <w:b/>
      <w:bCs/>
      <w:kern w:val="44"/>
      <w:sz w:val="44"/>
      <w:szCs w:val="44"/>
    </w:rPr>
  </w:style>
  <w:style w:type="character" w:customStyle="1" w:styleId="61">
    <w:name w:val="标题 2 Char1"/>
    <w:basedOn w:val="45"/>
    <w:semiHidden/>
    <w:qFormat/>
    <w:uiPriority w:val="99"/>
    <w:rPr>
      <w:rFonts w:asciiTheme="majorHAnsi" w:hAnsiTheme="majorHAnsi" w:eastAsiaTheme="majorEastAsia" w:cstheme="majorBidi"/>
      <w:b/>
      <w:bCs/>
      <w:kern w:val="2"/>
      <w:sz w:val="32"/>
      <w:szCs w:val="32"/>
    </w:rPr>
  </w:style>
  <w:style w:type="character" w:customStyle="1" w:styleId="62">
    <w:name w:val="标题 3 Char1"/>
    <w:basedOn w:val="45"/>
    <w:semiHidden/>
    <w:qFormat/>
    <w:uiPriority w:val="99"/>
    <w:rPr>
      <w:rFonts w:ascii="Calibri" w:hAnsi="Calibri"/>
      <w:b/>
      <w:bCs/>
      <w:kern w:val="2"/>
      <w:sz w:val="32"/>
      <w:szCs w:val="32"/>
    </w:rPr>
  </w:style>
  <w:style w:type="character" w:customStyle="1" w:styleId="63">
    <w:name w:val="标题 4 Char1"/>
    <w:basedOn w:val="45"/>
    <w:semiHidden/>
    <w:qFormat/>
    <w:uiPriority w:val="9"/>
    <w:rPr>
      <w:rFonts w:asciiTheme="majorHAnsi" w:hAnsiTheme="majorHAnsi" w:eastAsiaTheme="majorEastAsia" w:cstheme="majorBidi"/>
      <w:b/>
      <w:bCs/>
      <w:kern w:val="2"/>
      <w:sz w:val="28"/>
      <w:szCs w:val="28"/>
    </w:rPr>
  </w:style>
  <w:style w:type="character" w:customStyle="1" w:styleId="64">
    <w:name w:val="正文缩进 字符"/>
    <w:link w:val="13"/>
    <w:qFormat/>
    <w:locked/>
    <w:uiPriority w:val="0"/>
  </w:style>
  <w:style w:type="character" w:customStyle="1" w:styleId="65">
    <w:name w:val="脚注文本 字符"/>
    <w:basedOn w:val="45"/>
    <w:link w:val="32"/>
    <w:semiHidden/>
    <w:qFormat/>
    <w:uiPriority w:val="0"/>
    <w:rPr>
      <w:rFonts w:ascii="Calibri" w:hAnsi="Calibri" w:eastAsia="宋体" w:cs="Times New Roman"/>
      <w:sz w:val="18"/>
      <w:szCs w:val="18"/>
    </w:rPr>
  </w:style>
  <w:style w:type="character" w:customStyle="1" w:styleId="66">
    <w:name w:val="批注文字 Char"/>
    <w:basedOn w:val="45"/>
    <w:semiHidden/>
    <w:qFormat/>
    <w:uiPriority w:val="99"/>
    <w:rPr>
      <w:rFonts w:ascii="Calibri" w:hAnsi="Calibri" w:eastAsia="宋体" w:cs="Times New Roman"/>
    </w:rPr>
  </w:style>
  <w:style w:type="character" w:customStyle="1" w:styleId="67">
    <w:name w:val="页眉 字符"/>
    <w:basedOn w:val="45"/>
    <w:link w:val="28"/>
    <w:qFormat/>
    <w:uiPriority w:val="99"/>
    <w:rPr>
      <w:rFonts w:ascii="Calibri" w:hAnsi="Calibri" w:eastAsia="宋体" w:cs="Times New Roman"/>
      <w:kern w:val="0"/>
      <w:sz w:val="18"/>
      <w:szCs w:val="18"/>
    </w:rPr>
  </w:style>
  <w:style w:type="character" w:customStyle="1" w:styleId="68">
    <w:name w:val="页脚 字符"/>
    <w:basedOn w:val="45"/>
    <w:link w:val="27"/>
    <w:qFormat/>
    <w:uiPriority w:val="99"/>
    <w:rPr>
      <w:rFonts w:ascii="Calibri" w:hAnsi="Calibri" w:eastAsia="宋体" w:cs="Times New Roman"/>
      <w:kern w:val="0"/>
      <w:sz w:val="18"/>
      <w:szCs w:val="18"/>
    </w:rPr>
  </w:style>
  <w:style w:type="character" w:customStyle="1" w:styleId="69">
    <w:name w:val="正文文本 Char"/>
    <w:basedOn w:val="45"/>
    <w:qFormat/>
    <w:uiPriority w:val="99"/>
    <w:rPr>
      <w:rFonts w:ascii="Calibri" w:hAnsi="Calibri" w:eastAsia="宋体" w:cs="Times New Roman"/>
    </w:rPr>
  </w:style>
  <w:style w:type="character" w:customStyle="1" w:styleId="70">
    <w:name w:val="正文文本缩进 字符"/>
    <w:basedOn w:val="45"/>
    <w:link w:val="18"/>
    <w:semiHidden/>
    <w:qFormat/>
    <w:uiPriority w:val="0"/>
    <w:rPr>
      <w:rFonts w:ascii="Times New Roman" w:hAnsi="Times New Roman" w:eastAsia="宋体" w:cs="Times New Roman"/>
      <w:kern w:val="0"/>
      <w:sz w:val="20"/>
      <w:szCs w:val="24"/>
    </w:rPr>
  </w:style>
  <w:style w:type="character" w:customStyle="1" w:styleId="71">
    <w:name w:val="副标题 字符"/>
    <w:basedOn w:val="45"/>
    <w:link w:val="31"/>
    <w:qFormat/>
    <w:uiPriority w:val="0"/>
    <w:rPr>
      <w:rFonts w:ascii="Cambria" w:hAnsi="Cambria" w:eastAsia="宋体" w:cs="Times New Roman"/>
      <w:b/>
      <w:bCs/>
      <w:kern w:val="28"/>
      <w:sz w:val="32"/>
      <w:szCs w:val="32"/>
    </w:rPr>
  </w:style>
  <w:style w:type="character" w:customStyle="1" w:styleId="72">
    <w:name w:val="日期 字符"/>
    <w:basedOn w:val="45"/>
    <w:link w:val="24"/>
    <w:qFormat/>
    <w:uiPriority w:val="99"/>
    <w:rPr>
      <w:rFonts w:ascii="Times New Roman" w:hAnsi="Times New Roman" w:eastAsia="宋体" w:cs="Times New Roman"/>
      <w:kern w:val="0"/>
      <w:sz w:val="24"/>
      <w:szCs w:val="24"/>
    </w:rPr>
  </w:style>
  <w:style w:type="character" w:customStyle="1" w:styleId="73">
    <w:name w:val="正文首行缩进 字符"/>
    <w:basedOn w:val="69"/>
    <w:link w:val="42"/>
    <w:semiHidden/>
    <w:qFormat/>
    <w:uiPriority w:val="0"/>
    <w:rPr>
      <w:rFonts w:ascii="Times New Roman" w:hAnsi="Times New Roman" w:eastAsia="宋体" w:cs="Times New Roman"/>
      <w:kern w:val="0"/>
      <w:sz w:val="18"/>
      <w:szCs w:val="18"/>
    </w:rPr>
  </w:style>
  <w:style w:type="character" w:customStyle="1" w:styleId="74">
    <w:name w:val="正文文本 2 字符"/>
    <w:basedOn w:val="45"/>
    <w:link w:val="37"/>
    <w:semiHidden/>
    <w:qFormat/>
    <w:uiPriority w:val="0"/>
    <w:rPr>
      <w:rFonts w:ascii="Times New Roman" w:hAnsi="Times New Roman" w:eastAsia="宋体" w:cs="Times New Roman"/>
      <w:kern w:val="0"/>
      <w:sz w:val="18"/>
      <w:szCs w:val="18"/>
    </w:rPr>
  </w:style>
  <w:style w:type="character" w:customStyle="1" w:styleId="75">
    <w:name w:val="正文文本 3 字符"/>
    <w:basedOn w:val="45"/>
    <w:link w:val="17"/>
    <w:semiHidden/>
    <w:qFormat/>
    <w:uiPriority w:val="0"/>
    <w:rPr>
      <w:rFonts w:ascii="Times New Roman" w:hAnsi="Times New Roman" w:eastAsia="黑体" w:cs="Times New Roman"/>
      <w:sz w:val="44"/>
      <w:szCs w:val="24"/>
    </w:rPr>
  </w:style>
  <w:style w:type="character" w:customStyle="1" w:styleId="76">
    <w:name w:val="正文文本缩进 2 字符"/>
    <w:basedOn w:val="45"/>
    <w:link w:val="25"/>
    <w:semiHidden/>
    <w:qFormat/>
    <w:uiPriority w:val="0"/>
    <w:rPr>
      <w:rFonts w:ascii="Times New Roman" w:hAnsi="Times New Roman" w:eastAsia="宋体" w:cs="Times New Roman"/>
      <w:kern w:val="0"/>
      <w:sz w:val="20"/>
      <w:szCs w:val="20"/>
    </w:rPr>
  </w:style>
  <w:style w:type="character" w:customStyle="1" w:styleId="77">
    <w:name w:val="正文文本缩进 3 字符"/>
    <w:basedOn w:val="45"/>
    <w:link w:val="34"/>
    <w:semiHidden/>
    <w:qFormat/>
    <w:uiPriority w:val="0"/>
    <w:rPr>
      <w:rFonts w:ascii="宋体" w:hAnsi="宋体" w:eastAsia="宋体" w:cs="Times New Roman"/>
      <w:kern w:val="0"/>
      <w:sz w:val="28"/>
      <w:szCs w:val="28"/>
    </w:rPr>
  </w:style>
  <w:style w:type="character" w:customStyle="1" w:styleId="78">
    <w:name w:val="文档结构图 字符"/>
    <w:basedOn w:val="45"/>
    <w:link w:val="15"/>
    <w:qFormat/>
    <w:uiPriority w:val="99"/>
    <w:rPr>
      <w:rFonts w:ascii="Times New Roman" w:hAnsi="Times New Roman" w:eastAsia="宋体" w:cs="Times New Roman"/>
      <w:kern w:val="0"/>
      <w:sz w:val="18"/>
      <w:szCs w:val="18"/>
      <w:shd w:val="clear" w:color="auto" w:fill="000080"/>
    </w:rPr>
  </w:style>
  <w:style w:type="character" w:customStyle="1" w:styleId="79">
    <w:name w:val="纯文本 Char"/>
    <w:basedOn w:val="45"/>
    <w:semiHidden/>
    <w:qFormat/>
    <w:uiPriority w:val="99"/>
    <w:rPr>
      <w:rFonts w:ascii="宋体" w:hAnsi="Courier New" w:eastAsia="宋体" w:cs="Courier New"/>
      <w:szCs w:val="21"/>
    </w:rPr>
  </w:style>
  <w:style w:type="character" w:customStyle="1" w:styleId="80">
    <w:name w:val="批注主题 字符"/>
    <w:basedOn w:val="66"/>
    <w:link w:val="41"/>
    <w:qFormat/>
    <w:uiPriority w:val="99"/>
    <w:rPr>
      <w:rFonts w:ascii="Calibri" w:hAnsi="Calibri" w:eastAsia="宋体" w:cs="Times New Roman"/>
      <w:b/>
      <w:bCs/>
    </w:rPr>
  </w:style>
  <w:style w:type="character" w:customStyle="1" w:styleId="81">
    <w:name w:val="批注框文本 字符"/>
    <w:basedOn w:val="45"/>
    <w:link w:val="26"/>
    <w:qFormat/>
    <w:uiPriority w:val="99"/>
    <w:rPr>
      <w:rFonts w:ascii="Times New Roman" w:hAnsi="Times New Roman" w:eastAsia="宋体" w:cs="Times New Roman"/>
      <w:kern w:val="0"/>
      <w:sz w:val="18"/>
      <w:szCs w:val="18"/>
    </w:rPr>
  </w:style>
  <w:style w:type="paragraph" w:customStyle="1" w:styleId="8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Revision"/>
    <w:semiHidden/>
    <w:qFormat/>
    <w:uiPriority w:val="99"/>
    <w:rPr>
      <w:rFonts w:ascii="Calibri" w:hAnsi="Calibri" w:eastAsia="宋体" w:cs="Times New Roman"/>
      <w:kern w:val="2"/>
      <w:sz w:val="21"/>
      <w:szCs w:val="22"/>
      <w:lang w:val="en-US" w:eastAsia="zh-CN" w:bidi="ar-SA"/>
    </w:rPr>
  </w:style>
  <w:style w:type="character" w:customStyle="1" w:styleId="84">
    <w:name w:val="列出段落 字符"/>
    <w:link w:val="85"/>
    <w:qFormat/>
    <w:locked/>
    <w:uiPriority w:val="0"/>
    <w:rPr>
      <w:rFonts w:ascii="Calibri" w:hAnsi="Calibri" w:cs="Calibri"/>
    </w:rPr>
  </w:style>
  <w:style w:type="paragraph" w:customStyle="1" w:styleId="85">
    <w:name w:val="List Paragraph"/>
    <w:basedOn w:val="1"/>
    <w:link w:val="84"/>
    <w:qFormat/>
    <w:uiPriority w:val="0"/>
    <w:pPr>
      <w:ind w:firstLine="420" w:firstLineChars="200"/>
    </w:pPr>
    <w:rPr>
      <w:rFonts w:cs="Calibri" w:eastAsiaTheme="minorEastAsia"/>
    </w:rPr>
  </w:style>
  <w:style w:type="paragraph" w:customStyle="1" w:styleId="86">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7">
    <w:name w:val="MM Title"/>
    <w:basedOn w:val="1"/>
    <w:qFormat/>
    <w:uiPriority w:val="0"/>
    <w:pPr>
      <w:spacing w:before="240" w:after="60"/>
      <w:jc w:val="center"/>
      <w:outlineLvl w:val="0"/>
    </w:pPr>
    <w:rPr>
      <w:rFonts w:ascii="Arial" w:hAnsi="Arial" w:cs="Arial"/>
      <w:b/>
      <w:bCs/>
      <w:sz w:val="32"/>
      <w:szCs w:val="32"/>
    </w:rPr>
  </w:style>
  <w:style w:type="paragraph" w:customStyle="1" w:styleId="88">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9">
    <w:name w:val="gb_master正文"/>
    <w:basedOn w:val="1"/>
    <w:qFormat/>
    <w:uiPriority w:val="0"/>
    <w:pPr>
      <w:ind w:firstLine="200" w:firstLineChars="200"/>
    </w:pPr>
    <w:rPr>
      <w:rFonts w:ascii="Times New Roman" w:hAnsi="Times New Roman"/>
      <w:szCs w:val="24"/>
    </w:rPr>
  </w:style>
  <w:style w:type="paragraph" w:customStyle="1" w:styleId="9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2">
    <w:name w:val="Char2 Char Char Char"/>
    <w:basedOn w:val="1"/>
    <w:qFormat/>
    <w:uiPriority w:val="0"/>
    <w:rPr>
      <w:rFonts w:ascii="仿宋_GB2312" w:hAnsi="Times New Roman"/>
      <w:b/>
      <w:sz w:val="30"/>
      <w:szCs w:val="32"/>
    </w:rPr>
  </w:style>
  <w:style w:type="paragraph" w:customStyle="1" w:styleId="93">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5">
    <w:name w:val="默认段落字体 Para Char"/>
    <w:basedOn w:val="1"/>
    <w:qFormat/>
    <w:uiPriority w:val="0"/>
    <w:rPr>
      <w:rFonts w:ascii="Tahoma" w:hAnsi="Tahoma"/>
      <w:sz w:val="24"/>
      <w:szCs w:val="20"/>
    </w:rPr>
  </w:style>
  <w:style w:type="paragraph" w:customStyle="1" w:styleId="96">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8">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99">
    <w:name w:val="表格文字"/>
    <w:basedOn w:val="1"/>
    <w:qFormat/>
    <w:uiPriority w:val="0"/>
    <w:pPr>
      <w:spacing w:beforeLines="25"/>
    </w:pPr>
    <w:rPr>
      <w:rFonts w:ascii="Times New (W1)" w:hAnsi="Times New (W1)"/>
      <w:spacing w:val="10"/>
      <w:szCs w:val="24"/>
    </w:rPr>
  </w:style>
  <w:style w:type="paragraph" w:customStyle="1" w:styleId="100">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1">
    <w:name w:val="默认段落字体 Para Char Char"/>
    <w:basedOn w:val="1"/>
    <w:qFormat/>
    <w:uiPriority w:val="0"/>
    <w:rPr>
      <w:rFonts w:ascii="Times New Roman" w:hAnsi="Times New Roman"/>
      <w:szCs w:val="24"/>
    </w:rPr>
  </w:style>
  <w:style w:type="paragraph" w:customStyle="1" w:styleId="102">
    <w:name w:val="MM Topic 6"/>
    <w:basedOn w:val="8"/>
    <w:qFormat/>
    <w:uiPriority w:val="0"/>
    <w:pPr>
      <w:tabs>
        <w:tab w:val="left" w:pos="3260"/>
        <w:tab w:val="clear" w:pos="1702"/>
      </w:tabs>
    </w:pPr>
    <w:rPr>
      <w:rFonts w:eastAsia="黑体"/>
    </w:rPr>
  </w:style>
  <w:style w:type="paragraph" w:customStyle="1" w:styleId="103">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5">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6">
    <w:name w:val="标题 5 + 首行缩进:  2 字符"/>
    <w:basedOn w:val="7"/>
    <w:next w:val="18"/>
    <w:qFormat/>
    <w:uiPriority w:val="0"/>
    <w:pPr>
      <w:tabs>
        <w:tab w:val="left" w:pos="992"/>
        <w:tab w:val="clear" w:pos="1134"/>
      </w:tabs>
      <w:snapToGrid w:val="0"/>
      <w:spacing w:before="0" w:beforeLines="50" w:after="0" w:afterLines="50"/>
      <w:ind w:left="3570" w:firstLine="482" w:firstLineChars="200"/>
    </w:pPr>
    <w:rPr>
      <w:color w:val="000000"/>
      <w:szCs w:val="20"/>
    </w:rPr>
  </w:style>
  <w:style w:type="paragraph" w:customStyle="1" w:styleId="107">
    <w:name w:val="Char2 Char Char Char Char Char Char"/>
    <w:basedOn w:val="1"/>
    <w:qFormat/>
    <w:uiPriority w:val="0"/>
    <w:rPr>
      <w:rFonts w:ascii="仿宋_GB2312" w:hAnsi="Times New Roman"/>
      <w:b/>
      <w:sz w:val="30"/>
      <w:szCs w:val="32"/>
    </w:rPr>
  </w:style>
  <w:style w:type="paragraph" w:customStyle="1" w:styleId="108">
    <w:name w:val="MM Topic 2"/>
    <w:basedOn w:val="4"/>
    <w:qFormat/>
    <w:uiPriority w:val="0"/>
    <w:pPr>
      <w:numPr>
        <w:ilvl w:val="0"/>
        <w:numId w:val="0"/>
      </w:numPr>
      <w:tabs>
        <w:tab w:val="left" w:pos="992"/>
      </w:tabs>
    </w:pPr>
    <w:rPr>
      <w:rFonts w:cs="Times New Roman"/>
    </w:rPr>
  </w:style>
  <w:style w:type="paragraph" w:customStyle="1" w:styleId="109">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10">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1">
    <w:name w:val="MM Topic 8"/>
    <w:basedOn w:val="10"/>
    <w:qFormat/>
    <w:uiPriority w:val="0"/>
    <w:pPr>
      <w:tabs>
        <w:tab w:val="left" w:pos="4394"/>
      </w:tabs>
    </w:pPr>
  </w:style>
  <w:style w:type="paragraph" w:customStyle="1" w:styleId="112">
    <w:name w:val="Char1 Char Char Char Char Char Char"/>
    <w:basedOn w:val="1"/>
    <w:qFormat/>
    <w:uiPriority w:val="0"/>
    <w:rPr>
      <w:rFonts w:ascii="Tahoma" w:hAnsi="Tahoma"/>
      <w:sz w:val="24"/>
      <w:szCs w:val="20"/>
    </w:rPr>
  </w:style>
  <w:style w:type="paragraph" w:customStyle="1" w:styleId="113">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4">
    <w:name w:val="样式 小四2"/>
    <w:basedOn w:val="1"/>
    <w:qFormat/>
    <w:uiPriority w:val="0"/>
    <w:rPr>
      <w:rFonts w:ascii="宋体" w:hAnsi="宋体"/>
      <w:sz w:val="24"/>
      <w:szCs w:val="24"/>
    </w:rPr>
  </w:style>
  <w:style w:type="paragraph" w:customStyle="1" w:styleId="115">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16">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7">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8">
    <w:name w:val="文章正文"/>
    <w:basedOn w:val="1"/>
    <w:qFormat/>
    <w:uiPriority w:val="0"/>
    <w:pPr>
      <w:spacing w:line="360" w:lineRule="auto"/>
      <w:ind w:firstLine="420"/>
    </w:pPr>
    <w:rPr>
      <w:rFonts w:ascii="Times New Roman" w:hAnsi="Times New Roman"/>
      <w:sz w:val="24"/>
      <w:szCs w:val="24"/>
    </w:rPr>
  </w:style>
  <w:style w:type="paragraph" w:customStyle="1" w:styleId="11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0">
    <w:name w:val="文章正文 Char Char1"/>
    <w:basedOn w:val="1"/>
    <w:qFormat/>
    <w:uiPriority w:val="0"/>
    <w:pPr>
      <w:spacing w:line="360" w:lineRule="auto"/>
      <w:ind w:firstLine="420"/>
    </w:pPr>
    <w:rPr>
      <w:rFonts w:ascii="Times New Roman" w:hAnsi="Times New Roman"/>
      <w:sz w:val="24"/>
      <w:szCs w:val="24"/>
    </w:rPr>
  </w:style>
  <w:style w:type="paragraph" w:customStyle="1" w:styleId="121">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2">
    <w:name w:val="样式"/>
    <w:link w:val="228"/>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23">
    <w:name w:val="图"/>
    <w:basedOn w:val="1"/>
    <w:qFormat/>
    <w:uiPriority w:val="0"/>
    <w:pPr>
      <w:widowControl/>
      <w:adjustRightInd w:val="0"/>
      <w:snapToGrid w:val="0"/>
      <w:jc w:val="center"/>
    </w:pPr>
    <w:rPr>
      <w:rFonts w:ascii="宋体" w:hAnsi="宋体"/>
      <w:bCs/>
      <w:szCs w:val="24"/>
    </w:rPr>
  </w:style>
  <w:style w:type="paragraph" w:customStyle="1" w:styleId="124">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5">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6">
    <w:name w:val="MM Topic 1"/>
    <w:basedOn w:val="3"/>
    <w:qFormat/>
    <w:uiPriority w:val="0"/>
    <w:pPr>
      <w:tabs>
        <w:tab w:val="left" w:pos="425"/>
      </w:tabs>
    </w:pPr>
    <w:rPr>
      <w:rFonts w:cs="Times New Roman"/>
      <w:sz w:val="44"/>
    </w:rPr>
  </w:style>
  <w:style w:type="paragraph" w:customStyle="1" w:styleId="127">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128">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character" w:customStyle="1" w:styleId="129">
    <w:name w:val="彩色列表 - 强调文字颜色 1 Char"/>
    <w:link w:val="130"/>
    <w:qFormat/>
    <w:locked/>
    <w:uiPriority w:val="0"/>
    <w:rPr>
      <w:rFonts w:ascii="Calibri" w:hAnsi="Calibri" w:cs="Calibri"/>
    </w:rPr>
  </w:style>
  <w:style w:type="paragraph" w:customStyle="1" w:styleId="130">
    <w:name w:val="彩色列表 - 强调文字颜色 11"/>
    <w:basedOn w:val="1"/>
    <w:link w:val="129"/>
    <w:qFormat/>
    <w:uiPriority w:val="0"/>
    <w:pPr>
      <w:ind w:firstLine="420" w:firstLineChars="200"/>
    </w:pPr>
    <w:rPr>
      <w:rFonts w:cs="Calibri" w:eastAsiaTheme="minorEastAsia"/>
    </w:rPr>
  </w:style>
  <w:style w:type="paragraph" w:customStyle="1" w:styleId="131">
    <w:name w:val="我的正文"/>
    <w:basedOn w:val="1"/>
    <w:qFormat/>
    <w:uiPriority w:val="0"/>
    <w:pPr>
      <w:spacing w:line="360" w:lineRule="auto"/>
      <w:ind w:firstLine="420" w:firstLineChars="200"/>
    </w:pPr>
    <w:rPr>
      <w:rFonts w:ascii="宋体" w:hAnsi="宋体"/>
      <w:szCs w:val="24"/>
    </w:rPr>
  </w:style>
  <w:style w:type="paragraph" w:customStyle="1" w:styleId="132">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3">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4">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5">
    <w:name w:val="论文正文"/>
    <w:basedOn w:val="1"/>
    <w:qFormat/>
    <w:uiPriority w:val="0"/>
    <w:pPr>
      <w:spacing w:line="360" w:lineRule="auto"/>
      <w:ind w:firstLine="700" w:firstLineChars="250"/>
    </w:pPr>
    <w:rPr>
      <w:rFonts w:ascii="宋体" w:hAnsi="宋体"/>
      <w:bCs/>
      <w:sz w:val="28"/>
      <w:szCs w:val="28"/>
    </w:rPr>
  </w:style>
  <w:style w:type="paragraph" w:customStyle="1" w:styleId="136">
    <w:name w:val="样式1"/>
    <w:basedOn w:val="1"/>
    <w:qFormat/>
    <w:uiPriority w:val="0"/>
    <w:rPr>
      <w:rFonts w:ascii="Times New Roman" w:hAnsi="Times New Roman" w:eastAsia="隶书"/>
      <w:i/>
      <w:dstrike/>
      <w:sz w:val="28"/>
      <w:szCs w:val="18"/>
    </w:rPr>
  </w:style>
  <w:style w:type="paragraph" w:customStyle="1" w:styleId="137">
    <w:name w:val="表格"/>
    <w:basedOn w:val="1"/>
    <w:qFormat/>
    <w:uiPriority w:val="0"/>
    <w:pPr>
      <w:spacing w:line="400" w:lineRule="exact"/>
    </w:pPr>
    <w:rPr>
      <w:rFonts w:ascii="Times New Roman" w:hAnsi="Times New Roman"/>
      <w:sz w:val="24"/>
      <w:szCs w:val="24"/>
    </w:rPr>
  </w:style>
  <w:style w:type="paragraph" w:customStyle="1" w:styleId="138">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9">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40">
    <w:name w:val="Char Char Char Char Char Char Char Char Char Char Char Char Char"/>
    <w:basedOn w:val="15"/>
    <w:qFormat/>
    <w:uiPriority w:val="0"/>
    <w:rPr>
      <w:rFonts w:ascii="Tahoma" w:hAnsi="Tahoma"/>
      <w:sz w:val="24"/>
      <w:szCs w:val="24"/>
    </w:rPr>
  </w:style>
  <w:style w:type="paragraph" w:customStyle="1" w:styleId="141">
    <w:name w:val="MM Topic 3"/>
    <w:basedOn w:val="5"/>
    <w:qFormat/>
    <w:uiPriority w:val="0"/>
    <w:pPr>
      <w:numPr>
        <w:ilvl w:val="0"/>
        <w:numId w:val="0"/>
      </w:numPr>
      <w:tabs>
        <w:tab w:val="left" w:pos="1418"/>
      </w:tabs>
    </w:pPr>
    <w:rPr>
      <w:rFonts w:cs="Times New Roman"/>
    </w:rPr>
  </w:style>
  <w:style w:type="paragraph" w:customStyle="1" w:styleId="142">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3">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4">
    <w:name w:val="Char Char Char Char"/>
    <w:basedOn w:val="1"/>
    <w:qFormat/>
    <w:uiPriority w:val="0"/>
    <w:rPr>
      <w:rFonts w:ascii="Tahoma" w:hAnsi="Tahoma"/>
      <w:sz w:val="24"/>
      <w:szCs w:val="20"/>
    </w:rPr>
  </w:style>
  <w:style w:type="paragraph" w:customStyle="1" w:styleId="145">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6">
    <w:name w:val="MM Topic 9"/>
    <w:basedOn w:val="11"/>
    <w:qFormat/>
    <w:uiPriority w:val="0"/>
    <w:pPr>
      <w:tabs>
        <w:tab w:val="left" w:pos="5102"/>
      </w:tabs>
    </w:pPr>
  </w:style>
  <w:style w:type="paragraph" w:customStyle="1" w:styleId="147">
    <w:name w:val="MM Topic 5"/>
    <w:basedOn w:val="7"/>
    <w:qFormat/>
    <w:uiPriority w:val="0"/>
    <w:pPr>
      <w:tabs>
        <w:tab w:val="left" w:pos="2551"/>
        <w:tab w:val="clear" w:pos="1134"/>
        <w:tab w:val="clear" w:pos="1560"/>
      </w:tabs>
      <w:ind w:left="0" w:firstLine="0"/>
    </w:pPr>
  </w:style>
  <w:style w:type="paragraph" w:customStyle="1" w:styleId="148">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9">
    <w:name w:val="MM Topic 4"/>
    <w:basedOn w:val="6"/>
    <w:qFormat/>
    <w:uiPriority w:val="0"/>
    <w:pPr>
      <w:tabs>
        <w:tab w:val="left" w:pos="1984"/>
      </w:tabs>
      <w:ind w:left="0" w:firstLine="0"/>
    </w:pPr>
  </w:style>
  <w:style w:type="paragraph" w:customStyle="1" w:styleId="150">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51">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52">
    <w:name w:val="样式 标题 2H2第一章 标题 2Heading 2 HiddenHeading 2 CCBSheading 2h2..."/>
    <w:basedOn w:val="4"/>
    <w:qFormat/>
    <w:uiPriority w:val="0"/>
    <w:pPr>
      <w:tabs>
        <w:tab w:val="left" w:pos="-2493"/>
      </w:tabs>
    </w:pPr>
    <w:rPr>
      <w:rFonts w:cs="Times New Roman"/>
      <w:szCs w:val="20"/>
    </w:rPr>
  </w:style>
  <w:style w:type="paragraph" w:customStyle="1" w:styleId="153">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4">
    <w:name w:val="列出段落2"/>
    <w:basedOn w:val="1"/>
    <w:qFormat/>
    <w:uiPriority w:val="0"/>
    <w:pPr>
      <w:ind w:firstLine="420" w:firstLineChars="200"/>
    </w:pPr>
  </w:style>
  <w:style w:type="paragraph" w:customStyle="1" w:styleId="155">
    <w:name w:val="列出段落4"/>
    <w:basedOn w:val="1"/>
    <w:qFormat/>
    <w:uiPriority w:val="0"/>
    <w:pPr>
      <w:ind w:firstLine="420" w:firstLineChars="200"/>
    </w:pPr>
    <w:rPr>
      <w:rFonts w:ascii="Times New Roman" w:hAnsi="Times New Roman"/>
      <w:szCs w:val="24"/>
    </w:rPr>
  </w:style>
  <w:style w:type="paragraph" w:customStyle="1" w:styleId="156">
    <w:name w:val="列出段落1"/>
    <w:basedOn w:val="1"/>
    <w:qFormat/>
    <w:uiPriority w:val="0"/>
    <w:pPr>
      <w:ind w:firstLine="420" w:firstLineChars="200"/>
    </w:pPr>
  </w:style>
  <w:style w:type="paragraph" w:customStyle="1" w:styleId="157">
    <w:name w:val="彩色列表 - 强调文字颜色 12"/>
    <w:basedOn w:val="1"/>
    <w:qFormat/>
    <w:uiPriority w:val="0"/>
    <w:pPr>
      <w:ind w:firstLine="420" w:firstLineChars="200"/>
    </w:pPr>
  </w:style>
  <w:style w:type="character" w:customStyle="1" w:styleId="158">
    <w:name w:val="Char Char8"/>
    <w:qFormat/>
    <w:uiPriority w:val="0"/>
    <w:rPr>
      <w:rFonts w:hint="eastAsia" w:ascii="宋体" w:hAnsi="宋体" w:eastAsia="宋体"/>
      <w:kern w:val="2"/>
      <w:sz w:val="28"/>
      <w:szCs w:val="28"/>
    </w:rPr>
  </w:style>
  <w:style w:type="character" w:customStyle="1" w:styleId="159">
    <w:name w:val="Char Char5"/>
    <w:qFormat/>
    <w:uiPriority w:val="0"/>
    <w:rPr>
      <w:kern w:val="2"/>
      <w:sz w:val="21"/>
      <w:szCs w:val="24"/>
    </w:rPr>
  </w:style>
  <w:style w:type="character" w:customStyle="1" w:styleId="160">
    <w:name w:val="列出段落 Char Char"/>
    <w:qFormat/>
    <w:uiPriority w:val="0"/>
    <w:rPr>
      <w:rFonts w:hint="default" w:ascii="Calibri" w:hAnsi="Calibri" w:cs="Calibri"/>
      <w:kern w:val="2"/>
      <w:sz w:val="21"/>
      <w:szCs w:val="22"/>
    </w:rPr>
  </w:style>
  <w:style w:type="character" w:customStyle="1" w:styleId="161">
    <w:name w:val="正文文本 Char Char"/>
    <w:qFormat/>
    <w:uiPriority w:val="0"/>
    <w:rPr>
      <w:kern w:val="2"/>
      <w:sz w:val="21"/>
      <w:szCs w:val="24"/>
    </w:rPr>
  </w:style>
  <w:style w:type="character" w:customStyle="1" w:styleId="162">
    <w:name w:val="Char Char11"/>
    <w:qFormat/>
    <w:uiPriority w:val="0"/>
    <w:rPr>
      <w:rFonts w:hint="default" w:ascii="Arial Narrow" w:hAnsi="Arial Narrow"/>
      <w:b/>
      <w:bCs/>
      <w:iCs/>
      <w:szCs w:val="24"/>
      <w:lang w:eastAsia="en-US"/>
    </w:rPr>
  </w:style>
  <w:style w:type="character" w:customStyle="1" w:styleId="163">
    <w:name w:val="标书（正文） Char Char"/>
    <w:qFormat/>
    <w:uiPriority w:val="0"/>
    <w:rPr>
      <w:rFonts w:hint="eastAsia" w:ascii="宋体" w:hAnsi="宋体" w:eastAsia="宋体"/>
      <w:b/>
      <w:kern w:val="10"/>
      <w:sz w:val="21"/>
      <w:szCs w:val="21"/>
      <w:lang w:val="en-US" w:eastAsia="zh-CN" w:bidi="ar-SA"/>
    </w:rPr>
  </w:style>
  <w:style w:type="character" w:customStyle="1" w:styleId="164">
    <w:name w:val="line2"/>
    <w:basedOn w:val="45"/>
    <w:qFormat/>
    <w:uiPriority w:val="0"/>
  </w:style>
  <w:style w:type="character" w:customStyle="1" w:styleId="165">
    <w:name w:val="Char Char10"/>
    <w:qFormat/>
    <w:uiPriority w:val="0"/>
    <w:rPr>
      <w:kern w:val="2"/>
      <w:sz w:val="24"/>
      <w:szCs w:val="24"/>
    </w:rPr>
  </w:style>
  <w:style w:type="character" w:customStyle="1" w:styleId="166">
    <w:name w:val="MM Topic 4 Char Char"/>
    <w:qFormat/>
    <w:uiPriority w:val="0"/>
    <w:rPr>
      <w:rFonts w:hint="default" w:ascii="Arial" w:hAnsi="Arial" w:cs="Arial"/>
      <w:b/>
      <w:bCs/>
      <w:kern w:val="2"/>
      <w:sz w:val="28"/>
      <w:szCs w:val="28"/>
    </w:rPr>
  </w:style>
  <w:style w:type="character" w:customStyle="1" w:styleId="167">
    <w:name w:val="标书正文:  0.74 厘米 Char Char"/>
    <w:qFormat/>
    <w:uiPriority w:val="0"/>
    <w:rPr>
      <w:kern w:val="2"/>
      <w:sz w:val="24"/>
    </w:rPr>
  </w:style>
  <w:style w:type="character" w:customStyle="1" w:styleId="168">
    <w:name w:val="访问过的超链接1"/>
    <w:qFormat/>
    <w:uiPriority w:val="99"/>
    <w:rPr>
      <w:color w:val="800080"/>
      <w:u w:val="single"/>
    </w:rPr>
  </w:style>
  <w:style w:type="character" w:customStyle="1" w:styleId="169">
    <w:name w:val="标题 3 Char Char Char"/>
    <w:qFormat/>
    <w:uiPriority w:val="0"/>
    <w:rPr>
      <w:rFonts w:hint="eastAsia" w:ascii="宋体" w:hAnsi="宋体" w:eastAsia="宋体"/>
      <w:b/>
      <w:kern w:val="2"/>
      <w:sz w:val="32"/>
      <w:lang w:val="en-US" w:eastAsia="zh-CN" w:bidi="ar-SA"/>
    </w:rPr>
  </w:style>
  <w:style w:type="character" w:customStyle="1" w:styleId="170">
    <w:name w:val="（符号）邀请函中一、"/>
    <w:qFormat/>
    <w:uiPriority w:val="0"/>
    <w:rPr>
      <w:rFonts w:hint="eastAsia" w:ascii="黑体" w:hAnsi="黑体" w:eastAsia="黑体"/>
      <w:b/>
      <w:bCs/>
      <w:sz w:val="24"/>
    </w:rPr>
  </w:style>
  <w:style w:type="character" w:customStyle="1" w:styleId="171">
    <w:name w:val="tt Char"/>
    <w:qFormat/>
    <w:uiPriority w:val="0"/>
    <w:rPr>
      <w:rFonts w:hint="default" w:ascii="Arial" w:hAnsi="Arial" w:eastAsia="黑体" w:cs="Arial"/>
      <w:kern w:val="2"/>
      <w:sz w:val="21"/>
      <w:szCs w:val="21"/>
    </w:rPr>
  </w:style>
  <w:style w:type="character" w:customStyle="1" w:styleId="172">
    <w:name w:val="Char Char9"/>
    <w:qFormat/>
    <w:uiPriority w:val="0"/>
    <w:rPr>
      <w:kern w:val="2"/>
      <w:sz w:val="18"/>
      <w:szCs w:val="18"/>
    </w:rPr>
  </w:style>
  <w:style w:type="character" w:customStyle="1" w:styleId="173">
    <w:name w:val="MM Topic 3 Char Char"/>
    <w:qFormat/>
    <w:uiPriority w:val="0"/>
    <w:rPr>
      <w:rFonts w:hint="eastAsia" w:ascii="宋体" w:hAnsi="宋体" w:eastAsia="宋体"/>
      <w:b/>
      <w:bCs/>
      <w:color w:val="000000"/>
      <w:kern w:val="2"/>
      <w:sz w:val="28"/>
      <w:szCs w:val="28"/>
    </w:rPr>
  </w:style>
  <w:style w:type="character" w:customStyle="1" w:styleId="174">
    <w:name w:val="样式 小四2 Char Char"/>
    <w:qFormat/>
    <w:uiPriority w:val="0"/>
    <w:rPr>
      <w:rFonts w:hint="eastAsia" w:ascii="宋体" w:hAnsi="宋体" w:eastAsia="宋体"/>
      <w:kern w:val="2"/>
      <w:sz w:val="24"/>
      <w:szCs w:val="24"/>
    </w:rPr>
  </w:style>
  <w:style w:type="character" w:customStyle="1" w:styleId="175">
    <w:name w:val="Char Char7"/>
    <w:qFormat/>
    <w:uiPriority w:val="0"/>
    <w:rPr>
      <w:kern w:val="2"/>
      <w:sz w:val="18"/>
      <w:szCs w:val="18"/>
    </w:rPr>
  </w:style>
  <w:style w:type="character" w:customStyle="1" w:styleId="176">
    <w:name w:val="Char Char3"/>
    <w:qFormat/>
    <w:uiPriority w:val="0"/>
    <w:rPr>
      <w:b/>
      <w:bCs/>
      <w:kern w:val="2"/>
      <w:sz w:val="18"/>
      <w:szCs w:val="18"/>
    </w:rPr>
  </w:style>
  <w:style w:type="character" w:customStyle="1" w:styleId="177">
    <w:name w:val="apple-style-span"/>
    <w:basedOn w:val="45"/>
    <w:qFormat/>
    <w:uiPriority w:val="0"/>
  </w:style>
  <w:style w:type="character" w:customStyle="1" w:styleId="178">
    <w:name w:val="Char Char4"/>
    <w:qFormat/>
    <w:uiPriority w:val="0"/>
    <w:rPr>
      <w:kern w:val="2"/>
      <w:sz w:val="18"/>
      <w:szCs w:val="18"/>
    </w:rPr>
  </w:style>
  <w:style w:type="character" w:customStyle="1" w:styleId="179">
    <w:name w:val="副标题 Char1"/>
    <w:qFormat/>
    <w:uiPriority w:val="11"/>
    <w:rPr>
      <w:rFonts w:hint="default" w:ascii="Cambria" w:hAnsi="Cambria" w:cs="Times New Roman"/>
      <w:b/>
      <w:bCs/>
      <w:kern w:val="28"/>
      <w:sz w:val="32"/>
      <w:szCs w:val="32"/>
    </w:rPr>
  </w:style>
  <w:style w:type="character" w:customStyle="1" w:styleId="180">
    <w:name w:val="small"/>
    <w:basedOn w:val="45"/>
    <w:qFormat/>
    <w:uiPriority w:val="0"/>
  </w:style>
  <w:style w:type="character" w:customStyle="1" w:styleId="181">
    <w:name w:val="Legal Level 1.1.1. Char"/>
    <w:qFormat/>
    <w:uiPriority w:val="0"/>
    <w:rPr>
      <w:rFonts w:hint="default" w:ascii="Arial" w:hAnsi="Arial" w:eastAsia="黑体" w:cs="Arial"/>
      <w:kern w:val="2"/>
      <w:sz w:val="24"/>
      <w:szCs w:val="24"/>
    </w:rPr>
  </w:style>
  <w:style w:type="character" w:customStyle="1" w:styleId="182">
    <w:name w:val="文章正文 Char Char"/>
    <w:qFormat/>
    <w:uiPriority w:val="0"/>
    <w:rPr>
      <w:rFonts w:hint="eastAsia" w:ascii="宋体" w:hAnsi="宋体" w:eastAsia="宋体"/>
      <w:kern w:val="2"/>
      <w:sz w:val="24"/>
      <w:szCs w:val="24"/>
      <w:lang w:val="en-US" w:eastAsia="zh-CN" w:bidi="ar-SA"/>
    </w:rPr>
  </w:style>
  <w:style w:type="character" w:customStyle="1" w:styleId="183">
    <w:name w:val="正文文本 Char1"/>
    <w:qFormat/>
    <w:uiPriority w:val="0"/>
    <w:rPr>
      <w:rFonts w:hint="default" w:ascii="Times New Roman" w:hAnsi="Times New Roman" w:eastAsia="宋体" w:cs="Times New Roman"/>
      <w:kern w:val="0"/>
      <w:sz w:val="18"/>
      <w:szCs w:val="18"/>
    </w:rPr>
  </w:style>
  <w:style w:type="character" w:customStyle="1" w:styleId="184">
    <w:name w:val="正文文本 字符"/>
    <w:basedOn w:val="45"/>
    <w:link w:val="2"/>
    <w:qFormat/>
    <w:locked/>
    <w:uiPriority w:val="0"/>
    <w:rPr>
      <w:rFonts w:ascii="Times New Roman" w:hAnsi="Times New Roman" w:eastAsia="宋体" w:cs="Times New Roman"/>
      <w:kern w:val="0"/>
      <w:sz w:val="20"/>
      <w:szCs w:val="20"/>
    </w:rPr>
  </w:style>
  <w:style w:type="character" w:customStyle="1" w:styleId="185">
    <w:name w:val="CD正文 Char Char"/>
    <w:qFormat/>
    <w:uiPriority w:val="0"/>
    <w:rPr>
      <w:rFonts w:hint="eastAsia" w:ascii="宋体" w:hAnsi="宋体" w:eastAsia="宋体"/>
      <w:kern w:val="2"/>
      <w:sz w:val="30"/>
      <w:szCs w:val="28"/>
      <w:lang w:val="en-US" w:eastAsia="zh-CN" w:bidi="ar-SA"/>
    </w:rPr>
  </w:style>
  <w:style w:type="character" w:customStyle="1" w:styleId="186">
    <w:name w:val="Char Char2"/>
    <w:qFormat/>
    <w:uiPriority w:val="0"/>
    <w:rPr>
      <w:kern w:val="2"/>
      <w:sz w:val="18"/>
      <w:szCs w:val="18"/>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字符"/>
    <w:link w:val="22"/>
    <w:qFormat/>
    <w:locked/>
    <w:uiPriority w:val="99"/>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文本缩进 2 Char1"/>
    <w:basedOn w:val="45"/>
    <w:semiHidden/>
    <w:qFormat/>
    <w:uiPriority w:val="99"/>
    <w:rPr>
      <w:rFonts w:hint="default" w:ascii="Calibri" w:hAnsi="Calibri" w:cs="Calibri"/>
      <w:kern w:val="2"/>
      <w:sz w:val="21"/>
      <w:szCs w:val="22"/>
    </w:rPr>
  </w:style>
  <w:style w:type="character" w:customStyle="1" w:styleId="192">
    <w:name w:val="正文文本缩进 Char1"/>
    <w:basedOn w:val="45"/>
    <w:semiHidden/>
    <w:qFormat/>
    <w:uiPriority w:val="99"/>
    <w:rPr>
      <w:rFonts w:hint="default" w:ascii="Calibri" w:hAnsi="Calibri" w:cs="Calibri"/>
      <w:kern w:val="2"/>
      <w:sz w:val="21"/>
      <w:szCs w:val="22"/>
    </w:rPr>
  </w:style>
  <w:style w:type="character" w:customStyle="1" w:styleId="193">
    <w:name w:val="页脚 Char1"/>
    <w:basedOn w:val="45"/>
    <w:semiHidden/>
    <w:qFormat/>
    <w:uiPriority w:val="99"/>
    <w:rPr>
      <w:rFonts w:hint="default" w:ascii="Calibri" w:hAnsi="Calibri" w:cs="Calibri"/>
      <w:kern w:val="2"/>
      <w:sz w:val="18"/>
      <w:szCs w:val="18"/>
    </w:rPr>
  </w:style>
  <w:style w:type="character" w:customStyle="1" w:styleId="194">
    <w:name w:val="正文文本 3 Char1"/>
    <w:basedOn w:val="45"/>
    <w:semiHidden/>
    <w:qFormat/>
    <w:uiPriority w:val="99"/>
    <w:rPr>
      <w:rFonts w:hint="default" w:ascii="Calibri" w:hAnsi="Calibri" w:cs="Calibri"/>
      <w:kern w:val="2"/>
      <w:sz w:val="16"/>
      <w:szCs w:val="16"/>
    </w:rPr>
  </w:style>
  <w:style w:type="character" w:customStyle="1" w:styleId="195">
    <w:name w:val="正文文本缩进 3 Char1"/>
    <w:basedOn w:val="45"/>
    <w:semiHidden/>
    <w:qFormat/>
    <w:uiPriority w:val="99"/>
    <w:rPr>
      <w:rFonts w:hint="default" w:ascii="Calibri" w:hAnsi="Calibri" w:cs="Calibri"/>
      <w:kern w:val="2"/>
      <w:sz w:val="16"/>
      <w:szCs w:val="16"/>
    </w:rPr>
  </w:style>
  <w:style w:type="character" w:customStyle="1" w:styleId="196">
    <w:name w:val="批注框文本 Char1"/>
    <w:basedOn w:val="45"/>
    <w:semiHidden/>
    <w:qFormat/>
    <w:uiPriority w:val="99"/>
    <w:rPr>
      <w:rFonts w:hint="default" w:ascii="Calibri" w:hAnsi="Calibri" w:cs="Calibri"/>
      <w:kern w:val="2"/>
      <w:sz w:val="18"/>
      <w:szCs w:val="18"/>
    </w:rPr>
  </w:style>
  <w:style w:type="character" w:customStyle="1" w:styleId="197">
    <w:name w:val="批注文字 字符"/>
    <w:basedOn w:val="45"/>
    <w:link w:val="16"/>
    <w:qFormat/>
    <w:locked/>
    <w:uiPriority w:val="99"/>
    <w:rPr>
      <w:rFonts w:ascii="Calibri" w:hAnsi="Calibri" w:eastAsia="宋体" w:cs="Times New Roman"/>
    </w:rPr>
  </w:style>
  <w:style w:type="character" w:customStyle="1" w:styleId="198">
    <w:name w:val="文档结构图 Char1"/>
    <w:basedOn w:val="45"/>
    <w:semiHidden/>
    <w:qFormat/>
    <w:uiPriority w:val="99"/>
    <w:rPr>
      <w:rFonts w:hint="eastAsia" w:ascii="宋体" w:hAnsi="Calibri" w:eastAsia="宋体"/>
      <w:kern w:val="2"/>
      <w:sz w:val="18"/>
      <w:szCs w:val="18"/>
    </w:rPr>
  </w:style>
  <w:style w:type="character" w:customStyle="1" w:styleId="199">
    <w:name w:val="页眉 Char1"/>
    <w:basedOn w:val="45"/>
    <w:semiHidden/>
    <w:qFormat/>
    <w:uiPriority w:val="99"/>
    <w:rPr>
      <w:rFonts w:hint="default" w:ascii="Calibri" w:hAnsi="Calibri" w:cs="Calibri"/>
      <w:kern w:val="2"/>
      <w:sz w:val="18"/>
      <w:szCs w:val="18"/>
    </w:rPr>
  </w:style>
  <w:style w:type="character" w:customStyle="1" w:styleId="200">
    <w:name w:val="日期 Char1"/>
    <w:basedOn w:val="45"/>
    <w:semiHidden/>
    <w:qFormat/>
    <w:uiPriority w:val="99"/>
    <w:rPr>
      <w:rFonts w:hint="default" w:ascii="Calibri" w:hAnsi="Calibri" w:cs="Calibri"/>
      <w:kern w:val="2"/>
      <w:sz w:val="21"/>
      <w:szCs w:val="22"/>
    </w:rPr>
  </w:style>
  <w:style w:type="character" w:customStyle="1" w:styleId="201">
    <w:name w:val="正文文本 Char3"/>
    <w:basedOn w:val="45"/>
    <w:semiHidden/>
    <w:qFormat/>
    <w:uiPriority w:val="99"/>
    <w:rPr>
      <w:rFonts w:hint="default" w:ascii="Calibri" w:hAnsi="Calibri" w:cs="Calibri"/>
      <w:kern w:val="2"/>
      <w:sz w:val="21"/>
      <w:szCs w:val="22"/>
    </w:rPr>
  </w:style>
  <w:style w:type="character" w:customStyle="1" w:styleId="202">
    <w:name w:val="纯文本 Char2"/>
    <w:basedOn w:val="45"/>
    <w:semiHidden/>
    <w:qFormat/>
    <w:uiPriority w:val="99"/>
    <w:rPr>
      <w:rFonts w:hint="eastAsia" w:ascii="宋体" w:hAnsi="Courier New" w:eastAsia="宋体" w:cs="Courier New"/>
      <w:kern w:val="2"/>
      <w:sz w:val="21"/>
      <w:szCs w:val="21"/>
    </w:rPr>
  </w:style>
  <w:style w:type="character" w:customStyle="1" w:styleId="203">
    <w:name w:val="正文首行缩进 Char1"/>
    <w:basedOn w:val="201"/>
    <w:semiHidden/>
    <w:qFormat/>
    <w:uiPriority w:val="99"/>
    <w:rPr>
      <w:rFonts w:hint="default" w:ascii="Calibri" w:hAnsi="Calibri" w:cs="Calibri"/>
      <w:kern w:val="2"/>
      <w:sz w:val="21"/>
      <w:szCs w:val="22"/>
    </w:rPr>
  </w:style>
  <w:style w:type="character" w:customStyle="1" w:styleId="204">
    <w:name w:val="正文文本 2 Char1"/>
    <w:basedOn w:val="45"/>
    <w:semiHidden/>
    <w:qFormat/>
    <w:uiPriority w:val="99"/>
    <w:rPr>
      <w:rFonts w:hint="default" w:ascii="Calibri" w:hAnsi="Calibri" w:cs="Calibri"/>
      <w:kern w:val="2"/>
      <w:sz w:val="21"/>
      <w:szCs w:val="22"/>
    </w:rPr>
  </w:style>
  <w:style w:type="character" w:customStyle="1" w:styleId="205">
    <w:name w:val="副标题 Char2"/>
    <w:basedOn w:val="45"/>
    <w:qFormat/>
    <w:uiPriority w:val="11"/>
    <w:rPr>
      <w:rFonts w:hint="default" w:asciiTheme="majorHAnsi" w:hAnsiTheme="majorHAnsi" w:cstheme="majorBidi"/>
      <w:b/>
      <w:bCs/>
      <w:kern w:val="28"/>
      <w:sz w:val="32"/>
      <w:szCs w:val="32"/>
    </w:rPr>
  </w:style>
  <w:style w:type="character" w:customStyle="1" w:styleId="206">
    <w:name w:val="正文缩进 Char"/>
    <w:qFormat/>
    <w:uiPriority w:val="0"/>
    <w:rPr>
      <w:kern w:val="2"/>
      <w:sz w:val="21"/>
    </w:rPr>
  </w:style>
  <w:style w:type="paragraph" w:customStyle="1" w:styleId="207">
    <w:name w:val="CD正文"/>
    <w:basedOn w:val="118"/>
    <w:qFormat/>
    <w:uiPriority w:val="0"/>
  </w:style>
  <w:style w:type="paragraph" w:customStyle="1" w:styleId="208">
    <w:name w:val="项目符号：一级"/>
    <w:basedOn w:val="127"/>
    <w:next w:val="127"/>
    <w:qFormat/>
    <w:uiPriority w:val="0"/>
  </w:style>
  <w:style w:type="character" w:customStyle="1" w:styleId="209">
    <w:name w:val="HTML 预设格式 字符"/>
    <w:basedOn w:val="45"/>
    <w:link w:val="38"/>
    <w:qFormat/>
    <w:uiPriority w:val="0"/>
    <w:rPr>
      <w:rFonts w:ascii="Arial" w:hAnsi="Arial" w:eastAsia="宋体" w:cs="Arial"/>
      <w:kern w:val="0"/>
      <w:sz w:val="24"/>
      <w:szCs w:val="28"/>
    </w:rPr>
  </w:style>
  <w:style w:type="paragraph" w:customStyle="1" w:styleId="210">
    <w:name w:val="修订1"/>
    <w:semiHidden/>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211">
    <w:name w:val="1 Char2"/>
    <w:basedOn w:val="1"/>
    <w:semiHidden/>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212">
    <w:name w:val="Normal_59"/>
    <w:qFormat/>
    <w:uiPriority w:val="0"/>
    <w:pPr>
      <w:spacing w:before="120" w:after="240" w:line="276" w:lineRule="auto"/>
      <w:jc w:val="both"/>
    </w:pPr>
    <w:rPr>
      <w:rFonts w:ascii="Times New Roman" w:hAnsi="Times New Roman" w:eastAsia="Calibri" w:cs="Times New Roman"/>
      <w:kern w:val="0"/>
      <w:sz w:val="22"/>
      <w:szCs w:val="22"/>
      <w:lang w:val="ru-RU" w:eastAsia="en-US" w:bidi="ar-SA"/>
    </w:rPr>
  </w:style>
  <w:style w:type="paragraph" w:customStyle="1" w:styleId="213">
    <w:name w:val="Char1 Char Char Char Char Char Char_0"/>
    <w:basedOn w:val="1"/>
    <w:qFormat/>
    <w:uiPriority w:val="0"/>
    <w:rPr>
      <w:rFonts w:ascii="Tahoma" w:hAnsi="Tahoma"/>
      <w:sz w:val="24"/>
      <w:szCs w:val="20"/>
    </w:rPr>
  </w:style>
  <w:style w:type="paragraph" w:customStyle="1" w:styleId="214">
    <w:name w:val="列出段落11"/>
    <w:basedOn w:val="1"/>
    <w:qFormat/>
    <w:uiPriority w:val="99"/>
    <w:pPr>
      <w:ind w:firstLine="420" w:firstLineChars="200"/>
    </w:pPr>
    <w:rPr>
      <w:rFonts w:ascii="Times New Roman" w:hAnsi="Times New Roman"/>
    </w:rPr>
  </w:style>
  <w:style w:type="paragraph" w:customStyle="1" w:styleId="215">
    <w:name w:val="样式 标题 2 + Times New Roman 四号 非加粗 段前: 5 磅 段后: 0 磅 行距: 固定值 20..."/>
    <w:basedOn w:val="4"/>
    <w:semiHidden/>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16">
    <w:name w:val="列出段落111"/>
    <w:basedOn w:val="1"/>
    <w:semiHidden/>
    <w:qFormat/>
    <w:uiPriority w:val="99"/>
    <w:pPr>
      <w:ind w:firstLine="420" w:firstLineChars="200"/>
    </w:pPr>
    <w:rPr>
      <w:rFonts w:ascii="Times New Roman" w:hAnsi="Times New Roman"/>
    </w:rPr>
  </w:style>
  <w:style w:type="character" w:customStyle="1" w:styleId="217">
    <w:name w:val="正文文本 Char2"/>
    <w:basedOn w:val="45"/>
    <w:qFormat/>
    <w:locked/>
    <w:uiPriority w:val="99"/>
    <w:rPr>
      <w:rFonts w:hint="default" w:ascii="Times New Roman" w:hAnsi="Times New Roman" w:eastAsia="宋体" w:cs="Times New Roman"/>
      <w:kern w:val="0"/>
      <w:sz w:val="20"/>
      <w:szCs w:val="20"/>
    </w:rPr>
  </w:style>
  <w:style w:type="character" w:customStyle="1" w:styleId="218">
    <w:name w:val="p121"/>
    <w:qFormat/>
    <w:uiPriority w:val="0"/>
    <w:rPr>
      <w:sz w:val="24"/>
    </w:rPr>
  </w:style>
  <w:style w:type="character" w:customStyle="1" w:styleId="219">
    <w:name w:val="列出段落 Char1"/>
    <w:qFormat/>
    <w:locked/>
    <w:uiPriority w:val="0"/>
    <w:rPr>
      <w:rFonts w:hint="default" w:ascii="Calibri" w:hAnsi="Calibri" w:cs="Calibri"/>
    </w:rPr>
  </w:style>
  <w:style w:type="paragraph" w:customStyle="1" w:styleId="220">
    <w:name w:val="修订11"/>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221">
    <w:name w:val="列表段落1"/>
    <w:basedOn w:val="1"/>
    <w:qFormat/>
    <w:uiPriority w:val="99"/>
    <w:pPr>
      <w:ind w:firstLine="420" w:firstLineChars="200"/>
    </w:pPr>
    <w:rPr>
      <w:rFonts w:ascii="宋体" w:hAnsi="宋体" w:cs="宋体"/>
      <w:sz w:val="28"/>
      <w:szCs w:val="28"/>
    </w:rPr>
  </w:style>
  <w:style w:type="character" w:customStyle="1" w:styleId="222">
    <w:name w:val="NormalCharacter"/>
    <w:qFormat/>
    <w:uiPriority w:val="0"/>
  </w:style>
  <w:style w:type="paragraph" w:customStyle="1" w:styleId="223">
    <w:name w:val="BodyText"/>
    <w:basedOn w:val="1"/>
    <w:qFormat/>
    <w:uiPriority w:val="0"/>
    <w:pPr>
      <w:widowControl/>
      <w:spacing w:after="120"/>
      <w:ind w:firstLine="560" w:firstLineChars="200"/>
      <w:textAlignment w:val="baseline"/>
    </w:pPr>
    <w:rPr>
      <w:rFonts w:ascii="宋体" w:hAnsi="宋体" w:cstheme="minorBidi"/>
      <w:sz w:val="28"/>
      <w:szCs w:val="28"/>
    </w:rPr>
  </w:style>
  <w:style w:type="character" w:customStyle="1" w:styleId="224">
    <w:name w:val="AnnotationReference"/>
    <w:qFormat/>
    <w:uiPriority w:val="0"/>
    <w:rPr>
      <w:sz w:val="21"/>
      <w:szCs w:val="21"/>
    </w:rPr>
  </w:style>
  <w:style w:type="paragraph" w:customStyle="1" w:styleId="225">
    <w:name w:val="179"/>
    <w:basedOn w:val="1"/>
    <w:qFormat/>
    <w:uiPriority w:val="0"/>
    <w:pPr>
      <w:widowControl/>
      <w:ind w:firstLine="420" w:firstLineChars="200"/>
      <w:textAlignment w:val="baseline"/>
    </w:pPr>
    <w:rPr>
      <w:rFonts w:ascii="宋体" w:hAnsi="宋体" w:cstheme="minorBidi"/>
      <w:sz w:val="28"/>
      <w:szCs w:val="28"/>
    </w:rPr>
  </w:style>
  <w:style w:type="paragraph" w:customStyle="1" w:styleId="226">
    <w:name w:val="Heading3"/>
    <w:basedOn w:val="1"/>
    <w:next w:val="1"/>
    <w:link w:val="227"/>
    <w:qFormat/>
    <w:uiPriority w:val="0"/>
    <w:pPr>
      <w:widowControl/>
      <w:spacing w:before="100" w:beforeAutospacing="1" w:after="100" w:afterAutospacing="1"/>
      <w:ind w:firstLine="560" w:firstLineChars="200"/>
      <w:jc w:val="left"/>
      <w:textAlignment w:val="baseline"/>
    </w:pPr>
    <w:rPr>
      <w:rFonts w:ascii="宋体" w:hAnsi="宋体" w:cs="宋体"/>
      <w:b/>
      <w:bCs/>
      <w:kern w:val="0"/>
      <w:sz w:val="27"/>
      <w:szCs w:val="27"/>
    </w:rPr>
  </w:style>
  <w:style w:type="character" w:customStyle="1" w:styleId="227">
    <w:name w:val="UserStyle_4"/>
    <w:link w:val="226"/>
    <w:qFormat/>
    <w:uiPriority w:val="0"/>
    <w:rPr>
      <w:rFonts w:ascii="宋体" w:hAnsi="宋体" w:eastAsia="宋体" w:cs="宋体"/>
      <w:b/>
      <w:bCs/>
      <w:kern w:val="0"/>
      <w:sz w:val="27"/>
      <w:szCs w:val="27"/>
    </w:rPr>
  </w:style>
  <w:style w:type="character" w:customStyle="1" w:styleId="228">
    <w:name w:val="样式 Char Char"/>
    <w:link w:val="122"/>
    <w:qFormat/>
    <w:locked/>
    <w:uiPriority w:val="0"/>
    <w:rPr>
      <w:rFonts w:ascii="宋体" w:hAnsi="宋体" w:eastAsia="宋体" w:cs="宋体"/>
      <w:kern w:val="0"/>
      <w:sz w:val="24"/>
      <w:szCs w:val="24"/>
    </w:rPr>
  </w:style>
  <w:style w:type="paragraph" w:customStyle="1" w:styleId="229">
    <w:name w:val="_Style 48"/>
    <w:basedOn w:val="1"/>
    <w:qFormat/>
    <w:uiPriority w:val="0"/>
    <w:pPr>
      <w:ind w:firstLine="420" w:firstLineChars="200"/>
    </w:pPr>
    <w:rPr>
      <w:rFonts w:ascii="宋体" w:hAnsi="宋体" w:cs="宋体"/>
      <w:sz w:val="28"/>
      <w:szCs w:val="28"/>
    </w:rPr>
  </w:style>
  <w:style w:type="character" w:customStyle="1" w:styleId="230">
    <w:name w:val="font61"/>
    <w:basedOn w:val="45"/>
    <w:qFormat/>
    <w:uiPriority w:val="0"/>
    <w:rPr>
      <w:rFonts w:hint="eastAsia" w:ascii="宋体" w:hAnsi="宋体" w:eastAsia="宋体" w:cs="宋体"/>
      <w:color w:val="000000"/>
      <w:sz w:val="18"/>
      <w:szCs w:val="18"/>
      <w:u w:val="none"/>
    </w:rPr>
  </w:style>
  <w:style w:type="character" w:customStyle="1" w:styleId="231">
    <w:name w:val="font91"/>
    <w:basedOn w:val="45"/>
    <w:qFormat/>
    <w:uiPriority w:val="0"/>
    <w:rPr>
      <w:rFonts w:hint="eastAsia" w:ascii="宋体" w:hAnsi="宋体" w:eastAsia="宋体" w:cs="宋体"/>
      <w:color w:val="000000"/>
      <w:sz w:val="18"/>
      <w:szCs w:val="18"/>
      <w:u w:val="none"/>
    </w:rPr>
  </w:style>
  <w:style w:type="character" w:customStyle="1" w:styleId="232">
    <w:name w:val="font41"/>
    <w:basedOn w:val="45"/>
    <w:qFormat/>
    <w:uiPriority w:val="0"/>
    <w:rPr>
      <w:rFonts w:hint="eastAsia" w:ascii="宋体" w:hAnsi="宋体" w:eastAsia="宋体" w:cs="宋体"/>
      <w:color w:val="000000"/>
      <w:sz w:val="21"/>
      <w:szCs w:val="21"/>
      <w:u w:val="none"/>
    </w:rPr>
  </w:style>
  <w:style w:type="character" w:customStyle="1" w:styleId="233">
    <w:name w:val="font31"/>
    <w:basedOn w:val="45"/>
    <w:qFormat/>
    <w:uiPriority w:val="0"/>
    <w:rPr>
      <w:rFonts w:hint="eastAsia" w:ascii="宋体" w:hAnsi="宋体" w:eastAsia="宋体" w:cs="宋体"/>
      <w:b/>
      <w:color w:val="000000"/>
      <w:sz w:val="18"/>
      <w:szCs w:val="18"/>
      <w:u w:val="none"/>
    </w:rPr>
  </w:style>
  <w:style w:type="character" w:customStyle="1" w:styleId="234">
    <w:name w:val="font101"/>
    <w:basedOn w:val="45"/>
    <w:qFormat/>
    <w:uiPriority w:val="0"/>
    <w:rPr>
      <w:rFonts w:hint="eastAsia" w:ascii="宋体" w:hAnsi="宋体" w:eastAsia="宋体" w:cs="宋体"/>
      <w:color w:val="FF0000"/>
      <w:sz w:val="18"/>
      <w:szCs w:val="18"/>
      <w:u w:val="none"/>
    </w:rPr>
  </w:style>
  <w:style w:type="character" w:customStyle="1" w:styleId="235">
    <w:name w:val="font51"/>
    <w:basedOn w:val="45"/>
    <w:qFormat/>
    <w:uiPriority w:val="0"/>
    <w:rPr>
      <w:rFonts w:ascii="Calibri" w:hAnsi="Calibri" w:cs="Calibri"/>
      <w:color w:val="000000"/>
      <w:sz w:val="21"/>
      <w:szCs w:val="21"/>
      <w:u w:val="none"/>
    </w:rPr>
  </w:style>
  <w:style w:type="paragraph" w:customStyle="1" w:styleId="236">
    <w:name w:val="Table Paragraph"/>
    <w:basedOn w:val="1"/>
    <w:qFormat/>
    <w:uiPriority w:val="1"/>
    <w:pPr>
      <w:ind w:firstLine="560" w:firstLineChars="200"/>
    </w:pPr>
    <w:rPr>
      <w:rFonts w:ascii="宋体" w:hAnsi="宋体" w:cs="宋体"/>
      <w:sz w:val="28"/>
      <w:szCs w:val="28"/>
      <w:lang w:val="zh-CN" w:bidi="zh-CN"/>
    </w:rPr>
  </w:style>
  <w:style w:type="paragraph" w:customStyle="1" w:styleId="237">
    <w:name w:val="_Style 3"/>
    <w:basedOn w:val="1"/>
    <w:qFormat/>
    <w:uiPriority w:val="34"/>
    <w:pPr>
      <w:ind w:firstLine="420" w:firstLineChars="200"/>
    </w:pPr>
  </w:style>
  <w:style w:type="paragraph" w:customStyle="1" w:styleId="238">
    <w:name w:val="_Style 4"/>
    <w:basedOn w:val="1"/>
    <w:qFormat/>
    <w:uiPriority w:val="0"/>
    <w:pPr>
      <w:spacing w:line="360" w:lineRule="auto"/>
      <w:ind w:firstLine="420" w:firstLineChars="200"/>
    </w:pPr>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884EB-6646-4D27-9C2E-703BB7E053E3}">
  <ds:schemaRefs/>
</ds:datastoreItem>
</file>

<file path=docProps/app.xml><?xml version="1.0" encoding="utf-8"?>
<Properties xmlns="http://schemas.openxmlformats.org/officeDocument/2006/extended-properties" xmlns:vt="http://schemas.openxmlformats.org/officeDocument/2006/docPropsVTypes">
  <Template>Normal.dotm</Template>
  <Pages>88</Pages>
  <Words>4566</Words>
  <Characters>26031</Characters>
  <Lines>216</Lines>
  <Paragraphs>61</Paragraphs>
  <TotalTime>9</TotalTime>
  <ScaleCrop>false</ScaleCrop>
  <LinksUpToDate>false</LinksUpToDate>
  <CharactersWithSpaces>30536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2021-04-30T05:13:00Z</dcterms:created>
  <dc:creator>罗川</dc:creator>
  <cp:lastModifiedBy>傲雪</cp:lastModifiedBy>
  <cp:lastPrinted>2021-06-22T09:52:00Z</cp:lastPrinted>
  <dcterms:modified xsi:type="dcterms:W3CDTF">2021-11-15T01:42:38Z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3F33E7765CDF4FA2B04AB055080680DD</vt:lpwstr>
  </property>
</Properties>
</file>