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ascii="华文中宋" w:hAnsi="华文中宋" w:eastAsia="华文中宋"/>
          <w:color w:val="000000" w:themeColor="text1"/>
          <w:sz w:val="28"/>
          <w:szCs w:val="18"/>
          <w14:textFill>
            <w14:solidFill>
              <w14:schemeClr w14:val="tx1"/>
            </w14:solidFill>
          </w14:textFill>
        </w:rPr>
      </w:pPr>
    </w:p>
    <w:p>
      <w:pPr>
        <w:spacing w:line="360" w:lineRule="auto"/>
        <w:jc w:val="center"/>
        <w:rPr>
          <w:rFonts w:ascii="华文中宋" w:hAnsi="华文中宋" w:eastAsia="华文中宋"/>
          <w:color w:val="000000" w:themeColor="text1"/>
          <w:spacing w:val="42"/>
          <w:sz w:val="130"/>
          <w:szCs w:val="130"/>
          <w14:textFill>
            <w14:solidFill>
              <w14:schemeClr w14:val="tx1"/>
            </w14:solidFill>
          </w14:textFill>
        </w:rPr>
      </w:pPr>
      <w:r>
        <w:rPr>
          <w:rFonts w:hint="eastAsia" w:ascii="华文中宋" w:hAnsi="华文中宋" w:eastAsia="华文中宋"/>
          <w:color w:val="000000" w:themeColor="text1"/>
          <w:spacing w:val="42"/>
          <w:sz w:val="130"/>
          <w:szCs w:val="130"/>
          <w14:textFill>
            <w14:solidFill>
              <w14:schemeClr w14:val="tx1"/>
            </w14:solidFill>
          </w14:textFill>
        </w:rPr>
        <w:t>招 标 文 件</w:t>
      </w:r>
    </w:p>
    <w:p>
      <w:pPr>
        <w:tabs>
          <w:tab w:val="left" w:pos="2552"/>
        </w:tabs>
        <w:spacing w:line="360" w:lineRule="auto"/>
        <w:ind w:left="1733" w:leftChars="269" w:hanging="1168" w:hangingChars="487"/>
        <w:rPr>
          <w:rFonts w:ascii="华文中宋" w:hAnsi="华文中宋" w:eastAsia="华文中宋"/>
          <w:color w:val="000000" w:themeColor="text1"/>
          <w:sz w:val="24"/>
          <w14:textFill>
            <w14:solidFill>
              <w14:schemeClr w14:val="tx1"/>
            </w14:solidFill>
          </w14:textFill>
        </w:rPr>
      </w:pPr>
    </w:p>
    <w:p>
      <w:pPr>
        <w:tabs>
          <w:tab w:val="left" w:pos="2552"/>
        </w:tabs>
        <w:spacing w:line="360" w:lineRule="auto"/>
        <w:ind w:left="1733" w:leftChars="269" w:hanging="1168" w:hangingChars="487"/>
        <w:rPr>
          <w:rFonts w:ascii="华文中宋" w:hAnsi="华文中宋" w:eastAsia="华文中宋"/>
          <w:color w:val="000000" w:themeColor="text1"/>
          <w:sz w:val="24"/>
          <w14:textFill>
            <w14:solidFill>
              <w14:schemeClr w14:val="tx1"/>
            </w14:solidFill>
          </w14:textFill>
        </w:rPr>
      </w:pPr>
    </w:p>
    <w:p>
      <w:pPr>
        <w:tabs>
          <w:tab w:val="left" w:pos="2552"/>
        </w:tabs>
        <w:spacing w:line="360" w:lineRule="auto"/>
        <w:ind w:left="1733" w:leftChars="269" w:hanging="1168" w:hangingChars="487"/>
        <w:rPr>
          <w:rFonts w:ascii="华文中宋" w:hAnsi="华文中宋" w:eastAsia="华文中宋"/>
          <w:color w:val="000000" w:themeColor="text1"/>
          <w:sz w:val="24"/>
          <w14:textFill>
            <w14:solidFill>
              <w14:schemeClr w14:val="tx1"/>
            </w14:solidFill>
          </w14:textFill>
        </w:rPr>
      </w:pPr>
    </w:p>
    <w:p>
      <w:pPr>
        <w:tabs>
          <w:tab w:val="left" w:pos="2552"/>
        </w:tabs>
        <w:spacing w:line="360" w:lineRule="auto"/>
        <w:ind w:left="1733" w:leftChars="269" w:hanging="1168" w:hangingChars="487"/>
        <w:rPr>
          <w:rFonts w:ascii="华文中宋" w:hAnsi="华文中宋" w:eastAsia="华文中宋"/>
          <w:color w:val="000000" w:themeColor="text1"/>
          <w:sz w:val="24"/>
          <w14:textFill>
            <w14:solidFill>
              <w14:schemeClr w14:val="tx1"/>
            </w14:solidFill>
          </w14:textFill>
        </w:rPr>
      </w:pPr>
    </w:p>
    <w:p>
      <w:pPr>
        <w:tabs>
          <w:tab w:val="left" w:pos="2552"/>
        </w:tabs>
        <w:spacing w:line="360" w:lineRule="auto"/>
        <w:ind w:left="1733" w:leftChars="269" w:hanging="1168" w:hangingChars="487"/>
        <w:rPr>
          <w:rFonts w:ascii="华文中宋" w:hAnsi="华文中宋" w:eastAsia="华文中宋"/>
          <w:color w:val="000000" w:themeColor="text1"/>
          <w:sz w:val="24"/>
          <w14:textFill>
            <w14:solidFill>
              <w14:schemeClr w14:val="tx1"/>
            </w14:solidFill>
          </w14:textFill>
        </w:rPr>
      </w:pPr>
    </w:p>
    <w:p>
      <w:pPr>
        <w:tabs>
          <w:tab w:val="left" w:pos="2552"/>
        </w:tabs>
        <w:spacing w:line="360" w:lineRule="auto"/>
        <w:ind w:left="1733" w:leftChars="269" w:hanging="1168" w:hangingChars="487"/>
        <w:rPr>
          <w:rFonts w:ascii="华文中宋" w:hAnsi="华文中宋" w:eastAsia="华文中宋"/>
          <w:color w:val="000000" w:themeColor="text1"/>
          <w:sz w:val="24"/>
          <w14:textFill>
            <w14:solidFill>
              <w14:schemeClr w14:val="tx1"/>
            </w14:solidFill>
          </w14:textFill>
        </w:rPr>
      </w:pPr>
    </w:p>
    <w:p>
      <w:pPr>
        <w:tabs>
          <w:tab w:val="left" w:pos="2552"/>
        </w:tabs>
        <w:spacing w:line="360" w:lineRule="auto"/>
        <w:ind w:left="2123" w:leftChars="269" w:hanging="1558" w:hangingChars="487"/>
        <w:rPr>
          <w:rFonts w:ascii="华文中宋" w:hAnsi="华文中宋" w:eastAsia="华文中宋"/>
          <w:color w:val="000000" w:themeColor="text1"/>
          <w:sz w:val="32"/>
          <w:szCs w:val="32"/>
          <w14:textFill>
            <w14:solidFill>
              <w14:schemeClr w14:val="tx1"/>
            </w14:solidFill>
          </w14:textFill>
        </w:rPr>
      </w:pPr>
      <w:r>
        <w:rPr>
          <w:rFonts w:hint="eastAsia" w:ascii="华文中宋" w:hAnsi="华文中宋" w:eastAsia="华文中宋"/>
          <w:color w:val="000000" w:themeColor="text1"/>
          <w:sz w:val="32"/>
          <w:szCs w:val="32"/>
          <w14:textFill>
            <w14:solidFill>
              <w14:schemeClr w14:val="tx1"/>
            </w14:solidFill>
          </w14:textFill>
        </w:rPr>
        <w:t>项目名称：成都市新津区人民医院中央运输、保洁服务外包项目</w:t>
      </w:r>
    </w:p>
    <w:p>
      <w:pPr>
        <w:spacing w:line="360" w:lineRule="auto"/>
        <w:ind w:firstLine="566" w:firstLineChars="177"/>
        <w:rPr>
          <w:rFonts w:hint="eastAsia" w:ascii="华文中宋" w:hAnsi="华文中宋" w:eastAsia="华文中宋"/>
          <w:color w:val="000000" w:themeColor="text1"/>
          <w:sz w:val="32"/>
          <w:szCs w:val="32"/>
          <w:lang w:eastAsia="zh-CN"/>
          <w14:textFill>
            <w14:solidFill>
              <w14:schemeClr w14:val="tx1"/>
            </w14:solidFill>
          </w14:textFill>
        </w:rPr>
      </w:pPr>
      <w:r>
        <w:rPr>
          <w:rFonts w:hint="eastAsia" w:ascii="华文中宋" w:hAnsi="华文中宋" w:eastAsia="华文中宋"/>
          <w:color w:val="000000" w:themeColor="text1"/>
          <w:sz w:val="32"/>
          <w:szCs w:val="32"/>
          <w14:textFill>
            <w14:solidFill>
              <w14:schemeClr w14:val="tx1"/>
            </w14:solidFill>
          </w14:textFill>
        </w:rPr>
        <w:t>项目编号：</w:t>
      </w:r>
      <w:r>
        <w:rPr>
          <w:rFonts w:hint="eastAsia" w:ascii="华文中宋" w:hAnsi="华文中宋" w:eastAsia="华文中宋"/>
          <w:color w:val="000000" w:themeColor="text1"/>
          <w:sz w:val="32"/>
          <w:szCs w:val="32"/>
          <w:lang w:eastAsia="zh-CN"/>
          <w14:textFill>
            <w14:solidFill>
              <w14:schemeClr w14:val="tx1"/>
            </w14:solidFill>
          </w14:textFill>
        </w:rPr>
        <w:t>新津政采（2021）A0001号</w:t>
      </w:r>
    </w:p>
    <w:p>
      <w:pPr>
        <w:spacing w:line="360" w:lineRule="auto"/>
        <w:rPr>
          <w:rFonts w:ascii="华文中宋" w:hAnsi="华文中宋" w:eastAsia="华文中宋"/>
          <w:color w:val="000000" w:themeColor="text1"/>
          <w:kern w:val="24"/>
          <w:sz w:val="32"/>
          <w:szCs w:val="32"/>
          <w14:textFill>
            <w14:solidFill>
              <w14:schemeClr w14:val="tx1"/>
            </w14:solidFill>
          </w14:textFill>
        </w:rPr>
      </w:pPr>
    </w:p>
    <w:p>
      <w:pPr>
        <w:pStyle w:val="2"/>
        <w:rPr>
          <w:rFonts w:ascii="华文中宋" w:hAnsi="华文中宋" w:eastAsia="华文中宋"/>
          <w:color w:val="000000" w:themeColor="text1"/>
          <w:kern w:val="24"/>
          <w:sz w:val="32"/>
          <w:szCs w:val="32"/>
          <w14:textFill>
            <w14:solidFill>
              <w14:schemeClr w14:val="tx1"/>
            </w14:solidFill>
          </w14:textFill>
        </w:rPr>
      </w:pPr>
    </w:p>
    <w:p>
      <w:pPr>
        <w:pStyle w:val="2"/>
        <w:rPr>
          <w:rFonts w:ascii="华文中宋" w:hAnsi="华文中宋" w:eastAsia="华文中宋"/>
          <w:color w:val="000000" w:themeColor="text1"/>
          <w:kern w:val="24"/>
          <w:sz w:val="32"/>
          <w:szCs w:val="32"/>
          <w14:textFill>
            <w14:solidFill>
              <w14:schemeClr w14:val="tx1"/>
            </w14:solidFill>
          </w14:textFill>
        </w:rPr>
      </w:pPr>
    </w:p>
    <w:p>
      <w:pPr>
        <w:pStyle w:val="2"/>
        <w:rPr>
          <w:rFonts w:ascii="华文中宋" w:hAnsi="华文中宋" w:eastAsia="华文中宋"/>
          <w:color w:val="000000" w:themeColor="text1"/>
          <w:kern w:val="24"/>
          <w:sz w:val="32"/>
          <w:szCs w:val="32"/>
          <w14:textFill>
            <w14:solidFill>
              <w14:schemeClr w14:val="tx1"/>
            </w14:solidFill>
          </w14:textFill>
        </w:rPr>
      </w:pPr>
    </w:p>
    <w:p>
      <w:pPr>
        <w:pStyle w:val="2"/>
        <w:rPr>
          <w:rFonts w:ascii="华文中宋" w:hAnsi="华文中宋" w:eastAsia="华文中宋"/>
          <w:color w:val="000000" w:themeColor="text1"/>
          <w:kern w:val="24"/>
          <w:sz w:val="32"/>
          <w:szCs w:val="32"/>
          <w14:textFill>
            <w14:solidFill>
              <w14:schemeClr w14:val="tx1"/>
            </w14:solidFill>
          </w14:textFill>
        </w:rPr>
      </w:pPr>
    </w:p>
    <w:p>
      <w:pPr>
        <w:spacing w:line="360" w:lineRule="auto"/>
        <w:jc w:val="center"/>
        <w:rPr>
          <w:rFonts w:ascii="华文中宋" w:hAnsi="华文中宋" w:eastAsia="华文中宋"/>
          <w:color w:val="000000" w:themeColor="text1"/>
          <w:sz w:val="32"/>
          <w:szCs w:val="32"/>
          <w14:textFill>
            <w14:solidFill>
              <w14:schemeClr w14:val="tx1"/>
            </w14:solidFill>
          </w14:textFill>
        </w:rPr>
      </w:pPr>
      <w:r>
        <w:rPr>
          <w:rFonts w:hint="eastAsia" w:ascii="华文中宋" w:hAnsi="华文中宋" w:eastAsia="华文中宋"/>
          <w:color w:val="000000" w:themeColor="text1"/>
          <w:sz w:val="32"/>
          <w:szCs w:val="32"/>
          <w14:textFill>
            <w14:solidFill>
              <w14:schemeClr w14:val="tx1"/>
            </w14:solidFill>
          </w14:textFill>
        </w:rPr>
        <w:t>成都市新津区人民医院（成都市新津区急救指挥分中心）、</w:t>
      </w:r>
    </w:p>
    <w:p>
      <w:pPr>
        <w:spacing w:line="360" w:lineRule="auto"/>
        <w:jc w:val="center"/>
        <w:rPr>
          <w:rFonts w:ascii="华文中宋" w:hAnsi="华文中宋" w:eastAsia="华文中宋"/>
          <w:color w:val="000000" w:themeColor="text1"/>
          <w:sz w:val="32"/>
          <w:szCs w:val="32"/>
          <w14:textFill>
            <w14:solidFill>
              <w14:schemeClr w14:val="tx1"/>
            </w14:solidFill>
          </w14:textFill>
        </w:rPr>
      </w:pPr>
      <w:r>
        <w:rPr>
          <w:rFonts w:hint="eastAsia" w:ascii="华文中宋" w:hAnsi="华文中宋" w:eastAsia="华文中宋"/>
          <w:color w:val="000000" w:themeColor="text1"/>
          <w:sz w:val="32"/>
          <w:szCs w:val="32"/>
          <w14:textFill>
            <w14:solidFill>
              <w14:schemeClr w14:val="tx1"/>
            </w14:solidFill>
          </w14:textFill>
        </w:rPr>
        <w:t>成都市新津区公共资源交易服务中心共同编制</w:t>
      </w:r>
    </w:p>
    <w:p>
      <w:pPr>
        <w:spacing w:line="360" w:lineRule="auto"/>
        <w:jc w:val="center"/>
        <w:rPr>
          <w:rFonts w:ascii="华文中宋" w:hAnsi="华文中宋" w:eastAsia="华文中宋"/>
          <w:color w:val="000000" w:themeColor="text1"/>
          <w:sz w:val="32"/>
          <w:szCs w:val="32"/>
          <w14:textFill>
            <w14:solidFill>
              <w14:schemeClr w14:val="tx1"/>
            </w14:solidFill>
          </w14:textFill>
        </w:rPr>
      </w:pPr>
      <w:r>
        <w:rPr>
          <w:rFonts w:hint="eastAsia" w:ascii="华文中宋" w:hAnsi="华文中宋" w:eastAsia="华文中宋"/>
          <w:color w:val="000000" w:themeColor="text1"/>
          <w:sz w:val="32"/>
          <w:szCs w:val="32"/>
          <w14:textFill>
            <w14:solidFill>
              <w14:schemeClr w14:val="tx1"/>
            </w14:solidFill>
          </w14:textFill>
        </w:rPr>
        <w:t>二〇二一年六月</w:t>
      </w:r>
    </w:p>
    <w:p>
      <w:pPr>
        <w:spacing w:line="360" w:lineRule="auto"/>
        <w:jc w:val="center"/>
        <w:rPr>
          <w:rFonts w:ascii="宋体" w:hAnsi="宋体"/>
          <w:b/>
          <w:color w:val="000000" w:themeColor="text1"/>
          <w:sz w:val="32"/>
          <w14:textFill>
            <w14:solidFill>
              <w14:schemeClr w14:val="tx1"/>
            </w14:solidFill>
          </w14:textFill>
        </w:rPr>
      </w:pPr>
      <w:r>
        <w:rPr>
          <w:rFonts w:hint="eastAsia" w:ascii="宋体" w:hAnsi="宋体"/>
          <w:color w:val="000000" w:themeColor="text1"/>
          <w:kern w:val="0"/>
          <w14:textFill>
            <w14:solidFill>
              <w14:schemeClr w14:val="tx1"/>
            </w14:solidFill>
          </w14:textFill>
        </w:rPr>
        <w:br w:type="page"/>
      </w:r>
      <w:bookmarkStart w:id="0" w:name="_Toc148505181"/>
      <w:bookmarkStart w:id="1" w:name="_Toc101234248"/>
      <w:bookmarkStart w:id="2" w:name="_Toc101328520"/>
      <w:bookmarkStart w:id="3" w:name="_Toc101247312"/>
      <w:r>
        <w:rPr>
          <w:rFonts w:hint="eastAsia" w:ascii="宋体" w:hAnsi="宋体"/>
          <w:b/>
          <w:color w:val="000000" w:themeColor="text1"/>
          <w:sz w:val="28"/>
          <w:szCs w:val="32"/>
          <w14:textFill>
            <w14:solidFill>
              <w14:schemeClr w14:val="tx1"/>
            </w14:solidFill>
          </w14:textFill>
        </w:rPr>
        <w:t>目 录</w:t>
      </w:r>
    </w:p>
    <w:sdt>
      <w:sdtPr>
        <w:rPr>
          <w:rFonts w:ascii="宋体" w:hAnsi="宋体" w:eastAsia="华文中宋"/>
          <w:smallCaps/>
          <w:color w:val="000000" w:themeColor="text1"/>
          <w:sz w:val="20"/>
          <w:szCs w:val="20"/>
          <w14:textFill>
            <w14:solidFill>
              <w14:schemeClr w14:val="tx1"/>
            </w14:solidFill>
          </w14:textFill>
        </w:rPr>
        <w:id w:val="147456339"/>
        <w:docPartObj>
          <w:docPartGallery w:val="Table of Contents"/>
          <w:docPartUnique/>
        </w:docPartObj>
      </w:sdtPr>
      <w:sdtEndPr>
        <w:rPr>
          <w:rFonts w:ascii="宋体" w:hAnsi="宋体" w:eastAsia="华文中宋"/>
          <w:smallCaps/>
          <w:color w:val="000000" w:themeColor="text1"/>
          <w:sz w:val="20"/>
          <w:szCs w:val="20"/>
          <w14:textFill>
            <w14:solidFill>
              <w14:schemeClr w14:val="tx1"/>
            </w14:solidFill>
          </w14:textFill>
        </w:rPr>
      </w:sdtEndPr>
      <w:sdtContent>
        <w:p>
          <w:pPr>
            <w:rPr>
              <w:color w:val="000000" w:themeColor="text1"/>
              <w14:textFill>
                <w14:solidFill>
                  <w14:schemeClr w14:val="tx1"/>
                </w14:solidFill>
              </w14:textFill>
            </w:rPr>
          </w:pPr>
        </w:p>
        <w:p>
          <w:pPr>
            <w:pStyle w:val="31"/>
            <w:tabs>
              <w:tab w:val="right" w:leader="dot" w:pos="8504"/>
              <w:tab w:val="clear" w:pos="709"/>
              <w:tab w:val="clear" w:pos="8364"/>
            </w:tabs>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TOC \o "1-2" \h \u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fldChar w:fldCharType="begin"/>
          </w:r>
          <w:r>
            <w:rPr>
              <w:rFonts w:hint="eastAsia"/>
            </w:rPr>
            <w:instrText xml:space="preserve"> HYPERLINK \l _Toc27347 </w:instrText>
          </w:r>
          <w:r>
            <w:rPr>
              <w:rFonts w:hint="eastAsia"/>
            </w:rPr>
            <w:fldChar w:fldCharType="separate"/>
          </w:r>
          <w:r>
            <w:rPr>
              <w:rFonts w:hint="default" w:ascii="Times New Roman" w:hAnsi="Times New Roman" w:eastAsia="宋体" w:cs="Times New Roman"/>
              <w:i w:val="0"/>
              <w:szCs w:val="32"/>
            </w:rPr>
            <w:t xml:space="preserve">第1章 </w:t>
          </w:r>
          <w:r>
            <w:rPr>
              <w:rFonts w:hint="eastAsia"/>
            </w:rPr>
            <w:t>投标邀请</w:t>
          </w:r>
          <w:r>
            <w:tab/>
          </w:r>
          <w:r>
            <w:fldChar w:fldCharType="begin"/>
          </w:r>
          <w:r>
            <w:instrText xml:space="preserve"> PAGEREF _Toc27347 </w:instrText>
          </w:r>
          <w:r>
            <w:fldChar w:fldCharType="separate"/>
          </w:r>
          <w:r>
            <w:t>3</w:t>
          </w:r>
          <w:r>
            <w:fldChar w:fldCharType="end"/>
          </w:r>
          <w:r>
            <w:rPr>
              <w:rFonts w:hint="eastAsia"/>
              <w:color w:val="000000" w:themeColor="text1"/>
              <w14:textFill>
                <w14:solidFill>
                  <w14:schemeClr w14:val="tx1"/>
                </w14:solidFill>
              </w14:textFill>
            </w:rPr>
            <w:fldChar w:fldCharType="end"/>
          </w:r>
        </w:p>
        <w:p>
          <w:pPr>
            <w:pStyle w:val="31"/>
            <w:tabs>
              <w:tab w:val="right" w:leader="dot" w:pos="8504"/>
              <w:tab w:val="clear" w:pos="709"/>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_Toc28193 </w:instrText>
          </w:r>
          <w:r>
            <w:rPr>
              <w:rFonts w:hint="eastAsia"/>
            </w:rPr>
            <w:fldChar w:fldCharType="separate"/>
          </w:r>
          <w:r>
            <w:rPr>
              <w:rFonts w:hint="default" w:ascii="Times New Roman" w:hAnsi="Times New Roman" w:eastAsia="宋体" w:cs="Times New Roman"/>
              <w:i w:val="0"/>
              <w:szCs w:val="32"/>
            </w:rPr>
            <w:t xml:space="preserve">第2章 </w:t>
          </w:r>
          <w:r>
            <w:rPr>
              <w:rFonts w:hint="eastAsia"/>
            </w:rPr>
            <w:t>投标人须知</w:t>
          </w:r>
          <w:r>
            <w:tab/>
          </w:r>
          <w:r>
            <w:fldChar w:fldCharType="begin"/>
          </w:r>
          <w:r>
            <w:instrText xml:space="preserve"> PAGEREF _Toc28193 </w:instrText>
          </w:r>
          <w:r>
            <w:fldChar w:fldCharType="separate"/>
          </w:r>
          <w:r>
            <w:t>8</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_Toc21123 </w:instrText>
          </w:r>
          <w:r>
            <w:rPr>
              <w:rFonts w:hint="eastAsia"/>
            </w:rPr>
            <w:fldChar w:fldCharType="separate"/>
          </w:r>
          <w:r>
            <w:rPr>
              <w:rFonts w:hint="default" w:ascii="Times New Roman" w:hAnsi="Times New Roman" w:eastAsia="宋体" w:cs="Times New Roman"/>
              <w:i w:val="0"/>
              <w:szCs w:val="28"/>
            </w:rPr>
            <w:t xml:space="preserve">2.1 </w:t>
          </w:r>
          <w:r>
            <w:rPr>
              <w:rFonts w:hint="eastAsia"/>
            </w:rPr>
            <w:t>投标人须知前附表</w:t>
          </w:r>
          <w:r>
            <w:tab/>
          </w:r>
          <w:r>
            <w:fldChar w:fldCharType="begin"/>
          </w:r>
          <w:r>
            <w:instrText xml:space="preserve"> PAGEREF _Toc21123 </w:instrText>
          </w:r>
          <w:r>
            <w:fldChar w:fldCharType="separate"/>
          </w:r>
          <w:r>
            <w:t>8</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_Toc24047 </w:instrText>
          </w:r>
          <w:r>
            <w:rPr>
              <w:rFonts w:hint="eastAsia"/>
            </w:rPr>
            <w:fldChar w:fldCharType="separate"/>
          </w:r>
          <w:r>
            <w:rPr>
              <w:rFonts w:hint="default" w:ascii="Times New Roman" w:hAnsi="Times New Roman" w:eastAsia="宋体" w:cs="Times New Roman"/>
              <w:i w:val="0"/>
              <w:szCs w:val="28"/>
            </w:rPr>
            <w:t xml:space="preserve">2.2 </w:t>
          </w:r>
          <w:r>
            <w:rPr>
              <w:rFonts w:hint="eastAsia"/>
            </w:rPr>
            <w:t>总则</w:t>
          </w:r>
          <w:r>
            <w:tab/>
          </w:r>
          <w:r>
            <w:fldChar w:fldCharType="begin"/>
          </w:r>
          <w:r>
            <w:instrText xml:space="preserve"> PAGEREF _Toc24047 </w:instrText>
          </w:r>
          <w:r>
            <w:fldChar w:fldCharType="separate"/>
          </w:r>
          <w:r>
            <w:t>10</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_Toc18341 </w:instrText>
          </w:r>
          <w:r>
            <w:rPr>
              <w:rFonts w:hint="eastAsia"/>
            </w:rPr>
            <w:fldChar w:fldCharType="separate"/>
          </w:r>
          <w:r>
            <w:rPr>
              <w:rFonts w:hint="default" w:ascii="Times New Roman" w:hAnsi="Times New Roman" w:eastAsia="宋体" w:cs="Times New Roman"/>
              <w:i w:val="0"/>
              <w:szCs w:val="28"/>
            </w:rPr>
            <w:t xml:space="preserve">2.3 </w:t>
          </w:r>
          <w:r>
            <w:rPr>
              <w:rFonts w:hint="eastAsia"/>
            </w:rPr>
            <w:t>招标文件</w:t>
          </w:r>
          <w:r>
            <w:tab/>
          </w:r>
          <w:r>
            <w:fldChar w:fldCharType="begin"/>
          </w:r>
          <w:r>
            <w:instrText xml:space="preserve"> PAGEREF _Toc18341 </w:instrText>
          </w:r>
          <w:r>
            <w:fldChar w:fldCharType="separate"/>
          </w:r>
          <w:r>
            <w:t>12</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_Toc1411 </w:instrText>
          </w:r>
          <w:r>
            <w:rPr>
              <w:rFonts w:hint="eastAsia"/>
            </w:rPr>
            <w:fldChar w:fldCharType="separate"/>
          </w:r>
          <w:r>
            <w:rPr>
              <w:rFonts w:hint="default" w:ascii="Times New Roman" w:hAnsi="Times New Roman" w:eastAsia="宋体" w:cs="Times New Roman"/>
              <w:i w:val="0"/>
              <w:szCs w:val="28"/>
            </w:rPr>
            <w:t xml:space="preserve">2.4 </w:t>
          </w:r>
          <w:r>
            <w:rPr>
              <w:rFonts w:hint="eastAsia"/>
            </w:rPr>
            <w:t>投标文件</w:t>
          </w:r>
          <w:r>
            <w:tab/>
          </w:r>
          <w:r>
            <w:fldChar w:fldCharType="begin"/>
          </w:r>
          <w:r>
            <w:instrText xml:space="preserve"> PAGEREF _Toc1411 </w:instrText>
          </w:r>
          <w:r>
            <w:fldChar w:fldCharType="separate"/>
          </w:r>
          <w:r>
            <w:t>14</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_Toc15900 </w:instrText>
          </w:r>
          <w:r>
            <w:rPr>
              <w:rFonts w:hint="eastAsia"/>
            </w:rPr>
            <w:fldChar w:fldCharType="separate"/>
          </w:r>
          <w:r>
            <w:rPr>
              <w:rFonts w:hint="default" w:ascii="Times New Roman" w:hAnsi="Times New Roman" w:eastAsia="宋体" w:cs="Times New Roman"/>
              <w:i w:val="0"/>
              <w:szCs w:val="28"/>
            </w:rPr>
            <w:t xml:space="preserve">2.5 </w:t>
          </w:r>
          <w:r>
            <w:rPr>
              <w:rFonts w:hint="eastAsia"/>
            </w:rPr>
            <w:t>开标、资格审查、评标和中标</w:t>
          </w:r>
          <w:r>
            <w:tab/>
          </w:r>
          <w:r>
            <w:fldChar w:fldCharType="begin"/>
          </w:r>
          <w:r>
            <w:instrText xml:space="preserve"> PAGEREF _Toc15900 </w:instrText>
          </w:r>
          <w:r>
            <w:fldChar w:fldCharType="separate"/>
          </w:r>
          <w:r>
            <w:t>21</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_Toc21543 </w:instrText>
          </w:r>
          <w:r>
            <w:rPr>
              <w:rFonts w:hint="eastAsia"/>
            </w:rPr>
            <w:fldChar w:fldCharType="separate"/>
          </w:r>
          <w:r>
            <w:rPr>
              <w:rFonts w:hint="default" w:ascii="Times New Roman" w:hAnsi="Times New Roman" w:eastAsia="宋体" w:cs="Times New Roman"/>
              <w:i w:val="0"/>
              <w:szCs w:val="28"/>
            </w:rPr>
            <w:t xml:space="preserve">2.6 </w:t>
          </w:r>
          <w:r>
            <w:rPr>
              <w:rFonts w:hint="eastAsia"/>
            </w:rPr>
            <w:t>签订及履行合同和验收</w:t>
          </w:r>
          <w:r>
            <w:tab/>
          </w:r>
          <w:r>
            <w:fldChar w:fldCharType="begin"/>
          </w:r>
          <w:r>
            <w:instrText xml:space="preserve"> PAGEREF _Toc21543 </w:instrText>
          </w:r>
          <w:r>
            <w:fldChar w:fldCharType="separate"/>
          </w:r>
          <w:r>
            <w:t>23</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_Toc20271 </w:instrText>
          </w:r>
          <w:r>
            <w:rPr>
              <w:rFonts w:hint="eastAsia"/>
            </w:rPr>
            <w:fldChar w:fldCharType="separate"/>
          </w:r>
          <w:r>
            <w:rPr>
              <w:rFonts w:hint="default" w:ascii="Times New Roman" w:hAnsi="Times New Roman" w:eastAsia="宋体" w:cs="Times New Roman"/>
              <w:i w:val="0"/>
              <w:szCs w:val="28"/>
            </w:rPr>
            <w:t xml:space="preserve">2.7 </w:t>
          </w:r>
          <w:r>
            <w:rPr>
              <w:rFonts w:hint="eastAsia"/>
            </w:rPr>
            <w:t>投标纪律要求</w:t>
          </w:r>
          <w:r>
            <w:tab/>
          </w:r>
          <w:r>
            <w:fldChar w:fldCharType="begin"/>
          </w:r>
          <w:r>
            <w:instrText xml:space="preserve"> PAGEREF _Toc20271 </w:instrText>
          </w:r>
          <w:r>
            <w:fldChar w:fldCharType="separate"/>
          </w:r>
          <w:r>
            <w:t>26</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_Toc28811 </w:instrText>
          </w:r>
          <w:r>
            <w:rPr>
              <w:rFonts w:hint="eastAsia"/>
            </w:rPr>
            <w:fldChar w:fldCharType="separate"/>
          </w:r>
          <w:r>
            <w:rPr>
              <w:rFonts w:hint="default" w:ascii="Times New Roman" w:hAnsi="Times New Roman" w:eastAsia="宋体" w:cs="Times New Roman"/>
              <w:i w:val="0"/>
              <w:szCs w:val="28"/>
            </w:rPr>
            <w:t xml:space="preserve">2.8 </w:t>
          </w:r>
          <w:r>
            <w:rPr>
              <w:rFonts w:hint="eastAsia"/>
            </w:rPr>
            <w:t>询问、质疑和投诉</w:t>
          </w:r>
          <w:r>
            <w:tab/>
          </w:r>
          <w:r>
            <w:fldChar w:fldCharType="begin"/>
          </w:r>
          <w:r>
            <w:instrText xml:space="preserve"> PAGEREF _Toc28811 </w:instrText>
          </w:r>
          <w:r>
            <w:fldChar w:fldCharType="separate"/>
          </w:r>
          <w:r>
            <w:t>29</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_Toc14158 </w:instrText>
          </w:r>
          <w:r>
            <w:rPr>
              <w:rFonts w:hint="eastAsia"/>
            </w:rPr>
            <w:fldChar w:fldCharType="separate"/>
          </w:r>
          <w:r>
            <w:rPr>
              <w:rFonts w:hint="default" w:ascii="Times New Roman" w:hAnsi="Times New Roman" w:eastAsia="宋体" w:cs="Times New Roman"/>
              <w:i w:val="0"/>
              <w:szCs w:val="28"/>
            </w:rPr>
            <w:t xml:space="preserve">2.9 </w:t>
          </w:r>
          <w:r>
            <w:rPr>
              <w:rFonts w:hint="eastAsia"/>
            </w:rPr>
            <w:t>中小企业政府采购信用融资</w:t>
          </w:r>
          <w:r>
            <w:tab/>
          </w:r>
          <w:r>
            <w:fldChar w:fldCharType="begin"/>
          </w:r>
          <w:r>
            <w:instrText xml:space="preserve"> PAGEREF _Toc14158 </w:instrText>
          </w:r>
          <w:r>
            <w:fldChar w:fldCharType="separate"/>
          </w:r>
          <w:r>
            <w:t>30</w:t>
          </w:r>
          <w:r>
            <w:fldChar w:fldCharType="end"/>
          </w:r>
          <w:r>
            <w:rPr>
              <w:rFonts w:hint="eastAsia"/>
              <w:color w:val="000000" w:themeColor="text1"/>
              <w14:textFill>
                <w14:solidFill>
                  <w14:schemeClr w14:val="tx1"/>
                </w14:solidFill>
              </w14:textFill>
            </w:rPr>
            <w:fldChar w:fldCharType="end"/>
          </w:r>
        </w:p>
        <w:p>
          <w:pPr>
            <w:pStyle w:val="31"/>
            <w:tabs>
              <w:tab w:val="right" w:leader="dot" w:pos="8504"/>
              <w:tab w:val="clear" w:pos="709"/>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_Toc31726 </w:instrText>
          </w:r>
          <w:r>
            <w:rPr>
              <w:rFonts w:hint="eastAsia"/>
            </w:rPr>
            <w:fldChar w:fldCharType="separate"/>
          </w:r>
          <w:r>
            <w:rPr>
              <w:rFonts w:hint="default" w:ascii="Times New Roman" w:hAnsi="Times New Roman" w:eastAsia="宋体" w:cs="Times New Roman"/>
              <w:i w:val="0"/>
              <w:szCs w:val="32"/>
            </w:rPr>
            <w:t xml:space="preserve">第3章 </w:t>
          </w:r>
          <w:r>
            <w:rPr>
              <w:rFonts w:hint="eastAsia"/>
            </w:rPr>
            <w:t>投标文件格式</w:t>
          </w:r>
          <w:r>
            <w:tab/>
          </w:r>
          <w:r>
            <w:fldChar w:fldCharType="begin"/>
          </w:r>
          <w:r>
            <w:instrText xml:space="preserve"> PAGEREF _Toc31726 </w:instrText>
          </w:r>
          <w:r>
            <w:fldChar w:fldCharType="separate"/>
          </w:r>
          <w:r>
            <w:t>31</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_Toc22274 </w:instrText>
          </w:r>
          <w:r>
            <w:rPr>
              <w:rFonts w:hint="eastAsia"/>
            </w:rPr>
            <w:fldChar w:fldCharType="separate"/>
          </w:r>
          <w:r>
            <w:rPr>
              <w:rFonts w:hint="default" w:ascii="Times New Roman" w:hAnsi="Times New Roman" w:eastAsia="宋体" w:cs="Times New Roman"/>
              <w:i w:val="0"/>
              <w:szCs w:val="28"/>
            </w:rPr>
            <w:t xml:space="preserve">3.1 </w:t>
          </w:r>
          <w:r>
            <w:rPr>
              <w:rFonts w:hint="eastAsia"/>
            </w:rPr>
            <w:t>投标文件封面格式</w:t>
          </w:r>
          <w:r>
            <w:tab/>
          </w:r>
          <w:r>
            <w:fldChar w:fldCharType="begin"/>
          </w:r>
          <w:r>
            <w:instrText xml:space="preserve"> PAGEREF _Toc22274 </w:instrText>
          </w:r>
          <w:r>
            <w:fldChar w:fldCharType="separate"/>
          </w:r>
          <w:r>
            <w:t>31</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_Toc12250 </w:instrText>
          </w:r>
          <w:r>
            <w:rPr>
              <w:rFonts w:hint="eastAsia"/>
            </w:rPr>
            <w:fldChar w:fldCharType="separate"/>
          </w:r>
          <w:r>
            <w:rPr>
              <w:rFonts w:hint="default" w:ascii="Times New Roman" w:hAnsi="Times New Roman" w:eastAsia="宋体" w:cs="Times New Roman"/>
              <w:i w:val="0"/>
              <w:szCs w:val="28"/>
            </w:rPr>
            <w:t xml:space="preserve">3.2 </w:t>
          </w:r>
          <w:r>
            <w:rPr>
              <w:rFonts w:hint="eastAsia"/>
            </w:rPr>
            <w:t>资格性审查部分</w:t>
          </w:r>
          <w:r>
            <w:tab/>
          </w:r>
          <w:r>
            <w:fldChar w:fldCharType="begin"/>
          </w:r>
          <w:r>
            <w:instrText xml:space="preserve"> PAGEREF _Toc12250 </w:instrText>
          </w:r>
          <w:r>
            <w:fldChar w:fldCharType="separate"/>
          </w:r>
          <w:r>
            <w:t>32</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_Toc30794 </w:instrText>
          </w:r>
          <w:r>
            <w:rPr>
              <w:rFonts w:hint="eastAsia"/>
            </w:rPr>
            <w:fldChar w:fldCharType="separate"/>
          </w:r>
          <w:r>
            <w:rPr>
              <w:rFonts w:hint="default" w:ascii="Times New Roman" w:hAnsi="Times New Roman" w:eastAsia="宋体" w:cs="Times New Roman"/>
              <w:i w:val="0"/>
              <w:szCs w:val="28"/>
            </w:rPr>
            <w:t xml:space="preserve">3.3 </w:t>
          </w:r>
          <w:r>
            <w:rPr>
              <w:rFonts w:hint="eastAsia"/>
            </w:rPr>
            <w:t>服务、商务及其他要求响应部分</w:t>
          </w:r>
          <w:r>
            <w:tab/>
          </w:r>
          <w:r>
            <w:fldChar w:fldCharType="begin"/>
          </w:r>
          <w:r>
            <w:instrText xml:space="preserve"> PAGEREF _Toc30794 </w:instrText>
          </w:r>
          <w:r>
            <w:fldChar w:fldCharType="separate"/>
          </w:r>
          <w:r>
            <w:t>36</w:t>
          </w:r>
          <w:r>
            <w:fldChar w:fldCharType="end"/>
          </w:r>
          <w:r>
            <w:rPr>
              <w:rFonts w:hint="eastAsia"/>
              <w:color w:val="000000" w:themeColor="text1"/>
              <w14:textFill>
                <w14:solidFill>
                  <w14:schemeClr w14:val="tx1"/>
                </w14:solidFill>
              </w14:textFill>
            </w:rPr>
            <w:fldChar w:fldCharType="end"/>
          </w:r>
        </w:p>
        <w:p>
          <w:pPr>
            <w:pStyle w:val="31"/>
            <w:tabs>
              <w:tab w:val="right" w:leader="dot" w:pos="8504"/>
              <w:tab w:val="clear" w:pos="709"/>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_Toc12930 </w:instrText>
          </w:r>
          <w:r>
            <w:rPr>
              <w:rFonts w:hint="eastAsia"/>
            </w:rPr>
            <w:fldChar w:fldCharType="separate"/>
          </w:r>
          <w:r>
            <w:rPr>
              <w:rFonts w:hint="default" w:ascii="Times New Roman" w:hAnsi="Times New Roman" w:eastAsia="宋体" w:cs="Times New Roman"/>
              <w:i w:val="0"/>
              <w:szCs w:val="32"/>
            </w:rPr>
            <w:t xml:space="preserve">第4章 </w:t>
          </w:r>
          <w:r>
            <w:rPr>
              <w:rFonts w:hint="eastAsia"/>
            </w:rPr>
            <w:t>招标项目服务、商务及其他要求</w:t>
          </w:r>
          <w:r>
            <w:tab/>
          </w:r>
          <w:r>
            <w:fldChar w:fldCharType="begin"/>
          </w:r>
          <w:r>
            <w:instrText xml:space="preserve"> PAGEREF _Toc12930 </w:instrText>
          </w:r>
          <w:r>
            <w:fldChar w:fldCharType="separate"/>
          </w:r>
          <w:r>
            <w:t>46</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_Toc25588 </w:instrText>
          </w:r>
          <w:r>
            <w:rPr>
              <w:rFonts w:hint="eastAsia"/>
            </w:rPr>
            <w:fldChar w:fldCharType="separate"/>
          </w:r>
          <w:r>
            <w:rPr>
              <w:rFonts w:hint="default" w:ascii="Times New Roman" w:hAnsi="Times New Roman" w:eastAsia="宋体" w:cs="Times New Roman"/>
              <w:i w:val="0"/>
              <w:szCs w:val="28"/>
            </w:rPr>
            <w:t xml:space="preserve">4.1 </w:t>
          </w:r>
          <w:r>
            <w:rPr>
              <w:rFonts w:hint="eastAsia"/>
            </w:rPr>
            <w:t>项目概况</w:t>
          </w:r>
          <w:r>
            <w:tab/>
          </w:r>
          <w:r>
            <w:fldChar w:fldCharType="begin"/>
          </w:r>
          <w:r>
            <w:instrText xml:space="preserve"> PAGEREF _Toc25588 </w:instrText>
          </w:r>
          <w:r>
            <w:fldChar w:fldCharType="separate"/>
          </w:r>
          <w:r>
            <w:t>46</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_Toc7997 </w:instrText>
          </w:r>
          <w:r>
            <w:rPr>
              <w:rFonts w:hint="eastAsia"/>
            </w:rPr>
            <w:fldChar w:fldCharType="separate"/>
          </w:r>
          <w:r>
            <w:rPr>
              <w:rFonts w:hint="default" w:ascii="Times New Roman" w:hAnsi="Times New Roman" w:eastAsia="宋体" w:cs="Times New Roman"/>
              <w:i w:val="0"/>
              <w:szCs w:val="28"/>
            </w:rPr>
            <w:t xml:space="preserve">4.2 </w:t>
          </w:r>
          <w:r>
            <w:rPr>
              <w:rFonts w:hint="eastAsia"/>
            </w:rPr>
            <w:t>服务内容及要求</w:t>
          </w:r>
          <w:r>
            <w:tab/>
          </w:r>
          <w:r>
            <w:fldChar w:fldCharType="begin"/>
          </w:r>
          <w:r>
            <w:instrText xml:space="preserve"> PAGEREF _Toc7997 </w:instrText>
          </w:r>
          <w:r>
            <w:fldChar w:fldCharType="separate"/>
          </w:r>
          <w:r>
            <w:t>46</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_Toc28344 </w:instrText>
          </w:r>
          <w:r>
            <w:rPr>
              <w:rFonts w:hint="eastAsia"/>
            </w:rPr>
            <w:fldChar w:fldCharType="separate"/>
          </w:r>
          <w:r>
            <w:rPr>
              <w:rFonts w:hint="default" w:ascii="Times New Roman" w:hAnsi="Times New Roman" w:eastAsia="宋体" w:cs="Times New Roman"/>
              <w:i w:val="0"/>
              <w:szCs w:val="28"/>
            </w:rPr>
            <w:t xml:space="preserve">4.3 </w:t>
          </w:r>
          <w:r>
            <w:rPr>
              <w:rFonts w:hint="eastAsia"/>
            </w:rPr>
            <w:t>商务要求</w:t>
          </w:r>
          <w:r>
            <w:tab/>
          </w:r>
          <w:r>
            <w:fldChar w:fldCharType="begin"/>
          </w:r>
          <w:r>
            <w:instrText xml:space="preserve"> PAGEREF _Toc28344 </w:instrText>
          </w:r>
          <w:r>
            <w:fldChar w:fldCharType="separate"/>
          </w:r>
          <w:r>
            <w:t>81</w:t>
          </w:r>
          <w:r>
            <w:fldChar w:fldCharType="end"/>
          </w:r>
          <w:r>
            <w:rPr>
              <w:rFonts w:hint="eastAsia"/>
              <w:color w:val="000000" w:themeColor="text1"/>
              <w14:textFill>
                <w14:solidFill>
                  <w14:schemeClr w14:val="tx1"/>
                </w14:solidFill>
              </w14:textFill>
            </w:rPr>
            <w:fldChar w:fldCharType="end"/>
          </w:r>
        </w:p>
        <w:p>
          <w:pPr>
            <w:pStyle w:val="31"/>
            <w:tabs>
              <w:tab w:val="right" w:leader="dot" w:pos="8504"/>
              <w:tab w:val="clear" w:pos="709"/>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_Toc27576 </w:instrText>
          </w:r>
          <w:r>
            <w:rPr>
              <w:rFonts w:hint="eastAsia"/>
            </w:rPr>
            <w:fldChar w:fldCharType="separate"/>
          </w:r>
          <w:r>
            <w:rPr>
              <w:rFonts w:hint="default" w:ascii="Times New Roman" w:hAnsi="Times New Roman" w:eastAsia="宋体" w:cs="Times New Roman"/>
              <w:i w:val="0"/>
              <w:szCs w:val="32"/>
            </w:rPr>
            <w:t xml:space="preserve">第5章 </w:t>
          </w:r>
          <w:r>
            <w:rPr>
              <w:rFonts w:hint="eastAsia"/>
            </w:rPr>
            <w:t>资格性审查</w:t>
          </w:r>
          <w:r>
            <w:tab/>
          </w:r>
          <w:r>
            <w:fldChar w:fldCharType="begin"/>
          </w:r>
          <w:r>
            <w:instrText xml:space="preserve"> PAGEREF _Toc27576 </w:instrText>
          </w:r>
          <w:r>
            <w:fldChar w:fldCharType="separate"/>
          </w:r>
          <w:r>
            <w:t>97</w:t>
          </w:r>
          <w:r>
            <w:fldChar w:fldCharType="end"/>
          </w:r>
          <w:r>
            <w:rPr>
              <w:rFonts w:hint="eastAsia"/>
              <w:color w:val="000000" w:themeColor="text1"/>
              <w14:textFill>
                <w14:solidFill>
                  <w14:schemeClr w14:val="tx1"/>
                </w14:solidFill>
              </w14:textFill>
            </w:rPr>
            <w:fldChar w:fldCharType="end"/>
          </w:r>
        </w:p>
        <w:p>
          <w:pPr>
            <w:pStyle w:val="31"/>
            <w:tabs>
              <w:tab w:val="right" w:leader="dot" w:pos="8504"/>
              <w:tab w:val="clear" w:pos="709"/>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_Toc9238 </w:instrText>
          </w:r>
          <w:r>
            <w:rPr>
              <w:rFonts w:hint="eastAsia"/>
            </w:rPr>
            <w:fldChar w:fldCharType="separate"/>
          </w:r>
          <w:r>
            <w:rPr>
              <w:rFonts w:hint="default" w:ascii="Times New Roman" w:hAnsi="Times New Roman" w:eastAsia="宋体" w:cs="Times New Roman"/>
              <w:i w:val="0"/>
              <w:szCs w:val="32"/>
            </w:rPr>
            <w:t xml:space="preserve">第6章 </w:t>
          </w:r>
          <w:r>
            <w:rPr>
              <w:rFonts w:hint="eastAsia"/>
            </w:rPr>
            <w:t>评标办法</w:t>
          </w:r>
          <w:r>
            <w:tab/>
          </w:r>
          <w:r>
            <w:fldChar w:fldCharType="begin"/>
          </w:r>
          <w:r>
            <w:instrText xml:space="preserve"> PAGEREF _Toc9238 </w:instrText>
          </w:r>
          <w:r>
            <w:fldChar w:fldCharType="separate"/>
          </w:r>
          <w:r>
            <w:t>102</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_Toc22481 </w:instrText>
          </w:r>
          <w:r>
            <w:rPr>
              <w:rFonts w:hint="eastAsia"/>
            </w:rPr>
            <w:fldChar w:fldCharType="separate"/>
          </w:r>
          <w:r>
            <w:rPr>
              <w:rFonts w:hint="default" w:ascii="Times New Roman" w:hAnsi="Times New Roman" w:eastAsia="宋体" w:cs="Times New Roman"/>
              <w:i w:val="0"/>
              <w:szCs w:val="28"/>
            </w:rPr>
            <w:t xml:space="preserve">6.1 </w:t>
          </w:r>
          <w:r>
            <w:rPr>
              <w:rFonts w:hint="eastAsia"/>
            </w:rPr>
            <w:t>总则</w:t>
          </w:r>
          <w:r>
            <w:tab/>
          </w:r>
          <w:r>
            <w:fldChar w:fldCharType="begin"/>
          </w:r>
          <w:r>
            <w:instrText xml:space="preserve"> PAGEREF _Toc22481 </w:instrText>
          </w:r>
          <w:r>
            <w:fldChar w:fldCharType="separate"/>
          </w:r>
          <w:r>
            <w:t>102</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_Toc9549 </w:instrText>
          </w:r>
          <w:r>
            <w:rPr>
              <w:rFonts w:hint="eastAsia"/>
            </w:rPr>
            <w:fldChar w:fldCharType="separate"/>
          </w:r>
          <w:r>
            <w:rPr>
              <w:rFonts w:hint="default" w:ascii="Times New Roman" w:hAnsi="Times New Roman" w:eastAsia="宋体" w:cs="Times New Roman"/>
              <w:i w:val="0"/>
              <w:szCs w:val="28"/>
            </w:rPr>
            <w:t xml:space="preserve">6.2 </w:t>
          </w:r>
          <w:r>
            <w:rPr>
              <w:rFonts w:hint="eastAsia"/>
            </w:rPr>
            <w:t>评标方法</w:t>
          </w:r>
          <w:r>
            <w:tab/>
          </w:r>
          <w:r>
            <w:fldChar w:fldCharType="begin"/>
          </w:r>
          <w:r>
            <w:instrText xml:space="preserve"> PAGEREF _Toc9549 </w:instrText>
          </w:r>
          <w:r>
            <w:fldChar w:fldCharType="separate"/>
          </w:r>
          <w:r>
            <w:t>103</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_Toc17727 </w:instrText>
          </w:r>
          <w:r>
            <w:rPr>
              <w:rFonts w:hint="eastAsia"/>
            </w:rPr>
            <w:fldChar w:fldCharType="separate"/>
          </w:r>
          <w:r>
            <w:rPr>
              <w:rFonts w:hint="default" w:ascii="Times New Roman" w:hAnsi="Times New Roman" w:eastAsia="宋体" w:cs="Times New Roman"/>
              <w:i w:val="0"/>
              <w:szCs w:val="28"/>
            </w:rPr>
            <w:t xml:space="preserve">6.3 </w:t>
          </w:r>
          <w:r>
            <w:rPr>
              <w:rFonts w:hint="eastAsia"/>
            </w:rPr>
            <w:t>评标程序</w:t>
          </w:r>
          <w:r>
            <w:tab/>
          </w:r>
          <w:r>
            <w:fldChar w:fldCharType="begin"/>
          </w:r>
          <w:r>
            <w:instrText xml:space="preserve"> PAGEREF _Toc17727 </w:instrText>
          </w:r>
          <w:r>
            <w:fldChar w:fldCharType="separate"/>
          </w:r>
          <w:r>
            <w:t>103</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_Toc17638 </w:instrText>
          </w:r>
          <w:r>
            <w:rPr>
              <w:rFonts w:hint="eastAsia"/>
            </w:rPr>
            <w:fldChar w:fldCharType="separate"/>
          </w:r>
          <w:r>
            <w:rPr>
              <w:rFonts w:hint="default" w:ascii="Times New Roman" w:hAnsi="Times New Roman" w:eastAsia="宋体" w:cs="Times New Roman"/>
              <w:i w:val="0"/>
              <w:szCs w:val="28"/>
            </w:rPr>
            <w:t xml:space="preserve">6.4 </w:t>
          </w:r>
          <w:r>
            <w:rPr>
              <w:rFonts w:hint="eastAsia"/>
            </w:rPr>
            <w:t>评标争议处理规则</w:t>
          </w:r>
          <w:r>
            <w:tab/>
          </w:r>
          <w:r>
            <w:fldChar w:fldCharType="begin"/>
          </w:r>
          <w:r>
            <w:instrText xml:space="preserve"> PAGEREF _Toc17638 </w:instrText>
          </w:r>
          <w:r>
            <w:fldChar w:fldCharType="separate"/>
          </w:r>
          <w:r>
            <w:t>110</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_Toc32107 </w:instrText>
          </w:r>
          <w:r>
            <w:rPr>
              <w:rFonts w:hint="eastAsia"/>
            </w:rPr>
            <w:fldChar w:fldCharType="separate"/>
          </w:r>
          <w:r>
            <w:rPr>
              <w:rFonts w:hint="default" w:ascii="Times New Roman" w:hAnsi="Times New Roman" w:eastAsia="宋体" w:cs="Times New Roman"/>
              <w:i w:val="0"/>
              <w:szCs w:val="28"/>
            </w:rPr>
            <w:t xml:space="preserve">6.5 </w:t>
          </w:r>
          <w:r>
            <w:rPr>
              <w:rFonts w:hint="eastAsia"/>
            </w:rPr>
            <w:t>评标细则及标准</w:t>
          </w:r>
          <w:r>
            <w:tab/>
          </w:r>
          <w:r>
            <w:fldChar w:fldCharType="begin"/>
          </w:r>
          <w:r>
            <w:instrText xml:space="preserve"> PAGEREF _Toc32107 </w:instrText>
          </w:r>
          <w:r>
            <w:fldChar w:fldCharType="separate"/>
          </w:r>
          <w:r>
            <w:t>110</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_Toc27552 </w:instrText>
          </w:r>
          <w:r>
            <w:rPr>
              <w:rFonts w:hint="eastAsia"/>
            </w:rPr>
            <w:fldChar w:fldCharType="separate"/>
          </w:r>
          <w:r>
            <w:rPr>
              <w:rFonts w:hint="default" w:ascii="Times New Roman" w:hAnsi="Times New Roman" w:eastAsia="宋体" w:cs="Times New Roman"/>
              <w:i w:val="0"/>
              <w:szCs w:val="28"/>
            </w:rPr>
            <w:t xml:space="preserve">6.6 </w:t>
          </w:r>
          <w:r>
            <w:rPr>
              <w:rFonts w:hint="eastAsia"/>
            </w:rPr>
            <w:t>废标</w:t>
          </w:r>
          <w:r>
            <w:tab/>
          </w:r>
          <w:r>
            <w:fldChar w:fldCharType="begin"/>
          </w:r>
          <w:r>
            <w:instrText xml:space="preserve"> PAGEREF _Toc27552 </w:instrText>
          </w:r>
          <w:r>
            <w:fldChar w:fldCharType="separate"/>
          </w:r>
          <w:r>
            <w:t>117</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_Toc24360 </w:instrText>
          </w:r>
          <w:r>
            <w:rPr>
              <w:rFonts w:hint="eastAsia"/>
            </w:rPr>
            <w:fldChar w:fldCharType="separate"/>
          </w:r>
          <w:r>
            <w:rPr>
              <w:rFonts w:hint="default" w:ascii="Times New Roman" w:hAnsi="Times New Roman" w:eastAsia="宋体" w:cs="Times New Roman"/>
              <w:i w:val="0"/>
              <w:szCs w:val="28"/>
            </w:rPr>
            <w:t xml:space="preserve">6.7 </w:t>
          </w:r>
          <w:r>
            <w:rPr>
              <w:rFonts w:hint="eastAsia"/>
            </w:rPr>
            <w:t>定标</w:t>
          </w:r>
          <w:r>
            <w:tab/>
          </w:r>
          <w:r>
            <w:fldChar w:fldCharType="begin"/>
          </w:r>
          <w:r>
            <w:instrText xml:space="preserve"> PAGEREF _Toc24360 </w:instrText>
          </w:r>
          <w:r>
            <w:fldChar w:fldCharType="separate"/>
          </w:r>
          <w:r>
            <w:t>117</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_Toc31174 </w:instrText>
          </w:r>
          <w:r>
            <w:rPr>
              <w:rFonts w:hint="eastAsia"/>
            </w:rPr>
            <w:fldChar w:fldCharType="separate"/>
          </w:r>
          <w:r>
            <w:rPr>
              <w:rFonts w:hint="default" w:ascii="Times New Roman" w:hAnsi="Times New Roman" w:eastAsia="宋体" w:cs="Times New Roman"/>
              <w:i w:val="0"/>
              <w:szCs w:val="28"/>
            </w:rPr>
            <w:t xml:space="preserve">6.8 </w:t>
          </w:r>
          <w:r>
            <w:rPr>
              <w:rFonts w:hint="eastAsia"/>
            </w:rPr>
            <w:t>评标专家在政府采购活动中承担以下义务</w:t>
          </w:r>
          <w:r>
            <w:tab/>
          </w:r>
          <w:r>
            <w:fldChar w:fldCharType="begin"/>
          </w:r>
          <w:r>
            <w:instrText xml:space="preserve"> PAGEREF _Toc31174 </w:instrText>
          </w:r>
          <w:r>
            <w:fldChar w:fldCharType="separate"/>
          </w:r>
          <w:r>
            <w:t>118</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_Toc31542 </w:instrText>
          </w:r>
          <w:r>
            <w:rPr>
              <w:rFonts w:hint="eastAsia"/>
            </w:rPr>
            <w:fldChar w:fldCharType="separate"/>
          </w:r>
          <w:r>
            <w:rPr>
              <w:rFonts w:hint="default" w:ascii="Times New Roman" w:hAnsi="Times New Roman" w:eastAsia="宋体" w:cs="Times New Roman"/>
              <w:i w:val="0"/>
              <w:szCs w:val="28"/>
            </w:rPr>
            <w:t xml:space="preserve">6.9 </w:t>
          </w:r>
          <w:r>
            <w:rPr>
              <w:rFonts w:hint="eastAsia"/>
            </w:rPr>
            <w:t>评标委员会及其成员不得有下列行为：</w:t>
          </w:r>
          <w:r>
            <w:tab/>
          </w:r>
          <w:r>
            <w:fldChar w:fldCharType="begin"/>
          </w:r>
          <w:r>
            <w:instrText xml:space="preserve"> PAGEREF _Toc31542 </w:instrText>
          </w:r>
          <w:r>
            <w:fldChar w:fldCharType="separate"/>
          </w:r>
          <w:r>
            <w:t>119</w:t>
          </w:r>
          <w:r>
            <w:fldChar w:fldCharType="end"/>
          </w:r>
          <w:r>
            <w:rPr>
              <w:rFonts w:hint="eastAsia"/>
              <w:color w:val="000000" w:themeColor="text1"/>
              <w14:textFill>
                <w14:solidFill>
                  <w14:schemeClr w14:val="tx1"/>
                </w14:solidFill>
              </w14:textFill>
            </w:rPr>
            <w:fldChar w:fldCharType="end"/>
          </w:r>
        </w:p>
        <w:p>
          <w:pPr>
            <w:pStyle w:val="37"/>
            <w:tabs>
              <w:tab w:val="right" w:leader="dot" w:pos="8504"/>
              <w:tab w:val="clear" w:pos="620"/>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_Toc12345 </w:instrText>
          </w:r>
          <w:r>
            <w:rPr>
              <w:rFonts w:hint="eastAsia"/>
            </w:rPr>
            <w:fldChar w:fldCharType="separate"/>
          </w:r>
          <w:r>
            <w:rPr>
              <w:rFonts w:hint="default" w:ascii="Times New Roman" w:hAnsi="Times New Roman" w:eastAsia="宋体" w:cs="Times New Roman"/>
              <w:i w:val="0"/>
              <w:szCs w:val="28"/>
            </w:rPr>
            <w:t xml:space="preserve">6.10 </w:t>
          </w:r>
          <w:r>
            <w:rPr>
              <w:rFonts w:hint="eastAsia"/>
            </w:rPr>
            <w:t>评审专家在政府采购活动中应当遵守以下工作纪律</w:t>
          </w:r>
          <w:r>
            <w:tab/>
          </w:r>
          <w:r>
            <w:fldChar w:fldCharType="begin"/>
          </w:r>
          <w:r>
            <w:instrText xml:space="preserve"> PAGEREF _Toc12345 </w:instrText>
          </w:r>
          <w:r>
            <w:fldChar w:fldCharType="separate"/>
          </w:r>
          <w:r>
            <w:t>120</w:t>
          </w:r>
          <w:r>
            <w:fldChar w:fldCharType="end"/>
          </w:r>
          <w:r>
            <w:rPr>
              <w:rFonts w:hint="eastAsia"/>
              <w:color w:val="000000" w:themeColor="text1"/>
              <w14:textFill>
                <w14:solidFill>
                  <w14:schemeClr w14:val="tx1"/>
                </w14:solidFill>
              </w14:textFill>
            </w:rPr>
            <w:fldChar w:fldCharType="end"/>
          </w:r>
        </w:p>
        <w:p>
          <w:pPr>
            <w:pStyle w:val="31"/>
            <w:tabs>
              <w:tab w:val="right" w:leader="dot" w:pos="8504"/>
              <w:tab w:val="clear" w:pos="709"/>
              <w:tab w:val="clear" w:pos="8364"/>
            </w:tabs>
          </w:pPr>
          <w:r>
            <w:rPr>
              <w:rFonts w:hint="eastAsia"/>
              <w:color w:val="000000" w:themeColor="text1"/>
              <w14:textFill>
                <w14:solidFill>
                  <w14:schemeClr w14:val="tx1"/>
                </w14:solidFill>
              </w14:textFill>
            </w:rPr>
            <w:fldChar w:fldCharType="begin"/>
          </w:r>
          <w:r>
            <w:rPr>
              <w:rFonts w:hint="eastAsia"/>
            </w:rPr>
            <w:instrText xml:space="preserve"> HYPERLINK \l _Toc7590 </w:instrText>
          </w:r>
          <w:r>
            <w:rPr>
              <w:rFonts w:hint="eastAsia"/>
            </w:rPr>
            <w:fldChar w:fldCharType="separate"/>
          </w:r>
          <w:r>
            <w:rPr>
              <w:rFonts w:hint="default" w:ascii="Times New Roman" w:hAnsi="Times New Roman" w:eastAsia="宋体" w:cs="Times New Roman"/>
              <w:i w:val="0"/>
              <w:szCs w:val="32"/>
            </w:rPr>
            <w:t xml:space="preserve">第7章 </w:t>
          </w:r>
          <w:r>
            <w:rPr>
              <w:rFonts w:hint="eastAsia"/>
            </w:rPr>
            <w:t>拟签订合同文本</w:t>
          </w:r>
          <w:r>
            <w:tab/>
          </w:r>
          <w:r>
            <w:fldChar w:fldCharType="begin"/>
          </w:r>
          <w:r>
            <w:instrText xml:space="preserve"> PAGEREF _Toc7590 </w:instrText>
          </w:r>
          <w:r>
            <w:fldChar w:fldCharType="separate"/>
          </w:r>
          <w:r>
            <w:t>122</w:t>
          </w:r>
          <w:r>
            <w:fldChar w:fldCharType="end"/>
          </w:r>
          <w:r>
            <w:rPr>
              <w:rFonts w:hint="eastAsia"/>
              <w:color w:val="000000" w:themeColor="text1"/>
              <w14:textFill>
                <w14:solidFill>
                  <w14:schemeClr w14:val="tx1"/>
                </w14:solidFill>
              </w14:textFill>
            </w:rPr>
            <w:fldChar w:fldCharType="end"/>
          </w:r>
        </w:p>
        <w:p>
          <w:pPr>
            <w:pStyle w:val="37"/>
            <w:tabs>
              <w:tab w:val="right" w:leader="dot" w:pos="8647"/>
              <w:tab w:val="clear" w:pos="8364"/>
            </w:tabs>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end"/>
          </w:r>
        </w:p>
      </w:sdtContent>
    </w:sdt>
    <w:p>
      <w:pPr>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3"/>
        <w:numPr>
          <w:ilvl w:val="0"/>
          <w:numId w:val="4"/>
        </w:numPr>
        <w:spacing w:before="0" w:after="0" w:line="560" w:lineRule="exact"/>
        <w:ind w:left="0" w:firstLine="0"/>
        <w:rPr>
          <w:color w:val="000000" w:themeColor="text1"/>
          <w14:textFill>
            <w14:solidFill>
              <w14:schemeClr w14:val="tx1"/>
            </w14:solidFill>
          </w14:textFill>
        </w:rPr>
      </w:pPr>
      <w:bookmarkStart w:id="4" w:name="_Toc20241"/>
      <w:bookmarkStart w:id="5" w:name="_Toc181591102"/>
      <w:bookmarkStart w:id="6" w:name="_Toc204575871"/>
      <w:bookmarkStart w:id="7" w:name="_Toc25954"/>
      <w:bookmarkStart w:id="8" w:name="_Toc27347"/>
      <w:bookmarkStart w:id="9" w:name="_Toc26321"/>
      <w:bookmarkStart w:id="10" w:name="_Toc181610856"/>
      <w:bookmarkStart w:id="11" w:name="_Toc22017"/>
      <w:r>
        <w:rPr>
          <w:rFonts w:hint="eastAsia"/>
          <w:color w:val="000000" w:themeColor="text1"/>
          <w14:textFill>
            <w14:solidFill>
              <w14:schemeClr w14:val="tx1"/>
            </w14:solidFill>
          </w14:textFill>
        </w:rPr>
        <w:t>投标邀请</w:t>
      </w:r>
      <w:bookmarkEnd w:id="4"/>
      <w:bookmarkEnd w:id="5"/>
      <w:bookmarkEnd w:id="6"/>
      <w:bookmarkEnd w:id="7"/>
      <w:bookmarkEnd w:id="8"/>
      <w:bookmarkEnd w:id="9"/>
      <w:bookmarkEnd w:id="10"/>
      <w:bookmarkEnd w:id="11"/>
    </w:p>
    <w:p>
      <w:pPr>
        <w:tabs>
          <w:tab w:val="left" w:pos="2552"/>
        </w:tabs>
        <w:spacing w:line="560" w:lineRule="exact"/>
        <w:ind w:left="1" w:firstLine="562" w:firstLineChars="201"/>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成都市新津区公共资源交易服务中心(以下简称“区公资交易中心”)</w:t>
      </w:r>
      <w:r>
        <w:rPr>
          <w:rFonts w:hint="eastAsia" w:asciiTheme="minorEastAsia" w:hAnsiTheme="minorEastAsia" w:eastAsiaTheme="minorEastAsia"/>
          <w:color w:val="000000" w:themeColor="text1"/>
          <w:sz w:val="28"/>
          <w:szCs w:val="28"/>
          <w14:textFill>
            <w14:solidFill>
              <w14:schemeClr w14:val="tx1"/>
            </w14:solidFill>
          </w14:textFill>
        </w:rPr>
        <w:t>受</w:t>
      </w:r>
      <w:r>
        <w:rPr>
          <w:rFonts w:hint="eastAsia" w:ascii="宋体" w:hAnsi="宋体" w:eastAsiaTheme="minorEastAsia"/>
          <w:b/>
          <w:color w:val="000000" w:themeColor="text1"/>
          <w:sz w:val="28"/>
          <w:szCs w:val="28"/>
          <w14:textFill>
            <w14:solidFill>
              <w14:schemeClr w14:val="tx1"/>
            </w14:solidFill>
          </w14:textFill>
        </w:rPr>
        <w:t>成都市新津区人民医院（成都市新津区急救指挥分中心）</w:t>
      </w:r>
      <w:r>
        <w:rPr>
          <w:rFonts w:hint="eastAsia" w:asciiTheme="minorEastAsia" w:hAnsiTheme="minorEastAsia" w:eastAsiaTheme="minorEastAsia"/>
          <w:color w:val="000000" w:themeColor="text1"/>
          <w:sz w:val="28"/>
          <w:szCs w:val="28"/>
          <w14:textFill>
            <w14:solidFill>
              <w14:schemeClr w14:val="tx1"/>
            </w14:solidFill>
          </w14:textFill>
        </w:rPr>
        <w:t>委托</w:t>
      </w:r>
      <w:r>
        <w:rPr>
          <w:rFonts w:hint="eastAsia" w:ascii="宋体" w:hAnsi="宋体"/>
          <w:color w:val="000000" w:themeColor="text1"/>
          <w:sz w:val="28"/>
          <w:szCs w:val="28"/>
          <w14:textFill>
            <w14:solidFill>
              <w14:schemeClr w14:val="tx1"/>
            </w14:solidFill>
          </w14:textFill>
        </w:rPr>
        <w:t>拟对</w:t>
      </w:r>
      <w:r>
        <w:rPr>
          <w:rFonts w:hint="eastAsia" w:ascii="宋体" w:hAnsi="宋体"/>
          <w:b/>
          <w:color w:val="000000" w:themeColor="text1"/>
          <w:sz w:val="28"/>
          <w:szCs w:val="28"/>
          <w14:textFill>
            <w14:solidFill>
              <w14:schemeClr w14:val="tx1"/>
            </w14:solidFill>
          </w14:textFill>
        </w:rPr>
        <w:t>成都市新津区人民医院中央运输、保洁服务外包项目</w:t>
      </w:r>
      <w:r>
        <w:rPr>
          <w:rFonts w:hint="eastAsia" w:ascii="宋体" w:hAnsi="宋体"/>
          <w:color w:val="000000" w:themeColor="text1"/>
          <w:sz w:val="28"/>
          <w:szCs w:val="28"/>
          <w14:textFill>
            <w14:solidFill>
              <w14:schemeClr w14:val="tx1"/>
            </w14:solidFill>
          </w14:textFill>
        </w:rPr>
        <w:t>进行国内公开招标，兹邀请符合本次招标要求的供应商参加投标。</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项目编号：</w:t>
      </w:r>
      <w:r>
        <w:rPr>
          <w:rFonts w:hint="eastAsia" w:ascii="宋体" w:hAnsi="宋体"/>
          <w:b/>
          <w:color w:val="000000" w:themeColor="text1"/>
          <w:sz w:val="28"/>
          <w:szCs w:val="28"/>
          <w:lang w:eastAsia="zh-CN"/>
          <w14:textFill>
            <w14:solidFill>
              <w14:schemeClr w14:val="tx1"/>
            </w14:solidFill>
          </w14:textFill>
        </w:rPr>
        <w:t>新津政采（2021）A0001号</w:t>
      </w:r>
    </w:p>
    <w:p>
      <w:pPr>
        <w:pStyle w:val="2"/>
        <w:ind w:firstLine="413" w:firstLineChars="147"/>
        <w:rPr>
          <w:color w:val="000000" w:themeColor="text1"/>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（采购项目编号：采购项目编号以四川省政府采购网采购公告中的项目编号为准）</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项目名称：成都市新津区人民医院中央运输、保洁服务外包项目</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资金来源、预算金额及最高限价：</w:t>
      </w:r>
      <w:r>
        <w:rPr>
          <w:rFonts w:hint="eastAsia" w:ascii="宋体" w:hAnsi="宋体"/>
          <w:color w:val="000000" w:themeColor="text1"/>
          <w:sz w:val="28"/>
          <w:szCs w:val="28"/>
          <w14:textFill>
            <w14:solidFill>
              <w14:schemeClr w14:val="tx1"/>
            </w14:solidFill>
          </w14:textFill>
        </w:rPr>
        <w:t>财政性资金，政府采购实施计划备案表号：</w:t>
      </w:r>
      <w:r>
        <w:rPr>
          <w:rFonts w:hint="eastAsia" w:ascii="宋体" w:hAnsi="宋体"/>
          <w:color w:val="000000" w:themeColor="text1"/>
          <w:sz w:val="28"/>
          <w:szCs w:val="28"/>
          <w:lang w:val="en-US" w:eastAsia="zh-CN"/>
          <w14:textFill>
            <w14:solidFill>
              <w14:schemeClr w14:val="tx1"/>
            </w14:solidFill>
          </w14:textFill>
        </w:rPr>
        <w:t>510132-2021-</w:t>
      </w:r>
      <w:r>
        <w:rPr>
          <w:rFonts w:hint="eastAsia" w:ascii="宋体" w:hAnsi="宋体"/>
          <w:color w:val="auto"/>
          <w:sz w:val="28"/>
          <w:szCs w:val="28"/>
        </w:rPr>
        <w:t>（2021）</w:t>
      </w:r>
      <w:r>
        <w:rPr>
          <w:rFonts w:hint="eastAsia" w:ascii="宋体" w:hAnsi="宋体"/>
          <w:color w:val="auto"/>
          <w:sz w:val="28"/>
          <w:szCs w:val="28"/>
          <w:lang w:val="en-US" w:eastAsia="zh-CN"/>
        </w:rPr>
        <w:t>135</w:t>
      </w:r>
      <w:r>
        <w:rPr>
          <w:rFonts w:hint="eastAsia" w:ascii="宋体" w:hAnsi="宋体"/>
          <w:color w:val="auto"/>
          <w:sz w:val="28"/>
          <w:szCs w:val="28"/>
        </w:rPr>
        <w:t>号</w:t>
      </w:r>
      <w:r>
        <w:rPr>
          <w:rFonts w:hint="eastAsia" w:ascii="宋体" w:hAnsi="宋体"/>
          <w:color w:val="000000" w:themeColor="text1"/>
          <w:sz w:val="28"/>
          <w:szCs w:val="28"/>
          <w14:textFill>
            <w14:solidFill>
              <w14:schemeClr w14:val="tx1"/>
            </w14:solidFill>
          </w14:textFill>
        </w:rPr>
        <w:t>。预算品目：C1204 物业管理服务；预算金额：</w:t>
      </w:r>
      <w:r>
        <w:rPr>
          <w:rFonts w:hint="eastAsia" w:ascii="宋体" w:hAnsi="宋体"/>
          <w:color w:val="auto"/>
          <w:sz w:val="28"/>
          <w:szCs w:val="28"/>
        </w:rPr>
        <w:t>4000000</w:t>
      </w:r>
      <w:r>
        <w:rPr>
          <w:rFonts w:hint="eastAsia" w:ascii="宋体" w:hAnsi="宋体"/>
          <w:color w:val="auto"/>
          <w:sz w:val="28"/>
          <w:szCs w:val="28"/>
          <w:lang w:val="en-US" w:eastAsia="zh-CN"/>
        </w:rPr>
        <w:t>.00</w:t>
      </w:r>
      <w:r>
        <w:rPr>
          <w:rFonts w:hint="eastAsia" w:ascii="宋体" w:hAnsi="宋体"/>
          <w:color w:val="000000" w:themeColor="text1"/>
          <w:sz w:val="28"/>
          <w:szCs w:val="28"/>
          <w14:textFill>
            <w14:solidFill>
              <w14:schemeClr w14:val="tx1"/>
            </w14:solidFill>
          </w14:textFill>
        </w:rPr>
        <w:t>元</w:t>
      </w:r>
      <w:r>
        <w:rPr>
          <w:rFonts w:hint="eastAsia" w:ascii="宋体" w:hAnsi="宋体"/>
          <w:color w:val="000000" w:themeColor="text1"/>
          <w:sz w:val="28"/>
          <w:szCs w:val="28"/>
          <w:lang w:val="en-US" w:eastAsia="zh-CN"/>
          <w14:textFill>
            <w14:solidFill>
              <w14:schemeClr w14:val="tx1"/>
            </w14:solidFill>
          </w14:textFill>
        </w:rPr>
        <w:t>/年，招三年</w:t>
      </w:r>
      <w:r>
        <w:rPr>
          <w:rFonts w:hint="eastAsia" w:ascii="宋体" w:hAnsi="宋体"/>
          <w:color w:val="000000" w:themeColor="text1"/>
          <w:sz w:val="28"/>
          <w:szCs w:val="28"/>
          <w14:textFill>
            <w14:solidFill>
              <w14:schemeClr w14:val="tx1"/>
            </w14:solidFill>
          </w14:textFill>
        </w:rPr>
        <w:t>；最高限价：</w:t>
      </w:r>
      <w:r>
        <w:rPr>
          <w:rFonts w:hint="eastAsia" w:ascii="宋体" w:hAnsi="宋体"/>
          <w:color w:val="auto"/>
          <w:sz w:val="28"/>
          <w:szCs w:val="28"/>
        </w:rPr>
        <w:t>4000000</w:t>
      </w:r>
      <w:r>
        <w:rPr>
          <w:rFonts w:hint="eastAsia" w:ascii="宋体" w:hAnsi="宋体"/>
          <w:color w:val="auto"/>
          <w:sz w:val="28"/>
          <w:szCs w:val="28"/>
          <w:lang w:val="en-US" w:eastAsia="zh-CN"/>
        </w:rPr>
        <w:t>.00</w:t>
      </w:r>
      <w:r>
        <w:rPr>
          <w:rFonts w:hint="eastAsia" w:ascii="宋体" w:hAnsi="宋体"/>
          <w:color w:val="000000" w:themeColor="text1"/>
          <w:sz w:val="28"/>
          <w:szCs w:val="28"/>
          <w14:textFill>
            <w14:solidFill>
              <w14:schemeClr w14:val="tx1"/>
            </w14:solidFill>
          </w14:textFill>
        </w:rPr>
        <w:t>元</w:t>
      </w:r>
      <w:r>
        <w:rPr>
          <w:rFonts w:hint="eastAsia" w:ascii="宋体" w:hAnsi="宋体"/>
          <w:color w:val="000000" w:themeColor="text1"/>
          <w:sz w:val="28"/>
          <w:szCs w:val="28"/>
          <w:lang w:val="en-US" w:eastAsia="zh-CN"/>
          <w14:textFill>
            <w14:solidFill>
              <w14:schemeClr w14:val="tx1"/>
            </w14:solidFill>
          </w14:textFill>
        </w:rPr>
        <w:t>/年，招三年</w:t>
      </w:r>
      <w:r>
        <w:rPr>
          <w:rFonts w:hint="eastAsia" w:ascii="宋体" w:hAnsi="宋体"/>
          <w:color w:val="000000" w:themeColor="text1"/>
          <w:sz w:val="28"/>
          <w:szCs w:val="28"/>
          <w14:textFill>
            <w14:solidFill>
              <w14:schemeClr w14:val="tx1"/>
            </w14:solidFill>
          </w14:textFill>
        </w:rPr>
        <w:t>；采购标的：物业管理服务；所属行业：物业管理。</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招标项目简介</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本次采购服务内容为</w:t>
      </w:r>
      <w:r>
        <w:rPr>
          <w:rFonts w:hint="eastAsia" w:ascii="宋体" w:hAnsi="宋体" w:cs="宋体"/>
          <w:sz w:val="28"/>
          <w:szCs w:val="28"/>
        </w:rPr>
        <w:t>（一）负责医院保洁服务。（二）负责医院中央调度及中央运送服务 （含①24 小时中央调度中心，一站式服务②陪检服务③药品、标本配送服务④洗浆布类下收下送服务⑤医疗物资配送服务 ⑥设备仪器、后勤物资运送服务）。(三)负责医院生活垃圾和医疗垃圾的收集、分类、运输与记录服务 。(四)负责医院电梯司乘管理服务（手术室专用电梯接送病人）。</w:t>
      </w:r>
    </w:p>
    <w:p>
      <w:pPr>
        <w:pStyle w:val="2"/>
        <w:ind w:firstLine="560" w:firstLineChars="200"/>
        <w:rPr>
          <w:b/>
          <w:color w:val="000000" w:themeColor="text1"/>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详细的服务、商务及其他要求见招标文件第4章。</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供应商参加本次政府采购活动应具备的条件</w:t>
      </w:r>
    </w:p>
    <w:p>
      <w:p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（一）符合《</w:t>
      </w:r>
      <w:r>
        <w:rPr>
          <w:rFonts w:hint="eastAsia" w:ascii="宋体" w:hAnsi="宋体"/>
          <w:color w:val="000000" w:themeColor="text1"/>
          <w:sz w:val="28"/>
          <w:szCs w:val="28"/>
          <w:lang w:eastAsia="zh-CN"/>
          <w14:textFill>
            <w14:solidFill>
              <w14:schemeClr w14:val="tx1"/>
            </w14:solidFill>
          </w14:textFill>
        </w:rPr>
        <w:t>中华人民共和国</w:t>
      </w:r>
      <w:r>
        <w:rPr>
          <w:rFonts w:hint="eastAsia" w:ascii="宋体" w:hAnsi="宋体"/>
          <w:color w:val="000000" w:themeColor="text1"/>
          <w:sz w:val="28"/>
          <w:szCs w:val="28"/>
          <w14:textFill>
            <w14:solidFill>
              <w14:schemeClr w14:val="tx1"/>
            </w14:solidFill>
          </w14:textFill>
        </w:rPr>
        <w:t>政府采购法》第二十二条第一款规定的条件；</w:t>
      </w:r>
    </w:p>
    <w:p>
      <w:pPr>
        <w:tabs>
          <w:tab w:val="left" w:pos="1134"/>
        </w:tabs>
        <w:spacing w:line="560" w:lineRule="exact"/>
        <w:ind w:left="7" w:firstLine="560" w:firstLineChars="200"/>
        <w:rPr>
          <w:color w:val="000000" w:themeColor="text1"/>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（二）在中华人民共和国境内依法登记注册，并有效存续具有独立法人资格的供应商；</w:t>
      </w:r>
    </w:p>
    <w:p>
      <w:pPr>
        <w:tabs>
          <w:tab w:val="left" w:pos="1134"/>
        </w:tabs>
        <w:spacing w:line="560" w:lineRule="exact"/>
        <w:ind w:left="7"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（三）未被列入失信被执行人、重大税收违法案件当事人名单、政府采购严重违法失信行为记录名单； </w:t>
      </w:r>
    </w:p>
    <w:p>
      <w:pPr>
        <w:tabs>
          <w:tab w:val="left" w:pos="1134"/>
        </w:tabs>
        <w:spacing w:line="560" w:lineRule="exact"/>
        <w:ind w:left="7"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（四）在行贿犯罪信息查询期限内，投标人及其现任法定代表人、主要负责人没有行贿犯罪记录；</w:t>
      </w:r>
    </w:p>
    <w:p>
      <w:pPr>
        <w:pStyle w:val="2"/>
        <w:ind w:firstLine="560" w:firstLineChars="200"/>
        <w:rPr>
          <w:color w:val="000000" w:themeColor="text1"/>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（五）未处于被行政部门禁止参与政府采购活动的期限内；</w:t>
      </w:r>
    </w:p>
    <w:p>
      <w:pPr>
        <w:tabs>
          <w:tab w:val="left" w:pos="1134"/>
        </w:tabs>
        <w:spacing w:line="560" w:lineRule="exact"/>
        <w:ind w:left="7"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（六）不属于其他国家相关法律法规规定的禁止参加投标的供应商；</w:t>
      </w:r>
    </w:p>
    <w:p>
      <w:pPr>
        <w:pStyle w:val="152"/>
        <w:tabs>
          <w:tab w:val="left" w:pos="0"/>
          <w:tab w:val="left" w:pos="993"/>
          <w:tab w:val="left" w:pos="1418"/>
          <w:tab w:val="left" w:pos="1560"/>
        </w:tabs>
        <w:spacing w:line="560" w:lineRule="exact"/>
        <w:ind w:left="7" w:firstLine="560"/>
        <w:rPr>
          <w:rFonts w:ascii="宋体" w:hAnsi="宋体"/>
          <w:b/>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（七）本项目</w:t>
      </w:r>
      <w:r>
        <w:rPr>
          <w:rFonts w:hint="eastAsia" w:ascii="宋体" w:hAnsi="宋体"/>
          <w:b/>
          <w:bCs/>
          <w:color w:val="000000" w:themeColor="text1"/>
          <w:sz w:val="28"/>
          <w:szCs w:val="28"/>
          <w14:textFill>
            <w14:solidFill>
              <w14:schemeClr w14:val="tx1"/>
            </w14:solidFill>
          </w14:textFill>
        </w:rPr>
        <w:t>不接受</w:t>
      </w:r>
      <w:r>
        <w:rPr>
          <w:rFonts w:hint="eastAsia" w:ascii="宋体" w:hAnsi="宋体"/>
          <w:color w:val="000000" w:themeColor="text1"/>
          <w:sz w:val="28"/>
          <w:szCs w:val="28"/>
          <w14:textFill>
            <w14:solidFill>
              <w14:schemeClr w14:val="tx1"/>
            </w14:solidFill>
          </w14:textFill>
        </w:rPr>
        <w:t>联合体投标。</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招标文件获取时间</w:t>
      </w:r>
    </w:p>
    <w:p>
      <w:pPr>
        <w:numPr>
          <w:ilvl w:val="0"/>
          <w:numId w:val="6"/>
        </w:numPr>
        <w:spacing w:line="360" w:lineRule="auto"/>
        <w:ind w:left="0" w:firstLine="567"/>
        <w:rPr>
          <w:rFonts w:ascii="宋体" w:hAnsi="宋体"/>
          <w:sz w:val="28"/>
        </w:rPr>
      </w:pPr>
      <w:r>
        <w:rPr>
          <w:rFonts w:hint="eastAsia" w:ascii="宋体" w:hAnsi="宋体"/>
          <w:sz w:val="28"/>
          <w:szCs w:val="28"/>
        </w:rPr>
        <w:t>招标文件获取时间：2021年</w:t>
      </w:r>
      <w:r>
        <w:rPr>
          <w:rFonts w:hint="eastAsia" w:ascii="宋体" w:hAnsi="宋体"/>
          <w:sz w:val="28"/>
          <w:szCs w:val="28"/>
          <w:lang w:val="en-US" w:eastAsia="zh-CN"/>
        </w:rPr>
        <w:t>6</w:t>
      </w:r>
      <w:r>
        <w:rPr>
          <w:rFonts w:hint="eastAsia" w:ascii="宋体" w:hAnsi="宋体"/>
          <w:sz w:val="28"/>
          <w:szCs w:val="28"/>
        </w:rPr>
        <w:t>月</w:t>
      </w:r>
      <w:r>
        <w:rPr>
          <w:rFonts w:hint="eastAsia" w:ascii="宋体" w:hAnsi="宋体"/>
          <w:sz w:val="28"/>
          <w:szCs w:val="28"/>
          <w:lang w:val="en-US" w:eastAsia="zh-CN"/>
        </w:rPr>
        <w:t>9</w:t>
      </w:r>
      <w:r>
        <w:rPr>
          <w:rFonts w:hint="eastAsia" w:ascii="宋体" w:hAnsi="宋体"/>
          <w:sz w:val="28"/>
          <w:szCs w:val="28"/>
        </w:rPr>
        <w:t>日至</w:t>
      </w:r>
      <w:r>
        <w:rPr>
          <w:rFonts w:ascii="宋体" w:hAnsi="宋体"/>
          <w:sz w:val="28"/>
          <w:szCs w:val="28"/>
        </w:rPr>
        <w:t>6</w:t>
      </w:r>
      <w:r>
        <w:rPr>
          <w:rFonts w:hint="eastAsia" w:ascii="宋体" w:hAnsi="宋体"/>
          <w:sz w:val="28"/>
          <w:szCs w:val="28"/>
        </w:rPr>
        <w:t>月</w:t>
      </w:r>
      <w:r>
        <w:rPr>
          <w:rFonts w:hint="eastAsia" w:ascii="宋体" w:hAnsi="宋体"/>
          <w:sz w:val="28"/>
          <w:szCs w:val="28"/>
          <w:lang w:val="en-US" w:eastAsia="zh-CN"/>
        </w:rPr>
        <w:t>28</w:t>
      </w:r>
      <w:r>
        <w:rPr>
          <w:rFonts w:hint="eastAsia" w:ascii="宋体" w:hAnsi="宋体"/>
          <w:sz w:val="28"/>
          <w:szCs w:val="28"/>
        </w:rPr>
        <w:t>日2</w:t>
      </w:r>
      <w:r>
        <w:rPr>
          <w:rFonts w:ascii="宋体" w:hAnsi="宋体"/>
          <w:sz w:val="28"/>
          <w:szCs w:val="28"/>
        </w:rPr>
        <w:t>3</w:t>
      </w:r>
      <w:r>
        <w:rPr>
          <w:rFonts w:hint="eastAsia" w:ascii="宋体" w:hAnsi="宋体"/>
          <w:sz w:val="28"/>
          <w:szCs w:val="28"/>
        </w:rPr>
        <w:t>:59；</w:t>
      </w:r>
    </w:p>
    <w:p>
      <w:pPr>
        <w:numPr>
          <w:ilvl w:val="0"/>
          <w:numId w:val="6"/>
        </w:numPr>
        <w:spacing w:line="360" w:lineRule="auto"/>
        <w:ind w:left="0" w:firstLine="567"/>
        <w:rPr>
          <w:rFonts w:ascii="宋体" w:hAnsi="宋体"/>
          <w:sz w:val="28"/>
          <w:szCs w:val="28"/>
        </w:rPr>
      </w:pPr>
      <w:r>
        <w:rPr>
          <w:rFonts w:hint="eastAsia" w:ascii="宋体" w:hAnsi="宋体"/>
          <w:sz w:val="28"/>
          <w:szCs w:val="28"/>
        </w:rPr>
        <w:t>公告期限：2021年</w:t>
      </w:r>
      <w:r>
        <w:rPr>
          <w:rFonts w:hint="eastAsia" w:ascii="宋体" w:hAnsi="宋体"/>
          <w:sz w:val="28"/>
          <w:szCs w:val="28"/>
          <w:lang w:val="en-US" w:eastAsia="zh-CN"/>
        </w:rPr>
        <w:t>6</w:t>
      </w:r>
      <w:r>
        <w:rPr>
          <w:rFonts w:hint="eastAsia" w:ascii="宋体" w:hAnsi="宋体"/>
          <w:sz w:val="28"/>
          <w:szCs w:val="28"/>
        </w:rPr>
        <w:t>月</w:t>
      </w:r>
      <w:r>
        <w:rPr>
          <w:rFonts w:hint="eastAsia" w:ascii="宋体" w:hAnsi="宋体"/>
          <w:sz w:val="28"/>
          <w:szCs w:val="28"/>
          <w:lang w:val="en-US" w:eastAsia="zh-CN"/>
        </w:rPr>
        <w:t>9</w:t>
      </w:r>
      <w:r>
        <w:rPr>
          <w:rFonts w:hint="eastAsia" w:ascii="宋体" w:hAnsi="宋体"/>
          <w:sz w:val="28"/>
          <w:szCs w:val="28"/>
        </w:rPr>
        <w:t>日至</w:t>
      </w:r>
      <w:r>
        <w:rPr>
          <w:rFonts w:ascii="宋体" w:hAnsi="宋体"/>
          <w:sz w:val="28"/>
          <w:szCs w:val="28"/>
        </w:rPr>
        <w:t>6</w:t>
      </w:r>
      <w:r>
        <w:rPr>
          <w:rFonts w:hint="eastAsia" w:ascii="宋体" w:hAnsi="宋体"/>
          <w:sz w:val="28"/>
          <w:szCs w:val="28"/>
        </w:rPr>
        <w:t>月</w:t>
      </w:r>
      <w:r>
        <w:rPr>
          <w:rFonts w:hint="eastAsia" w:ascii="宋体" w:hAnsi="宋体"/>
          <w:sz w:val="28"/>
          <w:szCs w:val="28"/>
          <w:lang w:val="en-US" w:eastAsia="zh-CN"/>
        </w:rPr>
        <w:t>16</w:t>
      </w:r>
      <w:r>
        <w:rPr>
          <w:rFonts w:hint="eastAsia" w:ascii="宋体" w:hAnsi="宋体"/>
          <w:sz w:val="28"/>
          <w:szCs w:val="28"/>
        </w:rPr>
        <w:t>日。</w:t>
      </w:r>
    </w:p>
    <w:p>
      <w:pPr>
        <w:numPr>
          <w:ilvl w:val="0"/>
          <w:numId w:val="6"/>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sz w:val="28"/>
          <w:szCs w:val="28"/>
        </w:rPr>
        <w:t>供应商如对招标文件有质疑的，应于自公告期限届满之日起七个工作日内以书面形式提出。</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招标文件获取方式</w:t>
      </w:r>
    </w:p>
    <w:p>
      <w:pPr>
        <w:tabs>
          <w:tab w:val="left" w:pos="1134"/>
        </w:tabs>
        <w:spacing w:after="200"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要参加投标，应在成都市公共资源交易服务中心“政府采购云平台”获取采购文件。登录成都市公共资源交易服务中心门户网站（https://www.cdggzy.com/）—用户中心—政府采购云平台—项目采购—获取采购文件—申请获取采购文件。</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提示：</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（1）本项目采购文件免费获取。</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成都市公共资源交易服务中心门户网站上采购公告附件内的采购文件仅供下载阅览使用，投标人只有在“政府采购云平台”完成获取采购文件申请并下载采购文件后才视作依法参与本项目。如未在“政府采购云平台”内完成相关流程，引起的投标无效责任自负。</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（3）首次登录成都市公共资源交易服务中心门户网站的新用户应先点击“注册新用户”，注册成功后再登录。</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本项目为电子招标投标项目，投标人参与本项目全过程中凡涉及系统操作请详见《成都市全流程电子化采购系统操作指南——供应商版》（操作指南请登录政府采购云平台后，点击“前台大厅—操作指南—供应商”处下载查看）。</w:t>
      </w:r>
      <w:bookmarkStart w:id="12" w:name="_Toc174185149"/>
      <w:bookmarkStart w:id="13" w:name="_Toc184013605"/>
      <w:bookmarkStart w:id="14" w:name="_Toc180051012"/>
      <w:bookmarkStart w:id="15" w:name="_Toc184023104"/>
      <w:bookmarkStart w:id="16" w:name="_Toc186274101"/>
      <w:bookmarkStart w:id="470" w:name="_GoBack"/>
      <w:bookmarkEnd w:id="470"/>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招标文件获取地点</w:t>
      </w:r>
    </w:p>
    <w:p>
      <w:pPr>
        <w:spacing w:line="360" w:lineRule="auto"/>
        <w:ind w:firstLine="565" w:firstLineChars="202"/>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登录成都市公共资源交易服务中心网站（https://www.cdggzy.com/）—用户中心—政府采购云平台获取</w:t>
      </w:r>
      <w:r>
        <w:rPr>
          <w:rFonts w:hint="eastAsia" w:ascii="宋体" w:hAnsi="宋体"/>
          <w:color w:val="000000" w:themeColor="text1"/>
          <w:sz w:val="28"/>
          <w14:textFill>
            <w14:solidFill>
              <w14:schemeClr w14:val="tx1"/>
            </w14:solidFill>
          </w14:textFill>
        </w:rPr>
        <w:t>。</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投标文件递交截止时间及开标时间</w:t>
      </w:r>
      <w:bookmarkEnd w:id="12"/>
      <w:bookmarkEnd w:id="13"/>
      <w:bookmarkEnd w:id="14"/>
      <w:bookmarkEnd w:id="15"/>
      <w:bookmarkEnd w:id="16"/>
      <w:r>
        <w:rPr>
          <w:rFonts w:hint="eastAsia" w:ascii="宋体" w:hAnsi="宋体"/>
          <w:b/>
          <w:color w:val="000000" w:themeColor="text1"/>
          <w:sz w:val="28"/>
          <w:szCs w:val="28"/>
          <w14:textFill>
            <w14:solidFill>
              <w14:schemeClr w14:val="tx1"/>
            </w14:solidFill>
          </w14:textFill>
        </w:rPr>
        <w:t>(北京时间)、地点、方式</w:t>
      </w:r>
    </w:p>
    <w:p>
      <w:pPr>
        <w:spacing w:line="560" w:lineRule="exact"/>
        <w:ind w:firstLine="560" w:firstLineChars="200"/>
        <w:rPr>
          <w:rFonts w:ascii="宋体" w:hAnsi="宋体"/>
          <w:b/>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（一）投标文件递交截止时间及开标时间：</w:t>
      </w:r>
      <w:r>
        <w:rPr>
          <w:rFonts w:hint="eastAsia" w:ascii="宋体" w:hAnsi="宋体"/>
          <w:b/>
          <w:color w:val="000000" w:themeColor="text1"/>
          <w:sz w:val="28"/>
          <w:szCs w:val="28"/>
          <w14:textFill>
            <w14:solidFill>
              <w14:schemeClr w14:val="tx1"/>
            </w14:solidFill>
          </w14:textFill>
        </w:rPr>
        <w:t>202</w:t>
      </w:r>
      <w:r>
        <w:rPr>
          <w:rFonts w:hint="eastAsia" w:ascii="宋体" w:hAnsi="宋体"/>
          <w:b/>
          <w:color w:val="000000" w:themeColor="text1"/>
          <w:sz w:val="28"/>
          <w:szCs w:val="28"/>
          <w:lang w:val="en-US" w:eastAsia="zh-CN"/>
          <w14:textFill>
            <w14:solidFill>
              <w14:schemeClr w14:val="tx1"/>
            </w14:solidFill>
          </w14:textFill>
        </w:rPr>
        <w:t>1</w:t>
      </w:r>
      <w:r>
        <w:rPr>
          <w:rFonts w:hint="eastAsia" w:ascii="宋体" w:hAnsi="宋体"/>
          <w:b/>
          <w:color w:val="000000" w:themeColor="text1"/>
          <w:sz w:val="28"/>
          <w:szCs w:val="28"/>
          <w14:textFill>
            <w14:solidFill>
              <w14:schemeClr w14:val="tx1"/>
            </w14:solidFill>
          </w14:textFill>
        </w:rPr>
        <w:t>年</w:t>
      </w:r>
      <w:r>
        <w:rPr>
          <w:rFonts w:hint="eastAsia" w:ascii="宋体" w:hAnsi="宋体"/>
          <w:b/>
          <w:color w:val="000000" w:themeColor="text1"/>
          <w:sz w:val="28"/>
          <w:szCs w:val="28"/>
          <w:lang w:val="en-US" w:eastAsia="zh-CN"/>
          <w14:textFill>
            <w14:solidFill>
              <w14:schemeClr w14:val="tx1"/>
            </w14:solidFill>
          </w14:textFill>
        </w:rPr>
        <w:t>6</w:t>
      </w:r>
      <w:r>
        <w:rPr>
          <w:rFonts w:hint="eastAsia" w:ascii="宋体" w:hAnsi="宋体"/>
          <w:b/>
          <w:color w:val="000000" w:themeColor="text1"/>
          <w:sz w:val="28"/>
          <w:szCs w:val="28"/>
          <w14:textFill>
            <w14:solidFill>
              <w14:schemeClr w14:val="tx1"/>
            </w14:solidFill>
          </w14:textFill>
        </w:rPr>
        <w:t>月</w:t>
      </w:r>
      <w:r>
        <w:rPr>
          <w:rFonts w:hint="eastAsia" w:ascii="宋体" w:hAnsi="宋体"/>
          <w:b/>
          <w:color w:val="000000" w:themeColor="text1"/>
          <w:sz w:val="28"/>
          <w:szCs w:val="28"/>
          <w:lang w:val="en-US" w:eastAsia="zh-CN"/>
          <w14:textFill>
            <w14:solidFill>
              <w14:schemeClr w14:val="tx1"/>
            </w14:solidFill>
          </w14:textFill>
        </w:rPr>
        <w:t>29</w:t>
      </w:r>
      <w:r>
        <w:rPr>
          <w:rFonts w:hint="eastAsia" w:ascii="宋体" w:hAnsi="宋体"/>
          <w:b/>
          <w:color w:val="000000" w:themeColor="text1"/>
          <w:sz w:val="28"/>
          <w:szCs w:val="28"/>
          <w14:textFill>
            <w14:solidFill>
              <w14:schemeClr w14:val="tx1"/>
            </w14:solidFill>
          </w14:textFill>
        </w:rPr>
        <w:t>日上午09:30。</w:t>
      </w:r>
    </w:p>
    <w:p>
      <w:pPr>
        <w:spacing w:line="560" w:lineRule="exact"/>
        <w:ind w:firstLine="560" w:firstLineChars="200"/>
        <w:rPr>
          <w:rFonts w:ascii="宋体" w:hAnsi="宋体"/>
          <w:b/>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（二）投标文件递交方式、地点：投标截止时间前，投标人应将加密的电子投标文件递交至“政府采购云平台”对应项目（包件）。</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开标地点</w:t>
      </w:r>
    </w:p>
    <w:p>
      <w:pPr>
        <w:spacing w:line="360" w:lineRule="auto"/>
        <w:ind w:firstLine="422" w:firstLineChars="150"/>
        <w:jc w:val="left"/>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本项目为不见面开标项目。</w:t>
      </w:r>
    </w:p>
    <w:p>
      <w:pPr>
        <w:spacing w:line="360" w:lineRule="auto"/>
        <w:ind w:firstLine="420" w:firstLineChars="15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开标地点为：成都市公共资源交易服务中心“政府采购云平台”。登录成都市公共资源交易服务中心门户网站（https://www.cdggzy.com）—用户中心—政府采购云平台。</w:t>
      </w:r>
    </w:p>
    <w:p>
      <w:pPr>
        <w:spacing w:line="360" w:lineRule="auto"/>
        <w:ind w:firstLine="420" w:firstLineChars="15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本项目只接受投标人加密并递交至“政府采购云平台”的投标文件。</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政采中小企业政府采购信用担保融资</w:t>
      </w:r>
    </w:p>
    <w:p>
      <w:p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参加本次招标活动中标的中小企业无需提供财产抵押或第三方担保，凭借政府采购合同可向融资机构申请融资。具体内容详见招标文件附件《成都市财政局中国人民银行成都分行营业管理部关于印发〈成都市中小企业政府采购信用融资暂行办法〉和〈成都市级支持中小企业政府采购信用融资实施方案〉的通知》（成财采〔2019〕17号）和《成都市财政局关于增补“蓉采贷”政策合作银行及做好相关工作的通知》（成财采发〔2020〕20号）和《新津县支持中小企业政府采购信用融资实施方案（试行）》（新财政〔</w:t>
      </w:r>
      <w:r>
        <w:rPr>
          <w:rFonts w:hint="eastAsia" w:ascii="宋体" w:hAnsi="宋体" w:cs="宋体"/>
          <w:color w:val="000000" w:themeColor="text1"/>
          <w:sz w:val="28"/>
          <w:szCs w:val="28"/>
          <w14:textFill>
            <w14:solidFill>
              <w14:schemeClr w14:val="tx1"/>
            </w14:solidFill>
          </w14:textFill>
        </w:rPr>
        <w:t>2019</w:t>
      </w:r>
      <w:r>
        <w:rPr>
          <w:rFonts w:hint="eastAsia" w:ascii="宋体" w:hAnsi="宋体"/>
          <w:color w:val="000000" w:themeColor="text1"/>
          <w:sz w:val="28"/>
          <w:szCs w:val="28"/>
          <w14:textFill>
            <w14:solidFill>
              <w14:schemeClr w14:val="tx1"/>
            </w14:solidFill>
          </w14:textFill>
        </w:rPr>
        <w:t>〕</w:t>
      </w:r>
      <w:r>
        <w:rPr>
          <w:rFonts w:hint="eastAsia" w:ascii="宋体" w:hAnsi="宋体" w:cs="宋体"/>
          <w:color w:val="000000" w:themeColor="text1"/>
          <w:sz w:val="28"/>
          <w:szCs w:val="28"/>
          <w14:textFill>
            <w14:solidFill>
              <w14:schemeClr w14:val="tx1"/>
            </w14:solidFill>
          </w14:textFill>
        </w:rPr>
        <w:t>21</w:t>
      </w:r>
      <w:r>
        <w:rPr>
          <w:rFonts w:hint="eastAsia" w:ascii="宋体" w:hAnsi="宋体"/>
          <w:color w:val="000000" w:themeColor="text1"/>
          <w:sz w:val="28"/>
          <w:szCs w:val="28"/>
          <w14:textFill>
            <w14:solidFill>
              <w14:schemeClr w14:val="tx1"/>
            </w14:solidFill>
          </w14:textFill>
        </w:rPr>
        <w:t>号）等。</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本投标邀请在“四川政府采购网”和“成都市公共资源交易服务中心”网站上以公告形式发布</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联系方式</w:t>
      </w:r>
    </w:p>
    <w:p>
      <w:pPr>
        <w:pStyle w:val="152"/>
        <w:spacing w:line="580" w:lineRule="exact"/>
        <w:ind w:firstLine="562"/>
        <w:rPr>
          <w:rFonts w:ascii="宋体" w:hAnsi="宋体"/>
          <w:b/>
          <w:color w:val="000000" w:themeColor="text1"/>
          <w:kern w:val="0"/>
          <w:sz w:val="28"/>
          <w:szCs w:val="22"/>
          <w14:textFill>
            <w14:solidFill>
              <w14:schemeClr w14:val="tx1"/>
            </w14:solidFill>
          </w14:textFill>
        </w:rPr>
      </w:pPr>
      <w:r>
        <w:rPr>
          <w:rFonts w:hint="eastAsia" w:ascii="宋体" w:hAnsi="宋体"/>
          <w:b/>
          <w:color w:val="000000" w:themeColor="text1"/>
          <w:kern w:val="0"/>
          <w:sz w:val="28"/>
          <w:szCs w:val="22"/>
          <w14:textFill>
            <w14:solidFill>
              <w14:schemeClr w14:val="tx1"/>
            </w14:solidFill>
          </w14:textFill>
        </w:rPr>
        <w:t>采购人：</w:t>
      </w:r>
      <w:r>
        <w:rPr>
          <w:rFonts w:hint="eastAsia" w:ascii="宋体" w:hAnsi="宋体"/>
          <w:b/>
          <w:bCs/>
          <w:color w:val="000000" w:themeColor="text1"/>
          <w:sz w:val="28"/>
          <w:szCs w:val="28"/>
          <w14:textFill>
            <w14:solidFill>
              <w14:schemeClr w14:val="tx1"/>
            </w14:solidFill>
          </w14:textFill>
        </w:rPr>
        <w:t>成都市新津区人民医院（成都市新津区急救指挥分中心）</w:t>
      </w:r>
    </w:p>
    <w:p>
      <w:pPr>
        <w:pStyle w:val="152"/>
        <w:spacing w:line="480" w:lineRule="exact"/>
        <w:ind w:firstLine="560"/>
        <w:rPr>
          <w:rFonts w:ascii="宋体" w:hAnsi="宋体"/>
          <w:color w:val="000000" w:themeColor="text1"/>
          <w:kern w:val="0"/>
          <w:sz w:val="28"/>
          <w:szCs w:val="22"/>
          <w14:textFill>
            <w14:solidFill>
              <w14:schemeClr w14:val="tx1"/>
            </w14:solidFill>
          </w14:textFill>
        </w:rPr>
      </w:pPr>
      <w:r>
        <w:rPr>
          <w:rFonts w:hint="eastAsia" w:ascii="宋体" w:hAnsi="宋体"/>
          <w:color w:val="000000" w:themeColor="text1"/>
          <w:kern w:val="0"/>
          <w:sz w:val="28"/>
          <w:szCs w:val="22"/>
          <w14:textFill>
            <w14:solidFill>
              <w14:schemeClr w14:val="tx1"/>
            </w14:solidFill>
          </w14:textFill>
        </w:rPr>
        <w:t>地  址：</w:t>
      </w:r>
      <w:r>
        <w:rPr>
          <w:rFonts w:hint="eastAsia" w:ascii="宋体" w:hAnsi="宋体"/>
          <w:bCs/>
          <w:color w:val="000000" w:themeColor="text1"/>
          <w:kern w:val="0"/>
          <w:sz w:val="28"/>
          <w:szCs w:val="22"/>
          <w14:textFill>
            <w14:solidFill>
              <w14:schemeClr w14:val="tx1"/>
            </w14:solidFill>
          </w14:textFill>
        </w:rPr>
        <w:t>成都市新津区五津西路149号</w:t>
      </w:r>
    </w:p>
    <w:p>
      <w:pPr>
        <w:pStyle w:val="152"/>
        <w:spacing w:line="480" w:lineRule="exact"/>
        <w:ind w:firstLine="560"/>
        <w:rPr>
          <w:rFonts w:ascii="宋体" w:hAnsi="宋体"/>
          <w:color w:val="000000" w:themeColor="text1"/>
          <w:kern w:val="0"/>
          <w:sz w:val="28"/>
          <w:szCs w:val="22"/>
          <w14:textFill>
            <w14:solidFill>
              <w14:schemeClr w14:val="tx1"/>
            </w14:solidFill>
          </w14:textFill>
        </w:rPr>
      </w:pPr>
      <w:r>
        <w:rPr>
          <w:rFonts w:hint="eastAsia" w:ascii="宋体" w:hAnsi="宋体"/>
          <w:color w:val="000000" w:themeColor="text1"/>
          <w:kern w:val="0"/>
          <w:sz w:val="28"/>
          <w:szCs w:val="22"/>
          <w14:textFill>
            <w14:solidFill>
              <w14:schemeClr w14:val="tx1"/>
            </w14:solidFill>
          </w14:textFill>
        </w:rPr>
        <w:t>邮  编：611430</w:t>
      </w:r>
    </w:p>
    <w:p>
      <w:pPr>
        <w:pStyle w:val="152"/>
        <w:spacing w:line="480" w:lineRule="exact"/>
        <w:ind w:firstLine="560"/>
        <w:rPr>
          <w:rFonts w:ascii="宋体" w:hAnsi="宋体"/>
          <w:color w:val="000000" w:themeColor="text1"/>
          <w:kern w:val="0"/>
          <w:sz w:val="28"/>
          <w:szCs w:val="22"/>
          <w14:textFill>
            <w14:solidFill>
              <w14:schemeClr w14:val="tx1"/>
            </w14:solidFill>
          </w14:textFill>
        </w:rPr>
      </w:pPr>
      <w:r>
        <w:rPr>
          <w:rFonts w:hint="eastAsia" w:ascii="宋体" w:hAnsi="宋体"/>
          <w:color w:val="000000" w:themeColor="text1"/>
          <w:kern w:val="0"/>
          <w:sz w:val="28"/>
          <w:szCs w:val="22"/>
          <w14:textFill>
            <w14:solidFill>
              <w14:schemeClr w14:val="tx1"/>
            </w14:solidFill>
          </w14:textFill>
        </w:rPr>
        <w:t>联系人：郭老师</w:t>
      </w:r>
    </w:p>
    <w:p>
      <w:pPr>
        <w:pStyle w:val="152"/>
        <w:spacing w:line="480" w:lineRule="exact"/>
        <w:ind w:firstLine="560"/>
        <w:rPr>
          <w:rFonts w:ascii="宋体" w:hAnsi="宋体"/>
          <w:color w:val="000000" w:themeColor="text1"/>
          <w:kern w:val="0"/>
          <w:sz w:val="28"/>
          <w:szCs w:val="22"/>
          <w14:textFill>
            <w14:solidFill>
              <w14:schemeClr w14:val="tx1"/>
            </w14:solidFill>
          </w14:textFill>
        </w:rPr>
      </w:pPr>
      <w:r>
        <w:rPr>
          <w:rFonts w:hint="eastAsia" w:ascii="宋体" w:hAnsi="宋体"/>
          <w:color w:val="000000" w:themeColor="text1"/>
          <w:kern w:val="0"/>
          <w:sz w:val="28"/>
          <w:szCs w:val="22"/>
          <w14:textFill>
            <w14:solidFill>
              <w14:schemeClr w14:val="tx1"/>
            </w14:solidFill>
          </w14:textFill>
        </w:rPr>
        <w:t>联系电话：</w:t>
      </w:r>
      <w:r>
        <w:rPr>
          <w:rFonts w:ascii="宋体" w:hAnsi="宋体"/>
          <w:color w:val="000000" w:themeColor="text1"/>
          <w:kern w:val="0"/>
          <w:sz w:val="28"/>
          <w:szCs w:val="22"/>
          <w14:textFill>
            <w14:solidFill>
              <w14:schemeClr w14:val="tx1"/>
            </w14:solidFill>
          </w14:textFill>
        </w:rPr>
        <w:t>028-</w:t>
      </w:r>
      <w:r>
        <w:rPr>
          <w:rFonts w:hint="eastAsia" w:ascii="宋体" w:hAnsi="宋体"/>
          <w:color w:val="000000" w:themeColor="text1"/>
          <w:kern w:val="0"/>
          <w:sz w:val="28"/>
          <w:szCs w:val="22"/>
          <w14:textFill>
            <w14:solidFill>
              <w14:schemeClr w14:val="tx1"/>
            </w14:solidFill>
          </w14:textFill>
        </w:rPr>
        <w:t>82518773</w:t>
      </w:r>
    </w:p>
    <w:p>
      <w:pPr>
        <w:spacing w:line="600" w:lineRule="exact"/>
        <w:ind w:firstLine="708" w:firstLineChars="252"/>
        <w:rPr>
          <w:rFonts w:ascii="宋体" w:hAnsi="宋体"/>
          <w:b/>
          <w:sz w:val="28"/>
          <w:szCs w:val="28"/>
        </w:rPr>
      </w:pPr>
      <w:r>
        <w:rPr>
          <w:rFonts w:hint="eastAsia" w:ascii="宋体" w:hAnsi="宋体"/>
          <w:b/>
          <w:sz w:val="28"/>
          <w:szCs w:val="28"/>
        </w:rPr>
        <w:t>集中采购机构：成都市新津区公共资源交易服务中心</w:t>
      </w:r>
    </w:p>
    <w:p>
      <w:pPr>
        <w:spacing w:line="600" w:lineRule="exact"/>
        <w:ind w:firstLine="705" w:firstLineChars="252"/>
        <w:rPr>
          <w:rFonts w:ascii="宋体" w:hAnsi="宋体"/>
          <w:sz w:val="28"/>
          <w:szCs w:val="28"/>
        </w:rPr>
      </w:pPr>
      <w:r>
        <w:rPr>
          <w:rFonts w:hint="eastAsia" w:ascii="宋体" w:hAnsi="宋体"/>
          <w:sz w:val="28"/>
          <w:szCs w:val="28"/>
        </w:rPr>
        <w:t>地  址：成都市新津区迎宾大道234号(地铁10号线儒林路站C1出口对面）A区4楼</w:t>
      </w:r>
    </w:p>
    <w:p>
      <w:pPr>
        <w:spacing w:line="600" w:lineRule="exact"/>
        <w:ind w:firstLine="705" w:firstLineChars="252"/>
        <w:rPr>
          <w:rFonts w:ascii="宋体" w:hAnsi="宋体"/>
          <w:sz w:val="28"/>
          <w:szCs w:val="28"/>
        </w:rPr>
      </w:pPr>
      <w:r>
        <w:rPr>
          <w:rFonts w:hint="eastAsia" w:ascii="宋体" w:hAnsi="宋体"/>
          <w:sz w:val="28"/>
          <w:szCs w:val="28"/>
        </w:rPr>
        <w:t>邮  编：611430</w:t>
      </w:r>
    </w:p>
    <w:p>
      <w:pPr>
        <w:spacing w:line="360" w:lineRule="auto"/>
        <w:ind w:firstLine="705" w:firstLineChars="252"/>
        <w:rPr>
          <w:rFonts w:ascii="宋体" w:hAnsi="宋体" w:cs="宋体"/>
          <w:sz w:val="28"/>
          <w:szCs w:val="28"/>
        </w:rPr>
      </w:pPr>
      <w:r>
        <w:rPr>
          <w:rFonts w:hint="eastAsia" w:ascii="宋体" w:hAnsi="宋体" w:cs="宋体"/>
          <w:kern w:val="0"/>
          <w:sz w:val="28"/>
          <w:szCs w:val="28"/>
        </w:rPr>
        <w:t>联系人：</w:t>
      </w:r>
      <w:r>
        <w:rPr>
          <w:rFonts w:hint="eastAsia" w:ascii="宋体" w:hAnsi="宋体" w:cs="宋体"/>
          <w:kern w:val="0"/>
          <w:sz w:val="28"/>
          <w:szCs w:val="28"/>
          <w:lang w:eastAsia="zh-CN"/>
        </w:rPr>
        <w:t>陈</w:t>
      </w:r>
      <w:r>
        <w:rPr>
          <w:rFonts w:hint="eastAsia" w:ascii="宋体" w:hAnsi="宋体" w:cs="宋体"/>
          <w:kern w:val="0"/>
          <w:sz w:val="28"/>
          <w:szCs w:val="28"/>
        </w:rPr>
        <w:t>老师</w:t>
      </w:r>
    </w:p>
    <w:p>
      <w:pPr>
        <w:spacing w:line="360" w:lineRule="auto"/>
        <w:ind w:firstLine="705" w:firstLineChars="252"/>
        <w:rPr>
          <w:rFonts w:ascii="宋体" w:hAnsi="宋体" w:cs="宋体"/>
          <w:sz w:val="28"/>
          <w:szCs w:val="28"/>
        </w:rPr>
      </w:pPr>
      <w:r>
        <w:rPr>
          <w:rFonts w:hint="eastAsia" w:ascii="宋体" w:hAnsi="宋体" w:cs="宋体"/>
          <w:kern w:val="0"/>
          <w:sz w:val="28"/>
          <w:szCs w:val="28"/>
        </w:rPr>
        <w:t>联系电话：</w:t>
      </w:r>
      <w:r>
        <w:rPr>
          <w:rFonts w:hint="eastAsia" w:ascii="宋体" w:hAnsi="宋体" w:cs="宋体"/>
          <w:kern w:val="0"/>
          <w:sz w:val="28"/>
        </w:rPr>
        <w:t>028-82520017</w:t>
      </w:r>
    </w:p>
    <w:p>
      <w:pPr>
        <w:spacing w:line="360" w:lineRule="auto"/>
        <w:ind w:firstLine="708" w:firstLineChars="252"/>
        <w:rPr>
          <w:rFonts w:ascii="宋体" w:hAnsi="宋体"/>
          <w:b/>
          <w:sz w:val="28"/>
          <w:szCs w:val="28"/>
        </w:rPr>
      </w:pPr>
      <w:r>
        <w:rPr>
          <w:rFonts w:hint="eastAsia" w:ascii="宋体" w:hAnsi="宋体"/>
          <w:b/>
          <w:sz w:val="28"/>
          <w:szCs w:val="28"/>
        </w:rPr>
        <w:t>政府采购监督机构：成都市新津区</w:t>
      </w:r>
      <w:r>
        <w:rPr>
          <w:rFonts w:hint="eastAsia" w:ascii="宋体" w:hAnsi="宋体" w:cs="宋体"/>
          <w:b/>
          <w:kern w:val="0"/>
          <w:sz w:val="28"/>
          <w:szCs w:val="28"/>
        </w:rPr>
        <w:t>财政和金融工作局</w:t>
      </w:r>
    </w:p>
    <w:p>
      <w:pPr>
        <w:spacing w:line="360" w:lineRule="auto"/>
        <w:ind w:firstLine="705" w:firstLineChars="252"/>
        <w:rPr>
          <w:rFonts w:ascii="宋体" w:hAnsi="宋体" w:cs="宋体"/>
          <w:sz w:val="28"/>
          <w:szCs w:val="28"/>
        </w:rPr>
      </w:pPr>
      <w:r>
        <w:rPr>
          <w:rFonts w:hint="eastAsia" w:ascii="宋体" w:hAnsi="宋体" w:cs="宋体"/>
          <w:kern w:val="0"/>
          <w:sz w:val="28"/>
          <w:szCs w:val="28"/>
        </w:rPr>
        <w:t>地  址：成都市新津区五津镇武阳西路163号</w:t>
      </w:r>
    </w:p>
    <w:p>
      <w:pPr>
        <w:spacing w:line="360" w:lineRule="auto"/>
        <w:ind w:firstLine="705" w:firstLineChars="252"/>
        <w:rPr>
          <w:rFonts w:ascii="宋体" w:hAnsi="宋体" w:cs="宋体"/>
          <w:sz w:val="28"/>
          <w:szCs w:val="28"/>
        </w:rPr>
      </w:pPr>
      <w:r>
        <w:rPr>
          <w:rFonts w:hint="eastAsia" w:ascii="宋体" w:hAnsi="宋体" w:cs="宋体"/>
          <w:kern w:val="0"/>
          <w:sz w:val="28"/>
          <w:szCs w:val="28"/>
        </w:rPr>
        <w:t>联系人：彭老师</w:t>
      </w:r>
    </w:p>
    <w:p>
      <w:pPr>
        <w:spacing w:line="360" w:lineRule="auto"/>
        <w:ind w:firstLine="705" w:firstLineChars="252"/>
        <w:rPr>
          <w:rFonts w:ascii="宋体" w:hAnsi="宋体" w:cs="宋体"/>
          <w:sz w:val="28"/>
          <w:szCs w:val="28"/>
        </w:rPr>
      </w:pPr>
      <w:r>
        <w:rPr>
          <w:rFonts w:hint="eastAsia" w:ascii="宋体" w:hAnsi="宋体" w:cs="宋体"/>
          <w:kern w:val="0"/>
          <w:sz w:val="28"/>
          <w:szCs w:val="28"/>
        </w:rPr>
        <w:t>联系电话：028-82520054</w:t>
      </w:r>
    </w:p>
    <w:p>
      <w:pPr>
        <w:rPr>
          <w:rFonts w:ascii="宋体" w:hAnsi="宋体"/>
          <w:color w:val="000000" w:themeColor="text1"/>
          <w:sz w:val="28"/>
          <w:szCs w:val="28"/>
          <w14:textFill>
            <w14:solidFill>
              <w14:schemeClr w14:val="tx1"/>
            </w14:solidFill>
          </w14:textFill>
        </w:rPr>
      </w:pPr>
      <w:r>
        <w:rPr>
          <w:rFonts w:ascii="宋体" w:hAnsi="宋体"/>
          <w:color w:val="000000" w:themeColor="text1"/>
          <w:sz w:val="28"/>
          <w:szCs w:val="28"/>
          <w14:textFill>
            <w14:solidFill>
              <w14:schemeClr w14:val="tx1"/>
            </w14:solidFill>
          </w14:textFill>
        </w:rPr>
        <w:br w:type="page"/>
      </w:r>
    </w:p>
    <w:p>
      <w:pPr>
        <w:pStyle w:val="3"/>
        <w:numPr>
          <w:ilvl w:val="0"/>
          <w:numId w:val="4"/>
        </w:numPr>
        <w:spacing w:before="0" w:after="0" w:line="240" w:lineRule="auto"/>
        <w:ind w:left="0" w:firstLine="0"/>
        <w:rPr>
          <w:color w:val="000000" w:themeColor="text1"/>
          <w14:textFill>
            <w14:solidFill>
              <w14:schemeClr w14:val="tx1"/>
            </w14:solidFill>
          </w14:textFill>
        </w:rPr>
      </w:pPr>
      <w:bookmarkStart w:id="17" w:name="_Toc11280"/>
      <w:bookmarkStart w:id="18" w:name="_Toc16071"/>
      <w:bookmarkStart w:id="19" w:name="_Toc23978"/>
      <w:bookmarkStart w:id="20" w:name="_Toc22501"/>
      <w:bookmarkStart w:id="21" w:name="_Toc28193"/>
      <w:r>
        <w:rPr>
          <w:rFonts w:hint="eastAsia"/>
          <w:color w:val="000000" w:themeColor="text1"/>
          <w14:textFill>
            <w14:solidFill>
              <w14:schemeClr w14:val="tx1"/>
            </w14:solidFill>
          </w14:textFill>
        </w:rPr>
        <w:t>投标人须知</w:t>
      </w:r>
      <w:bookmarkEnd w:id="17"/>
      <w:bookmarkEnd w:id="18"/>
      <w:bookmarkEnd w:id="19"/>
      <w:bookmarkEnd w:id="20"/>
      <w:bookmarkEnd w:id="21"/>
    </w:p>
    <w:p>
      <w:pPr>
        <w:pStyle w:val="4"/>
        <w:numPr>
          <w:ilvl w:val="1"/>
          <w:numId w:val="4"/>
        </w:numPr>
        <w:spacing w:before="0" w:after="0" w:line="240" w:lineRule="auto"/>
        <w:ind w:left="2269" w:hanging="2127"/>
        <w:rPr>
          <w:color w:val="000000" w:themeColor="text1"/>
          <w14:textFill>
            <w14:solidFill>
              <w14:schemeClr w14:val="tx1"/>
            </w14:solidFill>
          </w14:textFill>
        </w:rPr>
      </w:pPr>
      <w:bookmarkStart w:id="22" w:name="_Toc32366"/>
      <w:bookmarkStart w:id="23" w:name="_Toc213496268"/>
      <w:bookmarkStart w:id="24" w:name="_Toc189727030"/>
      <w:bookmarkStart w:id="25" w:name="_Toc213396946"/>
      <w:bookmarkStart w:id="26" w:name="_Toc316462344"/>
      <w:bookmarkStart w:id="27" w:name="_Toc213397010"/>
      <w:bookmarkStart w:id="28" w:name="_Toc14528"/>
      <w:bookmarkStart w:id="29" w:name="_Toc217446032"/>
      <w:bookmarkStart w:id="30" w:name="_Toc1773"/>
      <w:bookmarkStart w:id="31" w:name="_Toc15505"/>
      <w:bookmarkStart w:id="32" w:name="_Toc213396760"/>
      <w:bookmarkStart w:id="33" w:name="_Toc21123"/>
      <w:r>
        <w:rPr>
          <w:rFonts w:hint="eastAsia"/>
          <w:color w:val="000000" w:themeColor="text1"/>
          <w14:textFill>
            <w14:solidFill>
              <w14:schemeClr w14:val="tx1"/>
            </w14:solidFill>
          </w14:textFill>
        </w:rPr>
        <w:t>投标人须知前附表</w:t>
      </w:r>
      <w:bookmarkEnd w:id="22"/>
      <w:bookmarkEnd w:id="23"/>
      <w:bookmarkEnd w:id="24"/>
      <w:bookmarkEnd w:id="25"/>
      <w:bookmarkEnd w:id="26"/>
      <w:bookmarkEnd w:id="27"/>
      <w:bookmarkEnd w:id="28"/>
      <w:bookmarkEnd w:id="29"/>
      <w:bookmarkEnd w:id="30"/>
      <w:bookmarkEnd w:id="31"/>
      <w:bookmarkEnd w:id="32"/>
      <w:bookmarkEnd w:id="33"/>
    </w:p>
    <w:tbl>
      <w:tblPr>
        <w:tblStyle w:val="48"/>
        <w:tblW w:w="9312" w:type="dxa"/>
        <w:jc w:val="center"/>
        <w:tblInd w:w="0" w:type="dxa"/>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689"/>
        <w:gridCol w:w="1942"/>
        <w:gridCol w:w="6681"/>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1" w:hRule="exact"/>
          <w:jc w:val="center"/>
        </w:trPr>
        <w:tc>
          <w:tcPr>
            <w:tcW w:w="689" w:type="dxa"/>
            <w:tcBorders>
              <w:top w:val="single" w:color="auto" w:sz="18" w:space="0"/>
              <w:left w:val="single" w:color="auto" w:sz="18" w:space="0"/>
              <w:bottom w:val="single" w:color="auto" w:sz="8" w:space="0"/>
              <w:right w:val="single" w:color="auto" w:sz="8" w:space="0"/>
            </w:tcBorders>
            <w:vAlign w:val="center"/>
          </w:tcPr>
          <w:p>
            <w:pPr>
              <w:snapToGrid w:val="0"/>
              <w:jc w:val="center"/>
              <w:rPr>
                <w:rFonts w:ascii="宋体" w:hAnsi="宋体"/>
                <w:b/>
                <w:color w:val="000000" w:themeColor="text1"/>
                <w:sz w:val="24"/>
                <w14:textFill>
                  <w14:solidFill>
                    <w14:schemeClr w14:val="tx1"/>
                  </w14:solidFill>
                </w14:textFill>
              </w:rPr>
            </w:pPr>
            <w:r>
              <w:rPr>
                <w:rFonts w:hint="eastAsia" w:ascii="宋体" w:hAnsi="宋体"/>
                <w:b/>
                <w:color w:val="000000" w:themeColor="text1"/>
                <w:sz w:val="28"/>
                <w:szCs w:val="28"/>
                <w:lang w:val="zh-CN"/>
                <w14:textFill>
                  <w14:solidFill>
                    <w14:schemeClr w14:val="tx1"/>
                  </w14:solidFill>
                </w14:textFill>
              </w:rPr>
              <w:t>序号</w:t>
            </w:r>
          </w:p>
        </w:tc>
        <w:tc>
          <w:tcPr>
            <w:tcW w:w="1942" w:type="dxa"/>
            <w:tcBorders>
              <w:top w:val="single" w:color="auto" w:sz="18" w:space="0"/>
              <w:left w:val="single" w:color="auto" w:sz="8" w:space="0"/>
              <w:bottom w:val="single" w:color="auto" w:sz="8" w:space="0"/>
              <w:right w:val="single" w:color="auto" w:sz="8" w:space="0"/>
            </w:tcBorders>
            <w:vAlign w:val="center"/>
          </w:tcPr>
          <w:p>
            <w:pPr>
              <w:pStyle w:val="121"/>
              <w:ind w:left="38"/>
              <w:jc w:val="center"/>
              <w:rPr>
                <w:b/>
                <w:color w:val="000000" w:themeColor="text1"/>
                <w:kern w:val="2"/>
                <w:lang w:val="zh-CN"/>
                <w14:textFill>
                  <w14:solidFill>
                    <w14:schemeClr w14:val="tx1"/>
                  </w14:solidFill>
                </w14:textFill>
              </w:rPr>
            </w:pPr>
            <w:r>
              <w:rPr>
                <w:rFonts w:hint="eastAsia"/>
                <w:b/>
                <w:color w:val="000000" w:themeColor="text1"/>
                <w:kern w:val="2"/>
                <w:sz w:val="28"/>
                <w:szCs w:val="28"/>
                <w:lang w:val="zh-CN"/>
                <w14:textFill>
                  <w14:solidFill>
                    <w14:schemeClr w14:val="tx1"/>
                  </w14:solidFill>
                </w14:textFill>
              </w:rPr>
              <w:t>应知事项</w:t>
            </w:r>
          </w:p>
        </w:tc>
        <w:tc>
          <w:tcPr>
            <w:tcW w:w="6681" w:type="dxa"/>
            <w:tcBorders>
              <w:top w:val="single" w:color="auto" w:sz="18" w:space="0"/>
              <w:left w:val="single" w:color="auto" w:sz="8" w:space="0"/>
              <w:bottom w:val="single" w:color="auto" w:sz="8" w:space="0"/>
              <w:right w:val="single" w:color="auto" w:sz="18" w:space="0"/>
            </w:tcBorders>
            <w:vAlign w:val="center"/>
          </w:tcPr>
          <w:p>
            <w:pPr>
              <w:pStyle w:val="121"/>
              <w:jc w:val="center"/>
              <w:rPr>
                <w:b/>
                <w:color w:val="000000" w:themeColor="text1"/>
                <w:kern w:val="2"/>
                <w:lang w:val="zh-CN"/>
                <w14:textFill>
                  <w14:solidFill>
                    <w14:schemeClr w14:val="tx1"/>
                  </w14:solidFill>
                </w14:textFill>
              </w:rPr>
            </w:pPr>
            <w:r>
              <w:rPr>
                <w:rFonts w:hint="eastAsia"/>
                <w:b/>
                <w:color w:val="000000" w:themeColor="text1"/>
                <w:kern w:val="2"/>
                <w:sz w:val="28"/>
                <w:szCs w:val="28"/>
                <w:lang w:val="zh-CN"/>
                <w14:textFill>
                  <w14:solidFill>
                    <w14:schemeClr w14:val="tx1"/>
                  </w14:solidFill>
                </w14:textFill>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42" w:hRule="exac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b/>
                <w:color w:val="000000" w:themeColor="text1"/>
                <w:sz w:val="28"/>
                <w:szCs w:val="28"/>
                <w:lang w:val="zh-CN"/>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1"/>
              <w:ind w:left="38"/>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采购预算</w:t>
            </w:r>
          </w:p>
        </w:tc>
        <w:tc>
          <w:tcPr>
            <w:tcW w:w="6681" w:type="dxa"/>
            <w:tcBorders>
              <w:top w:val="single" w:color="auto" w:sz="8" w:space="0"/>
              <w:left w:val="single" w:color="auto" w:sz="8" w:space="0"/>
              <w:bottom w:val="single" w:color="auto" w:sz="8" w:space="0"/>
              <w:right w:val="single" w:color="auto" w:sz="18" w:space="0"/>
            </w:tcBorders>
            <w:vAlign w:val="center"/>
          </w:tcPr>
          <w:p>
            <w:pPr>
              <w:pStyle w:val="121"/>
              <w:rPr>
                <w:b/>
                <w:color w:val="000000" w:themeColor="text1"/>
                <w:kern w:val="2"/>
                <w:lang w:val="zh-CN"/>
                <w14:textFill>
                  <w14:solidFill>
                    <w14:schemeClr w14:val="tx1"/>
                  </w14:solidFill>
                </w14:textFill>
              </w:rPr>
            </w:pPr>
            <w:r>
              <w:rPr>
                <w:rFonts w:hint="eastAsia"/>
                <w:b/>
                <w:color w:val="000000" w:themeColor="text1"/>
                <w:kern w:val="2"/>
                <w:lang w:val="zh-CN"/>
                <w14:textFill>
                  <w14:solidFill>
                    <w14:schemeClr w14:val="tx1"/>
                  </w14:solidFill>
                </w14:textFill>
              </w:rPr>
              <w:t>人民币4000000</w:t>
            </w:r>
            <w:r>
              <w:rPr>
                <w:rFonts w:hint="eastAsia"/>
                <w:b/>
                <w:color w:val="000000" w:themeColor="text1"/>
                <w:kern w:val="2"/>
                <w:lang w:val="en-US" w:eastAsia="zh-CN"/>
                <w14:textFill>
                  <w14:solidFill>
                    <w14:schemeClr w14:val="tx1"/>
                  </w14:solidFill>
                </w14:textFill>
              </w:rPr>
              <w:t>.00</w:t>
            </w:r>
            <w:r>
              <w:rPr>
                <w:rFonts w:hint="eastAsia"/>
                <w:b/>
                <w:color w:val="000000" w:themeColor="text1"/>
                <w:kern w:val="2"/>
                <w:lang w:val="zh-CN"/>
                <w14:textFill>
                  <w14:solidFill>
                    <w14:schemeClr w14:val="tx1"/>
                  </w14:solidFill>
                </w14:textFill>
              </w:rPr>
              <w:t>元</w:t>
            </w:r>
            <w:r>
              <w:rPr>
                <w:rFonts w:hint="eastAsia"/>
                <w:b/>
                <w:color w:val="000000" w:themeColor="text1"/>
                <w:kern w:val="2"/>
                <w:lang w:val="en-US" w:eastAsia="zh-CN"/>
                <w14:textFill>
                  <w14:solidFill>
                    <w14:schemeClr w14:val="tx1"/>
                  </w14:solidFill>
                </w14:textFill>
              </w:rPr>
              <w:t>/年，招三年</w:t>
            </w:r>
            <w:r>
              <w:rPr>
                <w:rFonts w:hint="eastAsia"/>
                <w:b/>
                <w:color w:val="000000" w:themeColor="text1"/>
                <w:kern w:val="2"/>
                <w:lang w:val="zh-CN"/>
                <w14:textFill>
                  <w14:solidFill>
                    <w14:schemeClr w14:val="tx1"/>
                  </w14:solidFill>
                </w14:textFill>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120" w:hRule="exac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b/>
                <w:color w:val="000000" w:themeColor="text1"/>
                <w:sz w:val="28"/>
                <w:szCs w:val="28"/>
                <w:lang w:val="zh-CN"/>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1"/>
              <w:ind w:left="38"/>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最高限价</w:t>
            </w:r>
          </w:p>
        </w:tc>
        <w:tc>
          <w:tcPr>
            <w:tcW w:w="6681" w:type="dxa"/>
            <w:tcBorders>
              <w:top w:val="single" w:color="auto" w:sz="8" w:space="0"/>
              <w:left w:val="single" w:color="auto" w:sz="8" w:space="0"/>
              <w:bottom w:val="single" w:color="auto" w:sz="8" w:space="0"/>
              <w:right w:val="single" w:color="auto" w:sz="18" w:space="0"/>
            </w:tcBorders>
            <w:vAlign w:val="center"/>
          </w:tcPr>
          <w:p>
            <w:pPr>
              <w:pStyle w:val="121"/>
              <w:ind w:left="38"/>
              <w:rPr>
                <w:b/>
                <w:color w:val="000000" w:themeColor="text1"/>
                <w:kern w:val="2"/>
                <w:lang w:val="zh-CN"/>
                <w14:textFill>
                  <w14:solidFill>
                    <w14:schemeClr w14:val="tx1"/>
                  </w14:solidFill>
                </w14:textFill>
              </w:rPr>
            </w:pPr>
            <w:r>
              <w:rPr>
                <w:rFonts w:hint="eastAsia"/>
                <w:b/>
                <w:color w:val="000000" w:themeColor="text1"/>
                <w:kern w:val="2"/>
                <w:lang w:val="zh-CN"/>
                <w14:textFill>
                  <w14:solidFill>
                    <w14:schemeClr w14:val="tx1"/>
                  </w14:solidFill>
                </w14:textFill>
              </w:rPr>
              <w:t>本项目最高限价为人民币4000000</w:t>
            </w:r>
            <w:r>
              <w:rPr>
                <w:rFonts w:hint="eastAsia"/>
                <w:b/>
                <w:color w:val="000000" w:themeColor="text1"/>
                <w:kern w:val="2"/>
                <w:lang w:val="en-US" w:eastAsia="zh-CN"/>
                <w14:textFill>
                  <w14:solidFill>
                    <w14:schemeClr w14:val="tx1"/>
                  </w14:solidFill>
                </w14:textFill>
              </w:rPr>
              <w:t>.00</w:t>
            </w:r>
            <w:r>
              <w:rPr>
                <w:rFonts w:hint="eastAsia"/>
                <w:b/>
                <w:color w:val="000000" w:themeColor="text1"/>
                <w:kern w:val="2"/>
                <w:lang w:val="zh-CN"/>
                <w14:textFill>
                  <w14:solidFill>
                    <w14:schemeClr w14:val="tx1"/>
                  </w14:solidFill>
                </w14:textFill>
              </w:rPr>
              <w:t>元/年，招三年。投标人投标报价高于最高限价的则其投标文件将按无效投标文件处理。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560" w:hRule="exac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1"/>
              <w:ind w:left="38"/>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采购方式</w:t>
            </w:r>
          </w:p>
        </w:tc>
        <w:tc>
          <w:tcPr>
            <w:tcW w:w="6681" w:type="dxa"/>
            <w:tcBorders>
              <w:top w:val="single" w:color="auto" w:sz="8" w:space="0"/>
              <w:left w:val="single" w:color="auto" w:sz="8" w:space="0"/>
              <w:bottom w:val="single" w:color="auto" w:sz="8" w:space="0"/>
              <w:right w:val="single" w:color="auto" w:sz="18" w:space="0"/>
            </w:tcBorders>
            <w:vAlign w:val="center"/>
          </w:tcPr>
          <w:p>
            <w:pPr>
              <w:pStyle w:val="121"/>
              <w:jc w:val="both"/>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公开招标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514"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1"/>
              <w:ind w:left="96"/>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评标方法</w:t>
            </w:r>
          </w:p>
        </w:tc>
        <w:tc>
          <w:tcPr>
            <w:tcW w:w="6681" w:type="dxa"/>
            <w:tcBorders>
              <w:top w:val="single" w:color="auto" w:sz="8" w:space="0"/>
              <w:left w:val="single" w:color="auto" w:sz="8" w:space="0"/>
              <w:bottom w:val="single" w:color="auto" w:sz="8" w:space="0"/>
              <w:right w:val="single" w:color="auto" w:sz="18" w:space="0"/>
            </w:tcBorders>
            <w:vAlign w:val="center"/>
          </w:tcPr>
          <w:p>
            <w:pPr>
              <w:pStyle w:val="121"/>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综合评分法(详见第6章)</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759"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1"/>
              <w:ind w:left="96"/>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低于成本价不正当竞争预防措施</w:t>
            </w:r>
          </w:p>
        </w:tc>
        <w:tc>
          <w:tcPr>
            <w:tcW w:w="6681" w:type="dxa"/>
            <w:tcBorders>
              <w:top w:val="single" w:color="auto" w:sz="8" w:space="0"/>
              <w:left w:val="single" w:color="auto" w:sz="8" w:space="0"/>
              <w:bottom w:val="single" w:color="auto" w:sz="8" w:space="0"/>
              <w:right w:val="single" w:color="auto" w:sz="18" w:space="0"/>
            </w:tcBorders>
            <w:vAlign w:val="center"/>
          </w:tcPr>
          <w:p>
            <w:pPr>
              <w:ind w:right="94" w:rightChars="45"/>
              <w:rPr>
                <w:rFonts w:ascii="宋体" w:hAnsi="宋体"/>
                <w:b/>
                <w:color w:val="000000" w:themeColor="text1"/>
                <w:sz w:val="24"/>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在评标过程中，评标委员会认为投标人投标报价明显低于其他通过符合性审查投标人的投标报价，有可能影响产品质量或者不能诚信履约的，评标委员会应当要求其在评标现场合理的时间内提供书面说明，必要时提交相关证明材料。投标人提交的书面说明、相关证明材料（如涉及），应当加盖投标人（法定名称）电子签章，在评标委员会要求的时间内通过云平台进行递交，否则无效。如因断电、断网、系统故障或其他不可抗力等因素，导致系统无法使用的，由投标人按评标委员会的要求进行澄清或者说明。投标人不能证明其投标报价合理性的，评标委员会应当将其投标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759"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1"/>
              <w:ind w:left="96"/>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小微企业价格扣除</w:t>
            </w:r>
          </w:p>
        </w:tc>
        <w:tc>
          <w:tcPr>
            <w:tcW w:w="6681" w:type="dxa"/>
            <w:tcBorders>
              <w:top w:val="single" w:color="auto" w:sz="8" w:space="0"/>
              <w:left w:val="single" w:color="auto" w:sz="8" w:space="0"/>
              <w:bottom w:val="single" w:color="auto" w:sz="8" w:space="0"/>
              <w:right w:val="single" w:color="auto" w:sz="18" w:space="0"/>
            </w:tcBorders>
            <w:vAlign w:val="center"/>
          </w:tcPr>
          <w:p>
            <w:pPr>
              <w:ind w:right="94" w:rightChars="45"/>
              <w:rPr>
                <w:rFonts w:ascii="宋体" w:hAnsi="宋体" w:cs="宋体"/>
                <w:color w:val="000000" w:themeColor="text1"/>
                <w:kern w:val="0"/>
                <w:sz w:val="24"/>
                <w:szCs w:val="24"/>
                <w:lang w:val="zh-CN"/>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1.根据《政府采购促进中小企业发展管理办法》（财库〔</w:t>
            </w:r>
            <w:r>
              <w:rPr>
                <w:rFonts w:ascii="宋体" w:hAnsi="宋体" w:cs="宋体"/>
                <w:color w:val="000000" w:themeColor="text1"/>
                <w:kern w:val="0"/>
                <w:sz w:val="24"/>
                <w:szCs w:val="24"/>
                <w:lang w:val="zh-CN"/>
                <w14:textFill>
                  <w14:solidFill>
                    <w14:schemeClr w14:val="tx1"/>
                  </w14:solidFill>
                </w14:textFill>
              </w:rPr>
              <w:t>2020〕46号）的规定</w:t>
            </w:r>
            <w:r>
              <w:rPr>
                <w:rFonts w:hint="eastAsia" w:ascii="宋体" w:hAnsi="宋体" w:cs="宋体"/>
                <w:color w:val="000000" w:themeColor="text1"/>
                <w:kern w:val="0"/>
                <w:sz w:val="24"/>
                <w:szCs w:val="24"/>
                <w:lang w:val="zh-CN"/>
                <w14:textFill>
                  <w14:solidFill>
                    <w14:schemeClr w14:val="tx1"/>
                  </w14:solidFill>
                </w14:textFill>
              </w:rPr>
              <w:t>，对小型和微型企业提供的服务价格给予10%的价格扣除，用扣除后的价格参与评标。</w:t>
            </w:r>
          </w:p>
          <w:p>
            <w:pPr>
              <w:ind w:right="94" w:rightChars="45"/>
              <w:rPr>
                <w:rFonts w:ascii="宋体" w:hAnsi="宋体"/>
                <w:b/>
                <w:color w:val="000000" w:themeColor="text1"/>
                <w:sz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2</w:t>
            </w:r>
            <w:r>
              <w:rPr>
                <w:rFonts w:hint="eastAsia" w:ascii="宋体" w:hAnsi="宋体" w:cs="宋体"/>
                <w:color w:val="000000" w:themeColor="text1"/>
                <w:kern w:val="0"/>
                <w:sz w:val="24"/>
                <w:szCs w:val="24"/>
                <w:lang w:val="zh-CN"/>
                <w14:textFill>
                  <w14:solidFill>
                    <w14:schemeClr w14:val="tx1"/>
                  </w14:solidFill>
                </w14:textFill>
              </w:rPr>
              <w:t>.投标人应提供《中小企业声明函》。</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759"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1"/>
              <w:ind w:left="96"/>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监狱企业价格扣除</w:t>
            </w:r>
          </w:p>
        </w:tc>
        <w:tc>
          <w:tcPr>
            <w:tcW w:w="6681" w:type="dxa"/>
            <w:tcBorders>
              <w:top w:val="single" w:color="auto" w:sz="8" w:space="0"/>
              <w:left w:val="single" w:color="auto" w:sz="8" w:space="0"/>
              <w:bottom w:val="single" w:color="auto" w:sz="8" w:space="0"/>
              <w:right w:val="single" w:color="auto" w:sz="18" w:space="0"/>
            </w:tcBorders>
            <w:vAlign w:val="center"/>
          </w:tcPr>
          <w:p>
            <w:pPr>
              <w:widowControl/>
              <w:jc w:val="left"/>
              <w:rPr>
                <w:rFonts w:ascii="宋体" w:hAnsi="宋体" w:cs="宋体"/>
                <w:color w:val="000000" w:themeColor="text1"/>
                <w:kern w:val="0"/>
                <w:sz w:val="24"/>
                <w:szCs w:val="24"/>
                <w:lang w:val="zh-CN"/>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１.根据《关于政府采购支持监狱企业发展有关问题的通知》（财库〔</w:t>
            </w:r>
            <w:r>
              <w:rPr>
                <w:rFonts w:ascii="宋体" w:hAnsi="宋体" w:cs="宋体"/>
                <w:color w:val="000000" w:themeColor="text1"/>
                <w:kern w:val="0"/>
                <w:sz w:val="24"/>
                <w:szCs w:val="24"/>
                <w:lang w:val="zh-CN"/>
                <w14:textFill>
                  <w14:solidFill>
                    <w14:schemeClr w14:val="tx1"/>
                  </w14:solidFill>
                </w14:textFill>
              </w:rPr>
              <w:t>20</w:t>
            </w:r>
            <w:r>
              <w:rPr>
                <w:rFonts w:hint="eastAsia" w:ascii="宋体" w:hAnsi="宋体" w:cs="宋体"/>
                <w:color w:val="000000" w:themeColor="text1"/>
                <w:kern w:val="0"/>
                <w:sz w:val="24"/>
                <w:szCs w:val="24"/>
                <w:lang w:val="zh-CN"/>
                <w14:textFill>
                  <w14:solidFill>
                    <w14:schemeClr w14:val="tx1"/>
                  </w14:solidFill>
                </w14:textFill>
              </w:rPr>
              <w:t>14</w:t>
            </w:r>
            <w:r>
              <w:rPr>
                <w:rFonts w:ascii="宋体" w:hAnsi="宋体" w:cs="宋体"/>
                <w:color w:val="000000" w:themeColor="text1"/>
                <w:kern w:val="0"/>
                <w:sz w:val="24"/>
                <w:szCs w:val="24"/>
                <w:lang w:val="zh-CN"/>
                <w14:textFill>
                  <w14:solidFill>
                    <w14:schemeClr w14:val="tx1"/>
                  </w14:solidFill>
                </w14:textFill>
              </w:rPr>
              <w:t>〕</w:t>
            </w:r>
            <w:r>
              <w:rPr>
                <w:rFonts w:hint="eastAsia" w:ascii="宋体" w:hAnsi="宋体" w:cs="宋体"/>
                <w:color w:val="000000" w:themeColor="text1"/>
                <w:kern w:val="0"/>
                <w:sz w:val="24"/>
                <w:szCs w:val="24"/>
                <w:lang w:val="zh-CN"/>
                <w14:textFill>
                  <w14:solidFill>
                    <w14:schemeClr w14:val="tx1"/>
                  </w14:solidFill>
                </w14:textFill>
              </w:rPr>
              <w:t>68号）的规定，监狱企业视同小型、微型企业，对监狱企业提供的服务价格给予10%的价格扣除，用扣除后的价格参与评标。</w:t>
            </w:r>
          </w:p>
          <w:p>
            <w:pPr>
              <w:ind w:right="94" w:rightChars="45"/>
              <w:rPr>
                <w:rFonts w:ascii="宋体" w:hAnsi="宋体"/>
                <w:b/>
                <w:color w:val="000000" w:themeColor="text1"/>
                <w:sz w:val="24"/>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２.投标人为监狱企业的,应提供由省级以上监狱管理局、戒毒管理局（含新疆生产建设兵团）出具的投标人属于监狱企业的证明文件复印件。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759"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1"/>
              <w:ind w:left="96"/>
              <w:rPr>
                <w:color w:val="000000" w:themeColor="text1"/>
                <w:kern w:val="2"/>
                <w:lang w:val="zh-CN"/>
                <w14:textFill>
                  <w14:solidFill>
                    <w14:schemeClr w14:val="tx1"/>
                  </w14:solidFill>
                </w14:textFill>
              </w:rPr>
            </w:pPr>
            <w:r>
              <w:rPr>
                <w:rFonts w:hint="eastAsia"/>
                <w:color w:val="000000" w:themeColor="text1"/>
                <w:kern w:val="2"/>
                <w14:textFill>
                  <w14:solidFill>
                    <w14:schemeClr w14:val="tx1"/>
                  </w14:solidFill>
                </w14:textFill>
              </w:rPr>
              <w:t>残疾人福利性单位</w:t>
            </w:r>
            <w:r>
              <w:rPr>
                <w:rFonts w:hint="eastAsia"/>
                <w:color w:val="000000" w:themeColor="text1"/>
                <w:kern w:val="2"/>
                <w:lang w:val="zh-CN"/>
                <w14:textFill>
                  <w14:solidFill>
                    <w14:schemeClr w14:val="tx1"/>
                  </w14:solidFill>
                </w14:textFill>
              </w:rPr>
              <w:t>价格扣除</w:t>
            </w:r>
          </w:p>
        </w:tc>
        <w:tc>
          <w:tcPr>
            <w:tcW w:w="6681" w:type="dxa"/>
            <w:tcBorders>
              <w:top w:val="single" w:color="auto" w:sz="8" w:space="0"/>
              <w:left w:val="single" w:color="auto" w:sz="8" w:space="0"/>
              <w:bottom w:val="single" w:color="auto" w:sz="8" w:space="0"/>
              <w:right w:val="single" w:color="auto" w:sz="18" w:space="0"/>
            </w:tcBorders>
            <w:vAlign w:val="center"/>
          </w:tcPr>
          <w:p>
            <w:pPr>
              <w:widowControl/>
              <w:jc w:val="left"/>
              <w:rPr>
                <w:rFonts w:ascii="宋体" w:hAnsi="宋体" w:cs="宋体"/>
                <w:color w:val="000000" w:themeColor="text1"/>
                <w:kern w:val="0"/>
                <w:sz w:val="24"/>
                <w:szCs w:val="24"/>
                <w:lang w:val="zh-CN"/>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1.根据《三部门联合发布关于促进残疾人就业政府采购政策的通知》（财库[2017]141号）的规定，残疾人福利性单位视同小型、微型企业，对残疾人福利性单位提供的服务价格给予10%的价格扣除，用扣除后的价格参与评标。</w:t>
            </w:r>
          </w:p>
          <w:p>
            <w:pPr>
              <w:widowControl/>
              <w:jc w:val="left"/>
              <w:rPr>
                <w:rFonts w:ascii="宋体" w:hAnsi="宋体" w:cs="宋体"/>
                <w:color w:val="000000" w:themeColor="text1"/>
                <w:kern w:val="0"/>
                <w:sz w:val="24"/>
                <w:szCs w:val="24"/>
                <w:lang w:val="zh-CN"/>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2.投标文件中应提供《残疾人福利性单位声明函》。</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759"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1"/>
              <w:ind w:left="96"/>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投标保证金</w:t>
            </w:r>
          </w:p>
        </w:tc>
        <w:tc>
          <w:tcPr>
            <w:tcW w:w="6681" w:type="dxa"/>
            <w:tcBorders>
              <w:top w:val="single" w:color="auto" w:sz="8" w:space="0"/>
              <w:left w:val="single" w:color="auto" w:sz="8" w:space="0"/>
              <w:bottom w:val="single" w:color="auto" w:sz="8" w:space="0"/>
              <w:right w:val="single" w:color="auto" w:sz="18" w:space="0"/>
            </w:tcBorders>
            <w:vAlign w:val="center"/>
          </w:tcPr>
          <w:p>
            <w:pPr>
              <w:rPr>
                <w:rFonts w:ascii="宋体" w:hAnsi="宋体"/>
                <w:color w:val="000000" w:themeColor="text1"/>
                <w:sz w:val="24"/>
                <w:lang w:val="zh-CN"/>
                <w14:textFill>
                  <w14:solidFill>
                    <w14:schemeClr w14:val="tx1"/>
                  </w14:solidFill>
                </w14:textFill>
              </w:rPr>
            </w:pPr>
            <w:r>
              <w:rPr>
                <w:rFonts w:hint="eastAsia" w:ascii="宋体" w:hAnsi="宋体"/>
                <w:color w:val="000000" w:themeColor="text1"/>
                <w:sz w:val="24"/>
                <w:lang w:val="zh-CN"/>
                <w14:textFill>
                  <w14:solidFill>
                    <w14:schemeClr w14:val="tx1"/>
                  </w14:solidFill>
                </w14:textFill>
              </w:rPr>
              <w:t>本项目不收取投标保证金。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830"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snapToGrid w:val="0"/>
              <w:jc w:val="left"/>
              <w:rPr>
                <w:rFonts w:ascii="宋体" w:hAnsi="宋体"/>
                <w:color w:val="000000" w:themeColor="text1"/>
                <w:sz w:val="24"/>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履约保证金</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rPr>
                <w:rFonts w:ascii="宋体" w:hAnsi="宋体"/>
                <w:color w:val="000000" w:themeColor="text1"/>
                <w:kern w:val="0"/>
                <w:sz w:val="24"/>
                <w14:textFill>
                  <w14:solidFill>
                    <w14:schemeClr w14:val="tx1"/>
                  </w14:solidFill>
                </w14:textFill>
              </w:rPr>
            </w:pPr>
            <w:r>
              <w:rPr>
                <w:rFonts w:hint="eastAsia" w:ascii="宋体" w:hAnsi="宋体"/>
                <w:color w:val="000000" w:themeColor="text1"/>
                <w:kern w:val="0"/>
                <w:sz w:val="24"/>
                <w14:textFill>
                  <w14:solidFill>
                    <w14:schemeClr w14:val="tx1"/>
                  </w14:solidFill>
                </w14:textFill>
              </w:rPr>
              <w:t>详见投标人须知2.6.4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574"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投标有效期</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rPr>
                <w:rFonts w:ascii="宋体" w:hAnsi="宋体"/>
                <w:color w:val="000000" w:themeColor="text1"/>
                <w:sz w:val="24"/>
                <w14:textFill>
                  <w14:solidFill>
                    <w14:schemeClr w14:val="tx1"/>
                  </w14:solidFill>
                </w14:textFill>
              </w:rPr>
            </w:pPr>
            <w:r>
              <w:rPr>
                <w:rFonts w:hint="eastAsia" w:ascii="Helvetica" w:hAnsi="Helvetica" w:cs="Helvetica"/>
                <w:color w:val="000000" w:themeColor="text1"/>
                <w:kern w:val="0"/>
                <w:sz w:val="24"/>
                <w:szCs w:val="24"/>
                <w14:textFill>
                  <w14:solidFill>
                    <w14:schemeClr w14:val="tx1"/>
                  </w14:solidFill>
                </w14:textFill>
              </w:rPr>
              <w:t>提交投标文件的截止之日起</w:t>
            </w:r>
            <w:r>
              <w:rPr>
                <w:rFonts w:hint="eastAsia" w:ascii="宋体" w:hAnsi="宋体"/>
                <w:color w:val="000000" w:themeColor="text1"/>
                <w:sz w:val="24"/>
                <w:szCs w:val="24"/>
                <w:u w:val="single"/>
                <w14:textFill>
                  <w14:solidFill>
                    <w14:schemeClr w14:val="tx1"/>
                  </w14:solidFill>
                </w14:textFill>
              </w:rPr>
              <w:t xml:space="preserve"> 120</w:t>
            </w:r>
            <w:r>
              <w:rPr>
                <w:rFonts w:hint="eastAsia" w:ascii="宋体" w:hAnsi="宋体"/>
                <w:color w:val="000000" w:themeColor="text1"/>
                <w:sz w:val="24"/>
                <w:szCs w:val="24"/>
                <w14:textFill>
                  <w14:solidFill>
                    <w14:schemeClr w14:val="tx1"/>
                  </w14:solidFill>
                </w14:textFill>
              </w:rPr>
              <w:t>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909"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投标文件的制作和签章、加密</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详见投标人须知2.4.11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720" w:hRule="atLeast"/>
          <w:jc w:val="center"/>
        </w:trPr>
        <w:tc>
          <w:tcPr>
            <w:tcW w:w="689" w:type="dxa"/>
            <w:tcBorders>
              <w:top w:val="single" w:color="auto" w:sz="8" w:space="0"/>
              <w:left w:val="single" w:color="auto" w:sz="18" w:space="0"/>
              <w:bottom w:val="single" w:color="auto" w:sz="4"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4"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投标文件的递交</w:t>
            </w:r>
          </w:p>
        </w:tc>
        <w:tc>
          <w:tcPr>
            <w:tcW w:w="6681"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详见投标人须知2.4.12</w:t>
            </w:r>
          </w:p>
          <w:p>
            <w:pPr>
              <w:tabs>
                <w:tab w:val="left" w:pos="7665"/>
              </w:tabs>
              <w:snapToGrid w:val="0"/>
              <w:jc w:val="left"/>
              <w:rPr>
                <w:color w:val="000000" w:themeColor="text1"/>
                <w14:textFill>
                  <w14:solidFill>
                    <w14:schemeClr w14:val="tx1"/>
                  </w14:solidFill>
                </w14:textFill>
              </w:rPr>
            </w:pPr>
            <w:r>
              <w:rPr>
                <w:rFonts w:hint="eastAsia" w:ascii="宋体" w:hAnsi="宋体"/>
                <w:color w:val="000000" w:themeColor="text1"/>
                <w:sz w:val="24"/>
                <w14:textFill>
                  <w14:solidFill>
                    <w14:schemeClr w14:val="tx1"/>
                  </w14:solidFill>
                </w14:textFill>
              </w:rPr>
              <w:t>注：投标人使用CA证书在投标截止时间前，将电子投标文件上传至政府采购云平台，上传前须对电子投标文件每页是否都有电子签章等进行核对。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56" w:hRule="atLeast"/>
          <w:jc w:val="center"/>
        </w:trPr>
        <w:tc>
          <w:tcPr>
            <w:tcW w:w="689" w:type="dxa"/>
            <w:tcBorders>
              <w:top w:val="single" w:color="auto" w:sz="4" w:space="0"/>
              <w:left w:val="single" w:color="auto" w:sz="18" w:space="0"/>
              <w:bottom w:val="single" w:color="auto" w:sz="4"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4" w:space="0"/>
              <w:left w:val="single" w:color="auto" w:sz="8" w:space="0"/>
              <w:bottom w:val="single" w:color="auto" w:sz="4"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投标文件的补充、修改</w:t>
            </w:r>
          </w:p>
        </w:tc>
        <w:tc>
          <w:tcPr>
            <w:tcW w:w="6681"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详见投标人须知2.4.13</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80" w:hRule="atLeast"/>
          <w:jc w:val="center"/>
        </w:trPr>
        <w:tc>
          <w:tcPr>
            <w:tcW w:w="689" w:type="dxa"/>
            <w:tcBorders>
              <w:top w:val="single" w:color="auto" w:sz="4"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4"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投标文件的撤回</w:t>
            </w:r>
          </w:p>
        </w:tc>
        <w:tc>
          <w:tcPr>
            <w:tcW w:w="6681" w:type="dxa"/>
            <w:tcBorders>
              <w:top w:val="single" w:color="auto" w:sz="4" w:space="0"/>
              <w:left w:val="single" w:color="auto" w:sz="8" w:space="0"/>
              <w:bottom w:val="single" w:color="auto" w:sz="8" w:space="0"/>
              <w:right w:val="single" w:color="auto" w:sz="1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详见投标人须知2.4.14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80" w:hRule="atLeast"/>
          <w:jc w:val="center"/>
        </w:trPr>
        <w:tc>
          <w:tcPr>
            <w:tcW w:w="689" w:type="dxa"/>
            <w:tcBorders>
              <w:top w:val="single" w:color="auto" w:sz="4"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4"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b/>
                <w:color w:val="000000" w:themeColor="text1"/>
                <w14:textFill>
                  <w14:solidFill>
                    <w14:schemeClr w14:val="tx1"/>
                  </w14:solidFill>
                </w14:textFill>
              </w:rPr>
              <w:t>开标及开标程序</w:t>
            </w:r>
          </w:p>
        </w:tc>
        <w:tc>
          <w:tcPr>
            <w:tcW w:w="6681" w:type="dxa"/>
            <w:tcBorders>
              <w:top w:val="single" w:color="auto" w:sz="4" w:space="0"/>
              <w:left w:val="single" w:color="auto" w:sz="8" w:space="0"/>
              <w:bottom w:val="single" w:color="auto" w:sz="8" w:space="0"/>
              <w:right w:val="single" w:color="auto" w:sz="18" w:space="0"/>
            </w:tcBorders>
            <w:vAlign w:val="center"/>
          </w:tcPr>
          <w:p>
            <w:pPr>
              <w:snapToGrid w:val="0"/>
              <w:spacing w:line="360" w:lineRule="auto"/>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详见投标人须知2.5.1。</w:t>
            </w:r>
          </w:p>
          <w:p>
            <w:pPr>
              <w:snapToGrid w:val="0"/>
              <w:spacing w:line="360" w:lineRule="auto"/>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投标文件解密：开启解密后，投标人应在系统提示的解密开始时间后</w:t>
            </w:r>
            <w:r>
              <w:rPr>
                <w:rFonts w:ascii="宋体" w:hAnsi="宋体"/>
                <w:b/>
                <w:color w:val="000000" w:themeColor="text1"/>
                <w14:textFill>
                  <w14:solidFill>
                    <w14:schemeClr w14:val="tx1"/>
                  </w14:solidFill>
                </w14:textFill>
              </w:rPr>
              <w:t>60</w:t>
            </w:r>
            <w:r>
              <w:rPr>
                <w:rFonts w:hint="eastAsia" w:ascii="宋体" w:hAnsi="宋体"/>
                <w:b/>
                <w:color w:val="000000" w:themeColor="text1"/>
                <w14:textFill>
                  <w14:solidFill>
                    <w14:schemeClr w14:val="tx1"/>
                  </w14:solidFill>
                </w14:textFill>
              </w:rPr>
              <w:t>分钟内 ，使用对投标文件进行加密的CA证书在线完成对投标人递交至政府采购云平台的投标文件的解密。</w:t>
            </w:r>
          </w:p>
          <w:p>
            <w:pPr>
              <w:snapToGrid w:val="0"/>
              <w:spacing w:line="360" w:lineRule="auto"/>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投标人电脑终端等硬件设备和软件系统配置：投标人电脑终端等硬件设备和软件系统配置应符合开标大厅投标人电脑终端配置要求并运行正常，投标人承担因未尽职责产生的不利后果。</w:t>
            </w:r>
          </w:p>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b/>
                <w:color w:val="000000" w:themeColor="text1"/>
                <w14:textFill>
                  <w14:solidFill>
                    <w14:schemeClr w14:val="tx1"/>
                  </w14:solidFill>
                </w14:textFill>
              </w:rPr>
              <w:t>开标、投标文件的解密详见《成都市全流程电子化采购系统操作指南——供应商版》。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137"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对招标文件中供应商参加本次政府采购活动应当具备的条件，招标项目服务、商务及其他要求，评标细则及标准，以及关于资格审查的询问、质疑</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ind w:right="210"/>
              <w:rPr>
                <w:rFonts w:ascii="宋体" w:hAnsi="宋体" w:eastAsia="仿宋_GB2312" w:cs="宋体"/>
                <w:color w:val="000000" w:themeColor="text1"/>
                <w:kern w:val="0"/>
                <w:sz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向采购人提出，并由</w:t>
            </w:r>
            <w:r>
              <w:rPr>
                <w:rFonts w:hint="eastAsia" w:ascii="宋体" w:hAnsi="宋体"/>
                <w:color w:val="000000" w:themeColor="text1"/>
                <w:kern w:val="0"/>
                <w:sz w:val="24"/>
                <w14:textFill>
                  <w14:solidFill>
                    <w14:schemeClr w14:val="tx1"/>
                  </w14:solidFill>
                </w14:textFill>
              </w:rPr>
              <w:t>采购人</w:t>
            </w:r>
            <w:r>
              <w:rPr>
                <w:rFonts w:hint="eastAsia" w:ascii="宋体" w:hAnsi="宋体"/>
                <w:color w:val="000000" w:themeColor="text1"/>
                <w:sz w:val="24"/>
                <w:szCs w:val="24"/>
                <w14:textFill>
                  <w14:solidFill>
                    <w14:schemeClr w14:val="tx1"/>
                  </w14:solidFill>
                </w14:textFill>
              </w:rPr>
              <w:t>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264"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对招标文件中的其他内容、采购过程及中标结果（除资格审查）的询问、质疑</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ind w:right="210"/>
              <w:rPr>
                <w:rFonts w:ascii="宋体" w:hAnsi="宋体" w:eastAsia="仿宋_GB2312" w:cs="宋体"/>
                <w:color w:val="000000" w:themeColor="text1"/>
                <w:kern w:val="0"/>
                <w:sz w:val="24"/>
                <w14:textFill>
                  <w14:solidFill>
                    <w14:schemeClr w14:val="tx1"/>
                  </w14:solidFill>
                </w14:textFill>
              </w:rPr>
            </w:pPr>
            <w:r>
              <w:rPr>
                <w:rFonts w:hint="eastAsia" w:ascii="宋体" w:hAnsi="宋体"/>
                <w:color w:val="000000" w:themeColor="text1"/>
                <w:kern w:val="0"/>
                <w:sz w:val="24"/>
                <w14:textFill>
                  <w14:solidFill>
                    <w14:schemeClr w14:val="tx1"/>
                  </w14:solidFill>
                </w14:textFill>
              </w:rPr>
              <w:t>向区公资交易中心提出，</w:t>
            </w:r>
            <w:r>
              <w:rPr>
                <w:rFonts w:hint="eastAsia" w:ascii="宋体" w:hAnsi="宋体"/>
                <w:color w:val="000000" w:themeColor="text1"/>
                <w:sz w:val="24"/>
                <w:szCs w:val="24"/>
                <w14:textFill>
                  <w14:solidFill>
                    <w14:schemeClr w14:val="tx1"/>
                  </w14:solidFill>
                </w14:textFill>
              </w:rPr>
              <w:t>并由</w:t>
            </w:r>
            <w:r>
              <w:rPr>
                <w:rFonts w:hint="eastAsia" w:ascii="宋体" w:hAnsi="宋体"/>
                <w:color w:val="000000" w:themeColor="text1"/>
                <w:kern w:val="0"/>
                <w:sz w:val="24"/>
                <w14:textFill>
                  <w14:solidFill>
                    <w14:schemeClr w14:val="tx1"/>
                  </w14:solidFill>
                </w14:textFill>
              </w:rPr>
              <w:t>区公资交易中心</w:t>
            </w:r>
            <w:r>
              <w:rPr>
                <w:rFonts w:hint="eastAsia" w:ascii="宋体" w:hAnsi="宋体"/>
                <w:color w:val="000000" w:themeColor="text1"/>
                <w:sz w:val="24"/>
                <w:szCs w:val="24"/>
                <w14:textFill>
                  <w14:solidFill>
                    <w14:schemeClr w14:val="tx1"/>
                  </w14:solidFill>
                </w14:textFill>
              </w:rPr>
              <w:t>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137"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7"/>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投标人投诉</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ind w:right="210" w:rightChars="100"/>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投诉受理单位：本项目同级财政部门，即成都市新津区财政和金融工作局。</w:t>
            </w:r>
          </w:p>
          <w:p>
            <w:pPr>
              <w:tabs>
                <w:tab w:val="left" w:pos="7665"/>
              </w:tabs>
              <w:snapToGrid w:val="0"/>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联系电话：028-</w:t>
            </w:r>
            <w:r>
              <w:rPr>
                <w:rFonts w:hint="eastAsia" w:ascii="宋体" w:hAnsi="宋体"/>
                <w:color w:val="000000" w:themeColor="text1"/>
                <w:sz w:val="24"/>
                <w:szCs w:val="24"/>
                <w:lang w:val="en-US" w:eastAsia="zh-CN"/>
                <w14:textFill>
                  <w14:solidFill>
                    <w14:schemeClr w14:val="tx1"/>
                  </w14:solidFill>
                </w14:textFill>
              </w:rPr>
              <w:t>82520054</w:t>
            </w:r>
            <w:r>
              <w:rPr>
                <w:rFonts w:hint="eastAsia" w:ascii="宋体" w:hAnsi="宋体"/>
                <w:color w:val="000000" w:themeColor="text1"/>
                <w:sz w:val="24"/>
                <w:szCs w:val="24"/>
                <w14:textFill>
                  <w14:solidFill>
                    <w14:schemeClr w14:val="tx1"/>
                  </w14:solidFill>
                </w14:textFill>
              </w:rPr>
              <w:t>。</w:t>
            </w:r>
          </w:p>
          <w:p>
            <w:pPr>
              <w:tabs>
                <w:tab w:val="left" w:pos="7665"/>
              </w:tabs>
              <w:snapToGrid w:val="0"/>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地址：成都市新津区五津镇武阳西路163号。</w:t>
            </w:r>
          </w:p>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邮编：611430。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318" w:hRule="atLeast"/>
          <w:jc w:val="center"/>
        </w:trPr>
        <w:tc>
          <w:tcPr>
            <w:tcW w:w="689" w:type="dxa"/>
            <w:tcBorders>
              <w:top w:val="single" w:color="auto" w:sz="8" w:space="0"/>
              <w:left w:val="single" w:color="auto" w:sz="18" w:space="0"/>
              <w:bottom w:val="single" w:color="auto" w:sz="4" w:space="0"/>
              <w:right w:val="single" w:color="auto" w:sz="8" w:space="0"/>
            </w:tcBorders>
            <w:vAlign w:val="center"/>
          </w:tcPr>
          <w:p>
            <w:pPr>
              <w:numPr>
                <w:ilvl w:val="0"/>
                <w:numId w:val="7"/>
              </w:numPr>
              <w:snapToGrid w:val="0"/>
              <w:spacing w:after="200"/>
              <w:ind w:left="0" w:firstLine="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4" w:space="0"/>
              <w:right w:val="single" w:color="auto" w:sz="8" w:space="0"/>
            </w:tcBorders>
            <w:vAlign w:val="center"/>
          </w:tcPr>
          <w:p>
            <w:pPr>
              <w:snapToGrid w:val="0"/>
              <w:jc w:val="left"/>
              <w:rPr>
                <w:rFonts w:ascii="宋体" w:hAnsi="宋体" w:cs="宋体"/>
                <w:color w:val="000000" w:themeColor="text1"/>
                <w:kern w:val="0"/>
                <w:sz w:val="24"/>
                <w:szCs w:val="24"/>
                <w:lang w:val="zh-CN"/>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评标情况公告</w:t>
            </w:r>
          </w:p>
        </w:tc>
        <w:tc>
          <w:tcPr>
            <w:tcW w:w="6681" w:type="dxa"/>
            <w:tcBorders>
              <w:top w:val="single" w:color="auto" w:sz="8" w:space="0"/>
              <w:left w:val="single" w:color="auto" w:sz="8" w:space="0"/>
              <w:bottom w:val="single" w:color="auto" w:sz="4" w:space="0"/>
              <w:right w:val="single" w:color="auto" w:sz="18" w:space="0"/>
            </w:tcBorders>
            <w:vAlign w:val="center"/>
          </w:tcPr>
          <w:p>
            <w:pPr>
              <w:widowControl/>
              <w:tabs>
                <w:tab w:val="left" w:pos="7665"/>
              </w:tabs>
              <w:jc w:val="left"/>
              <w:rPr>
                <w:rFonts w:ascii="宋体" w:hAnsi="宋体" w:cs="宋体"/>
                <w:color w:val="000000" w:themeColor="text1"/>
                <w:kern w:val="0"/>
                <w:sz w:val="24"/>
                <w:szCs w:val="24"/>
                <w:lang w:val="zh-CN"/>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所有</w:t>
            </w:r>
            <w:r>
              <w:rPr>
                <w:rFonts w:hint="eastAsia" w:ascii="宋体" w:hAnsi="宋体"/>
                <w:color w:val="000000" w:themeColor="text1"/>
                <w:sz w:val="24"/>
                <w:szCs w:val="24"/>
                <w14:textFill>
                  <w14:solidFill>
                    <w14:schemeClr w14:val="tx1"/>
                  </w14:solidFill>
                </w14:textFill>
              </w:rPr>
              <w:t>投标人</w:t>
            </w:r>
            <w:r>
              <w:rPr>
                <w:rFonts w:hint="eastAsia" w:ascii="宋体" w:hAnsi="宋体" w:cs="宋体"/>
                <w:color w:val="000000" w:themeColor="text1"/>
                <w:kern w:val="0"/>
                <w:sz w:val="24"/>
                <w:szCs w:val="24"/>
                <w:lang w:val="zh-CN"/>
                <w14:textFill>
                  <w14:solidFill>
                    <w14:schemeClr w14:val="tx1"/>
                  </w14:solidFill>
                </w14:textFill>
              </w:rPr>
              <w:t>投标文件资格性、符合性检查情况、采用综合评分法时的得分情况、评标结果等将在成都市公共资源交易服务中心网、四川政府采购网上采购结果公告栏中予以公告。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318" w:hRule="atLeast"/>
          <w:jc w:val="center"/>
        </w:trPr>
        <w:tc>
          <w:tcPr>
            <w:tcW w:w="689" w:type="dxa"/>
            <w:tcBorders>
              <w:top w:val="single" w:color="auto" w:sz="8" w:space="0"/>
              <w:left w:val="single" w:color="auto" w:sz="18" w:space="0"/>
              <w:bottom w:val="single" w:color="auto" w:sz="4" w:space="0"/>
              <w:right w:val="single" w:color="auto" w:sz="8" w:space="0"/>
            </w:tcBorders>
            <w:vAlign w:val="center"/>
          </w:tcPr>
          <w:p>
            <w:pPr>
              <w:numPr>
                <w:ilvl w:val="0"/>
                <w:numId w:val="7"/>
              </w:numPr>
              <w:snapToGrid w:val="0"/>
              <w:spacing w:after="200"/>
              <w:ind w:left="0" w:firstLine="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4" w:space="0"/>
              <w:right w:val="single" w:color="auto" w:sz="8" w:space="0"/>
            </w:tcBorders>
            <w:vAlign w:val="center"/>
          </w:tcPr>
          <w:p>
            <w:pPr>
              <w:snapToGrid w:val="0"/>
              <w:jc w:val="left"/>
              <w:rPr>
                <w:rFonts w:ascii="宋体" w:hAnsi="宋体"/>
                <w:color w:val="000000" w:themeColor="text1"/>
                <w:sz w:val="24"/>
                <w:szCs w:val="24"/>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中标通知书</w:t>
            </w:r>
          </w:p>
        </w:tc>
        <w:tc>
          <w:tcPr>
            <w:tcW w:w="6681"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rPr>
                <w:rFonts w:ascii="宋体" w:hAnsi="宋体"/>
                <w:color w:val="000000" w:themeColor="text1"/>
                <w:kern w:val="0"/>
                <w:sz w:val="24"/>
                <w:szCs w:val="24"/>
                <w14:textFill>
                  <w14:solidFill>
                    <w14:schemeClr w14:val="tx1"/>
                  </w14:solidFill>
                </w14:textFill>
              </w:rPr>
            </w:pPr>
            <w:r>
              <w:rPr>
                <w:rFonts w:hint="eastAsia" w:ascii="宋体" w:hAnsi="宋体"/>
                <w:color w:val="000000" w:themeColor="text1"/>
                <w:kern w:val="0"/>
                <w:sz w:val="24"/>
                <w:szCs w:val="24"/>
                <w14:textFill>
                  <w14:solidFill>
                    <w14:schemeClr w14:val="tx1"/>
                  </w14:solidFill>
                </w14:textFill>
              </w:rPr>
              <w:t>中标公告在四川政府采购网上公告后，中标供应商自行登录政府采购云平台下载中标通知书。</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318" w:hRule="atLeast"/>
          <w:jc w:val="center"/>
        </w:trPr>
        <w:tc>
          <w:tcPr>
            <w:tcW w:w="689" w:type="dxa"/>
            <w:tcBorders>
              <w:top w:val="single" w:color="auto" w:sz="8" w:space="0"/>
              <w:left w:val="single" w:color="auto" w:sz="18" w:space="0"/>
              <w:bottom w:val="single" w:color="auto" w:sz="4" w:space="0"/>
              <w:right w:val="single" w:color="auto" w:sz="8" w:space="0"/>
            </w:tcBorders>
            <w:vAlign w:val="center"/>
          </w:tcPr>
          <w:p>
            <w:pPr>
              <w:numPr>
                <w:ilvl w:val="0"/>
                <w:numId w:val="7"/>
              </w:numPr>
              <w:snapToGrid w:val="0"/>
              <w:spacing w:after="200"/>
              <w:ind w:left="0" w:firstLine="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4" w:space="0"/>
              <w:right w:val="single" w:color="auto" w:sz="8" w:space="0"/>
            </w:tcBorders>
            <w:vAlign w:val="center"/>
          </w:tcPr>
          <w:p>
            <w:pPr>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合同签订地点</w:t>
            </w:r>
          </w:p>
        </w:tc>
        <w:tc>
          <w:tcPr>
            <w:tcW w:w="6681"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rPr>
                <w:rFonts w:hint="default" w:ascii="宋体" w:hAnsi="宋体" w:eastAsia="宋体"/>
                <w:color w:val="000000" w:themeColor="text1"/>
                <w:kern w:val="0"/>
                <w:sz w:val="24"/>
                <w:lang w:val="en-US" w:eastAsia="zh-CN"/>
                <w14:textFill>
                  <w14:solidFill>
                    <w14:schemeClr w14:val="tx1"/>
                  </w14:solidFill>
                </w14:textFill>
              </w:rPr>
            </w:pPr>
            <w:r>
              <w:rPr>
                <w:rFonts w:hint="eastAsia" w:ascii="宋体" w:hAnsi="宋体"/>
                <w:color w:val="000000" w:themeColor="text1"/>
                <w:kern w:val="0"/>
                <w:sz w:val="24"/>
                <w14:textFill>
                  <w14:solidFill>
                    <w14:schemeClr w14:val="tx1"/>
                  </w14:solidFill>
                </w14:textFill>
              </w:rPr>
              <w:t>四川省成都市</w:t>
            </w:r>
            <w:r>
              <w:rPr>
                <w:rFonts w:hint="eastAsia" w:ascii="宋体" w:hAnsi="宋体"/>
                <w:color w:val="000000" w:themeColor="text1"/>
                <w:kern w:val="0"/>
                <w:sz w:val="24"/>
                <w:lang w:eastAsia="zh-CN"/>
                <w14:textFill>
                  <w14:solidFill>
                    <w14:schemeClr w14:val="tx1"/>
                  </w14:solidFill>
                </w14:textFill>
              </w:rPr>
              <w:t>新津区五津西路</w:t>
            </w:r>
            <w:r>
              <w:rPr>
                <w:rFonts w:hint="eastAsia" w:ascii="宋体" w:hAnsi="宋体"/>
                <w:color w:val="000000" w:themeColor="text1"/>
                <w:kern w:val="0"/>
                <w:sz w:val="24"/>
                <w:lang w:val="en-US" w:eastAsia="zh-CN"/>
                <w14:textFill>
                  <w14:solidFill>
                    <w14:schemeClr w14:val="tx1"/>
                  </w14:solidFill>
                </w14:textFill>
              </w:rPr>
              <w:t>149号</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416" w:hRule="atLeast"/>
          <w:jc w:val="center"/>
        </w:trPr>
        <w:tc>
          <w:tcPr>
            <w:tcW w:w="689" w:type="dxa"/>
            <w:tcBorders>
              <w:top w:val="single" w:color="auto" w:sz="4" w:space="0"/>
              <w:left w:val="single" w:color="auto" w:sz="18" w:space="0"/>
              <w:bottom w:val="single" w:color="auto" w:sz="4" w:space="0"/>
              <w:right w:val="single" w:color="auto" w:sz="8" w:space="0"/>
            </w:tcBorders>
            <w:vAlign w:val="center"/>
          </w:tcPr>
          <w:p>
            <w:pPr>
              <w:numPr>
                <w:ilvl w:val="0"/>
                <w:numId w:val="7"/>
              </w:numPr>
              <w:snapToGrid w:val="0"/>
              <w:spacing w:after="200"/>
              <w:ind w:left="0" w:firstLine="0"/>
              <w:jc w:val="center"/>
              <w:rPr>
                <w:rFonts w:ascii="宋体" w:hAnsi="宋体"/>
                <w:color w:val="000000" w:themeColor="text1"/>
                <w:sz w:val="24"/>
                <w14:textFill>
                  <w14:solidFill>
                    <w14:schemeClr w14:val="tx1"/>
                  </w14:solidFill>
                </w14:textFill>
              </w:rPr>
            </w:pPr>
          </w:p>
        </w:tc>
        <w:tc>
          <w:tcPr>
            <w:tcW w:w="1942" w:type="dxa"/>
            <w:tcBorders>
              <w:top w:val="single" w:color="auto" w:sz="4" w:space="0"/>
              <w:left w:val="single" w:color="auto" w:sz="8" w:space="0"/>
              <w:bottom w:val="single" w:color="auto" w:sz="4" w:space="0"/>
              <w:right w:val="single" w:color="auto" w:sz="8" w:space="0"/>
            </w:tcBorders>
            <w:vAlign w:val="center"/>
          </w:tcPr>
          <w:p>
            <w:pPr>
              <w:snapToGrid w:val="0"/>
              <w:ind w:right="210" w:rightChars="10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政府采购合同公告、备案</w:t>
            </w:r>
          </w:p>
        </w:tc>
        <w:tc>
          <w:tcPr>
            <w:tcW w:w="6681"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ind w:left="-4" w:leftChars="-2" w:right="210"/>
              <w:rPr>
                <w:rFonts w:ascii="宋体" w:hAnsi="宋体"/>
                <w:color w:val="000000" w:themeColor="text1"/>
                <w:sz w:val="24"/>
                <w14:textFill>
                  <w14:solidFill>
                    <w14:schemeClr w14:val="tx1"/>
                  </w14:solidFill>
                </w14:textFill>
              </w:rPr>
            </w:pPr>
            <w:r>
              <w:rPr>
                <w:rFonts w:hint="eastAsia" w:ascii="宋体"/>
                <w:color w:val="000000" w:themeColor="text1"/>
                <w:sz w:val="24"/>
                <w14:textFill>
                  <w14:solidFill>
                    <w14:schemeClr w14:val="tx1"/>
                  </w14:solidFill>
                </w14:textFill>
              </w:rPr>
              <w:t>政府采购合同签订之日起2个工作日内，采购人将在四川政府采购网公告政府采购合同；</w:t>
            </w:r>
            <w:r>
              <w:rPr>
                <w:rFonts w:hint="eastAsia" w:ascii="宋体" w:hAnsi="宋体" w:cs="宋体"/>
                <w:color w:val="000000" w:themeColor="text1"/>
                <w:kern w:val="0"/>
                <w:sz w:val="24"/>
                <w:szCs w:val="24"/>
                <w:lang w:val="zh-CN"/>
                <w14:textFill>
                  <w14:solidFill>
                    <w14:schemeClr w14:val="tx1"/>
                  </w14:solidFill>
                </w14:textFill>
              </w:rPr>
              <w:t>疫情防控期间，采购人原则上在5个工作日内与供应商签订政府采购合同及向本采购项目同级财政部门，即</w:t>
            </w:r>
            <w:r>
              <w:rPr>
                <w:rFonts w:hint="eastAsia" w:ascii="宋体" w:hAnsi="宋体"/>
                <w:color w:val="000000" w:themeColor="text1"/>
                <w:sz w:val="24"/>
                <w:szCs w:val="24"/>
                <w14:textFill>
                  <w14:solidFill>
                    <w14:schemeClr w14:val="tx1"/>
                  </w14:solidFill>
                </w14:textFill>
              </w:rPr>
              <w:t>成都市新津区财政和金融工作局</w:t>
            </w:r>
            <w:r>
              <w:rPr>
                <w:rFonts w:hint="eastAsia" w:ascii="宋体" w:hAnsi="宋体" w:cs="宋体"/>
                <w:color w:val="000000" w:themeColor="text1"/>
                <w:kern w:val="0"/>
                <w:sz w:val="24"/>
                <w:szCs w:val="24"/>
                <w:lang w:val="zh-CN"/>
                <w14:textFill>
                  <w14:solidFill>
                    <w14:schemeClr w14:val="tx1"/>
                  </w14:solidFill>
                </w14:textFill>
              </w:rPr>
              <w:t>备案政府采购合同。</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841" w:hRule="atLeast"/>
          <w:jc w:val="center"/>
        </w:trPr>
        <w:tc>
          <w:tcPr>
            <w:tcW w:w="689" w:type="dxa"/>
            <w:tcBorders>
              <w:top w:val="single" w:color="auto" w:sz="4" w:space="0"/>
              <w:left w:val="single" w:color="auto" w:sz="18" w:space="0"/>
              <w:bottom w:val="single" w:color="auto" w:sz="4" w:space="0"/>
              <w:right w:val="single" w:color="auto" w:sz="8" w:space="0"/>
            </w:tcBorders>
            <w:vAlign w:val="center"/>
          </w:tcPr>
          <w:p>
            <w:pPr>
              <w:numPr>
                <w:ilvl w:val="0"/>
                <w:numId w:val="7"/>
              </w:numPr>
              <w:snapToGrid w:val="0"/>
              <w:spacing w:after="200"/>
              <w:ind w:left="0" w:firstLine="0"/>
              <w:jc w:val="center"/>
              <w:rPr>
                <w:rFonts w:ascii="宋体" w:hAnsi="宋体"/>
                <w:color w:val="000000" w:themeColor="text1"/>
                <w:sz w:val="24"/>
                <w14:textFill>
                  <w14:solidFill>
                    <w14:schemeClr w14:val="tx1"/>
                  </w14:solidFill>
                </w14:textFill>
              </w:rPr>
            </w:pPr>
          </w:p>
        </w:tc>
        <w:tc>
          <w:tcPr>
            <w:tcW w:w="1942" w:type="dxa"/>
            <w:tcBorders>
              <w:top w:val="single" w:color="auto" w:sz="4" w:space="0"/>
              <w:left w:val="single" w:color="auto" w:sz="8" w:space="0"/>
              <w:bottom w:val="single" w:color="auto" w:sz="4" w:space="0"/>
              <w:right w:val="single" w:color="auto" w:sz="8" w:space="0"/>
            </w:tcBorders>
            <w:vAlign w:val="center"/>
          </w:tcPr>
          <w:p>
            <w:pPr>
              <w:tabs>
                <w:tab w:val="left" w:pos="7665"/>
              </w:tabs>
              <w:snapToGrid w:val="0"/>
              <w:ind w:left="-4" w:leftChars="-2" w:right="210"/>
              <w:rPr>
                <w:rFonts w:ascii="宋体" w:hAnsi="宋体" w:cs="宋体"/>
                <w:color w:val="000000" w:themeColor="text1"/>
                <w:kern w:val="0"/>
                <w:sz w:val="24"/>
                <w:szCs w:val="24"/>
                <w:lang w:val="zh-CN"/>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中小企业政府采购信用融资（“蓉采贷”）</w:t>
            </w:r>
          </w:p>
        </w:tc>
        <w:tc>
          <w:tcPr>
            <w:tcW w:w="6681"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ind w:left="-4" w:leftChars="-2" w:right="210"/>
              <w:rPr>
                <w:rFonts w:ascii="宋体" w:hAnsi="宋体" w:cs="宋体"/>
                <w:color w:val="000000" w:themeColor="text1"/>
                <w:kern w:val="0"/>
                <w:sz w:val="24"/>
                <w:szCs w:val="24"/>
                <w:lang w:val="zh-CN"/>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参加本次招标活动中标的中小企业无需提供财产抵押或第三方担保，凭借政府采购合同可向融资机构申请融资。具体内容详见招标文件附件《成都市财政局中国人民银行成都分行营业管理部关于印发〈成都市中小企业政府采购信用融资暂行办法〉和〈成都市级支持中小企业政府采购信用融资实施方案〉的通知》（成财采〔2019〕17号）和《成都市财政局关于增补“蓉采贷”政策合作银行及做好相关工作的通知》（成财采〔2020〕20号和《新津县支持中小企业政府采购信用融资实施方案（试行）》（新财政〔2019〕21号）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900" w:hRule="atLeast"/>
          <w:jc w:val="center"/>
        </w:trPr>
        <w:tc>
          <w:tcPr>
            <w:tcW w:w="689" w:type="dxa"/>
            <w:tcBorders>
              <w:top w:val="single" w:color="auto" w:sz="4" w:space="0"/>
              <w:left w:val="single" w:color="auto" w:sz="18" w:space="0"/>
              <w:bottom w:val="single" w:color="auto" w:sz="4" w:space="0"/>
              <w:right w:val="single" w:color="auto" w:sz="8" w:space="0"/>
            </w:tcBorders>
            <w:vAlign w:val="center"/>
          </w:tcPr>
          <w:p>
            <w:pPr>
              <w:numPr>
                <w:ilvl w:val="0"/>
                <w:numId w:val="7"/>
              </w:numPr>
              <w:snapToGrid w:val="0"/>
              <w:spacing w:after="200"/>
              <w:ind w:left="0" w:firstLine="0"/>
              <w:jc w:val="center"/>
              <w:rPr>
                <w:rFonts w:ascii="宋体" w:hAnsi="宋体"/>
                <w:color w:val="000000" w:themeColor="text1"/>
                <w:sz w:val="24"/>
                <w14:textFill>
                  <w14:solidFill>
                    <w14:schemeClr w14:val="tx1"/>
                  </w14:solidFill>
                </w14:textFill>
              </w:rPr>
            </w:pPr>
          </w:p>
        </w:tc>
        <w:tc>
          <w:tcPr>
            <w:tcW w:w="1942" w:type="dxa"/>
            <w:tcBorders>
              <w:top w:val="single" w:color="auto" w:sz="4" w:space="0"/>
              <w:left w:val="single" w:color="auto" w:sz="8" w:space="0"/>
              <w:bottom w:val="single" w:color="auto" w:sz="4" w:space="0"/>
              <w:right w:val="single" w:color="auto" w:sz="8" w:space="0"/>
            </w:tcBorders>
            <w:vAlign w:val="center"/>
          </w:tcPr>
          <w:p>
            <w:pPr>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 xml:space="preserve">进口产品 </w:t>
            </w:r>
          </w:p>
        </w:tc>
        <w:tc>
          <w:tcPr>
            <w:tcW w:w="6681"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招标文件中未载明“允许采购进口产品”的产品，拒绝进口产品的投标。招标文件中载明“允许采购进口产品”的产品，允许国产产品参与投标竞争。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67" w:hRule="atLeast"/>
          <w:jc w:val="center"/>
        </w:trPr>
        <w:tc>
          <w:tcPr>
            <w:tcW w:w="689" w:type="dxa"/>
            <w:tcBorders>
              <w:top w:val="single" w:color="auto" w:sz="4" w:space="0"/>
              <w:left w:val="single" w:color="auto" w:sz="18" w:space="0"/>
              <w:bottom w:val="single" w:color="auto" w:sz="18" w:space="0"/>
              <w:right w:val="single" w:color="auto" w:sz="8" w:space="0"/>
            </w:tcBorders>
            <w:vAlign w:val="center"/>
          </w:tcPr>
          <w:p>
            <w:pPr>
              <w:numPr>
                <w:ilvl w:val="0"/>
                <w:numId w:val="7"/>
              </w:numPr>
              <w:snapToGrid w:val="0"/>
              <w:spacing w:after="200"/>
              <w:ind w:left="0" w:firstLine="0"/>
              <w:jc w:val="center"/>
              <w:rPr>
                <w:rFonts w:ascii="宋体" w:hAnsi="宋体"/>
                <w:color w:val="000000" w:themeColor="text1"/>
                <w:sz w:val="24"/>
                <w14:textFill>
                  <w14:solidFill>
                    <w14:schemeClr w14:val="tx1"/>
                  </w14:solidFill>
                </w14:textFill>
              </w:rPr>
            </w:pPr>
          </w:p>
        </w:tc>
        <w:tc>
          <w:tcPr>
            <w:tcW w:w="8623" w:type="dxa"/>
            <w:gridSpan w:val="2"/>
            <w:tcBorders>
              <w:top w:val="single" w:color="auto" w:sz="4" w:space="0"/>
              <w:left w:val="single" w:color="auto" w:sz="8" w:space="0"/>
              <w:bottom w:val="single" w:color="auto" w:sz="18" w:space="0"/>
              <w:right w:val="single" w:color="auto" w:sz="18" w:space="0"/>
            </w:tcBorders>
            <w:vAlign w:val="center"/>
          </w:tcPr>
          <w:p>
            <w:pPr>
              <w:tabs>
                <w:tab w:val="left" w:pos="7665"/>
              </w:tabs>
              <w:snapToGrid w:val="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采购人可以要求参加政府采购的供应商提供有关资质证明文件和业绩情况，并根据《中华人民共和国政府采购法》规定的供应商条件和采购项目对供应商的特定要求，对供应商的资格进行审查。</w:t>
            </w:r>
          </w:p>
        </w:tc>
      </w:tr>
    </w:tbl>
    <w:p>
      <w:pPr>
        <w:pStyle w:val="4"/>
        <w:numPr>
          <w:ilvl w:val="1"/>
          <w:numId w:val="4"/>
        </w:numPr>
        <w:spacing w:before="0" w:after="0" w:line="240" w:lineRule="auto"/>
        <w:ind w:left="2269" w:hanging="2127"/>
        <w:rPr>
          <w:color w:val="000000" w:themeColor="text1"/>
          <w14:textFill>
            <w14:solidFill>
              <w14:schemeClr w14:val="tx1"/>
            </w14:solidFill>
          </w14:textFill>
        </w:rPr>
      </w:pPr>
      <w:bookmarkStart w:id="34" w:name="_Toc24047"/>
      <w:bookmarkStart w:id="35" w:name="_Toc29824"/>
      <w:bookmarkStart w:id="36" w:name="_Toc10565"/>
      <w:bookmarkStart w:id="37" w:name="_Toc22447"/>
      <w:bookmarkStart w:id="38" w:name="_Toc30390"/>
      <w:r>
        <w:rPr>
          <w:rFonts w:hint="eastAsia"/>
          <w:color w:val="000000" w:themeColor="text1"/>
          <w14:textFill>
            <w14:solidFill>
              <w14:schemeClr w14:val="tx1"/>
            </w14:solidFill>
          </w14:textFill>
        </w:rPr>
        <w:t>总则</w:t>
      </w:r>
      <w:bookmarkEnd w:id="34"/>
      <w:bookmarkEnd w:id="35"/>
      <w:bookmarkEnd w:id="36"/>
      <w:bookmarkEnd w:id="37"/>
      <w:bookmarkEnd w:id="38"/>
    </w:p>
    <w:p>
      <w:pPr>
        <w:pStyle w:val="5"/>
        <w:numPr>
          <w:ilvl w:val="2"/>
          <w:numId w:val="4"/>
        </w:numPr>
        <w:spacing w:after="200" w:line="240" w:lineRule="auto"/>
        <w:ind w:left="-141" w:leftChars="-67"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适用范围</w:t>
      </w:r>
    </w:p>
    <w:p>
      <w:pPr>
        <w:numPr>
          <w:ilvl w:val="0"/>
          <w:numId w:val="8"/>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本招标文件仅适用于本次公开招标采购项目。</w:t>
      </w:r>
    </w:p>
    <w:p>
      <w:pPr>
        <w:numPr>
          <w:ilvl w:val="0"/>
          <w:numId w:val="8"/>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本招标文件的最终解释权由采购人或区公资交易中心享有。对招标文件中供应商参加本次政府采购活动应当具备的条件，招标项目服务、商务及其他要求，评标细则及标准</w:t>
      </w:r>
      <w:r>
        <w:rPr>
          <w:rFonts w:hint="eastAsia" w:ascii="宋体" w:hAnsi="宋体"/>
          <w:color w:val="000000" w:themeColor="text1"/>
          <w:sz w:val="28"/>
          <w:szCs w:val="28"/>
          <w:lang w:val="en-US" w:eastAsia="zh-CN"/>
          <w14:textFill>
            <w14:solidFill>
              <w14:schemeClr w14:val="tx1"/>
            </w14:solidFill>
          </w14:textFill>
        </w:rPr>
        <w:t>,</w:t>
      </w:r>
      <w:r>
        <w:rPr>
          <w:rFonts w:hint="eastAsia" w:ascii="宋体" w:hAnsi="宋体"/>
          <w:color w:val="auto"/>
          <w:sz w:val="28"/>
          <w:szCs w:val="28"/>
          <w:lang w:val="en-US" w:eastAsia="zh-CN"/>
        </w:rPr>
        <w:t>资格审查</w:t>
      </w:r>
      <w:r>
        <w:rPr>
          <w:rFonts w:hint="eastAsia" w:ascii="宋体" w:hAnsi="宋体"/>
          <w:color w:val="000000" w:themeColor="text1"/>
          <w:sz w:val="28"/>
          <w:szCs w:val="28"/>
          <w:lang w:val="en-US" w:eastAsia="zh-CN"/>
          <w14:textFill>
            <w14:solidFill>
              <w14:schemeClr w14:val="tx1"/>
            </w14:solidFill>
          </w14:textFill>
        </w:rPr>
        <w:t>结果</w:t>
      </w:r>
      <w:r>
        <w:rPr>
          <w:rFonts w:hint="eastAsia" w:ascii="宋体" w:hAnsi="宋体"/>
          <w:color w:val="000000" w:themeColor="text1"/>
          <w:sz w:val="28"/>
          <w:szCs w:val="28"/>
          <w14:textFill>
            <w14:solidFill>
              <w14:schemeClr w14:val="tx1"/>
            </w14:solidFill>
          </w14:textFill>
        </w:rPr>
        <w:t>由采购人负责解释。除上述招标文件内容，其他内容由区公资交易中心负责解释。</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有关定义</w:t>
      </w:r>
    </w:p>
    <w:p>
      <w:pPr>
        <w:numPr>
          <w:ilvl w:val="0"/>
          <w:numId w:val="9"/>
        </w:numPr>
        <w:tabs>
          <w:tab w:val="left" w:pos="1134"/>
        </w:tabs>
        <w:spacing w:after="200"/>
        <w:ind w:left="0" w:firstLine="567"/>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“采购人”和“甲方”系指依法进行政府采购的新津区机关、事业单位、团体组织。本次招标的采购人是</w:t>
      </w:r>
      <w:r>
        <w:rPr>
          <w:rFonts w:hint="eastAsia" w:asciiTheme="minorEastAsia" w:hAnsiTheme="minorEastAsia" w:eastAsiaTheme="minorEastAsia"/>
          <w:b/>
          <w:color w:val="000000" w:themeColor="text1"/>
          <w:kern w:val="0"/>
          <w:sz w:val="28"/>
          <w14:textFill>
            <w14:solidFill>
              <w14:schemeClr w14:val="tx1"/>
            </w14:solidFill>
          </w14:textFill>
        </w:rPr>
        <w:t>成都市新津区人民医院（成都市新津急救指挥分中心）</w:t>
      </w:r>
      <w:r>
        <w:rPr>
          <w:rFonts w:hint="eastAsia" w:ascii="宋体" w:hAnsi="宋体"/>
          <w:color w:val="000000" w:themeColor="text1"/>
          <w:sz w:val="28"/>
          <w:szCs w:val="28"/>
          <w14:textFill>
            <w14:solidFill>
              <w14:schemeClr w14:val="tx1"/>
            </w14:solidFill>
          </w14:textFill>
        </w:rPr>
        <w:t>。</w:t>
      </w:r>
    </w:p>
    <w:p>
      <w:pPr>
        <w:numPr>
          <w:ilvl w:val="0"/>
          <w:numId w:val="9"/>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“投标人”系指在系统中成功提交《采购文件获取登记表》拟参加投标和向采购人提供货物及服务的供应商。</w:t>
      </w:r>
    </w:p>
    <w:p>
      <w:pPr>
        <w:numPr>
          <w:ilvl w:val="0"/>
          <w:numId w:val="9"/>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本招标文件各部分规定的期间以时、日、月、年计算。期间开始的时和日，不计算在期间内，而从次日开始计算。期间届满的最后一天是节假日的，以节假日后的第一日为期间届满的日期。</w:t>
      </w:r>
    </w:p>
    <w:p>
      <w:pPr>
        <w:numPr>
          <w:ilvl w:val="0"/>
          <w:numId w:val="9"/>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本招标文件各部分规定的“以上”、“以下”、“内”、“以内”，包括本数；所称的“不足”，不包括本数。</w:t>
      </w:r>
    </w:p>
    <w:p>
      <w:pPr>
        <w:numPr>
          <w:ilvl w:val="0"/>
          <w:numId w:val="9"/>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重大违法记录是指供应商因违法经营受到刑事处罚或者责令停产停业、吊销许可证或者执照、较大数额罚款等行政处罚。 </w:t>
      </w:r>
    </w:p>
    <w:p>
      <w:pPr>
        <w:pStyle w:val="5"/>
        <w:numPr>
          <w:ilvl w:val="2"/>
          <w:numId w:val="4"/>
        </w:numPr>
        <w:spacing w:after="200" w:line="240" w:lineRule="auto"/>
        <w:ind w:left="851"/>
        <w:rPr>
          <w:color w:val="000000" w:themeColor="text1"/>
          <w14:textFill>
            <w14:solidFill>
              <w14:schemeClr w14:val="tx1"/>
            </w14:solidFill>
          </w14:textFill>
        </w:rPr>
      </w:pPr>
      <w:bookmarkStart w:id="39" w:name="_Toc217446036"/>
      <w:bookmarkStart w:id="40" w:name="_Toc217390843"/>
      <w:bookmarkStart w:id="41" w:name="_Toc183582207"/>
      <w:bookmarkStart w:id="42" w:name="_Toc183682344"/>
      <w:r>
        <w:rPr>
          <w:rFonts w:hint="eastAsia"/>
          <w:color w:val="000000" w:themeColor="text1"/>
          <w14:textFill>
            <w14:solidFill>
              <w14:schemeClr w14:val="tx1"/>
            </w14:solidFill>
          </w14:textFill>
        </w:rPr>
        <w:t>合格的投标人</w:t>
      </w:r>
      <w:bookmarkEnd w:id="39"/>
      <w:bookmarkEnd w:id="40"/>
      <w:bookmarkEnd w:id="41"/>
      <w:bookmarkEnd w:id="42"/>
    </w:p>
    <w:p>
      <w:pPr>
        <w:tabs>
          <w:tab w:val="left" w:pos="7665"/>
        </w:tabs>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合格的投标人应具备以下条件：</w:t>
      </w:r>
    </w:p>
    <w:p>
      <w:pPr>
        <w:numPr>
          <w:ilvl w:val="0"/>
          <w:numId w:val="10"/>
        </w:numPr>
        <w:tabs>
          <w:tab w:val="left" w:pos="1134"/>
        </w:tabs>
        <w:spacing w:after="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本招标文件“投标邀请”第五条规定的条件；</w:t>
      </w:r>
    </w:p>
    <w:p>
      <w:pPr>
        <w:numPr>
          <w:ilvl w:val="0"/>
          <w:numId w:val="10"/>
        </w:numPr>
        <w:tabs>
          <w:tab w:val="left" w:pos="1134"/>
        </w:tabs>
        <w:spacing w:after="200"/>
        <w:ind w:left="0" w:firstLine="568"/>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按照招标文件“投标邀请”中第六、七、八条规定获取了招标文件。</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投标费用</w:t>
      </w:r>
    </w:p>
    <w:p>
      <w:pPr>
        <w:ind w:firstLine="660" w:firstLineChars="236"/>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投标人应自行承担参加投标的全部费用。</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充分、公平竞争保障措施</w:t>
      </w:r>
    </w:p>
    <w:p>
      <w:pPr>
        <w:pStyle w:val="114"/>
        <w:tabs>
          <w:tab w:val="left" w:pos="851"/>
        </w:tabs>
        <w:spacing w:before="156" w:line="240" w:lineRule="auto"/>
        <w:ind w:firstLine="560" w:firstLineChars="200"/>
        <w:rPr>
          <w:rFonts w:hAnsi="宋体"/>
          <w:color w:val="000000" w:themeColor="text1"/>
          <w:sz w:val="28"/>
          <w:szCs w:val="28"/>
          <w14:textFill>
            <w14:solidFill>
              <w14:schemeClr w14:val="tx1"/>
            </w14:solidFill>
          </w14:textFill>
        </w:rPr>
      </w:pPr>
      <w:r>
        <w:rPr>
          <w:rFonts w:hint="eastAsia" w:hAnsi="宋体"/>
          <w:color w:val="000000" w:themeColor="text1"/>
          <w:sz w:val="28"/>
          <w:szCs w:val="28"/>
          <w14:textFill>
            <w14:solidFill>
              <w14:schemeClr w14:val="tx1"/>
            </w14:solidFill>
          </w14:textFill>
        </w:rPr>
        <w:t>一、单位负责人为同一人或者存在直接控股、管理关系的不同供应商，不得参加同一项目的投标。</w:t>
      </w:r>
    </w:p>
    <w:p>
      <w:pPr>
        <w:pStyle w:val="114"/>
        <w:tabs>
          <w:tab w:val="left" w:pos="851"/>
        </w:tabs>
        <w:spacing w:before="156" w:line="240" w:lineRule="auto"/>
        <w:ind w:left="-143" w:leftChars="-68" w:firstLine="700" w:firstLineChars="250"/>
        <w:rPr>
          <w:rFonts w:hAnsi="宋体"/>
          <w:b/>
          <w:color w:val="auto"/>
          <w:sz w:val="28"/>
          <w:szCs w:val="28"/>
        </w:rPr>
      </w:pPr>
      <w:r>
        <w:rPr>
          <w:rFonts w:hint="eastAsia" w:hAnsi="宋体"/>
          <w:color w:val="000000" w:themeColor="text1"/>
          <w:sz w:val="28"/>
          <w:szCs w:val="28"/>
          <w14:textFill>
            <w14:solidFill>
              <w14:schemeClr w14:val="tx1"/>
            </w14:solidFill>
          </w14:textFill>
        </w:rPr>
        <w:t>二、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审因素和标准、政府采购合同等实质性内容条款的，视同为采购项目提供规范编制。</w:t>
      </w:r>
      <w:r>
        <w:rPr>
          <w:rFonts w:hint="eastAsia" w:hAnsi="宋体"/>
          <w:b/>
          <w:color w:val="auto"/>
          <w:sz w:val="28"/>
          <w:szCs w:val="28"/>
        </w:rPr>
        <w:t>（说明：无供应商为本项目提供整体设计、规范编制或者项目管理、监理、检测等服务）</w:t>
      </w:r>
    </w:p>
    <w:p>
      <w:pPr>
        <w:pStyle w:val="4"/>
        <w:numPr>
          <w:ilvl w:val="1"/>
          <w:numId w:val="4"/>
        </w:numPr>
        <w:spacing w:before="0" w:after="0" w:line="240" w:lineRule="auto"/>
        <w:ind w:left="2269" w:hanging="2127"/>
        <w:rPr>
          <w:color w:val="000000" w:themeColor="text1"/>
          <w14:textFill>
            <w14:solidFill>
              <w14:schemeClr w14:val="tx1"/>
            </w14:solidFill>
          </w14:textFill>
        </w:rPr>
      </w:pPr>
      <w:bookmarkStart w:id="43" w:name="_Toc14139"/>
      <w:bookmarkStart w:id="44" w:name="_Toc2675"/>
      <w:bookmarkStart w:id="45" w:name="_Toc32420"/>
      <w:bookmarkStart w:id="46" w:name="_Toc12455"/>
      <w:bookmarkStart w:id="47" w:name="_Toc18341"/>
      <w:r>
        <w:rPr>
          <w:rFonts w:hint="eastAsia"/>
          <w:color w:val="000000" w:themeColor="text1"/>
          <w14:textFill>
            <w14:solidFill>
              <w14:schemeClr w14:val="tx1"/>
            </w14:solidFill>
          </w14:textFill>
        </w:rPr>
        <w:t>招标文件</w:t>
      </w:r>
      <w:bookmarkEnd w:id="43"/>
      <w:bookmarkEnd w:id="44"/>
      <w:bookmarkEnd w:id="45"/>
      <w:bookmarkEnd w:id="46"/>
      <w:bookmarkEnd w:id="47"/>
    </w:p>
    <w:p>
      <w:pPr>
        <w:pStyle w:val="5"/>
        <w:numPr>
          <w:ilvl w:val="2"/>
          <w:numId w:val="4"/>
        </w:numPr>
        <w:spacing w:after="200" w:line="240" w:lineRule="auto"/>
        <w:ind w:left="0" w:firstLine="0"/>
        <w:rPr>
          <w:color w:val="000000" w:themeColor="text1"/>
          <w14:textFill>
            <w14:solidFill>
              <w14:schemeClr w14:val="tx1"/>
            </w14:solidFill>
          </w14:textFill>
        </w:rPr>
      </w:pPr>
      <w:bookmarkStart w:id="48" w:name="_Toc217446039"/>
      <w:bookmarkStart w:id="49" w:name="_Toc183582210"/>
      <w:bookmarkStart w:id="50" w:name="_Toc183682347"/>
      <w:r>
        <w:rPr>
          <w:rFonts w:hint="eastAsia"/>
          <w:color w:val="000000" w:themeColor="text1"/>
          <w14:textFill>
            <w14:solidFill>
              <w14:schemeClr w14:val="tx1"/>
            </w14:solidFill>
          </w14:textFill>
        </w:rPr>
        <w:t>招标文件的构成</w:t>
      </w:r>
      <w:bookmarkEnd w:id="48"/>
      <w:bookmarkEnd w:id="49"/>
      <w:bookmarkEnd w:id="50"/>
    </w:p>
    <w:p>
      <w:pPr>
        <w:numPr>
          <w:ilvl w:val="0"/>
          <w:numId w:val="11"/>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招标文件是供应商准备投标文件和参加投标的依据，同时也是评标的重要依据。招标文件用以阐明招标项目所需的资质、服务及报价等要求、招标投标程序、有关规定和注意事项以及合同主要条款等。本招标文件包括以下内容：</w:t>
      </w:r>
    </w:p>
    <w:p>
      <w:pPr>
        <w:numPr>
          <w:ilvl w:val="1"/>
          <w:numId w:val="12"/>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投标邀请；</w:t>
      </w:r>
    </w:p>
    <w:p>
      <w:pPr>
        <w:numPr>
          <w:ilvl w:val="1"/>
          <w:numId w:val="12"/>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投标人须知；</w:t>
      </w:r>
    </w:p>
    <w:p>
      <w:pPr>
        <w:numPr>
          <w:ilvl w:val="1"/>
          <w:numId w:val="12"/>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投标文件格式；</w:t>
      </w:r>
    </w:p>
    <w:p>
      <w:pPr>
        <w:numPr>
          <w:ilvl w:val="1"/>
          <w:numId w:val="12"/>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招标项目服务、商务及其他要求；</w:t>
      </w:r>
    </w:p>
    <w:p>
      <w:pPr>
        <w:numPr>
          <w:ilvl w:val="1"/>
          <w:numId w:val="12"/>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资格性审查；</w:t>
      </w:r>
    </w:p>
    <w:p>
      <w:pPr>
        <w:numPr>
          <w:ilvl w:val="1"/>
          <w:numId w:val="12"/>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评标办法；</w:t>
      </w:r>
    </w:p>
    <w:p>
      <w:pPr>
        <w:numPr>
          <w:ilvl w:val="1"/>
          <w:numId w:val="12"/>
        </w:numPr>
        <w:tabs>
          <w:tab w:val="left" w:pos="1134"/>
        </w:tabs>
        <w:spacing w:after="200"/>
        <w:ind w:left="567" w:firstLine="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拟签订合同文本。</w:t>
      </w:r>
    </w:p>
    <w:p>
      <w:pPr>
        <w:numPr>
          <w:ilvl w:val="0"/>
          <w:numId w:val="11"/>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投标人应认真阅读和充分理解招标文件中所有的事项、格式条款和规范要求。投标人没有对招标文件全面做出实质性响应所产生的风险由投标人承担。</w:t>
      </w:r>
    </w:p>
    <w:p>
      <w:pPr>
        <w:pStyle w:val="5"/>
        <w:numPr>
          <w:ilvl w:val="2"/>
          <w:numId w:val="4"/>
        </w:numPr>
        <w:spacing w:after="200" w:line="240" w:lineRule="auto"/>
        <w:ind w:left="0" w:firstLine="0"/>
        <w:rPr>
          <w:color w:val="000000" w:themeColor="text1"/>
          <w14:textFill>
            <w14:solidFill>
              <w14:schemeClr w14:val="tx1"/>
            </w14:solidFill>
          </w14:textFill>
        </w:rPr>
      </w:pPr>
      <w:bookmarkStart w:id="51" w:name="_Toc183682348"/>
      <w:bookmarkStart w:id="52" w:name="_Toc183582211"/>
      <w:bookmarkStart w:id="53" w:name="_Toc217446040"/>
      <w:r>
        <w:rPr>
          <w:rFonts w:hint="eastAsia"/>
          <w:color w:val="000000" w:themeColor="text1"/>
          <w14:textFill>
            <w14:solidFill>
              <w14:schemeClr w14:val="tx1"/>
            </w14:solidFill>
          </w14:textFill>
        </w:rPr>
        <w:t>招标文件的澄清</w:t>
      </w:r>
      <w:bookmarkEnd w:id="51"/>
      <w:bookmarkEnd w:id="52"/>
      <w:r>
        <w:rPr>
          <w:rFonts w:hint="eastAsia"/>
          <w:color w:val="000000" w:themeColor="text1"/>
          <w14:textFill>
            <w14:solidFill>
              <w14:schemeClr w14:val="tx1"/>
            </w14:solidFill>
          </w14:textFill>
        </w:rPr>
        <w:t>和修改</w:t>
      </w:r>
      <w:bookmarkEnd w:id="53"/>
      <w:bookmarkStart w:id="54" w:name="_Toc27307"/>
      <w:bookmarkStart w:id="55" w:name="_Toc19128"/>
      <w:bookmarkStart w:id="56" w:name="_Toc183682351"/>
      <w:bookmarkStart w:id="57" w:name="_Toc217446042"/>
      <w:bookmarkStart w:id="58" w:name="_Toc6071"/>
      <w:bookmarkStart w:id="59" w:name="_Toc183582214"/>
      <w:bookmarkStart w:id="60" w:name="_Toc77400780"/>
      <w:bookmarkStart w:id="61" w:name="_Toc31441"/>
      <w:bookmarkStart w:id="62" w:name="_Toc89075876"/>
    </w:p>
    <w:p>
      <w:pPr>
        <w:numPr>
          <w:ilvl w:val="0"/>
          <w:numId w:val="13"/>
        </w:numPr>
        <w:tabs>
          <w:tab w:val="left" w:pos="142"/>
          <w:tab w:val="left" w:pos="1134"/>
        </w:tabs>
        <w:spacing w:after="200"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在投标截止时间前，采购人或者</w:t>
      </w:r>
      <w:r>
        <w:rPr>
          <w:rFonts w:hint="eastAsia" w:cs="Arial"/>
          <w:color w:val="000000" w:themeColor="text1"/>
          <w:sz w:val="28"/>
          <w:szCs w:val="28"/>
          <w14:textFill>
            <w14:solidFill>
              <w14:schemeClr w14:val="tx1"/>
            </w14:solidFill>
          </w14:textFill>
        </w:rPr>
        <w:t>区公资交易中心</w:t>
      </w:r>
      <w:r>
        <w:rPr>
          <w:rFonts w:hint="eastAsia" w:ascii="宋体" w:hAnsi="宋体"/>
          <w:color w:val="000000" w:themeColor="text1"/>
          <w:sz w:val="28"/>
          <w:szCs w:val="28"/>
          <w14:textFill>
            <w14:solidFill>
              <w14:schemeClr w14:val="tx1"/>
            </w14:solidFill>
          </w14:textFill>
        </w:rPr>
        <w:t>可以对已发出的招标文件进行必要的澄清或者修改。</w:t>
      </w:r>
    </w:p>
    <w:p>
      <w:pPr>
        <w:numPr>
          <w:ilvl w:val="0"/>
          <w:numId w:val="13"/>
        </w:numPr>
        <w:spacing w:after="200"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澄清或者修改的内容，区公资交易中心将在“四川政府采购网”和“成都市公共资源交易服务中心”网站上发布澄清公告，同时通过政府采购云平台将澄清或者修改的内容告知所有在系统中成功获取招标文件的潜在投标人（投标人通过账号或CA证书登录云平台查看）</w:t>
      </w:r>
    </w:p>
    <w:p>
      <w:pPr>
        <w:numPr>
          <w:ilvl w:val="0"/>
          <w:numId w:val="13"/>
        </w:numPr>
        <w:tabs>
          <w:tab w:val="left" w:pos="142"/>
          <w:tab w:val="left" w:pos="1134"/>
        </w:tabs>
        <w:spacing w:after="200"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澄清或者修改的内容可能影响投标文件编制的，区公资交易中心应当在投标截止时间至少15日前，通过政府采购云平台通知所有获取招标文件的潜在投标人；不足15日的，采购人或区公资交易中心应当顺延提交投标文件的截止时间。</w:t>
      </w:r>
    </w:p>
    <w:p>
      <w:pPr>
        <w:pStyle w:val="4"/>
        <w:numPr>
          <w:ilvl w:val="1"/>
          <w:numId w:val="4"/>
        </w:numPr>
        <w:spacing w:before="0" w:after="0" w:line="240" w:lineRule="auto"/>
        <w:ind w:left="2269" w:hanging="2127"/>
        <w:rPr>
          <w:color w:val="000000" w:themeColor="text1"/>
          <w14:textFill>
            <w14:solidFill>
              <w14:schemeClr w14:val="tx1"/>
            </w14:solidFill>
          </w14:textFill>
        </w:rPr>
      </w:pPr>
      <w:bookmarkStart w:id="63" w:name="_Toc1411"/>
      <w:r>
        <w:rPr>
          <w:rFonts w:hint="eastAsia"/>
          <w:color w:val="000000" w:themeColor="text1"/>
          <w14:textFill>
            <w14:solidFill>
              <w14:schemeClr w14:val="tx1"/>
            </w14:solidFill>
          </w14:textFill>
        </w:rPr>
        <w:t>投标文件</w:t>
      </w:r>
      <w:bookmarkEnd w:id="54"/>
      <w:bookmarkEnd w:id="55"/>
      <w:bookmarkEnd w:id="56"/>
      <w:bookmarkEnd w:id="57"/>
      <w:bookmarkEnd w:id="58"/>
      <w:bookmarkEnd w:id="59"/>
      <w:bookmarkEnd w:id="60"/>
      <w:bookmarkEnd w:id="61"/>
      <w:bookmarkEnd w:id="62"/>
      <w:bookmarkEnd w:id="63"/>
    </w:p>
    <w:p>
      <w:pPr>
        <w:pStyle w:val="5"/>
        <w:numPr>
          <w:ilvl w:val="2"/>
          <w:numId w:val="4"/>
        </w:numPr>
        <w:spacing w:after="200" w:line="240" w:lineRule="auto"/>
        <w:ind w:left="0" w:firstLine="0"/>
        <w:rPr>
          <w:color w:val="000000" w:themeColor="text1"/>
          <w14:textFill>
            <w14:solidFill>
              <w14:schemeClr w14:val="tx1"/>
            </w14:solidFill>
          </w14:textFill>
        </w:rPr>
      </w:pPr>
      <w:bookmarkStart w:id="64" w:name="_Toc183582215"/>
      <w:bookmarkStart w:id="65" w:name="_Toc183682352"/>
      <w:bookmarkStart w:id="66" w:name="_Toc217446043"/>
      <w:r>
        <w:rPr>
          <w:rFonts w:hint="eastAsia"/>
          <w:color w:val="000000" w:themeColor="text1"/>
          <w14:textFill>
            <w14:solidFill>
              <w14:schemeClr w14:val="tx1"/>
            </w14:solidFill>
          </w14:textFill>
        </w:rPr>
        <w:t>投标文件的语言</w:t>
      </w:r>
      <w:bookmarkEnd w:id="64"/>
      <w:bookmarkEnd w:id="65"/>
      <w:bookmarkEnd w:id="66"/>
    </w:p>
    <w:p>
      <w:pPr>
        <w:numPr>
          <w:ilvl w:val="0"/>
          <w:numId w:val="14"/>
        </w:numPr>
        <w:tabs>
          <w:tab w:val="left" w:pos="1134"/>
        </w:tabs>
        <w:spacing w:after="200"/>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提交的投标文件以及投标人与采购人或区公资交易中心就有关投标的所有来往书面文件均须使用中文，投标文件中所附或引用的外文资料，应翻译成中文附在相关外文资料后面。（说明：投标人的法定代表人为外籍人士的，则法定代表人的签字和护照除外）。</w:t>
      </w:r>
    </w:p>
    <w:p>
      <w:pPr>
        <w:numPr>
          <w:ilvl w:val="0"/>
          <w:numId w:val="14"/>
        </w:numPr>
        <w:tabs>
          <w:tab w:val="left" w:pos="1134"/>
        </w:tabs>
        <w:spacing w:after="200"/>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对不同文字文本投标文件的解释发生异议的，以中文文本为准。若投标人投标文件中提供的外文资料未翻译成中文，则评标委员会可将其视为无效材料。 </w:t>
      </w:r>
    </w:p>
    <w:p>
      <w:pPr>
        <w:pStyle w:val="5"/>
        <w:numPr>
          <w:ilvl w:val="2"/>
          <w:numId w:val="4"/>
        </w:numPr>
        <w:spacing w:after="200" w:line="240" w:lineRule="auto"/>
        <w:ind w:left="0" w:firstLine="0"/>
        <w:rPr>
          <w:color w:val="000000" w:themeColor="text1"/>
          <w14:textFill>
            <w14:solidFill>
              <w14:schemeClr w14:val="tx1"/>
            </w14:solidFill>
          </w14:textFill>
        </w:rPr>
      </w:pPr>
      <w:bookmarkStart w:id="67" w:name="_Toc217446044"/>
      <w:bookmarkStart w:id="68" w:name="_Toc183582216"/>
      <w:bookmarkStart w:id="69" w:name="_Toc183682353"/>
      <w:r>
        <w:rPr>
          <w:rFonts w:hint="eastAsia"/>
          <w:color w:val="000000" w:themeColor="text1"/>
          <w14:textFill>
            <w14:solidFill>
              <w14:schemeClr w14:val="tx1"/>
            </w14:solidFill>
          </w14:textFill>
        </w:rPr>
        <w:t>计量单位</w:t>
      </w:r>
      <w:bookmarkEnd w:id="67"/>
      <w:bookmarkEnd w:id="68"/>
      <w:bookmarkEnd w:id="69"/>
    </w:p>
    <w:p>
      <w:pPr>
        <w:tabs>
          <w:tab w:val="left" w:pos="7665"/>
        </w:tabs>
        <w:ind w:left="13" w:firstLine="554"/>
        <w:rPr>
          <w:rFonts w:ascii="宋体" w:hAnsi="宋体"/>
          <w:color w:val="000000" w:themeColor="text1"/>
          <w:sz w:val="28"/>
          <w:szCs w:val="28"/>
          <w14:textFill>
            <w14:solidFill>
              <w14:schemeClr w14:val="tx1"/>
            </w14:solidFill>
          </w14:textFill>
        </w:rPr>
      </w:pPr>
      <w:bookmarkStart w:id="70" w:name="_Toc217446045"/>
      <w:r>
        <w:rPr>
          <w:rFonts w:hint="eastAsia" w:ascii="宋体" w:hAnsi="宋体"/>
          <w:color w:val="000000" w:themeColor="text1"/>
          <w:sz w:val="28"/>
          <w:szCs w:val="28"/>
          <w14:textFill>
            <w14:solidFill>
              <w14:schemeClr w14:val="tx1"/>
            </w14:solidFill>
          </w14:textFill>
        </w:rPr>
        <w:t>除招标文件中另有规定外，本次采购项目所有合同项下的投标均采用国家法定的计量单位。</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投标货币</w:t>
      </w:r>
      <w:bookmarkEnd w:id="70"/>
    </w:p>
    <w:p>
      <w:pPr>
        <w:tabs>
          <w:tab w:val="left" w:pos="7665"/>
        </w:tabs>
        <w:ind w:left="13" w:firstLine="554"/>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本次招标项目的投标均以人民币报价。</w:t>
      </w:r>
    </w:p>
    <w:p>
      <w:pPr>
        <w:pStyle w:val="5"/>
        <w:numPr>
          <w:ilvl w:val="2"/>
          <w:numId w:val="4"/>
        </w:numPr>
        <w:spacing w:after="200" w:line="240" w:lineRule="auto"/>
        <w:ind w:left="0" w:firstLine="0"/>
        <w:rPr>
          <w:color w:val="000000" w:themeColor="text1"/>
          <w14:textFill>
            <w14:solidFill>
              <w14:schemeClr w14:val="tx1"/>
            </w14:solidFill>
          </w14:textFill>
        </w:rPr>
      </w:pPr>
      <w:bookmarkStart w:id="71" w:name="_Toc217446046"/>
      <w:r>
        <w:rPr>
          <w:rFonts w:hint="eastAsia"/>
          <w:color w:val="000000" w:themeColor="text1"/>
          <w14:textFill>
            <w14:solidFill>
              <w14:schemeClr w14:val="tx1"/>
            </w14:solidFill>
          </w14:textFill>
        </w:rPr>
        <w:t>联合体投标</w:t>
      </w:r>
      <w:bookmarkEnd w:id="71"/>
    </w:p>
    <w:p>
      <w:pPr>
        <w:tabs>
          <w:tab w:val="left" w:pos="1134"/>
        </w:tabs>
        <w:ind w:left="546"/>
        <w:rPr>
          <w:rFonts w:ascii="宋体" w:hAnsi="宋体"/>
          <w:color w:val="000000" w:themeColor="text1"/>
          <w:sz w:val="28"/>
          <w:szCs w:val="28"/>
          <w14:textFill>
            <w14:solidFill>
              <w14:schemeClr w14:val="tx1"/>
            </w14:solidFill>
          </w14:textFill>
        </w:rPr>
      </w:pPr>
      <w:bookmarkStart w:id="72" w:name="_Toc217446047"/>
      <w:r>
        <w:rPr>
          <w:rFonts w:hint="eastAsia" w:ascii="宋体" w:hAnsi="宋体"/>
          <w:color w:val="000000" w:themeColor="text1"/>
          <w:sz w:val="28"/>
          <w:szCs w:val="28"/>
          <w14:textFill>
            <w14:solidFill>
              <w14:schemeClr w14:val="tx1"/>
            </w14:solidFill>
          </w14:textFill>
        </w:rPr>
        <w:t>本次政府采购活动</w:t>
      </w:r>
      <w:r>
        <w:rPr>
          <w:rFonts w:hint="eastAsia" w:ascii="宋体" w:hAnsi="宋体"/>
          <w:b/>
          <w:color w:val="000000" w:themeColor="text1"/>
          <w:sz w:val="28"/>
          <w:szCs w:val="28"/>
          <w14:textFill>
            <w14:solidFill>
              <w14:schemeClr w14:val="tx1"/>
            </w14:solidFill>
          </w14:textFill>
        </w:rPr>
        <w:t>不接受</w:t>
      </w:r>
      <w:r>
        <w:rPr>
          <w:rFonts w:hint="eastAsia" w:ascii="宋体" w:hAnsi="宋体"/>
          <w:color w:val="000000" w:themeColor="text1"/>
          <w:sz w:val="28"/>
          <w:szCs w:val="28"/>
          <w14:textFill>
            <w14:solidFill>
              <w14:schemeClr w14:val="tx1"/>
            </w14:solidFill>
          </w14:textFill>
        </w:rPr>
        <w:t>联合体投标。</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知识产权</w:t>
      </w:r>
      <w:bookmarkEnd w:id="72"/>
    </w:p>
    <w:p>
      <w:pPr>
        <w:pStyle w:val="155"/>
        <w:numPr>
          <w:ilvl w:val="0"/>
          <w:numId w:val="15"/>
        </w:numPr>
        <w:tabs>
          <w:tab w:val="left" w:pos="1134"/>
        </w:tabs>
        <w:spacing w:after="200"/>
        <w:ind w:left="0" w:firstLine="549" w:firstLineChars="0"/>
        <w:rPr>
          <w:rFonts w:ascii="宋体" w:hAnsi="宋体"/>
          <w:color w:val="000000" w:themeColor="text1"/>
          <w:sz w:val="28"/>
          <w:szCs w:val="28"/>
          <w14:textFill>
            <w14:solidFill>
              <w14:schemeClr w14:val="tx1"/>
            </w14:solidFill>
          </w14:textFill>
        </w:rPr>
      </w:pPr>
      <w:bookmarkStart w:id="73" w:name="_Toc183582217"/>
      <w:bookmarkStart w:id="74" w:name="_Toc183682354"/>
      <w:bookmarkStart w:id="75" w:name="_Toc217446048"/>
      <w:r>
        <w:rPr>
          <w:rFonts w:hint="eastAsia" w:ascii="宋体" w:hAnsi="宋体"/>
          <w:color w:val="000000" w:themeColor="text1"/>
          <w:sz w:val="28"/>
          <w:szCs w:val="28"/>
          <w14:textFill>
            <w14:solidFill>
              <w14:schemeClr w14:val="tx1"/>
            </w14:solidFill>
          </w14:textFill>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pPr>
        <w:pStyle w:val="155"/>
        <w:numPr>
          <w:ilvl w:val="0"/>
          <w:numId w:val="15"/>
        </w:numPr>
        <w:tabs>
          <w:tab w:val="left" w:pos="1134"/>
        </w:tabs>
        <w:spacing w:after="200"/>
        <w:ind w:left="0" w:firstLine="549"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采购人享有本项目实施过程中产生的知识成果及知识产权。</w:t>
      </w:r>
    </w:p>
    <w:p>
      <w:pPr>
        <w:pStyle w:val="155"/>
        <w:numPr>
          <w:ilvl w:val="0"/>
          <w:numId w:val="15"/>
        </w:numPr>
        <w:tabs>
          <w:tab w:val="left" w:pos="1134"/>
        </w:tabs>
        <w:spacing w:after="200"/>
        <w:ind w:left="0" w:firstLine="549"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如拟在项目实施过程中采用自有知识成果，需在投标文件中声明，并提供相关知识产权证明文件。使用该知识成果后，投标人需提供开发接口和开发手册等技术文档，并提供无限期技术支持，采购人享有永久使用权（含采购人委托第三方在该项目后续开发的使用权）。</w:t>
      </w:r>
    </w:p>
    <w:p>
      <w:pPr>
        <w:pStyle w:val="155"/>
        <w:numPr>
          <w:ilvl w:val="0"/>
          <w:numId w:val="15"/>
        </w:numPr>
        <w:tabs>
          <w:tab w:val="left" w:pos="1134"/>
        </w:tabs>
        <w:spacing w:after="200"/>
        <w:ind w:left="0" w:firstLine="549"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如采用投标人所不拥有的知识产权，则在投标报价中必须包括合法获取该知识产权的相关费用。</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投标文件的组成</w:t>
      </w:r>
      <w:bookmarkEnd w:id="73"/>
      <w:bookmarkEnd w:id="74"/>
      <w:bookmarkEnd w:id="75"/>
    </w:p>
    <w:p>
      <w:pPr>
        <w:ind w:firstLine="548" w:firstLineChars="196"/>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投标人应按照招标文件的规定和要求编制投标文件。投标人拟在中标后将中标项目的非主体、非关键性工作交由他人完成的，应当在投标文件中载明。投标人编写的投标文件应包括下列部分：</w:t>
      </w:r>
    </w:p>
    <w:p>
      <w:pPr>
        <w:ind w:left="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投标文件封面；</w:t>
      </w:r>
    </w:p>
    <w:p>
      <w:pPr>
        <w:ind w:left="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资格性审查部分：</w:t>
      </w:r>
    </w:p>
    <w:p>
      <w:pPr>
        <w:pStyle w:val="84"/>
        <w:numPr>
          <w:ilvl w:val="0"/>
          <w:numId w:val="16"/>
        </w:numPr>
        <w:tabs>
          <w:tab w:val="left" w:pos="1134"/>
        </w:tabs>
        <w:spacing w:after="200"/>
        <w:ind w:firstLineChars="0"/>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关于投标人资格申明的函；</w:t>
      </w:r>
    </w:p>
    <w:p>
      <w:pPr>
        <w:pStyle w:val="84"/>
        <w:numPr>
          <w:ilvl w:val="0"/>
          <w:numId w:val="16"/>
        </w:numPr>
        <w:tabs>
          <w:tab w:val="left" w:pos="1134"/>
        </w:tabs>
        <w:spacing w:after="200"/>
        <w:ind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声明；</w:t>
      </w:r>
    </w:p>
    <w:p>
      <w:pPr>
        <w:pStyle w:val="84"/>
        <w:numPr>
          <w:ilvl w:val="0"/>
          <w:numId w:val="16"/>
        </w:numPr>
        <w:tabs>
          <w:tab w:val="left" w:pos="1134"/>
        </w:tabs>
        <w:spacing w:after="200"/>
        <w:ind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投标人应提交的相关资格证明材料：</w:t>
      </w:r>
    </w:p>
    <w:p>
      <w:pPr>
        <w:pStyle w:val="84"/>
        <w:numPr>
          <w:ilvl w:val="0"/>
          <w:numId w:val="17"/>
        </w:numPr>
        <w:spacing w:after="200"/>
        <w:ind w:left="0" w:firstLine="567"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营业执照复印件（正本或副本）或法人证书复印件（正本或副本）；</w:t>
      </w:r>
    </w:p>
    <w:p>
      <w:pPr>
        <w:pStyle w:val="84"/>
        <w:numPr>
          <w:ilvl w:val="0"/>
          <w:numId w:val="17"/>
        </w:numPr>
        <w:spacing w:after="200"/>
        <w:ind w:left="0" w:firstLine="546" w:firstLineChars="0"/>
        <w:rPr>
          <w:rFonts w:ascii="宋体" w:hAnsi="宋体"/>
          <w:b/>
          <w:color w:val="000000" w:themeColor="text1"/>
          <w:sz w:val="28"/>
          <w:szCs w:val="28"/>
          <w14:textFill>
            <w14:solidFill>
              <w14:schemeClr w14:val="tx1"/>
            </w14:solidFill>
          </w14:textFill>
        </w:rPr>
      </w:pPr>
      <w:r>
        <w:rPr>
          <w:rFonts w:ascii="宋体" w:hAnsi="宋体"/>
          <w:b/>
          <w:color w:val="000000" w:themeColor="text1"/>
          <w:sz w:val="28"/>
          <w:szCs w:val="28"/>
          <w14:textFill>
            <w14:solidFill>
              <w14:schemeClr w14:val="tx1"/>
            </w14:solidFill>
          </w14:textFill>
        </w:rPr>
        <w:t>20</w:t>
      </w:r>
      <w:r>
        <w:rPr>
          <w:rFonts w:hint="eastAsia" w:ascii="宋体" w:hAnsi="宋体"/>
          <w:b/>
          <w:color w:val="000000" w:themeColor="text1"/>
          <w:sz w:val="28"/>
          <w:szCs w:val="28"/>
          <w14:textFill>
            <w14:solidFill>
              <w14:schemeClr w14:val="tx1"/>
            </w14:solidFill>
          </w14:textFill>
        </w:rPr>
        <w:t>19年或</w:t>
      </w:r>
      <w:r>
        <w:rPr>
          <w:rFonts w:ascii="宋体" w:hAnsi="宋体"/>
          <w:b/>
          <w:color w:val="000000" w:themeColor="text1"/>
          <w:sz w:val="28"/>
          <w:szCs w:val="28"/>
          <w14:textFill>
            <w14:solidFill>
              <w14:schemeClr w14:val="tx1"/>
            </w14:solidFill>
          </w14:textFill>
        </w:rPr>
        <w:t>2</w:t>
      </w:r>
      <w:r>
        <w:rPr>
          <w:rFonts w:hint="eastAsia" w:ascii="宋体" w:hAnsi="宋体"/>
          <w:b/>
          <w:color w:val="000000" w:themeColor="text1"/>
          <w:sz w:val="28"/>
          <w:szCs w:val="28"/>
          <w14:textFill>
            <w14:solidFill>
              <w14:schemeClr w14:val="tx1"/>
            </w14:solidFill>
          </w14:textFill>
        </w:rPr>
        <w:t>020年会计年度资产负债表复印件（说明：投标人成立时间至递交投标文件截止时间止不足一年的，提供成立后任意时段的资产负债表复印件）；</w:t>
      </w:r>
    </w:p>
    <w:p>
      <w:pPr>
        <w:pStyle w:val="84"/>
        <w:numPr>
          <w:ilvl w:val="0"/>
          <w:numId w:val="17"/>
        </w:numPr>
        <w:spacing w:after="200"/>
        <w:ind w:left="0" w:firstLine="546"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投标人缴纳</w:t>
      </w:r>
      <w:r>
        <w:rPr>
          <w:rFonts w:ascii="宋体" w:hAnsi="宋体"/>
          <w:b/>
          <w:color w:val="000000" w:themeColor="text1"/>
          <w:sz w:val="28"/>
          <w:szCs w:val="28"/>
          <w14:textFill>
            <w14:solidFill>
              <w14:schemeClr w14:val="tx1"/>
            </w14:solidFill>
          </w14:textFill>
        </w:rPr>
        <w:t>20</w:t>
      </w:r>
      <w:r>
        <w:rPr>
          <w:rFonts w:hint="eastAsia" w:ascii="宋体" w:hAnsi="宋体"/>
          <w:b/>
          <w:color w:val="000000" w:themeColor="text1"/>
          <w:sz w:val="28"/>
          <w:szCs w:val="28"/>
          <w14:textFill>
            <w14:solidFill>
              <w14:schemeClr w14:val="tx1"/>
            </w14:solidFill>
          </w14:textFill>
        </w:rPr>
        <w:t>20年或</w:t>
      </w:r>
      <w:r>
        <w:rPr>
          <w:rFonts w:ascii="宋体" w:hAnsi="宋体"/>
          <w:b/>
          <w:color w:val="000000" w:themeColor="text1"/>
          <w:sz w:val="28"/>
          <w:szCs w:val="28"/>
          <w14:textFill>
            <w14:solidFill>
              <w14:schemeClr w14:val="tx1"/>
            </w14:solidFill>
          </w14:textFill>
        </w:rPr>
        <w:t>20</w:t>
      </w:r>
      <w:r>
        <w:rPr>
          <w:rFonts w:hint="eastAsia" w:ascii="宋体" w:hAnsi="宋体"/>
          <w:b/>
          <w:color w:val="000000" w:themeColor="text1"/>
          <w:sz w:val="28"/>
          <w:szCs w:val="28"/>
          <w14:textFill>
            <w14:solidFill>
              <w14:schemeClr w14:val="tx1"/>
            </w14:solidFill>
          </w14:textFill>
        </w:rPr>
        <w:t>21年任意时段的税收的银行电子回单或者行政部门出具的纳税证明或完税证明复印件；</w:t>
      </w:r>
    </w:p>
    <w:p>
      <w:pPr>
        <w:pStyle w:val="84"/>
        <w:numPr>
          <w:ilvl w:val="0"/>
          <w:numId w:val="17"/>
        </w:numPr>
        <w:spacing w:after="200"/>
        <w:ind w:left="0" w:firstLine="546"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采购人对投标人履行合同</w:t>
      </w:r>
      <w:r>
        <w:rPr>
          <w:rFonts w:hint="eastAsia" w:ascii="宋体" w:hAnsi="宋体"/>
          <w:b/>
          <w:color w:val="000000" w:themeColor="text1"/>
          <w:sz w:val="28"/>
          <w:szCs w:val="28"/>
          <w:lang w:eastAsia="zh-CN"/>
          <w14:textFill>
            <w14:solidFill>
              <w14:schemeClr w14:val="tx1"/>
            </w14:solidFill>
          </w14:textFill>
        </w:rPr>
        <w:t>所必需的</w:t>
      </w:r>
      <w:r>
        <w:rPr>
          <w:rFonts w:hint="eastAsia" w:ascii="宋体" w:hAnsi="宋体"/>
          <w:b/>
          <w:color w:val="000000" w:themeColor="text1"/>
          <w:sz w:val="28"/>
          <w:szCs w:val="28"/>
          <w14:textFill>
            <w14:solidFill>
              <w14:schemeClr w14:val="tx1"/>
            </w14:solidFill>
          </w14:textFill>
        </w:rPr>
        <w:t>设备和专业技术能力无其他特殊要求，投标人具有有效的营业执照或法人证书即可，可不提供其他证明材料；</w:t>
      </w:r>
    </w:p>
    <w:p>
      <w:pPr>
        <w:pStyle w:val="84"/>
        <w:numPr>
          <w:ilvl w:val="0"/>
          <w:numId w:val="17"/>
        </w:numPr>
        <w:spacing w:after="200"/>
        <w:ind w:left="0" w:firstLine="546"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投标人缴纳2020年或2021年任意时段的社保的银行电子回单或行政部门出具的社保缴纳证明材料复印件；</w:t>
      </w:r>
    </w:p>
    <w:p>
      <w:pPr>
        <w:pStyle w:val="84"/>
        <w:numPr>
          <w:ilvl w:val="0"/>
          <w:numId w:val="17"/>
        </w:numPr>
        <w:spacing w:after="200"/>
        <w:ind w:left="0" w:firstLine="546"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采购人对法律、行政法规规定的其他条件无其他特殊要求，投标人具有有效的营业执照或法人证书即可，可不提供其他证明材料。</w:t>
      </w:r>
    </w:p>
    <w:p>
      <w:pPr>
        <w:pStyle w:val="84"/>
        <w:ind w:left="546" w:firstLine="0" w:firstLineChars="0"/>
        <w:rPr>
          <w:rFonts w:ascii="宋体" w:hAnsi="宋体"/>
          <w:b/>
          <w:color w:val="000000" w:themeColor="text1"/>
          <w:sz w:val="28"/>
          <w:szCs w:val="28"/>
          <w14:textFill>
            <w14:solidFill>
              <w14:schemeClr w14:val="tx1"/>
            </w14:solidFill>
          </w14:textFill>
        </w:rPr>
      </w:pPr>
      <w:r>
        <w:rPr>
          <w:rFonts w:hint="eastAsia"/>
          <w:b/>
          <w:color w:val="000000" w:themeColor="text1"/>
          <w:sz w:val="28"/>
          <w14:textFill>
            <w14:solidFill>
              <w14:schemeClr w14:val="tx1"/>
            </w14:solidFill>
          </w14:textFill>
        </w:rPr>
        <w:t>服务、商务及其他要求响应部分：</w:t>
      </w:r>
    </w:p>
    <w:p>
      <w:pPr>
        <w:numPr>
          <w:ilvl w:val="0"/>
          <w:numId w:val="18"/>
        </w:numPr>
        <w:tabs>
          <w:tab w:val="left" w:pos="1134"/>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投标函；</w:t>
      </w:r>
    </w:p>
    <w:p>
      <w:pPr>
        <w:numPr>
          <w:ilvl w:val="0"/>
          <w:numId w:val="18"/>
        </w:numPr>
        <w:tabs>
          <w:tab w:val="left" w:pos="1134"/>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投标报价表；</w:t>
      </w:r>
    </w:p>
    <w:p>
      <w:pPr>
        <w:numPr>
          <w:ilvl w:val="0"/>
          <w:numId w:val="18"/>
        </w:numPr>
        <w:tabs>
          <w:tab w:val="left" w:pos="1134"/>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分项报价明细表；</w:t>
      </w:r>
    </w:p>
    <w:p>
      <w:pPr>
        <w:numPr>
          <w:ilvl w:val="0"/>
          <w:numId w:val="18"/>
        </w:numPr>
        <w:tabs>
          <w:tab w:val="left" w:pos="1134"/>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法定代表人身份证明书；</w:t>
      </w:r>
    </w:p>
    <w:p>
      <w:pPr>
        <w:numPr>
          <w:ilvl w:val="0"/>
          <w:numId w:val="18"/>
        </w:numPr>
        <w:tabs>
          <w:tab w:val="left" w:pos="1134"/>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中小企业声明函（如未提供中小企业声明函，则不能享受招标文件规定的价格扣除，但不影响投标人投标文件的有效性）；</w:t>
      </w:r>
    </w:p>
    <w:p>
      <w:pPr>
        <w:numPr>
          <w:ilvl w:val="0"/>
          <w:numId w:val="18"/>
        </w:numPr>
        <w:tabs>
          <w:tab w:val="left" w:pos="1134"/>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残疾人福利性单位声明函（如未提供残疾人福利性单位声明函，则不能享受招标文件规定的价格扣除，但不影响投标人投标文件的有效性）；</w:t>
      </w:r>
    </w:p>
    <w:p>
      <w:pPr>
        <w:numPr>
          <w:ilvl w:val="0"/>
          <w:numId w:val="18"/>
        </w:numPr>
        <w:tabs>
          <w:tab w:val="left" w:pos="1134"/>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投标人基本情况表；</w:t>
      </w:r>
    </w:p>
    <w:p>
      <w:pPr>
        <w:numPr>
          <w:ilvl w:val="0"/>
          <w:numId w:val="18"/>
        </w:numPr>
        <w:tabs>
          <w:tab w:val="left" w:pos="1134"/>
          <w:tab w:val="left" w:pos="1418"/>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服务方案及服务承诺；</w:t>
      </w:r>
    </w:p>
    <w:p>
      <w:pPr>
        <w:numPr>
          <w:ilvl w:val="0"/>
          <w:numId w:val="18"/>
        </w:numPr>
        <w:tabs>
          <w:tab w:val="left" w:pos="1134"/>
          <w:tab w:val="left" w:pos="1418"/>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承诺函。</w:t>
      </w:r>
    </w:p>
    <w:p>
      <w:pPr>
        <w:pStyle w:val="5"/>
        <w:numPr>
          <w:ilvl w:val="2"/>
          <w:numId w:val="4"/>
        </w:numPr>
        <w:spacing w:after="200" w:line="240" w:lineRule="auto"/>
        <w:ind w:left="0" w:firstLine="0"/>
        <w:rPr>
          <w:color w:val="000000" w:themeColor="text1"/>
          <w14:textFill>
            <w14:solidFill>
              <w14:schemeClr w14:val="tx1"/>
            </w14:solidFill>
          </w14:textFill>
        </w:rPr>
      </w:pPr>
      <w:bookmarkStart w:id="76" w:name="_Toc316291395"/>
      <w:bookmarkEnd w:id="76"/>
      <w:bookmarkStart w:id="77" w:name="_Toc316291396"/>
      <w:bookmarkEnd w:id="77"/>
      <w:bookmarkStart w:id="78" w:name="_Toc316292019"/>
      <w:bookmarkEnd w:id="78"/>
      <w:bookmarkStart w:id="79" w:name="_Toc316292020"/>
      <w:bookmarkEnd w:id="79"/>
      <w:bookmarkStart w:id="80" w:name="_Toc183682355"/>
      <w:bookmarkStart w:id="81" w:name="_Toc183582218"/>
      <w:bookmarkStart w:id="82" w:name="_Toc217446049"/>
      <w:r>
        <w:rPr>
          <w:rFonts w:hint="eastAsia"/>
          <w:color w:val="000000" w:themeColor="text1"/>
          <w14:textFill>
            <w14:solidFill>
              <w14:schemeClr w14:val="tx1"/>
            </w14:solidFill>
          </w14:textFill>
        </w:rPr>
        <w:t>投标文件格式</w:t>
      </w:r>
      <w:bookmarkEnd w:id="80"/>
      <w:bookmarkEnd w:id="81"/>
      <w:bookmarkEnd w:id="82"/>
      <w:r>
        <w:rPr>
          <w:rFonts w:hint="eastAsia"/>
          <w:color w:val="000000" w:themeColor="text1"/>
          <w14:textFill>
            <w14:solidFill>
              <w14:schemeClr w14:val="tx1"/>
            </w14:solidFill>
          </w14:textFill>
        </w:rPr>
        <w:tab/>
      </w:r>
    </w:p>
    <w:p>
      <w:pPr>
        <w:numPr>
          <w:ilvl w:val="0"/>
          <w:numId w:val="19"/>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投标人应按照招标文件第3章中提供的“投标文件格式”填写相关内容。</w:t>
      </w:r>
    </w:p>
    <w:p>
      <w:pPr>
        <w:numPr>
          <w:ilvl w:val="0"/>
          <w:numId w:val="19"/>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对于没有格式要求的投标文件由投标人自行编写。</w:t>
      </w:r>
    </w:p>
    <w:p>
      <w:pPr>
        <w:pStyle w:val="5"/>
        <w:numPr>
          <w:ilvl w:val="2"/>
          <w:numId w:val="4"/>
        </w:numPr>
        <w:spacing w:after="200" w:line="240" w:lineRule="auto"/>
        <w:ind w:left="0" w:firstLine="0"/>
        <w:rPr>
          <w:color w:val="000000" w:themeColor="text1"/>
          <w14:textFill>
            <w14:solidFill>
              <w14:schemeClr w14:val="tx1"/>
            </w14:solidFill>
          </w14:textFill>
        </w:rPr>
      </w:pPr>
      <w:bookmarkStart w:id="83" w:name="_Toc217446050"/>
      <w:bookmarkStart w:id="84" w:name="_Toc183682360"/>
      <w:bookmarkStart w:id="85" w:name="_Toc183582223"/>
      <w:r>
        <w:rPr>
          <w:rFonts w:hint="eastAsia"/>
          <w:color w:val="000000" w:themeColor="text1"/>
          <w14:textFill>
            <w14:solidFill>
              <w14:schemeClr w14:val="tx1"/>
            </w14:solidFill>
          </w14:textFill>
        </w:rPr>
        <w:t>投标报价</w:t>
      </w:r>
    </w:p>
    <w:p>
      <w:pPr>
        <w:numPr>
          <w:ilvl w:val="0"/>
          <w:numId w:val="20"/>
        </w:numPr>
        <w:tabs>
          <w:tab w:val="left" w:pos="1134"/>
        </w:tabs>
        <w:spacing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投标人的报价是投标人响应招标项目要求的全部工作内容的价格体现，包括投标人完成本项目所需的一切费用。</w:t>
      </w:r>
    </w:p>
    <w:p>
      <w:pPr>
        <w:numPr>
          <w:ilvl w:val="0"/>
          <w:numId w:val="20"/>
        </w:numPr>
        <w:tabs>
          <w:tab w:val="left" w:pos="1134"/>
        </w:tabs>
        <w:spacing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投标人每种货物及服务内容只允许有一个报价，并且在合同履行过程中是固定不变的，任何有选择或可调整的报价将不予接受，并按无效投标处理。</w:t>
      </w:r>
    </w:p>
    <w:p>
      <w:pPr>
        <w:tabs>
          <w:tab w:val="left" w:pos="1134"/>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三、投标文件报价出现前后不一致的，按照下列规定修正：（1）大写金额和小写金额不一致的，以大写金额为准，但大写金额出现文字错误，导致金额无法判断的除外；（</w:t>
      </w:r>
      <w:r>
        <w:rPr>
          <w:rFonts w:ascii="宋体" w:hAnsi="宋体"/>
          <w:color w:val="000000" w:themeColor="text1"/>
          <w:sz w:val="28"/>
          <w:szCs w:val="28"/>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）单价金额小数点或者百分比有明显错位的，应以总价为准，并修改单价；（</w:t>
      </w:r>
      <w:r>
        <w:rPr>
          <w:rFonts w:ascii="宋体" w:hAnsi="宋体"/>
          <w:color w:val="000000" w:themeColor="text1"/>
          <w:sz w:val="28"/>
          <w:szCs w:val="28"/>
          <w14:textFill>
            <w14:solidFill>
              <w14:schemeClr w14:val="tx1"/>
            </w14:solidFill>
          </w14:textFill>
        </w:rPr>
        <w:t>3</w:t>
      </w:r>
      <w:r>
        <w:rPr>
          <w:rFonts w:hint="eastAsia" w:ascii="宋体" w:hAnsi="宋体"/>
          <w:color w:val="000000" w:themeColor="text1"/>
          <w:sz w:val="28"/>
          <w:szCs w:val="28"/>
          <w14:textFill>
            <w14:solidFill>
              <w14:schemeClr w14:val="tx1"/>
            </w14:solidFill>
          </w14:textFill>
        </w:rPr>
        <w:t>）总价金额与按单价汇总金额不一致的，以单价金额计算结果为准。</w:t>
      </w:r>
    </w:p>
    <w:p>
      <w:pPr>
        <w:tabs>
          <w:tab w:val="left" w:pos="1134"/>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cs="Arial"/>
          <w:color w:val="000000" w:themeColor="text1"/>
          <w:sz w:val="28"/>
          <w:szCs w:val="28"/>
          <w14:textFill>
            <w14:solidFill>
              <w14:schemeClr w14:val="tx1"/>
            </w14:solidFill>
          </w14:textFill>
        </w:rPr>
        <w:t>同时出现两种以上不一致的，按照前款规定的顺序修正。修正后的报价经投标人以书面形式通过政府采购云平台进行确认，并加盖投标人（法定名称）电子签章，投标人逾时确认的，其投标无效。</w:t>
      </w:r>
      <w:r>
        <w:rPr>
          <w:rFonts w:hint="eastAsia" w:ascii="宋体" w:hAnsi="宋体"/>
          <w:color w:val="000000" w:themeColor="text1"/>
          <w:sz w:val="28"/>
          <w:szCs w:val="28"/>
          <w14:textFill>
            <w14:solidFill>
              <w14:schemeClr w14:val="tx1"/>
            </w14:solidFill>
          </w14:textFill>
        </w:rPr>
        <w:t>如因断电、断网、系统故障或其他不可抗力等因素</w:t>
      </w:r>
      <w:r>
        <w:rPr>
          <w:rFonts w:hint="eastAsia" w:cs="Arial"/>
          <w:color w:val="000000" w:themeColor="text1"/>
          <w:sz w:val="28"/>
          <w:szCs w:val="28"/>
          <w14:textFill>
            <w14:solidFill>
              <w14:schemeClr w14:val="tx1"/>
            </w14:solidFill>
          </w14:textFill>
        </w:rPr>
        <w:t>，导致系统无法使用的，由投标人按评标委员会的要求进行澄清或者说明。</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投标保证金</w:t>
      </w:r>
      <w:bookmarkEnd w:id="83"/>
      <w:bookmarkEnd w:id="84"/>
      <w:bookmarkEnd w:id="85"/>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本项目不收取投标保证金。</w:t>
      </w:r>
    </w:p>
    <w:p>
      <w:pPr>
        <w:pStyle w:val="5"/>
        <w:numPr>
          <w:ilvl w:val="2"/>
          <w:numId w:val="4"/>
        </w:numPr>
        <w:tabs>
          <w:tab w:val="left" w:pos="851"/>
        </w:tabs>
        <w:spacing w:after="200" w:line="240" w:lineRule="auto"/>
        <w:ind w:left="0" w:firstLine="0"/>
        <w:rPr>
          <w:color w:val="000000" w:themeColor="text1"/>
          <w14:textFill>
            <w14:solidFill>
              <w14:schemeClr w14:val="tx1"/>
            </w14:solidFill>
          </w14:textFill>
        </w:rPr>
      </w:pPr>
      <w:bookmarkStart w:id="86" w:name="_Toc316292024"/>
      <w:bookmarkEnd w:id="86"/>
      <w:bookmarkStart w:id="87" w:name="_Toc316291400"/>
      <w:bookmarkEnd w:id="87"/>
      <w:bookmarkStart w:id="88" w:name="_Toc183582224"/>
      <w:bookmarkStart w:id="89" w:name="_Toc183682361"/>
      <w:bookmarkStart w:id="90" w:name="_Toc217446051"/>
      <w:r>
        <w:rPr>
          <w:rFonts w:hint="eastAsia"/>
          <w:color w:val="000000" w:themeColor="text1"/>
          <w14:textFill>
            <w14:solidFill>
              <w14:schemeClr w14:val="tx1"/>
            </w14:solidFill>
          </w14:textFill>
        </w:rPr>
        <w:t>投标有效期</w:t>
      </w:r>
      <w:bookmarkEnd w:id="88"/>
      <w:bookmarkEnd w:id="89"/>
      <w:bookmarkEnd w:id="90"/>
    </w:p>
    <w:p>
      <w:pPr>
        <w:numPr>
          <w:ilvl w:val="0"/>
          <w:numId w:val="21"/>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投标有效期为</w:t>
      </w:r>
      <w:r>
        <w:rPr>
          <w:rFonts w:hint="eastAsia" w:ascii="Helvetica" w:hAnsi="Helvetica" w:cs="Helvetica"/>
          <w:color w:val="000000" w:themeColor="text1"/>
          <w:sz w:val="28"/>
          <w:szCs w:val="28"/>
          <w14:textFill>
            <w14:solidFill>
              <w14:schemeClr w14:val="tx1"/>
            </w14:solidFill>
          </w14:textFill>
        </w:rPr>
        <w:t>提交投标文件的截止之日起</w:t>
      </w:r>
      <w:r>
        <w:rPr>
          <w:rFonts w:hint="eastAsia" w:ascii="宋体" w:hAnsi="宋体"/>
          <w:color w:val="000000" w:themeColor="text1"/>
          <w:sz w:val="28"/>
          <w:szCs w:val="28"/>
          <w:u w:val="single"/>
          <w14:textFill>
            <w14:solidFill>
              <w14:schemeClr w14:val="tx1"/>
            </w14:solidFill>
          </w14:textFill>
        </w:rPr>
        <w:t>120</w:t>
      </w:r>
      <w:r>
        <w:rPr>
          <w:rFonts w:hint="eastAsia" w:ascii="宋体" w:hAnsi="宋体"/>
          <w:color w:val="000000" w:themeColor="text1"/>
          <w:sz w:val="28"/>
          <w:szCs w:val="28"/>
          <w14:textFill>
            <w14:solidFill>
              <w14:schemeClr w14:val="tx1"/>
            </w14:solidFill>
          </w14:textFill>
        </w:rPr>
        <w:t>天。投标有效期短于此规定期限的或不作响应的，则其投标文件将按无效投标文件处理。</w:t>
      </w:r>
    </w:p>
    <w:p>
      <w:pPr>
        <w:numPr>
          <w:ilvl w:val="0"/>
          <w:numId w:val="21"/>
        </w:numPr>
        <w:tabs>
          <w:tab w:val="left" w:pos="1134"/>
        </w:tabs>
        <w:spacing w:after="200"/>
        <w:ind w:left="0" w:firstLine="567"/>
        <w:rPr>
          <w:rFonts w:ascii="宋体" w:hAnsi="宋体"/>
          <w:color w:val="000000" w:themeColor="text1"/>
          <w:sz w:val="28"/>
          <w:szCs w:val="28"/>
          <w14:textFill>
            <w14:solidFill>
              <w14:schemeClr w14:val="tx1"/>
            </w14:solidFill>
          </w14:textFill>
        </w:rPr>
      </w:pPr>
      <w:bookmarkStart w:id="91" w:name="_Toc183682362"/>
      <w:bookmarkStart w:id="92" w:name="_Toc217446052"/>
      <w:bookmarkStart w:id="93" w:name="_Toc183582225"/>
      <w:r>
        <w:rPr>
          <w:rFonts w:hint="eastAsia" w:ascii="宋体" w:hAnsi="宋体"/>
          <w:color w:val="000000" w:themeColor="text1"/>
          <w:sz w:val="28"/>
          <w:szCs w:val="28"/>
          <w14:textFill>
            <w14:solidFill>
              <w14:schemeClr w14:val="tx1"/>
            </w14:solidFill>
          </w14:textFill>
        </w:rPr>
        <w:t>特殊情况下，采购人可于投标有效期满之前要求投标人同意延长有效期，要求与答复均应为书面形式。投标人可以拒绝上述要求，其投标保证金不被没收。同意延长投标有效期的投标人不能修改其投标文件，关于投标保证金的有关规定在延长的投标有效期内继续有效。</w:t>
      </w:r>
    </w:p>
    <w:p>
      <w:pPr>
        <w:pStyle w:val="5"/>
        <w:numPr>
          <w:ilvl w:val="2"/>
          <w:numId w:val="4"/>
        </w:numPr>
        <w:tabs>
          <w:tab w:val="left" w:pos="851"/>
        </w:tabs>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投标文件的制作和签章、加密</w:t>
      </w:r>
      <w:bookmarkEnd w:id="91"/>
      <w:bookmarkEnd w:id="92"/>
      <w:bookmarkEnd w:id="93"/>
      <w:bookmarkStart w:id="94" w:name="_Toc316475579"/>
      <w:bookmarkEnd w:id="94"/>
      <w:bookmarkStart w:id="95" w:name="_Toc316475582"/>
      <w:bookmarkEnd w:id="95"/>
      <w:bookmarkStart w:id="96" w:name="_Toc316475577"/>
      <w:bookmarkEnd w:id="96"/>
      <w:bookmarkStart w:id="97" w:name="_Toc316475580"/>
      <w:bookmarkEnd w:id="97"/>
      <w:bookmarkStart w:id="98" w:name="_Toc316475578"/>
      <w:bookmarkEnd w:id="98"/>
      <w:bookmarkStart w:id="99" w:name="_Toc316475583"/>
      <w:bookmarkEnd w:id="99"/>
      <w:bookmarkStart w:id="100" w:name="_Toc316475581"/>
      <w:bookmarkEnd w:id="100"/>
      <w:bookmarkStart w:id="101" w:name="_Toc183582227"/>
      <w:bookmarkStart w:id="102" w:name="_Toc183682364"/>
      <w:bookmarkStart w:id="103" w:name="_Toc217446054"/>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一、投标文件应根据招标文件的要求进行制作。（说明：1、招标文件中要求提供复印件证明材料的，包含提供原件的影印件或复印件。2、要求提供复印件的证明材料须清晰可辨。）</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二、投标文件制作详情：</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本项目实行电子投标。投标人应先安装“政采云投标客户端”（下载地址1：前往成都市公共资源交易服务中心门户网站—业务办理—下载专区—政府采购下载专区下载“政采云投标客户端”；下载地址2：政府采购云平台—CA管理—绑定CA—下载驱动—“政采云投标客户端”立即下载）。投标人应按招标文件要求，通过“政采云投标客户端”制作、加密并提交投标文件。</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2、投标文件每页均应加盖投标人（法定名称）电子签章，不得使用投标人专用章（如经济合同章、投标专用章等）或下属单位印章代替。</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3、投标人应使用本企业CA数字证书对投标文件进行加密。</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4、招标文件有修改的，投标人须重新下载修改后的招标文件（修改后的招标文件在更正公告中下载），根据修改后的招标文件制作、撤回修改，并递交投标文件。</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5、使用“政府采购云平台”（含政采云电子交易客户端）需要提前申领CA数字证书及电子签章，请自行前往四川CA、CFCA、天威CA服务点办理，只需办理其中一家CA数字证书及签章（提示：办理时请说明参与成都市政府采购项目）。投标人应及时完成在“政府采购云平台”的CA账号绑定，确保顺利参与电子投标。</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w:t>
      </w:r>
      <w:bookmarkEnd w:id="101"/>
      <w:bookmarkEnd w:id="102"/>
      <w:r>
        <w:rPr>
          <w:rFonts w:hint="eastAsia"/>
          <w:color w:val="000000" w:themeColor="text1"/>
          <w14:textFill>
            <w14:solidFill>
              <w14:schemeClr w14:val="tx1"/>
            </w14:solidFill>
          </w14:textFill>
        </w:rPr>
        <w:t>递交</w:t>
      </w:r>
      <w:bookmarkEnd w:id="103"/>
    </w:p>
    <w:p>
      <w:pPr>
        <w:tabs>
          <w:tab w:val="left" w:pos="0"/>
        </w:tabs>
        <w:spacing w:line="360" w:lineRule="auto"/>
        <w:ind w:firstLine="420" w:firstLineChars="150"/>
        <w:rPr>
          <w:rFonts w:ascii="宋体" w:hAnsi="宋体" w:eastAsiaTheme="minorEastAsia" w:cstheme="minorBidi"/>
          <w:bCs/>
          <w:color w:val="000000" w:themeColor="text1"/>
          <w:sz w:val="28"/>
          <w:szCs w:val="28"/>
          <w14:textFill>
            <w14:solidFill>
              <w14:schemeClr w14:val="tx1"/>
            </w14:solidFill>
          </w14:textFill>
        </w:rPr>
      </w:pPr>
      <w:r>
        <w:rPr>
          <w:rFonts w:hint="eastAsia" w:ascii="宋体" w:hAnsi="宋体" w:eastAsiaTheme="minorEastAsia" w:cstheme="minorBidi"/>
          <w:bCs/>
          <w:color w:val="000000" w:themeColor="text1"/>
          <w:sz w:val="28"/>
          <w:szCs w:val="28"/>
          <w14:textFill>
            <w14:solidFill>
              <w14:schemeClr w14:val="tx1"/>
            </w14:solidFill>
          </w14:textFill>
        </w:rPr>
        <w:t>一、投标人应当在投标文件递交截止时间前，将生成的已加密的电子投标文件成功递交至“政府采购云平台”。</w:t>
      </w:r>
    </w:p>
    <w:p>
      <w:pPr>
        <w:tabs>
          <w:tab w:val="left" w:pos="0"/>
        </w:tabs>
        <w:spacing w:line="360" w:lineRule="auto"/>
        <w:ind w:firstLine="420" w:firstLineChars="150"/>
        <w:rPr>
          <w:rFonts w:ascii="宋体" w:hAnsi="宋体" w:eastAsiaTheme="minorEastAsia" w:cstheme="minorBidi"/>
          <w:bCs/>
          <w:color w:val="000000" w:themeColor="text1"/>
          <w:sz w:val="28"/>
          <w:szCs w:val="28"/>
          <w14:textFill>
            <w14:solidFill>
              <w14:schemeClr w14:val="tx1"/>
            </w14:solidFill>
          </w14:textFill>
        </w:rPr>
      </w:pPr>
      <w:r>
        <w:rPr>
          <w:rFonts w:hint="eastAsia" w:ascii="宋体" w:hAnsi="宋体" w:eastAsiaTheme="minorEastAsia" w:cstheme="minorBidi"/>
          <w:bCs/>
          <w:color w:val="000000" w:themeColor="text1"/>
          <w:sz w:val="28"/>
          <w:szCs w:val="28"/>
          <w14:textFill>
            <w14:solidFill>
              <w14:schemeClr w14:val="tx1"/>
            </w14:solidFill>
          </w14:textFill>
        </w:rPr>
        <w:t>二、因招标文件的修改推迟投标截止日期的，投标人按区公资交易中心在“四川政府采购网”和“成都市公共资源交易服务中心”网站上发布的澄清公告中修改的时间递交投标文件，同时通过“政府采购云平台”将澄清或者修改的内容告知所有在系统中成功获取招标文件的潜在投标人。</w:t>
      </w:r>
    </w:p>
    <w:p>
      <w:pPr>
        <w:tabs>
          <w:tab w:val="left" w:pos="0"/>
        </w:tabs>
        <w:spacing w:line="360" w:lineRule="auto"/>
        <w:ind w:firstLine="420" w:firstLineChars="150"/>
        <w:rPr>
          <w:rFonts w:ascii="宋体" w:hAnsi="宋体"/>
          <w:bCs/>
          <w:color w:val="000000" w:themeColor="text1"/>
          <w:sz w:val="28"/>
          <w:szCs w:val="28"/>
          <w14:textFill>
            <w14:solidFill>
              <w14:schemeClr w14:val="tx1"/>
            </w14:solidFill>
          </w14:textFill>
        </w:rPr>
      </w:pPr>
      <w:r>
        <w:rPr>
          <w:rFonts w:hint="eastAsia" w:ascii="宋体" w:hAnsi="宋体" w:eastAsiaTheme="minorEastAsia" w:cstheme="minorBidi"/>
          <w:bCs/>
          <w:color w:val="000000" w:themeColor="text1"/>
          <w:sz w:val="28"/>
          <w:szCs w:val="28"/>
          <w14:textFill>
            <w14:solidFill>
              <w14:schemeClr w14:val="tx1"/>
            </w14:solidFill>
          </w14:textFill>
        </w:rPr>
        <w:t>三、投标人应充分考虑递交文件的不可预见因素，未在投标截止时间前完成递交的，在投标截止时间后将无法递交</w:t>
      </w:r>
      <w:r>
        <w:rPr>
          <w:rFonts w:hint="eastAsia" w:ascii="宋体" w:hAnsi="宋体"/>
          <w:bCs/>
          <w:color w:val="000000" w:themeColor="text1"/>
          <w:sz w:val="28"/>
          <w:szCs w:val="28"/>
          <w14:textFill>
            <w14:solidFill>
              <w14:schemeClr w14:val="tx1"/>
            </w14:solidFill>
          </w14:textFill>
        </w:rPr>
        <w:t>。</w:t>
      </w:r>
    </w:p>
    <w:p>
      <w:pPr>
        <w:pStyle w:val="5"/>
        <w:numPr>
          <w:ilvl w:val="2"/>
          <w:numId w:val="4"/>
        </w:numPr>
        <w:spacing w:after="200" w:line="276"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投标文件的补充、修改</w:t>
      </w:r>
    </w:p>
    <w:p>
      <w:pPr>
        <w:numPr>
          <w:ilvl w:val="0"/>
          <w:numId w:val="22"/>
        </w:numPr>
        <w:spacing w:before="120" w:after="200"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投标截止时间之前，投标人可对已递交的投标文件进行补充、修改。补充或者修改投标文件的，应当先撤回已递交的投标文件，在“政采云投标客户端”补充、修改投标文件并签章、加密后重新递交。撤回投标文件进行补充、修改，在投标截止时间前未重新递交的，视为撤回投标文件。</w:t>
      </w:r>
    </w:p>
    <w:p>
      <w:pPr>
        <w:numPr>
          <w:ilvl w:val="0"/>
          <w:numId w:val="22"/>
        </w:numPr>
        <w:spacing w:before="120" w:after="200"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在投标截止时间之后，投标人不得对其递交的投标文件做任何补充、修改。</w:t>
      </w:r>
    </w:p>
    <w:p>
      <w:pPr>
        <w:pStyle w:val="5"/>
        <w:numPr>
          <w:ilvl w:val="2"/>
          <w:numId w:val="4"/>
        </w:numPr>
        <w:spacing w:after="200"/>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投标文件的撤回</w:t>
      </w:r>
    </w:p>
    <w:p>
      <w:pPr>
        <w:numPr>
          <w:ilvl w:val="0"/>
          <w:numId w:val="23"/>
        </w:numPr>
        <w:spacing w:before="120" w:after="200" w:line="360" w:lineRule="auto"/>
        <w:ind w:left="0" w:firstLine="567"/>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在投标截止时间之前，投标人可对已递交的投标文件进行撤回。在投标截止时间之后，投标人不得撤回投标文件。</w:t>
      </w:r>
    </w:p>
    <w:p>
      <w:pPr>
        <w:pStyle w:val="5"/>
        <w:numPr>
          <w:ilvl w:val="2"/>
          <w:numId w:val="4"/>
        </w:numPr>
        <w:spacing w:after="200" w:line="240" w:lineRule="auto"/>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投标文件的解密</w:t>
      </w:r>
    </w:p>
    <w:p>
      <w:pPr>
        <w:tabs>
          <w:tab w:val="left" w:pos="1134"/>
        </w:tabs>
        <w:spacing w:before="120" w:line="360" w:lineRule="auto"/>
        <w:ind w:firstLine="565" w:firstLineChars="202"/>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w:t>
      </w:r>
      <w:r>
        <w:rPr>
          <w:rFonts w:hint="eastAsia" w:ascii="宋体" w:hAnsi="宋体"/>
          <w:color w:val="000000" w:themeColor="text1"/>
          <w:sz w:val="28"/>
          <w:szCs w:val="28"/>
          <w14:textFill>
            <w14:solidFill>
              <w14:schemeClr w14:val="tx1"/>
            </w14:solidFill>
          </w14:textFill>
        </w:rPr>
        <w:t>登录政府采购云平台，点击“项目采购—开标评标”模块，找到对应项目，进入“开标大厅”，等待区公资交易中心开启解密后，进行线上解密。</w:t>
      </w:r>
      <w:r>
        <w:rPr>
          <w:rFonts w:hint="eastAsia" w:ascii="宋体" w:hAnsi="宋体"/>
          <w:bCs/>
          <w:color w:val="000000" w:themeColor="text1"/>
          <w:sz w:val="28"/>
          <w:szCs w:val="28"/>
          <w14:textFill>
            <w14:solidFill>
              <w14:schemeClr w14:val="tx1"/>
            </w14:solidFill>
          </w14:textFill>
        </w:rPr>
        <w:t>除因</w:t>
      </w:r>
      <w:r>
        <w:rPr>
          <w:rFonts w:hint="eastAsia" w:ascii="宋体" w:hAnsi="宋体"/>
          <w:color w:val="000000" w:themeColor="text1"/>
          <w:sz w:val="28"/>
          <w:szCs w:val="28"/>
          <w14:textFill>
            <w14:solidFill>
              <w14:schemeClr w14:val="tx1"/>
            </w14:solidFill>
          </w14:textFill>
        </w:rPr>
        <w:t>区公资交易中心</w:t>
      </w:r>
      <w:r>
        <w:rPr>
          <w:rFonts w:hint="eastAsia" w:ascii="宋体" w:hAnsi="宋体"/>
          <w:bCs/>
          <w:color w:val="000000" w:themeColor="text1"/>
          <w:sz w:val="28"/>
          <w:szCs w:val="28"/>
          <w14:textFill>
            <w14:solidFill>
              <w14:schemeClr w14:val="tx1"/>
            </w14:solidFill>
          </w14:textFill>
        </w:rPr>
        <w:t>断电、断网、系统故障或其他不可抗力等因素，导致系统无法使用外，投标人在规定的解密时间内，未成功解密的投标文件将视为无效投标文件。</w:t>
      </w:r>
    </w:p>
    <w:p>
      <w:pPr>
        <w:pStyle w:val="4"/>
        <w:numPr>
          <w:ilvl w:val="1"/>
          <w:numId w:val="4"/>
        </w:numPr>
        <w:spacing w:before="0" w:after="0" w:line="240" w:lineRule="auto"/>
        <w:ind w:left="2269" w:hanging="2269"/>
        <w:rPr>
          <w:color w:val="000000" w:themeColor="text1"/>
          <w14:textFill>
            <w14:solidFill>
              <w14:schemeClr w14:val="tx1"/>
            </w14:solidFill>
          </w14:textFill>
        </w:rPr>
      </w:pPr>
      <w:bookmarkStart w:id="104" w:name="_Toc316475587"/>
      <w:bookmarkEnd w:id="104"/>
      <w:bookmarkStart w:id="105" w:name="_Toc316475586"/>
      <w:bookmarkEnd w:id="105"/>
      <w:bookmarkStart w:id="106" w:name="_Toc89075878"/>
      <w:bookmarkStart w:id="107" w:name="_Toc183582231"/>
      <w:bookmarkStart w:id="108" w:name="_Toc16979"/>
      <w:bookmarkStart w:id="109" w:name="_Toc28766"/>
      <w:bookmarkStart w:id="110" w:name="_Toc183682368"/>
      <w:bookmarkStart w:id="111" w:name="_Toc217446056"/>
      <w:bookmarkStart w:id="112" w:name="_Toc77400782"/>
      <w:bookmarkStart w:id="113" w:name="_Toc31524"/>
      <w:bookmarkStart w:id="114" w:name="_Toc4457"/>
      <w:bookmarkStart w:id="115" w:name="_Toc15900"/>
      <w:r>
        <w:rPr>
          <w:rFonts w:hint="eastAsia"/>
          <w:color w:val="000000" w:themeColor="text1"/>
          <w14:textFill>
            <w14:solidFill>
              <w14:schemeClr w14:val="tx1"/>
            </w14:solidFill>
          </w14:textFill>
        </w:rPr>
        <w:t>开标、资格审查、评标和中标</w:t>
      </w:r>
      <w:bookmarkEnd w:id="106"/>
      <w:bookmarkEnd w:id="107"/>
      <w:bookmarkEnd w:id="108"/>
      <w:bookmarkEnd w:id="109"/>
      <w:bookmarkEnd w:id="110"/>
      <w:bookmarkEnd w:id="111"/>
      <w:bookmarkEnd w:id="112"/>
      <w:bookmarkEnd w:id="113"/>
      <w:bookmarkEnd w:id="114"/>
      <w:bookmarkEnd w:id="115"/>
    </w:p>
    <w:p>
      <w:pPr>
        <w:keepNext/>
        <w:keepLines/>
        <w:numPr>
          <w:ilvl w:val="2"/>
          <w:numId w:val="4"/>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116" w:name="_Toc183682369"/>
      <w:bookmarkStart w:id="117" w:name="_Toc183582232"/>
      <w:bookmarkStart w:id="118" w:name="_Toc217446057"/>
      <w:r>
        <w:rPr>
          <w:rFonts w:hint="eastAsia" w:ascii="宋体" w:hAnsi="宋体"/>
          <w:b/>
          <w:bCs/>
          <w:color w:val="000000" w:themeColor="text1"/>
          <w:sz w:val="28"/>
          <w:szCs w:val="28"/>
          <w14:textFill>
            <w14:solidFill>
              <w14:schemeClr w14:val="tx1"/>
            </w14:solidFill>
          </w14:textFill>
        </w:rPr>
        <w:t>开标</w:t>
      </w:r>
      <w:bookmarkEnd w:id="116"/>
      <w:bookmarkEnd w:id="117"/>
      <w:bookmarkEnd w:id="118"/>
      <w:r>
        <w:rPr>
          <w:rFonts w:hint="eastAsia" w:ascii="宋体" w:hAnsi="宋体"/>
          <w:b/>
          <w:bCs/>
          <w:color w:val="000000" w:themeColor="text1"/>
          <w:sz w:val="28"/>
          <w:szCs w:val="28"/>
          <w14:textFill>
            <w14:solidFill>
              <w14:schemeClr w14:val="tx1"/>
            </w14:solidFill>
          </w14:textFill>
        </w:rPr>
        <w:t>及开标程序</w:t>
      </w:r>
    </w:p>
    <w:p>
      <w:pPr>
        <w:pStyle w:val="84"/>
        <w:numPr>
          <w:ilvl w:val="0"/>
          <w:numId w:val="24"/>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本项目为不见面开标项目。递交电子投标文件的投标人不足3家的，不予开标。</w:t>
      </w:r>
    </w:p>
    <w:p>
      <w:pPr>
        <w:pStyle w:val="84"/>
        <w:numPr>
          <w:ilvl w:val="0"/>
          <w:numId w:val="24"/>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开标准备工作。投标人需在开标当日、投标截止时间前登录“政府采购云平台”，通过“开标大厅”参与不见面开标。登录成都市公共资源交易服务中心门户网站（https://www.cdggzy.com/）—政府采购云平台—项目采购—开标评标—开标大厅（找到对应项目）。提示：投标人未按时登录不见面开标系统，错过开标解密时间的，由投标人自行承担不利后果。</w:t>
      </w:r>
    </w:p>
    <w:p>
      <w:pPr>
        <w:pStyle w:val="84"/>
        <w:numPr>
          <w:ilvl w:val="0"/>
          <w:numId w:val="24"/>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解密投标文件。等待区公资交易中心开启解密后，投标人进行线上解密。开启解密后，投标人应在60分钟内，使用加密该投标文件的CA数字证书在线完成投标文件的解密。除因区公资交易中心断电、断网、系统故障或其他不可抗力等因素，导致系统无法使用外，投标人在规定的解密时间内，未成功解密的投标文件将视为无效投标文件。</w:t>
      </w:r>
    </w:p>
    <w:p>
      <w:pPr>
        <w:pStyle w:val="84"/>
        <w:numPr>
          <w:ilvl w:val="0"/>
          <w:numId w:val="24"/>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确认开标记录。解密时间截止或者所有投标人投标文件均完成解密后（以发生在先的时间为准），由“政府采购云平台”系统展示投标人名称、投标文件解密情况、投标报价等唱标内容。如成功解密投标文件的投标人不足三家的，则只展示投标人名称、投标文件解密情况。投标人对开标记录（包含解密情况、投标报价、其他情况等）在规定时间内确认，如未确认，视为认同开标记录。</w:t>
      </w:r>
    </w:p>
    <w:p>
      <w:pPr>
        <w:pStyle w:val="84"/>
        <w:numPr>
          <w:ilvl w:val="0"/>
          <w:numId w:val="24"/>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投标人对开标过程和开标记录有疑义，以及认为采购人、区公资交易中心相关工作人员有需要回避的情形的，及时向工作人员提出询问或者回避申请。采购人、区公资交易中心对投标人提出的询问或者回避申请应当及时处理。</w:t>
      </w:r>
    </w:p>
    <w:p>
      <w:pPr>
        <w:pStyle w:val="84"/>
        <w:numPr>
          <w:ilvl w:val="0"/>
          <w:numId w:val="24"/>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投标人电脑终端等硬件设备和软件系统配置：投标人电脑终端等硬件设备和软件系统配置应符合电子投标（含不见面开标大厅）投标人电脑终端配置要求并运行正常，投标人承担因未尽职责产生的不利后果。</w:t>
      </w:r>
    </w:p>
    <w:p>
      <w:pPr>
        <w:pStyle w:val="84"/>
        <w:numPr>
          <w:ilvl w:val="0"/>
          <w:numId w:val="24"/>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因区公资交易中心断电、断网、系统故障或其他不可抗力等因素导致不见面开标系统无法正常运行的，开标活动中止或延迟，待系统恢复正常后继续进行开标活动。</w:t>
      </w:r>
    </w:p>
    <w:p>
      <w:pPr>
        <w:pStyle w:val="84"/>
        <w:numPr>
          <w:ilvl w:val="0"/>
          <w:numId w:val="24"/>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不见面开标过程中，各方主体均应遵守互联网有关规定，不得发表与交易活动无关的言论。</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资格审查</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详见招标文件第5章。</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评标</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详见招标文件第6章。</w:t>
      </w:r>
    </w:p>
    <w:p>
      <w:pPr>
        <w:pStyle w:val="5"/>
        <w:numPr>
          <w:ilvl w:val="2"/>
          <w:numId w:val="4"/>
        </w:numPr>
        <w:spacing w:after="200" w:line="240" w:lineRule="auto"/>
        <w:ind w:left="0" w:firstLine="0"/>
        <w:rPr>
          <w:color w:val="000000" w:themeColor="text1"/>
          <w14:textFill>
            <w14:solidFill>
              <w14:schemeClr w14:val="tx1"/>
            </w14:solidFill>
          </w14:textFill>
        </w:rPr>
      </w:pPr>
      <w:bookmarkStart w:id="119" w:name="_Toc183682375"/>
      <w:bookmarkStart w:id="120" w:name="_Toc183582238"/>
      <w:bookmarkStart w:id="121" w:name="_Toc217446063"/>
      <w:r>
        <w:rPr>
          <w:rFonts w:hint="eastAsia"/>
          <w:color w:val="000000" w:themeColor="text1"/>
          <w14:textFill>
            <w14:solidFill>
              <w14:schemeClr w14:val="tx1"/>
            </w14:solidFill>
          </w14:textFill>
        </w:rPr>
        <w:t>中标通知</w:t>
      </w:r>
      <w:bookmarkEnd w:id="119"/>
      <w:bookmarkEnd w:id="120"/>
      <w:r>
        <w:rPr>
          <w:rFonts w:hint="eastAsia"/>
          <w:color w:val="000000" w:themeColor="text1"/>
          <w14:textFill>
            <w14:solidFill>
              <w14:schemeClr w14:val="tx1"/>
            </w14:solidFill>
          </w14:textFill>
        </w:rPr>
        <w:t>书</w:t>
      </w:r>
      <w:bookmarkEnd w:id="121"/>
    </w:p>
    <w:p>
      <w:pPr>
        <w:widowControl/>
        <w:ind w:right="210" w:firstLine="560" w:firstLineChars="200"/>
        <w:jc w:val="left"/>
        <w:rPr>
          <w:rFonts w:ascii="宋体" w:hAnsi="宋体"/>
          <w:color w:val="000000" w:themeColor="text1"/>
          <w:sz w:val="28"/>
          <w:szCs w:val="28"/>
          <w14:textFill>
            <w14:solidFill>
              <w14:schemeClr w14:val="tx1"/>
            </w14:solidFill>
          </w14:textFill>
        </w:rPr>
      </w:pPr>
      <w:bookmarkStart w:id="122" w:name="_Toc217446064"/>
      <w:bookmarkStart w:id="123" w:name="_Toc183682377"/>
      <w:bookmarkStart w:id="124" w:name="_Toc183582240"/>
      <w:r>
        <w:rPr>
          <w:rFonts w:hint="eastAsia" w:ascii="宋体" w:hAnsi="宋体"/>
          <w:color w:val="000000" w:themeColor="text1"/>
          <w:sz w:val="28"/>
          <w:szCs w:val="28"/>
          <w14:textFill>
            <w14:solidFill>
              <w14:schemeClr w14:val="tx1"/>
            </w14:solidFill>
          </w14:textFill>
        </w:rPr>
        <w:t>一、中标通知书为采购人签订政府采购合同的依据，是合同的有效组成部分。如果出现政府采购法律法规、规章制度规定的中标无效情形的，将以公告形式宣布发出的中标通知书无效，中标通知书将自动失效，并依法重新确定中标人或者重新开展采购活动。</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二、中标通知书对采购人和中标人均具有法律效力。中标通知书发出后，采购人改变中标结果，或者中标人无正当理由放弃中标的，应当承担相应的法律责任。</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三、中标公告在四川政府采购网上公告后，中标供应商自行登录政府采购云平台下载中标通知书。</w:t>
      </w:r>
    </w:p>
    <w:p>
      <w:pPr>
        <w:pStyle w:val="4"/>
        <w:numPr>
          <w:ilvl w:val="1"/>
          <w:numId w:val="4"/>
        </w:numPr>
        <w:spacing w:before="0" w:after="0" w:line="240" w:lineRule="auto"/>
        <w:ind w:left="2269" w:hanging="2269"/>
        <w:rPr>
          <w:color w:val="000000" w:themeColor="text1"/>
          <w14:textFill>
            <w14:solidFill>
              <w14:schemeClr w14:val="tx1"/>
            </w14:solidFill>
          </w14:textFill>
        </w:rPr>
      </w:pPr>
      <w:bookmarkStart w:id="125" w:name="_Toc6010"/>
      <w:bookmarkStart w:id="126" w:name="_Toc18993"/>
      <w:bookmarkStart w:id="127" w:name="_Toc19973"/>
      <w:bookmarkStart w:id="128" w:name="_Toc12385"/>
      <w:bookmarkStart w:id="129" w:name="_Toc21543"/>
      <w:r>
        <w:rPr>
          <w:rFonts w:hint="eastAsia"/>
          <w:color w:val="000000" w:themeColor="text1"/>
          <w14:textFill>
            <w14:solidFill>
              <w14:schemeClr w14:val="tx1"/>
            </w14:solidFill>
          </w14:textFill>
        </w:rPr>
        <w:t>签订及履行合同</w:t>
      </w:r>
      <w:bookmarkEnd w:id="122"/>
      <w:r>
        <w:rPr>
          <w:rFonts w:hint="eastAsia"/>
          <w:color w:val="000000" w:themeColor="text1"/>
          <w14:textFill>
            <w14:solidFill>
              <w14:schemeClr w14:val="tx1"/>
            </w14:solidFill>
          </w14:textFill>
        </w:rPr>
        <w:t>和验收</w:t>
      </w:r>
      <w:bookmarkEnd w:id="125"/>
      <w:bookmarkEnd w:id="126"/>
      <w:bookmarkEnd w:id="127"/>
      <w:bookmarkEnd w:id="128"/>
      <w:bookmarkEnd w:id="129"/>
    </w:p>
    <w:p>
      <w:pPr>
        <w:pStyle w:val="5"/>
        <w:numPr>
          <w:ilvl w:val="2"/>
          <w:numId w:val="4"/>
        </w:numPr>
        <w:spacing w:after="200" w:line="240" w:lineRule="auto"/>
        <w:ind w:left="0" w:firstLine="0"/>
        <w:rPr>
          <w:color w:val="000000" w:themeColor="text1"/>
          <w14:textFill>
            <w14:solidFill>
              <w14:schemeClr w14:val="tx1"/>
            </w14:solidFill>
          </w14:textFill>
        </w:rPr>
      </w:pPr>
      <w:bookmarkStart w:id="130" w:name="_Toc217446065"/>
      <w:r>
        <w:rPr>
          <w:rFonts w:hint="eastAsia"/>
          <w:color w:val="000000" w:themeColor="text1"/>
          <w14:textFill>
            <w14:solidFill>
              <w14:schemeClr w14:val="tx1"/>
            </w14:solidFill>
          </w14:textFill>
        </w:rPr>
        <w:t>签订合同</w:t>
      </w:r>
      <w:bookmarkEnd w:id="130"/>
    </w:p>
    <w:p>
      <w:pPr>
        <w:numPr>
          <w:ilvl w:val="0"/>
          <w:numId w:val="25"/>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疫情防控期间，采购人原则上在中标通知书发出之日起5个工作日内与中标人签订采购合同。因中标人的原因在中标通知书发出之日起30日内未与采购人签订采购合同或者中标人拒绝与采购人签订合同的，采购人可以按照评审报告推荐的中标候选人名单排序，确定下一候选人为中标供应商，也可以重新开展政府采购活动。</w:t>
      </w:r>
    </w:p>
    <w:p>
      <w:pPr>
        <w:numPr>
          <w:ilvl w:val="0"/>
          <w:numId w:val="25"/>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采购人不得向中标人提出任何不合理的要求，作为签订合同的条件，不得与中标人私下订立背离合同实质性内容的任何协议，所签订的合同不得对招标文件和中标人投标文件作实质性修改。</w:t>
      </w:r>
    </w:p>
    <w:p>
      <w:pPr>
        <w:numPr>
          <w:ilvl w:val="0"/>
          <w:numId w:val="25"/>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招标文件、投标文件、中标通知书等一切与本项目评标结果有关且经责任主体确认的资料均为合同的有效组成部分。</w:t>
      </w:r>
    </w:p>
    <w:p>
      <w:pPr>
        <w:numPr>
          <w:ilvl w:val="0"/>
          <w:numId w:val="25"/>
        </w:numPr>
        <w:tabs>
          <w:tab w:val="left" w:pos="1134"/>
        </w:tabs>
        <w:spacing w:after="200"/>
        <w:ind w:left="0" w:firstLine="565" w:firstLineChars="202"/>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询问或者质疑事项可能影响中标、成交结果的，采购人应当暂停签订合同，已经签订合同的，应当中止履行合同。</w:t>
      </w:r>
    </w:p>
    <w:p>
      <w:pPr>
        <w:pStyle w:val="5"/>
        <w:numPr>
          <w:ilvl w:val="2"/>
          <w:numId w:val="4"/>
        </w:numPr>
        <w:spacing w:after="200" w:line="240" w:lineRule="auto"/>
        <w:ind w:left="0" w:firstLine="0"/>
        <w:rPr>
          <w:color w:val="000000" w:themeColor="text1"/>
          <w14:textFill>
            <w14:solidFill>
              <w14:schemeClr w14:val="tx1"/>
            </w14:solidFill>
          </w14:textFill>
        </w:rPr>
      </w:pPr>
      <w:bookmarkStart w:id="131" w:name="_Toc315871033"/>
      <w:bookmarkEnd w:id="131"/>
      <w:bookmarkStart w:id="132" w:name="_Toc217446066"/>
      <w:bookmarkStart w:id="133" w:name="_Toc217446069"/>
      <w:r>
        <w:rPr>
          <w:rFonts w:hint="eastAsia"/>
          <w:color w:val="000000" w:themeColor="text1"/>
          <w14:textFill>
            <w14:solidFill>
              <w14:schemeClr w14:val="tx1"/>
            </w14:solidFill>
          </w14:textFill>
        </w:rPr>
        <w:t>合同分包</w:t>
      </w:r>
      <w:bookmarkEnd w:id="132"/>
      <w:r>
        <w:rPr>
          <w:rFonts w:hint="eastAsia"/>
          <w:color w:val="000000" w:themeColor="text1"/>
          <w14:textFill>
            <w14:solidFill>
              <w14:schemeClr w14:val="tx1"/>
            </w14:solidFill>
          </w14:textFill>
        </w:rPr>
        <w:t>和转包</w:t>
      </w:r>
    </w:p>
    <w:p>
      <w:pPr>
        <w:pStyle w:val="5"/>
        <w:numPr>
          <w:ilvl w:val="3"/>
          <w:numId w:val="4"/>
        </w:numPr>
        <w:spacing w:after="200" w:line="240" w:lineRule="auto"/>
        <w:rPr>
          <w:color w:val="000000" w:themeColor="text1"/>
          <w14:textFill>
            <w14:solidFill>
              <w14:schemeClr w14:val="tx1"/>
            </w14:solidFill>
          </w14:textFill>
        </w:rPr>
      </w:pPr>
      <w:bookmarkStart w:id="134" w:name="_Toc217446067"/>
      <w:r>
        <w:rPr>
          <w:rFonts w:hint="eastAsia"/>
          <w:color w:val="000000" w:themeColor="text1"/>
          <w14:textFill>
            <w14:solidFill>
              <w14:schemeClr w14:val="tx1"/>
            </w14:solidFill>
          </w14:textFill>
        </w:rPr>
        <w:t>合同分包</w:t>
      </w:r>
    </w:p>
    <w:p>
      <w:pPr>
        <w:pStyle w:val="121"/>
        <w:spacing w:line="360" w:lineRule="auto"/>
        <w:ind w:firstLine="560" w:firstLineChars="200"/>
        <w:rPr>
          <w:rFonts w:cs="Times New Roman"/>
          <w:color w:val="000000" w:themeColor="text1"/>
          <w:sz w:val="28"/>
          <w:szCs w:val="28"/>
          <w:lang w:val="zh-CN"/>
          <w14:textFill>
            <w14:solidFill>
              <w14:schemeClr w14:val="tx1"/>
            </w14:solidFill>
          </w14:textFill>
        </w:rPr>
      </w:pPr>
      <w:r>
        <w:rPr>
          <w:rFonts w:hint="eastAsia" w:cs="Times New Roman"/>
          <w:color w:val="000000" w:themeColor="text1"/>
          <w:sz w:val="28"/>
          <w:szCs w:val="28"/>
          <w:lang w:val="zh-CN"/>
          <w14:textFill>
            <w14:solidFill>
              <w14:schemeClr w14:val="tx1"/>
            </w14:solidFill>
          </w14:textFill>
        </w:rPr>
        <w:sym w:font="Wingdings" w:char="F0FE"/>
      </w:r>
      <w:r>
        <w:rPr>
          <w:rFonts w:hint="eastAsia" w:cs="Times New Roman"/>
          <w:color w:val="000000" w:themeColor="text1"/>
          <w:sz w:val="28"/>
          <w:szCs w:val="28"/>
          <w:lang w:val="zh-CN"/>
          <w14:textFill>
            <w14:solidFill>
              <w14:schemeClr w14:val="tx1"/>
            </w14:solidFill>
          </w14:textFill>
        </w:rPr>
        <w:t xml:space="preserve"> 本</w:t>
      </w:r>
      <w:r>
        <w:rPr>
          <w:rFonts w:cs="Times New Roman"/>
          <w:color w:val="000000" w:themeColor="text1"/>
          <w:sz w:val="28"/>
          <w:szCs w:val="28"/>
          <w:lang w:val="zh-CN"/>
          <w14:textFill>
            <w14:solidFill>
              <w14:schemeClr w14:val="tx1"/>
            </w14:solidFill>
          </w14:textFill>
        </w:rPr>
        <w:t>项目不允许分包</w:t>
      </w:r>
      <w:r>
        <w:rPr>
          <w:rFonts w:hint="eastAsia" w:cs="Times New Roman"/>
          <w:color w:val="000000" w:themeColor="text1"/>
          <w:sz w:val="28"/>
          <w:szCs w:val="28"/>
          <w:lang w:val="zh-CN"/>
          <w14:textFill>
            <w14:solidFill>
              <w14:schemeClr w14:val="tx1"/>
            </w14:solidFill>
          </w14:textFill>
        </w:rPr>
        <w:t xml:space="preserve"> </w:t>
      </w:r>
    </w:p>
    <w:p>
      <w:pPr>
        <w:pStyle w:val="121"/>
        <w:spacing w:line="360" w:lineRule="auto"/>
        <w:ind w:firstLine="560" w:firstLineChars="200"/>
        <w:rPr>
          <w:rFonts w:cs="Times New Roman"/>
          <w:color w:val="000000" w:themeColor="text1"/>
          <w:sz w:val="28"/>
          <w:szCs w:val="28"/>
          <w:lang w:val="zh-CN"/>
          <w14:textFill>
            <w14:solidFill>
              <w14:schemeClr w14:val="tx1"/>
            </w14:solidFill>
          </w14:textFill>
        </w:rPr>
      </w:pPr>
      <w:r>
        <w:rPr>
          <w:rFonts w:hint="eastAsia" w:cs="Times New Roman"/>
          <w:color w:val="000000" w:themeColor="text1"/>
          <w:sz w:val="28"/>
          <w:szCs w:val="28"/>
          <w:lang w:val="zh-CN"/>
          <w14:textFill>
            <w14:solidFill>
              <w14:schemeClr w14:val="tx1"/>
            </w14:solidFill>
          </w14:textFill>
        </w:rPr>
        <w:t>□ 本</w:t>
      </w:r>
      <w:r>
        <w:rPr>
          <w:rFonts w:cs="Times New Roman"/>
          <w:color w:val="000000" w:themeColor="text1"/>
          <w:sz w:val="28"/>
          <w:szCs w:val="28"/>
          <w:lang w:val="zh-CN"/>
          <w14:textFill>
            <w14:solidFill>
              <w14:schemeClr w14:val="tx1"/>
            </w14:solidFill>
          </w14:textFill>
        </w:rPr>
        <w:t>项目允许分包</w:t>
      </w:r>
      <w:r>
        <w:rPr>
          <w:rFonts w:hint="eastAsia" w:cs="Times New Roman"/>
          <w:color w:val="000000" w:themeColor="text1"/>
          <w:sz w:val="28"/>
          <w:szCs w:val="28"/>
          <w:lang w:val="zh-CN"/>
          <w14:textFill>
            <w14:solidFill>
              <w14:schemeClr w14:val="tx1"/>
            </w14:solidFill>
          </w14:textFill>
        </w:rPr>
        <w:t>，</w:t>
      </w:r>
      <w:r>
        <w:rPr>
          <w:rFonts w:cs="Times New Roman"/>
          <w:color w:val="000000" w:themeColor="text1"/>
          <w:sz w:val="28"/>
          <w:szCs w:val="28"/>
          <w:lang w:val="zh-CN"/>
          <w14:textFill>
            <w14:solidFill>
              <w14:schemeClr w14:val="tx1"/>
            </w14:solidFill>
          </w14:textFill>
        </w:rPr>
        <w:t>具体要求如下：</w:t>
      </w:r>
    </w:p>
    <w:p>
      <w:pPr>
        <w:pStyle w:val="121"/>
        <w:spacing w:line="360" w:lineRule="auto"/>
        <w:ind w:firstLine="560" w:firstLineChars="200"/>
        <w:rPr>
          <w:rFonts w:cs="Times New Roman"/>
          <w:color w:val="000000" w:themeColor="text1"/>
          <w:sz w:val="28"/>
          <w:szCs w:val="28"/>
          <w:lang w:val="zh-CN"/>
          <w14:textFill>
            <w14:solidFill>
              <w14:schemeClr w14:val="tx1"/>
            </w14:solidFill>
          </w14:textFill>
        </w:rPr>
      </w:pPr>
      <w:r>
        <w:rPr>
          <w:rFonts w:hint="eastAsia" w:cs="Times New Roman"/>
          <w:color w:val="000000" w:themeColor="text1"/>
          <w:sz w:val="28"/>
          <w:szCs w:val="28"/>
          <w:lang w:val="zh-CN"/>
          <w14:textFill>
            <w14:solidFill>
              <w14:schemeClr w14:val="tx1"/>
            </w14:solidFill>
          </w14:textFill>
        </w:rPr>
        <w:t>一、本项目XX、XX，中标人可以依法采取分包方式履行合同。</w:t>
      </w:r>
    </w:p>
    <w:p>
      <w:pPr>
        <w:pStyle w:val="121"/>
        <w:spacing w:line="360" w:lineRule="auto"/>
        <w:ind w:firstLine="560" w:firstLineChars="200"/>
        <w:rPr>
          <w:rFonts w:cs="Times New Roman"/>
          <w:color w:val="000000" w:themeColor="text1"/>
          <w:sz w:val="28"/>
          <w:szCs w:val="28"/>
          <w:lang w:val="zh-CN"/>
          <w14:textFill>
            <w14:solidFill>
              <w14:schemeClr w14:val="tx1"/>
            </w14:solidFill>
          </w14:textFill>
        </w:rPr>
      </w:pPr>
      <w:r>
        <w:rPr>
          <w:rFonts w:hint="eastAsia" w:cs="Times New Roman"/>
          <w:color w:val="000000" w:themeColor="text1"/>
          <w:sz w:val="28"/>
          <w:szCs w:val="28"/>
          <w:lang w:val="zh-CN"/>
          <w14:textFill>
            <w14:solidFill>
              <w14:schemeClr w14:val="tx1"/>
            </w14:solidFill>
          </w14:textFill>
        </w:rPr>
        <w:t>二、分包履行合同的部分应当为采购项目的非主体、非关键性工作， 不属于中标供应商的主要合同义务。</w:t>
      </w:r>
    </w:p>
    <w:p>
      <w:pPr>
        <w:pStyle w:val="121"/>
        <w:spacing w:line="360" w:lineRule="auto"/>
        <w:ind w:firstLine="560" w:firstLineChars="200"/>
        <w:rPr>
          <w:rFonts w:cs="Times New Roman"/>
          <w:color w:val="000000" w:themeColor="text1"/>
          <w:sz w:val="28"/>
          <w:szCs w:val="28"/>
          <w:lang w:val="zh-CN"/>
          <w14:textFill>
            <w14:solidFill>
              <w14:schemeClr w14:val="tx1"/>
            </w14:solidFill>
          </w14:textFill>
        </w:rPr>
      </w:pPr>
      <w:r>
        <w:rPr>
          <w:rFonts w:hint="eastAsia" w:cs="Times New Roman"/>
          <w:color w:val="000000" w:themeColor="text1"/>
          <w:sz w:val="28"/>
          <w:szCs w:val="28"/>
          <w:lang w:val="zh-CN"/>
          <w14:textFill>
            <w14:solidFill>
              <w14:schemeClr w14:val="tx1"/>
            </w14:solidFill>
          </w14:textFill>
        </w:rPr>
        <w:t>三、采购合同实行分包履行的，中标供应商就采购项目和分包项目向采购人负责，分包供应商就分包项目承担责任。</w:t>
      </w:r>
    </w:p>
    <w:p>
      <w:pPr>
        <w:pStyle w:val="121"/>
        <w:spacing w:line="360" w:lineRule="auto"/>
        <w:ind w:firstLine="560" w:firstLineChars="200"/>
        <w:rPr>
          <w:rFonts w:cs="Times New Roman"/>
          <w:color w:val="000000" w:themeColor="text1"/>
          <w:sz w:val="28"/>
          <w:szCs w:val="28"/>
          <w:lang w:val="zh-CN"/>
          <w14:textFill>
            <w14:solidFill>
              <w14:schemeClr w14:val="tx1"/>
            </w14:solidFill>
          </w14:textFill>
        </w:rPr>
      </w:pPr>
      <w:r>
        <w:rPr>
          <w:rFonts w:hint="eastAsia" w:cs="Times New Roman"/>
          <w:color w:val="000000" w:themeColor="text1"/>
          <w:sz w:val="28"/>
          <w:szCs w:val="28"/>
          <w:lang w:val="zh-CN"/>
          <w14:textFill>
            <w14:solidFill>
              <w14:schemeClr w14:val="tx1"/>
            </w14:solidFill>
          </w14:textFill>
        </w:rPr>
        <w:t>四、中小企业依据《政府采购促进中小企业发展管理办法》（财库</w:t>
      </w:r>
      <w:r>
        <w:rPr>
          <w:rFonts w:cs="Times New Roman"/>
          <w:color w:val="000000" w:themeColor="text1"/>
          <w:sz w:val="28"/>
          <w:szCs w:val="28"/>
          <w:lang w:val="zh-CN"/>
          <w14:textFill>
            <w14:solidFill>
              <w14:schemeClr w14:val="tx1"/>
            </w14:solidFill>
          </w14:textFill>
        </w:rPr>
        <w:t xml:space="preserve">[2020]46 </w:t>
      </w:r>
      <w:r>
        <w:rPr>
          <w:rFonts w:hint="eastAsia" w:cs="Times New Roman"/>
          <w:color w:val="000000" w:themeColor="text1"/>
          <w:sz w:val="28"/>
          <w:szCs w:val="28"/>
          <w:lang w:val="zh-CN"/>
          <w14:textFill>
            <w14:solidFill>
              <w14:schemeClr w14:val="tx1"/>
            </w14:solidFill>
          </w14:textFill>
        </w:rPr>
        <w:t>号）规定享受扶持政策获得政府采购合同的，小微企业、监狱企业、残疾人福利性单位，不得将合同分包给大中型企业，中型企业不得将合同分包给大型企业。</w:t>
      </w:r>
    </w:p>
    <w:p>
      <w:pPr>
        <w:pStyle w:val="5"/>
        <w:numPr>
          <w:ilvl w:val="3"/>
          <w:numId w:val="4"/>
        </w:numPr>
        <w:spacing w:after="200"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t>合同转包</w:t>
      </w:r>
    </w:p>
    <w:p>
      <w:pPr>
        <w:ind w:firstLine="560" w:firstLineChars="200"/>
        <w:rPr>
          <w:rFonts w:ascii="宋体" w:hAnsi="宋体" w:cs="宋体"/>
          <w:color w:val="000000" w:themeColor="text1"/>
          <w:kern w:val="0"/>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一、严禁中标供应商将本项目转包。本项目所称转包，是指</w:t>
      </w:r>
      <w:r>
        <w:rPr>
          <w:rFonts w:hint="eastAsia" w:ascii="宋体" w:hAnsi="宋体" w:cs="宋体"/>
          <w:color w:val="000000" w:themeColor="text1"/>
          <w:kern w:val="0"/>
          <w:sz w:val="28"/>
          <w:szCs w:val="28"/>
          <w14:textFill>
            <w14:solidFill>
              <w14:schemeClr w14:val="tx1"/>
            </w14:solidFill>
          </w14:textFill>
        </w:rPr>
        <w:t xml:space="preserve">将本项目转给他人或者将本项目全部肢解以后以分包的名义分别转给他人的行为。 </w:t>
      </w:r>
    </w:p>
    <w:p>
      <w:pPr>
        <w:ind w:firstLine="49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二、中标供应商转包的，视同拒绝履行政府采购合同，将依法追究法律责任。</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采购人增加合同标的的权</w:t>
      </w:r>
      <w:bookmarkEnd w:id="134"/>
      <w:r>
        <w:rPr>
          <w:rFonts w:hint="eastAsia"/>
          <w:color w:val="000000" w:themeColor="text1"/>
          <w14:textFill>
            <w14:solidFill>
              <w14:schemeClr w14:val="tx1"/>
            </w14:solidFill>
          </w14:textFill>
        </w:rPr>
        <w:t>利</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采购合同履行过程中，采购人需要追加与合同标的相同的货物或者服务的，在不改变合同其他条款的前提下，可以与中标人协商签订补充合同，但所有补充合同的采购金额不得超过原合同采购金额的百分之十。</w:t>
      </w:r>
    </w:p>
    <w:p>
      <w:pPr>
        <w:pStyle w:val="5"/>
        <w:numPr>
          <w:ilvl w:val="2"/>
          <w:numId w:val="4"/>
        </w:numPr>
        <w:spacing w:after="200" w:line="240" w:lineRule="auto"/>
        <w:ind w:left="0" w:firstLine="0"/>
        <w:rPr>
          <w:color w:val="000000" w:themeColor="text1"/>
          <w14:textFill>
            <w14:solidFill>
              <w14:schemeClr w14:val="tx1"/>
            </w14:solidFill>
          </w14:textFill>
        </w:rPr>
      </w:pPr>
      <w:bookmarkStart w:id="135" w:name="_Toc217446068"/>
      <w:r>
        <w:rPr>
          <w:rFonts w:hint="eastAsia"/>
          <w:color w:val="000000" w:themeColor="text1"/>
          <w14:textFill>
            <w14:solidFill>
              <w14:schemeClr w14:val="tx1"/>
            </w14:solidFill>
          </w14:textFill>
        </w:rPr>
        <w:t>履约保证金</w:t>
      </w:r>
      <w:bookmarkEnd w:id="135"/>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本项目不</w:t>
      </w:r>
      <w:r>
        <w:rPr>
          <w:rFonts w:ascii="宋体" w:hAnsi="宋体"/>
          <w:color w:val="000000" w:themeColor="text1"/>
          <w:sz w:val="28"/>
          <w:szCs w:val="28"/>
          <w14:textFill>
            <w14:solidFill>
              <w14:schemeClr w14:val="tx1"/>
            </w14:solidFill>
          </w14:textFill>
        </w:rPr>
        <w:t>收取履约保证金</w:t>
      </w:r>
      <w:r>
        <w:rPr>
          <w:rFonts w:hint="eastAsia" w:ascii="宋体" w:hAnsi="宋体"/>
          <w:color w:val="000000" w:themeColor="text1"/>
          <w:sz w:val="28"/>
          <w:szCs w:val="28"/>
          <w14:textFill>
            <w14:solidFill>
              <w14:schemeClr w14:val="tx1"/>
            </w14:solidFill>
          </w14:textFill>
        </w:rPr>
        <w:t>。</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合同公告</w:t>
      </w:r>
    </w:p>
    <w:p>
      <w:pPr>
        <w:pStyle w:val="16"/>
        <w:spacing w:line="24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采购人应当自政府采购合同签订之日起2个工作日内，在四川政府采购网公告，但政府采购合同中涉及国家秘密、商业秘密的内容除外。</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合同备案</w:t>
      </w:r>
    </w:p>
    <w:p>
      <w:pPr>
        <w:tabs>
          <w:tab w:val="left" w:pos="1134"/>
        </w:tabs>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疫情防控期间，采购人原则上在5个工作日内与供应商签订政府采购合同及按成都市新津区财政和金融局的要求完成合同备案工作。</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履行合同</w:t>
      </w:r>
      <w:bookmarkEnd w:id="133"/>
    </w:p>
    <w:p>
      <w:pPr>
        <w:numPr>
          <w:ilvl w:val="0"/>
          <w:numId w:val="26"/>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合同一经签订，双方应严格履行合同规定的义务。</w:t>
      </w:r>
    </w:p>
    <w:p>
      <w:pPr>
        <w:numPr>
          <w:ilvl w:val="0"/>
          <w:numId w:val="26"/>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在合同履行过程中，如发生合同纠纷，合同双方应按照《中华人民共和国民法典》及合同条款的有关规定进行处理。</w:t>
      </w:r>
    </w:p>
    <w:p>
      <w:pPr>
        <w:pStyle w:val="5"/>
        <w:numPr>
          <w:ilvl w:val="2"/>
          <w:numId w:val="4"/>
        </w:numPr>
        <w:spacing w:after="200" w:line="240" w:lineRule="auto"/>
        <w:ind w:left="0" w:firstLine="0"/>
        <w:rPr>
          <w:color w:val="000000" w:themeColor="text1"/>
          <w14:textFill>
            <w14:solidFill>
              <w14:schemeClr w14:val="tx1"/>
            </w14:solidFill>
          </w14:textFill>
        </w:rPr>
      </w:pPr>
      <w:bookmarkStart w:id="136" w:name="_Toc217446070"/>
      <w:r>
        <w:rPr>
          <w:rFonts w:hint="eastAsia"/>
          <w:color w:val="000000" w:themeColor="text1"/>
          <w14:textFill>
            <w14:solidFill>
              <w14:schemeClr w14:val="tx1"/>
            </w14:solidFill>
          </w14:textFill>
        </w:rPr>
        <w:t>验收或考核</w:t>
      </w:r>
    </w:p>
    <w:p>
      <w:pPr>
        <w:pStyle w:val="16"/>
        <w:spacing w:after="0" w:line="240" w:lineRule="auto"/>
        <w:ind w:firstLine="560" w:firstLineChars="200"/>
        <w:rPr>
          <w:rFonts w:ascii="宋体" w:hAnsi="宋体"/>
          <w:b/>
          <w:color w:val="000000" w:themeColor="text1"/>
          <w14:textFill>
            <w14:solidFill>
              <w14:schemeClr w14:val="tx1"/>
            </w14:solidFill>
          </w14:textFill>
        </w:rPr>
      </w:pPr>
      <w:bookmarkStart w:id="137" w:name="_Toc217446071"/>
      <w:r>
        <w:rPr>
          <w:rFonts w:hint="eastAsia" w:ascii="宋体" w:hAnsi="宋体"/>
          <w:color w:val="000000" w:themeColor="text1"/>
          <w:sz w:val="28"/>
          <w:szCs w:val="28"/>
          <w14:textFill>
            <w14:solidFill>
              <w14:schemeClr w14:val="tx1"/>
            </w14:solidFill>
          </w14:textFill>
        </w:rPr>
        <w:t>采购人严格按照国家相关法律法规的要求组织验收或考核。</w:t>
      </w:r>
      <w:bookmarkEnd w:id="137"/>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资金支付</w:t>
      </w:r>
    </w:p>
    <w:p>
      <w:pPr>
        <w:pStyle w:val="41"/>
        <w:shd w:val="clear" w:color="auto" w:fill="FFFFFF"/>
        <w:spacing w:before="0" w:beforeAutospacing="0" w:after="0" w:afterAutospacing="0"/>
        <w:ind w:firstLine="57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采购人按财政部门的相关规定及采购合同的约定进行支付。</w:t>
      </w:r>
    </w:p>
    <w:bookmarkEnd w:id="123"/>
    <w:bookmarkEnd w:id="124"/>
    <w:bookmarkEnd w:id="136"/>
    <w:p>
      <w:pPr>
        <w:pStyle w:val="4"/>
        <w:numPr>
          <w:ilvl w:val="1"/>
          <w:numId w:val="4"/>
        </w:numPr>
        <w:spacing w:before="0" w:after="0" w:line="240" w:lineRule="auto"/>
        <w:ind w:left="2269" w:hanging="2269"/>
        <w:rPr>
          <w:color w:val="000000" w:themeColor="text1"/>
          <w14:textFill>
            <w14:solidFill>
              <w14:schemeClr w14:val="tx1"/>
            </w14:solidFill>
          </w14:textFill>
        </w:rPr>
      </w:pPr>
      <w:bookmarkStart w:id="138" w:name="_Toc30945"/>
      <w:bookmarkStart w:id="139" w:name="_Toc6102"/>
      <w:bookmarkStart w:id="140" w:name="_Toc12434"/>
      <w:bookmarkStart w:id="141" w:name="_Toc13859"/>
      <w:bookmarkStart w:id="142" w:name="_Toc217446074"/>
      <w:bookmarkStart w:id="143" w:name="_Toc20271"/>
      <w:bookmarkStart w:id="144" w:name="_Toc183682380"/>
      <w:bookmarkStart w:id="145" w:name="_Toc183582243"/>
      <w:r>
        <w:rPr>
          <w:rFonts w:hint="eastAsia"/>
          <w:color w:val="000000" w:themeColor="text1"/>
          <w14:textFill>
            <w14:solidFill>
              <w14:schemeClr w14:val="tx1"/>
            </w14:solidFill>
          </w14:textFill>
        </w:rPr>
        <w:t>投标纪律要求</w:t>
      </w:r>
      <w:bookmarkEnd w:id="138"/>
      <w:bookmarkEnd w:id="139"/>
      <w:bookmarkEnd w:id="140"/>
      <w:bookmarkEnd w:id="141"/>
      <w:bookmarkEnd w:id="142"/>
      <w:bookmarkEnd w:id="143"/>
    </w:p>
    <w:p>
      <w:pPr>
        <w:pStyle w:val="5"/>
        <w:numPr>
          <w:ilvl w:val="2"/>
          <w:numId w:val="4"/>
        </w:numPr>
        <w:spacing w:after="200" w:line="240" w:lineRule="auto"/>
        <w:ind w:left="0" w:firstLine="0"/>
        <w:rPr>
          <w:color w:val="000000" w:themeColor="text1"/>
          <w14:textFill>
            <w14:solidFill>
              <w14:schemeClr w14:val="tx1"/>
            </w14:solidFill>
          </w14:textFill>
        </w:rPr>
      </w:pPr>
      <w:bookmarkStart w:id="146" w:name="_Toc217446075"/>
      <w:r>
        <w:rPr>
          <w:rFonts w:hint="eastAsia"/>
          <w:color w:val="000000" w:themeColor="text1"/>
          <w14:textFill>
            <w14:solidFill>
              <w14:schemeClr w14:val="tx1"/>
            </w14:solidFill>
          </w14:textFill>
        </w:rPr>
        <w:t>投标人不得具有的情形</w:t>
      </w:r>
      <w:bookmarkEnd w:id="146"/>
    </w:p>
    <w:p>
      <w:pPr>
        <w:pStyle w:val="16"/>
        <w:spacing w:line="240" w:lineRule="auto"/>
        <w:ind w:firstLine="567"/>
        <w:rPr>
          <w:rFonts w:ascii="宋体" w:hAnsi="宋体"/>
          <w:color w:val="000000" w:themeColor="text1"/>
          <w:sz w:val="28"/>
          <w:szCs w:val="28"/>
          <w14:textFill>
            <w14:solidFill>
              <w14:schemeClr w14:val="tx1"/>
            </w14:solidFill>
          </w14:textFill>
        </w:rPr>
      </w:pPr>
      <w:bookmarkStart w:id="147" w:name="_Toc314574786"/>
      <w:r>
        <w:rPr>
          <w:rFonts w:hint="eastAsia" w:ascii="宋体" w:hAnsi="宋体"/>
          <w:color w:val="000000" w:themeColor="text1"/>
          <w:sz w:val="28"/>
          <w:szCs w:val="28"/>
          <w14:textFill>
            <w14:solidFill>
              <w14:schemeClr w14:val="tx1"/>
            </w14:solidFill>
          </w14:textFill>
        </w:rPr>
        <w:t>投标人参加投标不得有下列情形：</w:t>
      </w:r>
    </w:p>
    <w:p>
      <w:pPr>
        <w:numPr>
          <w:ilvl w:val="1"/>
          <w:numId w:val="27"/>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有下列情形之一的，视为投标人串通投标：</w:t>
      </w:r>
    </w:p>
    <w:p>
      <w:pPr>
        <w:tabs>
          <w:tab w:val="left" w:pos="1134"/>
        </w:tabs>
        <w:ind w:left="42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（一）不同投标人的投标文件由同一单位或者个人编制；</w:t>
      </w:r>
    </w:p>
    <w:p>
      <w:pPr>
        <w:tabs>
          <w:tab w:val="left" w:pos="1134"/>
        </w:tabs>
        <w:ind w:left="42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（二）不同投标人委托同一单位或者个人办理投标事宜；</w:t>
      </w:r>
    </w:p>
    <w:p>
      <w:pPr>
        <w:tabs>
          <w:tab w:val="left" w:pos="1134"/>
        </w:tabs>
        <w:ind w:firstLine="425" w:firstLineChars="15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（三）不同投标人的投标文件载明的项目管理成员或者联系人员为同一人；</w:t>
      </w:r>
    </w:p>
    <w:p>
      <w:pPr>
        <w:tabs>
          <w:tab w:val="left" w:pos="1134"/>
        </w:tabs>
        <w:ind w:firstLine="420" w:firstLineChars="15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（四）不同投标人的投标文件异常一致或者投标报价呈规律性差异；</w:t>
      </w:r>
    </w:p>
    <w:p>
      <w:pPr>
        <w:tabs>
          <w:tab w:val="left" w:pos="1134"/>
        </w:tabs>
        <w:ind w:firstLine="420" w:firstLineChars="15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（五）不同投标人的投标文件相互混装；</w:t>
      </w:r>
    </w:p>
    <w:p>
      <w:pPr>
        <w:tabs>
          <w:tab w:val="left" w:pos="1134"/>
        </w:tabs>
        <w:ind w:left="42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（六）不同投标人的投标保证金从同一单位或者个人的账户转出；</w:t>
      </w:r>
    </w:p>
    <w:p>
      <w:pPr>
        <w:numPr>
          <w:ilvl w:val="1"/>
          <w:numId w:val="27"/>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提供虚假材料谋取中标；</w:t>
      </w:r>
    </w:p>
    <w:p>
      <w:pPr>
        <w:numPr>
          <w:ilvl w:val="1"/>
          <w:numId w:val="27"/>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采取不正当手段诋毁、排挤其他投标人；</w:t>
      </w:r>
    </w:p>
    <w:p>
      <w:pPr>
        <w:numPr>
          <w:ilvl w:val="1"/>
          <w:numId w:val="27"/>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与采购人或</w:t>
      </w:r>
      <w:r>
        <w:rPr>
          <w:rFonts w:hint="eastAsia" w:cs="Arial"/>
          <w:color w:val="000000" w:themeColor="text1"/>
          <w:sz w:val="28"/>
          <w:szCs w:val="28"/>
          <w14:textFill>
            <w14:solidFill>
              <w14:schemeClr w14:val="tx1"/>
            </w14:solidFill>
          </w14:textFill>
        </w:rPr>
        <w:t>区公资交易中心</w:t>
      </w:r>
      <w:r>
        <w:rPr>
          <w:rFonts w:hint="eastAsia" w:ascii="宋体" w:hAnsi="宋体"/>
          <w:color w:val="000000" w:themeColor="text1"/>
          <w:sz w:val="28"/>
          <w:szCs w:val="28"/>
          <w14:textFill>
            <w14:solidFill>
              <w14:schemeClr w14:val="tx1"/>
            </w14:solidFill>
          </w14:textFill>
        </w:rPr>
        <w:t>、其他投标人恶意串通；</w:t>
      </w:r>
    </w:p>
    <w:p>
      <w:pPr>
        <w:numPr>
          <w:ilvl w:val="1"/>
          <w:numId w:val="27"/>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向采购人或</w:t>
      </w:r>
      <w:r>
        <w:rPr>
          <w:rFonts w:hint="eastAsia" w:cs="Arial"/>
          <w:color w:val="000000" w:themeColor="text1"/>
          <w:sz w:val="28"/>
          <w:szCs w:val="28"/>
          <w14:textFill>
            <w14:solidFill>
              <w14:schemeClr w14:val="tx1"/>
            </w14:solidFill>
          </w14:textFill>
        </w:rPr>
        <w:t>区公资交易中心</w:t>
      </w:r>
      <w:r>
        <w:rPr>
          <w:rFonts w:hint="eastAsia" w:ascii="宋体" w:hAnsi="宋体"/>
          <w:color w:val="000000" w:themeColor="text1"/>
          <w:sz w:val="28"/>
          <w:szCs w:val="28"/>
          <w14:textFill>
            <w14:solidFill>
              <w14:schemeClr w14:val="tx1"/>
            </w14:solidFill>
          </w14:textFill>
        </w:rPr>
        <w:t>、评标委员会成员行贿或者提供其他不正当利益；</w:t>
      </w:r>
    </w:p>
    <w:p>
      <w:pPr>
        <w:numPr>
          <w:ilvl w:val="1"/>
          <w:numId w:val="27"/>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在招标过程中与采购人或</w:t>
      </w:r>
      <w:r>
        <w:rPr>
          <w:rFonts w:hint="eastAsia" w:cs="Arial"/>
          <w:color w:val="000000" w:themeColor="text1"/>
          <w:sz w:val="28"/>
          <w:szCs w:val="28"/>
          <w14:textFill>
            <w14:solidFill>
              <w14:schemeClr w14:val="tx1"/>
            </w14:solidFill>
          </w14:textFill>
        </w:rPr>
        <w:t>区公资交易中心</w:t>
      </w:r>
      <w:r>
        <w:rPr>
          <w:rFonts w:hint="eastAsia" w:ascii="宋体" w:hAnsi="宋体"/>
          <w:color w:val="000000" w:themeColor="text1"/>
          <w:sz w:val="28"/>
          <w:szCs w:val="28"/>
          <w14:textFill>
            <w14:solidFill>
              <w14:schemeClr w14:val="tx1"/>
            </w14:solidFill>
          </w14:textFill>
        </w:rPr>
        <w:t>进行协商谈判；</w:t>
      </w:r>
    </w:p>
    <w:p>
      <w:pPr>
        <w:numPr>
          <w:ilvl w:val="1"/>
          <w:numId w:val="27"/>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中标后无正当理由拒不与采购人签订政府采购合同；</w:t>
      </w:r>
    </w:p>
    <w:p>
      <w:pPr>
        <w:numPr>
          <w:ilvl w:val="1"/>
          <w:numId w:val="27"/>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未按照采购文件确定的事项签订政府采购合同；</w:t>
      </w:r>
    </w:p>
    <w:p>
      <w:pPr>
        <w:numPr>
          <w:ilvl w:val="1"/>
          <w:numId w:val="27"/>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将政府采购合同转包或者违规分包；</w:t>
      </w:r>
    </w:p>
    <w:p>
      <w:pPr>
        <w:numPr>
          <w:ilvl w:val="1"/>
          <w:numId w:val="27"/>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提供假冒伪劣产品；</w:t>
      </w:r>
    </w:p>
    <w:p>
      <w:pPr>
        <w:numPr>
          <w:ilvl w:val="1"/>
          <w:numId w:val="27"/>
        </w:numPr>
        <w:tabs>
          <w:tab w:val="left" w:pos="1134"/>
          <w:tab w:val="left" w:pos="1418"/>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擅自变更、中止或者终止政府采购合同；</w:t>
      </w:r>
    </w:p>
    <w:p>
      <w:pPr>
        <w:tabs>
          <w:tab w:val="left" w:pos="1134"/>
        </w:tabs>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十二、被列入失信被执行人、重大税收违法案件当事人名单、政府采购严重违法失信行为记录名单。参加政府采购活动前三年内，在经营活动中有重大违法记录；</w:t>
      </w:r>
    </w:p>
    <w:p>
      <w:pPr>
        <w:tabs>
          <w:tab w:val="left" w:pos="1134"/>
        </w:tabs>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十三、在行贿犯罪信息查询期限内，根据中国裁判文书网（https://wenshu.court.gov.cn）查询结果供应商及其现任法定代表人、主要负责人有行贿犯罪记录；</w:t>
      </w:r>
    </w:p>
    <w:p>
      <w:pPr>
        <w:tabs>
          <w:tab w:val="left" w:pos="1134"/>
        </w:tabs>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十四、处于被行政部门禁止参与政府采购活动的期限内；</w:t>
      </w:r>
    </w:p>
    <w:p>
      <w:pPr>
        <w:tabs>
          <w:tab w:val="left" w:pos="1134"/>
        </w:tabs>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十五、拒绝有关部门的监督检查或者向监督检查部门提供虚假情况；</w:t>
      </w:r>
    </w:p>
    <w:p>
      <w:pPr>
        <w:pStyle w:val="16"/>
        <w:spacing w:line="24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十六、法律法规规定的其他情形。</w:t>
      </w:r>
    </w:p>
    <w:p>
      <w:pPr>
        <w:tabs>
          <w:tab w:val="left" w:pos="1134"/>
        </w:tabs>
        <w:ind w:firstLine="568" w:firstLineChars="202"/>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投标人有上述情形的，按照规定追究法律责任，具备一至十四条情形之一的，同时将认定投标人投标无效或不确定其为中标人，或者取消中标资格或认定中标无效。</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保密</w:t>
      </w:r>
      <w:bookmarkEnd w:id="147"/>
    </w:p>
    <w:p>
      <w:pPr>
        <w:pStyle w:val="16"/>
        <w:numPr>
          <w:ilvl w:val="0"/>
          <w:numId w:val="28"/>
        </w:numPr>
        <w:tabs>
          <w:tab w:val="left" w:pos="1134"/>
        </w:tabs>
        <w:spacing w:after="0" w:line="24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不得透露有关在系统中成功提交《采购文件获取登记表》的潜在投标人的任何情况。</w:t>
      </w:r>
    </w:p>
    <w:p>
      <w:pPr>
        <w:pStyle w:val="16"/>
        <w:numPr>
          <w:ilvl w:val="0"/>
          <w:numId w:val="28"/>
        </w:numPr>
        <w:tabs>
          <w:tab w:val="left" w:pos="1134"/>
        </w:tabs>
        <w:spacing w:after="0" w:line="24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有关投标文件的审查、澄清、评估和比较以及合同授予意向等情况都不得对外透露。</w:t>
      </w: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回避</w:t>
      </w:r>
    </w:p>
    <w:p>
      <w:pPr>
        <w:pStyle w:val="41"/>
        <w:shd w:val="clear" w:color="auto" w:fill="FFFFFF"/>
        <w:spacing w:before="0" w:beforeAutospacing="0" w:after="0" w:afterAutospacing="0"/>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在政府采购活动中，采购人员（如</w:t>
      </w:r>
      <w:r>
        <w:rPr>
          <w:rFonts w:hint="eastAsia"/>
          <w:color w:val="000000" w:themeColor="text1"/>
          <w:sz w:val="28"/>
          <w:szCs w:val="28"/>
          <w14:textFill>
            <w14:solidFill>
              <w14:schemeClr w14:val="tx1"/>
            </w14:solidFill>
          </w14:textFill>
        </w:rPr>
        <w:t>采购人内部负责采购项目的具体经办工作人员或直接分管采购项目的负责人、</w:t>
      </w:r>
      <w:r>
        <w:rPr>
          <w:rFonts w:hint="eastAsia" w:cs="Arial"/>
          <w:color w:val="000000" w:themeColor="text1"/>
          <w:sz w:val="28"/>
          <w:szCs w:val="28"/>
          <w14:textFill>
            <w14:solidFill>
              <w14:schemeClr w14:val="tx1"/>
            </w14:solidFill>
          </w14:textFill>
        </w:rPr>
        <w:t>区公资交易中心</w:t>
      </w:r>
      <w:r>
        <w:rPr>
          <w:rFonts w:hint="eastAsia"/>
          <w:color w:val="000000" w:themeColor="text1"/>
          <w:sz w:val="28"/>
          <w:szCs w:val="28"/>
          <w14:textFill>
            <w14:solidFill>
              <w14:schemeClr w14:val="tx1"/>
            </w14:solidFill>
          </w14:textFill>
        </w:rPr>
        <w:t>负责采购项目的具体经办工作人员或直接分管采购活动的负责人等</w:t>
      </w:r>
      <w:r>
        <w:rPr>
          <w:rFonts w:hint="eastAsia" w:cs="Helvetica"/>
          <w:color w:val="000000" w:themeColor="text1"/>
          <w:sz w:val="28"/>
          <w:szCs w:val="28"/>
          <w14:textFill>
            <w14:solidFill>
              <w14:schemeClr w14:val="tx1"/>
            </w14:solidFill>
          </w14:textFill>
        </w:rPr>
        <w:t>）及相关人员与供应商有下列利害关系之一的，应当回避：</w:t>
      </w:r>
    </w:p>
    <w:p>
      <w:pPr>
        <w:pStyle w:val="41"/>
        <w:shd w:val="clear" w:color="auto" w:fill="FFFFFF"/>
        <w:spacing w:before="0" w:beforeAutospacing="0" w:after="0" w:afterAutospacing="0"/>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（一）参加采购活动前3年内与供应商存在劳动关系；</w:t>
      </w:r>
    </w:p>
    <w:p>
      <w:pPr>
        <w:pStyle w:val="41"/>
        <w:shd w:val="clear" w:color="auto" w:fill="FFFFFF"/>
        <w:spacing w:before="0" w:beforeAutospacing="0" w:after="0" w:afterAutospacing="0"/>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（二）参加采购活动前3年内担任供应商的董事、监事；</w:t>
      </w:r>
    </w:p>
    <w:p>
      <w:pPr>
        <w:pStyle w:val="41"/>
        <w:shd w:val="clear" w:color="auto" w:fill="FFFFFF"/>
        <w:spacing w:before="0" w:beforeAutospacing="0" w:after="0" w:afterAutospacing="0"/>
        <w:ind w:firstLine="562" w:firstLineChars="201"/>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（三）参加采购活动前3年内是供应商的控股股东或者实际控制人；</w:t>
      </w:r>
    </w:p>
    <w:p>
      <w:pPr>
        <w:pStyle w:val="41"/>
        <w:shd w:val="clear" w:color="auto" w:fill="FFFFFF"/>
        <w:spacing w:before="0" w:beforeAutospacing="0" w:after="0" w:afterAutospacing="0"/>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（四）与供应商的法定代表人或者负责人有夫妻、直系血亲、三代以内旁系血亲或者近姻亲关系；</w:t>
      </w:r>
    </w:p>
    <w:p>
      <w:pPr>
        <w:pStyle w:val="41"/>
        <w:shd w:val="clear" w:color="auto" w:fill="FFFFFF"/>
        <w:spacing w:before="0" w:beforeAutospacing="0" w:after="0" w:afterAutospacing="0"/>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（五）与供应商有其他可能影响政府采购活动公平、公正进行的关系。</w:t>
      </w:r>
    </w:p>
    <w:p>
      <w:pPr>
        <w:pStyle w:val="41"/>
        <w:shd w:val="clear" w:color="auto" w:fill="FFFFFF"/>
        <w:spacing w:before="0" w:beforeAutospacing="0" w:after="0" w:afterAutospacing="0"/>
        <w:ind w:firstLine="560" w:firstLineChars="200"/>
        <w:rPr>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bookmarkEnd w:id="144"/>
    <w:bookmarkEnd w:id="145"/>
    <w:p>
      <w:pPr>
        <w:pStyle w:val="4"/>
        <w:numPr>
          <w:ilvl w:val="1"/>
          <w:numId w:val="4"/>
        </w:numPr>
        <w:spacing w:before="0" w:after="0" w:line="240" w:lineRule="auto"/>
        <w:ind w:left="993" w:hanging="993"/>
        <w:rPr>
          <w:color w:val="000000" w:themeColor="text1"/>
          <w14:textFill>
            <w14:solidFill>
              <w14:schemeClr w14:val="tx1"/>
            </w14:solidFill>
          </w14:textFill>
        </w:rPr>
      </w:pPr>
      <w:bookmarkStart w:id="148" w:name="_Toc446402234"/>
      <w:bookmarkStart w:id="149" w:name="_Toc217446078"/>
      <w:bookmarkStart w:id="150" w:name="_Toc8315"/>
      <w:bookmarkStart w:id="151" w:name="_Toc21164"/>
      <w:bookmarkStart w:id="152" w:name="_Toc15833"/>
      <w:bookmarkStart w:id="153" w:name="_Toc26656"/>
      <w:bookmarkStart w:id="154" w:name="_Toc28811"/>
      <w:bookmarkStart w:id="155" w:name="_Toc374971122"/>
      <w:bookmarkStart w:id="156" w:name="_Toc379536619"/>
      <w:r>
        <w:rPr>
          <w:rFonts w:hint="eastAsia"/>
          <w:color w:val="000000" w:themeColor="text1"/>
          <w14:textFill>
            <w14:solidFill>
              <w14:schemeClr w14:val="tx1"/>
            </w14:solidFill>
          </w14:textFill>
        </w:rPr>
        <w:t>询问、质疑和投诉</w:t>
      </w:r>
      <w:bookmarkEnd w:id="148"/>
      <w:bookmarkEnd w:id="149"/>
      <w:bookmarkEnd w:id="150"/>
      <w:bookmarkEnd w:id="151"/>
      <w:bookmarkEnd w:id="152"/>
      <w:bookmarkEnd w:id="153"/>
      <w:bookmarkEnd w:id="154"/>
      <w:bookmarkStart w:id="157" w:name="_Toc217446079"/>
    </w:p>
    <w:p>
      <w:pPr>
        <w:numPr>
          <w:ilvl w:val="0"/>
          <w:numId w:val="29"/>
        </w:numPr>
        <w:spacing w:line="500" w:lineRule="exact"/>
        <w:ind w:left="0" w:firstLine="567"/>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询问、质疑、投诉的接收和处理严格按照《中华人民共和国政府采购法》、《中华人民共和国政府采购法实施条例》《</w:t>
      </w:r>
      <w:r>
        <w:rPr>
          <w:rFonts w:hint="eastAsia"/>
          <w:color w:val="000000" w:themeColor="text1"/>
          <w:sz w:val="28"/>
          <w:szCs w:val="28"/>
          <w:lang w:eastAsia="zh-CN"/>
          <w14:textFill>
            <w14:solidFill>
              <w14:schemeClr w14:val="tx1"/>
            </w14:solidFill>
          </w14:textFill>
        </w:rPr>
        <w:t>政府采购</w:t>
      </w:r>
      <w:r>
        <w:rPr>
          <w:rFonts w:hint="eastAsia"/>
          <w:color w:val="000000" w:themeColor="text1"/>
          <w:sz w:val="28"/>
          <w:szCs w:val="28"/>
          <w14:textFill>
            <w14:solidFill>
              <w14:schemeClr w14:val="tx1"/>
            </w14:solidFill>
          </w14:textFill>
        </w:rPr>
        <w:t>货物和服务招</w:t>
      </w:r>
      <w:r>
        <w:rPr>
          <w:rFonts w:hint="eastAsia"/>
          <w:color w:val="000000" w:themeColor="text1"/>
          <w:sz w:val="28"/>
          <w:szCs w:val="28"/>
          <w:lang w:eastAsia="zh-CN"/>
          <w14:textFill>
            <w14:solidFill>
              <w14:schemeClr w14:val="tx1"/>
            </w14:solidFill>
          </w14:textFill>
        </w:rPr>
        <w:t>标</w:t>
      </w:r>
      <w:r>
        <w:rPr>
          <w:rFonts w:hint="eastAsia"/>
          <w:color w:val="000000" w:themeColor="text1"/>
          <w:sz w:val="28"/>
          <w:szCs w:val="28"/>
          <w14:textFill>
            <w14:solidFill>
              <w14:schemeClr w14:val="tx1"/>
            </w14:solidFill>
          </w14:textFill>
        </w:rPr>
        <w:t>投标管理办法》（财政部第</w:t>
      </w:r>
      <w:r>
        <w:rPr>
          <w:color w:val="000000" w:themeColor="text1"/>
          <w:sz w:val="28"/>
          <w:szCs w:val="28"/>
          <w14:textFill>
            <w14:solidFill>
              <w14:schemeClr w14:val="tx1"/>
            </w14:solidFill>
          </w14:textFill>
        </w:rPr>
        <w:t>87</w:t>
      </w:r>
      <w:r>
        <w:rPr>
          <w:rFonts w:hint="eastAsia"/>
          <w:color w:val="000000" w:themeColor="text1"/>
          <w:sz w:val="28"/>
          <w:szCs w:val="28"/>
          <w14:textFill>
            <w14:solidFill>
              <w14:schemeClr w14:val="tx1"/>
            </w14:solidFill>
          </w14:textFill>
        </w:rPr>
        <w:t>号令）和《政府采购质疑和投诉办法》（财政部</w:t>
      </w:r>
      <w:r>
        <w:rPr>
          <w:color w:val="000000" w:themeColor="text1"/>
          <w:sz w:val="28"/>
          <w:szCs w:val="28"/>
          <w14:textFill>
            <w14:solidFill>
              <w14:schemeClr w14:val="tx1"/>
            </w14:solidFill>
          </w14:textFill>
        </w:rPr>
        <w:t>94</w:t>
      </w:r>
      <w:r>
        <w:rPr>
          <w:rFonts w:hint="eastAsia"/>
          <w:color w:val="000000" w:themeColor="text1"/>
          <w:sz w:val="28"/>
          <w:szCs w:val="28"/>
          <w14:textFill>
            <w14:solidFill>
              <w14:schemeClr w14:val="tx1"/>
            </w14:solidFill>
          </w14:textFill>
        </w:rPr>
        <w:t>号令）的规定办理。</w:t>
      </w:r>
    </w:p>
    <w:p>
      <w:pPr>
        <w:numPr>
          <w:ilvl w:val="0"/>
          <w:numId w:val="29"/>
        </w:numPr>
        <w:spacing w:line="500" w:lineRule="exact"/>
        <w:ind w:left="0" w:firstLine="567"/>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供应商</w:t>
      </w:r>
      <w:r>
        <w:rPr>
          <w:rFonts w:hint="eastAsia" w:ascii="宋体" w:hAnsi="宋体"/>
          <w:color w:val="000000" w:themeColor="text1"/>
          <w:sz w:val="28"/>
          <w:szCs w:val="28"/>
          <w14:textFill>
            <w14:solidFill>
              <w14:schemeClr w14:val="tx1"/>
            </w14:solidFill>
          </w14:textFill>
        </w:rPr>
        <w:t>询问、质疑的对象</w:t>
      </w:r>
    </w:p>
    <w:p>
      <w:pPr>
        <w:numPr>
          <w:ilvl w:val="1"/>
          <w:numId w:val="30"/>
        </w:numPr>
        <w:tabs>
          <w:tab w:val="left" w:pos="0"/>
          <w:tab w:val="left" w:pos="1276"/>
        </w:tabs>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供应商</w:t>
      </w:r>
      <w:r>
        <w:rPr>
          <w:rFonts w:hint="eastAsia" w:ascii="宋体" w:hAnsi="宋体"/>
          <w:color w:val="000000" w:themeColor="text1"/>
          <w:sz w:val="28"/>
          <w:szCs w:val="28"/>
          <w14:textFill>
            <w14:solidFill>
              <w14:schemeClr w14:val="tx1"/>
            </w14:solidFill>
          </w14:textFill>
        </w:rPr>
        <w:t>对招标文件中</w:t>
      </w:r>
      <w:r>
        <w:rPr>
          <w:rFonts w:hint="eastAsia"/>
          <w:color w:val="000000" w:themeColor="text1"/>
          <w:sz w:val="28"/>
          <w:szCs w:val="28"/>
          <w14:textFill>
            <w14:solidFill>
              <w14:schemeClr w14:val="tx1"/>
            </w14:solidFill>
          </w14:textFill>
        </w:rPr>
        <w:t>供应商</w:t>
      </w:r>
      <w:r>
        <w:rPr>
          <w:rFonts w:hint="eastAsia" w:ascii="宋体" w:hAnsi="宋体"/>
          <w:color w:val="000000" w:themeColor="text1"/>
          <w:sz w:val="28"/>
          <w:szCs w:val="28"/>
          <w14:textFill>
            <w14:solidFill>
              <w14:schemeClr w14:val="tx1"/>
            </w14:solidFill>
          </w14:textFill>
        </w:rPr>
        <w:t>参加本次政府采购活动应当具备的条件，招标项目技术、服务、商务及其他要求，评标细则及标准，和中标结果中关于资格审查提出询问或质疑的，应通过</w:t>
      </w:r>
      <w:r>
        <w:rPr>
          <w:rFonts w:hint="eastAsia"/>
          <w:color w:val="000000" w:themeColor="text1"/>
          <w:sz w:val="28"/>
          <w:szCs w:val="28"/>
          <w14:textFill>
            <w14:solidFill>
              <w14:schemeClr w14:val="tx1"/>
            </w14:solidFill>
          </w14:textFill>
        </w:rPr>
        <w:t>“政府采购云平台”</w:t>
      </w:r>
      <w:r>
        <w:rPr>
          <w:rFonts w:hint="eastAsia" w:ascii="宋体" w:hAnsi="宋体"/>
          <w:color w:val="000000" w:themeColor="text1"/>
          <w:sz w:val="28"/>
          <w:szCs w:val="28"/>
          <w14:textFill>
            <w14:solidFill>
              <w14:schemeClr w14:val="tx1"/>
            </w14:solidFill>
          </w14:textFill>
        </w:rPr>
        <w:t>向采购人提出；</w:t>
      </w:r>
    </w:p>
    <w:p>
      <w:pPr>
        <w:numPr>
          <w:ilvl w:val="1"/>
          <w:numId w:val="30"/>
        </w:numPr>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供应商对除上述招标文件中的其他内容，采购过程及中标结果（除资格审查）提出询问或质疑的，应通过“政府采购云平台”向区公资交易中心提出</w:t>
      </w:r>
      <w:r>
        <w:rPr>
          <w:rFonts w:hint="eastAsia" w:ascii="宋体" w:hAnsi="宋体"/>
          <w:color w:val="000000" w:themeColor="text1"/>
          <w:sz w:val="28"/>
          <w:szCs w:val="28"/>
          <w14:textFill>
            <w14:solidFill>
              <w14:schemeClr w14:val="tx1"/>
            </w14:solidFill>
          </w14:textFill>
        </w:rPr>
        <w:t>。</w:t>
      </w:r>
    </w:p>
    <w:p>
      <w:pPr>
        <w:numPr>
          <w:ilvl w:val="0"/>
          <w:numId w:val="29"/>
        </w:numPr>
        <w:tabs>
          <w:tab w:val="left" w:pos="1134"/>
        </w:tabs>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供应商提出的询问，应当明确询问事项，如以书面形式提出的，应由供应商签字并加盖公章。</w:t>
      </w:r>
    </w:p>
    <w:p>
      <w:pPr>
        <w:numPr>
          <w:ilvl w:val="0"/>
          <w:numId w:val="29"/>
        </w:numPr>
        <w:tabs>
          <w:tab w:val="left" w:pos="1134"/>
        </w:tabs>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供应商应在法定质疑期内一次性提出针对同一采购程序环节的质疑。</w:t>
      </w:r>
    </w:p>
    <w:p>
      <w:pPr>
        <w:numPr>
          <w:ilvl w:val="0"/>
          <w:numId w:val="29"/>
        </w:numPr>
        <w:tabs>
          <w:tab w:val="left" w:pos="1134"/>
        </w:tabs>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供应商提出质疑时应当准备的资料</w:t>
      </w:r>
    </w:p>
    <w:p>
      <w:pPr>
        <w:pStyle w:val="41"/>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（一）质疑书正本1份；</w:t>
      </w:r>
    </w:p>
    <w:p>
      <w:pPr>
        <w:pStyle w:val="41"/>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（二）法定代表人授权委托书1份（委托代理人办理质疑事宜的需提供）；</w:t>
      </w:r>
    </w:p>
    <w:p>
      <w:pPr>
        <w:pStyle w:val="41"/>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（三）营业执照或法人证书复印件1份（加盖公章）；</w:t>
      </w:r>
    </w:p>
    <w:p>
      <w:pPr>
        <w:pStyle w:val="41"/>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（四）法定代表人身份证复印件1份；</w:t>
      </w:r>
    </w:p>
    <w:p>
      <w:pPr>
        <w:pStyle w:val="41"/>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（五）委托代理人身份证复印件1份（委托代理人办理质疑事宜的需提供）；</w:t>
      </w:r>
    </w:p>
    <w:p>
      <w:pPr>
        <w:pStyle w:val="41"/>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（六）针对质疑事项必要的证明材料。</w:t>
      </w:r>
    </w:p>
    <w:p>
      <w:pPr>
        <w:numPr>
          <w:ilvl w:val="0"/>
          <w:numId w:val="29"/>
        </w:numPr>
        <w:tabs>
          <w:tab w:val="left" w:pos="1134"/>
        </w:tabs>
        <w:spacing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供应商对采购人</w:t>
      </w:r>
      <w:r>
        <w:rPr>
          <w:rFonts w:ascii="宋体" w:hAnsi="宋体"/>
          <w:color w:val="000000" w:themeColor="text1"/>
          <w:sz w:val="28"/>
          <w:szCs w:val="28"/>
          <w14:textFill>
            <w14:solidFill>
              <w14:schemeClr w14:val="tx1"/>
            </w14:solidFill>
          </w14:textFill>
        </w:rPr>
        <w:t>或</w:t>
      </w:r>
      <w:r>
        <w:rPr>
          <w:rFonts w:hint="eastAsia" w:ascii="宋体" w:hAnsi="宋体"/>
          <w:color w:val="000000" w:themeColor="text1"/>
          <w:sz w:val="28"/>
          <w:szCs w:val="28"/>
          <w14:textFill>
            <w14:solidFill>
              <w14:schemeClr w14:val="tx1"/>
            </w14:solidFill>
          </w14:textFill>
        </w:rPr>
        <w:t>区公资交易中心的质疑答复不满意，或者采购人</w:t>
      </w:r>
      <w:r>
        <w:rPr>
          <w:rFonts w:ascii="宋体" w:hAnsi="宋体"/>
          <w:color w:val="000000" w:themeColor="text1"/>
          <w:sz w:val="28"/>
          <w:szCs w:val="28"/>
          <w14:textFill>
            <w14:solidFill>
              <w14:schemeClr w14:val="tx1"/>
            </w14:solidFill>
          </w14:textFill>
        </w:rPr>
        <w:t>或</w:t>
      </w:r>
      <w:r>
        <w:rPr>
          <w:rFonts w:hint="eastAsia" w:ascii="宋体" w:hAnsi="宋体"/>
          <w:color w:val="000000" w:themeColor="text1"/>
          <w:sz w:val="28"/>
          <w:szCs w:val="28"/>
          <w14:textFill>
            <w14:solidFill>
              <w14:schemeClr w14:val="tx1"/>
            </w14:solidFill>
          </w14:textFill>
        </w:rPr>
        <w:t>区公资交易中心未在规定期限内作出答复的，供应商可以在答复期满后15个工作日内向同级财政部门提起投诉。</w:t>
      </w:r>
    </w:p>
    <w:bookmarkEnd w:id="157"/>
    <w:p>
      <w:pPr>
        <w:pStyle w:val="4"/>
        <w:numPr>
          <w:ilvl w:val="1"/>
          <w:numId w:val="4"/>
        </w:numPr>
        <w:spacing w:before="0" w:after="0" w:line="240" w:lineRule="auto"/>
        <w:ind w:left="2269" w:hanging="2269"/>
        <w:rPr>
          <w:color w:val="000000" w:themeColor="text1"/>
          <w:sz w:val="36"/>
          <w:szCs w:val="36"/>
          <w14:textFill>
            <w14:solidFill>
              <w14:schemeClr w14:val="tx1"/>
            </w14:solidFill>
          </w14:textFill>
        </w:rPr>
      </w:pPr>
      <w:bookmarkStart w:id="158" w:name="_Toc1212"/>
      <w:bookmarkStart w:id="159" w:name="_Toc10245"/>
      <w:bookmarkStart w:id="160" w:name="_Toc8941"/>
      <w:bookmarkStart w:id="161" w:name="_Toc11597"/>
      <w:bookmarkStart w:id="162" w:name="_Toc14158"/>
      <w:r>
        <w:rPr>
          <w:rFonts w:hint="eastAsia"/>
          <w:color w:val="000000" w:themeColor="text1"/>
          <w14:textFill>
            <w14:solidFill>
              <w14:schemeClr w14:val="tx1"/>
            </w14:solidFill>
          </w14:textFill>
        </w:rPr>
        <w:t>中小企业政府采购信用融资</w:t>
      </w:r>
      <w:bookmarkEnd w:id="155"/>
      <w:bookmarkEnd w:id="156"/>
      <w:bookmarkEnd w:id="158"/>
      <w:bookmarkEnd w:id="159"/>
      <w:bookmarkEnd w:id="160"/>
      <w:bookmarkEnd w:id="161"/>
      <w:bookmarkEnd w:id="162"/>
    </w:p>
    <w:p>
      <w:pPr>
        <w:numPr>
          <w:ilvl w:val="2"/>
          <w:numId w:val="31"/>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参与本次招标活动中标的中小企业投标人无需提供财产抵押或第三方担保，凭借政府采购合同可向融资机构申请融资。</w:t>
      </w:r>
    </w:p>
    <w:p>
      <w:pPr>
        <w:numPr>
          <w:ilvl w:val="2"/>
          <w:numId w:val="31"/>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成都市财政局中国人民银行成都分行营业管理部关于印发〈成都市中小企业政府采购信用融资暂行办法〉和〈成都市级支持中小企业政府采购信用融资实施方案〉的通知》（成财采〔2019〕17号）和《成都市财政局关于增补“蓉采贷”政策合作银行及做好相关工作的通知》（成财采发〔2020〕20号）</w:t>
      </w:r>
      <w:r>
        <w:rPr>
          <w:rFonts w:hint="eastAsia" w:ascii="宋体" w:hAnsi="宋体"/>
          <w:color w:val="000000" w:themeColor="text1"/>
          <w:sz w:val="28"/>
          <w:szCs w:val="28"/>
          <w:lang w:val="zh-CN"/>
          <w14:textFill>
            <w14:solidFill>
              <w14:schemeClr w14:val="tx1"/>
            </w14:solidFill>
          </w14:textFill>
        </w:rPr>
        <w:t>和《新津县支持中小企业政府采购信用融资实施方案（试行）》（新财政〔2019〕21号）等</w:t>
      </w:r>
      <w:r>
        <w:rPr>
          <w:rFonts w:hint="eastAsia" w:ascii="宋体" w:hAnsi="宋体"/>
          <w:color w:val="000000" w:themeColor="text1"/>
          <w:sz w:val="28"/>
          <w:szCs w:val="28"/>
          <w14:textFill>
            <w14:solidFill>
              <w14:schemeClr w14:val="tx1"/>
            </w14:solidFill>
          </w14:textFill>
        </w:rPr>
        <w:t>。</w:t>
      </w:r>
    </w:p>
    <w:p>
      <w:pPr>
        <w:tabs>
          <w:tab w:val="left" w:pos="1134"/>
        </w:tabs>
        <w:spacing w:after="200"/>
        <w:ind w:left="567"/>
        <w:rPr>
          <w:rFonts w:ascii="宋体" w:hAnsi="宋体"/>
          <w:color w:val="000000" w:themeColor="text1"/>
          <w:sz w:val="28"/>
          <w:szCs w:val="28"/>
          <w14:textFill>
            <w14:solidFill>
              <w14:schemeClr w14:val="tx1"/>
            </w14:solidFill>
          </w14:textFill>
        </w:rPr>
      </w:pPr>
    </w:p>
    <w:p>
      <w:pPr>
        <w:tabs>
          <w:tab w:val="left" w:pos="1134"/>
        </w:tabs>
        <w:spacing w:after="200"/>
        <w:ind w:left="567"/>
        <w:rPr>
          <w:rFonts w:ascii="宋体" w:hAnsi="宋体"/>
          <w:color w:val="000000" w:themeColor="text1"/>
          <w:sz w:val="28"/>
          <w:szCs w:val="28"/>
          <w14:textFill>
            <w14:solidFill>
              <w14:schemeClr w14:val="tx1"/>
            </w14:solidFill>
          </w14:textFill>
        </w:rPr>
      </w:pPr>
    </w:p>
    <w:p>
      <w:pPr>
        <w:tabs>
          <w:tab w:val="left" w:pos="1134"/>
        </w:tabs>
        <w:spacing w:after="200"/>
        <w:ind w:left="567"/>
        <w:rPr>
          <w:rFonts w:ascii="宋体" w:hAnsi="宋体"/>
          <w:color w:val="000000" w:themeColor="text1"/>
          <w:sz w:val="28"/>
          <w:szCs w:val="28"/>
          <w14:textFill>
            <w14:solidFill>
              <w14:schemeClr w14:val="tx1"/>
            </w14:solidFill>
          </w14:textFill>
        </w:rPr>
      </w:pPr>
    </w:p>
    <w:p>
      <w:pPr>
        <w:tabs>
          <w:tab w:val="left" w:pos="1134"/>
        </w:tabs>
        <w:spacing w:after="200"/>
        <w:ind w:left="567"/>
        <w:rPr>
          <w:rFonts w:ascii="宋体" w:hAnsi="宋体"/>
          <w:color w:val="000000" w:themeColor="text1"/>
          <w:sz w:val="28"/>
          <w:szCs w:val="28"/>
          <w14:textFill>
            <w14:solidFill>
              <w14:schemeClr w14:val="tx1"/>
            </w14:solidFill>
          </w14:textFill>
        </w:rPr>
      </w:pPr>
    </w:p>
    <w:p>
      <w:pPr>
        <w:tabs>
          <w:tab w:val="left" w:pos="1134"/>
        </w:tabs>
        <w:spacing w:after="200"/>
        <w:ind w:left="567"/>
        <w:rPr>
          <w:rFonts w:ascii="宋体" w:hAnsi="宋体"/>
          <w:color w:val="000000" w:themeColor="text1"/>
          <w:sz w:val="28"/>
          <w:szCs w:val="28"/>
          <w14:textFill>
            <w14:solidFill>
              <w14:schemeClr w14:val="tx1"/>
            </w14:solidFill>
          </w14:textFill>
        </w:rPr>
      </w:pPr>
    </w:p>
    <w:p>
      <w:pPr>
        <w:pStyle w:val="3"/>
        <w:numPr>
          <w:ilvl w:val="0"/>
          <w:numId w:val="4"/>
        </w:numPr>
        <w:spacing w:line="240" w:lineRule="auto"/>
        <w:rPr>
          <w:color w:val="000000" w:themeColor="text1"/>
          <w14:textFill>
            <w14:solidFill>
              <w14:schemeClr w14:val="tx1"/>
            </w14:solidFill>
          </w14:textFill>
        </w:rPr>
      </w:pPr>
      <w:bookmarkStart w:id="163" w:name="_Toc316292048"/>
      <w:bookmarkEnd w:id="163"/>
      <w:bookmarkStart w:id="164" w:name="_Toc316292049"/>
      <w:bookmarkEnd w:id="164"/>
      <w:bookmarkStart w:id="165" w:name="_Toc315871049"/>
      <w:bookmarkEnd w:id="165"/>
      <w:bookmarkStart w:id="166" w:name="_Toc315871046"/>
      <w:bookmarkEnd w:id="166"/>
      <w:bookmarkStart w:id="167" w:name="_Toc316292052"/>
      <w:bookmarkEnd w:id="167"/>
      <w:bookmarkStart w:id="168" w:name="_Toc316292051"/>
      <w:bookmarkEnd w:id="168"/>
      <w:bookmarkStart w:id="169" w:name="_Toc315871047"/>
      <w:bookmarkEnd w:id="169"/>
      <w:bookmarkStart w:id="170" w:name="_Toc315871048"/>
      <w:bookmarkEnd w:id="170"/>
      <w:bookmarkStart w:id="171" w:name="_Toc316292050"/>
      <w:bookmarkEnd w:id="171"/>
      <w:bookmarkStart w:id="172" w:name="_Toc315871050"/>
      <w:bookmarkEnd w:id="172"/>
      <w:bookmarkStart w:id="173" w:name="_Toc315871045"/>
      <w:bookmarkEnd w:id="173"/>
      <w:bookmarkStart w:id="174" w:name="_Toc29131"/>
      <w:bookmarkStart w:id="175" w:name="_Toc8836"/>
      <w:bookmarkStart w:id="176" w:name="_Toc17383"/>
      <w:bookmarkStart w:id="177" w:name="_Toc7565"/>
      <w:bookmarkStart w:id="178" w:name="_Toc31726"/>
      <w:r>
        <w:rPr>
          <w:rFonts w:hint="eastAsia"/>
          <w:color w:val="000000" w:themeColor="text1"/>
          <w14:textFill>
            <w14:solidFill>
              <w14:schemeClr w14:val="tx1"/>
            </w14:solidFill>
          </w14:textFill>
        </w:rPr>
        <w:t>投标文件格式</w:t>
      </w:r>
      <w:bookmarkEnd w:id="174"/>
      <w:bookmarkEnd w:id="175"/>
      <w:bookmarkEnd w:id="176"/>
      <w:bookmarkEnd w:id="177"/>
      <w:bookmarkEnd w:id="178"/>
    </w:p>
    <w:p>
      <w:pPr>
        <w:pStyle w:val="4"/>
        <w:numPr>
          <w:ilvl w:val="1"/>
          <w:numId w:val="4"/>
        </w:numPr>
        <w:spacing w:line="240" w:lineRule="auto"/>
        <w:ind w:left="2269" w:hanging="2269"/>
        <w:rPr>
          <w:color w:val="000000" w:themeColor="text1"/>
          <w14:textFill>
            <w14:solidFill>
              <w14:schemeClr w14:val="tx1"/>
            </w14:solidFill>
          </w14:textFill>
        </w:rPr>
      </w:pPr>
      <w:bookmarkStart w:id="179" w:name="_Toc294688711"/>
      <w:bookmarkStart w:id="180" w:name="_Toc287367101"/>
      <w:bookmarkStart w:id="181" w:name="_Toc182759327"/>
      <w:bookmarkStart w:id="182" w:name="_Toc294701519"/>
      <w:bookmarkStart w:id="183" w:name="_Toc23011"/>
      <w:bookmarkStart w:id="184" w:name="_Toc316462354"/>
      <w:bookmarkStart w:id="185" w:name="_Toc211218954"/>
      <w:bookmarkStart w:id="186" w:name="_Toc182629023"/>
      <w:bookmarkStart w:id="187" w:name="_Toc2879"/>
      <w:bookmarkStart w:id="188" w:name="_Toc187"/>
      <w:bookmarkStart w:id="189" w:name="_Toc295978802"/>
      <w:bookmarkStart w:id="190" w:name="_Toc15035"/>
      <w:bookmarkStart w:id="191" w:name="_Toc22274"/>
      <w:r>
        <w:rPr>
          <w:rFonts w:hint="eastAsia"/>
          <w:color w:val="000000" w:themeColor="text1"/>
          <w14:textFill>
            <w14:solidFill>
              <w14:schemeClr w14:val="tx1"/>
            </w14:solidFill>
          </w14:textFill>
        </w:rPr>
        <w:t>投标文件封面格式</w:t>
      </w:r>
      <w:bookmarkEnd w:id="179"/>
      <w:bookmarkEnd w:id="180"/>
      <w:bookmarkEnd w:id="181"/>
      <w:bookmarkEnd w:id="182"/>
      <w:bookmarkEnd w:id="183"/>
      <w:bookmarkEnd w:id="184"/>
      <w:bookmarkEnd w:id="185"/>
      <w:bookmarkEnd w:id="186"/>
      <w:bookmarkEnd w:id="187"/>
      <w:bookmarkEnd w:id="188"/>
      <w:bookmarkEnd w:id="189"/>
      <w:bookmarkEnd w:id="190"/>
      <w:bookmarkEnd w:id="191"/>
    </w:p>
    <w:p>
      <w:pPr>
        <w:rPr>
          <w:rFonts w:ascii="宋体" w:hAnsi="宋体"/>
          <w:bCs/>
          <w:color w:val="000000" w:themeColor="text1"/>
          <w:szCs w:val="21"/>
          <w14:textFill>
            <w14:solidFill>
              <w14:schemeClr w14:val="tx1"/>
            </w14:solidFill>
          </w14:textFill>
        </w:rPr>
      </w:pPr>
    </w:p>
    <w:p>
      <w:pPr>
        <w:rPr>
          <w:rFonts w:ascii="宋体" w:hAnsi="宋体"/>
          <w:bCs/>
          <w:color w:val="000000" w:themeColor="text1"/>
          <w:szCs w:val="21"/>
          <w14:textFill>
            <w14:solidFill>
              <w14:schemeClr w14:val="tx1"/>
            </w14:solidFill>
          </w14:textFill>
        </w:rPr>
      </w:pPr>
    </w:p>
    <w:p>
      <w:pPr>
        <w:rPr>
          <w:rFonts w:ascii="宋体" w:hAnsi="宋体"/>
          <w:bCs/>
          <w:color w:val="000000" w:themeColor="text1"/>
          <w:szCs w:val="21"/>
          <w14:textFill>
            <w14:solidFill>
              <w14:schemeClr w14:val="tx1"/>
            </w14:solidFill>
          </w14:textFill>
        </w:rPr>
      </w:pPr>
    </w:p>
    <w:p>
      <w:pPr>
        <w:jc w:val="right"/>
        <w:rPr>
          <w:rFonts w:ascii="宋体" w:hAnsi="宋体"/>
          <w:color w:val="000000" w:themeColor="text1"/>
          <w:sz w:val="24"/>
          <w14:textFill>
            <w14:solidFill>
              <w14:schemeClr w14:val="tx1"/>
            </w14:solidFill>
          </w14:textFill>
        </w:rPr>
      </w:pPr>
    </w:p>
    <w:p>
      <w:pPr>
        <w:jc w:val="center"/>
        <w:rPr>
          <w:rFonts w:ascii="宋体" w:hAnsi="宋体"/>
          <w:color w:val="000000" w:themeColor="text1"/>
          <w:spacing w:val="78"/>
          <w:sz w:val="120"/>
          <w:szCs w:val="120"/>
          <w14:textFill>
            <w14:solidFill>
              <w14:schemeClr w14:val="tx1"/>
            </w14:solidFill>
          </w14:textFill>
        </w:rPr>
      </w:pPr>
      <w:r>
        <w:rPr>
          <w:rFonts w:hint="eastAsia" w:ascii="宋体" w:hAnsi="宋体"/>
          <w:color w:val="000000" w:themeColor="text1"/>
          <w:spacing w:val="78"/>
          <w:sz w:val="120"/>
          <w:szCs w:val="120"/>
          <w14:textFill>
            <w14:solidFill>
              <w14:schemeClr w14:val="tx1"/>
            </w14:solidFill>
          </w14:textFill>
        </w:rPr>
        <w:t>投标文件</w:t>
      </w:r>
    </w:p>
    <w:p>
      <w:pPr>
        <w:rPr>
          <w:rFonts w:ascii="宋体" w:hAnsi="宋体"/>
          <w:bCs/>
          <w:color w:val="000000" w:themeColor="text1"/>
          <w:sz w:val="36"/>
          <w14:textFill>
            <w14:solidFill>
              <w14:schemeClr w14:val="tx1"/>
            </w14:solidFill>
          </w14:textFill>
        </w:rPr>
      </w:pPr>
    </w:p>
    <w:p>
      <w:pPr>
        <w:tabs>
          <w:tab w:val="left" w:pos="665"/>
          <w:tab w:val="left" w:pos="3241"/>
          <w:tab w:val="left" w:pos="3525"/>
          <w:tab w:val="left" w:pos="3994"/>
          <w:tab w:val="left" w:pos="4234"/>
        </w:tabs>
        <w:ind w:left="2125" w:leftChars="270" w:hanging="1558" w:hangingChars="485"/>
        <w:jc w:val="left"/>
        <w:rPr>
          <w:rFonts w:ascii="宋体" w:hAnsi="宋体"/>
          <w:b/>
          <w:bCs/>
          <w:color w:val="000000" w:themeColor="text1"/>
          <w:sz w:val="32"/>
          <w:szCs w:val="32"/>
          <w14:textFill>
            <w14:solidFill>
              <w14:schemeClr w14:val="tx1"/>
            </w14:solidFill>
          </w14:textFill>
        </w:rPr>
      </w:pPr>
      <w:r>
        <w:rPr>
          <w:rFonts w:hint="eastAsia" w:ascii="宋体" w:hAnsi="宋体"/>
          <w:b/>
          <w:bCs/>
          <w:color w:val="000000" w:themeColor="text1"/>
          <w:sz w:val="32"/>
          <w:szCs w:val="32"/>
          <w14:textFill>
            <w14:solidFill>
              <w14:schemeClr w14:val="tx1"/>
            </w14:solidFill>
          </w14:textFill>
        </w:rPr>
        <w:t>项目名称：成都市新津区人民医院中央运输、保洁服务外包项目</w:t>
      </w:r>
    </w:p>
    <w:p>
      <w:pPr>
        <w:tabs>
          <w:tab w:val="left" w:pos="665"/>
        </w:tabs>
        <w:ind w:firstLine="565" w:firstLineChars="176"/>
        <w:rPr>
          <w:rFonts w:hint="eastAsia" w:ascii="宋体" w:hAnsi="宋体" w:eastAsia="宋体"/>
          <w:b/>
          <w:bCs/>
          <w:color w:val="000000" w:themeColor="text1"/>
          <w:sz w:val="32"/>
          <w:szCs w:val="32"/>
          <w:lang w:eastAsia="zh-CN"/>
          <w14:textFill>
            <w14:solidFill>
              <w14:schemeClr w14:val="tx1"/>
            </w14:solidFill>
          </w14:textFill>
        </w:rPr>
      </w:pPr>
      <w:r>
        <w:rPr>
          <w:rFonts w:hint="eastAsia" w:ascii="宋体" w:hAnsi="宋体"/>
          <w:b/>
          <w:bCs/>
          <w:color w:val="000000" w:themeColor="text1"/>
          <w:sz w:val="32"/>
          <w:szCs w:val="32"/>
          <w14:textFill>
            <w14:solidFill>
              <w14:schemeClr w14:val="tx1"/>
            </w14:solidFill>
          </w14:textFill>
        </w:rPr>
        <w:t>项目编号：</w:t>
      </w:r>
      <w:r>
        <w:rPr>
          <w:rFonts w:hint="eastAsia" w:ascii="宋体" w:hAnsi="宋体"/>
          <w:b/>
          <w:bCs/>
          <w:color w:val="000000" w:themeColor="text1"/>
          <w:sz w:val="32"/>
          <w:szCs w:val="32"/>
          <w:lang w:eastAsia="zh-CN"/>
          <w14:textFill>
            <w14:solidFill>
              <w14:schemeClr w14:val="tx1"/>
            </w14:solidFill>
          </w14:textFill>
        </w:rPr>
        <w:t>新津政采（2021）A0001号</w:t>
      </w:r>
    </w:p>
    <w:p>
      <w:pPr>
        <w:jc w:val="left"/>
        <w:rPr>
          <w:rFonts w:ascii="宋体" w:hAnsi="宋体"/>
          <w:b/>
          <w:bCs/>
          <w:color w:val="000000" w:themeColor="text1"/>
          <w:sz w:val="36"/>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ind w:firstLine="630" w:firstLineChars="196"/>
        <w:jc w:val="left"/>
        <w:rPr>
          <w:rFonts w:ascii="宋体" w:hAnsi="宋体"/>
          <w:b/>
          <w:bCs/>
          <w:color w:val="000000" w:themeColor="text1"/>
          <w:sz w:val="32"/>
          <w:szCs w:val="32"/>
          <w:u w:val="single"/>
          <w14:textFill>
            <w14:solidFill>
              <w14:schemeClr w14:val="tx1"/>
            </w14:solidFill>
          </w14:textFill>
        </w:rPr>
      </w:pPr>
      <w:r>
        <w:rPr>
          <w:rFonts w:hint="eastAsia" w:ascii="宋体" w:hAnsi="宋体"/>
          <w:b/>
          <w:bCs/>
          <w:color w:val="000000" w:themeColor="text1"/>
          <w:sz w:val="32"/>
          <w:szCs w:val="32"/>
          <w14:textFill>
            <w14:solidFill>
              <w14:schemeClr w14:val="tx1"/>
            </w14:solidFill>
          </w14:textFill>
        </w:rPr>
        <w:t>投标人名称：</w:t>
      </w:r>
      <w:r>
        <w:rPr>
          <w:rFonts w:hint="eastAsia" w:ascii="宋体" w:hAnsi="宋体"/>
          <w:b/>
          <w:color w:val="000000" w:themeColor="text1"/>
          <w:sz w:val="32"/>
          <w:szCs w:val="28"/>
          <w14:textFill>
            <w14:solidFill>
              <w14:schemeClr w14:val="tx1"/>
            </w14:solidFill>
          </w14:textFill>
        </w:rPr>
        <w:t>XXXX</w:t>
      </w:r>
    </w:p>
    <w:p>
      <w:pPr>
        <w:ind w:firstLine="569" w:firstLineChars="177"/>
        <w:rPr>
          <w:rFonts w:ascii="宋体" w:hAnsi="宋体"/>
          <w:b/>
          <w:bCs/>
          <w:color w:val="000000" w:themeColor="text1"/>
          <w:sz w:val="32"/>
          <w:szCs w:val="32"/>
          <w14:textFill>
            <w14:solidFill>
              <w14:schemeClr w14:val="tx1"/>
            </w14:solidFill>
          </w14:textFill>
        </w:rPr>
      </w:pPr>
      <w:r>
        <w:rPr>
          <w:rFonts w:hint="eastAsia" w:ascii="宋体" w:hAnsi="宋体"/>
          <w:b/>
          <w:bCs/>
          <w:color w:val="000000" w:themeColor="text1"/>
          <w:sz w:val="32"/>
          <w:szCs w:val="32"/>
          <w14:textFill>
            <w14:solidFill>
              <w14:schemeClr w14:val="tx1"/>
            </w14:solidFill>
          </w14:textFill>
        </w:rPr>
        <w:t>日       期：20XX年XX月XX日</w:t>
      </w: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4"/>
        <w:numPr>
          <w:ilvl w:val="1"/>
          <w:numId w:val="4"/>
        </w:numPr>
        <w:spacing w:before="0" w:after="0" w:line="240" w:lineRule="auto"/>
        <w:ind w:left="2269" w:hanging="2269"/>
        <w:rPr>
          <w:color w:val="000000" w:themeColor="text1"/>
          <w14:textFill>
            <w14:solidFill>
              <w14:schemeClr w14:val="tx1"/>
            </w14:solidFill>
          </w14:textFill>
        </w:rPr>
      </w:pPr>
      <w:bookmarkStart w:id="192" w:name="_Toc729"/>
      <w:bookmarkStart w:id="193" w:name="_Toc9940"/>
      <w:bookmarkStart w:id="194" w:name="_Toc22488"/>
      <w:bookmarkStart w:id="195" w:name="_Toc22607"/>
      <w:bookmarkStart w:id="196" w:name="_Toc12250"/>
      <w:bookmarkStart w:id="197" w:name="_Toc217446082"/>
      <w:r>
        <w:rPr>
          <w:rFonts w:hint="eastAsia"/>
          <w:color w:val="000000" w:themeColor="text1"/>
          <w14:textFill>
            <w14:solidFill>
              <w14:schemeClr w14:val="tx1"/>
            </w14:solidFill>
          </w14:textFill>
        </w:rPr>
        <w:t>资格性审查部分</w:t>
      </w:r>
      <w:bookmarkEnd w:id="192"/>
      <w:bookmarkEnd w:id="193"/>
      <w:bookmarkEnd w:id="194"/>
      <w:bookmarkEnd w:id="195"/>
      <w:bookmarkEnd w:id="196"/>
    </w:p>
    <w:p>
      <w:pPr>
        <w:pStyle w:val="5"/>
        <w:numPr>
          <w:ilvl w:val="2"/>
          <w:numId w:val="4"/>
        </w:numPr>
        <w:spacing w:after="200" w:line="240" w:lineRule="auto"/>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关于投标人资格申明的函</w:t>
      </w:r>
    </w:p>
    <w:p>
      <w:pPr>
        <w:rPr>
          <w:rFonts w:ascii="宋体" w:hAnsi="宋体"/>
          <w:color w:val="000000" w:themeColor="text1"/>
          <w:sz w:val="28"/>
          <w:szCs w:val="28"/>
          <w14:textFill>
            <w14:solidFill>
              <w14:schemeClr w14:val="tx1"/>
            </w14:solidFill>
          </w14:textFill>
        </w:rPr>
      </w:pPr>
      <w:bookmarkStart w:id="198" w:name="_Toc238581782"/>
      <w:bookmarkStart w:id="199" w:name="_Toc52184753"/>
      <w:bookmarkStart w:id="200" w:name="_Toc146903609"/>
      <w:bookmarkStart w:id="201" w:name="_Toc119296788"/>
      <w:bookmarkStart w:id="202" w:name="_Toc119295087"/>
      <w:bookmarkStart w:id="203" w:name="_Toc119203988"/>
      <w:r>
        <w:rPr>
          <w:rFonts w:hint="eastAsia" w:ascii="宋体" w:hAnsi="宋体"/>
          <w:color w:val="000000" w:themeColor="text1"/>
          <w:sz w:val="28"/>
          <w:szCs w:val="28"/>
          <w14:textFill>
            <w14:solidFill>
              <w14:schemeClr w14:val="tx1"/>
            </w14:solidFill>
          </w14:textFill>
        </w:rPr>
        <w:t>致：成都市</w:t>
      </w:r>
      <w:r>
        <w:rPr>
          <w:rFonts w:hint="eastAsia" w:ascii="宋体" w:hAnsi="宋体"/>
          <w:color w:val="000000" w:themeColor="text1"/>
          <w:sz w:val="28"/>
          <w:szCs w:val="28"/>
          <w:lang w:eastAsia="zh-CN"/>
          <w14:textFill>
            <w14:solidFill>
              <w14:schemeClr w14:val="tx1"/>
            </w14:solidFill>
          </w14:textFill>
        </w:rPr>
        <w:t>新津区</w:t>
      </w:r>
      <w:r>
        <w:rPr>
          <w:rFonts w:hint="eastAsia" w:ascii="宋体" w:hAnsi="宋体"/>
          <w:color w:val="000000" w:themeColor="text1"/>
          <w:sz w:val="28"/>
          <w:szCs w:val="28"/>
          <w14:textFill>
            <w14:solidFill>
              <w14:schemeClr w14:val="tx1"/>
            </w14:solidFill>
          </w14:textFill>
        </w:rPr>
        <w:t>公共资源交易服务中心</w:t>
      </w:r>
      <w:bookmarkEnd w:id="198"/>
    </w:p>
    <w:p>
      <w:pPr>
        <w:ind w:firstLine="565" w:firstLineChars="202"/>
        <w:rPr>
          <w:rFonts w:ascii="宋体" w:hAnsi="宋体"/>
          <w:color w:val="000000" w:themeColor="text1"/>
          <w:sz w:val="28"/>
          <w:szCs w:val="28"/>
          <w14:textFill>
            <w14:solidFill>
              <w14:schemeClr w14:val="tx1"/>
            </w14:solidFill>
          </w14:textFill>
        </w:rPr>
      </w:pPr>
      <w:bookmarkStart w:id="204" w:name="_Toc238581783"/>
      <w:r>
        <w:rPr>
          <w:rFonts w:hint="eastAsia" w:ascii="宋体" w:hAnsi="宋体"/>
          <w:color w:val="000000" w:themeColor="text1"/>
          <w:sz w:val="28"/>
          <w:szCs w:val="28"/>
          <w14:textFill>
            <w14:solidFill>
              <w14:schemeClr w14:val="tx1"/>
            </w14:solidFill>
          </w14:textFill>
        </w:rPr>
        <w:t>关于我方对</w:t>
      </w:r>
      <w:r>
        <w:rPr>
          <w:rFonts w:hint="eastAsia" w:ascii="宋体" w:hAnsi="宋体"/>
          <w:b/>
          <w:color w:val="000000" w:themeColor="text1"/>
          <w:sz w:val="28"/>
          <w:szCs w:val="28"/>
          <w:u w:val="single"/>
          <w14:textFill>
            <w14:solidFill>
              <w14:schemeClr w14:val="tx1"/>
            </w14:solidFill>
          </w14:textFill>
        </w:rPr>
        <w:t>XXXX采购项目（项目编号：</w:t>
      </w:r>
      <w:r>
        <w:rPr>
          <w:rFonts w:hint="eastAsia" w:ascii="宋体" w:hAnsi="宋体"/>
          <w:b/>
          <w:color w:val="000000" w:themeColor="text1"/>
          <w:sz w:val="28"/>
          <w:szCs w:val="28"/>
          <w:u w:val="single"/>
          <w:lang w:eastAsia="zh-CN"/>
          <w14:textFill>
            <w14:solidFill>
              <w14:schemeClr w14:val="tx1"/>
            </w14:solidFill>
          </w14:textFill>
        </w:rPr>
        <w:t>新津政采（202X）XXXX号</w:t>
      </w:r>
      <w:r>
        <w:rPr>
          <w:rFonts w:hint="eastAsia" w:ascii="宋体" w:hAnsi="宋体"/>
          <w:b/>
          <w:color w:val="000000" w:themeColor="text1"/>
          <w:sz w:val="28"/>
          <w:szCs w:val="28"/>
          <w:u w:val="single"/>
          <w14:textFill>
            <w14:solidFill>
              <w14:schemeClr w14:val="tx1"/>
            </w14:solidFill>
          </w14:textFill>
        </w:rPr>
        <w:t>）</w:t>
      </w:r>
      <w:r>
        <w:rPr>
          <w:rFonts w:hint="eastAsia" w:ascii="宋体" w:hAnsi="宋体"/>
          <w:color w:val="000000" w:themeColor="text1"/>
          <w:sz w:val="28"/>
          <w:szCs w:val="28"/>
          <w14:textFill>
            <w14:solidFill>
              <w14:schemeClr w14:val="tx1"/>
            </w14:solidFill>
          </w14:textFill>
        </w:rPr>
        <w:t>的公开招标，提交的下列文件和说明是准确的和真实的。</w:t>
      </w:r>
      <w:bookmarkEnd w:id="204"/>
    </w:p>
    <w:p>
      <w:pPr>
        <w:widowControl/>
        <w:numPr>
          <w:ilvl w:val="2"/>
          <w:numId w:val="32"/>
        </w:numPr>
        <w:spacing w:after="200"/>
        <w:ind w:left="0" w:firstLine="560" w:firstLineChars="200"/>
        <w:rPr>
          <w:rFonts w:ascii="宋体" w:hAnsi="宋体"/>
          <w:color w:val="000000" w:themeColor="text1"/>
          <w:sz w:val="28"/>
          <w:szCs w:val="28"/>
          <w14:textFill>
            <w14:solidFill>
              <w14:schemeClr w14:val="tx1"/>
            </w14:solidFill>
          </w14:textFill>
        </w:rPr>
      </w:pPr>
      <w:bookmarkStart w:id="205" w:name="_Toc238581784"/>
      <w:r>
        <w:rPr>
          <w:rFonts w:hint="eastAsia" w:ascii="宋体" w:hAnsi="宋体"/>
          <w:color w:val="000000" w:themeColor="text1"/>
          <w:sz w:val="28"/>
          <w:szCs w:val="28"/>
          <w14:textFill>
            <w14:solidFill>
              <w14:schemeClr w14:val="tx1"/>
            </w14:solidFill>
          </w14:textFill>
        </w:rPr>
        <w:t>投标人名称及概况：</w:t>
      </w:r>
      <w:bookmarkEnd w:id="199"/>
      <w:bookmarkEnd w:id="200"/>
      <w:bookmarkEnd w:id="201"/>
      <w:bookmarkEnd w:id="202"/>
      <w:bookmarkEnd w:id="203"/>
      <w:bookmarkEnd w:id="205"/>
    </w:p>
    <w:p>
      <w:pPr>
        <w:widowControl/>
        <w:numPr>
          <w:ilvl w:val="0"/>
          <w:numId w:val="33"/>
        </w:numPr>
        <w:spacing w:after="200"/>
        <w:ind w:left="0" w:firstLine="560" w:firstLineChars="20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投标人名称：XXXX</w:t>
      </w:r>
    </w:p>
    <w:p>
      <w:pPr>
        <w:widowControl/>
        <w:numPr>
          <w:ilvl w:val="0"/>
          <w:numId w:val="33"/>
        </w:numPr>
        <w:spacing w:after="200"/>
        <w:ind w:left="0" w:firstLine="560" w:firstLineChars="20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地址：XXXX      邮编：XXXX</w:t>
      </w:r>
    </w:p>
    <w:p>
      <w:pPr>
        <w:widowControl/>
        <w:ind w:left="1261"/>
        <w:jc w:val="left"/>
        <w:rPr>
          <w:rFonts w:ascii="宋体" w:hAnsi="宋体"/>
          <w:color w:val="000000" w:themeColor="text1"/>
          <w:sz w:val="28"/>
          <w:szCs w:val="28"/>
          <w:u w:val="single"/>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传真/电话： XXXX</w:t>
      </w:r>
    </w:p>
    <w:p>
      <w:pPr>
        <w:widowControl/>
        <w:numPr>
          <w:ilvl w:val="0"/>
          <w:numId w:val="33"/>
        </w:numPr>
        <w:spacing w:after="200"/>
        <w:ind w:left="0" w:firstLine="560" w:firstLineChars="20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成立日期或注册日期：XXXX</w:t>
      </w:r>
    </w:p>
    <w:p>
      <w:pPr>
        <w:widowControl/>
        <w:numPr>
          <w:ilvl w:val="0"/>
          <w:numId w:val="33"/>
        </w:numPr>
        <w:spacing w:after="200"/>
        <w:ind w:left="0" w:firstLine="560" w:firstLineChars="200"/>
        <w:jc w:val="left"/>
        <w:rPr>
          <w:rFonts w:ascii="宋体" w:hAnsi="宋体"/>
          <w:color w:val="000000" w:themeColor="text1"/>
          <w:sz w:val="28"/>
          <w:szCs w:val="28"/>
          <w:u w:val="single"/>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法定代表人姓名：XXXX</w:t>
      </w:r>
    </w:p>
    <w:p>
      <w:pPr>
        <w:widowControl/>
        <w:numPr>
          <w:ilvl w:val="2"/>
          <w:numId w:val="32"/>
        </w:numPr>
        <w:tabs>
          <w:tab w:val="left" w:pos="1276"/>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开户银行名称：XXXX</w:t>
      </w:r>
    </w:p>
    <w:p>
      <w:pPr>
        <w:ind w:firstLine="1260" w:firstLineChars="450"/>
        <w:rPr>
          <w:rFonts w:ascii="宋体" w:hAnsi="宋体"/>
          <w:color w:val="000000" w:themeColor="text1"/>
          <w:sz w:val="28"/>
          <w:szCs w:val="28"/>
          <w:u w:val="single"/>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地址：XXXX</w:t>
      </w:r>
    </w:p>
    <w:p>
      <w:pPr>
        <w:ind w:firstLine="1260" w:firstLineChars="45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账号：XXXX</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投标人名称：XXXX</w:t>
      </w:r>
    </w:p>
    <w:p>
      <w:pPr>
        <w:ind w:left="283" w:leftChars="135" w:firstLine="280" w:firstLineChars="100"/>
        <w:rPr>
          <w:rFonts w:ascii="宋体" w:hAnsi="宋体"/>
          <w:bCs/>
          <w:color w:val="000000" w:themeColor="text1"/>
          <w:sz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日    期：</w:t>
      </w:r>
      <w:r>
        <w:rPr>
          <w:rFonts w:hint="eastAsia" w:ascii="宋体" w:hAnsi="宋体"/>
          <w:bCs/>
          <w:color w:val="000000" w:themeColor="text1"/>
          <w:sz w:val="28"/>
          <w14:textFill>
            <w14:solidFill>
              <w14:schemeClr w14:val="tx1"/>
            </w14:solidFill>
          </w14:textFill>
        </w:rPr>
        <w:t>20XX年XX月XX日</w:t>
      </w:r>
    </w:p>
    <w:p>
      <w:pPr>
        <w:ind w:left="283" w:leftChars="135" w:firstLine="280" w:firstLineChars="100"/>
        <w:rPr>
          <w:rFonts w:ascii="宋体" w:hAnsi="宋体"/>
          <w:bCs/>
          <w:color w:val="000000" w:themeColor="text1"/>
          <w:sz w:val="28"/>
          <w14:textFill>
            <w14:solidFill>
              <w14:schemeClr w14:val="tx1"/>
            </w14:solidFill>
          </w14:textFill>
        </w:rPr>
      </w:pPr>
    </w:p>
    <w:p>
      <w:pPr>
        <w:ind w:left="283" w:leftChars="135" w:firstLine="280" w:firstLineChars="100"/>
        <w:rPr>
          <w:rFonts w:ascii="宋体" w:hAnsi="宋体"/>
          <w:bCs/>
          <w:color w:val="000000" w:themeColor="text1"/>
          <w:sz w:val="28"/>
          <w14:textFill>
            <w14:solidFill>
              <w14:schemeClr w14:val="tx1"/>
            </w14:solidFill>
          </w14:textFill>
        </w:rPr>
      </w:pPr>
    </w:p>
    <w:p>
      <w:pPr>
        <w:ind w:left="283" w:leftChars="135" w:firstLine="280" w:firstLineChars="100"/>
        <w:rPr>
          <w:rFonts w:ascii="宋体" w:hAnsi="宋体"/>
          <w:color w:val="000000" w:themeColor="text1"/>
          <w:sz w:val="28"/>
          <w:szCs w:val="28"/>
          <w14:textFill>
            <w14:solidFill>
              <w14:schemeClr w14:val="tx1"/>
            </w14:solidFill>
          </w14:textFill>
        </w:rPr>
      </w:pPr>
    </w:p>
    <w:p>
      <w:pPr>
        <w:pStyle w:val="5"/>
        <w:numPr>
          <w:ilvl w:val="2"/>
          <w:numId w:val="4"/>
        </w:numPr>
        <w:spacing w:after="200" w:line="240" w:lineRule="auto"/>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声明</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致：成都市</w:t>
      </w:r>
      <w:r>
        <w:rPr>
          <w:rFonts w:hint="eastAsia" w:ascii="宋体" w:hAnsi="宋体"/>
          <w:color w:val="000000" w:themeColor="text1"/>
          <w:sz w:val="28"/>
          <w:szCs w:val="28"/>
          <w:lang w:eastAsia="zh-CN"/>
          <w14:textFill>
            <w14:solidFill>
              <w14:schemeClr w14:val="tx1"/>
            </w14:solidFill>
          </w14:textFill>
        </w:rPr>
        <w:t>新津区</w:t>
      </w:r>
      <w:r>
        <w:rPr>
          <w:rFonts w:hint="eastAsia" w:ascii="宋体" w:hAnsi="宋体"/>
          <w:color w:val="000000" w:themeColor="text1"/>
          <w:sz w:val="28"/>
          <w:szCs w:val="28"/>
          <w14:textFill>
            <w14:solidFill>
              <w14:schemeClr w14:val="tx1"/>
            </w14:solidFill>
          </w14:textFill>
        </w:rPr>
        <w:t>公共资源交易服务中心</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我单位作为</w:t>
      </w:r>
      <w:r>
        <w:rPr>
          <w:rFonts w:hint="eastAsia" w:ascii="宋体" w:hAnsi="宋体"/>
          <w:b/>
          <w:color w:val="000000" w:themeColor="text1"/>
          <w:sz w:val="28"/>
          <w:szCs w:val="28"/>
          <w:u w:val="single"/>
          <w14:textFill>
            <w14:solidFill>
              <w14:schemeClr w14:val="tx1"/>
            </w14:solidFill>
          </w14:textFill>
        </w:rPr>
        <w:t>XXXX采购项目（项目编号：</w:t>
      </w:r>
      <w:r>
        <w:rPr>
          <w:rFonts w:hint="eastAsia" w:ascii="宋体" w:hAnsi="宋体"/>
          <w:b/>
          <w:color w:val="000000" w:themeColor="text1"/>
          <w:sz w:val="28"/>
          <w:szCs w:val="28"/>
          <w:u w:val="single"/>
          <w:lang w:eastAsia="zh-CN"/>
          <w14:textFill>
            <w14:solidFill>
              <w14:schemeClr w14:val="tx1"/>
            </w14:solidFill>
          </w14:textFill>
        </w:rPr>
        <w:t>新津政采（202X）XXXX号</w:t>
      </w:r>
      <w:r>
        <w:rPr>
          <w:rFonts w:hint="eastAsia" w:ascii="宋体" w:hAnsi="宋体"/>
          <w:b/>
          <w:color w:val="000000" w:themeColor="text1"/>
          <w:sz w:val="28"/>
          <w:szCs w:val="28"/>
          <w:u w:val="single"/>
          <w14:textFill>
            <w14:solidFill>
              <w14:schemeClr w14:val="tx1"/>
            </w14:solidFill>
          </w14:textFill>
        </w:rPr>
        <w:t>）</w:t>
      </w:r>
      <w:r>
        <w:rPr>
          <w:rFonts w:hint="eastAsia" w:ascii="宋体" w:hAnsi="宋体"/>
          <w:color w:val="000000" w:themeColor="text1"/>
          <w:sz w:val="28"/>
          <w:szCs w:val="28"/>
          <w14:textFill>
            <w14:solidFill>
              <w14:schemeClr w14:val="tx1"/>
            </w14:solidFill>
          </w14:textFill>
        </w:rPr>
        <w:t>的投标人，在此郑重声明：</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一、我单位参加政府采购活动前三年内，在经营活动中</w:t>
      </w:r>
      <w:r>
        <w:rPr>
          <w:rFonts w:hint="eastAsia" w:ascii="宋体" w:hAnsi="宋体"/>
          <w:b/>
          <w:color w:val="000000" w:themeColor="text1"/>
          <w:sz w:val="28"/>
          <w:szCs w:val="28"/>
          <w:u w:val="single"/>
          <w14:textFill>
            <w14:solidFill>
              <w14:schemeClr w14:val="tx1"/>
            </w14:solidFill>
          </w14:textFill>
        </w:rPr>
        <w:t>（说明：填写“没有”或“有”）</w:t>
      </w:r>
      <w:r>
        <w:rPr>
          <w:rFonts w:hint="eastAsia" w:ascii="宋体" w:hAnsi="宋体"/>
          <w:color w:val="000000" w:themeColor="text1"/>
          <w:sz w:val="28"/>
          <w:szCs w:val="28"/>
          <w14:textFill>
            <w14:solidFill>
              <w14:schemeClr w14:val="tx1"/>
            </w14:solidFill>
          </w14:textFill>
        </w:rPr>
        <w:t>重大违法记录。</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二、我单位</w:t>
      </w:r>
      <w:r>
        <w:rPr>
          <w:rFonts w:hint="eastAsia" w:ascii="宋体" w:hAnsi="宋体"/>
          <w:b/>
          <w:color w:val="000000" w:themeColor="text1"/>
          <w:sz w:val="28"/>
          <w:szCs w:val="28"/>
          <w:u w:val="single"/>
          <w14:textFill>
            <w14:solidFill>
              <w14:schemeClr w14:val="tx1"/>
            </w14:solidFill>
          </w14:textFill>
        </w:rPr>
        <w:t>（说明：填写“具有”或“不具有”）</w:t>
      </w:r>
      <w:r>
        <w:rPr>
          <w:rFonts w:hint="eastAsia" w:ascii="宋体" w:hAnsi="宋体"/>
          <w:color w:val="000000" w:themeColor="text1"/>
          <w:sz w:val="28"/>
          <w:szCs w:val="28"/>
          <w14:textFill>
            <w14:solidFill>
              <w14:schemeClr w14:val="tx1"/>
            </w14:solidFill>
          </w14:textFill>
        </w:rPr>
        <w:t>良好的商业信誉。</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三、与我单位负责人为同一人或者存在直接控股、管理关系的相关供应商：</w:t>
      </w:r>
      <w:r>
        <w:rPr>
          <w:rFonts w:hint="eastAsia" w:ascii="宋体" w:hAnsi="宋体"/>
          <w:b/>
          <w:color w:val="000000" w:themeColor="text1"/>
          <w:sz w:val="28"/>
          <w:szCs w:val="28"/>
          <w:u w:val="single"/>
          <w14:textFill>
            <w14:solidFill>
              <w14:schemeClr w14:val="tx1"/>
            </w14:solidFill>
          </w14:textFill>
        </w:rPr>
        <w:t>（说明：填写“无”或“（一）供应商名称１；（二）供应商名称２；（三）……”）</w:t>
      </w:r>
      <w:r>
        <w:rPr>
          <w:rFonts w:hint="eastAsia" w:ascii="宋体" w:hAnsi="宋体"/>
          <w:color w:val="000000" w:themeColor="text1"/>
          <w:sz w:val="28"/>
          <w:szCs w:val="28"/>
          <w14:textFill>
            <w14:solidFill>
              <w14:schemeClr w14:val="tx1"/>
            </w14:solidFill>
          </w14:textFill>
        </w:rPr>
        <w:t xml:space="preserve"> 。</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四、在行贿犯罪信息查询期限内，我单位及我单位现任法定代表人、主要负责人</w:t>
      </w:r>
      <w:r>
        <w:rPr>
          <w:rFonts w:hint="eastAsia" w:ascii="宋体" w:hAnsi="宋体"/>
          <w:b/>
          <w:color w:val="000000" w:themeColor="text1"/>
          <w:sz w:val="28"/>
          <w:szCs w:val="28"/>
          <w:u w:val="single"/>
          <w14:textFill>
            <w14:solidFill>
              <w14:schemeClr w14:val="tx1"/>
            </w14:solidFill>
          </w14:textFill>
        </w:rPr>
        <w:t>（说明：填写“没有”或“有”）</w:t>
      </w:r>
      <w:r>
        <w:rPr>
          <w:rFonts w:hint="eastAsia" w:ascii="宋体" w:hAnsi="宋体"/>
          <w:color w:val="000000" w:themeColor="text1"/>
          <w:sz w:val="28"/>
          <w:szCs w:val="28"/>
          <w14:textFill>
            <w14:solidFill>
              <w14:schemeClr w14:val="tx1"/>
            </w14:solidFill>
          </w14:textFill>
        </w:rPr>
        <w:t>行贿犯罪记录。</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五、我单位</w:t>
      </w:r>
      <w:r>
        <w:rPr>
          <w:rFonts w:hint="eastAsia" w:ascii="宋体" w:hAnsi="宋体"/>
          <w:b/>
          <w:color w:val="000000" w:themeColor="text1"/>
          <w:sz w:val="28"/>
          <w:szCs w:val="28"/>
          <w:u w:val="single"/>
          <w14:textFill>
            <w14:solidFill>
              <w14:schemeClr w14:val="tx1"/>
            </w14:solidFill>
          </w14:textFill>
        </w:rPr>
        <w:t>（说明：填写“未列入”或“被列入”）</w:t>
      </w:r>
      <w:r>
        <w:rPr>
          <w:rFonts w:hint="eastAsia" w:ascii="宋体" w:hAnsi="宋体"/>
          <w:color w:val="000000" w:themeColor="text1"/>
          <w:sz w:val="28"/>
          <w:szCs w:val="28"/>
          <w14:textFill>
            <w14:solidFill>
              <w14:schemeClr w14:val="tx1"/>
            </w14:solidFill>
          </w14:textFill>
        </w:rPr>
        <w:t>失信被执行人、重大税收违法案件当事人名单。</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我单位</w:t>
      </w:r>
      <w:r>
        <w:rPr>
          <w:rFonts w:hint="eastAsia" w:ascii="宋体" w:hAnsi="宋体"/>
          <w:b/>
          <w:color w:val="000000" w:themeColor="text1"/>
          <w:sz w:val="28"/>
          <w:szCs w:val="28"/>
          <w:u w:val="single"/>
          <w14:textFill>
            <w14:solidFill>
              <w14:schemeClr w14:val="tx1"/>
            </w14:solidFill>
          </w14:textFill>
        </w:rPr>
        <w:t>（说明：填写“未列入”或“被列入”）</w:t>
      </w:r>
      <w:r>
        <w:rPr>
          <w:rFonts w:hint="eastAsia" w:ascii="宋体" w:hAnsi="宋体"/>
          <w:color w:val="000000" w:themeColor="text1"/>
          <w:sz w:val="28"/>
          <w:szCs w:val="28"/>
          <w14:textFill>
            <w14:solidFill>
              <w14:schemeClr w14:val="tx1"/>
            </w14:solidFill>
          </w14:textFill>
        </w:rPr>
        <w:t>政府采购严重违法失信行为记录名单。</w:t>
      </w:r>
    </w:p>
    <w:p>
      <w:pPr>
        <w:ind w:firstLine="560" w:firstLineChars="200"/>
        <w:rPr>
          <w:bCs/>
          <w:color w:val="000000" w:themeColor="text1"/>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六、我单位</w:t>
      </w:r>
      <w:r>
        <w:rPr>
          <w:rFonts w:hint="eastAsia" w:ascii="宋体" w:hAnsi="宋体"/>
          <w:b/>
          <w:color w:val="000000" w:themeColor="text1"/>
          <w:sz w:val="28"/>
          <w:szCs w:val="28"/>
          <w:u w:val="single"/>
          <w14:textFill>
            <w14:solidFill>
              <w14:schemeClr w14:val="tx1"/>
            </w14:solidFill>
          </w14:textFill>
        </w:rPr>
        <w:t>（说明：填写“未处于”或“处于”）</w:t>
      </w:r>
      <w:r>
        <w:rPr>
          <w:rFonts w:hint="eastAsia" w:ascii="宋体" w:hAnsi="宋体"/>
          <w:bCs/>
          <w:color w:val="000000" w:themeColor="text1"/>
          <w:sz w:val="28"/>
          <w:szCs w:val="28"/>
          <w14:textFill>
            <w14:solidFill>
              <w14:schemeClr w14:val="tx1"/>
            </w14:solidFill>
          </w14:textFill>
        </w:rPr>
        <w:t>被行政部门禁止参与政府采购活动的期限内。</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特此声明。</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投标人名称：XXXX</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日    期：20XX年XX月XX日</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说明： 1.对声明中第一条的说明：如投标人在参加政府采购活动前三年内，在经营活动中有重大违法记录的，应填写“有”，投标人将被认定投标无效或被取消中标资格；</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2.对声明中第三条的说明：单位负责人为同一人或者存在直接控股、管理关系的不同供应商，不得参加同一合同项下的政府采购活动；</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对声明中第四条的说明：在行贿犯罪信息查询期限内，投标人根据中国裁判文书网（https://wenshu.court.gov.cn）查询结果，如果投标人及其现任法定代表人、主要负责人有行贿犯罪记录的，投标人应填写“有”，投标人将被认定投标无效或被取消中标资格；</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对声明中第五条的说明：投标人如被列入失信被执行人、重大税收违法案件当事人名单，应填写“被列入”，投标人将被认定投标无效或被取消中标资格；投标人如被列入政府采购严重违法失信行为记录名单，应填写“被列入”，投标人将被认定投标无效或被取消中标资格；</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5.对声明中第六条的说明：如投标人处于被行政部门禁止参加政府采购活动期限内的，该声明填“处于”，投标人将被认定投标无效或被取消中标资格。</w:t>
      </w:r>
    </w:p>
    <w:p>
      <w:pPr>
        <w:ind w:firstLine="560" w:firstLineChars="200"/>
        <w:rPr>
          <w:rFonts w:ascii="宋体" w:hAnsi="宋体"/>
          <w:color w:val="000000" w:themeColor="text1"/>
          <w:sz w:val="28"/>
          <w:szCs w:val="28"/>
          <w14:textFill>
            <w14:solidFill>
              <w14:schemeClr w14:val="tx1"/>
            </w14:solidFill>
          </w14:textFill>
        </w:rPr>
      </w:pPr>
    </w:p>
    <w:p>
      <w:pPr>
        <w:ind w:firstLine="560" w:firstLineChars="200"/>
        <w:rPr>
          <w:rFonts w:ascii="宋体" w:hAnsi="宋体"/>
          <w:color w:val="000000" w:themeColor="text1"/>
          <w:sz w:val="28"/>
          <w:szCs w:val="28"/>
          <w14:textFill>
            <w14:solidFill>
              <w14:schemeClr w14:val="tx1"/>
            </w14:solidFill>
          </w14:textFill>
        </w:rPr>
      </w:pPr>
    </w:p>
    <w:p>
      <w:pPr>
        <w:ind w:firstLine="560" w:firstLineChars="200"/>
        <w:rPr>
          <w:rFonts w:ascii="宋体" w:hAnsi="宋体"/>
          <w:color w:val="000000" w:themeColor="text1"/>
          <w:sz w:val="28"/>
          <w:szCs w:val="28"/>
          <w14:textFill>
            <w14:solidFill>
              <w14:schemeClr w14:val="tx1"/>
            </w14:solidFill>
          </w14:textFill>
        </w:rPr>
      </w:pPr>
    </w:p>
    <w:p>
      <w:pPr>
        <w:ind w:firstLine="560" w:firstLineChars="200"/>
        <w:rPr>
          <w:rFonts w:ascii="宋体" w:hAnsi="宋体"/>
          <w:color w:val="000000" w:themeColor="text1"/>
          <w:sz w:val="28"/>
          <w:szCs w:val="28"/>
          <w14:textFill>
            <w14:solidFill>
              <w14:schemeClr w14:val="tx1"/>
            </w14:solidFill>
          </w14:textFill>
        </w:rPr>
      </w:pPr>
    </w:p>
    <w:p>
      <w:pPr>
        <w:rPr>
          <w:rFonts w:ascii="宋体" w:hAnsi="宋体"/>
          <w:color w:val="000000" w:themeColor="text1"/>
          <w:sz w:val="28"/>
          <w:szCs w:val="28"/>
          <w14:textFill>
            <w14:solidFill>
              <w14:schemeClr w14:val="tx1"/>
            </w14:solidFill>
          </w14:textFill>
        </w:rPr>
      </w:pPr>
    </w:p>
    <w:p>
      <w:pPr>
        <w:pStyle w:val="5"/>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投标人应提交的相关资格证明材料</w:t>
      </w:r>
    </w:p>
    <w:p>
      <w:pPr>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投标人按招标文件要求，应提供以下相关资格证明材料：</w:t>
      </w:r>
    </w:p>
    <w:p>
      <w:pPr>
        <w:numPr>
          <w:ilvl w:val="0"/>
          <w:numId w:val="34"/>
        </w:numPr>
        <w:tabs>
          <w:tab w:val="left" w:pos="709"/>
        </w:tabs>
        <w:spacing w:after="200"/>
        <w:ind w:left="0" w:firstLine="546"/>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营业执照复印件（正本或副本）或法人证书复印件（正本或副本）；</w:t>
      </w:r>
    </w:p>
    <w:p>
      <w:pPr>
        <w:numPr>
          <w:ilvl w:val="0"/>
          <w:numId w:val="34"/>
        </w:numPr>
        <w:tabs>
          <w:tab w:val="left" w:pos="709"/>
        </w:tabs>
        <w:spacing w:after="200"/>
        <w:ind w:left="0" w:firstLine="546"/>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2019或2020会计年度资产负债表复印件（说明：投标人成立时间至递交投标文件截止时间止不足一年的，提供成立后任意时段的资产负债表复印件）；</w:t>
      </w:r>
    </w:p>
    <w:p>
      <w:pPr>
        <w:numPr>
          <w:ilvl w:val="0"/>
          <w:numId w:val="34"/>
        </w:numPr>
        <w:tabs>
          <w:tab w:val="left" w:pos="1134"/>
        </w:tabs>
        <w:spacing w:after="200"/>
        <w:ind w:left="0" w:firstLine="546"/>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投标人缴纳2020年或2021年任意时段的税收的银行电子回单或者行政部门出具的纳税证明或完税证明复印件；</w:t>
      </w:r>
    </w:p>
    <w:p>
      <w:pPr>
        <w:numPr>
          <w:ilvl w:val="0"/>
          <w:numId w:val="34"/>
        </w:numPr>
        <w:tabs>
          <w:tab w:val="left" w:pos="1134"/>
        </w:tabs>
        <w:spacing w:after="200"/>
        <w:ind w:left="0" w:firstLine="546"/>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采购人对投标人履行合同</w:t>
      </w:r>
      <w:r>
        <w:rPr>
          <w:rFonts w:hint="eastAsia" w:ascii="宋体" w:hAnsi="宋体"/>
          <w:color w:val="000000" w:themeColor="text1"/>
          <w:kern w:val="0"/>
          <w:sz w:val="28"/>
          <w:szCs w:val="28"/>
          <w:lang w:eastAsia="zh-CN"/>
          <w14:textFill>
            <w14:solidFill>
              <w14:schemeClr w14:val="tx1"/>
            </w14:solidFill>
          </w14:textFill>
        </w:rPr>
        <w:t>所必需的</w:t>
      </w:r>
      <w:r>
        <w:rPr>
          <w:rFonts w:hint="eastAsia" w:ascii="宋体" w:hAnsi="宋体"/>
          <w:color w:val="000000" w:themeColor="text1"/>
          <w:kern w:val="0"/>
          <w:sz w:val="28"/>
          <w:szCs w:val="28"/>
          <w14:textFill>
            <w14:solidFill>
              <w14:schemeClr w14:val="tx1"/>
            </w14:solidFill>
          </w14:textFill>
        </w:rPr>
        <w:t>设备和专业技术能力无其他特殊要求，投标人具有有效的营业执照或法人证书即可，可不提供其他证明材料；</w:t>
      </w:r>
    </w:p>
    <w:p>
      <w:pPr>
        <w:numPr>
          <w:ilvl w:val="0"/>
          <w:numId w:val="34"/>
        </w:numPr>
        <w:tabs>
          <w:tab w:val="left" w:pos="1134"/>
        </w:tabs>
        <w:spacing w:after="200"/>
        <w:ind w:left="0" w:firstLine="546"/>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投标人缴纳2020年或2021年任意时段的社保的银行电子回单或行政部门出具的社保缴纳证明材料复印件；</w:t>
      </w:r>
    </w:p>
    <w:p>
      <w:pPr>
        <w:numPr>
          <w:ilvl w:val="0"/>
          <w:numId w:val="34"/>
        </w:numPr>
        <w:tabs>
          <w:tab w:val="left" w:pos="1134"/>
        </w:tabs>
        <w:spacing w:after="200"/>
        <w:ind w:left="0" w:firstLine="546"/>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采购人对法律、行政法规规定的其他条件无其他特殊要求，投标人具有有效的营业执照或法人证书即可，可不提供其他证明材料。</w:t>
      </w:r>
    </w:p>
    <w:p>
      <w:pPr>
        <w:pStyle w:val="208"/>
        <w:rPr>
          <w:color w:val="000000" w:themeColor="text1"/>
          <w14:textFill>
            <w14:solidFill>
              <w14:schemeClr w14:val="tx1"/>
            </w14:solidFill>
          </w14:textFill>
        </w:rPr>
      </w:pPr>
    </w:p>
    <w:p>
      <w:pPr>
        <w:pStyle w:val="208"/>
        <w:rPr>
          <w:color w:val="000000" w:themeColor="text1"/>
          <w14:textFill>
            <w14:solidFill>
              <w14:schemeClr w14:val="tx1"/>
            </w14:solidFill>
          </w14:textFill>
        </w:rPr>
      </w:pPr>
    </w:p>
    <w:p>
      <w:pPr>
        <w:pStyle w:val="208"/>
        <w:rPr>
          <w:color w:val="000000" w:themeColor="text1"/>
          <w14:textFill>
            <w14:solidFill>
              <w14:schemeClr w14:val="tx1"/>
            </w14:solidFill>
          </w14:textFill>
        </w:rPr>
      </w:pPr>
    </w:p>
    <w:p>
      <w:pPr>
        <w:pStyle w:val="4"/>
        <w:numPr>
          <w:ilvl w:val="1"/>
          <w:numId w:val="4"/>
        </w:numPr>
        <w:spacing w:before="0" w:after="0" w:line="240" w:lineRule="auto"/>
        <w:ind w:left="2269" w:hanging="2269"/>
        <w:rPr>
          <w:color w:val="000000" w:themeColor="text1"/>
          <w14:textFill>
            <w14:solidFill>
              <w14:schemeClr w14:val="tx1"/>
            </w14:solidFill>
          </w14:textFill>
        </w:rPr>
      </w:pPr>
      <w:bookmarkStart w:id="206" w:name="_Toc494464914"/>
      <w:bookmarkStart w:id="207" w:name="_Toc13502"/>
      <w:bookmarkStart w:id="208" w:name="_Toc14118"/>
      <w:bookmarkStart w:id="209" w:name="_Toc29369"/>
      <w:bookmarkStart w:id="210" w:name="_Toc13982"/>
      <w:bookmarkStart w:id="211" w:name="_Toc30794"/>
      <w:r>
        <w:rPr>
          <w:rFonts w:hint="eastAsia"/>
          <w:color w:val="000000" w:themeColor="text1"/>
          <w14:textFill>
            <w14:solidFill>
              <w14:schemeClr w14:val="tx1"/>
            </w14:solidFill>
          </w14:textFill>
        </w:rPr>
        <w:t>服务、商务及其他要求响应部分</w:t>
      </w:r>
      <w:bookmarkEnd w:id="206"/>
      <w:bookmarkEnd w:id="207"/>
      <w:bookmarkEnd w:id="208"/>
      <w:bookmarkEnd w:id="209"/>
      <w:bookmarkEnd w:id="210"/>
      <w:bookmarkEnd w:id="211"/>
    </w:p>
    <w:p>
      <w:pPr>
        <w:pStyle w:val="5"/>
        <w:numPr>
          <w:ilvl w:val="2"/>
          <w:numId w:val="4"/>
        </w:numPr>
        <w:spacing w:after="200" w:line="240" w:lineRule="auto"/>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投标函</w:t>
      </w:r>
      <w:bookmarkEnd w:id="197"/>
    </w:p>
    <w:p>
      <w:pPr>
        <w:pStyle w:val="27"/>
        <w:spacing w:after="0" w:line="500" w:lineRule="exact"/>
        <w:ind w:left="0" w:leftChars="0"/>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成都市</w:t>
      </w:r>
      <w:r>
        <w:rPr>
          <w:rFonts w:hint="eastAsia" w:ascii="宋体" w:hAnsi="宋体"/>
          <w:bCs/>
          <w:color w:val="000000" w:themeColor="text1"/>
          <w:sz w:val="28"/>
          <w:szCs w:val="28"/>
          <w:lang w:eastAsia="zh-CN"/>
          <w14:textFill>
            <w14:solidFill>
              <w14:schemeClr w14:val="tx1"/>
            </w14:solidFill>
          </w14:textFill>
        </w:rPr>
        <w:t>新津区</w:t>
      </w:r>
      <w:r>
        <w:rPr>
          <w:rFonts w:hint="eastAsia" w:ascii="宋体" w:hAnsi="宋体"/>
          <w:bCs/>
          <w:color w:val="000000" w:themeColor="text1"/>
          <w:sz w:val="28"/>
          <w:szCs w:val="28"/>
          <w14:textFill>
            <w14:solidFill>
              <w14:schemeClr w14:val="tx1"/>
            </w14:solidFill>
          </w14:textFill>
        </w:rPr>
        <w:t>公共资源交易服务中心：</w:t>
      </w:r>
    </w:p>
    <w:p>
      <w:pPr>
        <w:pStyle w:val="27"/>
        <w:spacing w:line="500" w:lineRule="exact"/>
        <w:ind w:left="0" w:leftChars="0" w:firstLine="560" w:firstLineChars="200"/>
        <w:rPr>
          <w:rFonts w:ascii="宋体" w:hAnsi="宋体"/>
          <w:b/>
          <w:bCs/>
          <w:color w:val="000000" w:themeColor="text1"/>
          <w:sz w:val="28"/>
          <w:szCs w:val="28"/>
          <w:u w:val="single"/>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我方全面研究了</w:t>
      </w:r>
      <w:r>
        <w:rPr>
          <w:rFonts w:hint="eastAsia" w:ascii="宋体" w:hAnsi="宋体"/>
          <w:b/>
          <w:bCs/>
          <w:color w:val="000000" w:themeColor="text1"/>
          <w:sz w:val="28"/>
          <w:szCs w:val="28"/>
          <w:u w:val="single"/>
          <w:lang w:val="en-US" w:eastAsia="zh-CN"/>
          <w14:textFill>
            <w14:solidFill>
              <w14:schemeClr w14:val="tx1"/>
            </w14:solidFill>
          </w14:textFill>
        </w:rPr>
        <w:t>XXXX采购</w:t>
      </w:r>
      <w:r>
        <w:rPr>
          <w:rFonts w:hint="eastAsia" w:ascii="宋体" w:hAnsi="宋体"/>
          <w:b/>
          <w:color w:val="000000" w:themeColor="text1"/>
          <w:sz w:val="28"/>
          <w:szCs w:val="28"/>
          <w:u w:val="single"/>
          <w14:textFill>
            <w14:solidFill>
              <w14:schemeClr w14:val="tx1"/>
            </w14:solidFill>
          </w14:textFill>
        </w:rPr>
        <w:t>项目</w:t>
      </w:r>
      <w:r>
        <w:rPr>
          <w:rFonts w:hint="eastAsia" w:ascii="宋体" w:hAnsi="宋体"/>
          <w:b/>
          <w:bCs/>
          <w:color w:val="000000" w:themeColor="text1"/>
          <w:sz w:val="28"/>
          <w:szCs w:val="28"/>
          <w:u w:val="single"/>
          <w14:textFill>
            <w14:solidFill>
              <w14:schemeClr w14:val="tx1"/>
            </w14:solidFill>
          </w14:textFill>
        </w:rPr>
        <w:t>（项目编号：</w:t>
      </w:r>
      <w:r>
        <w:rPr>
          <w:rFonts w:hint="eastAsia" w:ascii="宋体" w:hAnsi="宋体"/>
          <w:b/>
          <w:bCs/>
          <w:color w:val="000000" w:themeColor="text1"/>
          <w:sz w:val="28"/>
          <w:szCs w:val="28"/>
          <w:u w:val="single"/>
          <w:lang w:eastAsia="zh-CN"/>
          <w14:textFill>
            <w14:solidFill>
              <w14:schemeClr w14:val="tx1"/>
            </w14:solidFill>
          </w14:textFill>
        </w:rPr>
        <w:t>新津政采（202X）XXXX号</w:t>
      </w:r>
      <w:r>
        <w:rPr>
          <w:rFonts w:hint="eastAsia" w:ascii="宋体" w:hAnsi="宋体"/>
          <w:b/>
          <w:bCs/>
          <w:color w:val="000000" w:themeColor="text1"/>
          <w:sz w:val="28"/>
          <w:szCs w:val="28"/>
          <w:u w:val="single"/>
          <w14:textFill>
            <w14:solidFill>
              <w14:schemeClr w14:val="tx1"/>
            </w14:solidFill>
          </w14:textFill>
        </w:rPr>
        <w:t>）</w:t>
      </w:r>
      <w:r>
        <w:rPr>
          <w:rFonts w:hint="eastAsia" w:ascii="宋体" w:hAnsi="宋体"/>
          <w:bCs/>
          <w:color w:val="000000" w:themeColor="text1"/>
          <w:sz w:val="28"/>
          <w:szCs w:val="28"/>
          <w14:textFill>
            <w14:solidFill>
              <w14:schemeClr w14:val="tx1"/>
            </w14:solidFill>
          </w14:textFill>
        </w:rPr>
        <w:t>招标文件，决定参加贵单位组织的本项目的投标。我方授权</w:t>
      </w:r>
      <w:r>
        <w:rPr>
          <w:rFonts w:hint="eastAsia" w:ascii="宋体" w:hAnsi="宋体"/>
          <w:bCs/>
          <w:color w:val="000000" w:themeColor="text1"/>
          <w:sz w:val="28"/>
          <w:szCs w:val="28"/>
          <w:u w:val="single"/>
          <w14:textFill>
            <w14:solidFill>
              <w14:schemeClr w14:val="tx1"/>
            </w14:solidFill>
          </w14:textFill>
        </w:rPr>
        <w:t>XXX（姓名、职务）</w:t>
      </w:r>
      <w:r>
        <w:rPr>
          <w:rFonts w:hint="eastAsia" w:ascii="宋体" w:hAnsi="宋体"/>
          <w:bCs/>
          <w:color w:val="000000" w:themeColor="text1"/>
          <w:sz w:val="28"/>
          <w:szCs w:val="28"/>
          <w14:textFill>
            <w14:solidFill>
              <w14:schemeClr w14:val="tx1"/>
            </w14:solidFill>
          </w14:textFill>
        </w:rPr>
        <w:t>代表我方</w:t>
      </w:r>
      <w:r>
        <w:rPr>
          <w:rFonts w:hint="eastAsia" w:ascii="宋体" w:hAnsi="宋体"/>
          <w:bCs/>
          <w:color w:val="000000" w:themeColor="text1"/>
          <w:sz w:val="28"/>
          <w:szCs w:val="28"/>
          <w:u w:val="single"/>
          <w14:textFill>
            <w14:solidFill>
              <w14:schemeClr w14:val="tx1"/>
            </w14:solidFill>
          </w14:textFill>
        </w:rPr>
        <w:t>XXX（投标人名称）</w:t>
      </w:r>
      <w:r>
        <w:rPr>
          <w:rFonts w:hint="eastAsia" w:ascii="宋体" w:hAnsi="宋体"/>
          <w:bCs/>
          <w:color w:val="000000" w:themeColor="text1"/>
          <w:sz w:val="28"/>
          <w:szCs w:val="28"/>
          <w14:textFill>
            <w14:solidFill>
              <w14:schemeClr w14:val="tx1"/>
            </w14:solidFill>
          </w14:textFill>
        </w:rPr>
        <w:t>全权处理本项目投标的有关事宜。</w:t>
      </w:r>
    </w:p>
    <w:p>
      <w:pPr>
        <w:numPr>
          <w:ilvl w:val="1"/>
          <w:numId w:val="35"/>
        </w:numPr>
        <w:tabs>
          <w:tab w:val="left" w:pos="1134"/>
        </w:tabs>
        <w:spacing w:after="20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我方自愿按照招标文件规定的各项要求向采购人提供所需服务，</w:t>
      </w:r>
      <w:r>
        <w:rPr>
          <w:rFonts w:hint="eastAsia" w:ascii="宋体" w:hAnsi="宋体"/>
          <w:b/>
          <w:color w:val="000000" w:themeColor="text1"/>
          <w:sz w:val="28"/>
          <w:szCs w:val="28"/>
          <w14:textFill>
            <w14:solidFill>
              <w14:schemeClr w14:val="tx1"/>
            </w14:solidFill>
          </w14:textFill>
        </w:rPr>
        <w:t>投标报价以《投标报价表》为准</w:t>
      </w:r>
      <w:r>
        <w:rPr>
          <w:rFonts w:hint="eastAsia" w:ascii="宋体" w:hAnsi="宋体"/>
          <w:color w:val="000000" w:themeColor="text1"/>
          <w:sz w:val="28"/>
          <w:szCs w:val="28"/>
          <w14:textFill>
            <w14:solidFill>
              <w14:schemeClr w14:val="tx1"/>
            </w14:solidFill>
          </w14:textFill>
        </w:rPr>
        <w:t>。</w:t>
      </w:r>
    </w:p>
    <w:p>
      <w:pPr>
        <w:numPr>
          <w:ilvl w:val="1"/>
          <w:numId w:val="35"/>
        </w:numPr>
        <w:tabs>
          <w:tab w:val="left" w:pos="1134"/>
        </w:tabs>
        <w:spacing w:after="20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如果我方中标，我方将严格履行合同规定的责任和义务，否则将承担由此产生的一切责任。</w:t>
      </w:r>
    </w:p>
    <w:p>
      <w:pPr>
        <w:numPr>
          <w:ilvl w:val="1"/>
          <w:numId w:val="35"/>
        </w:numPr>
        <w:tabs>
          <w:tab w:val="left" w:pos="1134"/>
        </w:tabs>
        <w:spacing w:after="20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我方已知晓全部招标文件的内容，包括修改文件（如有）以及全部相关资料和有关附件，并对上述文件均无异议。</w:t>
      </w:r>
    </w:p>
    <w:p>
      <w:pPr>
        <w:numPr>
          <w:ilvl w:val="1"/>
          <w:numId w:val="35"/>
        </w:numPr>
        <w:tabs>
          <w:tab w:val="left" w:pos="1134"/>
        </w:tabs>
        <w:spacing w:after="20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投标有效期为从投标截止之日起120天。</w:t>
      </w:r>
    </w:p>
    <w:p>
      <w:pPr>
        <w:numPr>
          <w:ilvl w:val="1"/>
          <w:numId w:val="35"/>
        </w:numPr>
        <w:tabs>
          <w:tab w:val="left" w:pos="1134"/>
        </w:tabs>
        <w:spacing w:after="20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我方愿意提供贵中心可能另外要求的，与投标有关的文件资料，并保证我方已提供和将要提供的文件资料是真实、准确的，并对此承担一切法律后果。</w:t>
      </w:r>
    </w:p>
    <w:p>
      <w:pPr>
        <w:numPr>
          <w:ilvl w:val="1"/>
          <w:numId w:val="35"/>
        </w:numPr>
        <w:tabs>
          <w:tab w:val="left" w:pos="1134"/>
        </w:tabs>
        <w:spacing w:after="20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我单位联系方式：XXXX</w:t>
      </w:r>
    </w:p>
    <w:p>
      <w:pPr>
        <w:tabs>
          <w:tab w:val="left" w:pos="1134"/>
        </w:tabs>
        <w:spacing w:line="500" w:lineRule="exact"/>
        <w:ind w:left="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地    址：XXXX</w:t>
      </w:r>
    </w:p>
    <w:p>
      <w:pPr>
        <w:tabs>
          <w:tab w:val="left" w:pos="1134"/>
        </w:tabs>
        <w:spacing w:line="500" w:lineRule="exact"/>
        <w:ind w:left="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传    真：XXXX</w:t>
      </w:r>
    </w:p>
    <w:p>
      <w:pPr>
        <w:tabs>
          <w:tab w:val="left" w:pos="1134"/>
        </w:tabs>
        <w:spacing w:line="500" w:lineRule="exact"/>
        <w:ind w:left="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邮政编码：XXXX</w:t>
      </w:r>
    </w:p>
    <w:p>
      <w:pPr>
        <w:tabs>
          <w:tab w:val="left" w:pos="1134"/>
        </w:tabs>
        <w:spacing w:line="500" w:lineRule="exact"/>
        <w:ind w:left="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投标人名称：XXXX</w:t>
      </w:r>
    </w:p>
    <w:p>
      <w:pPr>
        <w:tabs>
          <w:tab w:val="left" w:pos="1134"/>
        </w:tabs>
        <w:spacing w:line="500" w:lineRule="exact"/>
        <w:ind w:left="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日    期：20XX年XX月XX日</w:t>
      </w:r>
    </w:p>
    <w:p>
      <w:pPr>
        <w:pStyle w:val="2"/>
        <w:rPr>
          <w:rFonts w:ascii="宋体" w:hAnsi="宋体"/>
          <w:color w:val="000000" w:themeColor="text1"/>
          <w:sz w:val="28"/>
          <w:szCs w:val="28"/>
          <w14:textFill>
            <w14:solidFill>
              <w14:schemeClr w14:val="tx1"/>
            </w14:solidFill>
          </w14:textFill>
        </w:rPr>
      </w:pPr>
    </w:p>
    <w:p>
      <w:pPr>
        <w:pStyle w:val="5"/>
        <w:numPr>
          <w:ilvl w:val="2"/>
          <w:numId w:val="4"/>
        </w:numPr>
        <w:spacing w:after="200" w:line="240" w:lineRule="auto"/>
        <w:ind w:left="851"/>
        <w:rPr>
          <w:color w:val="000000" w:themeColor="text1"/>
          <w14:textFill>
            <w14:solidFill>
              <w14:schemeClr w14:val="tx1"/>
            </w14:solidFill>
          </w14:textFill>
        </w:rPr>
      </w:pPr>
      <w:bookmarkStart w:id="212" w:name="_Toc450641242"/>
      <w:r>
        <w:rPr>
          <w:rFonts w:hint="eastAsia"/>
          <w:color w:val="000000" w:themeColor="text1"/>
          <w14:textFill>
            <w14:solidFill>
              <w14:schemeClr w14:val="tx1"/>
            </w14:solidFill>
          </w14:textFill>
        </w:rPr>
        <w:t>投标报价表</w:t>
      </w:r>
      <w:bookmarkEnd w:id="212"/>
    </w:p>
    <w:p>
      <w:pPr>
        <w:pStyle w:val="27"/>
        <w:ind w:right="210" w:firstLine="6" w:firstLineChars="2"/>
        <w:rPr>
          <w:rFonts w:ascii="宋体" w:hAnsi="宋体"/>
          <w:b/>
          <w:bCs/>
          <w:color w:val="000000" w:themeColor="text1"/>
          <w:sz w:val="28"/>
          <w:szCs w:val="28"/>
          <w:u w:val="single"/>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项目名称：</w:t>
      </w:r>
      <w:r>
        <w:rPr>
          <w:rFonts w:hint="eastAsia" w:ascii="宋体" w:hAnsi="宋体"/>
          <w:b/>
          <w:bCs/>
          <w:color w:val="000000" w:themeColor="text1"/>
          <w:sz w:val="28"/>
          <w:szCs w:val="28"/>
          <w:u w:val="single"/>
          <w:lang w:val="en-US" w:eastAsia="zh-CN"/>
          <w14:textFill>
            <w14:solidFill>
              <w14:schemeClr w14:val="tx1"/>
            </w14:solidFill>
          </w14:textFill>
        </w:rPr>
        <w:t>XXXX采购</w:t>
      </w:r>
      <w:r>
        <w:rPr>
          <w:rFonts w:hint="eastAsia" w:ascii="宋体" w:hAnsi="宋体"/>
          <w:b/>
          <w:bCs/>
          <w:color w:val="000000" w:themeColor="text1"/>
          <w:sz w:val="28"/>
          <w:szCs w:val="28"/>
          <w:u w:val="single"/>
          <w14:textFill>
            <w14:solidFill>
              <w14:schemeClr w14:val="tx1"/>
            </w14:solidFill>
          </w14:textFill>
        </w:rPr>
        <w:t>项目</w:t>
      </w:r>
    </w:p>
    <w:p>
      <w:pPr>
        <w:pStyle w:val="27"/>
        <w:spacing w:line="240" w:lineRule="auto"/>
        <w:ind w:right="210" w:firstLine="6" w:firstLineChars="2"/>
        <w:rPr>
          <w:rFonts w:hint="eastAsia" w:ascii="宋体" w:hAnsi="宋体" w:eastAsia="宋体"/>
          <w:b/>
          <w:bCs/>
          <w:color w:val="000000" w:themeColor="text1"/>
          <w:sz w:val="28"/>
          <w:szCs w:val="28"/>
          <w:lang w:eastAsia="zh-CN"/>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项目编号：</w:t>
      </w:r>
      <w:r>
        <w:rPr>
          <w:rFonts w:hint="eastAsia" w:ascii="宋体" w:hAnsi="宋体"/>
          <w:b/>
          <w:bCs/>
          <w:color w:val="000000" w:themeColor="text1"/>
          <w:sz w:val="28"/>
          <w:szCs w:val="28"/>
          <w:u w:val="single"/>
          <w:lang w:eastAsia="zh-CN"/>
          <w14:textFill>
            <w14:solidFill>
              <w14:schemeClr w14:val="tx1"/>
            </w14:solidFill>
          </w14:textFill>
        </w:rPr>
        <w:t>新津政采（202X）XXXX号</w:t>
      </w:r>
    </w:p>
    <w:tbl>
      <w:tblPr>
        <w:tblStyle w:val="48"/>
        <w:tblW w:w="9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5" w:type="dxa"/>
          <w:bottom w:w="0" w:type="dxa"/>
          <w:right w:w="115" w:type="dxa"/>
        </w:tblCellMar>
      </w:tblPr>
      <w:tblGrid>
        <w:gridCol w:w="883"/>
        <w:gridCol w:w="4645"/>
        <w:gridCol w:w="3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5" w:type="dxa"/>
            <w:bottom w:w="0" w:type="dxa"/>
            <w:right w:w="115" w:type="dxa"/>
          </w:tblCellMar>
        </w:tblPrEx>
        <w:trPr>
          <w:trHeight w:val="23" w:hRule="atLeast"/>
        </w:trPr>
        <w:tc>
          <w:tcPr>
            <w:tcW w:w="883" w:type="dxa"/>
            <w:vAlign w:val="center"/>
          </w:tcPr>
          <w:p>
            <w:pPr>
              <w:widowControl/>
              <w:jc w:val="center"/>
              <w:rPr>
                <w:rFonts w:asciiTheme="majorEastAsia" w:hAnsiTheme="majorEastAsia" w:eastAsiaTheme="majorEastAsia" w:cstheme="majorEastAsia"/>
                <w:b/>
                <w:color w:val="000000" w:themeColor="text1"/>
                <w:sz w:val="28"/>
                <w14:textFill>
                  <w14:solidFill>
                    <w14:schemeClr w14:val="tx1"/>
                  </w14:solidFill>
                </w14:textFill>
              </w:rPr>
            </w:pPr>
            <w:r>
              <w:rPr>
                <w:rFonts w:hint="eastAsia" w:asciiTheme="majorEastAsia" w:hAnsiTheme="majorEastAsia" w:eastAsiaTheme="majorEastAsia" w:cstheme="majorEastAsia"/>
                <w:b/>
                <w:color w:val="000000" w:themeColor="text1"/>
                <w:sz w:val="28"/>
                <w14:textFill>
                  <w14:solidFill>
                    <w14:schemeClr w14:val="tx1"/>
                  </w14:solidFill>
                </w14:textFill>
              </w:rPr>
              <w:t>序号</w:t>
            </w:r>
          </w:p>
        </w:tc>
        <w:tc>
          <w:tcPr>
            <w:tcW w:w="4645" w:type="dxa"/>
            <w:vAlign w:val="center"/>
          </w:tcPr>
          <w:p>
            <w:pPr>
              <w:widowControl/>
              <w:jc w:val="center"/>
              <w:rPr>
                <w:rFonts w:asciiTheme="majorEastAsia" w:hAnsiTheme="majorEastAsia" w:eastAsiaTheme="majorEastAsia" w:cstheme="majorEastAsia"/>
                <w:b/>
                <w:color w:val="000000" w:themeColor="text1"/>
                <w:sz w:val="28"/>
                <w14:textFill>
                  <w14:solidFill>
                    <w14:schemeClr w14:val="tx1"/>
                  </w14:solidFill>
                </w14:textFill>
              </w:rPr>
            </w:pPr>
            <w:r>
              <w:rPr>
                <w:rFonts w:hint="eastAsia" w:asciiTheme="majorEastAsia" w:hAnsiTheme="majorEastAsia" w:eastAsiaTheme="majorEastAsia" w:cstheme="majorEastAsia"/>
                <w:b/>
                <w:color w:val="000000" w:themeColor="text1"/>
                <w:sz w:val="28"/>
                <w14:textFill>
                  <w14:solidFill>
                    <w14:schemeClr w14:val="tx1"/>
                  </w14:solidFill>
                </w14:textFill>
              </w:rPr>
              <w:t>服务内容</w:t>
            </w:r>
          </w:p>
        </w:tc>
        <w:tc>
          <w:tcPr>
            <w:tcW w:w="3752" w:type="dxa"/>
            <w:shd w:val="clear" w:color="auto" w:fill="auto"/>
            <w:vAlign w:val="center"/>
          </w:tcPr>
          <w:p>
            <w:pPr>
              <w:pStyle w:val="208"/>
              <w:jc w:val="center"/>
              <w:rPr>
                <w:rFonts w:asciiTheme="majorEastAsia" w:hAnsiTheme="majorEastAsia" w:eastAsiaTheme="majorEastAsia" w:cstheme="majorEastAsia"/>
                <w:b/>
                <w:color w:val="000000" w:themeColor="text1"/>
                <w:sz w:val="28"/>
                <w:szCs w:val="28"/>
                <w14:textFill>
                  <w14:solidFill>
                    <w14:schemeClr w14:val="tx1"/>
                  </w14:solidFill>
                </w14:textFill>
              </w:rPr>
            </w:pPr>
            <w:r>
              <w:rPr>
                <w:rFonts w:hint="eastAsia" w:asciiTheme="majorEastAsia" w:hAnsiTheme="majorEastAsia" w:eastAsiaTheme="majorEastAsia" w:cstheme="majorEastAsia"/>
                <w:b/>
                <w:color w:val="000000" w:themeColor="text1"/>
                <w:sz w:val="28"/>
                <w:szCs w:val="28"/>
                <w14:textFill>
                  <w14:solidFill>
                    <w14:schemeClr w14:val="tx1"/>
                  </w14:solidFill>
                </w14:textFill>
              </w:rPr>
              <w:t>报价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5" w:type="dxa"/>
            <w:bottom w:w="0" w:type="dxa"/>
            <w:right w:w="115" w:type="dxa"/>
          </w:tblCellMar>
        </w:tblPrEx>
        <w:trPr>
          <w:trHeight w:val="23" w:hRule="atLeast"/>
        </w:trPr>
        <w:tc>
          <w:tcPr>
            <w:tcW w:w="883" w:type="dxa"/>
            <w:vAlign w:val="center"/>
          </w:tcPr>
          <w:p>
            <w:pPr>
              <w:widowControl/>
              <w:jc w:val="center"/>
              <w:rPr>
                <w:rFonts w:asciiTheme="majorEastAsia" w:hAnsiTheme="majorEastAsia" w:eastAsiaTheme="majorEastAsia" w:cstheme="majorEastAsia"/>
                <w:bCs/>
                <w:color w:val="000000" w:themeColor="text1"/>
                <w:sz w:val="28"/>
                <w14:textFill>
                  <w14:solidFill>
                    <w14:schemeClr w14:val="tx1"/>
                  </w14:solidFill>
                </w14:textFill>
              </w:rPr>
            </w:pPr>
            <w:r>
              <w:rPr>
                <w:rFonts w:hint="eastAsia" w:asciiTheme="majorEastAsia" w:hAnsiTheme="majorEastAsia" w:eastAsiaTheme="majorEastAsia" w:cstheme="majorEastAsia"/>
                <w:bCs/>
                <w:color w:val="000000" w:themeColor="text1"/>
                <w:sz w:val="28"/>
                <w14:textFill>
                  <w14:solidFill>
                    <w14:schemeClr w14:val="tx1"/>
                  </w14:solidFill>
                </w14:textFill>
              </w:rPr>
              <w:t>1</w:t>
            </w:r>
          </w:p>
        </w:tc>
        <w:tc>
          <w:tcPr>
            <w:tcW w:w="4645" w:type="dxa"/>
            <w:vAlign w:val="center"/>
          </w:tcPr>
          <w:p>
            <w:pPr>
              <w:widowControl/>
              <w:jc w:val="center"/>
              <w:rPr>
                <w:rFonts w:asciiTheme="majorEastAsia" w:hAnsiTheme="majorEastAsia" w:eastAsiaTheme="majorEastAsia" w:cstheme="majorEastAsia"/>
                <w:bCs/>
                <w:color w:val="000000" w:themeColor="text1"/>
                <w:sz w:val="28"/>
                <w14:textFill>
                  <w14:solidFill>
                    <w14:schemeClr w14:val="tx1"/>
                  </w14:solidFill>
                </w14:textFill>
              </w:rPr>
            </w:pPr>
            <w:r>
              <w:rPr>
                <w:rFonts w:hint="eastAsia" w:asciiTheme="majorEastAsia" w:hAnsiTheme="majorEastAsia" w:eastAsiaTheme="majorEastAsia" w:cstheme="majorEastAsia"/>
                <w:bCs/>
                <w:color w:val="000000" w:themeColor="text1"/>
                <w:sz w:val="28"/>
                <w14:textFill>
                  <w14:solidFill>
                    <w14:schemeClr w14:val="tx1"/>
                  </w14:solidFill>
                </w14:textFill>
              </w:rPr>
              <w:t>成都市新津区人民医院中央运输、保洁服务外包项目</w:t>
            </w:r>
          </w:p>
        </w:tc>
        <w:tc>
          <w:tcPr>
            <w:tcW w:w="3752" w:type="dxa"/>
            <w:shd w:val="clear" w:color="auto" w:fill="auto"/>
            <w:vAlign w:val="center"/>
          </w:tcPr>
          <w:p>
            <w:pPr>
              <w:widowControl/>
              <w:jc w:val="center"/>
              <w:rPr>
                <w:rFonts w:hint="eastAsia" w:asciiTheme="majorEastAsia" w:hAnsiTheme="majorEastAsia" w:eastAsiaTheme="majorEastAsia" w:cstheme="majorEastAsia"/>
                <w:bCs/>
                <w:color w:val="000000" w:themeColor="text1"/>
                <w:u w:val="single"/>
                <w:lang w:val="en-US" w:eastAsia="zh-CN"/>
                <w14:textFill>
                  <w14:solidFill>
                    <w14:schemeClr w14:val="tx1"/>
                  </w14:solidFill>
                </w14:textFill>
              </w:rPr>
            </w:pPr>
            <w:r>
              <w:rPr>
                <w:rFonts w:hint="eastAsia" w:asciiTheme="majorEastAsia" w:hAnsiTheme="majorEastAsia" w:eastAsiaTheme="majorEastAsia" w:cstheme="majorEastAsia"/>
                <w:bCs/>
                <w:color w:val="000000" w:themeColor="text1"/>
                <w:sz w:val="28"/>
                <w14:textFill>
                  <w14:solidFill>
                    <w14:schemeClr w14:val="tx1"/>
                  </w14:solidFill>
                </w14:textFill>
              </w:rPr>
              <w:t>XX元</w:t>
            </w:r>
            <w:r>
              <w:rPr>
                <w:rFonts w:hint="eastAsia" w:asciiTheme="majorEastAsia" w:hAnsiTheme="majorEastAsia" w:eastAsiaTheme="majorEastAsia" w:cstheme="majorEastAsia"/>
                <w:bCs/>
                <w:color w:val="000000" w:themeColor="text1"/>
                <w:sz w:val="28"/>
                <w:lang w:val="en-US" w:eastAsia="zh-CN"/>
                <w14:textFill>
                  <w14:solidFill>
                    <w14:schemeClr w14:val="tx1"/>
                  </w14:solidFill>
                </w14:textFill>
              </w:rPr>
              <w:t>/年</w:t>
            </w:r>
          </w:p>
        </w:tc>
      </w:tr>
    </w:tbl>
    <w:p>
      <w:pPr>
        <w:ind w:firstLine="689" w:firstLineChars="245"/>
        <w:rPr>
          <w:rFonts w:ascii="宋体" w:hAnsi="宋体" w:cs="宋体"/>
          <w:b/>
          <w:color w:val="000000" w:themeColor="text1"/>
          <w:sz w:val="28"/>
          <w:szCs w:val="28"/>
          <w:u w:val="single"/>
          <w14:textFill>
            <w14:solidFill>
              <w14:schemeClr w14:val="tx1"/>
            </w14:solidFill>
          </w14:textFill>
        </w:rPr>
      </w:pPr>
      <w:r>
        <w:rPr>
          <w:rFonts w:hint="eastAsia" w:ascii="宋体" w:hAnsi="宋体" w:cs="宋体"/>
          <w:b/>
          <w:color w:val="000000" w:themeColor="text1"/>
          <w:sz w:val="28"/>
          <w:szCs w:val="28"/>
          <w14:textFill>
            <w14:solidFill>
              <w14:schemeClr w14:val="tx1"/>
            </w14:solidFill>
          </w14:textFill>
        </w:rPr>
        <w:t>投标报价（人民币大写）：</w:t>
      </w:r>
      <w:r>
        <w:rPr>
          <w:rFonts w:hint="eastAsia" w:ascii="宋体" w:hAnsi="宋体" w:cs="宋体"/>
          <w:b/>
          <w:color w:val="000000" w:themeColor="text1"/>
          <w:sz w:val="28"/>
          <w:szCs w:val="28"/>
          <w:u w:val="single"/>
          <w14:textFill>
            <w14:solidFill>
              <w14:schemeClr w14:val="tx1"/>
            </w14:solidFill>
          </w14:textFill>
        </w:rPr>
        <w:t>XX</w:t>
      </w:r>
    </w:p>
    <w:p>
      <w:pPr>
        <w:pStyle w:val="27"/>
        <w:spacing w:line="240" w:lineRule="auto"/>
        <w:ind w:right="210" w:firstLine="5" w:firstLineChars="2"/>
        <w:rPr>
          <w:rFonts w:ascii="宋体" w:hAnsi="宋体"/>
          <w:bCs/>
          <w:color w:val="000000" w:themeColor="text1"/>
          <w:sz w:val="28"/>
          <w:szCs w:val="28"/>
          <w14:textFill>
            <w14:solidFill>
              <w14:schemeClr w14:val="tx1"/>
            </w14:solidFill>
          </w14:textFill>
        </w:rPr>
      </w:pPr>
    </w:p>
    <w:p>
      <w:pPr>
        <w:pStyle w:val="27"/>
        <w:spacing w:line="240" w:lineRule="auto"/>
        <w:ind w:right="210" w:firstLine="5" w:firstLineChars="2"/>
        <w:rPr>
          <w:rFonts w:ascii="宋体" w:hAnsi="宋体"/>
          <w:bCs/>
          <w:color w:val="000000" w:themeColor="text1"/>
          <w:sz w:val="28"/>
          <w:szCs w:val="28"/>
          <w14:textFill>
            <w14:solidFill>
              <w14:schemeClr w14:val="tx1"/>
            </w14:solidFill>
          </w14:textFill>
        </w:rPr>
      </w:pPr>
    </w:p>
    <w:p>
      <w:pPr>
        <w:pStyle w:val="27"/>
        <w:spacing w:line="240" w:lineRule="auto"/>
        <w:ind w:right="210" w:firstLine="5" w:firstLineChars="2"/>
        <w:rPr>
          <w:rFonts w:ascii="宋体" w:hAnsi="宋体"/>
          <w:bCs/>
          <w:color w:val="000000" w:themeColor="text1"/>
          <w:sz w:val="28"/>
          <w:szCs w:val="28"/>
          <w14:textFill>
            <w14:solidFill>
              <w14:schemeClr w14:val="tx1"/>
            </w14:solidFill>
          </w14:textFill>
        </w:rPr>
      </w:pPr>
    </w:p>
    <w:p>
      <w:pPr>
        <w:pStyle w:val="27"/>
        <w:spacing w:line="240" w:lineRule="auto"/>
        <w:ind w:right="210" w:firstLine="5" w:firstLineChars="2"/>
        <w:rPr>
          <w:rFonts w:ascii="宋体" w:hAnsi="宋体"/>
          <w:bCs/>
          <w:color w:val="000000" w:themeColor="text1"/>
          <w:sz w:val="28"/>
          <w:szCs w:val="28"/>
          <w14:textFill>
            <w14:solidFill>
              <w14:schemeClr w14:val="tx1"/>
            </w14:solidFill>
          </w14:textFill>
        </w:rPr>
      </w:pPr>
    </w:p>
    <w:p>
      <w:pPr>
        <w:pStyle w:val="27"/>
        <w:spacing w:line="240" w:lineRule="auto"/>
        <w:ind w:right="210" w:firstLine="5" w:firstLineChars="2"/>
        <w:rPr>
          <w:rFonts w:ascii="宋体" w:hAnsi="宋体"/>
          <w:bCs/>
          <w:color w:val="000000" w:themeColor="text1"/>
          <w:sz w:val="28"/>
          <w:szCs w:val="28"/>
          <w14:textFill>
            <w14:solidFill>
              <w14:schemeClr w14:val="tx1"/>
            </w14:solidFill>
          </w14:textFill>
        </w:rPr>
      </w:pPr>
    </w:p>
    <w:p>
      <w:pPr>
        <w:pStyle w:val="27"/>
        <w:spacing w:line="240" w:lineRule="auto"/>
        <w:ind w:right="210" w:firstLine="5" w:firstLineChars="2"/>
        <w:rPr>
          <w:rFonts w:ascii="宋体" w:hAnsi="宋体"/>
          <w:bCs/>
          <w:color w:val="000000" w:themeColor="text1"/>
          <w:sz w:val="28"/>
          <w:szCs w:val="28"/>
          <w14:textFill>
            <w14:solidFill>
              <w14:schemeClr w14:val="tx1"/>
            </w14:solidFill>
          </w14:textFill>
        </w:rPr>
      </w:pPr>
    </w:p>
    <w:p>
      <w:pPr>
        <w:pStyle w:val="27"/>
        <w:spacing w:line="240" w:lineRule="auto"/>
        <w:ind w:right="210" w:firstLine="285" w:firstLineChars="102"/>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投标人名称：XXXX</w:t>
      </w:r>
    </w:p>
    <w:p>
      <w:pPr>
        <w:pStyle w:val="27"/>
        <w:spacing w:line="240" w:lineRule="auto"/>
        <w:ind w:right="210" w:firstLine="285" w:firstLineChars="102"/>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日期：20XX年XX月XX日</w:t>
      </w:r>
    </w:p>
    <w:p>
      <w:pPr>
        <w:pStyle w:val="27"/>
        <w:spacing w:line="240" w:lineRule="auto"/>
        <w:ind w:right="210" w:firstLine="5" w:firstLineChars="2"/>
        <w:rPr>
          <w:rFonts w:ascii="宋体" w:hAnsi="宋体"/>
          <w:bCs/>
          <w:color w:val="000000" w:themeColor="text1"/>
          <w:sz w:val="28"/>
          <w:szCs w:val="28"/>
          <w14:textFill>
            <w14:solidFill>
              <w14:schemeClr w14:val="tx1"/>
            </w14:solidFill>
          </w14:textFill>
        </w:rPr>
      </w:pPr>
    </w:p>
    <w:p>
      <w:pPr>
        <w:pStyle w:val="27"/>
        <w:spacing w:line="240" w:lineRule="auto"/>
        <w:ind w:right="210"/>
        <w:rPr>
          <w:rFonts w:ascii="宋体" w:hAnsi="宋体"/>
          <w:color w:val="000000" w:themeColor="text1"/>
          <w:sz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说明：投标报价应为包括招标文件规定的全部投标内容的报价。</w:t>
      </w:r>
    </w:p>
    <w:p>
      <w:pPr>
        <w:pStyle w:val="27"/>
        <w:spacing w:line="240" w:lineRule="auto"/>
        <w:rPr>
          <w:rFonts w:ascii="宋体" w:hAnsi="宋体"/>
          <w:bCs/>
          <w:color w:val="000000" w:themeColor="text1"/>
          <w:sz w:val="28"/>
          <w:szCs w:val="28"/>
          <w14:textFill>
            <w14:solidFill>
              <w14:schemeClr w14:val="tx1"/>
            </w14:solidFill>
          </w14:textFill>
        </w:rPr>
      </w:pPr>
    </w:p>
    <w:p>
      <w:pPr>
        <w:pStyle w:val="5"/>
        <w:numPr>
          <w:ilvl w:val="2"/>
          <w:numId w:val="4"/>
        </w:numPr>
        <w:spacing w:after="200" w:line="240" w:lineRule="auto"/>
        <w:ind w:left="851"/>
        <w:rPr>
          <w:color w:val="000000" w:themeColor="text1"/>
          <w14:textFill>
            <w14:solidFill>
              <w14:schemeClr w14:val="tx1"/>
            </w14:solidFill>
          </w14:textFill>
        </w:rPr>
      </w:pPr>
      <w:bookmarkStart w:id="213" w:name="_Toc450641243"/>
      <w:r>
        <w:rPr>
          <w:rFonts w:hint="eastAsia"/>
          <w:color w:val="000000" w:themeColor="text1"/>
          <w14:textFill>
            <w14:solidFill>
              <w14:schemeClr w14:val="tx1"/>
            </w14:solidFill>
          </w14:textFill>
        </w:rPr>
        <w:t>分项报价明细表</w:t>
      </w:r>
      <w:bookmarkEnd w:id="213"/>
    </w:p>
    <w:p>
      <w:pPr>
        <w:rPr>
          <w:rFonts w:ascii="宋体" w:hAnsi="宋体"/>
          <w:b/>
          <w:bCs/>
          <w:color w:val="000000" w:themeColor="text1"/>
          <w:sz w:val="28"/>
          <w:szCs w:val="28"/>
          <w:u w:val="single"/>
          <w14:textFill>
            <w14:solidFill>
              <w14:schemeClr w14:val="tx1"/>
            </w14:solidFill>
          </w14:textFill>
        </w:rPr>
      </w:pPr>
      <w:r>
        <w:rPr>
          <w:rFonts w:hint="eastAsia" w:ascii="宋体" w:hAnsi="宋体"/>
          <w:b/>
          <w:color w:val="000000" w:themeColor="text1"/>
          <w:sz w:val="28"/>
          <w14:textFill>
            <w14:solidFill>
              <w14:schemeClr w14:val="tx1"/>
            </w14:solidFill>
          </w14:textFill>
        </w:rPr>
        <w:t>项目名称：</w:t>
      </w:r>
      <w:r>
        <w:rPr>
          <w:rFonts w:hint="eastAsia" w:ascii="宋体" w:hAnsi="宋体"/>
          <w:b/>
          <w:bCs/>
          <w:color w:val="000000" w:themeColor="text1"/>
          <w:sz w:val="28"/>
          <w:szCs w:val="28"/>
          <w:u w:val="single"/>
          <w:lang w:val="en-US" w:eastAsia="zh-CN"/>
          <w14:textFill>
            <w14:solidFill>
              <w14:schemeClr w14:val="tx1"/>
            </w14:solidFill>
          </w14:textFill>
        </w:rPr>
        <w:t>XXXX采购</w:t>
      </w:r>
      <w:r>
        <w:rPr>
          <w:rFonts w:hint="eastAsia" w:ascii="宋体" w:hAnsi="宋体"/>
          <w:b/>
          <w:bCs/>
          <w:color w:val="000000" w:themeColor="text1"/>
          <w:sz w:val="28"/>
          <w:szCs w:val="28"/>
          <w:u w:val="single"/>
          <w14:textFill>
            <w14:solidFill>
              <w14:schemeClr w14:val="tx1"/>
            </w14:solidFill>
          </w14:textFill>
        </w:rPr>
        <w:t>项目</w:t>
      </w:r>
    </w:p>
    <w:p>
      <w:pPr>
        <w:snapToGrid w:val="0"/>
        <w:rPr>
          <w:rFonts w:hint="eastAsia" w:ascii="宋体" w:hAnsi="宋体" w:eastAsia="宋体"/>
          <w:b/>
          <w:color w:val="000000" w:themeColor="text1"/>
          <w:spacing w:val="-20"/>
          <w:sz w:val="28"/>
          <w:lang w:eastAsia="zh-CN"/>
          <w14:textFill>
            <w14:solidFill>
              <w14:schemeClr w14:val="tx1"/>
            </w14:solidFill>
          </w14:textFill>
        </w:rPr>
      </w:pPr>
      <w:r>
        <w:rPr>
          <w:rFonts w:hint="eastAsia" w:ascii="宋体" w:hAnsi="宋体"/>
          <w:b/>
          <w:color w:val="000000" w:themeColor="text1"/>
          <w:sz w:val="28"/>
          <w14:textFill>
            <w14:solidFill>
              <w14:schemeClr w14:val="tx1"/>
            </w14:solidFill>
          </w14:textFill>
        </w:rPr>
        <w:t>项目编号：</w:t>
      </w:r>
      <w:r>
        <w:rPr>
          <w:rFonts w:hint="eastAsia" w:ascii="宋体" w:hAnsi="宋体" w:cs="宋体"/>
          <w:b/>
          <w:color w:val="000000" w:themeColor="text1"/>
          <w:kern w:val="0"/>
          <w:sz w:val="28"/>
          <w:szCs w:val="28"/>
          <w:u w:val="single"/>
          <w:lang w:eastAsia="zh-CN"/>
          <w14:textFill>
            <w14:solidFill>
              <w14:schemeClr w14:val="tx1"/>
            </w14:solidFill>
          </w14:textFill>
        </w:rPr>
        <w:t>新津政采（202X）XXXX号</w:t>
      </w:r>
    </w:p>
    <w:p>
      <w:pPr>
        <w:pStyle w:val="208"/>
        <w:rPr>
          <w:rFonts w:asciiTheme="majorEastAsia" w:hAnsiTheme="majorEastAsia" w:eastAsiaTheme="majorEastAsia" w:cstheme="majorEastAsia"/>
          <w:color w:val="000000" w:themeColor="text1"/>
          <w14:textFill>
            <w14:solidFill>
              <w14:schemeClr w14:val="tx1"/>
            </w14:solidFill>
          </w14:textFill>
        </w:rPr>
      </w:pPr>
    </w:p>
    <w:p>
      <w:pPr>
        <w:pStyle w:val="208"/>
        <w:rPr>
          <w:rFonts w:asciiTheme="majorEastAsia" w:hAnsiTheme="majorEastAsia" w:eastAsiaTheme="majorEastAsia" w:cstheme="majorEastAsia"/>
          <w:color w:val="000000" w:themeColor="text1"/>
          <w14:textFill>
            <w14:solidFill>
              <w14:schemeClr w14:val="tx1"/>
            </w14:solidFill>
          </w14:textFill>
        </w:rPr>
      </w:pPr>
    </w:p>
    <w:p>
      <w:pPr>
        <w:pStyle w:val="208"/>
        <w:rPr>
          <w:rFonts w:asciiTheme="majorEastAsia" w:hAnsiTheme="majorEastAsia" w:eastAsiaTheme="majorEastAsia" w:cstheme="majorEastAsia"/>
          <w:color w:val="000000" w:themeColor="text1"/>
          <w14:textFill>
            <w14:solidFill>
              <w14:schemeClr w14:val="tx1"/>
            </w14:solidFill>
          </w14:textFill>
        </w:rPr>
      </w:pPr>
    </w:p>
    <w:p>
      <w:pPr>
        <w:pStyle w:val="208"/>
        <w:rPr>
          <w:rFonts w:asciiTheme="majorEastAsia" w:hAnsiTheme="majorEastAsia" w:eastAsiaTheme="majorEastAsia" w:cstheme="majorEastAsia"/>
          <w:color w:val="000000" w:themeColor="text1"/>
          <w14:textFill>
            <w14:solidFill>
              <w14:schemeClr w14:val="tx1"/>
            </w14:solidFill>
          </w14:textFill>
        </w:rPr>
      </w:pPr>
    </w:p>
    <w:p>
      <w:pPr>
        <w:pStyle w:val="208"/>
        <w:rPr>
          <w:rFonts w:asciiTheme="majorEastAsia" w:hAnsiTheme="majorEastAsia" w:eastAsiaTheme="majorEastAsia" w:cstheme="majorEastAsia"/>
          <w:color w:val="000000" w:themeColor="text1"/>
          <w14:textFill>
            <w14:solidFill>
              <w14:schemeClr w14:val="tx1"/>
            </w14:solidFill>
          </w14:textFill>
        </w:rPr>
      </w:pPr>
    </w:p>
    <w:p>
      <w:pPr>
        <w:pStyle w:val="208"/>
        <w:rPr>
          <w:rFonts w:asciiTheme="majorEastAsia" w:hAnsiTheme="majorEastAsia" w:eastAsiaTheme="majorEastAsia" w:cstheme="majorEastAsia"/>
          <w:color w:val="000000" w:themeColor="text1"/>
          <w14:textFill>
            <w14:solidFill>
              <w14:schemeClr w14:val="tx1"/>
            </w14:solidFill>
          </w14:textFill>
        </w:rPr>
      </w:pPr>
    </w:p>
    <w:p>
      <w:pPr>
        <w:pStyle w:val="208"/>
        <w:rPr>
          <w:rFonts w:asciiTheme="majorEastAsia" w:hAnsiTheme="majorEastAsia" w:eastAsiaTheme="majorEastAsia" w:cstheme="majorEastAsia"/>
          <w:color w:val="000000" w:themeColor="text1"/>
          <w14:textFill>
            <w14:solidFill>
              <w14:schemeClr w14:val="tx1"/>
            </w14:solidFill>
          </w14:textFill>
        </w:rPr>
      </w:pPr>
    </w:p>
    <w:p>
      <w:pPr>
        <w:pStyle w:val="208"/>
        <w:rPr>
          <w:rFonts w:asciiTheme="majorEastAsia" w:hAnsiTheme="majorEastAsia" w:eastAsiaTheme="majorEastAsia" w:cstheme="majorEastAsia"/>
          <w:color w:val="000000" w:themeColor="text1"/>
          <w14:textFill>
            <w14:solidFill>
              <w14:schemeClr w14:val="tx1"/>
            </w14:solidFill>
          </w14:textFill>
        </w:rPr>
      </w:pPr>
    </w:p>
    <w:p>
      <w:pPr>
        <w:pStyle w:val="208"/>
        <w:rPr>
          <w:rFonts w:asciiTheme="majorEastAsia" w:hAnsiTheme="majorEastAsia" w:eastAsiaTheme="majorEastAsia" w:cstheme="majorEastAsia"/>
          <w:color w:val="000000" w:themeColor="text1"/>
          <w14:textFill>
            <w14:solidFill>
              <w14:schemeClr w14:val="tx1"/>
            </w14:solidFill>
          </w14:textFill>
        </w:rPr>
      </w:pPr>
    </w:p>
    <w:p>
      <w:pPr>
        <w:pStyle w:val="208"/>
        <w:rPr>
          <w:rFonts w:asciiTheme="majorEastAsia" w:hAnsiTheme="majorEastAsia" w:eastAsiaTheme="majorEastAsia" w:cstheme="majorEastAsia"/>
          <w:color w:val="000000" w:themeColor="text1"/>
          <w14:textFill>
            <w14:solidFill>
              <w14:schemeClr w14:val="tx1"/>
            </w14:solidFill>
          </w14:textFill>
        </w:rPr>
      </w:pPr>
    </w:p>
    <w:p>
      <w:pPr>
        <w:pStyle w:val="208"/>
        <w:rPr>
          <w:rFonts w:asciiTheme="majorEastAsia" w:hAnsiTheme="majorEastAsia" w:eastAsiaTheme="majorEastAsia" w:cstheme="majorEastAsia"/>
          <w:color w:val="000000" w:themeColor="text1"/>
          <w14:textFill>
            <w14:solidFill>
              <w14:schemeClr w14:val="tx1"/>
            </w14:solidFill>
          </w14:textFill>
        </w:rPr>
      </w:pPr>
    </w:p>
    <w:p>
      <w:pPr>
        <w:pStyle w:val="208"/>
        <w:rPr>
          <w:rFonts w:asciiTheme="majorEastAsia" w:hAnsiTheme="majorEastAsia" w:eastAsiaTheme="majorEastAsia" w:cstheme="majorEastAsia"/>
          <w:color w:val="000000" w:themeColor="text1"/>
          <w14:textFill>
            <w14:solidFill>
              <w14:schemeClr w14:val="tx1"/>
            </w14:solidFill>
          </w14:textFill>
        </w:rPr>
      </w:pPr>
    </w:p>
    <w:p>
      <w:pPr>
        <w:pStyle w:val="208"/>
        <w:rPr>
          <w:rFonts w:asciiTheme="majorEastAsia" w:hAnsiTheme="majorEastAsia" w:eastAsiaTheme="majorEastAsia" w:cstheme="majorEastAsia"/>
          <w:color w:val="000000" w:themeColor="text1"/>
          <w14:textFill>
            <w14:solidFill>
              <w14:schemeClr w14:val="tx1"/>
            </w14:solidFill>
          </w14:textFill>
        </w:rPr>
      </w:pPr>
    </w:p>
    <w:p>
      <w:pPr>
        <w:rPr>
          <w:rFonts w:ascii="宋体" w:hAnsi="宋体"/>
          <w:b/>
          <w:color w:val="000000" w:themeColor="text1"/>
          <w:sz w:val="28"/>
          <w14:textFill>
            <w14:solidFill>
              <w14:schemeClr w14:val="tx1"/>
            </w14:solidFill>
          </w14:textFill>
        </w:rPr>
      </w:pPr>
    </w:p>
    <w:p>
      <w:pPr>
        <w:rPr>
          <w:rFonts w:ascii="宋体" w:hAnsi="宋体"/>
          <w:b/>
          <w:color w:val="000000" w:themeColor="text1"/>
          <w:sz w:val="28"/>
          <w14:textFill>
            <w14:solidFill>
              <w14:schemeClr w14:val="tx1"/>
            </w14:solidFill>
          </w14:textFill>
        </w:rPr>
      </w:pPr>
    </w:p>
    <w:p>
      <w:pPr>
        <w:rPr>
          <w:rFonts w:ascii="宋体" w:hAnsi="宋体"/>
          <w:b/>
          <w:color w:val="000000" w:themeColor="text1"/>
          <w:sz w:val="28"/>
          <w14:textFill>
            <w14:solidFill>
              <w14:schemeClr w14:val="tx1"/>
            </w14:solidFill>
          </w14:textFill>
        </w:rPr>
      </w:pPr>
    </w:p>
    <w:p>
      <w:pPr>
        <w:rPr>
          <w:rFonts w:ascii="宋体" w:hAnsi="宋体"/>
          <w:b/>
          <w:color w:val="000000" w:themeColor="text1"/>
          <w:sz w:val="28"/>
          <w14:textFill>
            <w14:solidFill>
              <w14:schemeClr w14:val="tx1"/>
            </w14:solidFill>
          </w14:textFill>
        </w:rPr>
      </w:pPr>
    </w:p>
    <w:p>
      <w:pPr>
        <w:rPr>
          <w:rFonts w:ascii="宋体" w:hAnsi="宋体"/>
          <w:color w:val="000000" w:themeColor="text1"/>
          <w:sz w:val="28"/>
          <w:lang w:val="zh-CN"/>
          <w14:textFill>
            <w14:solidFill>
              <w14:schemeClr w14:val="tx1"/>
            </w14:solidFill>
          </w14:textFill>
        </w:rPr>
      </w:pPr>
      <w:r>
        <w:rPr>
          <w:rFonts w:hint="eastAsia" w:ascii="宋体" w:hAnsi="宋体"/>
          <w:color w:val="000000" w:themeColor="text1"/>
          <w:sz w:val="28"/>
          <w:lang w:val="zh-CN"/>
          <w14:textFill>
            <w14:solidFill>
              <w14:schemeClr w14:val="tx1"/>
            </w14:solidFill>
          </w14:textFill>
        </w:rPr>
        <w:t>投标人名称：XXXX</w:t>
      </w:r>
    </w:p>
    <w:p>
      <w:pPr>
        <w:rPr>
          <w:rFonts w:ascii="宋体" w:hAnsi="宋体"/>
          <w:bCs/>
          <w:color w:val="000000" w:themeColor="text1"/>
          <w:sz w:val="28"/>
          <w:szCs w:val="28"/>
          <w14:textFill>
            <w14:solidFill>
              <w14:schemeClr w14:val="tx1"/>
            </w14:solidFill>
          </w14:textFill>
        </w:rPr>
      </w:pPr>
      <w:r>
        <w:rPr>
          <w:rFonts w:hint="eastAsia" w:ascii="宋体" w:hAnsi="宋体"/>
          <w:color w:val="000000" w:themeColor="text1"/>
          <w:sz w:val="28"/>
          <w14:textFill>
            <w14:solidFill>
              <w14:schemeClr w14:val="tx1"/>
            </w14:solidFill>
          </w14:textFill>
        </w:rPr>
        <w:t>日期：</w:t>
      </w:r>
      <w:r>
        <w:rPr>
          <w:rFonts w:hint="eastAsia" w:ascii="宋体" w:hAnsi="宋体"/>
          <w:bCs/>
          <w:color w:val="000000" w:themeColor="text1"/>
          <w:sz w:val="28"/>
          <w14:textFill>
            <w14:solidFill>
              <w14:schemeClr w14:val="tx1"/>
            </w14:solidFill>
          </w14:textFill>
        </w:rPr>
        <w:t>20XX年XX月XX日</w:t>
      </w:r>
    </w:p>
    <w:p>
      <w:pPr>
        <w:pStyle w:val="16"/>
        <w:spacing w:after="0" w:line="240" w:lineRule="auto"/>
        <w:ind w:firstLine="0"/>
        <w:rPr>
          <w:rFonts w:ascii="宋体" w:hAnsi="宋体"/>
          <w:b/>
          <w:color w:val="000000" w:themeColor="text1"/>
          <w:sz w:val="28"/>
          <w14:textFill>
            <w14:solidFill>
              <w14:schemeClr w14:val="tx1"/>
            </w14:solidFill>
          </w14:textFill>
        </w:rPr>
      </w:pPr>
      <w:r>
        <w:rPr>
          <w:rFonts w:hint="eastAsia" w:ascii="宋体" w:hAnsi="宋体"/>
          <w:b/>
          <w:color w:val="000000" w:themeColor="text1"/>
          <w:sz w:val="28"/>
          <w14:textFill>
            <w14:solidFill>
              <w14:schemeClr w14:val="tx1"/>
            </w14:solidFill>
          </w14:textFill>
        </w:rPr>
        <w:t>说明：投标人应根据其投标报价的构成提供详细的分项价格明细表，分项报价明细表格式由投标人自行制表填写。</w:t>
      </w:r>
    </w:p>
    <w:p>
      <w:pPr>
        <w:pStyle w:val="16"/>
        <w:spacing w:after="0" w:line="240" w:lineRule="auto"/>
        <w:ind w:firstLine="0"/>
        <w:rPr>
          <w:rFonts w:ascii="宋体" w:hAnsi="宋体"/>
          <w:b/>
          <w:color w:val="000000" w:themeColor="text1"/>
          <w:sz w:val="28"/>
          <w14:textFill>
            <w14:solidFill>
              <w14:schemeClr w14:val="tx1"/>
            </w14:solidFill>
          </w14:textFill>
        </w:rPr>
      </w:pPr>
    </w:p>
    <w:p>
      <w:pPr>
        <w:pStyle w:val="16"/>
        <w:spacing w:after="0" w:line="240" w:lineRule="auto"/>
        <w:ind w:firstLine="0"/>
        <w:rPr>
          <w:rFonts w:ascii="宋体" w:hAnsi="宋体"/>
          <w:bCs/>
          <w:color w:val="000000" w:themeColor="text1"/>
          <w:sz w:val="28"/>
          <w:szCs w:val="28"/>
          <w:u w:val="single"/>
          <w14:textFill>
            <w14:solidFill>
              <w14:schemeClr w14:val="tx1"/>
            </w14:solidFill>
          </w14:textFill>
        </w:rPr>
      </w:pPr>
    </w:p>
    <w:p>
      <w:pPr>
        <w:pStyle w:val="16"/>
        <w:spacing w:after="0" w:line="240" w:lineRule="auto"/>
        <w:ind w:firstLine="0"/>
        <w:rPr>
          <w:rFonts w:ascii="宋体" w:hAnsi="宋体"/>
          <w:bCs/>
          <w:color w:val="000000" w:themeColor="text1"/>
          <w:sz w:val="28"/>
          <w:szCs w:val="28"/>
          <w:u w:val="single"/>
          <w14:textFill>
            <w14:solidFill>
              <w14:schemeClr w14:val="tx1"/>
            </w14:solidFill>
          </w14:textFill>
        </w:rPr>
      </w:pPr>
    </w:p>
    <w:p>
      <w:pPr>
        <w:pStyle w:val="16"/>
        <w:spacing w:after="0" w:line="240" w:lineRule="auto"/>
        <w:ind w:firstLine="0"/>
        <w:rPr>
          <w:rFonts w:ascii="宋体" w:hAnsi="宋体"/>
          <w:bCs/>
          <w:color w:val="000000" w:themeColor="text1"/>
          <w:sz w:val="28"/>
          <w:szCs w:val="28"/>
          <w:u w:val="single"/>
          <w14:textFill>
            <w14:solidFill>
              <w14:schemeClr w14:val="tx1"/>
            </w14:solidFill>
          </w14:textFill>
        </w:rPr>
      </w:pPr>
    </w:p>
    <w:p>
      <w:pPr>
        <w:pStyle w:val="16"/>
        <w:spacing w:after="0" w:line="240" w:lineRule="auto"/>
        <w:ind w:firstLine="0"/>
        <w:rPr>
          <w:rFonts w:ascii="宋体" w:hAnsi="宋体"/>
          <w:bCs/>
          <w:color w:val="000000" w:themeColor="text1"/>
          <w:sz w:val="28"/>
          <w:szCs w:val="28"/>
          <w:u w:val="single"/>
          <w14:textFill>
            <w14:solidFill>
              <w14:schemeClr w14:val="tx1"/>
            </w14:solidFill>
          </w14:textFill>
        </w:rPr>
      </w:pPr>
    </w:p>
    <w:p>
      <w:pPr>
        <w:pStyle w:val="5"/>
        <w:numPr>
          <w:ilvl w:val="2"/>
          <w:numId w:val="4"/>
        </w:numPr>
        <w:spacing w:after="200" w:line="240" w:lineRule="auto"/>
        <w:ind w:left="851"/>
        <w:rPr>
          <w:color w:val="000000" w:themeColor="text1"/>
          <w14:textFill>
            <w14:solidFill>
              <w14:schemeClr w14:val="tx1"/>
            </w14:solidFill>
          </w14:textFill>
        </w:rPr>
      </w:pPr>
      <w:bookmarkStart w:id="214" w:name="_Toc229802674"/>
      <w:bookmarkStart w:id="215" w:name="_Toc314574804"/>
      <w:bookmarkStart w:id="216" w:name="_Toc231030275"/>
      <w:bookmarkStart w:id="217" w:name="_Toc239849853"/>
      <w:bookmarkStart w:id="218" w:name="_Toc237145395"/>
      <w:bookmarkStart w:id="219" w:name="_Toc240865266"/>
      <w:bookmarkStart w:id="220" w:name="_Toc240367172"/>
      <w:bookmarkStart w:id="221" w:name="_Toc239846734"/>
      <w:bookmarkStart w:id="222" w:name="_Toc265494342"/>
      <w:r>
        <w:rPr>
          <w:rFonts w:hint="eastAsia"/>
          <w:color w:val="000000" w:themeColor="text1"/>
          <w14:textFill>
            <w14:solidFill>
              <w14:schemeClr w14:val="tx1"/>
            </w14:solidFill>
          </w14:textFill>
        </w:rPr>
        <w:t>法定代表人身份证明书</w:t>
      </w:r>
    </w:p>
    <w:p>
      <w:pPr>
        <w:tabs>
          <w:tab w:val="left" w:pos="6300"/>
        </w:tabs>
        <w:ind w:firstLine="573"/>
        <w:rPr>
          <w:rFonts w:ascii="宋体" w:hAnsi="宋体"/>
          <w:color w:val="000000" w:themeColor="text1"/>
          <w:sz w:val="28"/>
          <w:u w:val="single"/>
          <w:lang w:val="zh-CN"/>
          <w14:textFill>
            <w14:solidFill>
              <w14:schemeClr w14:val="tx1"/>
            </w14:solidFill>
          </w14:textFill>
        </w:rPr>
      </w:pPr>
    </w:p>
    <w:p>
      <w:pPr>
        <w:tabs>
          <w:tab w:val="left" w:pos="6300"/>
        </w:tabs>
        <w:ind w:firstLine="573"/>
        <w:rPr>
          <w:rFonts w:ascii="宋体" w:hAnsi="宋体"/>
          <w:color w:val="000000" w:themeColor="text1"/>
          <w:sz w:val="28"/>
          <w:lang w:val="zh-CN"/>
          <w14:textFill>
            <w14:solidFill>
              <w14:schemeClr w14:val="tx1"/>
            </w14:solidFill>
          </w14:textFill>
        </w:rPr>
      </w:pPr>
      <w:r>
        <w:rPr>
          <w:rFonts w:hint="eastAsia" w:ascii="宋体" w:hAnsi="宋体"/>
          <w:color w:val="000000" w:themeColor="text1"/>
          <w:sz w:val="28"/>
          <w:szCs w:val="28"/>
          <w:u w:val="single"/>
          <w14:textFill>
            <w14:solidFill>
              <w14:schemeClr w14:val="tx1"/>
            </w14:solidFill>
          </w14:textFill>
        </w:rPr>
        <w:t>XXXX</w:t>
      </w:r>
      <w:r>
        <w:rPr>
          <w:rFonts w:hint="eastAsia" w:ascii="宋体" w:hAnsi="宋体"/>
          <w:color w:val="000000" w:themeColor="text1"/>
          <w:sz w:val="28"/>
          <w:u w:val="single"/>
          <w:lang w:val="zh-CN"/>
          <w14:textFill>
            <w14:solidFill>
              <w14:schemeClr w14:val="tx1"/>
            </w14:solidFill>
          </w14:textFill>
        </w:rPr>
        <w:t>（法定代表人姓名）</w:t>
      </w:r>
      <w:r>
        <w:rPr>
          <w:rFonts w:hint="eastAsia" w:ascii="宋体" w:hAnsi="宋体"/>
          <w:color w:val="000000" w:themeColor="text1"/>
          <w:sz w:val="28"/>
          <w:lang w:val="zh-CN"/>
          <w14:textFill>
            <w14:solidFill>
              <w14:schemeClr w14:val="tx1"/>
            </w14:solidFill>
          </w14:textFill>
        </w:rPr>
        <w:t>在</w:t>
      </w:r>
      <w:r>
        <w:rPr>
          <w:rFonts w:hint="eastAsia" w:ascii="宋体" w:hAnsi="宋体"/>
          <w:color w:val="000000" w:themeColor="text1"/>
          <w:sz w:val="28"/>
          <w:szCs w:val="28"/>
          <w:u w:val="single"/>
          <w14:textFill>
            <w14:solidFill>
              <w14:schemeClr w14:val="tx1"/>
            </w14:solidFill>
          </w14:textFill>
        </w:rPr>
        <w:t>XXXX</w:t>
      </w:r>
      <w:r>
        <w:rPr>
          <w:rFonts w:hint="eastAsia" w:ascii="宋体" w:hAnsi="宋体"/>
          <w:color w:val="000000" w:themeColor="text1"/>
          <w:sz w:val="28"/>
          <w:u w:val="single"/>
          <w:lang w:val="zh-CN"/>
          <w14:textFill>
            <w14:solidFill>
              <w14:schemeClr w14:val="tx1"/>
            </w14:solidFill>
          </w14:textFill>
        </w:rPr>
        <w:t xml:space="preserve"> （投标人名称）</w:t>
      </w:r>
      <w:r>
        <w:rPr>
          <w:rFonts w:hint="eastAsia" w:ascii="宋体" w:hAnsi="宋体"/>
          <w:color w:val="000000" w:themeColor="text1"/>
          <w:sz w:val="28"/>
          <w:lang w:val="zh-CN"/>
          <w14:textFill>
            <w14:solidFill>
              <w14:schemeClr w14:val="tx1"/>
            </w14:solidFill>
          </w14:textFill>
        </w:rPr>
        <w:t>处任</w:t>
      </w:r>
      <w:r>
        <w:rPr>
          <w:rFonts w:hint="eastAsia" w:ascii="宋体" w:hAnsi="宋体"/>
          <w:color w:val="000000" w:themeColor="text1"/>
          <w:sz w:val="28"/>
          <w:u w:val="single"/>
          <w:lang w:val="zh-CN"/>
          <w14:textFill>
            <w14:solidFill>
              <w14:schemeClr w14:val="tx1"/>
            </w14:solidFill>
          </w14:textFill>
        </w:rPr>
        <w:t xml:space="preserve">         XXXX（职务名称）</w:t>
      </w:r>
      <w:r>
        <w:rPr>
          <w:rFonts w:hint="eastAsia" w:ascii="宋体" w:hAnsi="宋体"/>
          <w:color w:val="000000" w:themeColor="text1"/>
          <w:sz w:val="28"/>
          <w:lang w:val="zh-CN"/>
          <w14:textFill>
            <w14:solidFill>
              <w14:schemeClr w14:val="tx1"/>
            </w14:solidFill>
          </w14:textFill>
        </w:rPr>
        <w:t>职务，是</w:t>
      </w:r>
      <w:r>
        <w:rPr>
          <w:rFonts w:hint="eastAsia" w:ascii="宋体" w:hAnsi="宋体"/>
          <w:color w:val="000000" w:themeColor="text1"/>
          <w:sz w:val="28"/>
          <w:szCs w:val="28"/>
          <w:u w:val="single"/>
          <w14:textFill>
            <w14:solidFill>
              <w14:schemeClr w14:val="tx1"/>
            </w14:solidFill>
          </w14:textFill>
        </w:rPr>
        <w:t>XXXX</w:t>
      </w:r>
      <w:r>
        <w:rPr>
          <w:rFonts w:hint="eastAsia" w:ascii="宋体" w:hAnsi="宋体"/>
          <w:color w:val="000000" w:themeColor="text1"/>
          <w:sz w:val="28"/>
          <w:u w:val="single"/>
          <w:lang w:val="zh-CN"/>
          <w14:textFill>
            <w14:solidFill>
              <w14:schemeClr w14:val="tx1"/>
            </w14:solidFill>
          </w14:textFill>
        </w:rPr>
        <w:t>（投标人名称）</w:t>
      </w:r>
      <w:r>
        <w:rPr>
          <w:rFonts w:hint="eastAsia" w:ascii="宋体" w:hAnsi="宋体"/>
          <w:color w:val="000000" w:themeColor="text1"/>
          <w:sz w:val="28"/>
          <w:lang w:val="zh-CN"/>
          <w14:textFill>
            <w14:solidFill>
              <w14:schemeClr w14:val="tx1"/>
            </w14:solidFill>
          </w14:textFill>
        </w:rPr>
        <w:t>的法定代表人。</w:t>
      </w:r>
    </w:p>
    <w:p>
      <w:pPr>
        <w:tabs>
          <w:tab w:val="left" w:pos="6300"/>
        </w:tabs>
        <w:rPr>
          <w:rFonts w:ascii="宋体" w:hAnsi="宋体"/>
          <w:color w:val="000000" w:themeColor="text1"/>
          <w:sz w:val="28"/>
          <w:lang w:val="zh-CN"/>
          <w14:textFill>
            <w14:solidFill>
              <w14:schemeClr w14:val="tx1"/>
            </w14:solidFill>
          </w14:textFill>
        </w:rPr>
      </w:pPr>
    </w:p>
    <w:p>
      <w:pPr>
        <w:tabs>
          <w:tab w:val="left" w:pos="6300"/>
        </w:tabs>
        <w:rPr>
          <w:rFonts w:ascii="宋体" w:hAnsi="宋体"/>
          <w:color w:val="000000" w:themeColor="text1"/>
          <w:sz w:val="28"/>
          <w:lang w:val="zh-CN"/>
          <w14:textFill>
            <w14:solidFill>
              <w14:schemeClr w14:val="tx1"/>
            </w14:solidFill>
          </w14:textFill>
        </w:rPr>
      </w:pPr>
    </w:p>
    <w:p>
      <w:pPr>
        <w:tabs>
          <w:tab w:val="left" w:pos="6300"/>
        </w:tabs>
        <w:rPr>
          <w:rFonts w:ascii="宋体" w:hAnsi="宋体"/>
          <w:color w:val="000000" w:themeColor="text1"/>
          <w:sz w:val="28"/>
          <w:lang w:val="zh-CN"/>
          <w14:textFill>
            <w14:solidFill>
              <w14:schemeClr w14:val="tx1"/>
            </w14:solidFill>
          </w14:textFill>
        </w:rPr>
      </w:pPr>
    </w:p>
    <w:p>
      <w:pPr>
        <w:tabs>
          <w:tab w:val="left" w:pos="6300"/>
        </w:tabs>
        <w:rPr>
          <w:rFonts w:ascii="宋体" w:hAnsi="宋体"/>
          <w:color w:val="000000" w:themeColor="text1"/>
          <w:sz w:val="28"/>
          <w:lang w:val="zh-CN"/>
          <w14:textFill>
            <w14:solidFill>
              <w14:schemeClr w14:val="tx1"/>
            </w14:solidFill>
          </w14:textFill>
        </w:rPr>
      </w:pPr>
    </w:p>
    <w:p>
      <w:pPr>
        <w:tabs>
          <w:tab w:val="left" w:pos="6300"/>
        </w:tabs>
        <w:rPr>
          <w:rFonts w:ascii="宋体" w:hAnsi="宋体"/>
          <w:color w:val="000000" w:themeColor="text1"/>
          <w:sz w:val="28"/>
          <w:lang w:val="zh-CN"/>
          <w14:textFill>
            <w14:solidFill>
              <w14:schemeClr w14:val="tx1"/>
            </w14:solidFill>
          </w14:textFill>
        </w:rPr>
      </w:pPr>
    </w:p>
    <w:p>
      <w:pPr>
        <w:tabs>
          <w:tab w:val="left" w:pos="6300"/>
        </w:tabs>
        <w:rPr>
          <w:rFonts w:ascii="宋体" w:hAnsi="宋体"/>
          <w:color w:val="000000" w:themeColor="text1"/>
          <w:sz w:val="28"/>
          <w:lang w:val="zh-CN"/>
          <w14:textFill>
            <w14:solidFill>
              <w14:schemeClr w14:val="tx1"/>
            </w14:solidFill>
          </w14:textFill>
        </w:rPr>
      </w:pPr>
    </w:p>
    <w:p>
      <w:pPr>
        <w:tabs>
          <w:tab w:val="left" w:pos="6300"/>
        </w:tabs>
        <w:ind w:firstLine="573"/>
        <w:rPr>
          <w:rFonts w:ascii="宋体" w:hAnsi="宋体"/>
          <w:color w:val="000000" w:themeColor="text1"/>
          <w:sz w:val="28"/>
          <w:lang w:val="zh-CN"/>
          <w14:textFill>
            <w14:solidFill>
              <w14:schemeClr w14:val="tx1"/>
            </w14:solidFill>
          </w14:textFill>
        </w:rPr>
      </w:pPr>
    </w:p>
    <w:p>
      <w:pPr>
        <w:tabs>
          <w:tab w:val="left" w:pos="6300"/>
        </w:tabs>
        <w:ind w:firstLine="573"/>
        <w:rPr>
          <w:rFonts w:ascii="宋体" w:hAnsi="宋体"/>
          <w:color w:val="000000" w:themeColor="text1"/>
          <w:sz w:val="28"/>
          <w:lang w:val="zh-CN"/>
          <w14:textFill>
            <w14:solidFill>
              <w14:schemeClr w14:val="tx1"/>
            </w14:solidFill>
          </w14:textFill>
        </w:rPr>
      </w:pPr>
      <w:bookmarkStart w:id="223" w:name="_Toc263768866"/>
      <w:r>
        <w:rPr>
          <w:rFonts w:hint="eastAsia" w:ascii="宋体" w:hAnsi="宋体"/>
          <w:color w:val="000000" w:themeColor="text1"/>
          <w:sz w:val="28"/>
          <w:lang w:val="zh-CN"/>
          <w14:textFill>
            <w14:solidFill>
              <w14:schemeClr w14:val="tx1"/>
            </w14:solidFill>
          </w14:textFill>
        </w:rPr>
        <w:t>特此证明。</w:t>
      </w:r>
      <w:bookmarkEnd w:id="223"/>
    </w:p>
    <w:p>
      <w:pPr>
        <w:tabs>
          <w:tab w:val="left" w:pos="6300"/>
        </w:tabs>
        <w:rPr>
          <w:rFonts w:ascii="宋体" w:hAnsi="宋体"/>
          <w:color w:val="000000" w:themeColor="text1"/>
          <w:sz w:val="28"/>
          <w:lang w:val="zh-CN"/>
          <w14:textFill>
            <w14:solidFill>
              <w14:schemeClr w14:val="tx1"/>
            </w14:solidFill>
          </w14:textFill>
        </w:rPr>
      </w:pPr>
    </w:p>
    <w:p>
      <w:pPr>
        <w:tabs>
          <w:tab w:val="left" w:pos="6300"/>
        </w:tabs>
        <w:rPr>
          <w:rFonts w:ascii="宋体" w:hAnsi="宋体"/>
          <w:color w:val="000000" w:themeColor="text1"/>
          <w:sz w:val="28"/>
          <w:lang w:val="zh-CN"/>
          <w14:textFill>
            <w14:solidFill>
              <w14:schemeClr w14:val="tx1"/>
            </w14:solidFill>
          </w14:textFill>
        </w:rPr>
      </w:pPr>
    </w:p>
    <w:p>
      <w:pPr>
        <w:ind w:firstLine="560" w:firstLineChars="200"/>
        <w:rPr>
          <w:rFonts w:ascii="宋体" w:hAnsi="宋体"/>
          <w:color w:val="000000" w:themeColor="text1"/>
          <w:sz w:val="28"/>
          <w:lang w:val="zh-CN"/>
          <w14:textFill>
            <w14:solidFill>
              <w14:schemeClr w14:val="tx1"/>
            </w14:solidFill>
          </w14:textFill>
        </w:rPr>
      </w:pPr>
      <w:r>
        <w:rPr>
          <w:rFonts w:hint="eastAsia" w:ascii="宋体" w:hAnsi="宋体"/>
          <w:color w:val="000000" w:themeColor="text1"/>
          <w:sz w:val="28"/>
          <w:lang w:val="zh-CN"/>
          <w14:textFill>
            <w14:solidFill>
              <w14:schemeClr w14:val="tx1"/>
            </w14:solidFill>
          </w14:textFill>
        </w:rPr>
        <w:t>投标人名称：</w:t>
      </w:r>
      <w:r>
        <w:rPr>
          <w:rFonts w:hint="eastAsia" w:ascii="宋体" w:hAnsi="宋体"/>
          <w:color w:val="000000" w:themeColor="text1"/>
          <w:sz w:val="28"/>
          <w:szCs w:val="28"/>
          <w14:textFill>
            <w14:solidFill>
              <w14:schemeClr w14:val="tx1"/>
            </w14:solidFill>
          </w14:textFill>
        </w:rPr>
        <w:t>XXXX</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14:textFill>
            <w14:solidFill>
              <w14:schemeClr w14:val="tx1"/>
            </w14:solidFill>
          </w14:textFill>
        </w:rPr>
        <w:t>日期：</w:t>
      </w:r>
      <w:r>
        <w:rPr>
          <w:rFonts w:hint="eastAsia" w:ascii="宋体" w:hAnsi="宋体"/>
          <w:color w:val="000000" w:themeColor="text1"/>
          <w:sz w:val="28"/>
          <w:szCs w:val="28"/>
          <w14:textFill>
            <w14:solidFill>
              <w14:schemeClr w14:val="tx1"/>
            </w14:solidFill>
          </w14:textFill>
        </w:rPr>
        <w:t>20XX</w:t>
      </w:r>
      <w:r>
        <w:rPr>
          <w:rFonts w:hint="eastAsia" w:ascii="宋体" w:hAnsi="宋体"/>
          <w:color w:val="000000" w:themeColor="text1"/>
          <w:sz w:val="28"/>
          <w14:textFill>
            <w14:solidFill>
              <w14:schemeClr w14:val="tx1"/>
            </w14:solidFill>
          </w14:textFill>
        </w:rPr>
        <w:t xml:space="preserve"> 年</w:t>
      </w:r>
      <w:r>
        <w:rPr>
          <w:rFonts w:hint="eastAsia" w:ascii="宋体" w:hAnsi="宋体"/>
          <w:color w:val="000000" w:themeColor="text1"/>
          <w:sz w:val="28"/>
          <w:szCs w:val="28"/>
          <w14:textFill>
            <w14:solidFill>
              <w14:schemeClr w14:val="tx1"/>
            </w14:solidFill>
          </w14:textFill>
        </w:rPr>
        <w:t>XX</w:t>
      </w:r>
      <w:r>
        <w:rPr>
          <w:rFonts w:hint="eastAsia" w:ascii="宋体" w:hAnsi="宋体"/>
          <w:color w:val="000000" w:themeColor="text1"/>
          <w:sz w:val="28"/>
          <w14:textFill>
            <w14:solidFill>
              <w14:schemeClr w14:val="tx1"/>
            </w14:solidFill>
          </w14:textFill>
        </w:rPr>
        <w:t>月</w:t>
      </w:r>
      <w:r>
        <w:rPr>
          <w:rFonts w:hint="eastAsia" w:ascii="宋体" w:hAnsi="宋体"/>
          <w:color w:val="000000" w:themeColor="text1"/>
          <w:sz w:val="28"/>
          <w:szCs w:val="28"/>
          <w14:textFill>
            <w14:solidFill>
              <w14:schemeClr w14:val="tx1"/>
            </w14:solidFill>
          </w14:textFill>
        </w:rPr>
        <w:t>XX</w:t>
      </w:r>
      <w:r>
        <w:rPr>
          <w:rFonts w:hint="eastAsia" w:ascii="宋体" w:hAnsi="宋体"/>
          <w:color w:val="000000" w:themeColor="text1"/>
          <w:sz w:val="28"/>
          <w14:textFill>
            <w14:solidFill>
              <w14:schemeClr w14:val="tx1"/>
            </w14:solidFill>
          </w14:textFill>
        </w:rPr>
        <w:t>日</w:t>
      </w:r>
    </w:p>
    <w:p>
      <w:pPr>
        <w:tabs>
          <w:tab w:val="left" w:pos="6300"/>
        </w:tabs>
        <w:rPr>
          <w:rFonts w:ascii="宋体" w:hAnsi="宋体"/>
          <w:b/>
          <w:color w:val="000000" w:themeColor="text1"/>
          <w:sz w:val="28"/>
          <w:u w:val="single"/>
          <w:lang w:val="zh-CN"/>
          <w14:textFill>
            <w14:solidFill>
              <w14:schemeClr w14:val="tx1"/>
            </w14:solidFill>
          </w14:textFill>
        </w:rPr>
      </w:pPr>
    </w:p>
    <w:p>
      <w:pPr>
        <w:pStyle w:val="16"/>
        <w:spacing w:line="240" w:lineRule="auto"/>
        <w:ind w:firstLine="568" w:firstLineChars="202"/>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说明：上述证明文件在投标文件中附有法定代表人身份证复印件（身份证两面均应复印）或护照复印件（供应商的法定代表人为外籍人士的，则提供护照复印件）时才能生效。</w:t>
      </w:r>
    </w:p>
    <w:p>
      <w:pPr>
        <w:pStyle w:val="5"/>
        <w:numPr>
          <w:ilvl w:val="2"/>
          <w:numId w:val="4"/>
        </w:numPr>
        <w:spacing w:after="200" w:line="240" w:lineRule="auto"/>
        <w:ind w:left="851"/>
        <w:rPr>
          <w:color w:val="000000" w:themeColor="text1"/>
          <w14:textFill>
            <w14:solidFill>
              <w14:schemeClr w14:val="tx1"/>
            </w14:solidFill>
          </w14:textFill>
        </w:rPr>
      </w:pPr>
      <w:bookmarkStart w:id="224" w:name="_Toc448132270"/>
      <w:bookmarkStart w:id="225" w:name="_Toc430250269"/>
      <w:r>
        <w:rPr>
          <w:rFonts w:hint="eastAsia"/>
          <w:color w:val="000000" w:themeColor="text1"/>
          <w14:textFill>
            <w14:solidFill>
              <w14:schemeClr w14:val="tx1"/>
            </w14:solidFill>
          </w14:textFill>
        </w:rPr>
        <w:t>中小企业声明函</w:t>
      </w:r>
      <w:bookmarkEnd w:id="224"/>
    </w:p>
    <w:bookmarkEnd w:id="214"/>
    <w:bookmarkEnd w:id="215"/>
    <w:bookmarkEnd w:id="216"/>
    <w:bookmarkEnd w:id="217"/>
    <w:bookmarkEnd w:id="218"/>
    <w:bookmarkEnd w:id="219"/>
    <w:bookmarkEnd w:id="220"/>
    <w:bookmarkEnd w:id="221"/>
    <w:bookmarkEnd w:id="222"/>
    <w:bookmarkEnd w:id="225"/>
    <w:p>
      <w:pPr>
        <w:spacing w:line="500" w:lineRule="exact"/>
        <w:jc w:val="center"/>
        <w:rPr>
          <w:rFonts w:ascii="宋体" w:hAnsi="宋体"/>
          <w:b/>
          <w:color w:val="000000" w:themeColor="text1"/>
          <w:spacing w:val="6"/>
          <w:sz w:val="28"/>
          <w:szCs w:val="28"/>
          <w14:textFill>
            <w14:solidFill>
              <w14:schemeClr w14:val="tx1"/>
            </w14:solidFill>
          </w14:textFill>
        </w:rPr>
      </w:pPr>
      <w:bookmarkStart w:id="226" w:name="_Toc302997926"/>
      <w:bookmarkStart w:id="227" w:name="_Toc220299393"/>
      <w:bookmarkStart w:id="228" w:name="_Toc263768870"/>
      <w:bookmarkStart w:id="229" w:name="_Toc263753605"/>
      <w:bookmarkStart w:id="230" w:name="_Toc217446083"/>
      <w:r>
        <w:rPr>
          <w:rFonts w:hint="eastAsia" w:ascii="宋体" w:hAnsi="宋体"/>
          <w:b/>
          <w:color w:val="000000" w:themeColor="text1"/>
          <w:spacing w:val="6"/>
          <w:sz w:val="28"/>
          <w:szCs w:val="28"/>
          <w14:textFill>
            <w14:solidFill>
              <w14:schemeClr w14:val="tx1"/>
            </w14:solidFill>
          </w14:textFill>
        </w:rPr>
        <w:t>中小企业声明函</w:t>
      </w:r>
    </w:p>
    <w:p>
      <w:pPr>
        <w:spacing w:line="500" w:lineRule="exact"/>
        <w:ind w:firstLine="584" w:firstLineChars="200"/>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本公司郑重声明，根据《政府采购促进中小企业发展管理办法》（财库〔</w:t>
      </w:r>
      <w:r>
        <w:rPr>
          <w:rFonts w:ascii="宋体" w:hAnsi="宋体"/>
          <w:color w:val="000000" w:themeColor="text1"/>
          <w:spacing w:val="6"/>
          <w:sz w:val="28"/>
          <w:szCs w:val="28"/>
          <w14:textFill>
            <w14:solidFill>
              <w14:schemeClr w14:val="tx1"/>
            </w14:solidFill>
          </w14:textFill>
        </w:rPr>
        <w:t>2020〕46号）的规定，本公司参加</w:t>
      </w:r>
      <w:r>
        <w:rPr>
          <w:rFonts w:ascii="宋体" w:hAnsi="宋体"/>
          <w:b/>
          <w:color w:val="000000" w:themeColor="text1"/>
          <w:sz w:val="28"/>
          <w:szCs w:val="28"/>
          <w:u w:val="single"/>
          <w14:textFill>
            <w14:solidFill>
              <w14:schemeClr w14:val="tx1"/>
            </w14:solidFill>
          </w14:textFill>
        </w:rPr>
        <w:t>XXXX(</w:t>
      </w:r>
      <w:r>
        <w:rPr>
          <w:rFonts w:hint="eastAsia" w:ascii="宋体" w:hAnsi="宋体"/>
          <w:b/>
          <w:color w:val="000000" w:themeColor="text1"/>
          <w:sz w:val="28"/>
          <w:szCs w:val="28"/>
          <w:u w:val="single"/>
          <w14:textFill>
            <w14:solidFill>
              <w14:schemeClr w14:val="tx1"/>
            </w14:solidFill>
          </w14:textFill>
        </w:rPr>
        <w:t>采购</w:t>
      </w:r>
      <w:r>
        <w:rPr>
          <w:rFonts w:ascii="宋体" w:hAnsi="宋体"/>
          <w:b/>
          <w:color w:val="000000" w:themeColor="text1"/>
          <w:sz w:val="28"/>
          <w:szCs w:val="28"/>
          <w:u w:val="single"/>
          <w14:textFill>
            <w14:solidFill>
              <w14:schemeClr w14:val="tx1"/>
            </w14:solidFill>
          </w14:textFill>
        </w:rPr>
        <w:t xml:space="preserve">单位)      </w:t>
      </w:r>
      <w:r>
        <w:rPr>
          <w:rFonts w:hint="eastAsia" w:ascii="宋体" w:hAnsi="宋体"/>
          <w:color w:val="000000" w:themeColor="text1"/>
          <w:spacing w:val="6"/>
          <w:sz w:val="28"/>
          <w:szCs w:val="28"/>
          <w14:textFill>
            <w14:solidFill>
              <w14:schemeClr w14:val="tx1"/>
            </w14:solidFill>
          </w14:textFill>
        </w:rPr>
        <w:t>的</w:t>
      </w:r>
      <w:r>
        <w:rPr>
          <w:rFonts w:ascii="宋体" w:hAnsi="宋体"/>
          <w:b/>
          <w:color w:val="000000" w:themeColor="text1"/>
          <w:sz w:val="28"/>
          <w:szCs w:val="28"/>
          <w:u w:val="single"/>
          <w14:textFill>
            <w14:solidFill>
              <w14:schemeClr w14:val="tx1"/>
            </w14:solidFill>
          </w14:textFill>
        </w:rPr>
        <w:t>XXXX</w:t>
      </w:r>
      <w:r>
        <w:rPr>
          <w:rFonts w:hint="eastAsia" w:ascii="宋体" w:hAnsi="宋体"/>
          <w:b/>
          <w:color w:val="000000" w:themeColor="text1"/>
          <w:sz w:val="28"/>
          <w:szCs w:val="28"/>
          <w:u w:val="single"/>
          <w14:textFill>
            <w14:solidFill>
              <w14:schemeClr w14:val="tx1"/>
            </w14:solidFill>
          </w14:textFill>
        </w:rPr>
        <w:t>（项目</w:t>
      </w:r>
      <w:r>
        <w:rPr>
          <w:rFonts w:ascii="宋体" w:hAnsi="宋体"/>
          <w:b/>
          <w:color w:val="000000" w:themeColor="text1"/>
          <w:sz w:val="28"/>
          <w:szCs w:val="28"/>
          <w:u w:val="single"/>
          <w14:textFill>
            <w14:solidFill>
              <w14:schemeClr w14:val="tx1"/>
            </w14:solidFill>
          </w14:textFill>
        </w:rPr>
        <w:t>名称</w:t>
      </w:r>
      <w:r>
        <w:rPr>
          <w:rFonts w:hint="eastAsia" w:ascii="宋体" w:hAnsi="宋体"/>
          <w:b/>
          <w:color w:val="000000" w:themeColor="text1"/>
          <w:sz w:val="28"/>
          <w:szCs w:val="28"/>
          <w:u w:val="single"/>
          <w14:textFill>
            <w14:solidFill>
              <w14:schemeClr w14:val="tx1"/>
            </w14:solidFill>
          </w14:textFill>
        </w:rPr>
        <w:t>）</w:t>
      </w:r>
      <w:r>
        <w:rPr>
          <w:rFonts w:hint="eastAsia" w:ascii="宋体" w:hAnsi="宋体"/>
          <w:b/>
          <w:color w:val="000000" w:themeColor="text1"/>
          <w:sz w:val="28"/>
          <w:szCs w:val="28"/>
          <w14:textFill>
            <w14:solidFill>
              <w14:schemeClr w14:val="tx1"/>
            </w14:solidFill>
          </w14:textFill>
        </w:rPr>
        <w:t>采购项目</w:t>
      </w:r>
      <w:r>
        <w:rPr>
          <w:rFonts w:hint="eastAsia" w:ascii="宋体" w:hAnsi="宋体"/>
          <w:b/>
          <w:color w:val="000000" w:themeColor="text1"/>
          <w:sz w:val="28"/>
          <w:szCs w:val="28"/>
          <w:u w:val="single"/>
          <w14:textFill>
            <w14:solidFill>
              <w14:schemeClr w14:val="tx1"/>
            </w14:solidFill>
          </w14:textFill>
        </w:rPr>
        <w:t>（</w:t>
      </w:r>
      <w:r>
        <w:rPr>
          <w:rFonts w:hint="eastAsia" w:ascii="宋体" w:hAnsi="宋体" w:cs="宋体"/>
          <w:b/>
          <w:color w:val="000000" w:themeColor="text1"/>
          <w:kern w:val="0"/>
          <w:sz w:val="28"/>
          <w:szCs w:val="28"/>
          <w:u w:val="single"/>
          <w:lang w:eastAsia="zh-CN"/>
          <w14:textFill>
            <w14:solidFill>
              <w14:schemeClr w14:val="tx1"/>
            </w14:solidFill>
          </w14:textFill>
        </w:rPr>
        <w:t>新津政采（202X）XXXX号</w:t>
      </w:r>
      <w:r>
        <w:rPr>
          <w:rFonts w:hint="eastAsia" w:ascii="宋体" w:hAnsi="宋体"/>
          <w:b/>
          <w:color w:val="000000" w:themeColor="text1"/>
          <w:sz w:val="28"/>
          <w:szCs w:val="28"/>
          <w:u w:val="single"/>
          <w14:textFill>
            <w14:solidFill>
              <w14:schemeClr w14:val="tx1"/>
            </w14:solidFill>
          </w14:textFill>
        </w:rPr>
        <w:t>）</w:t>
      </w:r>
      <w:r>
        <w:rPr>
          <w:rFonts w:hint="eastAsia" w:ascii="宋体" w:hAnsi="宋体"/>
          <w:color w:val="000000" w:themeColor="text1"/>
          <w:spacing w:val="6"/>
          <w:sz w:val="28"/>
          <w:szCs w:val="28"/>
          <w14:textFill>
            <w14:solidFill>
              <w14:schemeClr w14:val="tx1"/>
            </w14:solidFill>
          </w14:textFill>
        </w:rPr>
        <w:t>采购活动，服务全部由符合政策要求的中小企业承接。相关企业的具体情况如下：</w:t>
      </w:r>
    </w:p>
    <w:p>
      <w:pPr>
        <w:tabs>
          <w:tab w:val="left" w:pos="1134"/>
        </w:tabs>
        <w:spacing w:line="500" w:lineRule="exact"/>
        <w:ind w:firstLine="584" w:firstLineChars="200"/>
        <w:rPr>
          <w:rFonts w:ascii="宋体" w:hAnsi="宋体"/>
          <w:color w:val="000000" w:themeColor="text1"/>
          <w:spacing w:val="6"/>
          <w:sz w:val="28"/>
          <w:szCs w:val="28"/>
          <w14:textFill>
            <w14:solidFill>
              <w14:schemeClr w14:val="tx1"/>
            </w14:solidFill>
          </w14:textFill>
        </w:rPr>
      </w:pPr>
      <w:r>
        <w:rPr>
          <w:rFonts w:ascii="宋体" w:hAnsi="宋体"/>
          <w:color w:val="000000" w:themeColor="text1"/>
          <w:spacing w:val="6"/>
          <w:sz w:val="28"/>
          <w:szCs w:val="28"/>
          <w:u w:val="single"/>
          <w14:textFill>
            <w14:solidFill>
              <w14:schemeClr w14:val="tx1"/>
            </w14:solidFill>
          </w14:textFill>
        </w:rPr>
        <w:t>XXXX</w:t>
      </w:r>
      <w:r>
        <w:rPr>
          <w:rFonts w:hint="eastAsia" w:ascii="宋体" w:hAnsi="宋体"/>
          <w:color w:val="000000" w:themeColor="text1"/>
          <w:spacing w:val="6"/>
          <w:sz w:val="28"/>
          <w:szCs w:val="28"/>
          <w:u w:val="single"/>
          <w14:textFill>
            <w14:solidFill>
              <w14:schemeClr w14:val="tx1"/>
            </w14:solidFill>
          </w14:textFill>
        </w:rPr>
        <w:t>（标的名称）</w:t>
      </w:r>
      <w:r>
        <w:rPr>
          <w:rFonts w:hint="eastAsia" w:ascii="宋体" w:hAnsi="宋体"/>
          <w:color w:val="000000" w:themeColor="text1"/>
          <w:spacing w:val="6"/>
          <w:sz w:val="28"/>
          <w:szCs w:val="28"/>
          <w14:textFill>
            <w14:solidFill>
              <w14:schemeClr w14:val="tx1"/>
            </w14:solidFill>
          </w14:textFill>
        </w:rPr>
        <w:t>，属于</w:t>
      </w:r>
      <w:r>
        <w:rPr>
          <w:rFonts w:ascii="宋体" w:hAnsi="宋体"/>
          <w:color w:val="000000" w:themeColor="text1"/>
          <w:spacing w:val="6"/>
          <w:sz w:val="28"/>
          <w:szCs w:val="28"/>
          <w:u w:val="single"/>
          <w14:textFill>
            <w14:solidFill>
              <w14:schemeClr w14:val="tx1"/>
            </w14:solidFill>
          </w14:textFill>
        </w:rPr>
        <w:t>XXXX</w:t>
      </w:r>
      <w:r>
        <w:rPr>
          <w:rFonts w:hint="eastAsia" w:ascii="宋体" w:hAnsi="宋体"/>
          <w:color w:val="000000" w:themeColor="text1"/>
          <w:spacing w:val="6"/>
          <w:sz w:val="28"/>
          <w:szCs w:val="28"/>
          <w:u w:val="single"/>
          <w14:textFill>
            <w14:solidFill>
              <w14:schemeClr w14:val="tx1"/>
            </w14:solidFill>
          </w14:textFill>
        </w:rPr>
        <w:t>（采购文件中明确的所属行业）</w:t>
      </w:r>
      <w:r>
        <w:rPr>
          <w:rFonts w:hint="eastAsia" w:ascii="宋体" w:hAnsi="宋体"/>
          <w:color w:val="000000" w:themeColor="text1"/>
          <w:spacing w:val="6"/>
          <w:sz w:val="28"/>
          <w:szCs w:val="28"/>
          <w14:textFill>
            <w14:solidFill>
              <w14:schemeClr w14:val="tx1"/>
            </w14:solidFill>
          </w14:textFill>
        </w:rPr>
        <w:t>；承接企业为</w:t>
      </w:r>
      <w:r>
        <w:rPr>
          <w:rFonts w:ascii="宋体" w:hAnsi="宋体"/>
          <w:color w:val="000000" w:themeColor="text1"/>
          <w:spacing w:val="6"/>
          <w:sz w:val="28"/>
          <w:szCs w:val="28"/>
          <w:u w:val="single"/>
          <w14:textFill>
            <w14:solidFill>
              <w14:schemeClr w14:val="tx1"/>
            </w14:solidFill>
          </w14:textFill>
        </w:rPr>
        <w:t>XXX</w:t>
      </w:r>
      <w:r>
        <w:rPr>
          <w:rFonts w:hint="eastAsia" w:ascii="宋体" w:hAnsi="宋体"/>
          <w:color w:val="000000" w:themeColor="text1"/>
          <w:spacing w:val="6"/>
          <w:sz w:val="28"/>
          <w:szCs w:val="28"/>
          <w:u w:val="single"/>
          <w14:textFill>
            <w14:solidFill>
              <w14:schemeClr w14:val="tx1"/>
            </w14:solidFill>
          </w14:textFill>
        </w:rPr>
        <w:t>X</w:t>
      </w:r>
      <w:r>
        <w:rPr>
          <w:rFonts w:ascii="宋体" w:hAnsi="宋体"/>
          <w:color w:val="000000" w:themeColor="text1"/>
          <w:spacing w:val="6"/>
          <w:sz w:val="28"/>
          <w:szCs w:val="28"/>
          <w:u w:val="single"/>
          <w14:textFill>
            <w14:solidFill>
              <w14:schemeClr w14:val="tx1"/>
            </w14:solidFill>
          </w14:textFill>
        </w:rPr>
        <w:t>（企业名称）</w:t>
      </w:r>
      <w:r>
        <w:rPr>
          <w:rFonts w:hint="eastAsia" w:ascii="宋体" w:hAnsi="宋体"/>
          <w:color w:val="000000" w:themeColor="text1"/>
          <w:spacing w:val="6"/>
          <w:sz w:val="28"/>
          <w:szCs w:val="28"/>
          <w14:textFill>
            <w14:solidFill>
              <w14:schemeClr w14:val="tx1"/>
            </w14:solidFill>
          </w14:textFill>
        </w:rPr>
        <w:t>，从业人员</w:t>
      </w:r>
      <w:r>
        <w:rPr>
          <w:rFonts w:ascii="宋体" w:hAnsi="宋体"/>
          <w:color w:val="000000" w:themeColor="text1"/>
          <w:spacing w:val="6"/>
          <w:sz w:val="28"/>
          <w:szCs w:val="28"/>
          <w:u w:val="single"/>
          <w14:textFill>
            <w14:solidFill>
              <w14:schemeClr w14:val="tx1"/>
            </w14:solidFill>
          </w14:textFill>
        </w:rPr>
        <w:t>XX</w:t>
      </w:r>
      <w:r>
        <w:rPr>
          <w:rFonts w:hint="eastAsia" w:ascii="宋体" w:hAnsi="宋体"/>
          <w:color w:val="000000" w:themeColor="text1"/>
          <w:spacing w:val="6"/>
          <w:sz w:val="28"/>
          <w:szCs w:val="28"/>
          <w14:textFill>
            <w14:solidFill>
              <w14:schemeClr w14:val="tx1"/>
            </w14:solidFill>
          </w14:textFill>
        </w:rPr>
        <w:t>人，营业收入为</w:t>
      </w:r>
      <w:r>
        <w:rPr>
          <w:rFonts w:ascii="宋体" w:hAnsi="宋体"/>
          <w:color w:val="000000" w:themeColor="text1"/>
          <w:spacing w:val="6"/>
          <w:sz w:val="28"/>
          <w:szCs w:val="28"/>
          <w:u w:val="single"/>
          <w14:textFill>
            <w14:solidFill>
              <w14:schemeClr w14:val="tx1"/>
            </w14:solidFill>
          </w14:textFill>
        </w:rPr>
        <w:t>XX</w:t>
      </w:r>
      <w:r>
        <w:rPr>
          <w:rFonts w:hint="eastAsia" w:ascii="宋体" w:hAnsi="宋体"/>
          <w:color w:val="000000" w:themeColor="text1"/>
          <w:spacing w:val="6"/>
          <w:sz w:val="28"/>
          <w:szCs w:val="28"/>
          <w14:textFill>
            <w14:solidFill>
              <w14:schemeClr w14:val="tx1"/>
            </w14:solidFill>
          </w14:textFill>
        </w:rPr>
        <w:t>万元，资产总额为</w:t>
      </w:r>
      <w:r>
        <w:rPr>
          <w:rFonts w:ascii="宋体" w:hAnsi="宋体"/>
          <w:color w:val="000000" w:themeColor="text1"/>
          <w:spacing w:val="6"/>
          <w:sz w:val="28"/>
          <w:szCs w:val="28"/>
          <w:u w:val="single"/>
          <w14:textFill>
            <w14:solidFill>
              <w14:schemeClr w14:val="tx1"/>
            </w14:solidFill>
          </w14:textFill>
        </w:rPr>
        <w:t>XX</w:t>
      </w:r>
      <w:r>
        <w:rPr>
          <w:rFonts w:hint="eastAsia" w:ascii="宋体" w:hAnsi="宋体"/>
          <w:color w:val="000000" w:themeColor="text1"/>
          <w:spacing w:val="6"/>
          <w:sz w:val="28"/>
          <w:szCs w:val="28"/>
          <w14:textFill>
            <w14:solidFill>
              <w14:schemeClr w14:val="tx1"/>
            </w14:solidFill>
          </w14:textFill>
        </w:rPr>
        <w:t>万元，属于</w:t>
      </w:r>
      <w:r>
        <w:rPr>
          <w:rFonts w:ascii="宋体" w:hAnsi="宋体"/>
          <w:color w:val="000000" w:themeColor="text1"/>
          <w:spacing w:val="6"/>
          <w:sz w:val="28"/>
          <w:szCs w:val="28"/>
          <w:u w:val="single"/>
          <w14:textFill>
            <w14:solidFill>
              <w14:schemeClr w14:val="tx1"/>
            </w14:solidFill>
          </w14:textFill>
        </w:rPr>
        <w:t>XXXX（中型企业、小型企业、微型企业）</w:t>
      </w:r>
      <w:r>
        <w:rPr>
          <w:rFonts w:hint="eastAsia" w:ascii="宋体" w:hAnsi="宋体"/>
          <w:color w:val="000000" w:themeColor="text1"/>
          <w:spacing w:val="6"/>
          <w:sz w:val="28"/>
          <w:szCs w:val="28"/>
          <w14:textFill>
            <w14:solidFill>
              <w14:schemeClr w14:val="tx1"/>
            </w14:solidFill>
          </w14:textFill>
        </w:rPr>
        <w:t>。</w:t>
      </w:r>
    </w:p>
    <w:p>
      <w:pPr>
        <w:tabs>
          <w:tab w:val="left" w:pos="1134"/>
        </w:tabs>
        <w:spacing w:line="500" w:lineRule="exact"/>
        <w:ind w:firstLine="584" w:firstLineChars="200"/>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以上企业，不属于大企业的分支机构，不存在控股股东为大企业的情形，也不存在与大企业的负责人为同一人的情形。</w:t>
      </w:r>
    </w:p>
    <w:p>
      <w:pPr>
        <w:tabs>
          <w:tab w:val="left" w:pos="1134"/>
        </w:tabs>
        <w:spacing w:line="500" w:lineRule="exact"/>
        <w:ind w:firstLine="584" w:firstLineChars="200"/>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本企业对上述声明内容的真实性负责。如有虚假，将依法承担相应责任。</w:t>
      </w:r>
    </w:p>
    <w:p>
      <w:pPr>
        <w:spacing w:line="500" w:lineRule="exact"/>
        <w:ind w:firstLine="586" w:firstLineChars="200"/>
        <w:rPr>
          <w:rFonts w:ascii="宋体" w:hAnsi="宋体"/>
          <w:b/>
          <w:color w:val="000000" w:themeColor="text1"/>
          <w:spacing w:val="6"/>
          <w:sz w:val="28"/>
          <w:szCs w:val="28"/>
          <w14:textFill>
            <w14:solidFill>
              <w14:schemeClr w14:val="tx1"/>
            </w14:solidFill>
          </w14:textFill>
        </w:rPr>
      </w:pPr>
    </w:p>
    <w:p>
      <w:pPr>
        <w:spacing w:line="500" w:lineRule="exact"/>
        <w:ind w:firstLine="586" w:firstLineChars="200"/>
        <w:rPr>
          <w:rFonts w:ascii="宋体" w:hAnsi="宋体"/>
          <w:b/>
          <w:color w:val="000000" w:themeColor="text1"/>
          <w:spacing w:val="6"/>
          <w:sz w:val="28"/>
          <w:szCs w:val="28"/>
          <w14:textFill>
            <w14:solidFill>
              <w14:schemeClr w14:val="tx1"/>
            </w14:solidFill>
          </w14:textFill>
        </w:rPr>
      </w:pPr>
    </w:p>
    <w:p>
      <w:pPr>
        <w:spacing w:line="500" w:lineRule="exact"/>
        <w:ind w:firstLine="586" w:firstLineChars="200"/>
        <w:rPr>
          <w:rFonts w:ascii="宋体" w:hAnsi="宋体"/>
          <w:b/>
          <w:color w:val="000000" w:themeColor="text1"/>
          <w:spacing w:val="6"/>
          <w:sz w:val="28"/>
          <w:szCs w:val="28"/>
          <w14:textFill>
            <w14:solidFill>
              <w14:schemeClr w14:val="tx1"/>
            </w14:solidFill>
          </w14:textFill>
        </w:rPr>
      </w:pPr>
    </w:p>
    <w:p>
      <w:pPr>
        <w:spacing w:line="500" w:lineRule="exact"/>
        <w:ind w:firstLine="586" w:firstLineChars="200"/>
        <w:rPr>
          <w:rFonts w:ascii="宋体" w:hAnsi="宋体"/>
          <w:b/>
          <w:color w:val="000000" w:themeColor="text1"/>
          <w:spacing w:val="6"/>
          <w:sz w:val="28"/>
          <w:szCs w:val="28"/>
          <w14:textFill>
            <w14:solidFill>
              <w14:schemeClr w14:val="tx1"/>
            </w14:solidFill>
          </w14:textFill>
        </w:rPr>
      </w:pPr>
    </w:p>
    <w:p>
      <w:pPr>
        <w:tabs>
          <w:tab w:val="left" w:pos="3969"/>
        </w:tabs>
        <w:spacing w:line="500" w:lineRule="exact"/>
        <w:ind w:right="-58" w:firstLine="584" w:firstLineChars="200"/>
        <w:jc w:val="left"/>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企业名称：</w:t>
      </w:r>
      <w:r>
        <w:rPr>
          <w:rFonts w:ascii="宋体" w:hAnsi="宋体"/>
          <w:color w:val="000000" w:themeColor="text1"/>
          <w:sz w:val="28"/>
          <w:szCs w:val="28"/>
          <w:u w:val="single"/>
          <w14:textFill>
            <w14:solidFill>
              <w14:schemeClr w14:val="tx1"/>
            </w14:solidFill>
          </w14:textFill>
        </w:rPr>
        <w:t>XXXX</w:t>
      </w:r>
      <w:r>
        <w:rPr>
          <w:rFonts w:ascii="宋体" w:hAnsi="宋体"/>
          <w:color w:val="000000" w:themeColor="text1"/>
          <w:spacing w:val="6"/>
          <w:sz w:val="28"/>
          <w:szCs w:val="28"/>
          <w14:textFill>
            <w14:solidFill>
              <w14:schemeClr w14:val="tx1"/>
            </w14:solidFill>
          </w14:textFill>
        </w:rPr>
        <w:t xml:space="preserve"> </w:t>
      </w:r>
    </w:p>
    <w:p>
      <w:pPr>
        <w:tabs>
          <w:tab w:val="left" w:pos="3969"/>
        </w:tabs>
        <w:spacing w:line="500" w:lineRule="exact"/>
        <w:ind w:right="-58" w:firstLine="584" w:firstLineChars="200"/>
        <w:jc w:val="left"/>
        <w:rPr>
          <w:color w:val="000000" w:themeColor="text1"/>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日</w:t>
      </w:r>
      <w:r>
        <w:rPr>
          <w:rFonts w:ascii="宋体" w:hAnsi="宋体"/>
          <w:color w:val="000000" w:themeColor="text1"/>
          <w:spacing w:val="6"/>
          <w:sz w:val="28"/>
          <w:szCs w:val="28"/>
          <w14:textFill>
            <w14:solidFill>
              <w14:schemeClr w14:val="tx1"/>
            </w14:solidFill>
          </w14:textFill>
        </w:rPr>
        <w:t xml:space="preserve">  </w:t>
      </w:r>
      <w:r>
        <w:rPr>
          <w:rFonts w:hint="eastAsia" w:ascii="宋体" w:hAnsi="宋体"/>
          <w:color w:val="000000" w:themeColor="text1"/>
          <w:spacing w:val="6"/>
          <w:sz w:val="28"/>
          <w:szCs w:val="28"/>
          <w14:textFill>
            <w14:solidFill>
              <w14:schemeClr w14:val="tx1"/>
            </w14:solidFill>
          </w14:textFill>
        </w:rPr>
        <w:t>期：</w:t>
      </w:r>
      <w:r>
        <w:rPr>
          <w:rFonts w:ascii="宋体" w:hAnsi="宋体"/>
          <w:color w:val="000000" w:themeColor="text1"/>
          <w:sz w:val="28"/>
          <w:szCs w:val="28"/>
          <w14:textFill>
            <w14:solidFill>
              <w14:schemeClr w14:val="tx1"/>
            </w14:solidFill>
          </w14:textFill>
        </w:rPr>
        <w:t>20</w:t>
      </w:r>
      <w:r>
        <w:rPr>
          <w:rFonts w:ascii="宋体" w:hAnsi="宋体"/>
          <w:color w:val="000000" w:themeColor="text1"/>
          <w:sz w:val="28"/>
          <w:szCs w:val="28"/>
          <w:u w:val="single"/>
          <w14:textFill>
            <w14:solidFill>
              <w14:schemeClr w14:val="tx1"/>
            </w14:solidFill>
          </w14:textFill>
        </w:rPr>
        <w:t>XX</w:t>
      </w:r>
      <w:r>
        <w:rPr>
          <w:rFonts w:ascii="宋体" w:hAnsi="宋体"/>
          <w:color w:val="000000" w:themeColor="text1"/>
          <w:sz w:val="28"/>
          <w:szCs w:val="28"/>
          <w14:textFill>
            <w14:solidFill>
              <w14:schemeClr w14:val="tx1"/>
            </w14:solidFill>
          </w14:textFill>
        </w:rPr>
        <w:t>年</w:t>
      </w:r>
      <w:r>
        <w:rPr>
          <w:rFonts w:ascii="宋体" w:hAnsi="宋体"/>
          <w:color w:val="000000" w:themeColor="text1"/>
          <w:sz w:val="28"/>
          <w:szCs w:val="28"/>
          <w:u w:val="single"/>
          <w14:textFill>
            <w14:solidFill>
              <w14:schemeClr w14:val="tx1"/>
            </w14:solidFill>
          </w14:textFill>
        </w:rPr>
        <w:t>XX</w:t>
      </w:r>
      <w:r>
        <w:rPr>
          <w:rFonts w:ascii="宋体" w:hAnsi="宋体"/>
          <w:color w:val="000000" w:themeColor="text1"/>
          <w:sz w:val="28"/>
          <w:szCs w:val="28"/>
          <w14:textFill>
            <w14:solidFill>
              <w14:schemeClr w14:val="tx1"/>
            </w14:solidFill>
          </w14:textFill>
        </w:rPr>
        <w:t>月</w:t>
      </w:r>
      <w:r>
        <w:rPr>
          <w:rFonts w:ascii="宋体" w:hAnsi="宋体"/>
          <w:color w:val="000000" w:themeColor="text1"/>
          <w:sz w:val="28"/>
          <w:szCs w:val="28"/>
          <w:u w:val="single"/>
          <w14:textFill>
            <w14:solidFill>
              <w14:schemeClr w14:val="tx1"/>
            </w14:solidFill>
          </w14:textFill>
        </w:rPr>
        <w:t>XX</w:t>
      </w:r>
      <w:r>
        <w:rPr>
          <w:rFonts w:ascii="宋体" w:hAnsi="宋体"/>
          <w:color w:val="000000" w:themeColor="text1"/>
          <w:sz w:val="28"/>
          <w:szCs w:val="28"/>
          <w14:textFill>
            <w14:solidFill>
              <w14:schemeClr w14:val="tx1"/>
            </w14:solidFill>
          </w14:textFill>
        </w:rPr>
        <w:t>日</w:t>
      </w:r>
    </w:p>
    <w:p>
      <w:pPr>
        <w:pStyle w:val="84"/>
        <w:tabs>
          <w:tab w:val="left" w:pos="567"/>
          <w:tab w:val="left" w:pos="709"/>
          <w:tab w:val="left" w:pos="851"/>
        </w:tabs>
        <w:spacing w:before="60" w:line="360" w:lineRule="auto"/>
        <w:ind w:firstLine="562"/>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说明：</w:t>
      </w:r>
      <w:r>
        <w:rPr>
          <w:rFonts w:ascii="宋体" w:hAnsi="宋体"/>
          <w:b/>
          <w:color w:val="000000" w:themeColor="text1"/>
          <w:sz w:val="28"/>
          <w:szCs w:val="28"/>
          <w14:textFill>
            <w14:solidFill>
              <w14:schemeClr w14:val="tx1"/>
            </w14:solidFill>
          </w14:textFill>
        </w:rPr>
        <w:t>从业人员、营业收入、资产总额填报上</w:t>
      </w:r>
      <w:r>
        <w:rPr>
          <w:rFonts w:hint="eastAsia" w:ascii="宋体" w:hAnsi="宋体"/>
          <w:b/>
          <w:color w:val="000000" w:themeColor="text1"/>
          <w:sz w:val="28"/>
          <w:szCs w:val="28"/>
          <w14:textFill>
            <w14:solidFill>
              <w14:schemeClr w14:val="tx1"/>
            </w14:solidFill>
          </w14:textFill>
        </w:rPr>
        <w:t>一</w:t>
      </w:r>
      <w:r>
        <w:rPr>
          <w:rFonts w:ascii="宋体" w:hAnsi="宋体"/>
          <w:b/>
          <w:color w:val="000000" w:themeColor="text1"/>
          <w:sz w:val="28"/>
          <w:szCs w:val="28"/>
          <w14:textFill>
            <w14:solidFill>
              <w14:schemeClr w14:val="tx1"/>
            </w14:solidFill>
          </w14:textFill>
        </w:rPr>
        <w:t>年度数据，无上一年度</w:t>
      </w:r>
      <w:r>
        <w:rPr>
          <w:rFonts w:hint="eastAsia" w:ascii="宋体" w:hAnsi="宋体"/>
          <w:b/>
          <w:color w:val="000000" w:themeColor="text1"/>
          <w:sz w:val="28"/>
          <w:szCs w:val="28"/>
          <w14:textFill>
            <w14:solidFill>
              <w14:schemeClr w14:val="tx1"/>
            </w14:solidFill>
          </w14:textFill>
        </w:rPr>
        <w:t>数据</w:t>
      </w:r>
      <w:r>
        <w:rPr>
          <w:rFonts w:ascii="宋体" w:hAnsi="宋体"/>
          <w:b/>
          <w:color w:val="000000" w:themeColor="text1"/>
          <w:sz w:val="28"/>
          <w:szCs w:val="28"/>
          <w14:textFill>
            <w14:solidFill>
              <w14:schemeClr w14:val="tx1"/>
            </w14:solidFill>
          </w14:textFill>
        </w:rPr>
        <w:t>的新成立企业可不填报。</w:t>
      </w:r>
    </w:p>
    <w:p>
      <w:pPr>
        <w:pStyle w:val="84"/>
        <w:tabs>
          <w:tab w:val="left" w:pos="567"/>
          <w:tab w:val="left" w:pos="709"/>
          <w:tab w:val="left" w:pos="851"/>
        </w:tabs>
        <w:spacing w:line="500" w:lineRule="exact"/>
        <w:ind w:firstLine="548" w:firstLineChars="195"/>
        <w:rPr>
          <w:rFonts w:ascii="宋体" w:hAnsi="宋体"/>
          <w:b/>
          <w:color w:val="000000" w:themeColor="text1"/>
          <w:kern w:val="0"/>
          <w:sz w:val="28"/>
          <w:szCs w:val="28"/>
          <w14:textFill>
            <w14:solidFill>
              <w14:schemeClr w14:val="tx1"/>
            </w14:solidFill>
          </w14:textFill>
        </w:rPr>
      </w:pPr>
    </w:p>
    <w:p>
      <w:pPr>
        <w:tabs>
          <w:tab w:val="left" w:pos="567"/>
          <w:tab w:val="left" w:pos="709"/>
          <w:tab w:val="left" w:pos="851"/>
        </w:tabs>
        <w:spacing w:line="500" w:lineRule="exact"/>
        <w:rPr>
          <w:rFonts w:ascii="宋体" w:hAnsi="宋体"/>
          <w:b/>
          <w:color w:val="000000" w:themeColor="text1"/>
          <w:kern w:val="0"/>
          <w:sz w:val="28"/>
          <w:szCs w:val="28"/>
          <w14:textFill>
            <w14:solidFill>
              <w14:schemeClr w14:val="tx1"/>
            </w14:solidFill>
          </w14:textFill>
        </w:rPr>
      </w:pPr>
    </w:p>
    <w:p>
      <w:pPr>
        <w:pStyle w:val="5"/>
        <w:numPr>
          <w:ilvl w:val="2"/>
          <w:numId w:val="4"/>
        </w:numPr>
        <w:spacing w:after="200" w:line="240" w:lineRule="auto"/>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残疾人福利性单位声明函</w:t>
      </w:r>
    </w:p>
    <w:p>
      <w:pPr>
        <w:spacing w:line="500" w:lineRule="exact"/>
        <w:jc w:val="center"/>
        <w:rPr>
          <w:rFonts w:ascii="宋体" w:hAnsi="宋体"/>
          <w:b/>
          <w:color w:val="000000" w:themeColor="text1"/>
          <w:spacing w:val="6"/>
          <w:sz w:val="28"/>
          <w:szCs w:val="28"/>
          <w14:textFill>
            <w14:solidFill>
              <w14:schemeClr w14:val="tx1"/>
            </w14:solidFill>
          </w14:textFill>
        </w:rPr>
      </w:pPr>
      <w:r>
        <w:rPr>
          <w:rFonts w:hint="eastAsia" w:ascii="宋体" w:hAnsi="宋体"/>
          <w:b/>
          <w:color w:val="000000" w:themeColor="text1"/>
          <w:spacing w:val="6"/>
          <w:sz w:val="28"/>
          <w:szCs w:val="28"/>
          <w14:textFill>
            <w14:solidFill>
              <w14:schemeClr w14:val="tx1"/>
            </w14:solidFill>
          </w14:textFill>
        </w:rPr>
        <w:t>残疾人福利性单位声明函</w:t>
      </w:r>
    </w:p>
    <w:p>
      <w:pPr>
        <w:spacing w:line="440" w:lineRule="exact"/>
        <w:rPr>
          <w:rFonts w:ascii="仿宋_GB2312" w:eastAsia="仿宋_GB2312"/>
          <w:b/>
          <w:color w:val="000000" w:themeColor="text1"/>
          <w:spacing w:val="6"/>
          <w:sz w:val="30"/>
          <w:szCs w:val="30"/>
          <w14:textFill>
            <w14:solidFill>
              <w14:schemeClr w14:val="tx1"/>
            </w14:solidFill>
          </w14:textFill>
        </w:rPr>
      </w:pPr>
    </w:p>
    <w:p>
      <w:pPr>
        <w:tabs>
          <w:tab w:val="left" w:pos="1134"/>
        </w:tabs>
        <w:spacing w:line="500" w:lineRule="exact"/>
        <w:ind w:firstLine="584" w:firstLineChars="200"/>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color w:val="000000" w:themeColor="text1"/>
          <w:spacing w:val="6"/>
          <w:sz w:val="28"/>
          <w:szCs w:val="28"/>
          <w:u w:val="single"/>
          <w14:textFill>
            <w14:solidFill>
              <w14:schemeClr w14:val="tx1"/>
            </w14:solidFill>
          </w14:textFill>
        </w:rPr>
        <w:t>XXXX</w:t>
      </w:r>
      <w:r>
        <w:rPr>
          <w:rFonts w:hint="eastAsia" w:ascii="宋体" w:hAnsi="宋体"/>
          <w:color w:val="000000" w:themeColor="text1"/>
          <w:spacing w:val="6"/>
          <w:sz w:val="28"/>
          <w:szCs w:val="28"/>
          <w14:textFill>
            <w14:solidFill>
              <w14:schemeClr w14:val="tx1"/>
            </w14:solidFill>
          </w14:textFill>
        </w:rPr>
        <w:t>单位的</w:t>
      </w:r>
      <w:r>
        <w:rPr>
          <w:rFonts w:hint="eastAsia" w:ascii="宋体" w:hAnsi="宋体"/>
          <w:color w:val="000000" w:themeColor="text1"/>
          <w:spacing w:val="6"/>
          <w:sz w:val="28"/>
          <w:szCs w:val="28"/>
          <w:u w:val="single"/>
          <w14:textFill>
            <w14:solidFill>
              <w14:schemeClr w14:val="tx1"/>
            </w14:solidFill>
          </w14:textFill>
        </w:rPr>
        <w:t>XXXX</w:t>
      </w:r>
      <w:r>
        <w:rPr>
          <w:rFonts w:hint="eastAsia" w:ascii="宋体" w:hAnsi="宋体"/>
          <w:color w:val="000000" w:themeColor="text1"/>
          <w:spacing w:val="6"/>
          <w:sz w:val="28"/>
          <w:szCs w:val="28"/>
          <w14:textFill>
            <w14:solidFill>
              <w14:schemeClr w14:val="tx1"/>
            </w14:solidFill>
          </w14:textFill>
        </w:rPr>
        <w:t>项目采购活动由本单位提供服务。</w:t>
      </w:r>
    </w:p>
    <w:p>
      <w:pPr>
        <w:tabs>
          <w:tab w:val="left" w:pos="1134"/>
        </w:tabs>
        <w:spacing w:line="500" w:lineRule="exact"/>
        <w:ind w:firstLine="584" w:firstLineChars="200"/>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本单位对上述声明的真实性负责。如有虚假，将依法承担相应责任。</w:t>
      </w:r>
    </w:p>
    <w:p>
      <w:pPr>
        <w:overflowPunct w:val="0"/>
        <w:spacing w:line="520"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tabs>
          <w:tab w:val="left" w:pos="3969"/>
        </w:tabs>
        <w:spacing w:line="500" w:lineRule="exact"/>
        <w:ind w:right="-58" w:firstLine="584" w:firstLineChars="200"/>
        <w:jc w:val="left"/>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单位名称：</w:t>
      </w:r>
      <w:r>
        <w:rPr>
          <w:rFonts w:ascii="宋体" w:hAnsi="宋体"/>
          <w:color w:val="000000" w:themeColor="text1"/>
          <w:sz w:val="28"/>
          <w:szCs w:val="28"/>
          <w:u w:val="single"/>
          <w14:textFill>
            <w14:solidFill>
              <w14:schemeClr w14:val="tx1"/>
            </w14:solidFill>
          </w14:textFill>
        </w:rPr>
        <w:t>XXXX</w:t>
      </w:r>
      <w:r>
        <w:rPr>
          <w:rFonts w:ascii="宋体" w:hAnsi="宋体"/>
          <w:color w:val="000000" w:themeColor="text1"/>
          <w:spacing w:val="6"/>
          <w:sz w:val="28"/>
          <w:szCs w:val="28"/>
          <w14:textFill>
            <w14:solidFill>
              <w14:schemeClr w14:val="tx1"/>
            </w14:solidFill>
          </w14:textFill>
        </w:rPr>
        <w:t xml:space="preserve"> </w:t>
      </w:r>
    </w:p>
    <w:p>
      <w:pPr>
        <w:tabs>
          <w:tab w:val="left" w:pos="3969"/>
        </w:tabs>
        <w:spacing w:line="500" w:lineRule="exact"/>
        <w:ind w:right="-58" w:firstLine="584" w:firstLineChars="200"/>
        <w:jc w:val="left"/>
        <w:rPr>
          <w:color w:val="000000" w:themeColor="text1"/>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日</w:t>
      </w:r>
      <w:r>
        <w:rPr>
          <w:rFonts w:ascii="宋体" w:hAnsi="宋体"/>
          <w:color w:val="000000" w:themeColor="text1"/>
          <w:spacing w:val="6"/>
          <w:sz w:val="28"/>
          <w:szCs w:val="28"/>
          <w14:textFill>
            <w14:solidFill>
              <w14:schemeClr w14:val="tx1"/>
            </w14:solidFill>
          </w14:textFill>
        </w:rPr>
        <w:t xml:space="preserve">  </w:t>
      </w:r>
      <w:r>
        <w:rPr>
          <w:rFonts w:hint="eastAsia" w:ascii="宋体" w:hAnsi="宋体"/>
          <w:color w:val="000000" w:themeColor="text1"/>
          <w:spacing w:val="6"/>
          <w:sz w:val="28"/>
          <w:szCs w:val="28"/>
          <w14:textFill>
            <w14:solidFill>
              <w14:schemeClr w14:val="tx1"/>
            </w14:solidFill>
          </w14:textFill>
        </w:rPr>
        <w:t>期：</w:t>
      </w:r>
      <w:r>
        <w:rPr>
          <w:rFonts w:ascii="宋体" w:hAnsi="宋体"/>
          <w:color w:val="000000" w:themeColor="text1"/>
          <w:sz w:val="28"/>
          <w:szCs w:val="28"/>
          <w14:textFill>
            <w14:solidFill>
              <w14:schemeClr w14:val="tx1"/>
            </w14:solidFill>
          </w14:textFill>
        </w:rPr>
        <w:t>20</w:t>
      </w:r>
      <w:r>
        <w:rPr>
          <w:rFonts w:ascii="宋体" w:hAnsi="宋体"/>
          <w:color w:val="000000" w:themeColor="text1"/>
          <w:sz w:val="28"/>
          <w:szCs w:val="28"/>
          <w:u w:val="single"/>
          <w14:textFill>
            <w14:solidFill>
              <w14:schemeClr w14:val="tx1"/>
            </w14:solidFill>
          </w14:textFill>
        </w:rPr>
        <w:t>XX</w:t>
      </w:r>
      <w:r>
        <w:rPr>
          <w:rFonts w:ascii="宋体" w:hAnsi="宋体"/>
          <w:color w:val="000000" w:themeColor="text1"/>
          <w:sz w:val="28"/>
          <w:szCs w:val="28"/>
          <w14:textFill>
            <w14:solidFill>
              <w14:schemeClr w14:val="tx1"/>
            </w14:solidFill>
          </w14:textFill>
        </w:rPr>
        <w:t>年</w:t>
      </w:r>
      <w:r>
        <w:rPr>
          <w:rFonts w:ascii="宋体" w:hAnsi="宋体"/>
          <w:color w:val="000000" w:themeColor="text1"/>
          <w:sz w:val="28"/>
          <w:szCs w:val="28"/>
          <w:u w:val="single"/>
          <w14:textFill>
            <w14:solidFill>
              <w14:schemeClr w14:val="tx1"/>
            </w14:solidFill>
          </w14:textFill>
        </w:rPr>
        <w:t>XX</w:t>
      </w:r>
      <w:r>
        <w:rPr>
          <w:rFonts w:ascii="宋体" w:hAnsi="宋体"/>
          <w:color w:val="000000" w:themeColor="text1"/>
          <w:sz w:val="28"/>
          <w:szCs w:val="28"/>
          <w14:textFill>
            <w14:solidFill>
              <w14:schemeClr w14:val="tx1"/>
            </w14:solidFill>
          </w14:textFill>
        </w:rPr>
        <w:t>月</w:t>
      </w:r>
      <w:r>
        <w:rPr>
          <w:rFonts w:ascii="宋体" w:hAnsi="宋体"/>
          <w:color w:val="000000" w:themeColor="text1"/>
          <w:sz w:val="28"/>
          <w:szCs w:val="28"/>
          <w:u w:val="single"/>
          <w14:textFill>
            <w14:solidFill>
              <w14:schemeClr w14:val="tx1"/>
            </w14:solidFill>
          </w14:textFill>
        </w:rPr>
        <w:t>XX</w:t>
      </w:r>
      <w:r>
        <w:rPr>
          <w:rFonts w:ascii="宋体" w:hAnsi="宋体"/>
          <w:color w:val="000000" w:themeColor="text1"/>
          <w:sz w:val="28"/>
          <w:szCs w:val="28"/>
          <w14:textFill>
            <w14:solidFill>
              <w14:schemeClr w14:val="tx1"/>
            </w14:solidFill>
          </w14:textFill>
        </w:rPr>
        <w:t>日</w:t>
      </w:r>
    </w:p>
    <w:p>
      <w:pPr>
        <w:ind w:firstLine="563"/>
        <w:rPr>
          <w:rFonts w:ascii="宋体" w:hAnsi="宋体"/>
          <w:b/>
          <w:color w:val="000000" w:themeColor="text1"/>
          <w:kern w:val="0"/>
          <w:sz w:val="28"/>
          <w:szCs w:val="28"/>
          <w14:textFill>
            <w14:solidFill>
              <w14:schemeClr w14:val="tx1"/>
            </w14:solidFill>
          </w14:textFill>
        </w:rPr>
      </w:pPr>
    </w:p>
    <w:p>
      <w:pPr>
        <w:pStyle w:val="208"/>
        <w:rPr>
          <w:color w:val="000000" w:themeColor="text1"/>
          <w14:textFill>
            <w14:solidFill>
              <w14:schemeClr w14:val="tx1"/>
            </w14:solidFill>
          </w14:textFill>
        </w:rPr>
      </w:pPr>
    </w:p>
    <w:p>
      <w:pPr>
        <w:pStyle w:val="208"/>
        <w:rPr>
          <w:color w:val="000000" w:themeColor="text1"/>
          <w14:textFill>
            <w14:solidFill>
              <w14:schemeClr w14:val="tx1"/>
            </w14:solidFill>
          </w14:textFill>
        </w:rPr>
      </w:pPr>
    </w:p>
    <w:p>
      <w:pPr>
        <w:pStyle w:val="208"/>
        <w:rPr>
          <w:color w:val="000000" w:themeColor="text1"/>
          <w14:textFill>
            <w14:solidFill>
              <w14:schemeClr w14:val="tx1"/>
            </w14:solidFill>
          </w14:textFill>
        </w:rPr>
      </w:pPr>
    </w:p>
    <w:p>
      <w:pPr>
        <w:pStyle w:val="208"/>
        <w:rPr>
          <w:color w:val="000000" w:themeColor="text1"/>
          <w14:textFill>
            <w14:solidFill>
              <w14:schemeClr w14:val="tx1"/>
            </w14:solidFill>
          </w14:textFill>
        </w:rPr>
      </w:pPr>
    </w:p>
    <w:p>
      <w:pPr>
        <w:pStyle w:val="208"/>
        <w:rPr>
          <w:color w:val="000000" w:themeColor="text1"/>
          <w14:textFill>
            <w14:solidFill>
              <w14:schemeClr w14:val="tx1"/>
            </w14:solidFill>
          </w14:textFill>
        </w:rPr>
      </w:pPr>
    </w:p>
    <w:p>
      <w:pPr>
        <w:pStyle w:val="208"/>
        <w:rPr>
          <w:color w:val="000000" w:themeColor="text1"/>
          <w14:textFill>
            <w14:solidFill>
              <w14:schemeClr w14:val="tx1"/>
            </w14:solidFill>
          </w14:textFill>
        </w:rPr>
      </w:pPr>
    </w:p>
    <w:p>
      <w:pPr>
        <w:pStyle w:val="208"/>
        <w:rPr>
          <w:color w:val="000000" w:themeColor="text1"/>
          <w14:textFill>
            <w14:solidFill>
              <w14:schemeClr w14:val="tx1"/>
            </w14:solidFill>
          </w14:textFill>
        </w:rPr>
      </w:pPr>
    </w:p>
    <w:p>
      <w:pPr>
        <w:pStyle w:val="5"/>
        <w:numPr>
          <w:ilvl w:val="2"/>
          <w:numId w:val="4"/>
        </w:numPr>
        <w:spacing w:after="200" w:line="240" w:lineRule="auto"/>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投标人基本情况表</w:t>
      </w:r>
      <w:bookmarkEnd w:id="226"/>
    </w:p>
    <w:tbl>
      <w:tblPr>
        <w:tblStyle w:val="48"/>
        <w:tblW w:w="8520" w:type="dxa"/>
        <w:jc w:val="center"/>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515"/>
        <w:gridCol w:w="977"/>
        <w:gridCol w:w="1215"/>
        <w:gridCol w:w="1248"/>
        <w:gridCol w:w="8"/>
        <w:gridCol w:w="1318"/>
        <w:gridCol w:w="160"/>
        <w:gridCol w:w="1012"/>
        <w:gridCol w:w="10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jc w:val="center"/>
        </w:trPr>
        <w:tc>
          <w:tcPr>
            <w:tcW w:w="1515" w:type="dxa"/>
            <w:tcBorders>
              <w:top w:val="double" w:color="auto" w:sz="4"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投标人名称</w:t>
            </w:r>
          </w:p>
        </w:tc>
        <w:tc>
          <w:tcPr>
            <w:tcW w:w="7005" w:type="dxa"/>
            <w:gridSpan w:val="8"/>
            <w:tcBorders>
              <w:top w:val="double" w:color="auto" w:sz="4"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注册地址</w:t>
            </w:r>
          </w:p>
        </w:tc>
        <w:tc>
          <w:tcPr>
            <w:tcW w:w="3448" w:type="dxa"/>
            <w:gridSpan w:val="4"/>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3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邮政编码</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5" w:type="dxa"/>
            <w:vMerge w:val="restart"/>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联系方式</w:t>
            </w:r>
          </w:p>
        </w:tc>
        <w:tc>
          <w:tcPr>
            <w:tcW w:w="97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联系人</w:t>
            </w:r>
          </w:p>
        </w:tc>
        <w:tc>
          <w:tcPr>
            <w:tcW w:w="246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电话</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148" w:hRule="atLeast"/>
          <w:jc w:val="center"/>
        </w:trPr>
        <w:tc>
          <w:tcPr>
            <w:tcW w:w="1515" w:type="dxa"/>
            <w:vMerge w:val="continue"/>
            <w:tcBorders>
              <w:top w:val="single" w:color="auto" w:sz="6" w:space="0"/>
              <w:left w:val="double" w:color="auto" w:sz="4" w:space="0"/>
              <w:bottom w:val="single" w:color="auto" w:sz="6" w:space="0"/>
              <w:right w:val="single" w:color="auto" w:sz="6" w:space="0"/>
            </w:tcBorders>
            <w:vAlign w:val="center"/>
          </w:tcPr>
          <w:p>
            <w:pPr>
              <w:widowControl/>
              <w:jc w:val="left"/>
              <w:rPr>
                <w:rFonts w:ascii="宋体" w:hAnsi="宋体"/>
                <w:color w:val="000000" w:themeColor="text1"/>
                <w:kern w:val="0"/>
                <w:szCs w:val="21"/>
                <w14:textFill>
                  <w14:solidFill>
                    <w14:schemeClr w14:val="tx1"/>
                  </w14:solidFill>
                </w14:textFill>
              </w:rPr>
            </w:pPr>
          </w:p>
        </w:tc>
        <w:tc>
          <w:tcPr>
            <w:tcW w:w="97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传真</w:t>
            </w:r>
          </w:p>
        </w:tc>
        <w:tc>
          <w:tcPr>
            <w:tcW w:w="246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网址</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单位性质</w:t>
            </w:r>
          </w:p>
        </w:tc>
        <w:tc>
          <w:tcPr>
            <w:tcW w:w="7005" w:type="dxa"/>
            <w:gridSpan w:val="8"/>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46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法定代表人</w:t>
            </w:r>
          </w:p>
        </w:tc>
        <w:tc>
          <w:tcPr>
            <w:tcW w:w="97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姓名</w:t>
            </w:r>
          </w:p>
        </w:tc>
        <w:tc>
          <w:tcPr>
            <w:tcW w:w="121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24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技术职称</w:t>
            </w: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1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电话</w:t>
            </w:r>
          </w:p>
        </w:tc>
        <w:tc>
          <w:tcPr>
            <w:tcW w:w="1067" w:type="dxa"/>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112" w:hRule="atLeast"/>
          <w:jc w:val="center"/>
        </w:trPr>
        <w:tc>
          <w:tcPr>
            <w:tcW w:w="1515" w:type="dxa"/>
            <w:tcBorders>
              <w:top w:val="single" w:color="auto" w:sz="6" w:space="0"/>
              <w:left w:val="double" w:color="auto" w:sz="4" w:space="0"/>
              <w:bottom w:val="single" w:color="auto" w:sz="4"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技术负责人</w:t>
            </w:r>
          </w:p>
        </w:tc>
        <w:tc>
          <w:tcPr>
            <w:tcW w:w="977"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姓名</w:t>
            </w:r>
          </w:p>
        </w:tc>
        <w:tc>
          <w:tcPr>
            <w:tcW w:w="1215"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248"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技术职称</w:t>
            </w:r>
          </w:p>
        </w:tc>
        <w:tc>
          <w:tcPr>
            <w:tcW w:w="1326" w:type="dxa"/>
            <w:gridSpan w:val="2"/>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172" w:type="dxa"/>
            <w:gridSpan w:val="2"/>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电话</w:t>
            </w:r>
          </w:p>
        </w:tc>
        <w:tc>
          <w:tcPr>
            <w:tcW w:w="1067" w:type="dxa"/>
            <w:tcBorders>
              <w:top w:val="single" w:color="auto" w:sz="6" w:space="0"/>
              <w:left w:val="single" w:color="auto" w:sz="6" w:space="0"/>
              <w:bottom w:val="single" w:color="auto" w:sz="4"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18" w:hRule="atLeast"/>
          <w:jc w:val="center"/>
        </w:trPr>
        <w:tc>
          <w:tcPr>
            <w:tcW w:w="1515" w:type="dxa"/>
            <w:tcBorders>
              <w:top w:val="single" w:color="auto" w:sz="4"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财务负责人</w:t>
            </w:r>
          </w:p>
        </w:tc>
        <w:tc>
          <w:tcPr>
            <w:tcW w:w="977"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姓名</w:t>
            </w:r>
          </w:p>
        </w:tc>
        <w:tc>
          <w:tcPr>
            <w:tcW w:w="1215"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248"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技术职称</w:t>
            </w:r>
          </w:p>
        </w:tc>
        <w:tc>
          <w:tcPr>
            <w:tcW w:w="1326" w:type="dxa"/>
            <w:gridSpan w:val="2"/>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172" w:type="dxa"/>
            <w:gridSpan w:val="2"/>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电话</w:t>
            </w:r>
          </w:p>
        </w:tc>
        <w:tc>
          <w:tcPr>
            <w:tcW w:w="1067" w:type="dxa"/>
            <w:tcBorders>
              <w:top w:val="single" w:color="auto" w:sz="4"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成立时间</w:t>
            </w:r>
          </w:p>
        </w:tc>
        <w:tc>
          <w:tcPr>
            <w:tcW w:w="219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4813" w:type="dxa"/>
            <w:gridSpan w:val="6"/>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ind w:firstLine="1470" w:firstLineChars="700"/>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员工总人数：</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企业资质等级</w:t>
            </w:r>
          </w:p>
        </w:tc>
        <w:tc>
          <w:tcPr>
            <w:tcW w:w="219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248" w:type="dxa"/>
            <w:vMerge w:val="restar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其中</w:t>
            </w: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项目经理</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营业执照号</w:t>
            </w:r>
          </w:p>
        </w:tc>
        <w:tc>
          <w:tcPr>
            <w:tcW w:w="219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宋体" w:hAnsi="宋体"/>
                <w:color w:val="000000" w:themeColor="text1"/>
                <w:kern w:val="0"/>
                <w:szCs w:val="21"/>
                <w14:textFill>
                  <w14:solidFill>
                    <w14:schemeClr w14:val="tx1"/>
                  </w14:solidFill>
                </w14:textFill>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高级职称人员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注册资金</w:t>
            </w:r>
          </w:p>
        </w:tc>
        <w:tc>
          <w:tcPr>
            <w:tcW w:w="219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宋体" w:hAnsi="宋体"/>
                <w:color w:val="000000" w:themeColor="text1"/>
                <w:kern w:val="0"/>
                <w:szCs w:val="21"/>
                <w14:textFill>
                  <w14:solidFill>
                    <w14:schemeClr w14:val="tx1"/>
                  </w14:solidFill>
                </w14:textFill>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中级职称人员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开户银行</w:t>
            </w:r>
          </w:p>
        </w:tc>
        <w:tc>
          <w:tcPr>
            <w:tcW w:w="219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宋体" w:hAnsi="宋体"/>
                <w:color w:val="000000" w:themeColor="text1"/>
                <w:kern w:val="0"/>
                <w:szCs w:val="21"/>
                <w14:textFill>
                  <w14:solidFill>
                    <w14:schemeClr w14:val="tx1"/>
                  </w14:solidFill>
                </w14:textFill>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初级职称人员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账号</w:t>
            </w:r>
          </w:p>
        </w:tc>
        <w:tc>
          <w:tcPr>
            <w:tcW w:w="219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宋体" w:hAnsi="宋体"/>
                <w:color w:val="000000" w:themeColor="text1"/>
                <w:kern w:val="0"/>
                <w:szCs w:val="21"/>
                <w14:textFill>
                  <w14:solidFill>
                    <w14:schemeClr w14:val="tx1"/>
                  </w14:solidFill>
                </w14:textFill>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技工</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937"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经营范围</w:t>
            </w:r>
          </w:p>
        </w:tc>
        <w:tc>
          <w:tcPr>
            <w:tcW w:w="7005" w:type="dxa"/>
            <w:gridSpan w:val="8"/>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682" w:hRule="atLeast"/>
          <w:jc w:val="center"/>
        </w:trPr>
        <w:tc>
          <w:tcPr>
            <w:tcW w:w="1515" w:type="dxa"/>
            <w:tcBorders>
              <w:top w:val="single" w:color="auto" w:sz="6" w:space="0"/>
              <w:left w:val="double" w:color="auto" w:sz="4" w:space="0"/>
              <w:bottom w:val="double" w:color="auto" w:sz="4" w:space="0"/>
              <w:right w:val="single" w:color="auto" w:sz="6" w:space="0"/>
            </w:tcBorders>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备注</w:t>
            </w:r>
          </w:p>
        </w:tc>
        <w:tc>
          <w:tcPr>
            <w:tcW w:w="7005" w:type="dxa"/>
            <w:gridSpan w:val="8"/>
            <w:tcBorders>
              <w:top w:val="single" w:color="auto" w:sz="6" w:space="0"/>
              <w:left w:val="single" w:color="auto" w:sz="6" w:space="0"/>
              <w:bottom w:val="double" w:color="auto" w:sz="4" w:space="0"/>
              <w:right w:val="double" w:color="auto" w:sz="4" w:space="0"/>
            </w:tcBorders>
          </w:tcPr>
          <w:p>
            <w:pPr>
              <w:autoSpaceDE w:val="0"/>
              <w:autoSpaceDN w:val="0"/>
              <w:adjustRightInd w:val="0"/>
              <w:jc w:val="left"/>
              <w:rPr>
                <w:rFonts w:ascii="宋体" w:hAnsi="宋体"/>
                <w:color w:val="000000" w:themeColor="text1"/>
                <w:kern w:val="0"/>
                <w:szCs w:val="21"/>
                <w14:textFill>
                  <w14:solidFill>
                    <w14:schemeClr w14:val="tx1"/>
                  </w14:solidFill>
                </w14:textFill>
              </w:rPr>
            </w:pPr>
          </w:p>
        </w:tc>
      </w:tr>
    </w:tbl>
    <w:p>
      <w:pPr>
        <w:adjustRightInd w:val="0"/>
        <w:jc w:val="left"/>
        <w:rPr>
          <w:rFonts w:ascii="宋体" w:hAnsi="宋体"/>
          <w:bCs/>
          <w:color w:val="000000" w:themeColor="text1"/>
          <w:sz w:val="28"/>
          <w:szCs w:val="28"/>
          <w14:textFill>
            <w14:solidFill>
              <w14:schemeClr w14:val="tx1"/>
            </w14:solidFill>
          </w14:textFill>
        </w:rPr>
      </w:pPr>
    </w:p>
    <w:p>
      <w:pPr>
        <w:pStyle w:val="27"/>
        <w:spacing w:line="240" w:lineRule="auto"/>
        <w:ind w:firstLine="288" w:firstLineChars="103"/>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投标人名称：XXXX</w:t>
      </w:r>
    </w:p>
    <w:p>
      <w:pPr>
        <w:adjustRightInd w:val="0"/>
        <w:ind w:firstLine="700" w:firstLineChars="250"/>
        <w:jc w:val="left"/>
        <w:rPr>
          <w:rFonts w:ascii="宋体" w:hAnsi="宋体"/>
          <w:bCs/>
          <w:color w:val="000000" w:themeColor="text1"/>
          <w:sz w:val="28"/>
          <w:szCs w:val="28"/>
          <w14:textFill>
            <w14:solidFill>
              <w14:schemeClr w14:val="tx1"/>
            </w14:solidFill>
          </w14:textFill>
        </w:rPr>
      </w:pPr>
      <w:r>
        <w:rPr>
          <w:rFonts w:hint="eastAsia" w:ascii="宋体" w:hAnsi="宋体"/>
          <w:color w:val="000000" w:themeColor="text1"/>
          <w:sz w:val="28"/>
          <w14:textFill>
            <w14:solidFill>
              <w14:schemeClr w14:val="tx1"/>
            </w14:solidFill>
          </w14:textFill>
        </w:rPr>
        <w:t>日期：</w:t>
      </w:r>
      <w:r>
        <w:rPr>
          <w:rFonts w:hint="eastAsia" w:ascii="宋体" w:hAnsi="宋体"/>
          <w:bCs/>
          <w:color w:val="000000" w:themeColor="text1"/>
          <w:sz w:val="28"/>
          <w14:textFill>
            <w14:solidFill>
              <w14:schemeClr w14:val="tx1"/>
            </w14:solidFill>
          </w14:textFill>
        </w:rPr>
        <w:t>20XX年XX</w:t>
      </w:r>
      <w:r>
        <w:rPr>
          <w:rFonts w:hint="eastAsia" w:ascii="宋体" w:hAnsi="宋体"/>
          <w:bCs/>
          <w:color w:val="000000" w:themeColor="text1"/>
          <w:sz w:val="28"/>
          <w:szCs w:val="28"/>
          <w14:textFill>
            <w14:solidFill>
              <w14:schemeClr w14:val="tx1"/>
            </w14:solidFill>
          </w14:textFill>
        </w:rPr>
        <w:t>月</w:t>
      </w:r>
      <w:r>
        <w:rPr>
          <w:rFonts w:hint="eastAsia" w:ascii="宋体" w:hAnsi="宋体"/>
          <w:bCs/>
          <w:color w:val="000000" w:themeColor="text1"/>
          <w:sz w:val="28"/>
          <w14:textFill>
            <w14:solidFill>
              <w14:schemeClr w14:val="tx1"/>
            </w14:solidFill>
          </w14:textFill>
        </w:rPr>
        <w:t>XX</w:t>
      </w:r>
      <w:r>
        <w:rPr>
          <w:rFonts w:hint="eastAsia" w:ascii="宋体" w:hAnsi="宋体"/>
          <w:bCs/>
          <w:color w:val="000000" w:themeColor="text1"/>
          <w:sz w:val="28"/>
          <w:szCs w:val="28"/>
          <w14:textFill>
            <w14:solidFill>
              <w14:schemeClr w14:val="tx1"/>
            </w14:solidFill>
          </w14:textFill>
        </w:rPr>
        <w:t>日</w:t>
      </w:r>
      <w:bookmarkEnd w:id="227"/>
      <w:bookmarkEnd w:id="228"/>
      <w:bookmarkEnd w:id="229"/>
      <w:bookmarkStart w:id="231" w:name="_Toc220299404"/>
      <w:bookmarkStart w:id="232" w:name="_Toc263768873"/>
      <w:bookmarkStart w:id="233" w:name="_Toc263753615"/>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5"/>
        <w:numPr>
          <w:ilvl w:val="2"/>
          <w:numId w:val="4"/>
        </w:numPr>
        <w:spacing w:after="200" w:line="240" w:lineRule="auto"/>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服务方案及服务承诺</w:t>
      </w:r>
    </w:p>
    <w:p>
      <w:pPr>
        <w:snapToGrid w:val="0"/>
        <w:rPr>
          <w:rFonts w:ascii="宋体" w:hAnsi="宋体"/>
          <w:b/>
          <w:bCs/>
          <w:color w:val="000000" w:themeColor="text1"/>
          <w:sz w:val="28"/>
          <w:szCs w:val="28"/>
          <w:u w:val="single"/>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项目名称：</w:t>
      </w:r>
      <w:r>
        <w:rPr>
          <w:rFonts w:hint="eastAsia" w:ascii="宋体" w:hAnsi="宋体"/>
          <w:b/>
          <w:bCs/>
          <w:color w:val="000000" w:themeColor="text1"/>
          <w:sz w:val="28"/>
          <w:szCs w:val="28"/>
          <w:u w:val="single"/>
          <w:lang w:val="en-US" w:eastAsia="zh-CN"/>
          <w14:textFill>
            <w14:solidFill>
              <w14:schemeClr w14:val="tx1"/>
            </w14:solidFill>
          </w14:textFill>
        </w:rPr>
        <w:t>XXXX采购</w:t>
      </w:r>
      <w:r>
        <w:rPr>
          <w:rFonts w:hint="eastAsia" w:ascii="宋体" w:hAnsi="宋体"/>
          <w:b/>
          <w:bCs/>
          <w:color w:val="000000" w:themeColor="text1"/>
          <w:sz w:val="28"/>
          <w:szCs w:val="28"/>
          <w:u w:val="single"/>
          <w14:textFill>
            <w14:solidFill>
              <w14:schemeClr w14:val="tx1"/>
            </w14:solidFill>
          </w14:textFill>
        </w:rPr>
        <w:t>项目</w:t>
      </w:r>
    </w:p>
    <w:p>
      <w:pPr>
        <w:snapToGrid w:val="0"/>
        <w:rPr>
          <w:rFonts w:hint="eastAsia" w:ascii="宋体" w:hAnsi="宋体" w:eastAsia="宋体"/>
          <w:b/>
          <w:color w:val="000000" w:themeColor="text1"/>
          <w:sz w:val="28"/>
          <w:szCs w:val="28"/>
          <w:u w:val="single"/>
          <w:lang w:eastAsia="zh-CN"/>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项目编号：</w:t>
      </w:r>
      <w:r>
        <w:rPr>
          <w:rFonts w:hint="eastAsia" w:ascii="宋体" w:hAnsi="宋体"/>
          <w:b/>
          <w:color w:val="000000" w:themeColor="text1"/>
          <w:sz w:val="28"/>
          <w:szCs w:val="28"/>
          <w:u w:val="single"/>
          <w:lang w:eastAsia="zh-CN"/>
          <w14:textFill>
            <w14:solidFill>
              <w14:schemeClr w14:val="tx1"/>
            </w14:solidFill>
          </w14:textFill>
        </w:rPr>
        <w:t>新津政采（202X）XXXX号</w:t>
      </w: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投标人名称：XXXX</w:t>
      </w:r>
    </w:p>
    <w:p>
      <w:pPr>
        <w:adjustRightInd w:val="0"/>
        <w:ind w:firstLine="420" w:firstLineChars="150"/>
        <w:jc w:val="left"/>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日期：20XX年XX月XX日</w:t>
      </w: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5"/>
        <w:numPr>
          <w:ilvl w:val="2"/>
          <w:numId w:val="4"/>
        </w:numPr>
        <w:spacing w:after="200" w:line="240" w:lineRule="auto"/>
        <w:ind w:left="851"/>
        <w:rPr>
          <w:bCs w:val="0"/>
          <w:color w:val="000000" w:themeColor="text1"/>
          <w14:textFill>
            <w14:solidFill>
              <w14:schemeClr w14:val="tx1"/>
            </w14:solidFill>
          </w14:textFill>
        </w:rPr>
      </w:pPr>
      <w:r>
        <w:rPr>
          <w:rFonts w:hint="eastAsia"/>
          <w:bCs w:val="0"/>
          <w:color w:val="000000" w:themeColor="text1"/>
          <w14:textFill>
            <w14:solidFill>
              <w14:schemeClr w14:val="tx1"/>
            </w14:solidFill>
          </w14:textFill>
        </w:rPr>
        <w:t>承诺函</w:t>
      </w:r>
    </w:p>
    <w:p>
      <w:pPr>
        <w:snapToGrid w:val="0"/>
        <w:rPr>
          <w:rFonts w:ascii="宋体" w:hAnsi="宋体"/>
          <w:b/>
          <w:bCs/>
          <w:color w:val="000000" w:themeColor="text1"/>
          <w:sz w:val="28"/>
          <w:szCs w:val="28"/>
          <w:u w:val="single"/>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项目名称：</w:t>
      </w:r>
      <w:r>
        <w:rPr>
          <w:rFonts w:hint="eastAsia" w:ascii="宋体" w:hAnsi="宋体"/>
          <w:b/>
          <w:bCs/>
          <w:color w:val="000000" w:themeColor="text1"/>
          <w:sz w:val="28"/>
          <w:szCs w:val="28"/>
          <w:u w:val="single"/>
          <w:lang w:val="en-US" w:eastAsia="zh-CN"/>
          <w14:textFill>
            <w14:solidFill>
              <w14:schemeClr w14:val="tx1"/>
            </w14:solidFill>
          </w14:textFill>
        </w:rPr>
        <w:t>XXXX采购</w:t>
      </w:r>
      <w:r>
        <w:rPr>
          <w:rFonts w:hint="eastAsia" w:ascii="宋体" w:hAnsi="宋体"/>
          <w:b/>
          <w:bCs/>
          <w:color w:val="000000" w:themeColor="text1"/>
          <w:sz w:val="28"/>
          <w:szCs w:val="28"/>
          <w:u w:val="single"/>
          <w14:textFill>
            <w14:solidFill>
              <w14:schemeClr w14:val="tx1"/>
            </w14:solidFill>
          </w14:textFill>
        </w:rPr>
        <w:t>项目</w:t>
      </w:r>
    </w:p>
    <w:p>
      <w:pPr>
        <w:snapToGrid w:val="0"/>
        <w:rPr>
          <w:rFonts w:hint="eastAsia" w:ascii="宋体" w:hAnsi="宋体" w:eastAsia="宋体"/>
          <w:b/>
          <w:color w:val="000000" w:themeColor="text1"/>
          <w:sz w:val="28"/>
          <w:szCs w:val="28"/>
          <w:u w:val="single"/>
          <w:lang w:eastAsia="zh-CN"/>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项目编号：</w:t>
      </w:r>
      <w:r>
        <w:rPr>
          <w:rFonts w:hint="eastAsia" w:ascii="宋体" w:hAnsi="宋体"/>
          <w:b/>
          <w:color w:val="000000" w:themeColor="text1"/>
          <w:sz w:val="28"/>
          <w:szCs w:val="28"/>
          <w:u w:val="single"/>
          <w:lang w:eastAsia="zh-CN"/>
          <w14:textFill>
            <w14:solidFill>
              <w14:schemeClr w14:val="tx1"/>
            </w14:solidFill>
          </w14:textFill>
        </w:rPr>
        <w:t>新津政采（202X）XXXX号</w:t>
      </w:r>
    </w:p>
    <w:p>
      <w:pPr>
        <w:adjustRightInd w:val="0"/>
        <w:snapToGrid w:val="0"/>
        <w:spacing w:line="360" w:lineRule="auto"/>
        <w:ind w:firstLine="602" w:firstLineChars="201"/>
        <w:rPr>
          <w:rFonts w:ascii="宋体" w:hAnsi="宋体"/>
          <w:color w:val="000000" w:themeColor="text1"/>
          <w:sz w:val="30"/>
          <w:szCs w:val="30"/>
          <w14:textFill>
            <w14:solidFill>
              <w14:schemeClr w14:val="tx1"/>
            </w14:solidFill>
          </w14:textFill>
        </w:rPr>
      </w:pPr>
    </w:p>
    <w:p>
      <w:pPr>
        <w:adjustRightInd w:val="0"/>
        <w:snapToGrid w:val="0"/>
        <w:spacing w:line="360" w:lineRule="auto"/>
        <w:ind w:firstLine="602" w:firstLineChars="201"/>
        <w:rPr>
          <w:rFonts w:ascii="宋体" w:hAnsi="宋体"/>
          <w:color w:val="000000" w:themeColor="text1"/>
          <w:sz w:val="30"/>
          <w:szCs w:val="30"/>
          <w14:textFill>
            <w14:solidFill>
              <w14:schemeClr w14:val="tx1"/>
            </w14:solidFill>
          </w14:textFill>
        </w:rPr>
      </w:pPr>
      <w:r>
        <w:rPr>
          <w:rFonts w:hint="eastAsia" w:ascii="宋体" w:hAnsi="宋体"/>
          <w:color w:val="000000" w:themeColor="text1"/>
          <w:sz w:val="30"/>
          <w:szCs w:val="30"/>
          <w14:textFill>
            <w14:solidFill>
              <w14:schemeClr w14:val="tx1"/>
            </w14:solidFill>
          </w14:textFill>
        </w:rPr>
        <w:t>我公司作为参加本项目的投标人，在此郑重承诺：</w:t>
      </w:r>
    </w:p>
    <w:p>
      <w:pPr>
        <w:pStyle w:val="2"/>
        <w:numPr>
          <w:ilvl w:val="0"/>
          <w:numId w:val="36"/>
        </w:numPr>
        <w:rPr>
          <w:rFonts w:ascii="宋体" w:hAnsi="宋体" w:cs="宋体"/>
          <w:sz w:val="28"/>
          <w:szCs w:val="32"/>
        </w:rPr>
      </w:pPr>
      <w:r>
        <w:rPr>
          <w:rFonts w:hint="eastAsia" w:ascii="宋体" w:hAnsi="宋体"/>
          <w:color w:val="000000" w:themeColor="text1"/>
          <w:kern w:val="2"/>
          <w:sz w:val="30"/>
          <w:szCs w:val="30"/>
          <w:lang w:bidi="ar"/>
          <w14:textFill>
            <w14:solidFill>
              <w14:schemeClr w14:val="tx1"/>
            </w14:solidFill>
          </w14:textFill>
        </w:rPr>
        <w:t>本项目物业服务人员工作期间的疾病和人身安全、安全责任事故、人事关系、劳务纠纷等都由投标人自行负责。</w:t>
      </w:r>
    </w:p>
    <w:p>
      <w:pPr>
        <w:pStyle w:val="2"/>
        <w:numPr>
          <w:ilvl w:val="0"/>
          <w:numId w:val="36"/>
        </w:numPr>
        <w:rPr>
          <w:rFonts w:ascii="宋体" w:hAnsi="宋体" w:cs="宋体"/>
          <w:sz w:val="28"/>
          <w:szCs w:val="32"/>
        </w:rPr>
      </w:pPr>
      <w:r>
        <w:rPr>
          <w:rFonts w:hint="eastAsia" w:ascii="宋体" w:hAnsi="宋体" w:cs="宋体"/>
          <w:sz w:val="28"/>
          <w:szCs w:val="32"/>
        </w:rPr>
        <w:t>我方对本项目服务人员按照法律法规有关规定为员工提供不低于国家政策法规规定的最低工资保障和全额购买社会保险。</w:t>
      </w:r>
    </w:p>
    <w:p>
      <w:pPr>
        <w:pStyle w:val="2"/>
        <w:numPr>
          <w:ilvl w:val="0"/>
          <w:numId w:val="36"/>
        </w:numPr>
        <w:rPr>
          <w:rFonts w:ascii="宋体" w:hAnsi="宋体" w:cs="宋体"/>
          <w:sz w:val="28"/>
          <w:szCs w:val="32"/>
        </w:rPr>
      </w:pPr>
      <w:r>
        <w:rPr>
          <w:rFonts w:hint="eastAsia" w:ascii="宋体" w:hAnsi="宋体" w:cs="宋体"/>
          <w:sz w:val="28"/>
          <w:szCs w:val="32"/>
        </w:rPr>
        <w:t>我方所配置的保洁设备（专用的洗地机、自动洗地吸水机、抛光机、吸水洗尘机、真空吸尘机、垃圾车、高压水枪、榨水器、不锈钢桶等）、信息化管理的设备设施（电脑、系统软件、手持机等），维护费用由我方承担。</w:t>
      </w:r>
    </w:p>
    <w:p>
      <w:pPr>
        <w:pStyle w:val="2"/>
        <w:numPr>
          <w:ilvl w:val="0"/>
          <w:numId w:val="36"/>
        </w:numPr>
        <w:rPr>
          <w:rFonts w:ascii="宋体" w:hAnsi="宋体" w:cs="宋体"/>
          <w:sz w:val="28"/>
          <w:szCs w:val="32"/>
        </w:rPr>
      </w:pPr>
      <w:r>
        <w:rPr>
          <w:rFonts w:hint="eastAsia" w:ascii="宋体" w:hAnsi="宋体" w:cs="宋体"/>
          <w:sz w:val="28"/>
          <w:szCs w:val="32"/>
        </w:rPr>
        <w:t>我方在满足所有物业服务需求基础上，遇医院重大活动、大型检查或其它创建工作需拟定方案，临时增派人员协助。</w:t>
      </w:r>
    </w:p>
    <w:p>
      <w:pPr>
        <w:pStyle w:val="2"/>
        <w:numPr>
          <w:ilvl w:val="0"/>
          <w:numId w:val="36"/>
        </w:numPr>
        <w:rPr>
          <w:rFonts w:ascii="宋体" w:hAnsi="宋体" w:cs="宋体"/>
          <w:sz w:val="28"/>
          <w:szCs w:val="32"/>
        </w:rPr>
      </w:pPr>
      <w:r>
        <w:rPr>
          <w:rFonts w:hint="eastAsia" w:ascii="宋体" w:hAnsi="宋体" w:cs="宋体"/>
          <w:sz w:val="28"/>
          <w:szCs w:val="32"/>
        </w:rPr>
        <w:t>我方提供的保洁耗材[保洁洗涤剂、消毒剂、地面养护（地板蜡）产品、毛巾、生活垃圾袋、医疗废物垃圾袋、医疗废物标签纸等]及工具(拖把、扫把、保洁工具车等所有保洁所需工具)满足采购人工作需求,我方在进场前15日内准备到位，以上保洁耗材及工具费用均由我方承担。</w:t>
      </w:r>
    </w:p>
    <w:p>
      <w:pPr>
        <w:pStyle w:val="2"/>
        <w:numPr>
          <w:ilvl w:val="0"/>
          <w:numId w:val="36"/>
        </w:numPr>
        <w:rPr>
          <w:rFonts w:ascii="宋体" w:hAnsi="宋体" w:cs="宋体"/>
          <w:sz w:val="28"/>
          <w:szCs w:val="32"/>
        </w:rPr>
      </w:pPr>
      <w:r>
        <w:rPr>
          <w:rFonts w:hint="eastAsia" w:ascii="宋体" w:hAnsi="宋体" w:cs="宋体"/>
          <w:sz w:val="28"/>
          <w:szCs w:val="32"/>
        </w:rPr>
        <w:t>我方须为本项目拟派的所有服务人员提供100%培训考核合格上岗。</w:t>
      </w:r>
    </w:p>
    <w:p/>
    <w:p>
      <w:pPr>
        <w:spacing w:line="360" w:lineRule="auto"/>
        <w:rPr>
          <w:rFonts w:ascii="宋体" w:hAnsi="宋体"/>
          <w:color w:val="000000" w:themeColor="text1"/>
          <w:sz w:val="30"/>
          <w:szCs w:val="30"/>
          <w14:textFill>
            <w14:solidFill>
              <w14:schemeClr w14:val="tx1"/>
            </w14:solidFill>
          </w14:textFill>
        </w:rPr>
      </w:pPr>
    </w:p>
    <w:p>
      <w:pPr>
        <w:spacing w:line="360" w:lineRule="auto"/>
        <w:ind w:left="425"/>
        <w:rPr>
          <w:rFonts w:ascii="宋体" w:hAnsi="宋体"/>
          <w:color w:val="000000" w:themeColor="text1"/>
          <w:sz w:val="30"/>
          <w:szCs w:val="30"/>
          <w14:textFill>
            <w14:solidFill>
              <w14:schemeClr w14:val="tx1"/>
            </w14:solidFill>
          </w14:textFill>
        </w:rPr>
      </w:pPr>
    </w:p>
    <w:p>
      <w:pPr>
        <w:spacing w:line="360" w:lineRule="auto"/>
        <w:ind w:left="425"/>
        <w:rPr>
          <w:rFonts w:ascii="宋体" w:hAnsi="宋体"/>
          <w:color w:val="000000" w:themeColor="text1"/>
          <w:sz w:val="30"/>
          <w:szCs w:val="30"/>
          <w14:textFill>
            <w14:solidFill>
              <w14:schemeClr w14:val="tx1"/>
            </w14:solidFill>
          </w14:textFill>
        </w:rPr>
      </w:pPr>
    </w:p>
    <w:p>
      <w:pPr>
        <w:snapToGrid w:val="0"/>
        <w:spacing w:line="50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特此承诺。</w:t>
      </w:r>
    </w:p>
    <w:p>
      <w:pPr>
        <w:pStyle w:val="27"/>
        <w:spacing w:line="500" w:lineRule="exact"/>
        <w:ind w:firstLine="145" w:firstLineChars="52"/>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投标人名称：XXXX</w:t>
      </w:r>
    </w:p>
    <w:p>
      <w:pPr>
        <w:pStyle w:val="27"/>
        <w:spacing w:line="500" w:lineRule="exact"/>
        <w:ind w:firstLine="145" w:firstLineChars="52"/>
        <w:rPr>
          <w:rFonts w:ascii="宋体" w:hAnsi="宋体"/>
          <w:bCs/>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日期：</w:t>
      </w:r>
      <w:r>
        <w:rPr>
          <w:rFonts w:hint="eastAsia" w:ascii="宋体" w:hAnsi="宋体"/>
          <w:bCs/>
          <w:color w:val="000000" w:themeColor="text1"/>
          <w:sz w:val="28"/>
          <w14:textFill>
            <w14:solidFill>
              <w14:schemeClr w14:val="tx1"/>
            </w14:solidFill>
          </w14:textFill>
        </w:rPr>
        <w:t>20XX年XX月XX日</w:t>
      </w:r>
    </w:p>
    <w:p>
      <w:pPr>
        <w:pStyle w:val="27"/>
        <w:spacing w:line="500" w:lineRule="exact"/>
        <w:ind w:firstLine="145" w:firstLineChars="52"/>
        <w:rPr>
          <w:rFonts w:ascii="宋体" w:hAnsi="宋体"/>
          <w:bCs/>
          <w:color w:val="000000" w:themeColor="text1"/>
          <w:sz w:val="28"/>
          <w14:textFill>
            <w14:solidFill>
              <w14:schemeClr w14:val="tx1"/>
            </w14:solidFill>
          </w14:textFill>
        </w:rPr>
      </w:pPr>
    </w:p>
    <w:p>
      <w:pPr>
        <w:pStyle w:val="27"/>
        <w:spacing w:line="500" w:lineRule="exact"/>
        <w:ind w:firstLine="145" w:firstLineChars="52"/>
        <w:rPr>
          <w:rFonts w:ascii="宋体" w:hAnsi="宋体"/>
          <w:bCs/>
          <w:color w:val="000000" w:themeColor="text1"/>
          <w:sz w:val="28"/>
          <w14:textFill>
            <w14:solidFill>
              <w14:schemeClr w14:val="tx1"/>
            </w14:solidFill>
          </w14:textFill>
        </w:rPr>
      </w:pPr>
    </w:p>
    <w:p>
      <w:pPr>
        <w:pStyle w:val="27"/>
        <w:spacing w:line="500" w:lineRule="exact"/>
        <w:ind w:firstLine="145" w:firstLineChars="52"/>
        <w:rPr>
          <w:rFonts w:ascii="宋体" w:hAnsi="宋体"/>
          <w:bCs/>
          <w:color w:val="000000" w:themeColor="text1"/>
          <w:sz w:val="28"/>
          <w14:textFill>
            <w14:solidFill>
              <w14:schemeClr w14:val="tx1"/>
            </w14:solidFill>
          </w14:textFill>
        </w:rPr>
      </w:pPr>
    </w:p>
    <w:p>
      <w:pPr>
        <w:pStyle w:val="27"/>
        <w:spacing w:line="500" w:lineRule="exact"/>
        <w:ind w:firstLine="145" w:firstLineChars="52"/>
        <w:rPr>
          <w:rFonts w:ascii="宋体" w:hAnsi="宋体"/>
          <w:bCs/>
          <w:color w:val="000000" w:themeColor="text1"/>
          <w:sz w:val="28"/>
          <w14:textFill>
            <w14:solidFill>
              <w14:schemeClr w14:val="tx1"/>
            </w14:solidFill>
          </w14:textFill>
        </w:rPr>
      </w:pPr>
    </w:p>
    <w:p>
      <w:pPr>
        <w:rPr>
          <w:rFonts w:ascii="宋体" w:hAnsi="宋体"/>
          <w:bCs/>
          <w:color w:val="000000" w:themeColor="text1"/>
          <w:sz w:val="28"/>
          <w14:textFill>
            <w14:solidFill>
              <w14:schemeClr w14:val="tx1"/>
            </w14:solidFill>
          </w14:textFill>
        </w:rPr>
      </w:pPr>
      <w:r>
        <w:rPr>
          <w:rFonts w:ascii="宋体" w:hAnsi="宋体"/>
          <w:bCs/>
          <w:color w:val="000000" w:themeColor="text1"/>
          <w:sz w:val="28"/>
          <w14:textFill>
            <w14:solidFill>
              <w14:schemeClr w14:val="tx1"/>
            </w14:solidFill>
          </w14:textFill>
        </w:rPr>
        <w:br w:type="page"/>
      </w:r>
    </w:p>
    <w:bookmarkEnd w:id="230"/>
    <w:bookmarkEnd w:id="231"/>
    <w:bookmarkEnd w:id="232"/>
    <w:bookmarkEnd w:id="233"/>
    <w:p>
      <w:pPr>
        <w:pStyle w:val="3"/>
        <w:numPr>
          <w:ilvl w:val="0"/>
          <w:numId w:val="4"/>
        </w:numPr>
        <w:spacing w:before="0" w:after="0" w:line="500" w:lineRule="exact"/>
        <w:rPr>
          <w:color w:val="000000" w:themeColor="text1"/>
          <w14:textFill>
            <w14:solidFill>
              <w14:schemeClr w14:val="tx1"/>
            </w14:solidFill>
          </w14:textFill>
        </w:rPr>
      </w:pPr>
      <w:bookmarkStart w:id="234" w:name="_Toc1870"/>
      <w:bookmarkStart w:id="235" w:name="_Toc30585"/>
      <w:bookmarkStart w:id="236" w:name="_Toc4768"/>
      <w:bookmarkStart w:id="237" w:name="_Toc17291826"/>
      <w:bookmarkStart w:id="238" w:name="_Toc24469"/>
      <w:bookmarkStart w:id="239" w:name="_Toc12930"/>
      <w:bookmarkStart w:id="240" w:name="_Toc316292231"/>
      <w:bookmarkStart w:id="241" w:name="_Toc321382057"/>
      <w:r>
        <w:rPr>
          <w:rFonts w:hint="eastAsia"/>
          <w:color w:val="000000" w:themeColor="text1"/>
          <w14:textFill>
            <w14:solidFill>
              <w14:schemeClr w14:val="tx1"/>
            </w14:solidFill>
          </w14:textFill>
        </w:rPr>
        <w:t>招标项目服务、商务及其他要求</w:t>
      </w:r>
      <w:bookmarkEnd w:id="234"/>
      <w:bookmarkEnd w:id="235"/>
      <w:bookmarkEnd w:id="236"/>
      <w:bookmarkEnd w:id="237"/>
      <w:bookmarkEnd w:id="238"/>
      <w:bookmarkEnd w:id="239"/>
    </w:p>
    <w:bookmarkEnd w:id="240"/>
    <w:bookmarkEnd w:id="241"/>
    <w:p>
      <w:pPr>
        <w:pStyle w:val="4"/>
        <w:numPr>
          <w:ilvl w:val="1"/>
          <w:numId w:val="4"/>
        </w:numPr>
        <w:tabs>
          <w:tab w:val="left" w:pos="0"/>
          <w:tab w:val="left" w:pos="426"/>
          <w:tab w:val="left" w:pos="576"/>
          <w:tab w:val="left" w:pos="786"/>
        </w:tabs>
        <w:spacing w:before="0" w:after="0" w:line="500" w:lineRule="exact"/>
        <w:ind w:left="0" w:firstLine="0"/>
        <w:jc w:val="both"/>
        <w:rPr>
          <w:color w:val="000000" w:themeColor="text1"/>
          <w14:textFill>
            <w14:solidFill>
              <w14:schemeClr w14:val="tx1"/>
            </w14:solidFill>
          </w14:textFill>
        </w:rPr>
      </w:pPr>
      <w:bookmarkStart w:id="242" w:name="_Toc54857461"/>
      <w:bookmarkStart w:id="243" w:name="_Toc25588"/>
      <w:bookmarkStart w:id="244" w:name="_Toc5355"/>
      <w:bookmarkStart w:id="245" w:name="_Toc21821"/>
      <w:bookmarkStart w:id="246" w:name="_Toc26497"/>
      <w:bookmarkStart w:id="247" w:name="_Toc8639"/>
      <w:bookmarkStart w:id="248" w:name="_Toc24101"/>
      <w:r>
        <w:rPr>
          <w:rFonts w:hint="eastAsia"/>
          <w:color w:val="000000" w:themeColor="text1"/>
          <w14:textFill>
            <w14:solidFill>
              <w14:schemeClr w14:val="tx1"/>
            </w14:solidFill>
          </w14:textFill>
        </w:rPr>
        <w:t>项目概况</w:t>
      </w:r>
      <w:bookmarkEnd w:id="242"/>
      <w:bookmarkEnd w:id="243"/>
    </w:p>
    <w:p>
      <w:pPr>
        <w:spacing w:line="360" w:lineRule="auto"/>
        <w:ind w:firstLine="560" w:firstLineChars="200"/>
        <w:rPr>
          <w:rFonts w:ascii="宋体" w:hAnsi="宋体" w:cs="宋体"/>
          <w:sz w:val="28"/>
          <w:szCs w:val="28"/>
        </w:rPr>
      </w:pPr>
      <w:bookmarkStart w:id="249" w:name="_Toc54857462"/>
      <w:bookmarkStart w:id="250" w:name="_Toc13016"/>
      <w:bookmarkStart w:id="251" w:name="_Toc31844"/>
      <w:bookmarkStart w:id="252" w:name="_Toc30090"/>
      <w:bookmarkStart w:id="253" w:name="_Toc513796935"/>
      <w:bookmarkStart w:id="254" w:name="_Toc4576"/>
      <w:bookmarkStart w:id="255" w:name="_Toc4509118"/>
      <w:bookmarkStart w:id="256" w:name="_Toc24356540"/>
      <w:bookmarkStart w:id="257" w:name="_Toc3868"/>
      <w:r>
        <w:rPr>
          <w:rFonts w:hint="eastAsia" w:ascii="宋体" w:hAnsi="宋体" w:cs="宋体"/>
          <w:sz w:val="28"/>
          <w:szCs w:val="28"/>
        </w:rPr>
        <w:t>本次</w:t>
      </w:r>
      <w:r>
        <w:rPr>
          <w:rFonts w:hint="eastAsia" w:ascii="宋体" w:hAnsi="宋体" w:cs="宋体"/>
          <w:bCs/>
          <w:sz w:val="28"/>
          <w:szCs w:val="28"/>
        </w:rPr>
        <w:t>项目为成都市新津区人民医院全院环境保洁，中央运输服务。我院是一家综合性二级甲等医院，地处成都市新津区五津西路149号，医院设内科、外科、妇产科、儿科、康复科等20余个临床科室，占地面积23405平方米，建筑面积3万平方米，现在编制床位499张，开放床位619张，是成都市新津区医教研中心。</w:t>
      </w:r>
    </w:p>
    <w:p>
      <w:pPr>
        <w:pStyle w:val="4"/>
        <w:numPr>
          <w:ilvl w:val="1"/>
          <w:numId w:val="4"/>
        </w:numPr>
        <w:tabs>
          <w:tab w:val="left" w:pos="0"/>
          <w:tab w:val="left" w:pos="426"/>
          <w:tab w:val="left" w:pos="576"/>
          <w:tab w:val="left" w:pos="786"/>
        </w:tabs>
        <w:spacing w:before="0" w:after="0" w:line="520" w:lineRule="exact"/>
        <w:ind w:left="0" w:firstLine="0"/>
        <w:jc w:val="both"/>
        <w:rPr>
          <w:color w:val="000000" w:themeColor="text1"/>
          <w14:textFill>
            <w14:solidFill>
              <w14:schemeClr w14:val="tx1"/>
            </w14:solidFill>
          </w14:textFill>
        </w:rPr>
      </w:pPr>
      <w:bookmarkStart w:id="258" w:name="_Toc7997"/>
      <w:r>
        <w:rPr>
          <w:rFonts w:hint="eastAsia"/>
          <w:color w:val="000000" w:themeColor="text1"/>
          <w14:textFill>
            <w14:solidFill>
              <w14:schemeClr w14:val="tx1"/>
            </w14:solidFill>
          </w14:textFill>
        </w:rPr>
        <w:t>服务内容及要求</w:t>
      </w:r>
      <w:bookmarkEnd w:id="249"/>
      <w:bookmarkEnd w:id="250"/>
      <w:bookmarkEnd w:id="251"/>
      <w:bookmarkEnd w:id="252"/>
      <w:bookmarkEnd w:id="253"/>
      <w:bookmarkEnd w:id="254"/>
      <w:bookmarkEnd w:id="255"/>
      <w:bookmarkEnd w:id="256"/>
      <w:bookmarkEnd w:id="257"/>
      <w:bookmarkEnd w:id="258"/>
    </w:p>
    <w:p>
      <w:pPr>
        <w:pStyle w:val="5"/>
        <w:numPr>
          <w:ilvl w:val="2"/>
          <w:numId w:val="4"/>
        </w:numPr>
        <w:spacing w:after="200" w:line="520" w:lineRule="exact"/>
        <w:rPr>
          <w:bCs w:val="0"/>
          <w:color w:val="000000" w:themeColor="text1"/>
          <w14:textFill>
            <w14:solidFill>
              <w14:schemeClr w14:val="tx1"/>
            </w14:solidFill>
          </w14:textFill>
        </w:rPr>
      </w:pPr>
      <w:bookmarkStart w:id="259" w:name="_Toc513796936"/>
      <w:r>
        <w:rPr>
          <w:rFonts w:hint="eastAsia"/>
          <w:bCs w:val="0"/>
          <w:color w:val="000000" w:themeColor="text1"/>
          <w14:textFill>
            <w14:solidFill>
              <w14:schemeClr w14:val="tx1"/>
            </w14:solidFill>
          </w14:textFill>
        </w:rPr>
        <w:t>服务内容及范围</w:t>
      </w:r>
    </w:p>
    <w:p>
      <w:pPr>
        <w:spacing w:line="360" w:lineRule="auto"/>
        <w:rPr>
          <w:rFonts w:ascii="宋体" w:hAnsi="宋体" w:cs="宋体"/>
          <w:sz w:val="28"/>
          <w:szCs w:val="28"/>
        </w:rPr>
      </w:pPr>
      <w:r>
        <w:rPr>
          <w:rFonts w:hint="eastAsia" w:ascii="宋体" w:hAnsi="宋体" w:cs="宋体"/>
          <w:sz w:val="28"/>
          <w:szCs w:val="28"/>
        </w:rPr>
        <w:t>物业服务范围：成都市新津区人民医院院区。</w:t>
      </w:r>
    </w:p>
    <w:p>
      <w:pPr>
        <w:spacing w:line="360" w:lineRule="auto"/>
        <w:rPr>
          <w:rFonts w:ascii="宋体" w:hAnsi="宋体" w:cs="宋体"/>
          <w:sz w:val="28"/>
          <w:szCs w:val="28"/>
        </w:rPr>
      </w:pPr>
      <w:r>
        <w:rPr>
          <w:rFonts w:hint="eastAsia" w:ascii="宋体" w:hAnsi="宋体" w:cs="宋体"/>
          <w:sz w:val="28"/>
          <w:szCs w:val="28"/>
        </w:rPr>
        <w:t>物业服务内容：（一）负责医院保洁服务。（二）负责医院中央调度及中央运送服务 （含①24 小时中央调度中心，一站式服务②陪检服务③药品、标本配送服务④洗浆布类下收下送服务⑤医疗物资配送服务 ⑥设备仪器、后勤物资运送服务）。(三)负责医院生活垃圾和医疗垃圾的收集、分类、运输与记录服务 。(四)负责医院电梯司乘管理服务（手术室专用电梯接送病人）。</w:t>
      </w:r>
    </w:p>
    <w:p>
      <w:pPr>
        <w:pStyle w:val="5"/>
        <w:numPr>
          <w:ilvl w:val="2"/>
          <w:numId w:val="4"/>
        </w:numPr>
        <w:spacing w:after="200" w:line="520" w:lineRule="exact"/>
        <w:rPr>
          <w:bCs w:val="0"/>
          <w:color w:val="000000" w:themeColor="text1"/>
          <w14:textFill>
            <w14:solidFill>
              <w14:schemeClr w14:val="tx1"/>
            </w14:solidFill>
          </w14:textFill>
        </w:rPr>
      </w:pPr>
      <w:r>
        <w:rPr>
          <w:rFonts w:hint="eastAsia"/>
          <w:bCs w:val="0"/>
          <w:color w:val="000000" w:themeColor="text1"/>
          <w14:textFill>
            <w14:solidFill>
              <w14:schemeClr w14:val="tx1"/>
            </w14:solidFill>
          </w14:textFill>
        </w:rPr>
        <w:t>总体要求</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sz w:val="28"/>
          <w:szCs w:val="28"/>
        </w:rPr>
        <w:t>办公用房、库房由采购人提供。</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cs="宋体"/>
          <w:sz w:val="28"/>
          <w:szCs w:val="28"/>
          <w:lang w:bidi="ar"/>
        </w:rPr>
        <w:t>遵守成都市新津区人民医院的各项规章制度，服从管理，听从安排，全面完成工作任务。</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cs="宋体"/>
          <w:sz w:val="28"/>
          <w:szCs w:val="28"/>
          <w:lang w:bidi="ar"/>
        </w:rPr>
        <w:t>★本项目物业服务人员工作期间的疾病和人身安全、安全责任事故、人事关系、劳务纠纷等都由投标人自行负责。</w:t>
      </w:r>
      <w:r>
        <w:rPr>
          <w:rFonts w:hint="eastAsia" w:ascii="宋体" w:hAnsi="宋体" w:cs="宋体"/>
          <w:b/>
          <w:bCs/>
          <w:sz w:val="28"/>
          <w:szCs w:val="28"/>
          <w:lang w:bidi="ar"/>
        </w:rPr>
        <w:t>（说明：按照招标文件3.3.9承诺函内容进行承诺）</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cs="宋体"/>
          <w:bCs/>
          <w:sz w:val="28"/>
          <w:szCs w:val="21"/>
        </w:rPr>
        <w:t>投标人的各岗位员工要求统一服装，佩戴胸牌，并由投标人负责其员工工作服配备和洗涤。</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cs="宋体"/>
          <w:bCs/>
          <w:sz w:val="28"/>
          <w:szCs w:val="21"/>
        </w:rPr>
        <w:t>投标人</w:t>
      </w:r>
      <w:r>
        <w:rPr>
          <w:rFonts w:hint="eastAsia" w:ascii="宋体" w:hAnsi="宋体" w:cs="宋体"/>
          <w:sz w:val="28"/>
          <w:szCs w:val="32"/>
        </w:rPr>
        <w:t>所配置的保洁设备（专用的洗地机、自动洗地吸水机、抛光机、吸水洗尘机、真空吸尘机、垃圾车、高压水枪、榨水器、不锈钢桶等）、信息化管理的设备设施（电脑、系统软件、手持机等），维护费用由投标人承担。</w:t>
      </w:r>
      <w:r>
        <w:rPr>
          <w:rFonts w:hint="eastAsia" w:ascii="宋体" w:hAnsi="宋体" w:cs="宋体"/>
          <w:b/>
          <w:bCs/>
          <w:sz w:val="28"/>
          <w:szCs w:val="28"/>
          <w:lang w:bidi="ar"/>
        </w:rPr>
        <w:t>（说明：按照招标文件3.3.9承诺函内容进行承诺）</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cs="宋体"/>
          <w:sz w:val="28"/>
          <w:szCs w:val="28"/>
          <w:lang w:bidi="ar"/>
        </w:rPr>
        <w:t>投标人</w:t>
      </w:r>
      <w:r>
        <w:rPr>
          <w:rFonts w:hint="eastAsia" w:ascii="宋体" w:hAnsi="宋体" w:cs="宋体"/>
          <w:sz w:val="28"/>
          <w:szCs w:val="32"/>
        </w:rPr>
        <w:t>对本项目服务人员按照法律法规有关规定为员工提供不低于国家政策法规规定的最低工资保障和全额购买社会保险。</w:t>
      </w:r>
      <w:r>
        <w:rPr>
          <w:rFonts w:hint="eastAsia" w:ascii="宋体" w:hAnsi="宋体" w:cs="宋体"/>
          <w:b/>
          <w:bCs/>
          <w:sz w:val="28"/>
          <w:szCs w:val="28"/>
          <w:lang w:bidi="ar"/>
        </w:rPr>
        <w:t>（说明：按照招标文件3.3.9承诺函内容进行承诺）</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cs="宋体"/>
          <w:sz w:val="28"/>
          <w:szCs w:val="28"/>
          <w:lang w:bidi="ar"/>
        </w:rPr>
        <w:t>投标人</w:t>
      </w:r>
      <w:r>
        <w:rPr>
          <w:rFonts w:hint="eastAsia" w:ascii="宋体" w:hAnsi="宋体" w:cs="宋体"/>
          <w:sz w:val="28"/>
          <w:szCs w:val="32"/>
        </w:rPr>
        <w:t>在满足所有物业服务需求基础上，遇医院重大活动、大型检查或其它创建工作需拟定方案，临时增派人员协助。</w:t>
      </w:r>
      <w:r>
        <w:rPr>
          <w:rFonts w:hint="eastAsia" w:ascii="宋体" w:hAnsi="宋体" w:cs="宋体"/>
          <w:b/>
          <w:bCs/>
          <w:sz w:val="28"/>
          <w:szCs w:val="28"/>
          <w:lang w:bidi="ar"/>
        </w:rPr>
        <w:t>（说明：按照招标文件3.3.9承诺函内容进行承诺）</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cs="宋体"/>
          <w:sz w:val="28"/>
          <w:szCs w:val="28"/>
          <w:lang w:bidi="ar"/>
        </w:rPr>
        <w:t>投标人各项服务应深度结合国家相关行业标准及医疗卫生行业所涉及的服务要求，并按相关要求严格执行。</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cs="宋体"/>
          <w:sz w:val="28"/>
          <w:szCs w:val="28"/>
          <w:lang w:bidi="ar"/>
        </w:rPr>
        <w:t>投标人</w:t>
      </w:r>
      <w:r>
        <w:rPr>
          <w:rFonts w:hint="eastAsia" w:ascii="宋体" w:hAnsi="宋体" w:cs="宋体"/>
          <w:sz w:val="28"/>
          <w:szCs w:val="32"/>
        </w:rPr>
        <w:t>提供的保洁耗材[保洁洗涤剂、消毒剂、地面养护（地板蜡）产品、毛巾、生活垃圾袋、医疗废物垃圾袋、医疗废物标签纸等]及工具(拖把、扫把、保洁工具车等所有保洁所需工具)满足采购人工作需求,投标人在进场前15日内准备到位，以上保洁耗材及工具费用均由投标人承担。</w:t>
      </w:r>
      <w:r>
        <w:rPr>
          <w:rFonts w:hint="eastAsia" w:ascii="宋体" w:hAnsi="宋体" w:cs="宋体"/>
          <w:b/>
          <w:bCs/>
          <w:sz w:val="28"/>
          <w:szCs w:val="28"/>
          <w:lang w:bidi="ar"/>
        </w:rPr>
        <w:t>（说明：按照招标文件3.3.9承诺函内容进行承诺）</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cs="宋体"/>
          <w:sz w:val="28"/>
          <w:szCs w:val="28"/>
          <w:lang w:bidi="ar"/>
        </w:rPr>
        <w:t>投标人</w:t>
      </w:r>
      <w:r>
        <w:rPr>
          <w:rFonts w:hint="eastAsia" w:ascii="宋体" w:hAnsi="宋体" w:cs="宋体"/>
          <w:sz w:val="28"/>
          <w:szCs w:val="32"/>
        </w:rPr>
        <w:t>须为本项目拟派的所有服务人员提供100%培训考核合格上岗。</w:t>
      </w:r>
      <w:r>
        <w:rPr>
          <w:rFonts w:hint="eastAsia" w:ascii="宋体" w:hAnsi="宋体" w:cs="宋体"/>
          <w:b/>
          <w:bCs/>
          <w:sz w:val="28"/>
          <w:szCs w:val="28"/>
          <w:lang w:bidi="ar"/>
        </w:rPr>
        <w:t>（说明：按照招标文件3.3.9承诺函内容进行承诺）</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cs="宋体"/>
          <w:sz w:val="28"/>
          <w:szCs w:val="28"/>
          <w:lang w:bidi="ar"/>
        </w:rPr>
        <w:t>投标人结合投标人自身参加本项目的优势与有利条件制定物业管理服务整体实施方案，方案中包含服务重难点分析、物业管理服务的目标、物业服务的标准、物业服务机构的设置、物业服务的管理制度等五个方面。</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cs="宋体"/>
          <w:sz w:val="28"/>
          <w:szCs w:val="28"/>
          <w:lang w:bidi="ar"/>
        </w:rPr>
        <w:t xml:space="preserve">投标人根据采购需求制定针对本项目各具体服务板块（如保洁服务、中央运输服务、生活垃圾和医疗垃圾的收集、分类、运输与记录服务等）服务方案和操作流程。 </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cs="宋体"/>
          <w:sz w:val="28"/>
          <w:szCs w:val="28"/>
          <w:lang w:bidi="ar"/>
        </w:rPr>
        <w:t>投标人须保证有足够的应急措施和人员应对突发医疗紧急状况，服从院方安排。投标人员工必须遵守医院各项规章制度。投标人提供遇到特殊情况应急预案，方案中应包含自然灾害应急方案、公共卫生事件应急方案、自然灾害应急方案、医疗废物泄漏（扩散）应急方案、 火灾应急方案、标本及药物运送途中丢失应急方案、设备故障应急方案6个方面。</w:t>
      </w:r>
    </w:p>
    <w:p>
      <w:pPr>
        <w:pStyle w:val="84"/>
        <w:widowControl/>
        <w:numPr>
          <w:ilvl w:val="0"/>
          <w:numId w:val="37"/>
        </w:numPr>
        <w:tabs>
          <w:tab w:val="left" w:pos="0"/>
          <w:tab w:val="left" w:pos="630"/>
          <w:tab w:val="left" w:pos="709"/>
          <w:tab w:val="left" w:pos="846"/>
        </w:tabs>
        <w:ind w:firstLineChars="0"/>
        <w:jc w:val="left"/>
        <w:rPr>
          <w:rFonts w:ascii="宋体" w:hAnsi="宋体" w:cs="宋体"/>
          <w:sz w:val="28"/>
          <w:szCs w:val="28"/>
          <w:lang w:bidi="ar"/>
        </w:rPr>
      </w:pPr>
      <w:r>
        <w:rPr>
          <w:rFonts w:hint="eastAsia" w:ascii="宋体" w:hAnsi="宋体" w:cs="宋体"/>
          <w:sz w:val="28"/>
          <w:szCs w:val="28"/>
          <w:lang w:bidi="ar"/>
        </w:rPr>
        <w:t>本项目采购人不组织现场踏勘，投标人根据自身需求可自行踏勘，因踏勘不足造成投标影响由投标人负责。</w:t>
      </w:r>
    </w:p>
    <w:p>
      <w:pPr>
        <w:widowControl/>
        <w:tabs>
          <w:tab w:val="left" w:pos="0"/>
          <w:tab w:val="left" w:pos="630"/>
          <w:tab w:val="left" w:pos="709"/>
          <w:tab w:val="left" w:pos="846"/>
        </w:tabs>
        <w:jc w:val="left"/>
        <w:rPr>
          <w:rFonts w:ascii="宋体" w:hAnsi="宋体" w:cs="宋体"/>
          <w:sz w:val="28"/>
          <w:szCs w:val="28"/>
          <w:lang w:bidi="ar"/>
        </w:rPr>
      </w:pPr>
    </w:p>
    <w:p>
      <w:pPr>
        <w:rPr>
          <w:lang w:bidi="ar"/>
        </w:rPr>
      </w:pPr>
    </w:p>
    <w:p>
      <w:pPr>
        <w:pStyle w:val="2"/>
        <w:rPr>
          <w:lang w:bidi="ar"/>
        </w:rPr>
      </w:pPr>
    </w:p>
    <w:p>
      <w:pPr>
        <w:rPr>
          <w:lang w:bidi="ar"/>
        </w:rPr>
      </w:pPr>
    </w:p>
    <w:p>
      <w:pPr>
        <w:pStyle w:val="2"/>
        <w:rPr>
          <w:lang w:bidi="ar"/>
        </w:rPr>
      </w:pPr>
    </w:p>
    <w:p>
      <w:pPr>
        <w:pStyle w:val="5"/>
        <w:numPr>
          <w:ilvl w:val="2"/>
          <w:numId w:val="4"/>
        </w:numPr>
        <w:spacing w:after="200" w:line="520" w:lineRule="exact"/>
        <w:rPr>
          <w:bCs w:val="0"/>
          <w:color w:val="000000" w:themeColor="text1"/>
          <w14:textFill>
            <w14:solidFill>
              <w14:schemeClr w14:val="tx1"/>
            </w14:solidFill>
          </w14:textFill>
        </w:rPr>
      </w:pPr>
      <w:r>
        <w:rPr>
          <w:rFonts w:hint="eastAsia"/>
          <w:bCs w:val="0"/>
          <w:color w:val="000000" w:themeColor="text1"/>
          <w14:textFill>
            <w14:solidFill>
              <w14:schemeClr w14:val="tx1"/>
            </w14:solidFill>
          </w14:textFill>
        </w:rPr>
        <w:t>具体服务内容及要求</w:t>
      </w:r>
      <w:bookmarkStart w:id="260" w:name="_Toc54857463"/>
      <w:bookmarkStart w:id="261" w:name="_Toc24356563"/>
      <w:bookmarkStart w:id="262" w:name="_Toc4509120"/>
      <w:bookmarkStart w:id="263" w:name="_Toc12170"/>
      <w:bookmarkStart w:id="264" w:name="_Toc24972"/>
      <w:bookmarkStart w:id="265" w:name="_Toc27442"/>
      <w:bookmarkStart w:id="266" w:name="_Toc19248"/>
      <w:bookmarkStart w:id="267" w:name="_Toc9486"/>
    </w:p>
    <w:p>
      <w:pPr>
        <w:pStyle w:val="6"/>
      </w:pPr>
      <w:r>
        <w:rPr>
          <w:rFonts w:hint="eastAsia"/>
        </w:rPr>
        <w:t>保洁服务</w:t>
      </w:r>
    </w:p>
    <w:p>
      <w:pPr>
        <w:pStyle w:val="84"/>
        <w:numPr>
          <w:ilvl w:val="0"/>
          <w:numId w:val="38"/>
        </w:numPr>
        <w:spacing w:line="360" w:lineRule="auto"/>
        <w:ind w:firstLineChars="0"/>
        <w:rPr>
          <w:rFonts w:ascii="宋体" w:hAnsi="宋体" w:cs="宋体"/>
          <w:b/>
          <w:bCs/>
          <w:sz w:val="28"/>
          <w:szCs w:val="28"/>
        </w:rPr>
      </w:pPr>
      <w:r>
        <w:rPr>
          <w:rFonts w:hint="eastAsia" w:ascii="宋体" w:hAnsi="宋体" w:cs="宋体"/>
          <w:b/>
          <w:bCs/>
          <w:sz w:val="28"/>
          <w:szCs w:val="28"/>
        </w:rPr>
        <w:t>服务内容</w:t>
      </w:r>
    </w:p>
    <w:p>
      <w:pPr>
        <w:spacing w:line="360" w:lineRule="auto"/>
        <w:rPr>
          <w:rFonts w:ascii="宋体" w:hAnsi="宋体" w:cs="宋体"/>
          <w:sz w:val="28"/>
          <w:szCs w:val="32"/>
        </w:rPr>
      </w:pPr>
      <w:r>
        <w:rPr>
          <w:rFonts w:hint="eastAsia" w:ascii="宋体" w:hAnsi="宋体" w:cs="宋体"/>
          <w:sz w:val="28"/>
          <w:szCs w:val="28"/>
        </w:rPr>
        <w:t>1.负责医院区域范围内的清洁卫生及环境卫生消杀（包括楼内所有诊断室、治疗室、病房、办公区、各楼层卫生间、楼梯、通道、走廊、地下停车场、门窗、栏杆、扶手、自动扶梯、电梯及轿厢、室内家具电器表面、公共设施、楼外公共活动场所的台(地)面、公共通道、垃圾桶等）。 2米以下外墙玻璃及室内</w:t>
      </w:r>
      <w:r>
        <w:rPr>
          <w:rFonts w:hint="eastAsia" w:ascii="宋体" w:hAnsi="宋体" w:cs="宋体"/>
          <w:sz w:val="28"/>
          <w:szCs w:val="32"/>
        </w:rPr>
        <w:t>玻璃、垃圾的清运等卫生清洁及维护工作。</w:t>
      </w:r>
    </w:p>
    <w:p>
      <w:pPr>
        <w:spacing w:line="360" w:lineRule="auto"/>
        <w:rPr>
          <w:rFonts w:ascii="宋体" w:hAnsi="宋体" w:cs="宋体"/>
          <w:sz w:val="28"/>
          <w:szCs w:val="32"/>
        </w:rPr>
      </w:pPr>
      <w:r>
        <w:rPr>
          <w:rFonts w:hint="eastAsia" w:ascii="宋体" w:hAnsi="宋体" w:cs="宋体"/>
          <w:sz w:val="28"/>
          <w:szCs w:val="32"/>
        </w:rPr>
        <w:t xml:space="preserve">2.医疗废物/生活垃圾的清运及暂存间清洁；根据《医疗废物管理条例》、《医疗卫生机构医疗废物管理办法》等相关规定，负责医院医疗废物分类收集（交接、称重、登记）、院内转运（专用工具）、贮存（暂存）登记、计重交接移送专业处置公司进行集中处置，有效预防、及时控制和消除医疗废物的流失、泄漏、扩散和因意外事故所造成的危害。 </w:t>
      </w:r>
    </w:p>
    <w:p>
      <w:pPr>
        <w:spacing w:line="360" w:lineRule="auto"/>
        <w:rPr>
          <w:rFonts w:ascii="宋体" w:hAnsi="宋体" w:cs="宋体"/>
          <w:sz w:val="28"/>
          <w:szCs w:val="32"/>
        </w:rPr>
      </w:pPr>
      <w:r>
        <w:rPr>
          <w:rFonts w:hint="eastAsia" w:ascii="宋体" w:hAnsi="宋体" w:cs="宋体"/>
          <w:sz w:val="28"/>
          <w:szCs w:val="32"/>
        </w:rPr>
        <w:t xml:space="preserve">3.床单元终末消毒；在医院感染管理部门指导下，于患者出院、转院后，对其住过的病室及污染物品进行终末消毒处理。 </w:t>
      </w:r>
    </w:p>
    <w:p>
      <w:pPr>
        <w:spacing w:line="360" w:lineRule="auto"/>
        <w:rPr>
          <w:rFonts w:ascii="宋体" w:hAnsi="宋体" w:cs="宋体"/>
          <w:sz w:val="28"/>
          <w:szCs w:val="32"/>
        </w:rPr>
      </w:pPr>
      <w:r>
        <w:rPr>
          <w:rFonts w:hint="eastAsia" w:ascii="宋体" w:hAnsi="宋体" w:cs="宋体"/>
          <w:sz w:val="28"/>
          <w:szCs w:val="32"/>
        </w:rPr>
        <w:t>4.配合医院做好各项创建活动和检查工作，完成突击、抢险等安全应急工作。如遇灾害天气（如暴雨、大雪、冰雹等）应在第一时间内响应，做好灾后清理工作。</w:t>
      </w:r>
    </w:p>
    <w:p>
      <w:pPr>
        <w:spacing w:line="360" w:lineRule="auto"/>
        <w:rPr>
          <w:rFonts w:ascii="宋体" w:hAnsi="宋体" w:cs="宋体"/>
          <w:sz w:val="28"/>
          <w:szCs w:val="32"/>
        </w:rPr>
      </w:pPr>
      <w:r>
        <w:rPr>
          <w:rFonts w:hint="eastAsia" w:ascii="宋体" w:hAnsi="宋体" w:cs="宋体"/>
          <w:sz w:val="28"/>
          <w:szCs w:val="32"/>
        </w:rPr>
        <w:t>5.遇医院重要庆典或接待工作等需加强保洁频次，满足医院要求。</w:t>
      </w:r>
    </w:p>
    <w:p>
      <w:pPr>
        <w:pStyle w:val="84"/>
        <w:numPr>
          <w:ilvl w:val="0"/>
          <w:numId w:val="38"/>
        </w:numPr>
        <w:spacing w:line="360" w:lineRule="auto"/>
        <w:ind w:firstLineChars="0"/>
        <w:rPr>
          <w:rFonts w:ascii="宋体" w:hAnsi="宋体" w:cs="宋体"/>
          <w:b/>
          <w:bCs/>
          <w:sz w:val="28"/>
          <w:szCs w:val="28"/>
        </w:rPr>
      </w:pPr>
      <w:r>
        <w:rPr>
          <w:rFonts w:hint="eastAsia" w:ascii="宋体" w:hAnsi="宋体" w:cs="宋体"/>
          <w:b/>
          <w:bCs/>
          <w:sz w:val="28"/>
          <w:szCs w:val="28"/>
        </w:rPr>
        <w:t>服务标准</w:t>
      </w:r>
    </w:p>
    <w:p>
      <w:pPr>
        <w:spacing w:line="360" w:lineRule="auto"/>
        <w:ind w:firstLine="560" w:firstLineChars="200"/>
        <w:rPr>
          <w:rFonts w:ascii="宋体" w:hAnsi="宋体" w:cs="宋体"/>
          <w:sz w:val="28"/>
          <w:szCs w:val="28"/>
        </w:rPr>
      </w:pPr>
      <w:r>
        <w:rPr>
          <w:rFonts w:hint="eastAsia" w:ascii="宋体" w:hAnsi="宋体" w:cs="宋体"/>
          <w:sz w:val="28"/>
          <w:szCs w:val="28"/>
        </w:rPr>
        <w:t>清洁标准应符合医院院感要求及规定的相关标准和规范,建立保洁管理制度并认真落实，实行标准化清扫保洁，由专人负责检查监督，清洁率100%。具体区域标准如下：</w:t>
      </w:r>
    </w:p>
    <w:p>
      <w:pPr>
        <w:spacing w:line="360" w:lineRule="auto"/>
        <w:rPr>
          <w:rFonts w:ascii="宋体" w:hAnsi="宋体" w:cs="宋体"/>
          <w:sz w:val="28"/>
          <w:szCs w:val="28"/>
        </w:rPr>
      </w:pPr>
      <w:r>
        <w:rPr>
          <w:rFonts w:hint="eastAsia" w:ascii="宋体" w:hAnsi="宋体" w:cs="宋体"/>
          <w:sz w:val="28"/>
          <w:szCs w:val="28"/>
        </w:rPr>
        <w:t>1．公共外环境地面每天全面清洁至少三次：第一次在每日早上7:30前完成，第二次在每日中午13:30前完成，第三次在每日下午16:30前完成，其余时间为局部打扫和巡视维护（随脏随拖）；公共区域的路灯灯柱、花台、公共座椅、宣传栏、指示牌、垃圾桶保证每日两次保洁，上午10:30前完成清洁工作，下午16:30前完成，及时完成垃圾桶内垃圾的清理转运工作。道路地面干净无杂物、无积水，无污迹、油渍；明沟、窨井内无杂物、无异味；各种标示标牌表面干净无积尘、无水印；路灯表面干净无污渍。绿化带、罗马盆、花箱、绿地内无杂物，花台表面干净无污渍。</w:t>
      </w:r>
    </w:p>
    <w:p>
      <w:pPr>
        <w:spacing w:line="360" w:lineRule="auto"/>
        <w:rPr>
          <w:rFonts w:ascii="宋体" w:hAnsi="宋体" w:cs="宋体"/>
          <w:sz w:val="28"/>
          <w:szCs w:val="28"/>
        </w:rPr>
      </w:pPr>
      <w:r>
        <w:rPr>
          <w:rFonts w:hint="eastAsia" w:ascii="宋体" w:hAnsi="宋体" w:cs="宋体"/>
          <w:sz w:val="28"/>
          <w:szCs w:val="28"/>
        </w:rPr>
        <w:t xml:space="preserve">2.门诊区域的室内外地面每日至少全面清洁三次：第一次在每日早上7:30前完成，第二次在每日中午13:30前完成，第三次在每日下午16:30前完成，其余时间为局部打扫和巡视维护（随脏随拖）；每日上午10:00前完成门、窗、桌、椅、床及公共设施的清洁卫生工作；每20-30分钟巡视维护一次厕所、楼道的清洁卫生，达到医院卫生要求，公区厕所需配置专人保洁；劝戒吸烟人士不得在楼内吸烟；积极热情帮助病人及家属的就医；及时完成垃圾桶内垃圾的清理转运工作。大厅、楼内，公共通道地面干净、无污渍，有光泽，保持地面材质原貌；门框、窗框、窗台、金属件表面光亮、无灰尘、无污渍；门窗玻璃干净无尘，透光性好，无明显印迹。分诊台、护士站台、候诊椅洁净无尘，候诊室及一切陈列设施无灰尘。 </w:t>
      </w:r>
    </w:p>
    <w:p>
      <w:pPr>
        <w:spacing w:line="360" w:lineRule="auto"/>
        <w:rPr>
          <w:rFonts w:ascii="宋体" w:hAnsi="宋体" w:cs="宋体"/>
          <w:sz w:val="28"/>
          <w:szCs w:val="28"/>
        </w:rPr>
      </w:pPr>
      <w:r>
        <w:rPr>
          <w:rFonts w:hint="eastAsia" w:ascii="宋体" w:hAnsi="宋体" w:cs="宋体"/>
          <w:sz w:val="28"/>
          <w:szCs w:val="28"/>
        </w:rPr>
        <w:t>3.所有病房区域地面每日至少全面清洁二次：第一次在每日早上7:30前完成，第二次在每日中午13:30前完成，其余时间为局部打扫和巡视维护（随脏随拖），每周彻底大清洁一次；每日上午10:30前完成门、窗、桌、椅、开水房、厕所、设备带及其它区域的清洁卫生工作；及时完成出院、转科、转床、转院患者床单元的终末处置；每日下午15:00前再次完成厕所、开水房、设备井及辅助用房的清洁卫生；每20-30分钟巡视维护一次开水房、厕所、楼道的清洁卫生，保持地面干净、整洁、无污渍、无水迹，物体表面光亮、无灰尘、无污渍；及时完成垃圾桶内垃圾的清理转运工作。在完成本职工作下听从护士长的安排。</w:t>
      </w:r>
    </w:p>
    <w:p>
      <w:pPr>
        <w:spacing w:line="360" w:lineRule="auto"/>
        <w:rPr>
          <w:rFonts w:ascii="宋体" w:hAnsi="宋体" w:cs="宋体"/>
          <w:sz w:val="28"/>
          <w:szCs w:val="28"/>
        </w:rPr>
      </w:pPr>
      <w:r>
        <w:rPr>
          <w:rFonts w:hint="eastAsia" w:ascii="宋体" w:hAnsi="宋体" w:cs="宋体"/>
          <w:sz w:val="28"/>
          <w:szCs w:val="28"/>
        </w:rPr>
        <w:t>4．各类行政、办公、业务、休息室、会议室、接待室、科研教学楼等非临床用房的清洁，每天清洁为2次，每天例行清洁的时间及周、月集中清洁时间为商定时间，清洁时间的执行以不影响医院公务为原则。</w:t>
      </w:r>
    </w:p>
    <w:p>
      <w:pPr>
        <w:spacing w:line="360" w:lineRule="auto"/>
        <w:rPr>
          <w:rFonts w:ascii="宋体" w:hAnsi="宋体" w:cs="宋体"/>
          <w:sz w:val="28"/>
          <w:szCs w:val="28"/>
        </w:rPr>
      </w:pPr>
      <w:r>
        <w:rPr>
          <w:rFonts w:hint="eastAsia" w:ascii="宋体" w:hAnsi="宋体" w:cs="宋体"/>
          <w:sz w:val="28"/>
          <w:szCs w:val="28"/>
        </w:rPr>
        <w:t>5．所有区域的厕所，严格按“厕所革命”四有四无标准执行。投标人安排专人负责公厕日常管理工作，制作标准公示牌上墙，明确岗位职责、清洁标准。每天定时清扫、跟踪保洁，勤冲、勤刷、勤擦、勤换，做到无污垢、无积水、无积便、无积尘、无蚊蝇、无明显异味、无乱贴乱挂、无乱堆乱放现象，定时消毒。工作人员每日如实填写厕所保洁作业。</w:t>
      </w:r>
    </w:p>
    <w:p>
      <w:pPr>
        <w:pStyle w:val="84"/>
        <w:numPr>
          <w:ilvl w:val="0"/>
          <w:numId w:val="38"/>
        </w:numPr>
        <w:spacing w:line="360" w:lineRule="auto"/>
        <w:ind w:firstLineChars="0"/>
        <w:rPr>
          <w:rFonts w:ascii="宋体" w:hAnsi="宋体" w:cs="宋体"/>
          <w:b/>
          <w:bCs/>
          <w:sz w:val="28"/>
          <w:szCs w:val="28"/>
        </w:rPr>
      </w:pPr>
      <w:r>
        <w:rPr>
          <w:rFonts w:hint="eastAsia" w:ascii="宋体" w:hAnsi="宋体" w:cs="宋体"/>
          <w:b/>
          <w:bCs/>
          <w:sz w:val="28"/>
          <w:szCs w:val="28"/>
        </w:rPr>
        <w:t>保洁耗材服务需求</w:t>
      </w:r>
    </w:p>
    <w:p>
      <w:pPr>
        <w:spacing w:line="360" w:lineRule="auto"/>
        <w:rPr>
          <w:rFonts w:ascii="宋体" w:hAnsi="宋体" w:cs="宋体"/>
          <w:sz w:val="28"/>
          <w:szCs w:val="28"/>
        </w:rPr>
      </w:pPr>
      <w:r>
        <w:rPr>
          <w:rFonts w:hint="eastAsia" w:ascii="宋体" w:hAnsi="宋体"/>
          <w:sz w:val="28"/>
          <w:szCs w:val="32"/>
        </w:rPr>
        <w:t>1.</w:t>
      </w:r>
      <w:r>
        <w:rPr>
          <w:rFonts w:hint="eastAsia" w:ascii="宋体" w:hAnsi="宋体" w:cs="宋体"/>
          <w:sz w:val="28"/>
          <w:szCs w:val="28"/>
        </w:rPr>
        <w:t>★投标人提供的保洁耗材[保洁洗涤剂、消毒剂、地面养护（地板蜡）产品、毛巾、生活垃圾袋、医疗废物垃圾袋、医疗废物标签纸等]及工具(拖把、扫把、保洁工具车等所有保洁所需工具)满足采购人工作需求,投标人在进场前15日内准备到位，以上保洁耗材及工具费用均由投标人承担。</w:t>
      </w:r>
      <w:r>
        <w:rPr>
          <w:rFonts w:hint="eastAsia" w:ascii="宋体" w:hAnsi="宋体" w:cs="宋体"/>
          <w:b/>
          <w:bCs/>
          <w:sz w:val="28"/>
          <w:szCs w:val="28"/>
        </w:rPr>
        <w:t>（提供承诺函）</w:t>
      </w:r>
    </w:p>
    <w:p>
      <w:pPr>
        <w:spacing w:line="360" w:lineRule="auto"/>
        <w:rPr>
          <w:rFonts w:ascii="宋体" w:hAnsi="宋体" w:cs="宋体"/>
          <w:sz w:val="28"/>
          <w:szCs w:val="28"/>
        </w:rPr>
      </w:pPr>
      <w:r>
        <w:rPr>
          <w:rFonts w:hint="eastAsia" w:ascii="宋体" w:hAnsi="宋体" w:cs="宋体"/>
          <w:sz w:val="28"/>
          <w:szCs w:val="28"/>
        </w:rPr>
        <w:t>2.特殊科室所用清洁用具按科室实际情况配置（120急诊、手术室、ICU、内镜中心、消毒供应中心、感染性疾病科等）。</w:t>
      </w:r>
    </w:p>
    <w:p>
      <w:pPr>
        <w:pStyle w:val="84"/>
        <w:numPr>
          <w:ilvl w:val="0"/>
          <w:numId w:val="38"/>
        </w:numPr>
        <w:spacing w:line="360" w:lineRule="auto"/>
        <w:ind w:firstLineChars="0"/>
        <w:rPr>
          <w:rFonts w:ascii="宋体" w:hAnsi="宋体" w:cs="宋体"/>
          <w:b/>
          <w:bCs/>
          <w:sz w:val="28"/>
          <w:szCs w:val="28"/>
        </w:rPr>
      </w:pPr>
      <w:r>
        <w:rPr>
          <w:rFonts w:hint="eastAsia" w:ascii="宋体" w:hAnsi="宋体" w:cs="宋体"/>
          <w:b/>
          <w:bCs/>
          <w:sz w:val="28"/>
          <w:szCs w:val="28"/>
        </w:rPr>
        <w:t>保洁耗材服务标准</w:t>
      </w:r>
    </w:p>
    <w:p>
      <w:pPr>
        <w:spacing w:line="360" w:lineRule="auto"/>
        <w:rPr>
          <w:rFonts w:ascii="宋体" w:hAnsi="宋体" w:cs="宋体"/>
          <w:sz w:val="28"/>
          <w:szCs w:val="28"/>
        </w:rPr>
      </w:pPr>
      <w:r>
        <w:rPr>
          <w:rFonts w:hint="eastAsia" w:ascii="宋体" w:hAnsi="宋体" w:cs="宋体"/>
          <w:sz w:val="28"/>
          <w:szCs w:val="28"/>
        </w:rPr>
        <w:t>1.保证一床一巾，拖把、毛巾颜色分区做好编号、使用尘推清洁地面、拖把必须使用可拆卸式拖把头。</w:t>
      </w:r>
    </w:p>
    <w:p>
      <w:pPr>
        <w:spacing w:line="360" w:lineRule="auto"/>
        <w:rPr>
          <w:rFonts w:ascii="宋体" w:hAnsi="宋体" w:cs="宋体"/>
          <w:sz w:val="28"/>
          <w:szCs w:val="28"/>
        </w:rPr>
      </w:pPr>
      <w:r>
        <w:rPr>
          <w:rFonts w:hint="eastAsia" w:ascii="宋体" w:hAnsi="宋体" w:cs="宋体"/>
          <w:sz w:val="28"/>
          <w:szCs w:val="28"/>
        </w:rPr>
        <w:t>2.各种洁具（抹布、拖布等）必须定期更换，保持清洁、卫生，避免造成清洁对象表面污损。</w:t>
      </w:r>
    </w:p>
    <w:p>
      <w:pPr>
        <w:spacing w:line="360" w:lineRule="auto"/>
        <w:rPr>
          <w:rFonts w:ascii="宋体" w:hAnsi="宋体" w:cs="宋体"/>
          <w:sz w:val="28"/>
          <w:szCs w:val="28"/>
        </w:rPr>
      </w:pPr>
      <w:r>
        <w:rPr>
          <w:rFonts w:hint="eastAsia" w:ascii="宋体" w:hAnsi="宋体" w:cs="宋体"/>
          <w:sz w:val="28"/>
          <w:szCs w:val="28"/>
        </w:rPr>
        <w:t>3.有详细的防止交叉感染、消毒隔离制度和工作标准流程。有应急处置交叉感染的措施及流程。</w:t>
      </w:r>
    </w:p>
    <w:p>
      <w:pPr>
        <w:pStyle w:val="2"/>
        <w:rPr>
          <w:rFonts w:ascii="宋体" w:hAnsi="宋体" w:cs="宋体"/>
          <w:kern w:val="2"/>
          <w:sz w:val="28"/>
          <w:szCs w:val="28"/>
        </w:rPr>
      </w:pPr>
      <w:r>
        <w:rPr>
          <w:rFonts w:hint="eastAsia" w:ascii="宋体" w:hAnsi="宋体" w:cs="宋体"/>
          <w:kern w:val="2"/>
          <w:sz w:val="28"/>
          <w:szCs w:val="28"/>
          <w:lang w:val="en-US" w:eastAsia="zh-CN"/>
        </w:rPr>
        <w:t>4</w:t>
      </w:r>
      <w:r>
        <w:rPr>
          <w:rFonts w:hint="eastAsia" w:ascii="宋体" w:hAnsi="宋体" w:cs="宋体"/>
          <w:kern w:val="2"/>
          <w:sz w:val="28"/>
          <w:szCs w:val="28"/>
        </w:rPr>
        <w:t>.不同区域使用相对应的清洁用品/工具，按要求对集中存放的清洁用品/工具用颜色、字标等方式进行严格的分类摆放，以防止交叉感染。</w:t>
      </w:r>
    </w:p>
    <w:p>
      <w:pPr>
        <w:pStyle w:val="2"/>
        <w:rPr>
          <w:rFonts w:ascii="宋体" w:hAnsi="宋体" w:cs="宋体"/>
          <w:kern w:val="2"/>
          <w:sz w:val="28"/>
          <w:szCs w:val="28"/>
        </w:rPr>
      </w:pPr>
      <w:r>
        <w:rPr>
          <w:rFonts w:hint="eastAsia" w:ascii="宋体" w:hAnsi="宋体" w:cs="宋体"/>
          <w:kern w:val="2"/>
          <w:sz w:val="28"/>
          <w:szCs w:val="28"/>
          <w:lang w:val="en-US" w:eastAsia="zh-CN"/>
        </w:rPr>
        <w:t>5</w:t>
      </w:r>
      <w:r>
        <w:rPr>
          <w:rFonts w:hint="eastAsia" w:ascii="宋体" w:hAnsi="宋体" w:cs="宋体"/>
          <w:kern w:val="2"/>
          <w:sz w:val="28"/>
          <w:szCs w:val="28"/>
        </w:rPr>
        <w:t xml:space="preserve">.投标人需做好新入职保洁人员培训工作，严格执行培训合格方可上岗的管理要求。投标人的日常培训工作中，物业人员须人人参加，全年不得少于四次。 </w:t>
      </w:r>
    </w:p>
    <w:p>
      <w:pPr>
        <w:pStyle w:val="2"/>
        <w:rPr>
          <w:rFonts w:ascii="宋体" w:hAnsi="宋体" w:cs="宋体"/>
          <w:kern w:val="2"/>
          <w:sz w:val="28"/>
          <w:szCs w:val="28"/>
        </w:rPr>
      </w:pPr>
      <w:r>
        <w:rPr>
          <w:rFonts w:hint="eastAsia" w:ascii="宋体" w:hAnsi="宋体" w:cs="宋体"/>
          <w:kern w:val="2"/>
          <w:sz w:val="28"/>
          <w:szCs w:val="28"/>
          <w:lang w:val="en-US" w:eastAsia="zh-CN"/>
        </w:rPr>
        <w:t>6</w:t>
      </w:r>
      <w:r>
        <w:rPr>
          <w:rFonts w:hint="eastAsia" w:ascii="宋体" w:hAnsi="宋体" w:cs="宋体"/>
          <w:kern w:val="2"/>
          <w:sz w:val="28"/>
          <w:szCs w:val="28"/>
        </w:rPr>
        <w:t>.投标人需要建立完善的保洁工作计划安排，制定各区域保洁员的工作计划，使相应保洁人员能按照相关计划执行，使岗位工作运行处于良好的服务状态。</w:t>
      </w:r>
    </w:p>
    <w:p>
      <w:pPr>
        <w:pStyle w:val="2"/>
        <w:rPr>
          <w:rFonts w:ascii="宋体" w:hAnsi="宋体" w:cs="宋体"/>
          <w:kern w:val="2"/>
          <w:sz w:val="28"/>
          <w:szCs w:val="28"/>
        </w:rPr>
      </w:pPr>
      <w:r>
        <w:rPr>
          <w:rFonts w:hint="eastAsia" w:ascii="宋体" w:hAnsi="宋体" w:cs="宋体"/>
          <w:kern w:val="2"/>
          <w:sz w:val="28"/>
          <w:szCs w:val="28"/>
          <w:lang w:val="en-US" w:eastAsia="zh-CN"/>
        </w:rPr>
        <w:t>7</w:t>
      </w:r>
      <w:r>
        <w:rPr>
          <w:rFonts w:hint="eastAsia" w:ascii="宋体" w:hAnsi="宋体" w:cs="宋体"/>
          <w:kern w:val="2"/>
          <w:sz w:val="28"/>
          <w:szCs w:val="28"/>
        </w:rPr>
        <w:t>.投标人针对各保洁作业内容需制定保洁作业操作流程（如日常保洁、专项保洁、特殊科室保洁均具有较为详细的操作流程）。</w:t>
      </w:r>
    </w:p>
    <w:p>
      <w:pPr>
        <w:pStyle w:val="2"/>
        <w:rPr>
          <w:rFonts w:ascii="宋体" w:hAnsi="宋体" w:cs="宋体"/>
          <w:kern w:val="2"/>
          <w:sz w:val="28"/>
          <w:szCs w:val="28"/>
        </w:rPr>
      </w:pPr>
      <w:r>
        <w:rPr>
          <w:rFonts w:hint="eastAsia" w:ascii="宋体" w:hAnsi="宋体" w:cs="宋体"/>
          <w:kern w:val="2"/>
          <w:sz w:val="28"/>
          <w:szCs w:val="28"/>
          <w:lang w:val="en-US" w:eastAsia="zh-CN"/>
        </w:rPr>
        <w:t>8</w:t>
      </w:r>
      <w:r>
        <w:rPr>
          <w:rFonts w:hint="eastAsia" w:ascii="宋体" w:hAnsi="宋体" w:cs="宋体"/>
          <w:kern w:val="2"/>
          <w:sz w:val="28"/>
          <w:szCs w:val="28"/>
        </w:rPr>
        <w:t>.考核标准要求，投标人制定的考核标准需全面考虑本项目的实际情况，有详细的保洁人员考核标准、服务质量考核标准、客户满意度考核标准及相关作业表格，内容应全面、清晰、完善（考核标准方面，能体现的考核内容至少包含人员考勤、着装规范、工作态度、职责任务及考核目的）。</w:t>
      </w:r>
    </w:p>
    <w:p/>
    <w:p>
      <w:pPr>
        <w:pStyle w:val="2"/>
      </w:pPr>
    </w:p>
    <w:p>
      <w:pPr>
        <w:pStyle w:val="6"/>
      </w:pPr>
      <w:r>
        <w:rPr>
          <w:rFonts w:hint="eastAsia"/>
        </w:rPr>
        <w:t>运送服务</w:t>
      </w:r>
    </w:p>
    <w:p>
      <w:pPr>
        <w:spacing w:line="360" w:lineRule="auto"/>
        <w:rPr>
          <w:rFonts w:ascii="宋体" w:hAnsi="宋体" w:cs="宋体"/>
          <w:b/>
          <w:bCs/>
          <w:sz w:val="28"/>
          <w:szCs w:val="28"/>
        </w:rPr>
      </w:pPr>
      <w:r>
        <w:rPr>
          <w:rFonts w:hint="eastAsia" w:ascii="宋体" w:hAnsi="宋体" w:cs="宋体"/>
          <w:b/>
          <w:bCs/>
          <w:sz w:val="28"/>
          <w:szCs w:val="28"/>
        </w:rPr>
        <w:t>一、服务内容</w:t>
      </w:r>
    </w:p>
    <w:p>
      <w:pPr>
        <w:rPr>
          <w:rFonts w:ascii="宋体" w:hAnsi="宋体" w:cs="宋体"/>
          <w:sz w:val="28"/>
          <w:szCs w:val="28"/>
        </w:rPr>
      </w:pPr>
      <w:r>
        <w:rPr>
          <w:rFonts w:hint="eastAsia" w:ascii="宋体" w:hAnsi="宋体" w:cs="宋体"/>
          <w:sz w:val="28"/>
          <w:szCs w:val="28"/>
        </w:rPr>
        <w:t>1.所有工作采用中央运送调度模式，建立中央运送的服务工作模式,设立一站式服务中心。投标人只需配置中央调度人员负责全年365天，24小时全院所有物业服务的接报及工作安排。</w:t>
      </w:r>
    </w:p>
    <w:p>
      <w:pPr>
        <w:rPr>
          <w:rFonts w:ascii="宋体" w:hAnsi="宋体" w:cs="宋体"/>
          <w:sz w:val="28"/>
          <w:szCs w:val="28"/>
        </w:rPr>
      </w:pPr>
      <w:r>
        <w:rPr>
          <w:rFonts w:hint="eastAsia" w:ascii="宋体" w:hAnsi="宋体" w:cs="宋体"/>
          <w:sz w:val="28"/>
          <w:szCs w:val="28"/>
        </w:rPr>
        <w:t>2.负责接报台账统计分类汇总并做好数据分析，受理临床来电，负责及时通知停水、停电信息，完成接报回访工作。</w:t>
      </w:r>
    </w:p>
    <w:p>
      <w:pPr>
        <w:rPr>
          <w:rFonts w:ascii="宋体" w:hAnsi="宋体" w:cs="宋体"/>
          <w:sz w:val="28"/>
          <w:szCs w:val="28"/>
        </w:rPr>
      </w:pPr>
      <w:r>
        <w:rPr>
          <w:rFonts w:hint="eastAsia" w:ascii="宋体" w:hAnsi="宋体" w:cs="宋体"/>
          <w:sz w:val="28"/>
          <w:szCs w:val="28"/>
        </w:rPr>
        <w:t>3.整合各类运送服务资源，制定中央调度—接受任务—发布任务—员工接单—处理—完工反馈—中央调度服务回访的服务流程，为医院提供优质的整体物业服务调配。</w:t>
      </w:r>
    </w:p>
    <w:p>
      <w:pPr>
        <w:rPr>
          <w:rFonts w:ascii="宋体" w:hAnsi="宋体" w:cs="宋体"/>
          <w:sz w:val="28"/>
          <w:szCs w:val="28"/>
        </w:rPr>
      </w:pPr>
      <w:r>
        <w:rPr>
          <w:rFonts w:hint="eastAsia" w:ascii="宋体" w:hAnsi="宋体" w:cs="宋体"/>
          <w:sz w:val="28"/>
          <w:szCs w:val="28"/>
        </w:rPr>
        <w:t>4.接送病人到各科室做检查，如放射科、超声影像科、内镜中心、核磁共振、心电图、脑电图、CT室、检验室；接送病人到各科室做治疗，如理疗、针炙、介入放疗等；接送病人到各科室会诊。</w:t>
      </w:r>
    </w:p>
    <w:p>
      <w:pPr>
        <w:rPr>
          <w:rFonts w:ascii="宋体" w:hAnsi="宋体" w:cs="宋体"/>
          <w:sz w:val="28"/>
          <w:szCs w:val="28"/>
        </w:rPr>
      </w:pPr>
      <w:r>
        <w:rPr>
          <w:rFonts w:hint="eastAsia" w:ascii="宋体" w:hAnsi="宋体" w:cs="宋体"/>
          <w:sz w:val="28"/>
          <w:szCs w:val="28"/>
        </w:rPr>
        <w:t>5.病人标本的运送。</w:t>
      </w:r>
    </w:p>
    <w:p>
      <w:pPr>
        <w:rPr>
          <w:rFonts w:ascii="宋体" w:hAnsi="宋体" w:cs="宋体"/>
          <w:sz w:val="28"/>
          <w:szCs w:val="28"/>
        </w:rPr>
      </w:pPr>
      <w:r>
        <w:rPr>
          <w:rFonts w:hint="eastAsia" w:ascii="宋体" w:hAnsi="宋体" w:cs="宋体"/>
          <w:sz w:val="28"/>
          <w:szCs w:val="28"/>
        </w:rPr>
        <w:t>6.科室所需物品（办公用品及医疗耗材、药品等）的领取运送工作。</w:t>
      </w:r>
    </w:p>
    <w:p>
      <w:pPr>
        <w:rPr>
          <w:rFonts w:ascii="宋体" w:hAnsi="宋体" w:cs="宋体"/>
          <w:sz w:val="28"/>
          <w:szCs w:val="28"/>
        </w:rPr>
      </w:pPr>
      <w:r>
        <w:rPr>
          <w:rFonts w:hint="eastAsia" w:ascii="宋体" w:hAnsi="宋体" w:cs="宋体"/>
          <w:sz w:val="28"/>
          <w:szCs w:val="28"/>
        </w:rPr>
        <w:t>7.取送各类检查报告单、申请单、会诊预约单等。</w:t>
      </w:r>
    </w:p>
    <w:p>
      <w:pPr>
        <w:rPr>
          <w:rFonts w:ascii="宋体" w:hAnsi="宋体" w:cs="宋体"/>
          <w:sz w:val="28"/>
          <w:szCs w:val="28"/>
        </w:rPr>
      </w:pPr>
      <w:r>
        <w:rPr>
          <w:rFonts w:hint="eastAsia" w:ascii="宋体" w:hAnsi="宋体" w:cs="宋体"/>
          <w:sz w:val="28"/>
          <w:szCs w:val="28"/>
        </w:rPr>
        <w:t>8.全院被服、布类物品的下收下送工作。</w:t>
      </w:r>
    </w:p>
    <w:p>
      <w:pPr>
        <w:rPr>
          <w:rFonts w:ascii="宋体" w:hAnsi="宋体" w:cs="宋体"/>
          <w:sz w:val="28"/>
          <w:szCs w:val="28"/>
        </w:rPr>
      </w:pPr>
      <w:r>
        <w:rPr>
          <w:rFonts w:hint="eastAsia" w:ascii="宋体" w:hAnsi="宋体" w:cs="宋体"/>
          <w:sz w:val="28"/>
          <w:szCs w:val="28"/>
        </w:rPr>
        <w:t>9.医院各类应急物资、物品、设备的搬运、转运、配送等工作。</w:t>
      </w:r>
    </w:p>
    <w:p>
      <w:pPr>
        <w:spacing w:line="360" w:lineRule="auto"/>
        <w:rPr>
          <w:rFonts w:ascii="宋体" w:hAnsi="宋体" w:cs="宋体"/>
          <w:b/>
          <w:bCs/>
          <w:sz w:val="28"/>
          <w:szCs w:val="28"/>
        </w:rPr>
      </w:pPr>
      <w:r>
        <w:rPr>
          <w:rFonts w:hint="eastAsia" w:ascii="宋体" w:hAnsi="宋体" w:cs="宋体"/>
          <w:b/>
          <w:bCs/>
          <w:sz w:val="28"/>
          <w:szCs w:val="28"/>
        </w:rPr>
        <w:t>二、服务标准</w:t>
      </w:r>
    </w:p>
    <w:p>
      <w:pPr>
        <w:rPr>
          <w:rFonts w:ascii="宋体" w:hAnsi="宋体" w:cs="宋体"/>
          <w:sz w:val="28"/>
          <w:szCs w:val="28"/>
        </w:rPr>
      </w:pPr>
      <w:r>
        <w:rPr>
          <w:rFonts w:hint="eastAsia" w:ascii="宋体" w:hAnsi="宋体" w:cs="宋体"/>
          <w:sz w:val="28"/>
          <w:szCs w:val="28"/>
        </w:rPr>
        <w:t>1.运送人力资源的调度安排合理，十分钟之内到达指定地点。投标人应保证有足够的应急措施和人员应对突发医疗紧急状况，服从采购人安排。</w:t>
      </w:r>
    </w:p>
    <w:p>
      <w:pPr>
        <w:rPr>
          <w:rFonts w:ascii="宋体" w:hAnsi="宋体" w:cs="宋体"/>
          <w:sz w:val="28"/>
          <w:szCs w:val="28"/>
        </w:rPr>
      </w:pPr>
      <w:r>
        <w:rPr>
          <w:rFonts w:hint="eastAsia" w:ascii="宋体" w:hAnsi="宋体" w:cs="宋体"/>
          <w:sz w:val="28"/>
          <w:szCs w:val="28"/>
        </w:rPr>
        <w:t>2.接报及时、记录准确、安排迅速，按轻重缓急安排工作。</w:t>
      </w:r>
    </w:p>
    <w:p>
      <w:pPr>
        <w:rPr>
          <w:rFonts w:ascii="宋体" w:hAnsi="宋体" w:cs="宋体"/>
          <w:sz w:val="28"/>
          <w:szCs w:val="28"/>
        </w:rPr>
      </w:pPr>
      <w:r>
        <w:rPr>
          <w:rFonts w:hint="eastAsia" w:ascii="宋体" w:hAnsi="宋体" w:cs="宋体"/>
          <w:sz w:val="28"/>
          <w:szCs w:val="28"/>
        </w:rPr>
        <w:t>3.各类运送物资核对准确及时运送。</w:t>
      </w:r>
    </w:p>
    <w:p>
      <w:pPr>
        <w:rPr>
          <w:rFonts w:ascii="宋体" w:hAnsi="宋体" w:cs="宋体"/>
          <w:sz w:val="28"/>
          <w:szCs w:val="28"/>
        </w:rPr>
      </w:pPr>
      <w:r>
        <w:rPr>
          <w:rFonts w:hint="eastAsia" w:ascii="宋体" w:hAnsi="宋体" w:cs="宋体"/>
          <w:sz w:val="28"/>
          <w:szCs w:val="28"/>
        </w:rPr>
        <w:t>4.在配合病区转运病人的过程中保证病人人身安全、按规范及时和准确运送到点位，做好交接工作。</w:t>
      </w:r>
    </w:p>
    <w:p>
      <w:pPr>
        <w:rPr>
          <w:rFonts w:ascii="宋体" w:hAnsi="宋体" w:cs="宋体"/>
          <w:sz w:val="28"/>
          <w:szCs w:val="28"/>
        </w:rPr>
      </w:pPr>
      <w:r>
        <w:rPr>
          <w:rFonts w:hint="eastAsia" w:ascii="宋体" w:hAnsi="宋体" w:cs="宋体"/>
          <w:sz w:val="28"/>
          <w:szCs w:val="28"/>
        </w:rPr>
        <w:t>5.工作中确保按标准和规范操作，杜绝造成人员伤亡和物资、设施的丢失及损坏。</w:t>
      </w:r>
    </w:p>
    <w:p>
      <w:pPr>
        <w:rPr>
          <w:rFonts w:ascii="宋体" w:hAnsi="宋体" w:cs="宋体"/>
          <w:sz w:val="28"/>
          <w:szCs w:val="28"/>
        </w:rPr>
      </w:pPr>
      <w:r>
        <w:rPr>
          <w:rFonts w:hint="eastAsia" w:ascii="宋体" w:hAnsi="宋体" w:cs="宋体"/>
          <w:sz w:val="28"/>
          <w:szCs w:val="28"/>
        </w:rPr>
        <w:t>岗位具体内容及要求如下：</w:t>
      </w:r>
    </w:p>
    <w:p>
      <w:pPr>
        <w:rPr>
          <w:rFonts w:ascii="宋体" w:hAnsi="宋体" w:cs="宋体"/>
          <w:b/>
          <w:bCs/>
          <w:sz w:val="28"/>
          <w:szCs w:val="28"/>
        </w:rPr>
      </w:pPr>
      <w:r>
        <w:rPr>
          <w:rFonts w:hint="eastAsia" w:ascii="宋体" w:hAnsi="宋体" w:cs="宋体"/>
          <w:b/>
          <w:bCs/>
          <w:sz w:val="28"/>
          <w:szCs w:val="28"/>
        </w:rPr>
        <w:t>a.陪检服务</w:t>
      </w:r>
    </w:p>
    <w:p>
      <w:pPr>
        <w:rPr>
          <w:rFonts w:ascii="宋体" w:hAnsi="宋体" w:cs="宋体"/>
          <w:sz w:val="28"/>
          <w:szCs w:val="28"/>
        </w:rPr>
      </w:pPr>
      <w:r>
        <w:rPr>
          <w:rFonts w:hint="eastAsia" w:ascii="宋体" w:hAnsi="宋体" w:cs="宋体"/>
          <w:sz w:val="28"/>
          <w:szCs w:val="28"/>
        </w:rPr>
        <w:t>1.服务内容</w:t>
      </w:r>
    </w:p>
    <w:p>
      <w:pPr>
        <w:rPr>
          <w:rFonts w:ascii="宋体" w:hAnsi="宋体" w:cs="宋体"/>
          <w:sz w:val="28"/>
          <w:szCs w:val="28"/>
        </w:rPr>
      </w:pPr>
      <w:r>
        <w:rPr>
          <w:rFonts w:hint="eastAsia" w:ascii="宋体" w:hAnsi="宋体" w:cs="宋体"/>
          <w:sz w:val="28"/>
          <w:szCs w:val="28"/>
        </w:rPr>
        <w:t>负责配合各病区及门诊完成病人的各项医学检查、转科等工作；送取急诊及住院病人的标本、药品及化验单等物品；完成护士长安排的临时性工作。</w:t>
      </w:r>
    </w:p>
    <w:p>
      <w:pPr>
        <w:rPr>
          <w:rFonts w:ascii="宋体" w:hAnsi="宋体" w:cs="宋体"/>
          <w:sz w:val="28"/>
          <w:szCs w:val="28"/>
        </w:rPr>
      </w:pPr>
      <w:r>
        <w:rPr>
          <w:rFonts w:hint="eastAsia" w:ascii="宋体" w:hAnsi="宋体" w:cs="宋体"/>
          <w:sz w:val="28"/>
          <w:szCs w:val="28"/>
        </w:rPr>
        <w:t>2.服务标准</w:t>
      </w:r>
    </w:p>
    <w:p>
      <w:pPr>
        <w:rPr>
          <w:rFonts w:ascii="宋体" w:hAnsi="宋体" w:cs="宋体"/>
          <w:sz w:val="28"/>
          <w:szCs w:val="28"/>
        </w:rPr>
      </w:pPr>
      <w:r>
        <w:rPr>
          <w:rFonts w:hint="eastAsia" w:ascii="宋体" w:hAnsi="宋体" w:cs="宋体"/>
          <w:sz w:val="28"/>
          <w:szCs w:val="28"/>
        </w:rPr>
        <w:t>2.1在陪护病人检查过程中，按运送规范陪同病员，及时高效，态度亲切，礼貌用语，保证安全。</w:t>
      </w:r>
    </w:p>
    <w:p>
      <w:pPr>
        <w:rPr>
          <w:rFonts w:ascii="宋体" w:hAnsi="宋体" w:cs="宋体"/>
          <w:sz w:val="28"/>
          <w:szCs w:val="28"/>
        </w:rPr>
      </w:pPr>
      <w:r>
        <w:rPr>
          <w:rFonts w:hint="eastAsia" w:ascii="宋体" w:hAnsi="宋体" w:cs="宋体"/>
          <w:sz w:val="28"/>
          <w:szCs w:val="28"/>
        </w:rPr>
        <w:t>2.2送取标本、药品等物品过程中准确、及时、无损坏遗失。</w:t>
      </w:r>
    </w:p>
    <w:p>
      <w:pPr>
        <w:rPr>
          <w:rFonts w:ascii="宋体" w:hAnsi="宋体" w:cs="宋体"/>
          <w:sz w:val="28"/>
          <w:szCs w:val="28"/>
        </w:rPr>
      </w:pPr>
      <w:r>
        <w:rPr>
          <w:rFonts w:hint="eastAsia" w:ascii="宋体" w:hAnsi="宋体" w:cs="宋体"/>
          <w:sz w:val="28"/>
          <w:szCs w:val="28"/>
        </w:rPr>
        <w:t>2.3听从科主任、护士长的工作安排，配合护士完成好病区的各项工作任务。</w:t>
      </w:r>
    </w:p>
    <w:p>
      <w:pPr>
        <w:rPr>
          <w:rFonts w:ascii="宋体" w:hAnsi="宋体" w:cs="宋体"/>
          <w:b/>
          <w:bCs/>
          <w:sz w:val="28"/>
          <w:szCs w:val="28"/>
        </w:rPr>
      </w:pPr>
      <w:r>
        <w:rPr>
          <w:rFonts w:hint="eastAsia" w:ascii="宋体" w:hAnsi="宋体" w:cs="宋体"/>
          <w:b/>
          <w:bCs/>
          <w:sz w:val="28"/>
          <w:szCs w:val="28"/>
        </w:rPr>
        <w:t>b.洗浆配送服务</w:t>
      </w:r>
    </w:p>
    <w:p>
      <w:pPr>
        <w:rPr>
          <w:rFonts w:ascii="宋体" w:hAnsi="宋体" w:cs="宋体"/>
          <w:sz w:val="28"/>
          <w:szCs w:val="28"/>
        </w:rPr>
      </w:pPr>
      <w:r>
        <w:rPr>
          <w:rFonts w:hint="eastAsia" w:ascii="宋体" w:hAnsi="宋体" w:cs="宋体"/>
          <w:sz w:val="28"/>
          <w:szCs w:val="28"/>
        </w:rPr>
        <w:t>1.服务内容</w:t>
      </w:r>
    </w:p>
    <w:p>
      <w:pPr>
        <w:rPr>
          <w:rFonts w:ascii="宋体" w:hAnsi="宋体" w:cs="宋体"/>
          <w:sz w:val="28"/>
          <w:szCs w:val="28"/>
        </w:rPr>
      </w:pPr>
      <w:r>
        <w:rPr>
          <w:rFonts w:hint="eastAsia" w:ascii="宋体" w:hAnsi="宋体" w:cs="宋体"/>
          <w:sz w:val="28"/>
          <w:szCs w:val="28"/>
        </w:rPr>
        <w:t>负责全年365天全院医用织物的下收下送工作，对接洗涤公司完成送洗及收发的点验工作；协助完成保洁用品（地巾/布巾/抹布）集中清洗下收下送。</w:t>
      </w:r>
    </w:p>
    <w:p>
      <w:pPr>
        <w:rPr>
          <w:rFonts w:ascii="宋体" w:hAnsi="宋体" w:cs="宋体"/>
          <w:sz w:val="28"/>
          <w:szCs w:val="28"/>
        </w:rPr>
      </w:pPr>
      <w:r>
        <w:rPr>
          <w:rFonts w:hint="eastAsia" w:ascii="宋体" w:hAnsi="宋体" w:cs="宋体"/>
          <w:sz w:val="28"/>
          <w:szCs w:val="28"/>
        </w:rPr>
        <w:t>2.洗浆配送中心岗位人员基本要求</w:t>
      </w:r>
    </w:p>
    <w:p>
      <w:pPr>
        <w:rPr>
          <w:rFonts w:ascii="宋体" w:hAnsi="宋体" w:cs="宋体"/>
          <w:sz w:val="28"/>
          <w:szCs w:val="28"/>
        </w:rPr>
      </w:pPr>
      <w:r>
        <w:rPr>
          <w:rFonts w:hint="eastAsia" w:ascii="宋体" w:hAnsi="宋体" w:cs="宋体"/>
          <w:sz w:val="28"/>
          <w:szCs w:val="28"/>
        </w:rPr>
        <w:t>2.1配送人员身体健壮，能搬运30公斤以上布包裹。</w:t>
      </w:r>
    </w:p>
    <w:p>
      <w:pPr>
        <w:rPr>
          <w:rFonts w:ascii="宋体" w:hAnsi="宋体" w:cs="宋体"/>
          <w:sz w:val="28"/>
          <w:szCs w:val="28"/>
        </w:rPr>
      </w:pPr>
      <w:r>
        <w:rPr>
          <w:rFonts w:hint="eastAsia" w:ascii="宋体" w:hAnsi="宋体" w:cs="宋体"/>
          <w:sz w:val="28"/>
          <w:szCs w:val="28"/>
        </w:rPr>
        <w:t>2.2配送人员会读写文字，清点物品，记录数字。</w:t>
      </w:r>
    </w:p>
    <w:p>
      <w:pPr>
        <w:rPr>
          <w:rFonts w:ascii="宋体" w:hAnsi="宋体" w:cs="宋体"/>
          <w:sz w:val="28"/>
          <w:szCs w:val="28"/>
        </w:rPr>
      </w:pPr>
      <w:r>
        <w:rPr>
          <w:rFonts w:hint="eastAsia" w:ascii="宋体" w:hAnsi="宋体" w:cs="宋体"/>
          <w:sz w:val="28"/>
          <w:szCs w:val="28"/>
        </w:rPr>
        <w:t>2.3配送人员能熟练掌握使用运输工具，使用运输工具过程应确保安全、防止布类二次污染和熟练掌握消毒知识。</w:t>
      </w:r>
    </w:p>
    <w:p>
      <w:pPr>
        <w:rPr>
          <w:rFonts w:ascii="宋体" w:hAnsi="宋体" w:cs="宋体"/>
          <w:sz w:val="28"/>
          <w:szCs w:val="28"/>
        </w:rPr>
      </w:pPr>
      <w:r>
        <w:rPr>
          <w:rFonts w:hint="eastAsia" w:ascii="宋体" w:hAnsi="宋体" w:cs="宋体"/>
          <w:sz w:val="28"/>
          <w:szCs w:val="28"/>
        </w:rPr>
        <w:t>3.洗浆配送运输工具要求</w:t>
      </w:r>
    </w:p>
    <w:p>
      <w:pPr>
        <w:rPr>
          <w:rFonts w:ascii="宋体" w:hAnsi="宋体" w:cs="宋体"/>
          <w:sz w:val="28"/>
          <w:szCs w:val="28"/>
        </w:rPr>
      </w:pPr>
      <w:r>
        <w:rPr>
          <w:rFonts w:hint="eastAsia" w:ascii="宋体" w:hAnsi="宋体" w:cs="宋体"/>
          <w:sz w:val="28"/>
          <w:szCs w:val="28"/>
        </w:rPr>
        <w:t>3.1车辆做好洁净、污染分开，标识清楚。做好车辆的日常维护保养，杜绝故障车辆带病上路运输。</w:t>
      </w:r>
    </w:p>
    <w:p>
      <w:pPr>
        <w:rPr>
          <w:rFonts w:ascii="宋体" w:hAnsi="宋体" w:cs="宋体"/>
          <w:sz w:val="28"/>
          <w:szCs w:val="28"/>
        </w:rPr>
      </w:pPr>
      <w:r>
        <w:rPr>
          <w:rFonts w:hint="eastAsia" w:ascii="宋体" w:hAnsi="宋体" w:cs="宋体"/>
          <w:sz w:val="28"/>
          <w:szCs w:val="28"/>
        </w:rPr>
        <w:t>3.2每天车辆按照医院感染管理科要求进行消毒处置，确保车辆满足院感要求。</w:t>
      </w:r>
    </w:p>
    <w:p>
      <w:pPr>
        <w:rPr>
          <w:rFonts w:ascii="宋体" w:hAnsi="宋体" w:cs="宋体"/>
          <w:sz w:val="28"/>
          <w:szCs w:val="28"/>
        </w:rPr>
      </w:pPr>
      <w:r>
        <w:rPr>
          <w:rFonts w:hint="eastAsia" w:ascii="宋体" w:hAnsi="宋体" w:cs="宋体"/>
          <w:sz w:val="28"/>
          <w:szCs w:val="28"/>
        </w:rPr>
        <w:t>4.服务标准</w:t>
      </w:r>
    </w:p>
    <w:p>
      <w:pPr>
        <w:rPr>
          <w:rFonts w:ascii="宋体" w:hAnsi="宋体" w:cs="宋体"/>
          <w:sz w:val="28"/>
          <w:szCs w:val="28"/>
        </w:rPr>
      </w:pPr>
      <w:r>
        <w:rPr>
          <w:rFonts w:hint="eastAsia" w:ascii="宋体" w:hAnsi="宋体" w:cs="宋体"/>
          <w:sz w:val="28"/>
          <w:szCs w:val="28"/>
        </w:rPr>
        <w:t>4.1收、发医用织物必须与全院各科室双方当面点清，做好签字记录，认真办好交接手续。</w:t>
      </w:r>
    </w:p>
    <w:p>
      <w:pPr>
        <w:rPr>
          <w:rFonts w:ascii="宋体" w:hAnsi="宋体" w:cs="宋体"/>
          <w:sz w:val="28"/>
          <w:szCs w:val="28"/>
        </w:rPr>
      </w:pPr>
      <w:r>
        <w:rPr>
          <w:rFonts w:hint="eastAsia" w:ascii="宋体" w:hAnsi="宋体" w:cs="宋体"/>
          <w:sz w:val="28"/>
          <w:szCs w:val="28"/>
        </w:rPr>
        <w:t>4.2必须按规定的时间到各科室收回脏衣物，并按指定地方清点，以防止污染病房。</w:t>
      </w:r>
    </w:p>
    <w:p>
      <w:pPr>
        <w:rPr>
          <w:rFonts w:ascii="宋体" w:hAnsi="宋体" w:cs="宋体"/>
          <w:sz w:val="28"/>
          <w:szCs w:val="28"/>
        </w:rPr>
      </w:pPr>
      <w:r>
        <w:rPr>
          <w:rFonts w:hint="eastAsia" w:ascii="宋体" w:hAnsi="宋体" w:cs="宋体"/>
          <w:sz w:val="28"/>
          <w:szCs w:val="28"/>
        </w:rPr>
        <w:t>4.3严格把病人衣物与职工衣物、血迹衣物与一般衣物、有色衣物与无色衣物分开，防止交叉感染。</w:t>
      </w:r>
    </w:p>
    <w:p>
      <w:pPr>
        <w:rPr>
          <w:rFonts w:ascii="宋体" w:hAnsi="宋体" w:cs="宋体"/>
          <w:sz w:val="28"/>
          <w:szCs w:val="28"/>
        </w:rPr>
      </w:pPr>
      <w:r>
        <w:rPr>
          <w:rFonts w:hint="eastAsia" w:ascii="宋体" w:hAnsi="宋体" w:cs="宋体"/>
          <w:sz w:val="28"/>
          <w:szCs w:val="28"/>
        </w:rPr>
        <w:t>4.4按规定做好医院与洗涤公司交接手续，认真清点，作好签字记录。</w:t>
      </w:r>
    </w:p>
    <w:p>
      <w:pPr>
        <w:rPr>
          <w:rFonts w:ascii="宋体" w:hAnsi="宋体" w:cs="宋体"/>
          <w:sz w:val="28"/>
          <w:szCs w:val="28"/>
        </w:rPr>
      </w:pPr>
      <w:r>
        <w:rPr>
          <w:rFonts w:hint="eastAsia" w:ascii="宋体" w:hAnsi="宋体" w:cs="宋体"/>
          <w:sz w:val="28"/>
          <w:szCs w:val="28"/>
        </w:rPr>
        <w:t>4.5对返回洁净布类物品进行验收，剔除不能使用的布类物品，能使用的布类物品进行分科分类存放，方便管理。</w:t>
      </w:r>
    </w:p>
    <w:p>
      <w:pPr>
        <w:rPr>
          <w:rFonts w:ascii="宋体" w:hAnsi="宋体" w:cs="宋体"/>
          <w:sz w:val="28"/>
          <w:szCs w:val="28"/>
        </w:rPr>
      </w:pPr>
      <w:r>
        <w:rPr>
          <w:rFonts w:hint="eastAsia" w:ascii="宋体" w:hAnsi="宋体" w:cs="宋体"/>
          <w:sz w:val="28"/>
          <w:szCs w:val="28"/>
        </w:rPr>
        <w:t>4.6做好收发台账、报损台账、库存台账管理。</w:t>
      </w:r>
    </w:p>
    <w:p>
      <w:pPr>
        <w:rPr>
          <w:rFonts w:ascii="宋体" w:hAnsi="宋体" w:cs="宋体"/>
          <w:b/>
          <w:bCs/>
          <w:sz w:val="28"/>
          <w:szCs w:val="28"/>
        </w:rPr>
      </w:pPr>
      <w:r>
        <w:rPr>
          <w:rFonts w:hint="eastAsia" w:ascii="宋体" w:hAnsi="宋体" w:cs="宋体"/>
          <w:b/>
          <w:bCs/>
          <w:sz w:val="28"/>
          <w:szCs w:val="28"/>
        </w:rPr>
        <w:t>c.医院后勤物资运送</w:t>
      </w:r>
    </w:p>
    <w:p>
      <w:pPr>
        <w:rPr>
          <w:rFonts w:ascii="宋体" w:hAnsi="宋体" w:cs="宋体"/>
          <w:sz w:val="28"/>
          <w:szCs w:val="28"/>
        </w:rPr>
      </w:pPr>
      <w:r>
        <w:rPr>
          <w:rFonts w:hint="eastAsia" w:ascii="宋体" w:hAnsi="宋体" w:cs="宋体"/>
          <w:sz w:val="28"/>
          <w:szCs w:val="28"/>
        </w:rPr>
        <w:t>1.服务内容</w:t>
      </w:r>
    </w:p>
    <w:p>
      <w:pPr>
        <w:rPr>
          <w:rFonts w:ascii="宋体" w:hAnsi="宋体" w:cs="宋体"/>
          <w:sz w:val="28"/>
          <w:szCs w:val="28"/>
        </w:rPr>
      </w:pPr>
      <w:r>
        <w:rPr>
          <w:rFonts w:hint="eastAsia" w:ascii="宋体" w:hAnsi="宋体" w:cs="宋体"/>
          <w:sz w:val="28"/>
          <w:szCs w:val="28"/>
        </w:rPr>
        <w:t>负责医院后勤物资运送服务工作。</w:t>
      </w:r>
    </w:p>
    <w:p>
      <w:pPr>
        <w:rPr>
          <w:rFonts w:ascii="宋体" w:hAnsi="宋体" w:cs="宋体"/>
          <w:sz w:val="28"/>
          <w:szCs w:val="28"/>
        </w:rPr>
      </w:pPr>
      <w:r>
        <w:rPr>
          <w:rFonts w:hint="eastAsia" w:ascii="宋体" w:hAnsi="宋体" w:cs="宋体"/>
          <w:sz w:val="28"/>
          <w:szCs w:val="28"/>
        </w:rPr>
        <w:t>2.服务标准</w:t>
      </w:r>
    </w:p>
    <w:p>
      <w:pPr>
        <w:rPr>
          <w:rFonts w:ascii="宋体" w:hAnsi="宋体" w:cs="宋体"/>
          <w:sz w:val="28"/>
          <w:szCs w:val="28"/>
        </w:rPr>
      </w:pPr>
      <w:r>
        <w:rPr>
          <w:rFonts w:hint="eastAsia" w:ascii="宋体" w:hAnsi="宋体" w:cs="宋体"/>
          <w:sz w:val="28"/>
          <w:szCs w:val="28"/>
        </w:rPr>
        <w:t>2.1满足医院各类物资的查询、搬运或转运、库房运输、医院应急项目等的搬运。</w:t>
      </w:r>
    </w:p>
    <w:p>
      <w:pPr>
        <w:rPr>
          <w:rFonts w:ascii="宋体" w:hAnsi="宋体" w:cs="宋体"/>
          <w:sz w:val="28"/>
          <w:szCs w:val="28"/>
        </w:rPr>
      </w:pPr>
      <w:r>
        <w:rPr>
          <w:rFonts w:hint="eastAsia" w:ascii="宋体" w:hAnsi="宋体" w:cs="宋体"/>
          <w:sz w:val="28"/>
          <w:szCs w:val="28"/>
        </w:rPr>
        <w:t>2.2满足医院临时搬家腾挪搬运。</w:t>
      </w:r>
    </w:p>
    <w:p>
      <w:pPr>
        <w:rPr>
          <w:rFonts w:ascii="宋体" w:hAnsi="宋体" w:cs="宋体"/>
          <w:sz w:val="28"/>
          <w:szCs w:val="28"/>
        </w:rPr>
      </w:pPr>
      <w:r>
        <w:rPr>
          <w:rFonts w:hint="eastAsia" w:ascii="宋体" w:hAnsi="宋体" w:cs="宋体"/>
          <w:sz w:val="28"/>
          <w:szCs w:val="28"/>
        </w:rPr>
        <w:t>2.3主要服从医院的行政、后勤业务的应急需求。</w:t>
      </w:r>
    </w:p>
    <w:p>
      <w:pPr>
        <w:rPr>
          <w:rFonts w:ascii="宋体" w:hAnsi="宋体" w:cs="宋体"/>
          <w:sz w:val="28"/>
          <w:szCs w:val="28"/>
        </w:rPr>
      </w:pPr>
    </w:p>
    <w:p/>
    <w:p>
      <w:pPr>
        <w:pStyle w:val="2"/>
      </w:pPr>
    </w:p>
    <w:p/>
    <w:p>
      <w:pPr>
        <w:pStyle w:val="6"/>
      </w:pPr>
      <w:r>
        <w:rPr>
          <w:rFonts w:hint="eastAsia"/>
        </w:rPr>
        <w:t>生活垃圾、医疗垃圾收集、转运</w:t>
      </w:r>
    </w:p>
    <w:p>
      <w:pPr>
        <w:pStyle w:val="84"/>
        <w:numPr>
          <w:ilvl w:val="0"/>
          <w:numId w:val="39"/>
        </w:numPr>
        <w:spacing w:line="360" w:lineRule="auto"/>
        <w:ind w:firstLineChars="0"/>
        <w:rPr>
          <w:rFonts w:ascii="宋体" w:hAnsi="宋体" w:cs="宋体"/>
          <w:b/>
          <w:bCs/>
          <w:sz w:val="28"/>
          <w:szCs w:val="28"/>
        </w:rPr>
      </w:pPr>
      <w:r>
        <w:rPr>
          <w:rFonts w:hint="eastAsia" w:ascii="宋体" w:hAnsi="宋体" w:cs="宋体"/>
          <w:b/>
          <w:bCs/>
          <w:sz w:val="28"/>
          <w:szCs w:val="28"/>
        </w:rPr>
        <w:t>服务内容</w:t>
      </w:r>
    </w:p>
    <w:p>
      <w:pPr>
        <w:pStyle w:val="2"/>
        <w:ind w:firstLine="280" w:firstLineChars="100"/>
        <w:rPr>
          <w:rFonts w:ascii="宋体" w:hAnsi="宋体" w:cs="宋体"/>
          <w:kern w:val="2"/>
          <w:sz w:val="28"/>
          <w:szCs w:val="28"/>
        </w:rPr>
      </w:pPr>
      <w:r>
        <w:rPr>
          <w:rFonts w:hint="eastAsia" w:ascii="宋体" w:hAnsi="宋体" w:cs="宋体"/>
          <w:kern w:val="2"/>
          <w:sz w:val="28"/>
          <w:szCs w:val="28"/>
        </w:rPr>
        <w:t>负责将医院垃圾按医疗、生活垃圾进行分类、收集并分别送到院内指定地点，每天巡回进行；垃圾分类准确、不错分；垃圾包装完整，不漏、不穿；运送垃圾过程中，不漏、不丢、不碰撞他人；不擅自拿取、窃用、倒卖垃圾；对医院内部垃圾存放区域每天清洗、消毒；每天对垃圾的收集情况进行及时登记，以备查询。</w:t>
      </w:r>
    </w:p>
    <w:p>
      <w:pPr>
        <w:pStyle w:val="84"/>
        <w:numPr>
          <w:ilvl w:val="0"/>
          <w:numId w:val="39"/>
        </w:numPr>
        <w:spacing w:line="360" w:lineRule="auto"/>
        <w:ind w:firstLineChars="0"/>
        <w:rPr>
          <w:rFonts w:ascii="宋体" w:hAnsi="宋体" w:cs="宋体"/>
          <w:b/>
          <w:bCs/>
          <w:sz w:val="28"/>
          <w:szCs w:val="28"/>
        </w:rPr>
      </w:pPr>
      <w:r>
        <w:rPr>
          <w:rFonts w:hint="eastAsia" w:ascii="宋体" w:hAnsi="宋体" w:cs="宋体"/>
          <w:b/>
          <w:bCs/>
          <w:sz w:val="28"/>
          <w:szCs w:val="28"/>
        </w:rPr>
        <w:t>医疗废物管理工作服务标准</w:t>
      </w:r>
    </w:p>
    <w:p>
      <w:pPr>
        <w:rPr>
          <w:rFonts w:ascii="宋体" w:hAnsi="宋体" w:cs="宋体"/>
          <w:sz w:val="28"/>
          <w:szCs w:val="28"/>
        </w:rPr>
      </w:pPr>
      <w:r>
        <w:rPr>
          <w:rFonts w:hint="eastAsia" w:ascii="宋体" w:hAnsi="宋体" w:cs="宋体"/>
          <w:sz w:val="28"/>
          <w:szCs w:val="28"/>
        </w:rPr>
        <w:t>1.医疗废物暂存间五类暂存房间每日消毒频次不低于2次，作好消毒记录。</w:t>
      </w:r>
    </w:p>
    <w:p>
      <w:pPr>
        <w:rPr>
          <w:rFonts w:ascii="宋体" w:hAnsi="宋体" w:cs="宋体"/>
          <w:sz w:val="28"/>
          <w:szCs w:val="28"/>
        </w:rPr>
      </w:pPr>
      <w:r>
        <w:rPr>
          <w:rFonts w:hint="eastAsia" w:ascii="宋体" w:hAnsi="宋体" w:cs="宋体"/>
          <w:sz w:val="28"/>
          <w:szCs w:val="28"/>
        </w:rPr>
        <w:t>2.医疗废物转运推车每日消毒频次不低于2次，作好消毒记录。</w:t>
      </w:r>
    </w:p>
    <w:p>
      <w:pPr>
        <w:rPr>
          <w:rFonts w:ascii="宋体" w:hAnsi="宋体" w:cs="宋体"/>
          <w:sz w:val="28"/>
          <w:szCs w:val="28"/>
        </w:rPr>
      </w:pPr>
      <w:r>
        <w:rPr>
          <w:rFonts w:hint="eastAsia" w:ascii="宋体" w:hAnsi="宋体" w:cs="宋体"/>
          <w:sz w:val="28"/>
          <w:szCs w:val="28"/>
        </w:rPr>
        <w:t>3.每日医疗废物转运重量各科室抄回数据并统计，于次日早上9点前完成前一天的产生量总数据汇总并填写于《医疗废物转运联单》登记表上，不得乱涂乱画，更正需统计人员签字。</w:t>
      </w:r>
    </w:p>
    <w:p>
      <w:pPr>
        <w:rPr>
          <w:rFonts w:ascii="宋体" w:hAnsi="宋体" w:cs="宋体"/>
          <w:sz w:val="28"/>
          <w:szCs w:val="28"/>
        </w:rPr>
      </w:pPr>
      <w:r>
        <w:rPr>
          <w:rFonts w:hint="eastAsia" w:ascii="宋体" w:hAnsi="宋体" w:cs="宋体"/>
          <w:sz w:val="28"/>
          <w:szCs w:val="28"/>
        </w:rPr>
        <w:t>4.按照医院医疗废物转运流程和时间专职收运人员到临床科室收运医疗废物至院级医疗废物暂存间，医疗废物暂存间人员外出必须保证随时锁门。</w:t>
      </w:r>
    </w:p>
    <w:p>
      <w:pPr>
        <w:rPr>
          <w:rFonts w:ascii="宋体" w:hAnsi="宋体" w:cs="宋体"/>
          <w:sz w:val="28"/>
          <w:szCs w:val="28"/>
        </w:rPr>
      </w:pPr>
      <w:r>
        <w:rPr>
          <w:rFonts w:hint="eastAsia" w:ascii="宋体" w:hAnsi="宋体" w:cs="宋体"/>
          <w:sz w:val="28"/>
          <w:szCs w:val="28"/>
        </w:rPr>
        <w:t>5.与成都市医疗废物中心、殡仪馆收运车辆和人员对接，每日将全院产生医疗废物交医疗废物处置中心或殡仪馆车辆外运处置，作好双签和数量确认工作。</w:t>
      </w:r>
    </w:p>
    <w:p>
      <w:pPr>
        <w:rPr>
          <w:rFonts w:ascii="宋体" w:hAnsi="宋体" w:cs="宋体"/>
          <w:sz w:val="28"/>
          <w:szCs w:val="28"/>
        </w:rPr>
      </w:pPr>
      <w:r>
        <w:rPr>
          <w:rFonts w:hint="eastAsia" w:ascii="宋体" w:hAnsi="宋体" w:cs="宋体"/>
          <w:sz w:val="28"/>
          <w:szCs w:val="28"/>
        </w:rPr>
        <w:t>6.每月编写医疗废物管理工作总结，包含产量五类医疗废物产生量数据汇总、医疗废物暂存间维修记录、防护用品使用记录、存在问题等信息，报送医院</w:t>
      </w:r>
      <w:r>
        <w:rPr>
          <w:rFonts w:hint="eastAsia" w:ascii="宋体" w:hAnsi="宋体" w:cs="宋体"/>
          <w:sz w:val="28"/>
          <w:szCs w:val="28"/>
          <w:lang w:eastAsia="zh-CN"/>
        </w:rPr>
        <w:t>管理科室</w:t>
      </w:r>
      <w:r>
        <w:rPr>
          <w:rFonts w:hint="eastAsia" w:ascii="宋体" w:hAnsi="宋体" w:cs="宋体"/>
          <w:sz w:val="28"/>
          <w:szCs w:val="28"/>
        </w:rPr>
        <w:t>。</w:t>
      </w:r>
    </w:p>
    <w:p>
      <w:pPr>
        <w:rPr>
          <w:rFonts w:ascii="宋体" w:hAnsi="宋体" w:cs="宋体"/>
          <w:sz w:val="28"/>
          <w:szCs w:val="28"/>
        </w:rPr>
      </w:pPr>
      <w:r>
        <w:rPr>
          <w:rFonts w:hint="eastAsia" w:ascii="宋体" w:hAnsi="宋体" w:cs="宋体"/>
          <w:sz w:val="28"/>
          <w:szCs w:val="28"/>
        </w:rPr>
        <w:t>7.建立医疗废物管理工作自查，由管理人员对医疗废物日常运行情况进行自查；包括收运执行情况自查；医疗废物暂存间内部墙面、地面及水、电、气自查；科室保洁人员医疗废物工作要求执行情况自查等。自查报告写入月总结。</w:t>
      </w:r>
    </w:p>
    <w:p>
      <w:pPr>
        <w:rPr>
          <w:rFonts w:ascii="宋体" w:hAnsi="宋体" w:cs="宋体"/>
          <w:sz w:val="28"/>
          <w:szCs w:val="28"/>
        </w:rPr>
      </w:pPr>
      <w:r>
        <w:rPr>
          <w:rFonts w:hint="eastAsia" w:ascii="宋体" w:hAnsi="宋体" w:cs="宋体"/>
          <w:sz w:val="28"/>
          <w:szCs w:val="28"/>
        </w:rPr>
        <w:t>8.医院核医学放射性衰变期满医疗废物、手术室骨科内固定物、批量药物性医疗废物科等需批量处置的危险废物称重、转运和清理，完善和建立详细的上述医疗废物的处置台账。</w:t>
      </w:r>
    </w:p>
    <w:p>
      <w:pPr>
        <w:rPr>
          <w:rFonts w:ascii="宋体" w:hAnsi="宋体" w:cs="宋体"/>
          <w:sz w:val="28"/>
          <w:szCs w:val="28"/>
        </w:rPr>
      </w:pPr>
      <w:r>
        <w:rPr>
          <w:rFonts w:ascii="宋体" w:hAnsi="宋体" w:cs="宋体"/>
          <w:sz w:val="28"/>
          <w:szCs w:val="28"/>
        </w:rPr>
        <w:t>9.</w:t>
      </w:r>
      <w:r>
        <w:rPr>
          <w:rFonts w:hint="eastAsia" w:ascii="宋体" w:hAnsi="宋体" w:cs="宋体"/>
          <w:sz w:val="28"/>
          <w:szCs w:val="28"/>
        </w:rPr>
        <w:t>全院各层级医疗废物产生量、处置量台账数据的核对和清理（以月为单位），临床科室医疗废物交接本、院级收运台账数据必须无误差。</w:t>
      </w:r>
    </w:p>
    <w:p>
      <w:pPr>
        <w:rPr>
          <w:rFonts w:ascii="宋体" w:hAnsi="宋体" w:cs="宋体"/>
          <w:sz w:val="28"/>
          <w:szCs w:val="28"/>
        </w:rPr>
      </w:pPr>
      <w:r>
        <w:rPr>
          <w:rFonts w:hint="eastAsia" w:ascii="宋体" w:hAnsi="宋体" w:cs="宋体"/>
          <w:sz w:val="28"/>
          <w:szCs w:val="28"/>
        </w:rPr>
        <w:t>10</w:t>
      </w:r>
      <w:r>
        <w:rPr>
          <w:rFonts w:ascii="宋体" w:hAnsi="宋体" w:cs="宋体"/>
          <w:sz w:val="28"/>
          <w:szCs w:val="28"/>
        </w:rPr>
        <w:t>.</w:t>
      </w:r>
      <w:r>
        <w:rPr>
          <w:rFonts w:hint="eastAsia" w:ascii="宋体" w:hAnsi="宋体" w:cs="宋体"/>
          <w:sz w:val="28"/>
          <w:szCs w:val="28"/>
        </w:rPr>
        <w:t>每月开展定期医疗废物从业人员、管理人员法律法规、应急处置培训工作，作好经常性教育工作。</w:t>
      </w:r>
    </w:p>
    <w:p>
      <w:pPr>
        <w:rPr>
          <w:rFonts w:ascii="宋体" w:hAnsi="宋体" w:cs="宋体"/>
          <w:sz w:val="28"/>
          <w:szCs w:val="28"/>
        </w:rPr>
      </w:pPr>
      <w:r>
        <w:rPr>
          <w:rFonts w:hint="eastAsia" w:ascii="宋体" w:hAnsi="宋体" w:cs="宋体"/>
          <w:sz w:val="28"/>
          <w:szCs w:val="28"/>
        </w:rPr>
        <w:t>11</w:t>
      </w:r>
      <w:r>
        <w:rPr>
          <w:rFonts w:ascii="宋体" w:hAnsi="宋体" w:cs="宋体"/>
          <w:sz w:val="28"/>
          <w:szCs w:val="28"/>
        </w:rPr>
        <w:t>.</w:t>
      </w:r>
      <w:r>
        <w:rPr>
          <w:rFonts w:hint="eastAsia" w:ascii="宋体" w:hAnsi="宋体" w:cs="宋体"/>
          <w:sz w:val="28"/>
          <w:szCs w:val="28"/>
        </w:rPr>
        <w:t>每日对医院污物电梯进行消毒，每转运一次医疗废物消毒一次，建立消毒记录本。</w:t>
      </w:r>
    </w:p>
    <w:p>
      <w:pPr>
        <w:rPr>
          <w:rFonts w:ascii="宋体" w:hAnsi="宋体" w:cs="宋体"/>
          <w:sz w:val="28"/>
          <w:szCs w:val="28"/>
        </w:rPr>
      </w:pPr>
      <w:r>
        <w:rPr>
          <w:rFonts w:hint="eastAsia" w:ascii="宋体" w:hAnsi="宋体" w:cs="宋体"/>
          <w:sz w:val="28"/>
          <w:szCs w:val="28"/>
        </w:rPr>
        <w:t>12</w:t>
      </w:r>
      <w:r>
        <w:rPr>
          <w:rFonts w:ascii="宋体" w:hAnsi="宋体" w:cs="宋体"/>
          <w:sz w:val="28"/>
          <w:szCs w:val="28"/>
        </w:rPr>
        <w:t>.</w:t>
      </w:r>
      <w:r>
        <w:rPr>
          <w:rFonts w:hint="eastAsia" w:ascii="宋体" w:hAnsi="宋体" w:cs="宋体"/>
          <w:sz w:val="28"/>
          <w:szCs w:val="28"/>
        </w:rPr>
        <w:t>每月取得《医疗废物转运三联单》（红色第二联），录入数据后交</w:t>
      </w:r>
      <w:r>
        <w:rPr>
          <w:rFonts w:hint="eastAsia" w:ascii="宋体" w:hAnsi="宋体" w:cs="宋体"/>
          <w:sz w:val="28"/>
          <w:szCs w:val="28"/>
          <w:lang w:eastAsia="zh-CN"/>
        </w:rPr>
        <w:t>管理科室</w:t>
      </w:r>
      <w:r>
        <w:rPr>
          <w:rFonts w:hint="eastAsia" w:ascii="宋体" w:hAnsi="宋体" w:cs="宋体"/>
          <w:sz w:val="28"/>
          <w:szCs w:val="28"/>
        </w:rPr>
        <w:t>存档。</w:t>
      </w:r>
    </w:p>
    <w:p>
      <w:pPr>
        <w:rPr>
          <w:rFonts w:ascii="宋体" w:hAnsi="宋体" w:cs="宋体"/>
          <w:sz w:val="28"/>
          <w:szCs w:val="28"/>
        </w:rPr>
      </w:pPr>
      <w:r>
        <w:rPr>
          <w:rFonts w:hint="eastAsia" w:ascii="宋体" w:hAnsi="宋体" w:cs="宋体"/>
          <w:sz w:val="28"/>
          <w:szCs w:val="28"/>
        </w:rPr>
        <w:t>13</w:t>
      </w:r>
      <w:r>
        <w:rPr>
          <w:rFonts w:ascii="宋体" w:hAnsi="宋体" w:cs="宋体"/>
          <w:sz w:val="28"/>
          <w:szCs w:val="28"/>
        </w:rPr>
        <w:t>.</w:t>
      </w:r>
      <w:r>
        <w:rPr>
          <w:rFonts w:hint="eastAsia" w:ascii="宋体" w:hAnsi="宋体" w:cs="宋体"/>
          <w:sz w:val="28"/>
          <w:szCs w:val="28"/>
        </w:rPr>
        <w:t>相关准备资料</w:t>
      </w:r>
    </w:p>
    <w:p>
      <w:pPr>
        <w:rPr>
          <w:rFonts w:ascii="宋体" w:hAnsi="宋体" w:cs="宋体"/>
          <w:sz w:val="28"/>
          <w:szCs w:val="28"/>
        </w:rPr>
      </w:pPr>
      <w:r>
        <w:rPr>
          <w:rFonts w:hint="eastAsia" w:ascii="宋体" w:hAnsi="宋体" w:cs="宋体"/>
          <w:sz w:val="28"/>
          <w:szCs w:val="28"/>
        </w:rPr>
        <w:t>（1）医疗废物暂存间五类医疗废物交接联单和各科室抄送账本</w:t>
      </w:r>
    </w:p>
    <w:p>
      <w:pPr>
        <w:rPr>
          <w:rFonts w:ascii="宋体" w:hAnsi="宋体" w:cs="宋体"/>
          <w:sz w:val="28"/>
          <w:szCs w:val="28"/>
        </w:rPr>
      </w:pPr>
      <w:r>
        <w:rPr>
          <w:rFonts w:hint="eastAsia" w:ascii="宋体" w:hAnsi="宋体" w:cs="宋体"/>
          <w:sz w:val="28"/>
          <w:szCs w:val="28"/>
        </w:rPr>
        <w:t>（2）医疗废物暂存间防护用品领用、使用登记</w:t>
      </w:r>
    </w:p>
    <w:p>
      <w:pPr>
        <w:rPr>
          <w:rFonts w:ascii="宋体" w:hAnsi="宋体" w:cs="宋体"/>
          <w:sz w:val="28"/>
          <w:szCs w:val="28"/>
        </w:rPr>
      </w:pPr>
      <w:r>
        <w:rPr>
          <w:rFonts w:hint="eastAsia" w:ascii="宋体" w:hAnsi="宋体" w:cs="宋体"/>
          <w:sz w:val="28"/>
          <w:szCs w:val="28"/>
        </w:rPr>
        <w:t>（3）电子台账：各医疗废物产生科室产量数据统计表（EXCEL）</w:t>
      </w:r>
    </w:p>
    <w:p>
      <w:pPr>
        <w:rPr>
          <w:rFonts w:ascii="宋体" w:hAnsi="宋体" w:cs="宋体"/>
          <w:sz w:val="28"/>
          <w:szCs w:val="28"/>
        </w:rPr>
      </w:pPr>
      <w:r>
        <w:rPr>
          <w:rFonts w:hint="eastAsia" w:ascii="宋体" w:hAnsi="宋体" w:cs="宋体"/>
          <w:sz w:val="28"/>
          <w:szCs w:val="28"/>
        </w:rPr>
        <w:t>（4）医疗废物转运车清洗消毒记录</w:t>
      </w:r>
    </w:p>
    <w:p>
      <w:pPr>
        <w:rPr>
          <w:rFonts w:ascii="宋体" w:hAnsi="宋体" w:cs="宋体"/>
          <w:sz w:val="28"/>
          <w:szCs w:val="28"/>
        </w:rPr>
      </w:pPr>
      <w:r>
        <w:rPr>
          <w:rFonts w:hint="eastAsia" w:ascii="宋体" w:hAnsi="宋体" w:cs="宋体"/>
          <w:sz w:val="28"/>
          <w:szCs w:val="28"/>
        </w:rPr>
        <w:t>（5）医疗废物暂存间消毒记录</w:t>
      </w:r>
    </w:p>
    <w:p>
      <w:pPr>
        <w:rPr>
          <w:rFonts w:ascii="宋体" w:hAnsi="宋体" w:cs="宋体"/>
          <w:sz w:val="28"/>
          <w:szCs w:val="28"/>
        </w:rPr>
      </w:pPr>
      <w:r>
        <w:rPr>
          <w:rFonts w:hint="eastAsia" w:ascii="宋体" w:hAnsi="宋体" w:cs="宋体"/>
          <w:sz w:val="28"/>
          <w:szCs w:val="28"/>
        </w:rPr>
        <w:t>（6）医疗废物暂存间紫外灯消毒记录（含累计照射时间登记）</w:t>
      </w:r>
    </w:p>
    <w:p>
      <w:pPr>
        <w:rPr>
          <w:rFonts w:ascii="宋体" w:hAnsi="宋体" w:cs="宋体"/>
          <w:sz w:val="28"/>
          <w:szCs w:val="28"/>
        </w:rPr>
      </w:pPr>
      <w:r>
        <w:rPr>
          <w:rFonts w:hint="eastAsia" w:ascii="宋体" w:hAnsi="宋体" w:cs="宋体"/>
          <w:sz w:val="28"/>
          <w:szCs w:val="28"/>
        </w:rPr>
        <w:t>（7）病理性医疗废物冰柜消毒登记</w:t>
      </w:r>
    </w:p>
    <w:p>
      <w:pPr>
        <w:rPr>
          <w:rFonts w:ascii="宋体" w:hAnsi="宋体" w:cs="宋体"/>
          <w:sz w:val="28"/>
          <w:szCs w:val="28"/>
        </w:rPr>
      </w:pPr>
      <w:r>
        <w:rPr>
          <w:rFonts w:hint="eastAsia" w:ascii="宋体" w:hAnsi="宋体" w:cs="宋体"/>
          <w:sz w:val="28"/>
          <w:szCs w:val="28"/>
        </w:rPr>
        <w:t>（8）医疗废物管理工作月总结</w:t>
      </w:r>
    </w:p>
    <w:p>
      <w:pPr>
        <w:rPr>
          <w:rFonts w:ascii="宋体" w:hAnsi="宋体" w:cs="宋体"/>
          <w:sz w:val="28"/>
          <w:szCs w:val="28"/>
        </w:rPr>
      </w:pPr>
      <w:r>
        <w:rPr>
          <w:rFonts w:hint="eastAsia" w:ascii="宋体" w:hAnsi="宋体" w:cs="宋体"/>
          <w:sz w:val="28"/>
          <w:szCs w:val="28"/>
        </w:rPr>
        <w:t>（9）医疗废物管理工作年度总结和计划</w:t>
      </w:r>
    </w:p>
    <w:p>
      <w:pPr>
        <w:rPr>
          <w:rFonts w:ascii="宋体" w:hAnsi="宋体" w:cs="宋体"/>
          <w:sz w:val="28"/>
          <w:szCs w:val="28"/>
        </w:rPr>
      </w:pPr>
      <w:r>
        <w:rPr>
          <w:rFonts w:hint="eastAsia" w:ascii="宋体" w:hAnsi="宋体" w:cs="宋体"/>
          <w:sz w:val="28"/>
          <w:szCs w:val="28"/>
        </w:rPr>
        <w:t>（10）医院医疗废物管理工作持续改进过程中要求的其他资料</w:t>
      </w:r>
    </w:p>
    <w:p>
      <w:pPr>
        <w:rPr>
          <w:rFonts w:ascii="宋体" w:hAnsi="宋体" w:cs="宋体"/>
          <w:sz w:val="28"/>
          <w:szCs w:val="28"/>
        </w:rPr>
      </w:pPr>
      <w:r>
        <w:rPr>
          <w:rFonts w:hint="eastAsia" w:ascii="宋体" w:hAnsi="宋体" w:cs="宋体"/>
          <w:sz w:val="28"/>
          <w:szCs w:val="28"/>
        </w:rPr>
        <w:t>以上资料均专项存档，作好保存工作。</w:t>
      </w:r>
    </w:p>
    <w:p>
      <w:pPr>
        <w:pStyle w:val="84"/>
        <w:numPr>
          <w:ilvl w:val="0"/>
          <w:numId w:val="39"/>
        </w:numPr>
        <w:spacing w:line="360" w:lineRule="auto"/>
        <w:ind w:firstLineChars="0"/>
        <w:rPr>
          <w:rFonts w:ascii="宋体" w:hAnsi="宋体" w:cs="宋体"/>
          <w:b/>
          <w:bCs/>
          <w:sz w:val="28"/>
          <w:szCs w:val="28"/>
        </w:rPr>
      </w:pPr>
      <w:r>
        <w:rPr>
          <w:rFonts w:hint="eastAsia" w:ascii="宋体" w:hAnsi="宋体" w:cs="宋体"/>
          <w:b/>
          <w:bCs/>
          <w:sz w:val="28"/>
          <w:szCs w:val="28"/>
        </w:rPr>
        <w:t>生活垃圾管理工作服务标准</w:t>
      </w:r>
    </w:p>
    <w:p>
      <w:pPr>
        <w:rPr>
          <w:rFonts w:ascii="宋体" w:hAnsi="宋体" w:cs="宋体"/>
          <w:sz w:val="28"/>
          <w:szCs w:val="28"/>
        </w:rPr>
      </w:pPr>
      <w:r>
        <w:rPr>
          <w:rFonts w:hint="eastAsia" w:ascii="宋体" w:hAnsi="宋体" w:cs="宋体"/>
          <w:sz w:val="28"/>
          <w:szCs w:val="28"/>
        </w:rPr>
        <w:t>1.生活垃圾暂存间四类暂存房间每日消毒频次不低于2次，作好消毒记录。</w:t>
      </w:r>
    </w:p>
    <w:p>
      <w:pPr>
        <w:rPr>
          <w:rFonts w:ascii="宋体" w:hAnsi="宋体" w:cs="宋体"/>
          <w:sz w:val="28"/>
          <w:szCs w:val="28"/>
        </w:rPr>
      </w:pPr>
      <w:r>
        <w:rPr>
          <w:rFonts w:hint="eastAsia" w:ascii="宋体" w:hAnsi="宋体" w:cs="宋体"/>
          <w:sz w:val="28"/>
          <w:szCs w:val="28"/>
        </w:rPr>
        <w:t>2.生活垃圾分类转运推车每日消毒频次不低于2次，作好消毒记录。</w:t>
      </w:r>
    </w:p>
    <w:p>
      <w:pPr>
        <w:rPr>
          <w:rFonts w:ascii="宋体" w:hAnsi="宋体" w:cs="宋体"/>
          <w:sz w:val="28"/>
          <w:szCs w:val="28"/>
        </w:rPr>
      </w:pPr>
      <w:r>
        <w:rPr>
          <w:rFonts w:hint="eastAsia" w:ascii="宋体" w:hAnsi="宋体" w:cs="宋体"/>
          <w:sz w:val="28"/>
          <w:szCs w:val="28"/>
        </w:rPr>
        <w:t>3.每日生活垃圾转运数量（袋数）各科室抄回数据并统计，于次日早上9点前完成前一天的产生量总数据汇总并填写于《生活垃圾每日产量统计表》完成登记，不得乱涂乱画，更正需统计人员签字。（每袋平均重量通过数据收集平均统计得出平均重量同于计算）</w:t>
      </w:r>
    </w:p>
    <w:p>
      <w:pPr>
        <w:rPr>
          <w:rFonts w:ascii="宋体" w:hAnsi="宋体" w:cs="宋体"/>
          <w:sz w:val="28"/>
          <w:szCs w:val="28"/>
        </w:rPr>
      </w:pPr>
      <w:r>
        <w:rPr>
          <w:rFonts w:hint="eastAsia" w:ascii="宋体" w:hAnsi="宋体" w:cs="宋体"/>
          <w:sz w:val="28"/>
          <w:szCs w:val="28"/>
        </w:rPr>
        <w:t>4.按照医院生活垃圾分类转运流程和时间专职收运人员到临床科室收运生活垃圾至院级生活垃圾暂存间，生活垃圾暂存间工作人员外出必须保证随时锁门。</w:t>
      </w:r>
    </w:p>
    <w:p>
      <w:pPr>
        <w:rPr>
          <w:rFonts w:ascii="宋体" w:hAnsi="宋体" w:cs="宋体"/>
          <w:sz w:val="28"/>
          <w:szCs w:val="28"/>
        </w:rPr>
      </w:pPr>
      <w:r>
        <w:rPr>
          <w:rFonts w:hint="eastAsia" w:ascii="宋体" w:hAnsi="宋体" w:cs="宋体"/>
          <w:sz w:val="28"/>
          <w:szCs w:val="28"/>
        </w:rPr>
        <w:t>5.每月编写生活垃圾分类管理和收运总结，包含可回收物、其他垃圾、有害垃圾、餐厨垃圾4大分类生活垃圾产生量数据汇总、有生活垃圾暂存间维修记录、防护用品使用记录、存在问题等信息，报送医院</w:t>
      </w:r>
      <w:r>
        <w:rPr>
          <w:rFonts w:hint="eastAsia" w:ascii="宋体" w:hAnsi="宋体" w:cs="宋体"/>
          <w:sz w:val="28"/>
          <w:szCs w:val="28"/>
          <w:lang w:eastAsia="zh-CN"/>
        </w:rPr>
        <w:t>管理科室</w:t>
      </w:r>
      <w:r>
        <w:rPr>
          <w:rFonts w:hint="eastAsia" w:ascii="宋体" w:hAnsi="宋体" w:cs="宋体"/>
          <w:sz w:val="28"/>
          <w:szCs w:val="28"/>
        </w:rPr>
        <w:t>。</w:t>
      </w:r>
    </w:p>
    <w:p>
      <w:pPr>
        <w:rPr>
          <w:rFonts w:ascii="宋体" w:hAnsi="宋体" w:cs="宋体"/>
          <w:sz w:val="28"/>
          <w:szCs w:val="28"/>
        </w:rPr>
      </w:pPr>
      <w:r>
        <w:rPr>
          <w:rFonts w:hint="eastAsia" w:ascii="宋体" w:hAnsi="宋体" w:cs="宋体"/>
          <w:sz w:val="28"/>
          <w:szCs w:val="28"/>
        </w:rPr>
        <w:t>6.建立自身生活垃圾分类管理工作自查，由管理人员对生活垃圾日常运行情况进行自查；包括分类收运执行情况自查；生活垃圾暂存间内部墙面、地面及水、电、气自查；科室保洁人员生活垃圾分类收集、分类收集率等工作要求执行情况自查等。自查报告写入月总结。</w:t>
      </w:r>
    </w:p>
    <w:p>
      <w:pPr>
        <w:rPr>
          <w:rFonts w:ascii="宋体" w:hAnsi="宋体" w:cs="宋体"/>
          <w:sz w:val="28"/>
          <w:szCs w:val="28"/>
        </w:rPr>
      </w:pPr>
      <w:r>
        <w:rPr>
          <w:rFonts w:hint="eastAsia" w:ascii="宋体" w:hAnsi="宋体" w:cs="宋体"/>
          <w:sz w:val="28"/>
          <w:szCs w:val="28"/>
        </w:rPr>
        <w:t>7.与医院生活垃圾分类管理部门共同制定生活垃圾分类收集工作计划和执行方案，按照生活垃圾分类收集计划进行生活垃圾分类收集、数据汇总、进出口管理等相关工作，服从管理科室分类工作安排。</w:t>
      </w:r>
    </w:p>
    <w:p>
      <w:pPr>
        <w:rPr>
          <w:rFonts w:ascii="宋体" w:hAnsi="宋体" w:cs="宋体"/>
          <w:sz w:val="28"/>
          <w:szCs w:val="28"/>
        </w:rPr>
      </w:pPr>
      <w:r>
        <w:rPr>
          <w:rFonts w:hint="eastAsia" w:ascii="宋体" w:hAnsi="宋体" w:cs="宋体"/>
          <w:sz w:val="28"/>
          <w:szCs w:val="28"/>
        </w:rPr>
        <w:t>8.每月开展定期生活垃圾从业人员、管理人员法律法规、应急处置培训工作，作好经常性教育工作。</w:t>
      </w:r>
    </w:p>
    <w:p>
      <w:pPr>
        <w:rPr>
          <w:rFonts w:ascii="宋体" w:hAnsi="宋体" w:cs="宋体"/>
          <w:sz w:val="28"/>
          <w:szCs w:val="28"/>
        </w:rPr>
      </w:pPr>
      <w:r>
        <w:rPr>
          <w:rFonts w:hint="eastAsia" w:ascii="宋体" w:hAnsi="宋体" w:cs="宋体"/>
          <w:sz w:val="28"/>
          <w:szCs w:val="28"/>
        </w:rPr>
        <w:t>9.每日对医院污物电梯进行消毒，每转运一次医疗废物消毒一次，建立消毒记录本。</w:t>
      </w:r>
    </w:p>
    <w:p>
      <w:pPr>
        <w:rPr>
          <w:rFonts w:ascii="宋体" w:hAnsi="宋体" w:cs="宋体"/>
          <w:sz w:val="28"/>
          <w:szCs w:val="28"/>
        </w:rPr>
      </w:pPr>
      <w:r>
        <w:rPr>
          <w:rFonts w:hint="eastAsia" w:ascii="宋体" w:hAnsi="宋体" w:cs="宋体"/>
          <w:sz w:val="28"/>
          <w:szCs w:val="28"/>
        </w:rPr>
        <w:t>10.相关准备资料：</w:t>
      </w:r>
    </w:p>
    <w:p>
      <w:pPr>
        <w:rPr>
          <w:rFonts w:ascii="宋体" w:hAnsi="宋体" w:cs="宋体"/>
          <w:sz w:val="28"/>
          <w:szCs w:val="28"/>
        </w:rPr>
      </w:pPr>
      <w:r>
        <w:rPr>
          <w:rFonts w:hint="eastAsia" w:ascii="宋体" w:hAnsi="宋体" w:cs="宋体"/>
          <w:sz w:val="28"/>
          <w:szCs w:val="28"/>
        </w:rPr>
        <w:t>（1）生活垃圾分类暂存间4大类生活垃圾产量记录单</w:t>
      </w:r>
    </w:p>
    <w:p>
      <w:pPr>
        <w:rPr>
          <w:rFonts w:ascii="宋体" w:hAnsi="宋体" w:cs="宋体"/>
          <w:sz w:val="28"/>
          <w:szCs w:val="28"/>
        </w:rPr>
      </w:pPr>
      <w:r>
        <w:rPr>
          <w:rFonts w:hint="eastAsia" w:ascii="宋体" w:hAnsi="宋体" w:cs="宋体"/>
          <w:sz w:val="28"/>
          <w:szCs w:val="28"/>
        </w:rPr>
        <w:t>（2）生活垃圾暂存间防护用品领用、使用登记</w:t>
      </w:r>
    </w:p>
    <w:p>
      <w:pPr>
        <w:rPr>
          <w:rFonts w:ascii="宋体" w:hAnsi="宋体" w:cs="宋体"/>
          <w:sz w:val="28"/>
          <w:szCs w:val="28"/>
        </w:rPr>
      </w:pPr>
      <w:r>
        <w:rPr>
          <w:rFonts w:hint="eastAsia" w:ascii="宋体" w:hAnsi="宋体" w:cs="宋体"/>
          <w:sz w:val="28"/>
          <w:szCs w:val="28"/>
        </w:rPr>
        <w:t>（3）电子台账：各楼层科室生活垃圾分类产量数据统计表（EXCEL）</w:t>
      </w:r>
    </w:p>
    <w:p>
      <w:pPr>
        <w:rPr>
          <w:rFonts w:ascii="宋体" w:hAnsi="宋体" w:cs="宋体"/>
          <w:sz w:val="28"/>
          <w:szCs w:val="28"/>
        </w:rPr>
      </w:pPr>
      <w:r>
        <w:rPr>
          <w:rFonts w:hint="eastAsia" w:ascii="宋体" w:hAnsi="宋体" w:cs="宋体"/>
          <w:sz w:val="28"/>
          <w:szCs w:val="28"/>
        </w:rPr>
        <w:t>（4）生活垃圾转运车清洗消毒记录</w:t>
      </w:r>
    </w:p>
    <w:p>
      <w:pPr>
        <w:rPr>
          <w:rFonts w:ascii="宋体" w:hAnsi="宋体" w:cs="宋体"/>
          <w:sz w:val="28"/>
          <w:szCs w:val="28"/>
        </w:rPr>
      </w:pPr>
      <w:r>
        <w:rPr>
          <w:rFonts w:hint="eastAsia" w:ascii="宋体" w:hAnsi="宋体" w:cs="宋体"/>
          <w:sz w:val="28"/>
          <w:szCs w:val="28"/>
        </w:rPr>
        <w:t>（5）生活垃圾暂存间消毒记录</w:t>
      </w:r>
    </w:p>
    <w:p>
      <w:pPr>
        <w:rPr>
          <w:rFonts w:ascii="宋体" w:hAnsi="宋体" w:cs="宋体"/>
          <w:sz w:val="28"/>
          <w:szCs w:val="28"/>
        </w:rPr>
      </w:pPr>
      <w:r>
        <w:rPr>
          <w:rFonts w:hint="eastAsia" w:ascii="宋体" w:hAnsi="宋体" w:cs="宋体"/>
          <w:sz w:val="28"/>
          <w:szCs w:val="28"/>
        </w:rPr>
        <w:t>（6）生活垃圾暂存间紫外灯消毒记录（含累计照射时间登记）</w:t>
      </w:r>
    </w:p>
    <w:p>
      <w:pPr>
        <w:rPr>
          <w:rFonts w:ascii="宋体" w:hAnsi="宋体" w:cs="宋体"/>
          <w:sz w:val="28"/>
          <w:szCs w:val="28"/>
        </w:rPr>
      </w:pPr>
      <w:r>
        <w:rPr>
          <w:rFonts w:hint="eastAsia" w:ascii="宋体" w:hAnsi="宋体" w:cs="宋体"/>
          <w:sz w:val="28"/>
          <w:szCs w:val="28"/>
        </w:rPr>
        <w:t>（7）生活垃圾分类收集月工作总结</w:t>
      </w:r>
    </w:p>
    <w:p>
      <w:pPr>
        <w:rPr>
          <w:rFonts w:ascii="宋体" w:hAnsi="宋体" w:cs="宋体"/>
          <w:sz w:val="28"/>
          <w:szCs w:val="28"/>
        </w:rPr>
      </w:pPr>
      <w:r>
        <w:rPr>
          <w:rFonts w:hint="eastAsia" w:ascii="宋体" w:hAnsi="宋体" w:cs="宋体"/>
          <w:sz w:val="28"/>
          <w:szCs w:val="28"/>
        </w:rPr>
        <w:t>（8）生活垃圾分类管理工作年度总结和计划</w:t>
      </w:r>
    </w:p>
    <w:p>
      <w:pPr>
        <w:rPr>
          <w:rFonts w:ascii="宋体" w:hAnsi="宋体" w:cs="宋体"/>
          <w:sz w:val="28"/>
          <w:szCs w:val="28"/>
        </w:rPr>
      </w:pPr>
      <w:r>
        <w:rPr>
          <w:rFonts w:hint="eastAsia" w:ascii="宋体" w:hAnsi="宋体" w:cs="宋体"/>
          <w:sz w:val="28"/>
          <w:szCs w:val="28"/>
        </w:rPr>
        <w:t>（9）医院生活垃圾管理工作持续改进过程中要求的其他资料</w:t>
      </w:r>
    </w:p>
    <w:p>
      <w:pPr>
        <w:rPr>
          <w:rFonts w:ascii="宋体" w:hAnsi="宋体" w:cs="宋体"/>
          <w:sz w:val="28"/>
          <w:szCs w:val="28"/>
        </w:rPr>
      </w:pPr>
      <w:r>
        <w:rPr>
          <w:rFonts w:hint="eastAsia" w:ascii="宋体" w:hAnsi="宋体" w:cs="宋体"/>
          <w:sz w:val="28"/>
          <w:szCs w:val="28"/>
        </w:rPr>
        <w:t>以上资料均专项存档，作好保存工作。</w:t>
      </w:r>
    </w:p>
    <w:p>
      <w:pPr>
        <w:pStyle w:val="84"/>
        <w:numPr>
          <w:ilvl w:val="0"/>
          <w:numId w:val="39"/>
        </w:numPr>
        <w:spacing w:line="360" w:lineRule="auto"/>
        <w:ind w:firstLineChars="0"/>
        <w:rPr>
          <w:rFonts w:ascii="宋体" w:hAnsi="宋体" w:cs="宋体"/>
          <w:b/>
          <w:bCs/>
          <w:sz w:val="28"/>
          <w:szCs w:val="28"/>
        </w:rPr>
      </w:pPr>
      <w:r>
        <w:rPr>
          <w:rFonts w:hint="eastAsia" w:ascii="宋体" w:hAnsi="宋体" w:cs="宋体"/>
          <w:b/>
          <w:bCs/>
          <w:sz w:val="28"/>
          <w:szCs w:val="28"/>
        </w:rPr>
        <w:t>生活垃圾和医疗垃圾收集、转运总体要求</w:t>
      </w:r>
    </w:p>
    <w:p>
      <w:pPr>
        <w:rPr>
          <w:rFonts w:ascii="宋体" w:hAnsi="宋体" w:cs="宋体"/>
          <w:sz w:val="28"/>
          <w:szCs w:val="28"/>
        </w:rPr>
      </w:pPr>
      <w:r>
        <w:rPr>
          <w:rFonts w:hint="eastAsia" w:ascii="宋体" w:hAnsi="宋体" w:cs="宋体"/>
          <w:sz w:val="28"/>
          <w:szCs w:val="28"/>
        </w:rPr>
        <w:t>1.配合做好医院节假日，突击检查等应急工作。</w:t>
      </w:r>
    </w:p>
    <w:p>
      <w:pPr>
        <w:rPr>
          <w:rFonts w:ascii="宋体" w:hAnsi="宋体" w:cs="宋体"/>
          <w:sz w:val="28"/>
          <w:szCs w:val="28"/>
        </w:rPr>
      </w:pPr>
      <w:r>
        <w:rPr>
          <w:rFonts w:hint="eastAsia" w:ascii="宋体" w:hAnsi="宋体" w:cs="宋体"/>
          <w:sz w:val="28"/>
          <w:szCs w:val="28"/>
        </w:rPr>
        <w:t>2.服从医院的统一安排，按时完成各类计划性、应急性工作。</w:t>
      </w:r>
    </w:p>
    <w:p>
      <w:pPr>
        <w:rPr>
          <w:rFonts w:ascii="宋体" w:hAnsi="宋体" w:cs="宋体"/>
          <w:sz w:val="28"/>
          <w:szCs w:val="28"/>
        </w:rPr>
      </w:pPr>
      <w:r>
        <w:rPr>
          <w:rFonts w:hint="eastAsia" w:ascii="宋体" w:hAnsi="宋体" w:cs="宋体"/>
          <w:sz w:val="28"/>
          <w:szCs w:val="28"/>
        </w:rPr>
        <w:t>3.投标人需分别建立生活垃圾和医疗垃圾收集、分类、运输与记录工作计划安排。制定详细的工作计划，使服务人员按照计划流程执行，使岗位工作运行处于良好的服务状态。</w:t>
      </w:r>
    </w:p>
    <w:p>
      <w:pPr>
        <w:rPr>
          <w:rFonts w:ascii="宋体" w:hAnsi="宋体" w:cs="宋体"/>
          <w:sz w:val="28"/>
          <w:szCs w:val="28"/>
        </w:rPr>
      </w:pPr>
      <w:r>
        <w:rPr>
          <w:rFonts w:hint="eastAsia" w:ascii="宋体" w:hAnsi="宋体" w:cs="宋体"/>
          <w:sz w:val="28"/>
          <w:szCs w:val="28"/>
        </w:rPr>
        <w:t>4.投标人需分别制定生活垃圾和医疗垃圾收集、分类、运输与记录操作流程，投标人根据医院院感要求、临床科室需求制定合理的生活</w:t>
      </w:r>
      <w:r>
        <w:rPr>
          <w:rFonts w:hint="eastAsia" w:ascii="宋体" w:hAnsi="宋体" w:cs="宋体"/>
          <w:sz w:val="28"/>
          <w:szCs w:val="28"/>
          <w:lang w:eastAsia="zh-CN"/>
        </w:rPr>
        <w:t>垃圾分类</w:t>
      </w:r>
      <w:r>
        <w:rPr>
          <w:rFonts w:hint="eastAsia" w:ascii="宋体" w:hAnsi="宋体" w:cs="宋体"/>
          <w:sz w:val="28"/>
          <w:szCs w:val="28"/>
        </w:rPr>
        <w:t>考核标准要求，投标人制定的考核标准需全面考虑本项目的实际情况，有详细的维修员考核标准、服务质量考核标准、客户满意度考核标准及相关作业表格，内容应全面、清晰（考核标准方面，能体现的考核内容至少包含人员考勤、着装规范、工作态度、职责任务及考核目的）。</w:t>
      </w:r>
    </w:p>
    <w:p>
      <w:pPr>
        <w:pStyle w:val="6"/>
      </w:pPr>
      <w:r>
        <w:rPr>
          <w:rFonts w:hint="eastAsia"/>
        </w:rPr>
        <w:t>电梯司乘管理服务</w:t>
      </w:r>
    </w:p>
    <w:p>
      <w:pPr>
        <w:spacing w:line="360" w:lineRule="auto"/>
        <w:rPr>
          <w:rFonts w:ascii="宋体" w:hAnsi="宋体" w:cs="宋体"/>
          <w:b/>
          <w:bCs/>
          <w:sz w:val="28"/>
          <w:szCs w:val="28"/>
        </w:rPr>
      </w:pPr>
      <w:r>
        <w:rPr>
          <w:rFonts w:hint="eastAsia" w:ascii="宋体" w:hAnsi="宋体" w:cs="宋体"/>
          <w:b/>
          <w:bCs/>
          <w:sz w:val="28"/>
          <w:szCs w:val="28"/>
        </w:rPr>
        <w:t>一、服务内容</w:t>
      </w:r>
    </w:p>
    <w:p>
      <w:pPr>
        <w:spacing w:line="360" w:lineRule="auto"/>
        <w:rPr>
          <w:rFonts w:ascii="宋体" w:hAnsi="宋体" w:cs="宋体"/>
          <w:sz w:val="28"/>
          <w:szCs w:val="28"/>
        </w:rPr>
      </w:pPr>
      <w:r>
        <w:rPr>
          <w:rFonts w:hint="eastAsia" w:ascii="宋体" w:hAnsi="宋体" w:cs="宋体"/>
          <w:sz w:val="28"/>
          <w:szCs w:val="28"/>
        </w:rPr>
        <w:t>负责医院手术电梯的驾驶运行管理。</w:t>
      </w:r>
    </w:p>
    <w:p>
      <w:pPr>
        <w:spacing w:line="360" w:lineRule="auto"/>
        <w:rPr>
          <w:rFonts w:ascii="宋体" w:hAnsi="宋体" w:cs="宋体"/>
          <w:b/>
          <w:bCs/>
          <w:sz w:val="28"/>
          <w:szCs w:val="28"/>
        </w:rPr>
      </w:pPr>
      <w:r>
        <w:rPr>
          <w:rFonts w:hint="eastAsia" w:ascii="宋体" w:hAnsi="宋体" w:cs="宋体"/>
          <w:b/>
          <w:bCs/>
          <w:sz w:val="28"/>
          <w:szCs w:val="28"/>
        </w:rPr>
        <w:t>二、服务要求</w:t>
      </w:r>
    </w:p>
    <w:p>
      <w:pPr>
        <w:rPr>
          <w:rFonts w:ascii="宋体" w:hAnsi="宋体" w:cs="宋体"/>
          <w:sz w:val="28"/>
          <w:szCs w:val="28"/>
        </w:rPr>
      </w:pPr>
      <w:r>
        <w:rPr>
          <w:rFonts w:hint="eastAsia" w:ascii="宋体" w:hAnsi="宋体" w:cs="宋体"/>
          <w:sz w:val="28"/>
          <w:szCs w:val="28"/>
        </w:rPr>
        <w:t>1.为本项目配置的电梯司乘人员，需熟悉本行业相关知识，具有较强现场操作能力。</w:t>
      </w:r>
    </w:p>
    <w:p>
      <w:pPr>
        <w:rPr>
          <w:rFonts w:ascii="宋体" w:hAnsi="宋体" w:cs="宋体"/>
          <w:sz w:val="28"/>
          <w:szCs w:val="28"/>
        </w:rPr>
      </w:pPr>
      <w:r>
        <w:rPr>
          <w:rFonts w:hint="eastAsia" w:ascii="宋体" w:hAnsi="宋体" w:cs="宋体"/>
          <w:sz w:val="28"/>
          <w:szCs w:val="28"/>
        </w:rPr>
        <w:t>2.坚守岗位，随时巡视电梯的运行情况并作好记录，值班期间保持通信畅通。</w:t>
      </w:r>
    </w:p>
    <w:p>
      <w:pPr>
        <w:rPr>
          <w:rFonts w:ascii="宋体" w:hAnsi="宋体" w:cs="宋体"/>
          <w:sz w:val="28"/>
          <w:szCs w:val="28"/>
        </w:rPr>
      </w:pPr>
      <w:r>
        <w:rPr>
          <w:rFonts w:hint="eastAsia" w:ascii="宋体" w:hAnsi="宋体" w:cs="宋体"/>
          <w:sz w:val="28"/>
          <w:szCs w:val="28"/>
        </w:rPr>
        <w:t>3.熟练掌握电梯的操作程序，保证电梯的安全运行。</w:t>
      </w:r>
    </w:p>
    <w:p>
      <w:pPr>
        <w:rPr>
          <w:rFonts w:ascii="宋体" w:hAnsi="宋体" w:cs="宋体"/>
          <w:sz w:val="28"/>
          <w:szCs w:val="28"/>
        </w:rPr>
      </w:pPr>
      <w:r>
        <w:rPr>
          <w:rFonts w:hint="eastAsia" w:ascii="宋体" w:hAnsi="宋体" w:cs="宋体"/>
          <w:sz w:val="28"/>
          <w:szCs w:val="28"/>
        </w:rPr>
        <w:t>4.电梯发生故障及时与维保人员联系，主动协助维保人员排出故障。</w:t>
      </w:r>
    </w:p>
    <w:p>
      <w:pPr>
        <w:rPr>
          <w:rFonts w:ascii="宋体" w:hAnsi="宋体" w:cs="宋体"/>
          <w:sz w:val="28"/>
          <w:szCs w:val="28"/>
        </w:rPr>
      </w:pPr>
      <w:r>
        <w:rPr>
          <w:rFonts w:hint="eastAsia" w:ascii="宋体" w:hAnsi="宋体" w:cs="宋体"/>
          <w:sz w:val="28"/>
          <w:szCs w:val="28"/>
        </w:rPr>
        <w:t>5.一旦出现紧急情况按照应急预案灵活处理并上报医院、作好记录。</w:t>
      </w:r>
    </w:p>
    <w:p>
      <w:pPr>
        <w:rPr>
          <w:rFonts w:ascii="宋体" w:hAnsi="宋体" w:cs="宋体"/>
          <w:sz w:val="28"/>
          <w:szCs w:val="28"/>
        </w:rPr>
      </w:pPr>
      <w:r>
        <w:rPr>
          <w:rFonts w:hint="eastAsia" w:ascii="宋体" w:hAnsi="宋体" w:cs="宋体"/>
          <w:sz w:val="28"/>
          <w:szCs w:val="28"/>
        </w:rPr>
        <w:t>6.要求每日对电梯轿厢及轿门进行清洁维护，轿厢内外严禁张贴小广告，保持良好的乘坐环境。</w:t>
      </w:r>
    </w:p>
    <w:p>
      <w:pPr>
        <w:rPr>
          <w:rFonts w:ascii="宋体" w:hAnsi="宋体" w:cs="宋体"/>
          <w:sz w:val="28"/>
          <w:szCs w:val="28"/>
        </w:rPr>
      </w:pPr>
      <w:r>
        <w:rPr>
          <w:rFonts w:hint="eastAsia" w:ascii="宋体" w:hAnsi="宋体" w:cs="宋体"/>
          <w:sz w:val="28"/>
          <w:szCs w:val="28"/>
        </w:rPr>
        <w:t>7.妥善保管电梯轿厢内的设备，电话应保持良好通话状态，以备应急。</w:t>
      </w:r>
    </w:p>
    <w:p>
      <w:pPr>
        <w:spacing w:line="360" w:lineRule="auto"/>
        <w:rPr>
          <w:rFonts w:ascii="宋体" w:hAnsi="宋体" w:cs="宋体"/>
          <w:b/>
          <w:bCs/>
          <w:sz w:val="28"/>
          <w:szCs w:val="28"/>
        </w:rPr>
      </w:pPr>
      <w:r>
        <w:rPr>
          <w:rFonts w:hint="eastAsia" w:ascii="宋体" w:hAnsi="宋体" w:cs="宋体"/>
          <w:b/>
          <w:bCs/>
          <w:sz w:val="28"/>
          <w:szCs w:val="28"/>
        </w:rPr>
        <w:t>三、电梯司乘管理总体要求</w:t>
      </w:r>
    </w:p>
    <w:p>
      <w:pPr>
        <w:rPr>
          <w:rFonts w:ascii="宋体" w:hAnsi="宋体" w:cs="宋体"/>
          <w:sz w:val="28"/>
          <w:szCs w:val="28"/>
        </w:rPr>
      </w:pPr>
      <w:r>
        <w:rPr>
          <w:rFonts w:hint="eastAsia" w:ascii="宋体" w:hAnsi="宋体" w:cs="宋体"/>
          <w:sz w:val="28"/>
          <w:szCs w:val="28"/>
        </w:rPr>
        <w:t>1.配合做好医院节假日，突击检查等电梯保障工作。</w:t>
      </w:r>
    </w:p>
    <w:p>
      <w:pPr>
        <w:rPr>
          <w:rFonts w:ascii="宋体" w:hAnsi="宋体" w:cs="宋体"/>
          <w:sz w:val="28"/>
          <w:szCs w:val="28"/>
        </w:rPr>
      </w:pPr>
      <w:r>
        <w:rPr>
          <w:rFonts w:hint="eastAsia" w:ascii="宋体" w:hAnsi="宋体" w:cs="宋体"/>
          <w:sz w:val="28"/>
          <w:szCs w:val="28"/>
        </w:rPr>
        <w:t>2.服从医院的统一安排，按时完成各类计划性、应急性工作。</w:t>
      </w:r>
    </w:p>
    <w:p>
      <w:pPr>
        <w:rPr>
          <w:rFonts w:ascii="宋体" w:hAnsi="宋体" w:cs="宋体"/>
          <w:sz w:val="28"/>
          <w:szCs w:val="28"/>
        </w:rPr>
      </w:pPr>
      <w:r>
        <w:rPr>
          <w:rFonts w:hint="eastAsia" w:ascii="宋体" w:hAnsi="宋体" w:cs="宋体"/>
          <w:sz w:val="28"/>
          <w:szCs w:val="28"/>
        </w:rPr>
        <w:t>3.投标人需要建立工作计划安排。使相应服务人员能按照相关计划执行，使岗位工作运行处于良好的服务状态。</w:t>
      </w:r>
    </w:p>
    <w:p>
      <w:pPr>
        <w:rPr>
          <w:rFonts w:ascii="宋体" w:hAnsi="宋体" w:cs="宋体"/>
          <w:sz w:val="28"/>
          <w:szCs w:val="28"/>
        </w:rPr>
      </w:pPr>
      <w:r>
        <w:rPr>
          <w:rFonts w:hint="eastAsia" w:ascii="宋体" w:hAnsi="宋体" w:cs="宋体"/>
          <w:sz w:val="28"/>
          <w:szCs w:val="28"/>
        </w:rPr>
        <w:t>4.投标人根据电梯司乘服务需制定详细操作流程。</w:t>
      </w:r>
    </w:p>
    <w:p>
      <w:pPr>
        <w:rPr>
          <w:rFonts w:ascii="宋体" w:hAnsi="宋体" w:cs="宋体"/>
          <w:sz w:val="28"/>
          <w:szCs w:val="28"/>
        </w:rPr>
      </w:pPr>
      <w:r>
        <w:rPr>
          <w:rFonts w:hint="eastAsia" w:ascii="宋体" w:hAnsi="宋体" w:cs="宋体"/>
          <w:sz w:val="28"/>
          <w:szCs w:val="28"/>
        </w:rPr>
        <w:t>5.考核标准要求，投标人制定的考核标准需全面考虑本项目的实际情况，有详细的人员考核标准、服务质量考核标准、客户满意度考核标准及相关作业表格，内容应全面、清晰（考核标准方面，能体现的考核内容至少包含人员考勤、着装规范、工作态度、职责任务及考核目的）。</w:t>
      </w:r>
    </w:p>
    <w:p/>
    <w:p>
      <w:pPr>
        <w:pStyle w:val="2"/>
      </w:pPr>
    </w:p>
    <w:p>
      <w:pPr>
        <w:pStyle w:val="6"/>
      </w:pPr>
      <w:r>
        <w:rPr>
          <w:rFonts w:hint="eastAsia"/>
        </w:rPr>
        <w:t>医院院感要求</w:t>
      </w:r>
    </w:p>
    <w:p>
      <w:pPr>
        <w:spacing w:line="360" w:lineRule="auto"/>
        <w:rPr>
          <w:rFonts w:ascii="宋体" w:hAnsi="宋体" w:cs="宋体"/>
          <w:b/>
          <w:bCs/>
          <w:sz w:val="28"/>
          <w:szCs w:val="28"/>
        </w:rPr>
      </w:pPr>
      <w:r>
        <w:rPr>
          <w:rFonts w:hint="eastAsia" w:ascii="宋体" w:hAnsi="宋体" w:cs="宋体"/>
          <w:b/>
          <w:bCs/>
          <w:sz w:val="28"/>
          <w:szCs w:val="28"/>
        </w:rPr>
        <w:t>一、服务要求</w:t>
      </w:r>
    </w:p>
    <w:p>
      <w:pPr>
        <w:rPr>
          <w:rFonts w:ascii="宋体" w:hAnsi="宋体" w:cs="宋体"/>
          <w:sz w:val="28"/>
          <w:szCs w:val="28"/>
        </w:rPr>
      </w:pPr>
      <w:r>
        <w:rPr>
          <w:rFonts w:hint="eastAsia" w:ascii="宋体" w:hAnsi="宋体" w:cs="宋体"/>
          <w:sz w:val="28"/>
          <w:szCs w:val="28"/>
        </w:rPr>
        <w:t>1.投标人应制定完善的环境清洁卫生质量管理体系、程序性文件和作业指导书等，其中应包括医院感染预防与控制的基本要求。</w:t>
      </w:r>
    </w:p>
    <w:p>
      <w:pPr>
        <w:rPr>
          <w:rFonts w:ascii="宋体" w:hAnsi="宋体" w:cs="宋体"/>
          <w:sz w:val="28"/>
          <w:szCs w:val="28"/>
        </w:rPr>
      </w:pPr>
      <w:r>
        <w:rPr>
          <w:rFonts w:hint="eastAsia" w:ascii="宋体" w:hAnsi="宋体" w:cs="宋体"/>
          <w:sz w:val="28"/>
          <w:szCs w:val="28"/>
        </w:rPr>
        <w:t>2.投标人应根据医院的特点，实行动态管理，及时调整清洁卫生策略与程序；最大限度满足医院日常工作及突发事件中的清洁/消毒需求（如传染病疫情期间、感染暴发的强化清洁与消毒）；要求建立内部质量监控体系，及时发现问题，及时整改。接受医院的监管，保持沟通顺畅、互通有无。</w:t>
      </w:r>
    </w:p>
    <w:p>
      <w:pPr>
        <w:rPr>
          <w:rFonts w:ascii="宋体" w:hAnsi="宋体" w:cs="宋体"/>
          <w:sz w:val="28"/>
          <w:szCs w:val="28"/>
        </w:rPr>
      </w:pPr>
      <w:r>
        <w:rPr>
          <w:rFonts w:hint="eastAsia" w:ascii="宋体" w:hAnsi="宋体" w:cs="宋体"/>
          <w:sz w:val="28"/>
          <w:szCs w:val="28"/>
        </w:rPr>
        <w:t>3.投标人应根据医院环境感染危险度和环境卫生等级管理要求制定标准化操作规程（SOP）（应规定清洁与消毒的工作流程、清洁/消毒时间和频次、使用的清洁剂/消毒剂名称、配制浓度、作用时间等），并获得医院方的认可方可实施。</w:t>
      </w:r>
    </w:p>
    <w:p>
      <w:pPr>
        <w:rPr>
          <w:rFonts w:ascii="宋体" w:hAnsi="宋体" w:cs="宋体"/>
          <w:sz w:val="28"/>
          <w:szCs w:val="28"/>
        </w:rPr>
      </w:pPr>
      <w:r>
        <w:rPr>
          <w:rFonts w:hint="eastAsia" w:ascii="宋体" w:hAnsi="宋体" w:cs="宋体"/>
          <w:sz w:val="28"/>
          <w:szCs w:val="28"/>
        </w:rPr>
        <w:t>4.投标人应为全体员工定期开展相关的法律法规、医院感染防控、业务技能和个人防护等方面的培训；实行新员工上岗前培训，考核合格方能上岗。相关的培训资料、师资教材、人员考试情况等应归档备查。</w:t>
      </w:r>
    </w:p>
    <w:p>
      <w:pPr>
        <w:rPr>
          <w:rFonts w:ascii="宋体" w:hAnsi="宋体" w:cs="宋体"/>
          <w:sz w:val="28"/>
          <w:szCs w:val="28"/>
        </w:rPr>
      </w:pPr>
      <w:r>
        <w:rPr>
          <w:rFonts w:hint="eastAsia" w:ascii="宋体" w:hAnsi="宋体" w:cs="宋体"/>
          <w:sz w:val="28"/>
          <w:szCs w:val="28"/>
        </w:rPr>
        <w:t>5.投标人应对其雇佣的员工实行人文关怀，开展上岗前和每年定期健康体检，实行免费预防接种。建立健全劳动安全事故预防体系，一旦发生职业暴露事故应及时报告，并采取必要的处置措施与健康跟踪。</w:t>
      </w:r>
    </w:p>
    <w:p>
      <w:pPr>
        <w:rPr>
          <w:rFonts w:ascii="宋体" w:hAnsi="宋体" w:cs="宋体"/>
          <w:sz w:val="28"/>
          <w:szCs w:val="28"/>
        </w:rPr>
      </w:pPr>
      <w:r>
        <w:rPr>
          <w:rFonts w:hint="eastAsia" w:ascii="宋体" w:hAnsi="宋体" w:cs="宋体"/>
          <w:sz w:val="28"/>
          <w:szCs w:val="28"/>
        </w:rPr>
        <w:t>6.投标人使用的消毒产品应符合法规要求，取得相应的资质证明文件，并留档备查。</w:t>
      </w:r>
    </w:p>
    <w:p>
      <w:pPr>
        <w:rPr>
          <w:rFonts w:ascii="宋体" w:hAnsi="宋体" w:cs="宋体"/>
          <w:sz w:val="28"/>
          <w:szCs w:val="28"/>
        </w:rPr>
      </w:pPr>
      <w:r>
        <w:rPr>
          <w:rFonts w:hint="eastAsia" w:ascii="宋体" w:hAnsi="宋体" w:cs="宋体"/>
          <w:sz w:val="28"/>
          <w:szCs w:val="28"/>
        </w:rPr>
        <w:t>7.不同区域使用相对应的清洁/消毒工具，按要求对集中存放的清洁/消毒用具用颜色、字标等方式进行严格的分类摆放，以防止交叉感染。可重复使用的清洁用具（如抹布、地巾（拖把头）等）进行复用处置；对塑料类洁具（如，水桶、拖把柄等）可采用含氯消毒剂或其它适宜消毒剂进行擦拭或浸泡消毒。</w:t>
      </w:r>
    </w:p>
    <w:p>
      <w:pPr>
        <w:spacing w:line="360" w:lineRule="auto"/>
        <w:rPr>
          <w:rFonts w:ascii="宋体" w:hAnsi="宋体" w:cs="宋体"/>
          <w:b/>
          <w:bCs/>
          <w:sz w:val="28"/>
          <w:szCs w:val="28"/>
        </w:rPr>
      </w:pPr>
      <w:r>
        <w:rPr>
          <w:rFonts w:hint="eastAsia" w:ascii="宋体" w:hAnsi="宋体" w:cs="宋体"/>
          <w:b/>
          <w:bCs/>
          <w:sz w:val="28"/>
          <w:szCs w:val="28"/>
        </w:rPr>
        <w:t>二、服务标准</w:t>
      </w:r>
    </w:p>
    <w:p>
      <w:pPr>
        <w:widowControl/>
        <w:spacing w:line="360" w:lineRule="auto"/>
        <w:jc w:val="left"/>
        <w:rPr>
          <w:rFonts w:ascii="宋体" w:hAnsi="宋体" w:cs="宋体"/>
          <w:b/>
          <w:bCs/>
          <w:sz w:val="28"/>
          <w:szCs w:val="28"/>
        </w:rPr>
      </w:pPr>
      <w:r>
        <w:rPr>
          <w:rFonts w:hint="eastAsia" w:ascii="宋体" w:hAnsi="宋体" w:cs="宋体"/>
          <w:b/>
          <w:bCs/>
          <w:sz w:val="28"/>
          <w:szCs w:val="28"/>
        </w:rPr>
        <w:t>医院不同区域卫生等级与日常清洁方法、频次</w:t>
      </w:r>
    </w:p>
    <w:tbl>
      <w:tblPr>
        <w:tblStyle w:val="48"/>
        <w:tblW w:w="10368" w:type="dxa"/>
        <w:jc w:val="center"/>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
      <w:tblGrid>
        <w:gridCol w:w="996"/>
        <w:gridCol w:w="1276"/>
        <w:gridCol w:w="14"/>
        <w:gridCol w:w="836"/>
        <w:gridCol w:w="1985"/>
        <w:gridCol w:w="1701"/>
        <w:gridCol w:w="2126"/>
        <w:gridCol w:w="1434"/>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344" w:hRule="atLeast"/>
          <w:tblHeader/>
          <w:jc w:val="center"/>
        </w:trPr>
        <w:tc>
          <w:tcPr>
            <w:tcW w:w="996" w:type="dxa"/>
            <w:tcBorders>
              <w:top w:val="single" w:color="auto" w:sz="8" w:space="0"/>
              <w:left w:val="single" w:color="auto" w:sz="8"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b/>
                <w:bCs/>
                <w:kern w:val="0"/>
                <w:szCs w:val="21"/>
              </w:rPr>
              <w:t>区域</w:t>
            </w:r>
          </w:p>
        </w:tc>
        <w:tc>
          <w:tcPr>
            <w:tcW w:w="2126" w:type="dxa"/>
            <w:gridSpan w:val="3"/>
            <w:tcBorders>
              <w:top w:val="single" w:color="auto" w:sz="8" w:space="0"/>
              <w:left w:val="outset" w:color="000000" w:sz="2"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b/>
                <w:bCs/>
                <w:kern w:val="0"/>
                <w:szCs w:val="21"/>
              </w:rPr>
              <w:t>清洁范围</w:t>
            </w:r>
          </w:p>
        </w:tc>
        <w:tc>
          <w:tcPr>
            <w:tcW w:w="1985" w:type="dxa"/>
            <w:tcBorders>
              <w:top w:val="single" w:color="auto" w:sz="8"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b/>
                <w:bCs/>
                <w:kern w:val="0"/>
                <w:szCs w:val="21"/>
              </w:rPr>
              <w:t>清洁用品（具）</w:t>
            </w:r>
          </w:p>
        </w:tc>
        <w:tc>
          <w:tcPr>
            <w:tcW w:w="1701" w:type="dxa"/>
            <w:tcBorders>
              <w:top w:val="single" w:color="auto" w:sz="8"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b/>
                <w:bCs/>
                <w:kern w:val="0"/>
                <w:szCs w:val="21"/>
              </w:rPr>
              <w:t>日常清洁</w:t>
            </w:r>
          </w:p>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b/>
                <w:bCs/>
                <w:kern w:val="0"/>
                <w:szCs w:val="21"/>
              </w:rPr>
              <w:t>消毒方法</w:t>
            </w:r>
          </w:p>
        </w:tc>
        <w:tc>
          <w:tcPr>
            <w:tcW w:w="2126" w:type="dxa"/>
            <w:tcBorders>
              <w:top w:val="single" w:color="auto" w:sz="8"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b/>
                <w:bCs/>
                <w:kern w:val="0"/>
                <w:szCs w:val="21"/>
              </w:rPr>
              <w:t>推荐日常</w:t>
            </w:r>
          </w:p>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b/>
                <w:bCs/>
                <w:kern w:val="0"/>
                <w:szCs w:val="21"/>
              </w:rPr>
              <w:t>清洁频次</w:t>
            </w:r>
          </w:p>
        </w:tc>
        <w:tc>
          <w:tcPr>
            <w:tcW w:w="1434" w:type="dxa"/>
            <w:tcBorders>
              <w:top w:val="single" w:color="auto" w:sz="8"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b/>
                <w:bCs/>
                <w:kern w:val="0"/>
                <w:szCs w:val="21"/>
              </w:rPr>
              <w:t>卫生</w:t>
            </w:r>
          </w:p>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b/>
                <w:bCs/>
                <w:kern w:val="0"/>
                <w:szCs w:val="21"/>
              </w:rPr>
              <w:t>等级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693" w:hRule="atLeast"/>
          <w:jc w:val="center"/>
        </w:trPr>
        <w:tc>
          <w:tcPr>
            <w:tcW w:w="996" w:type="dxa"/>
            <w:vMerge w:val="restart"/>
            <w:tcBorders>
              <w:top w:val="outset" w:color="000000" w:sz="2" w:space="0"/>
              <w:left w:val="single" w:color="auto" w:sz="8"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低度污染</w:t>
            </w:r>
          </w:p>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危险区域</w:t>
            </w:r>
          </w:p>
        </w:tc>
        <w:tc>
          <w:tcPr>
            <w:tcW w:w="2126" w:type="dxa"/>
            <w:gridSpan w:val="3"/>
            <w:tcBorders>
              <w:top w:val="outset" w:color="000000" w:sz="2" w:space="0"/>
              <w:left w:val="outset" w:color="000000" w:sz="2"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各类物体表面</w:t>
            </w:r>
          </w:p>
        </w:tc>
        <w:tc>
          <w:tcPr>
            <w:tcW w:w="1985" w:type="dxa"/>
            <w:vMerge w:val="restart"/>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各种适宜的拖把、抹布</w:t>
            </w:r>
          </w:p>
        </w:tc>
        <w:tc>
          <w:tcPr>
            <w:tcW w:w="1701" w:type="dxa"/>
            <w:vMerge w:val="restart"/>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清水擦拭</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1次/日</w:t>
            </w:r>
          </w:p>
        </w:tc>
        <w:tc>
          <w:tcPr>
            <w:tcW w:w="1434" w:type="dxa"/>
            <w:vMerge w:val="restart"/>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清洁级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344"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gridSpan w:val="3"/>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地面</w:t>
            </w:r>
          </w:p>
        </w:tc>
        <w:tc>
          <w:tcPr>
            <w:tcW w:w="1985" w:type="dxa"/>
            <w:vMerge w:val="continue"/>
            <w:tcBorders>
              <w:top w:val="outset" w:color="000000" w:sz="2" w:space="0"/>
              <w:left w:val="outset" w:color="000000" w:sz="2"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1701" w:type="dxa"/>
            <w:vMerge w:val="continue"/>
            <w:tcBorders>
              <w:top w:val="outset" w:color="000000" w:sz="2" w:space="0"/>
              <w:left w:val="outset" w:color="000000" w:sz="2"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1次/日</w:t>
            </w:r>
          </w:p>
        </w:tc>
        <w:tc>
          <w:tcPr>
            <w:tcW w:w="1434" w:type="dxa"/>
            <w:vMerge w:val="continue"/>
            <w:tcBorders>
              <w:top w:val="outset" w:color="000000" w:sz="2" w:space="0"/>
              <w:left w:val="outset" w:color="000000" w:sz="2"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373"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gridSpan w:val="3"/>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墙面/天花板</w:t>
            </w:r>
          </w:p>
        </w:tc>
        <w:tc>
          <w:tcPr>
            <w:tcW w:w="1985" w:type="dxa"/>
            <w:vMerge w:val="continue"/>
            <w:tcBorders>
              <w:top w:val="outset" w:color="000000" w:sz="2" w:space="0"/>
              <w:left w:val="outset" w:color="000000" w:sz="2"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1701" w:type="dxa"/>
            <w:vMerge w:val="continue"/>
            <w:tcBorders>
              <w:top w:val="outset" w:color="000000" w:sz="2" w:space="0"/>
              <w:left w:val="outset" w:color="000000" w:sz="2"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1次/季度</w:t>
            </w:r>
          </w:p>
        </w:tc>
        <w:tc>
          <w:tcPr>
            <w:tcW w:w="1434" w:type="dxa"/>
            <w:vMerge w:val="continue"/>
            <w:tcBorders>
              <w:top w:val="outset" w:color="000000" w:sz="2" w:space="0"/>
              <w:left w:val="outset" w:color="000000" w:sz="2"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305"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gridSpan w:val="3"/>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通风口</w:t>
            </w:r>
          </w:p>
        </w:tc>
        <w:tc>
          <w:tcPr>
            <w:tcW w:w="1985" w:type="dxa"/>
            <w:vMerge w:val="continue"/>
            <w:tcBorders>
              <w:top w:val="outset" w:color="000000" w:sz="2" w:space="0"/>
              <w:left w:val="outset" w:color="000000" w:sz="2"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1701" w:type="dxa"/>
            <w:vMerge w:val="continue"/>
            <w:tcBorders>
              <w:top w:val="outset" w:color="000000" w:sz="2" w:space="0"/>
              <w:left w:val="outset" w:color="000000" w:sz="2"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1次/季度</w:t>
            </w:r>
          </w:p>
        </w:tc>
        <w:tc>
          <w:tcPr>
            <w:tcW w:w="1434" w:type="dxa"/>
            <w:vMerge w:val="continue"/>
            <w:tcBorders>
              <w:top w:val="outset" w:color="000000" w:sz="2" w:space="0"/>
              <w:left w:val="outset" w:color="000000" w:sz="2"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1227" w:hRule="atLeast"/>
          <w:jc w:val="center"/>
        </w:trPr>
        <w:tc>
          <w:tcPr>
            <w:tcW w:w="996" w:type="dxa"/>
            <w:vMerge w:val="restart"/>
            <w:tcBorders>
              <w:top w:val="outset" w:color="000000" w:sz="2" w:space="0"/>
              <w:left w:val="single" w:color="auto" w:sz="8"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中度污染</w:t>
            </w:r>
          </w:p>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危险区域</w:t>
            </w:r>
          </w:p>
        </w:tc>
        <w:tc>
          <w:tcPr>
            <w:tcW w:w="2126" w:type="dxa"/>
            <w:gridSpan w:val="3"/>
            <w:tcBorders>
              <w:top w:val="outset" w:color="000000" w:sz="2" w:space="0"/>
              <w:left w:val="outset" w:color="000000" w:sz="2"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医疗设备表面</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抹布、一次性可吸湿性材料、一次性消毒湿巾</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清水（或加清洁剂）擦拭，低、中水平消毒；“清洁消毒一步法”；屏障保护</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每名患者使用后立即清洁消毒；对于使用频率较低或不直接接触患者的医疗设备，应日常清洁消毒1-2次/周</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538"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1290" w:type="dxa"/>
            <w:gridSpan w:val="2"/>
            <w:vMerge w:val="restart"/>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低频接触卫生表面</w:t>
            </w:r>
          </w:p>
        </w:tc>
        <w:tc>
          <w:tcPr>
            <w:tcW w:w="83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地面</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扁平脱卸式拖把</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清水擦拭</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2次/日</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清洁级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260"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1290" w:type="dxa"/>
            <w:gridSpan w:val="2"/>
            <w:vMerge w:val="continue"/>
            <w:tcBorders>
              <w:top w:val="outset" w:color="000000" w:sz="2" w:space="0"/>
              <w:left w:val="outset" w:color="000000" w:sz="2"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83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墙面/天花板</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抹布或其他可吸湿材料</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清水擦拭</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1次/月</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清洁级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344"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gridSpan w:val="3"/>
            <w:tcBorders>
              <w:top w:val="outset" w:color="000000" w:sz="2" w:space="0"/>
              <w:left w:val="outset" w:color="000000" w:sz="2"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高频接触卫生表面</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抹布、一次性可吸湿性材料、一次性消毒湿巾</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清水加清洁剂擦拭</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2次/日</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卫生级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1430"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gridSpan w:val="3"/>
            <w:tcBorders>
              <w:top w:val="outset" w:color="000000" w:sz="2" w:space="0"/>
              <w:left w:val="outset" w:color="000000" w:sz="2"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床头、床栏、床头柜等</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抹布、一次性可吸湿性材料</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清水加清洁剂擦拭</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1次/日</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卫生级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1032"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gridSpan w:val="3"/>
            <w:tcBorders>
              <w:top w:val="outset" w:color="000000" w:sz="2" w:space="0"/>
              <w:left w:val="outset" w:color="000000" w:sz="2"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通风系统</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抹布、一次性可吸湿性材料，必要时使用专用工具</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清水加清洁剂擦拭</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1次/月</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卫生级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344" w:hRule="atLeast"/>
          <w:jc w:val="center"/>
        </w:trPr>
        <w:tc>
          <w:tcPr>
            <w:tcW w:w="996" w:type="dxa"/>
            <w:vMerge w:val="restart"/>
            <w:tcBorders>
              <w:top w:val="outset" w:color="000000" w:sz="2" w:space="0"/>
              <w:left w:val="single" w:color="auto" w:sz="8"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高度污染</w:t>
            </w:r>
          </w:p>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危险区域</w:t>
            </w:r>
          </w:p>
        </w:tc>
        <w:tc>
          <w:tcPr>
            <w:tcW w:w="2126" w:type="dxa"/>
            <w:gridSpan w:val="3"/>
            <w:tcBorders>
              <w:top w:val="outset" w:color="000000" w:sz="2" w:space="0"/>
              <w:left w:val="outset" w:color="000000" w:sz="2"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医疗设备表面</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参照中度污染危险区域</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参照中度污染危险区域</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参照中度污染危险区域</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1032"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1290" w:type="dxa"/>
            <w:gridSpan w:val="2"/>
            <w:vMerge w:val="restart"/>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低频接触卫生表面</w:t>
            </w:r>
          </w:p>
        </w:tc>
        <w:tc>
          <w:tcPr>
            <w:tcW w:w="83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地面</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参照中度污染危险区域</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清水加清洁剂擦拭</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2次/日</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卫生级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1032"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1290" w:type="dxa"/>
            <w:gridSpan w:val="2"/>
            <w:vMerge w:val="continue"/>
            <w:tcBorders>
              <w:top w:val="outset" w:color="000000" w:sz="2" w:space="0"/>
              <w:left w:val="outset" w:color="000000" w:sz="2"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83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墙面/天花板</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参照中度污染危险区域</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清水加清洁剂擦拭</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1-2次/月</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卫生级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1453"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gridSpan w:val="3"/>
            <w:tcBorders>
              <w:top w:val="outset" w:color="000000" w:sz="2" w:space="0"/>
              <w:left w:val="outset" w:color="000000" w:sz="2"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高频接触卫生表面</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抹布、一次性可吸湿性材料、一次性消毒湿巾</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清水加清洁剂擦拭，低、中水平消毒；“清洁消毒一步法”</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&gt;2次/日</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327"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gridSpan w:val="3"/>
            <w:tcBorders>
              <w:top w:val="outset" w:color="000000" w:sz="2" w:space="0"/>
              <w:left w:val="outset" w:color="000000" w:sz="2"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床头、床栏、床头柜等</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参照中度污染危险区域</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清水加清洁剂擦拭，低、中水平消毒；“清洁消毒一步法”</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&gt;2次/日</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654"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gridSpan w:val="3"/>
            <w:tcBorders>
              <w:top w:val="outset" w:color="000000" w:sz="2" w:space="0"/>
              <w:left w:val="outset" w:color="000000" w:sz="2"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通风系统</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参照中度污染危险区域</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清水加清洁剂擦拭，中水平消毒</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1次/月</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1081" w:hRule="atLeast"/>
          <w:jc w:val="center"/>
        </w:trPr>
        <w:tc>
          <w:tcPr>
            <w:tcW w:w="996" w:type="dxa"/>
            <w:vMerge w:val="restart"/>
            <w:tcBorders>
              <w:top w:val="outset" w:color="000000" w:sz="2" w:space="0"/>
              <w:left w:val="single" w:color="auto" w:sz="8"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p>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极度污染</w:t>
            </w:r>
          </w:p>
          <w:p>
            <w:pPr>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危险区域</w:t>
            </w:r>
          </w:p>
        </w:tc>
        <w:tc>
          <w:tcPr>
            <w:tcW w:w="2126" w:type="dxa"/>
            <w:gridSpan w:val="3"/>
            <w:tcBorders>
              <w:top w:val="outset" w:color="000000" w:sz="2" w:space="0"/>
              <w:left w:val="outset" w:color="000000" w:sz="2"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医疗设备表面</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参照中度污染危险区域</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参照中度污染危险区域，使用中水平消毒剂</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参照中度污染危险区域</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811"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1276" w:type="dxa"/>
            <w:vMerge w:val="restart"/>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低频接触卫生表面</w:t>
            </w:r>
          </w:p>
        </w:tc>
        <w:tc>
          <w:tcPr>
            <w:tcW w:w="850" w:type="dxa"/>
            <w:gridSpan w:val="2"/>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地面</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参照中度污染危险区域</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清水加清洁剂擦拭，中水平消毒</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2次/日</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811"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1276" w:type="dxa"/>
            <w:vMerge w:val="continue"/>
            <w:tcBorders>
              <w:top w:val="outset" w:color="000000" w:sz="2" w:space="0"/>
              <w:left w:val="outset" w:color="000000" w:sz="2"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850" w:type="dxa"/>
            <w:gridSpan w:val="2"/>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墙面/天花板</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参照中度污染危险区域</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清水加清洁剂擦拭，中水平消毒</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1次/周</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1081"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gridSpan w:val="3"/>
            <w:tcBorders>
              <w:top w:val="outset" w:color="000000" w:sz="2" w:space="0"/>
              <w:left w:val="outset" w:color="000000" w:sz="2"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高频接触卫生表面</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参照重度污染危险区域</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参照重度污染危险区域</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&gt;3次/日</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313"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2126" w:type="dxa"/>
            <w:gridSpan w:val="3"/>
            <w:tcBorders>
              <w:top w:val="outset" w:color="000000" w:sz="2" w:space="0"/>
              <w:left w:val="outset" w:color="000000" w:sz="2" w:space="0"/>
              <w:bottom w:val="single" w:color="auto" w:sz="8" w:space="0"/>
              <w:right w:val="single" w:color="auto" w:sz="8" w:space="0"/>
            </w:tcBorders>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床头、床栏、床头柜等</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参照重度污染危险区域</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参照重度污染危险区域，使用中水平消毒剂</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&gt;3次/日</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427"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1276" w:type="dxa"/>
            <w:vMerge w:val="restart"/>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通风系统</w:t>
            </w:r>
          </w:p>
        </w:tc>
        <w:tc>
          <w:tcPr>
            <w:tcW w:w="850" w:type="dxa"/>
            <w:gridSpan w:val="2"/>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空气净化系统出、回风口</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抹布、一次性可吸湿性材料，必要时使用专用工具</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清水加清洁剂擦拭，中水平消毒</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1次/周</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rPr>
          <w:trHeight w:val="370" w:hRule="atLeast"/>
          <w:jc w:val="center"/>
        </w:trPr>
        <w:tc>
          <w:tcPr>
            <w:tcW w:w="996" w:type="dxa"/>
            <w:vMerge w:val="continue"/>
            <w:tcBorders>
              <w:top w:val="outset" w:color="000000" w:sz="2" w:space="0"/>
              <w:left w:val="single" w:color="auto" w:sz="8"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1276" w:type="dxa"/>
            <w:vMerge w:val="continue"/>
            <w:tcBorders>
              <w:top w:val="outset" w:color="000000" w:sz="2" w:space="0"/>
              <w:left w:val="outset" w:color="000000" w:sz="2" w:space="0"/>
              <w:bottom w:val="single" w:color="auto" w:sz="8" w:space="0"/>
              <w:right w:val="single" w:color="auto" w:sz="8" w:space="0"/>
            </w:tcBorders>
            <w:vAlign w:val="center"/>
          </w:tcPr>
          <w:p>
            <w:pPr>
              <w:widowControl/>
              <w:spacing w:line="360" w:lineRule="auto"/>
              <w:jc w:val="left"/>
              <w:rPr>
                <w:rFonts w:ascii="宋体" w:hAnsi="宋体" w:cs="宋体"/>
                <w:kern w:val="0"/>
                <w:szCs w:val="21"/>
              </w:rPr>
            </w:pPr>
          </w:p>
        </w:tc>
        <w:tc>
          <w:tcPr>
            <w:tcW w:w="850" w:type="dxa"/>
            <w:gridSpan w:val="2"/>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其它空调通风系统风口</w:t>
            </w:r>
          </w:p>
        </w:tc>
        <w:tc>
          <w:tcPr>
            <w:tcW w:w="1985"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参照重度污染危险区域</w:t>
            </w:r>
          </w:p>
        </w:tc>
        <w:tc>
          <w:tcPr>
            <w:tcW w:w="1701"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参照重度污染危险区域</w:t>
            </w:r>
          </w:p>
        </w:tc>
        <w:tc>
          <w:tcPr>
            <w:tcW w:w="2126"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1次/月</w:t>
            </w:r>
          </w:p>
        </w:tc>
        <w:tc>
          <w:tcPr>
            <w:tcW w:w="1434" w:type="dxa"/>
            <w:tcBorders>
              <w:top w:val="outset" w:color="000000" w:sz="2" w:space="0"/>
              <w:left w:val="outset" w:color="000000" w:sz="2" w:space="0"/>
              <w:bottom w:val="single" w:color="auto" w:sz="8" w:space="0"/>
              <w:right w:val="single" w:color="auto" w:sz="8" w:space="0"/>
            </w:tcBorders>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消毒级</w:t>
            </w:r>
          </w:p>
        </w:tc>
      </w:tr>
    </w:tbl>
    <w:p>
      <w:pPr>
        <w:spacing w:line="360" w:lineRule="auto"/>
        <w:rPr>
          <w:rFonts w:ascii="宋体" w:hAnsi="宋体" w:cs="宋体"/>
          <w:sz w:val="28"/>
          <w:szCs w:val="28"/>
        </w:rPr>
      </w:pPr>
      <w:r>
        <w:rPr>
          <w:rFonts w:hint="eastAsia" w:ascii="宋体" w:hAnsi="宋体" w:cs="宋体"/>
          <w:sz w:val="28"/>
          <w:szCs w:val="28"/>
        </w:rPr>
        <w:t>注：1.低度感染危险区域：行政管理部门、图书馆、会议室、病案室等。</w:t>
      </w:r>
    </w:p>
    <w:p>
      <w:pPr>
        <w:spacing w:line="360" w:lineRule="auto"/>
        <w:rPr>
          <w:rFonts w:ascii="宋体" w:hAnsi="宋体" w:cs="宋体"/>
          <w:sz w:val="28"/>
          <w:szCs w:val="28"/>
        </w:rPr>
      </w:pPr>
      <w:r>
        <w:rPr>
          <w:rFonts w:hint="eastAsia" w:ascii="宋体" w:hAnsi="宋体" w:cs="宋体"/>
          <w:sz w:val="28"/>
          <w:szCs w:val="28"/>
        </w:rPr>
        <w:t>2.中度感染危险区域：普通住院病房、门诊部、功能检查室等。</w:t>
      </w:r>
    </w:p>
    <w:p>
      <w:pPr>
        <w:spacing w:line="360" w:lineRule="auto"/>
        <w:rPr>
          <w:rFonts w:ascii="宋体" w:hAnsi="宋体" w:cs="宋体"/>
          <w:sz w:val="28"/>
          <w:szCs w:val="28"/>
        </w:rPr>
      </w:pPr>
      <w:r>
        <w:rPr>
          <w:rFonts w:hint="eastAsia" w:ascii="宋体" w:hAnsi="宋体" w:cs="宋体"/>
          <w:sz w:val="28"/>
          <w:szCs w:val="28"/>
        </w:rPr>
        <w:t>3.高度感染危险区域：感染性病区、急诊、中心供应室、实验室等。</w:t>
      </w:r>
    </w:p>
    <w:p>
      <w:pPr>
        <w:spacing w:line="360" w:lineRule="auto"/>
        <w:rPr>
          <w:rFonts w:ascii="宋体" w:hAnsi="宋体" w:cs="宋体"/>
          <w:sz w:val="28"/>
          <w:szCs w:val="28"/>
        </w:rPr>
      </w:pPr>
      <w:r>
        <w:rPr>
          <w:rFonts w:hint="eastAsia" w:ascii="宋体" w:hAnsi="宋体" w:cs="宋体"/>
          <w:sz w:val="28"/>
          <w:szCs w:val="28"/>
        </w:rPr>
        <w:t>4.极度感染危险区域：手术室、产房、新生儿病房包括新生儿重症监护病房（NICU）、重症监护病房（ICU）、烧伤病房、导管室、血液透析中心、器官（干细胞）移植病房等。</w:t>
      </w:r>
    </w:p>
    <w:p>
      <w:pPr>
        <w:spacing w:line="360" w:lineRule="auto"/>
        <w:ind w:firstLine="140" w:firstLineChars="50"/>
      </w:pPr>
      <w:r>
        <w:rPr>
          <w:rFonts w:hint="eastAsia" w:ascii="宋体" w:hAnsi="宋体" w:cs="宋体"/>
          <w:sz w:val="28"/>
          <w:szCs w:val="28"/>
        </w:rPr>
        <w:t>本清洁消毒频次仅适用于日常清洁消毒，遇污染时应立即清洁消毒，医院感染暴发期间应在此基础上适当增加清洁消毒频次。</w:t>
      </w:r>
    </w:p>
    <w:p>
      <w:pPr>
        <w:pStyle w:val="2"/>
      </w:pPr>
    </w:p>
    <w:p/>
    <w:p>
      <w:pPr>
        <w:pStyle w:val="6"/>
      </w:pPr>
      <w:r>
        <w:rPr>
          <w:rFonts w:hint="eastAsia"/>
        </w:rPr>
        <w:t>培训内容及要求</w:t>
      </w:r>
    </w:p>
    <w:p>
      <w:pPr>
        <w:spacing w:line="360" w:lineRule="auto"/>
        <w:rPr>
          <w:rFonts w:ascii="宋体" w:hAnsi="宋体" w:cs="宋体"/>
          <w:sz w:val="28"/>
          <w:szCs w:val="28"/>
        </w:rPr>
      </w:pPr>
      <w:r>
        <w:rPr>
          <w:rFonts w:hint="eastAsia" w:ascii="宋体" w:hAnsi="宋体" w:cs="宋体"/>
          <w:sz w:val="28"/>
          <w:szCs w:val="28"/>
        </w:rPr>
        <w:t>1.针对服务内容，具有专门的培训部门，制定切实可行的培训方案，包括整体设想及策划、各岗位的标准化作业流程、对培训后的岗前考核要求。</w:t>
      </w:r>
    </w:p>
    <w:p>
      <w:pPr>
        <w:spacing w:line="360" w:lineRule="auto"/>
        <w:rPr>
          <w:rFonts w:ascii="宋体" w:hAnsi="宋体" w:cs="宋体"/>
          <w:sz w:val="28"/>
          <w:szCs w:val="28"/>
        </w:rPr>
      </w:pPr>
      <w:r>
        <w:rPr>
          <w:rFonts w:hint="eastAsia" w:ascii="宋体" w:hAnsi="宋体" w:cs="宋体"/>
          <w:sz w:val="28"/>
          <w:szCs w:val="28"/>
        </w:rPr>
        <w:t>2.各岗位人员的培训内容及计划，包括年度培训、月度培训、入职培训、院感专项培训。</w:t>
      </w:r>
    </w:p>
    <w:p>
      <w:pPr>
        <w:spacing w:line="360" w:lineRule="auto"/>
        <w:rPr>
          <w:rFonts w:ascii="宋体" w:hAnsi="宋体" w:cs="宋体"/>
          <w:sz w:val="28"/>
          <w:szCs w:val="28"/>
        </w:rPr>
      </w:pPr>
      <w:r>
        <w:rPr>
          <w:rFonts w:hint="eastAsia" w:ascii="宋体" w:hAnsi="宋体" w:cs="宋体"/>
          <w:sz w:val="28"/>
          <w:szCs w:val="28"/>
        </w:rPr>
        <w:t>3.岗前培训：</w:t>
      </w:r>
    </w:p>
    <w:p>
      <w:pPr>
        <w:spacing w:line="360" w:lineRule="auto"/>
        <w:rPr>
          <w:rFonts w:ascii="宋体" w:hAnsi="宋体" w:cs="宋体"/>
          <w:sz w:val="28"/>
          <w:szCs w:val="28"/>
        </w:rPr>
      </w:pPr>
      <w:r>
        <w:rPr>
          <w:rFonts w:hint="eastAsia" w:ascii="宋体" w:hAnsi="宋体" w:cs="宋体"/>
          <w:sz w:val="28"/>
          <w:szCs w:val="28"/>
        </w:rPr>
        <w:t>3.1投标人应有岗前培训机构，服务人员100%经过岗前培训合格才能上岗。</w:t>
      </w:r>
    </w:p>
    <w:p>
      <w:pPr>
        <w:spacing w:line="360" w:lineRule="auto"/>
        <w:rPr>
          <w:rFonts w:ascii="宋体" w:hAnsi="宋体" w:cs="宋体"/>
          <w:sz w:val="28"/>
          <w:szCs w:val="28"/>
        </w:rPr>
      </w:pPr>
      <w:r>
        <w:rPr>
          <w:rFonts w:hint="eastAsia" w:ascii="宋体" w:hAnsi="宋体" w:cs="宋体"/>
          <w:sz w:val="28"/>
          <w:szCs w:val="28"/>
        </w:rPr>
        <w:t>3.2定期进行职业培训和考核，教育员工节约用水用电，爱护公共财物。礼貌服务，日常工作中使用文明用语，遵守医院服务标准和要求。</w:t>
      </w:r>
    </w:p>
    <w:p>
      <w:pPr>
        <w:spacing w:line="360" w:lineRule="auto"/>
        <w:rPr>
          <w:rFonts w:ascii="宋体" w:hAnsi="宋体" w:cs="宋体"/>
          <w:sz w:val="28"/>
          <w:szCs w:val="28"/>
        </w:rPr>
      </w:pPr>
      <w:r>
        <w:rPr>
          <w:rFonts w:hint="eastAsia" w:ascii="宋体" w:hAnsi="宋体" w:cs="宋体"/>
          <w:sz w:val="28"/>
          <w:szCs w:val="28"/>
        </w:rPr>
        <w:t>3.3组织所有员工参加感染知识培训及学习基本的操作规程。</w:t>
      </w:r>
    </w:p>
    <w:p>
      <w:pPr>
        <w:spacing w:line="360" w:lineRule="auto"/>
        <w:rPr>
          <w:rFonts w:ascii="宋体" w:hAnsi="宋体" w:cs="宋体"/>
          <w:sz w:val="28"/>
          <w:szCs w:val="28"/>
        </w:rPr>
      </w:pPr>
      <w:r>
        <w:rPr>
          <w:rFonts w:hint="eastAsia" w:ascii="宋体" w:hAnsi="宋体" w:cs="宋体"/>
          <w:sz w:val="28"/>
          <w:szCs w:val="28"/>
        </w:rPr>
        <w:t>4.院感培训：</w:t>
      </w:r>
    </w:p>
    <w:p>
      <w:pPr>
        <w:spacing w:line="360" w:lineRule="auto"/>
        <w:ind w:firstLine="280" w:firstLineChars="100"/>
        <w:rPr>
          <w:rFonts w:ascii="宋体" w:hAnsi="宋体" w:cs="宋体"/>
          <w:sz w:val="28"/>
          <w:szCs w:val="28"/>
        </w:rPr>
      </w:pPr>
      <w:r>
        <w:rPr>
          <w:rFonts w:hint="eastAsia" w:ascii="宋体" w:hAnsi="宋体" w:cs="宋体"/>
          <w:sz w:val="28"/>
          <w:szCs w:val="28"/>
        </w:rPr>
        <w:t>为了不断强化全体工作人员对预防医院感染的认识及知识水平，把医院感染的预防和控制工作始终贯穿于医疗活动中，从而提高全体工作人员对医院感染的防范意识，减少医院感染的发生，提高医疗护理质量，按照医院院感重点科室培训及普通科室分两类等级制定培训方案，为本项目配备的工作人员提供院感培训工作。</w:t>
      </w:r>
    </w:p>
    <w:p>
      <w:pPr>
        <w:spacing w:line="360" w:lineRule="auto"/>
        <w:rPr>
          <w:rFonts w:ascii="宋体" w:hAnsi="宋体" w:cs="宋体"/>
          <w:sz w:val="28"/>
          <w:szCs w:val="28"/>
        </w:rPr>
      </w:pPr>
      <w:r>
        <w:rPr>
          <w:rFonts w:hint="eastAsia" w:ascii="宋体" w:hAnsi="宋体" w:cs="宋体"/>
          <w:sz w:val="28"/>
          <w:szCs w:val="28"/>
        </w:rPr>
        <w:t>4.1培训内容</w:t>
      </w:r>
    </w:p>
    <w:p>
      <w:pPr>
        <w:spacing w:line="360" w:lineRule="auto"/>
        <w:rPr>
          <w:rFonts w:ascii="宋体" w:hAnsi="宋体" w:cs="宋体"/>
          <w:sz w:val="28"/>
          <w:szCs w:val="28"/>
        </w:rPr>
      </w:pPr>
      <w:r>
        <w:rPr>
          <w:rFonts w:hint="eastAsia" w:ascii="宋体" w:hAnsi="宋体" w:cs="宋体"/>
          <w:sz w:val="28"/>
          <w:szCs w:val="28"/>
        </w:rPr>
        <w:t>a.消毒隔离基本知识；</w:t>
      </w:r>
    </w:p>
    <w:p>
      <w:pPr>
        <w:spacing w:line="360" w:lineRule="auto"/>
        <w:rPr>
          <w:rFonts w:ascii="宋体" w:hAnsi="宋体" w:cs="宋体"/>
          <w:sz w:val="28"/>
          <w:szCs w:val="28"/>
        </w:rPr>
      </w:pPr>
      <w:r>
        <w:rPr>
          <w:rFonts w:hint="eastAsia" w:ascii="宋体" w:hAnsi="宋体" w:cs="宋体"/>
          <w:sz w:val="28"/>
          <w:szCs w:val="28"/>
        </w:rPr>
        <w:t>b.相关消毒药剂的正确使用；</w:t>
      </w:r>
    </w:p>
    <w:p>
      <w:pPr>
        <w:spacing w:line="360" w:lineRule="auto"/>
        <w:rPr>
          <w:rFonts w:ascii="宋体" w:hAnsi="宋体" w:cs="宋体"/>
          <w:sz w:val="28"/>
          <w:szCs w:val="28"/>
        </w:rPr>
      </w:pPr>
      <w:r>
        <w:rPr>
          <w:rFonts w:hint="eastAsia" w:ascii="宋体" w:hAnsi="宋体" w:cs="宋体"/>
          <w:sz w:val="28"/>
          <w:szCs w:val="28"/>
        </w:rPr>
        <w:t>c.员工的自我保护；</w:t>
      </w:r>
    </w:p>
    <w:p>
      <w:pPr>
        <w:spacing w:line="360" w:lineRule="auto"/>
        <w:rPr>
          <w:rFonts w:ascii="宋体" w:hAnsi="宋体" w:cs="宋体"/>
          <w:sz w:val="28"/>
          <w:szCs w:val="28"/>
        </w:rPr>
      </w:pPr>
      <w:r>
        <w:rPr>
          <w:rFonts w:hint="eastAsia" w:ascii="宋体" w:hAnsi="宋体" w:cs="宋体"/>
          <w:sz w:val="28"/>
          <w:szCs w:val="28"/>
        </w:rPr>
        <w:t>d.消毒灭菌、手卫生与医疗废物管理；</w:t>
      </w:r>
    </w:p>
    <w:p>
      <w:pPr>
        <w:spacing w:line="360" w:lineRule="auto"/>
        <w:rPr>
          <w:rFonts w:ascii="宋体" w:hAnsi="宋体" w:cs="宋体"/>
          <w:sz w:val="28"/>
          <w:szCs w:val="28"/>
        </w:rPr>
      </w:pPr>
      <w:r>
        <w:rPr>
          <w:rFonts w:hint="eastAsia" w:ascii="宋体" w:hAnsi="宋体" w:cs="宋体"/>
          <w:sz w:val="28"/>
          <w:szCs w:val="28"/>
        </w:rPr>
        <w:t>e.医院感染、暴发的报告与控制；</w:t>
      </w:r>
    </w:p>
    <w:p>
      <w:pPr>
        <w:spacing w:line="360" w:lineRule="auto"/>
        <w:rPr>
          <w:rFonts w:ascii="宋体" w:hAnsi="宋体" w:cs="宋体"/>
          <w:sz w:val="28"/>
          <w:szCs w:val="28"/>
        </w:rPr>
      </w:pPr>
      <w:r>
        <w:rPr>
          <w:rFonts w:hint="eastAsia" w:ascii="宋体" w:hAnsi="宋体" w:cs="宋体"/>
          <w:sz w:val="28"/>
          <w:szCs w:val="28"/>
        </w:rPr>
        <w:t>f.一次性使用无菌医疗用品的管理。</w:t>
      </w:r>
    </w:p>
    <w:p>
      <w:pPr>
        <w:spacing w:line="360" w:lineRule="auto"/>
        <w:rPr>
          <w:rFonts w:ascii="宋体" w:hAnsi="宋体" w:cs="宋体"/>
          <w:sz w:val="28"/>
          <w:szCs w:val="28"/>
        </w:rPr>
      </w:pPr>
      <w:r>
        <w:rPr>
          <w:rFonts w:hint="eastAsia" w:ascii="宋体" w:hAnsi="宋体" w:cs="宋体"/>
          <w:sz w:val="28"/>
          <w:szCs w:val="28"/>
        </w:rPr>
        <w:t>4.2培训要求</w:t>
      </w:r>
    </w:p>
    <w:p>
      <w:pPr>
        <w:spacing w:line="360" w:lineRule="auto"/>
        <w:rPr>
          <w:rFonts w:ascii="宋体" w:hAnsi="宋体" w:cs="宋体"/>
          <w:sz w:val="28"/>
          <w:szCs w:val="28"/>
        </w:rPr>
      </w:pPr>
      <w:r>
        <w:rPr>
          <w:rFonts w:hint="eastAsia" w:ascii="宋体" w:hAnsi="宋体" w:cs="宋体"/>
          <w:sz w:val="28"/>
          <w:szCs w:val="28"/>
        </w:rPr>
        <w:t>a.所有上岗员工培训通过率100%，培训资料可查；</w:t>
      </w:r>
    </w:p>
    <w:p>
      <w:pPr>
        <w:spacing w:line="360" w:lineRule="auto"/>
        <w:rPr>
          <w:rFonts w:ascii="宋体" w:hAnsi="宋体" w:cs="宋体"/>
          <w:sz w:val="28"/>
          <w:szCs w:val="28"/>
        </w:rPr>
      </w:pPr>
      <w:r>
        <w:rPr>
          <w:rFonts w:hint="eastAsia" w:ascii="宋体" w:hAnsi="宋体" w:cs="宋体"/>
          <w:sz w:val="28"/>
          <w:szCs w:val="28"/>
        </w:rPr>
        <w:t>b.培训时间：每月一次，每次不少于30分钟；</w:t>
      </w:r>
    </w:p>
    <w:p>
      <w:pPr>
        <w:spacing w:line="360" w:lineRule="auto"/>
        <w:rPr>
          <w:rFonts w:ascii="宋体" w:hAnsi="宋体" w:cs="宋体"/>
          <w:sz w:val="28"/>
          <w:szCs w:val="28"/>
        </w:rPr>
      </w:pPr>
      <w:r>
        <w:rPr>
          <w:rFonts w:hint="eastAsia" w:ascii="宋体" w:hAnsi="宋体" w:cs="宋体"/>
          <w:sz w:val="28"/>
          <w:szCs w:val="28"/>
        </w:rPr>
        <w:t>c.培训要求：负责项目新老员工的技能和服务意识培训，培训师工作经验丰富，长期开展培训活动。</w:t>
      </w:r>
    </w:p>
    <w:p/>
    <w:p>
      <w:pPr>
        <w:pStyle w:val="2"/>
      </w:pPr>
    </w:p>
    <w:p>
      <w:pPr>
        <w:pStyle w:val="6"/>
      </w:pPr>
      <w:r>
        <w:rPr>
          <w:rFonts w:hint="eastAsia"/>
        </w:rPr>
        <w:t>应急处理</w:t>
      </w:r>
    </w:p>
    <w:p>
      <w:pPr>
        <w:spacing w:line="360" w:lineRule="auto"/>
        <w:ind w:firstLine="560" w:firstLineChars="200"/>
        <w:rPr>
          <w:rFonts w:ascii="宋体" w:hAnsi="宋体" w:cs="宋体"/>
          <w:sz w:val="28"/>
          <w:szCs w:val="28"/>
          <w:lang w:val="zh-CN"/>
        </w:rPr>
      </w:pPr>
      <w:r>
        <w:rPr>
          <w:rFonts w:hint="eastAsia" w:ascii="宋体" w:hAnsi="宋体" w:cs="宋体"/>
          <w:sz w:val="28"/>
          <w:szCs w:val="28"/>
          <w:lang w:val="zh-CN"/>
        </w:rPr>
        <w:t>制定各项应急处理方案，主要包含发生消防安全事故、电梯系统故障、自然灾害、突发事故应急、水电气系统及雨污管网系统故障事故的应急处置、公共治安事件应急、物业员工工伤、公共卫生事件、新冠疫情防控。</w:t>
      </w:r>
    </w:p>
    <w:p>
      <w:pPr>
        <w:spacing w:line="360" w:lineRule="auto"/>
        <w:rPr>
          <w:rFonts w:ascii="宋体" w:hAnsi="宋体" w:cs="宋体"/>
          <w:sz w:val="28"/>
          <w:szCs w:val="28"/>
          <w:lang w:val="zh-CN"/>
        </w:rPr>
      </w:pPr>
      <w:r>
        <w:rPr>
          <w:rFonts w:hint="eastAsia" w:ascii="宋体" w:hAnsi="宋体" w:cs="宋体"/>
          <w:sz w:val="28"/>
          <w:szCs w:val="28"/>
        </w:rPr>
        <w:t>1.</w:t>
      </w:r>
      <w:r>
        <w:rPr>
          <w:rFonts w:hint="eastAsia" w:ascii="宋体" w:hAnsi="宋体" w:cs="宋体"/>
          <w:sz w:val="28"/>
          <w:szCs w:val="28"/>
          <w:lang w:val="zh-CN"/>
        </w:rPr>
        <w:t>消防安全事故方面：发生消防安全事故的预案、发生事故时候的紧急应急措施、发生事故的善后处理、消防系统误报处理措施及消防喷淋爆裂的处置方案。</w:t>
      </w:r>
    </w:p>
    <w:p>
      <w:pPr>
        <w:spacing w:line="360" w:lineRule="auto"/>
        <w:rPr>
          <w:rFonts w:ascii="宋体" w:hAnsi="宋体" w:cs="宋体"/>
          <w:sz w:val="28"/>
          <w:szCs w:val="28"/>
          <w:lang w:val="zh-CN"/>
        </w:rPr>
      </w:pPr>
      <w:r>
        <w:rPr>
          <w:rFonts w:hint="eastAsia" w:ascii="宋体" w:hAnsi="宋体" w:cs="宋体"/>
          <w:sz w:val="28"/>
          <w:szCs w:val="28"/>
        </w:rPr>
        <w:t>2.</w:t>
      </w:r>
      <w:r>
        <w:rPr>
          <w:rFonts w:hint="eastAsia" w:ascii="宋体" w:hAnsi="宋体" w:cs="宋体"/>
          <w:sz w:val="28"/>
          <w:szCs w:val="28"/>
          <w:lang w:val="zh-CN"/>
        </w:rPr>
        <w:t>公共卫生事件方面：</w:t>
      </w:r>
      <w:r>
        <w:rPr>
          <w:rFonts w:hint="eastAsia" w:ascii="宋体" w:hAnsi="宋体" w:cs="宋体"/>
          <w:sz w:val="28"/>
          <w:szCs w:val="28"/>
        </w:rPr>
        <w:t>应重点制定本应急预案。包含</w:t>
      </w:r>
      <w:r>
        <w:rPr>
          <w:rFonts w:hint="eastAsia" w:ascii="宋体" w:hAnsi="宋体" w:cs="宋体"/>
          <w:sz w:val="28"/>
          <w:szCs w:val="28"/>
          <w:lang w:val="zh-CN"/>
        </w:rPr>
        <w:t>在发生突发卫生事件、公共疫情、</w:t>
      </w:r>
      <w:r>
        <w:rPr>
          <w:rFonts w:hint="eastAsia" w:ascii="宋体" w:hAnsi="宋体" w:cs="宋体"/>
          <w:sz w:val="28"/>
          <w:szCs w:val="28"/>
        </w:rPr>
        <w:t>医疗废物丢失、院感爆发</w:t>
      </w:r>
      <w:r>
        <w:rPr>
          <w:rFonts w:hint="eastAsia" w:ascii="宋体" w:hAnsi="宋体" w:cs="宋体"/>
          <w:sz w:val="28"/>
          <w:szCs w:val="28"/>
          <w:lang w:val="zh-CN"/>
        </w:rPr>
        <w:t>的应急</w:t>
      </w:r>
      <w:r>
        <w:rPr>
          <w:rFonts w:hint="eastAsia" w:ascii="宋体" w:hAnsi="宋体" w:cs="宋体"/>
          <w:sz w:val="28"/>
          <w:szCs w:val="28"/>
        </w:rPr>
        <w:t>处置方案</w:t>
      </w:r>
      <w:r>
        <w:rPr>
          <w:rFonts w:hint="eastAsia" w:ascii="宋体" w:hAnsi="宋体" w:cs="宋体"/>
          <w:sz w:val="28"/>
          <w:szCs w:val="28"/>
          <w:lang w:val="zh-CN"/>
        </w:rPr>
        <w:t>。我院为成都市新型冠状病毒肺炎疑似病人定点收治医院，本预案中应包含能合理执行的新型冠状病毒肺炎疫情应急预案。</w:t>
      </w:r>
    </w:p>
    <w:p>
      <w:pPr>
        <w:spacing w:line="360" w:lineRule="auto"/>
        <w:rPr>
          <w:rFonts w:ascii="宋体" w:hAnsi="宋体" w:cs="宋体"/>
          <w:sz w:val="28"/>
          <w:szCs w:val="28"/>
          <w:lang w:val="zh-CN"/>
        </w:rPr>
      </w:pPr>
      <w:r>
        <w:rPr>
          <w:rFonts w:hint="eastAsia" w:ascii="宋体" w:hAnsi="宋体" w:cs="宋体"/>
          <w:sz w:val="28"/>
          <w:szCs w:val="28"/>
        </w:rPr>
        <w:t>3.</w:t>
      </w:r>
      <w:r>
        <w:rPr>
          <w:rFonts w:hint="eastAsia" w:ascii="宋体" w:hAnsi="宋体" w:cs="宋体"/>
          <w:sz w:val="28"/>
          <w:szCs w:val="28"/>
          <w:lang w:val="zh-CN"/>
        </w:rPr>
        <w:t>公共治安事件应急方面：在发生反恐防爆、公共治安、打架斗殴、盗窃抢劫、</w:t>
      </w:r>
      <w:r>
        <w:rPr>
          <w:rFonts w:hint="eastAsia" w:ascii="宋体" w:hAnsi="宋体" w:cs="宋体"/>
          <w:sz w:val="28"/>
          <w:szCs w:val="28"/>
        </w:rPr>
        <w:t>故意</w:t>
      </w:r>
      <w:r>
        <w:rPr>
          <w:rFonts w:hint="eastAsia" w:ascii="宋体" w:hAnsi="宋体" w:cs="宋体"/>
          <w:sz w:val="28"/>
          <w:szCs w:val="28"/>
          <w:lang w:val="zh-CN"/>
        </w:rPr>
        <w:t>杀人、大规模踩踏事件、车辆事故、爆炸物及可疑物、危害群众公共安全时的处置方案。</w:t>
      </w:r>
    </w:p>
    <w:p>
      <w:pPr>
        <w:spacing w:line="360" w:lineRule="auto"/>
        <w:rPr>
          <w:rFonts w:ascii="宋体" w:hAnsi="宋体" w:cs="宋体"/>
          <w:sz w:val="28"/>
          <w:szCs w:val="28"/>
          <w:lang w:val="zh-CN"/>
        </w:rPr>
      </w:pPr>
      <w:r>
        <w:rPr>
          <w:rFonts w:hint="eastAsia" w:ascii="宋体" w:hAnsi="宋体" w:cs="宋体"/>
          <w:sz w:val="28"/>
          <w:szCs w:val="28"/>
        </w:rPr>
        <w:t>4.</w:t>
      </w:r>
      <w:r>
        <w:rPr>
          <w:rFonts w:hint="eastAsia" w:ascii="宋体" w:hAnsi="宋体" w:cs="宋体"/>
          <w:sz w:val="28"/>
          <w:szCs w:val="28"/>
          <w:lang w:val="zh-CN"/>
        </w:rPr>
        <w:t>自然灾害方面：在发生地震灾害、暴风骤雨及洪涝、建筑物垮塌、极端天气时的处置方案。</w:t>
      </w:r>
    </w:p>
    <w:p>
      <w:pPr>
        <w:spacing w:line="360" w:lineRule="auto"/>
        <w:rPr>
          <w:rFonts w:ascii="宋体" w:hAnsi="宋体" w:cs="宋体"/>
          <w:sz w:val="28"/>
          <w:szCs w:val="28"/>
          <w:lang w:val="zh-CN"/>
        </w:rPr>
      </w:pPr>
      <w:r>
        <w:rPr>
          <w:rFonts w:hint="eastAsia" w:ascii="宋体" w:hAnsi="宋体" w:cs="宋体"/>
          <w:sz w:val="28"/>
          <w:szCs w:val="28"/>
        </w:rPr>
        <w:t>5.</w:t>
      </w:r>
      <w:r>
        <w:rPr>
          <w:rFonts w:hint="eastAsia" w:ascii="宋体" w:hAnsi="宋体" w:cs="宋体"/>
          <w:sz w:val="28"/>
          <w:szCs w:val="28"/>
          <w:lang w:val="zh-CN"/>
        </w:rPr>
        <w:t>电梯系统故障方面：在发生电梯系统故障报警、电梯系统故障处理、电梯困人、电梯进水、以及突发事件发生时电梯系统的处置方案（如火灾、地震）。</w:t>
      </w:r>
    </w:p>
    <w:p>
      <w:pPr>
        <w:spacing w:line="360" w:lineRule="auto"/>
        <w:rPr>
          <w:rFonts w:ascii="宋体" w:hAnsi="宋体" w:cs="宋体"/>
          <w:sz w:val="28"/>
          <w:szCs w:val="28"/>
          <w:lang w:val="zh-CN"/>
        </w:rPr>
      </w:pPr>
      <w:r>
        <w:rPr>
          <w:rFonts w:hint="eastAsia" w:ascii="宋体" w:hAnsi="宋体" w:cs="宋体"/>
          <w:sz w:val="28"/>
          <w:szCs w:val="28"/>
        </w:rPr>
        <w:t>6.</w:t>
      </w:r>
      <w:r>
        <w:rPr>
          <w:rFonts w:hint="eastAsia" w:ascii="宋体" w:hAnsi="宋体" w:cs="宋体"/>
          <w:sz w:val="28"/>
          <w:szCs w:val="28"/>
          <w:lang w:val="zh-CN"/>
        </w:rPr>
        <w:t>水电气系统及雨污管网系统故障方面：在发生断电、停水、停气、燃气泄漏、触电事故、设施设备故障、雨污水管网阻塞、空调管道渗漏、中央空调故障、化粪池外溢时候的处置方案。</w:t>
      </w:r>
    </w:p>
    <w:p>
      <w:pPr>
        <w:spacing w:line="360" w:lineRule="auto"/>
        <w:rPr>
          <w:rFonts w:ascii="宋体" w:hAnsi="宋体" w:cs="宋体"/>
          <w:sz w:val="28"/>
          <w:szCs w:val="28"/>
        </w:rPr>
      </w:pPr>
      <w:r>
        <w:rPr>
          <w:rFonts w:hint="eastAsia" w:ascii="宋体" w:hAnsi="宋体" w:cs="宋体"/>
          <w:sz w:val="28"/>
          <w:szCs w:val="28"/>
        </w:rPr>
        <w:t>7.</w:t>
      </w:r>
      <w:r>
        <w:rPr>
          <w:rFonts w:hint="eastAsia" w:ascii="宋体" w:hAnsi="宋体" w:cs="宋体"/>
          <w:sz w:val="28"/>
          <w:szCs w:val="28"/>
          <w:lang w:val="zh-CN"/>
        </w:rPr>
        <w:t>物业员工工伤</w:t>
      </w:r>
      <w:r>
        <w:rPr>
          <w:rFonts w:hint="eastAsia" w:ascii="宋体" w:hAnsi="宋体" w:cs="宋体"/>
          <w:sz w:val="28"/>
          <w:szCs w:val="28"/>
        </w:rPr>
        <w:t>方面：在发生员工工伤后的一般处置方案及因此在院内发生或防止其发生不理智行为的处置方案。</w:t>
      </w:r>
    </w:p>
    <w:p>
      <w:pPr>
        <w:spacing w:line="360" w:lineRule="auto"/>
        <w:rPr>
          <w:rFonts w:ascii="宋体" w:hAnsi="宋体" w:cs="宋体"/>
          <w:sz w:val="28"/>
          <w:szCs w:val="28"/>
        </w:rPr>
      </w:pPr>
      <w:r>
        <w:rPr>
          <w:rFonts w:hint="eastAsia" w:ascii="宋体" w:hAnsi="宋体" w:cs="宋体"/>
          <w:sz w:val="28"/>
          <w:szCs w:val="28"/>
        </w:rPr>
        <w:t>8.</w:t>
      </w:r>
      <w:r>
        <w:rPr>
          <w:rFonts w:hint="eastAsia" w:ascii="宋体" w:hAnsi="宋体" w:cs="宋体"/>
          <w:sz w:val="28"/>
          <w:szCs w:val="28"/>
          <w:lang w:val="zh-CN"/>
        </w:rPr>
        <w:t>突发事故应急</w:t>
      </w:r>
      <w:r>
        <w:rPr>
          <w:rFonts w:hint="eastAsia" w:ascii="宋体" w:hAnsi="宋体" w:cs="宋体"/>
          <w:sz w:val="28"/>
          <w:szCs w:val="28"/>
        </w:rPr>
        <w:t>方面：在发生上述情况以外突发事故时的应急办法。</w:t>
      </w:r>
    </w:p>
    <w:p/>
    <w:p>
      <w:pPr>
        <w:pStyle w:val="2"/>
      </w:pPr>
    </w:p>
    <w:p>
      <w:pPr>
        <w:pStyle w:val="6"/>
      </w:pPr>
      <w:r>
        <w:rPr>
          <w:rFonts w:hint="eastAsia"/>
        </w:rPr>
        <w:t>设施设备要求</w:t>
      </w:r>
    </w:p>
    <w:p>
      <w:pPr>
        <w:spacing w:line="360" w:lineRule="auto"/>
        <w:rPr>
          <w:rFonts w:ascii="宋体" w:hAnsi="宋体" w:cs="宋体"/>
          <w:sz w:val="28"/>
          <w:szCs w:val="28"/>
        </w:rPr>
      </w:pPr>
      <w:r>
        <w:rPr>
          <w:rFonts w:hint="eastAsia" w:ascii="宋体" w:hAnsi="宋体" w:cs="宋体"/>
          <w:sz w:val="28"/>
          <w:szCs w:val="28"/>
        </w:rPr>
        <w:t>1.投标人需配置数量满足使用需求的手推式全洗地机、单擦机、吸水吸尘机、驾驶型洗地机、小型洗地机、吹风机、石材养护翻新机等设施设备。</w:t>
      </w:r>
    </w:p>
    <w:p>
      <w:pPr>
        <w:spacing w:line="360" w:lineRule="auto"/>
        <w:rPr>
          <w:rFonts w:ascii="宋体" w:hAnsi="宋体" w:cs="宋体"/>
          <w:sz w:val="28"/>
          <w:szCs w:val="28"/>
        </w:rPr>
      </w:pPr>
      <w:r>
        <w:rPr>
          <w:rFonts w:hint="eastAsia" w:ascii="宋体" w:hAnsi="宋体" w:cs="宋体"/>
          <w:sz w:val="28"/>
          <w:szCs w:val="28"/>
        </w:rPr>
        <w:t>2.投标人需配置数量满足使用需求的清洁、洗涤剂、消毒剂、地面保养产品，包括：蜡、清洁剂、玻璃清洁剂、不锈钢光亮剂、清洁消毒液等。</w:t>
      </w:r>
    </w:p>
    <w:p>
      <w:pPr>
        <w:spacing w:line="360" w:lineRule="auto"/>
        <w:rPr>
          <w:rFonts w:ascii="宋体" w:hAnsi="宋体" w:cs="宋体"/>
          <w:sz w:val="28"/>
          <w:szCs w:val="28"/>
        </w:rPr>
      </w:pPr>
      <w:r>
        <w:rPr>
          <w:rFonts w:hint="eastAsia" w:ascii="宋体" w:hAnsi="宋体" w:cs="宋体"/>
          <w:sz w:val="28"/>
          <w:szCs w:val="28"/>
        </w:rPr>
        <w:t>3.采购人为投标人提供各类物资运送工具，病人运送平车、轮椅运送工具。</w:t>
      </w:r>
    </w:p>
    <w:p>
      <w:pPr>
        <w:spacing w:line="360" w:lineRule="auto"/>
        <w:rPr>
          <w:rFonts w:ascii="宋体" w:hAnsi="宋体" w:cs="宋体"/>
          <w:sz w:val="28"/>
          <w:szCs w:val="28"/>
        </w:rPr>
      </w:pPr>
      <w:r>
        <w:rPr>
          <w:rFonts w:hint="eastAsia" w:ascii="宋体" w:hAnsi="宋体" w:cs="宋体"/>
          <w:sz w:val="28"/>
          <w:szCs w:val="28"/>
        </w:rPr>
        <w:t>4.投标人需配置数量满足使用需求的清洁工具，垃圾袋等，所使用的垃圾袋需满足《成都市加强塑料污染治理行动方案》要求。</w:t>
      </w:r>
    </w:p>
    <w:p/>
    <w:p>
      <w:pPr>
        <w:pStyle w:val="6"/>
      </w:pPr>
      <w:r>
        <w:rPr>
          <w:rFonts w:hint="eastAsia"/>
        </w:rPr>
        <w:t>信息化管理系统要求</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投标人自身拥有适合执行本招标文件整体物业服务工作模式的“信息化、智能管理平台软件”，提供保洁、运送等工作的管理系统。</w:t>
      </w:r>
    </w:p>
    <w:p>
      <w:pPr>
        <w:pStyle w:val="84"/>
        <w:widowControl/>
        <w:numPr>
          <w:ilvl w:val="0"/>
          <w:numId w:val="40"/>
        </w:numPr>
        <w:spacing w:line="360" w:lineRule="auto"/>
        <w:ind w:left="105" w:leftChars="50" w:firstLineChars="0"/>
        <w:rPr>
          <w:rFonts w:ascii="宋体" w:hAnsi="宋体" w:eastAsia="宋体" w:cs="宋体"/>
          <w:sz w:val="28"/>
          <w:szCs w:val="28"/>
        </w:rPr>
      </w:pPr>
      <w:r>
        <w:rPr>
          <w:rFonts w:hint="eastAsia" w:ascii="宋体" w:hAnsi="宋体" w:eastAsia="宋体" w:cs="宋体"/>
          <w:sz w:val="28"/>
          <w:szCs w:val="28"/>
        </w:rPr>
        <w:t>由投标人免费提供信息化平台中各种软硬件设施设备及端口、接口等，信息化平台应365天*24小时不间断运行，建立“智慧化物业服务中心”或“一站式服务中心”，并设置保洁、运送等调度管理小组，各小组服从中心统一调度支配。</w:t>
      </w:r>
    </w:p>
    <w:p>
      <w:pPr>
        <w:pStyle w:val="84"/>
        <w:widowControl/>
        <w:numPr>
          <w:ilvl w:val="0"/>
          <w:numId w:val="40"/>
        </w:numPr>
        <w:spacing w:line="360" w:lineRule="auto"/>
        <w:ind w:left="105" w:leftChars="50" w:firstLineChars="0"/>
        <w:rPr>
          <w:rFonts w:ascii="宋体" w:hAnsi="宋体" w:eastAsia="宋体" w:cs="宋体"/>
          <w:sz w:val="28"/>
          <w:szCs w:val="28"/>
        </w:rPr>
      </w:pPr>
      <w:r>
        <w:rPr>
          <w:rFonts w:hint="eastAsia" w:ascii="宋体" w:hAnsi="宋体" w:eastAsia="宋体" w:cs="宋体"/>
          <w:sz w:val="28"/>
          <w:szCs w:val="28"/>
        </w:rPr>
        <w:t>“智慧化物业服务中心”或“一站式服务中心”管理系统功能要求包括但不限于以下要求：</w:t>
      </w:r>
    </w:p>
    <w:p>
      <w:pPr>
        <w:pStyle w:val="84"/>
        <w:widowControl/>
        <w:spacing w:line="360" w:lineRule="auto"/>
        <w:ind w:left="105" w:leftChars="50" w:firstLine="0" w:firstLineChars="0"/>
        <w:rPr>
          <w:rFonts w:ascii="宋体" w:hAnsi="宋体" w:eastAsia="宋体" w:cs="宋体"/>
          <w:sz w:val="28"/>
          <w:szCs w:val="28"/>
        </w:rPr>
      </w:pPr>
      <w:r>
        <w:rPr>
          <w:rFonts w:hint="eastAsia" w:ascii="宋体" w:hAnsi="宋体" w:eastAsia="宋体" w:cs="宋体"/>
          <w:sz w:val="28"/>
          <w:szCs w:val="28"/>
        </w:rPr>
        <w:t>2.1通过信息平台及配套手机、手持机分配任务，实时调度，掌握员工动态，实现点位跟踪。</w:t>
      </w:r>
    </w:p>
    <w:p>
      <w:pPr>
        <w:pStyle w:val="84"/>
        <w:widowControl/>
        <w:spacing w:line="360" w:lineRule="auto"/>
        <w:ind w:left="105" w:leftChars="50" w:firstLine="0" w:firstLineChars="0"/>
        <w:rPr>
          <w:rFonts w:ascii="宋体" w:hAnsi="宋体" w:eastAsia="宋体" w:cs="宋体"/>
          <w:sz w:val="28"/>
          <w:szCs w:val="28"/>
        </w:rPr>
      </w:pPr>
      <w:r>
        <w:rPr>
          <w:rFonts w:hint="eastAsia" w:ascii="宋体" w:hAnsi="宋体" w:eastAsia="宋体" w:cs="宋体"/>
          <w:sz w:val="28"/>
          <w:szCs w:val="28"/>
        </w:rPr>
        <w:t>2.2实现大数据统计和分析，为医院决策提供支撑。</w:t>
      </w:r>
    </w:p>
    <w:p>
      <w:pPr>
        <w:pStyle w:val="84"/>
        <w:widowControl/>
        <w:spacing w:line="360" w:lineRule="auto"/>
        <w:ind w:left="105" w:leftChars="50" w:firstLine="0" w:firstLineChars="0"/>
        <w:rPr>
          <w:rFonts w:ascii="宋体" w:hAnsi="宋体" w:eastAsia="宋体" w:cs="宋体"/>
          <w:sz w:val="28"/>
          <w:szCs w:val="28"/>
        </w:rPr>
      </w:pPr>
      <w:r>
        <w:rPr>
          <w:rFonts w:hint="eastAsia" w:ascii="宋体" w:hAnsi="宋体" w:eastAsia="宋体" w:cs="宋体"/>
          <w:sz w:val="28"/>
          <w:szCs w:val="28"/>
        </w:rPr>
        <w:t>2.3符合医院个性化管理要求，能够与我院各软硬件平台数据实现互联互通。</w:t>
      </w:r>
    </w:p>
    <w:p>
      <w:pPr>
        <w:pStyle w:val="84"/>
        <w:widowControl/>
        <w:spacing w:line="360" w:lineRule="auto"/>
        <w:ind w:left="105" w:leftChars="50" w:firstLine="0" w:firstLineChars="0"/>
        <w:rPr>
          <w:rFonts w:ascii="宋体" w:hAnsi="宋体" w:eastAsia="宋体" w:cs="宋体"/>
          <w:sz w:val="28"/>
          <w:szCs w:val="28"/>
        </w:rPr>
      </w:pPr>
      <w:r>
        <w:rPr>
          <w:rFonts w:hint="eastAsia" w:ascii="宋体" w:hAnsi="宋体" w:eastAsia="宋体" w:cs="宋体"/>
          <w:sz w:val="28"/>
          <w:szCs w:val="28"/>
        </w:rPr>
        <w:t>2.4根据医院要求，免费提供软硬件更新升级服务，各种软硬件设施设备及端口、接口费用由投标人自行承担，全方位为医院提供免费、畅通、优质的信息化平台服务。</w:t>
      </w:r>
    </w:p>
    <w:p>
      <w:pPr>
        <w:widowControl/>
        <w:spacing w:line="360" w:lineRule="auto"/>
        <w:ind w:firstLine="280" w:firstLineChars="100"/>
        <w:jc w:val="left"/>
        <w:rPr>
          <w:rFonts w:ascii="宋体" w:hAnsi="宋体" w:cs="宋体"/>
          <w:sz w:val="28"/>
          <w:szCs w:val="28"/>
        </w:rPr>
      </w:pPr>
      <w:r>
        <w:rPr>
          <w:rFonts w:hint="eastAsia" w:ascii="宋体" w:hAnsi="宋体" w:cs="宋体"/>
          <w:sz w:val="28"/>
          <w:szCs w:val="28"/>
        </w:rPr>
        <w:t>3.通过“智慧化物业服务中心”或“一站式服务中心”整合后勤资源和服务项目，进一步畅通信息沟通与反馈渠道，不但在软硬件使用上无偿为医院提供服务，还重点负责做好集中信息采集与分析、双向服务沟通、事件闭环管理、信息化平台建设四个环节的工作，真正实现院内可落地的一站式服务体系。</w:t>
      </w:r>
    </w:p>
    <w:p>
      <w:pPr>
        <w:widowControl/>
        <w:spacing w:line="360" w:lineRule="auto"/>
        <w:ind w:firstLine="280" w:firstLineChars="100"/>
        <w:jc w:val="left"/>
        <w:rPr>
          <w:rFonts w:ascii="宋体" w:hAnsi="宋体" w:cs="宋体"/>
          <w:sz w:val="28"/>
          <w:szCs w:val="28"/>
        </w:rPr>
      </w:pPr>
      <w:r>
        <w:rPr>
          <w:rFonts w:hint="eastAsia" w:ascii="宋体" w:hAnsi="宋体" w:cs="宋体"/>
          <w:sz w:val="28"/>
          <w:szCs w:val="28"/>
        </w:rPr>
        <w:t>4.“智慧化物业服务中心”或“一站式服务中心”须承担医院各类保洁、运送需求任务的接听和任务指派工作，每月分别统计运送、保洁的工作量，要求对运送、保洁数据进行汇总和统计，并综合分析统计数据。</w:t>
      </w:r>
    </w:p>
    <w:p>
      <w:pPr>
        <w:widowControl/>
        <w:spacing w:line="360" w:lineRule="auto"/>
        <w:ind w:firstLine="280" w:firstLineChars="100"/>
        <w:jc w:val="left"/>
        <w:rPr>
          <w:rFonts w:ascii="宋体" w:hAnsi="宋体" w:cs="宋体"/>
          <w:sz w:val="28"/>
          <w:szCs w:val="28"/>
        </w:rPr>
      </w:pPr>
      <w:r>
        <w:rPr>
          <w:rFonts w:hint="eastAsia" w:ascii="宋体" w:hAnsi="宋体" w:cs="宋体"/>
          <w:sz w:val="28"/>
          <w:szCs w:val="28"/>
        </w:rPr>
        <w:t>5.“智慧化物业服务中心”或“一站式服务中心”须配置24小时专门值守人员，语言流利、畅通，具有较强的应急反应能力，能及时调度、应对、协调处理、及时汇报院内各种保洁、运送等信息，并能做到及时派工、追踪、信息反馈等。</w:t>
      </w:r>
    </w:p>
    <w:p>
      <w:pPr>
        <w:widowControl/>
        <w:spacing w:line="360" w:lineRule="auto"/>
        <w:ind w:firstLine="280" w:firstLineChars="100"/>
        <w:jc w:val="left"/>
        <w:rPr>
          <w:rFonts w:ascii="宋体" w:hAnsi="宋体" w:cs="宋体"/>
          <w:sz w:val="28"/>
          <w:szCs w:val="28"/>
        </w:rPr>
      </w:pPr>
      <w:r>
        <w:rPr>
          <w:rFonts w:hint="eastAsia" w:ascii="宋体" w:hAnsi="宋体" w:cs="宋体"/>
          <w:sz w:val="28"/>
          <w:szCs w:val="28"/>
        </w:rPr>
        <w:t>6.“智慧化物业服务中心”或“一站式服务中心”专门值守人员负责各种突发状况的应急调度，快速响应，及时通知相关责任部门。</w:t>
      </w:r>
    </w:p>
    <w:p/>
    <w:p>
      <w:pPr>
        <w:pStyle w:val="6"/>
      </w:pPr>
      <w:r>
        <w:rPr>
          <w:rFonts w:hint="eastAsia"/>
        </w:rPr>
        <w:t>人员配置要求</w:t>
      </w:r>
    </w:p>
    <w:p>
      <w:pPr>
        <w:spacing w:line="360" w:lineRule="auto"/>
        <w:rPr>
          <w:rFonts w:ascii="宋体" w:hAnsi="宋体" w:cs="宋体"/>
          <w:sz w:val="28"/>
          <w:szCs w:val="28"/>
        </w:rPr>
      </w:pPr>
      <w:r>
        <w:rPr>
          <w:rFonts w:hint="eastAsia" w:ascii="宋体" w:hAnsi="宋体" w:cs="宋体"/>
          <w:sz w:val="28"/>
          <w:szCs w:val="28"/>
        </w:rPr>
        <w:t>（一）投标人为本项目配置的物业服务人员</w:t>
      </w:r>
      <w:r>
        <w:rPr>
          <w:rFonts w:hint="eastAsia" w:ascii="宋体" w:hAnsi="宋体" w:cs="宋体"/>
          <w:sz w:val="28"/>
          <w:szCs w:val="28"/>
          <w:lang w:eastAsia="zh-CN"/>
        </w:rPr>
        <w:t>岗位</w:t>
      </w:r>
      <w:r>
        <w:rPr>
          <w:rFonts w:hint="eastAsia" w:ascii="宋体" w:hAnsi="宋体" w:cs="宋体"/>
          <w:sz w:val="28"/>
          <w:szCs w:val="28"/>
        </w:rPr>
        <w:t>数量不得少于109</w:t>
      </w:r>
      <w:r>
        <w:rPr>
          <w:rFonts w:hint="eastAsia" w:ascii="宋体" w:hAnsi="宋体" w:cs="宋体"/>
          <w:sz w:val="28"/>
          <w:szCs w:val="28"/>
          <w:lang w:eastAsia="zh-CN"/>
        </w:rPr>
        <w:t>个</w:t>
      </w:r>
      <w:r>
        <w:rPr>
          <w:rFonts w:hint="eastAsia" w:ascii="宋体" w:hAnsi="宋体" w:cs="宋体"/>
          <w:sz w:val="28"/>
          <w:szCs w:val="28"/>
        </w:rPr>
        <w:t>[其中一般科室：保洁人员</w:t>
      </w:r>
      <w:r>
        <w:rPr>
          <w:rFonts w:hint="eastAsia" w:ascii="宋体" w:hAnsi="宋体" w:cs="宋体"/>
          <w:sz w:val="28"/>
          <w:szCs w:val="28"/>
          <w:lang w:eastAsia="zh-CN"/>
        </w:rPr>
        <w:t>岗位</w:t>
      </w:r>
      <w:r>
        <w:rPr>
          <w:rFonts w:hint="eastAsia" w:ascii="宋体" w:hAnsi="宋体" w:cs="宋体"/>
          <w:sz w:val="28"/>
          <w:szCs w:val="28"/>
        </w:rPr>
        <w:t>不少于78</w:t>
      </w:r>
      <w:r>
        <w:rPr>
          <w:rFonts w:hint="eastAsia" w:ascii="宋体" w:hAnsi="宋体" w:cs="宋体"/>
          <w:sz w:val="28"/>
          <w:szCs w:val="28"/>
          <w:lang w:eastAsia="zh-CN"/>
        </w:rPr>
        <w:t>个</w:t>
      </w:r>
      <w:r>
        <w:rPr>
          <w:rFonts w:hint="eastAsia" w:ascii="宋体" w:hAnsi="宋体" w:cs="宋体"/>
          <w:sz w:val="28"/>
          <w:szCs w:val="28"/>
        </w:rPr>
        <w:t>，普通运送人员</w:t>
      </w:r>
      <w:r>
        <w:rPr>
          <w:rFonts w:hint="eastAsia" w:ascii="宋体" w:hAnsi="宋体" w:cs="宋体"/>
          <w:sz w:val="28"/>
          <w:szCs w:val="28"/>
          <w:lang w:eastAsia="zh-CN"/>
        </w:rPr>
        <w:t>岗位</w:t>
      </w:r>
      <w:r>
        <w:rPr>
          <w:rFonts w:hint="eastAsia" w:ascii="宋体" w:hAnsi="宋体" w:cs="宋体"/>
          <w:sz w:val="28"/>
          <w:szCs w:val="28"/>
        </w:rPr>
        <w:t>不少于20</w:t>
      </w:r>
      <w:r>
        <w:rPr>
          <w:rFonts w:hint="eastAsia" w:ascii="宋体" w:hAnsi="宋体" w:cs="宋体"/>
          <w:sz w:val="28"/>
          <w:szCs w:val="28"/>
          <w:lang w:eastAsia="zh-CN"/>
        </w:rPr>
        <w:t>个</w:t>
      </w:r>
      <w:r>
        <w:rPr>
          <w:rFonts w:hint="eastAsia" w:ascii="宋体" w:hAnsi="宋体" w:cs="宋体"/>
          <w:sz w:val="28"/>
          <w:szCs w:val="28"/>
        </w:rPr>
        <w:t>，项目管理人员</w:t>
      </w:r>
      <w:r>
        <w:rPr>
          <w:rFonts w:hint="eastAsia" w:ascii="宋体" w:hAnsi="宋体" w:cs="宋体"/>
          <w:sz w:val="28"/>
          <w:szCs w:val="28"/>
          <w:lang w:eastAsia="zh-CN"/>
        </w:rPr>
        <w:t>岗位</w:t>
      </w:r>
      <w:r>
        <w:rPr>
          <w:rFonts w:hint="eastAsia" w:ascii="宋体" w:hAnsi="宋体" w:cs="宋体"/>
          <w:sz w:val="28"/>
          <w:szCs w:val="28"/>
        </w:rPr>
        <w:t>不少于3人；特殊科室运送人员</w:t>
      </w:r>
      <w:r>
        <w:rPr>
          <w:rFonts w:hint="eastAsia" w:ascii="宋体" w:hAnsi="宋体" w:cs="宋体"/>
          <w:sz w:val="28"/>
          <w:szCs w:val="28"/>
          <w:lang w:eastAsia="zh-CN"/>
        </w:rPr>
        <w:t>岗位</w:t>
      </w:r>
      <w:r>
        <w:rPr>
          <w:rFonts w:hint="eastAsia" w:ascii="宋体" w:hAnsi="宋体" w:cs="宋体"/>
          <w:sz w:val="28"/>
          <w:szCs w:val="28"/>
        </w:rPr>
        <w:t>不少于8</w:t>
      </w:r>
      <w:r>
        <w:rPr>
          <w:rFonts w:hint="eastAsia" w:ascii="宋体" w:hAnsi="宋体" w:cs="宋体"/>
          <w:sz w:val="28"/>
          <w:szCs w:val="28"/>
          <w:lang w:eastAsia="zh-CN"/>
        </w:rPr>
        <w:t>个</w:t>
      </w:r>
      <w:r>
        <w:rPr>
          <w:rFonts w:hint="eastAsia" w:ascii="宋体" w:hAnsi="宋体" w:cs="宋体"/>
          <w:sz w:val="28"/>
          <w:szCs w:val="28"/>
        </w:rPr>
        <w:t>] 。</w:t>
      </w:r>
    </w:p>
    <w:p>
      <w:pPr>
        <w:pStyle w:val="84"/>
        <w:numPr>
          <w:ilvl w:val="0"/>
          <w:numId w:val="41"/>
        </w:numPr>
        <w:spacing w:line="360" w:lineRule="auto"/>
        <w:ind w:left="357" w:hanging="357" w:firstLineChars="0"/>
        <w:rPr>
          <w:rFonts w:ascii="宋体" w:hAnsi="宋体" w:eastAsia="宋体" w:cs="宋体"/>
          <w:sz w:val="28"/>
          <w:szCs w:val="28"/>
        </w:rPr>
      </w:pPr>
      <w:r>
        <w:rPr>
          <w:rFonts w:hint="eastAsia" w:ascii="宋体" w:hAnsi="宋体" w:eastAsia="宋体" w:cs="宋体"/>
          <w:sz w:val="28"/>
          <w:szCs w:val="28"/>
        </w:rPr>
        <w:t>一般科室：</w:t>
      </w:r>
    </w:p>
    <w:p>
      <w:pPr>
        <w:spacing w:line="360" w:lineRule="auto"/>
        <w:rPr>
          <w:rFonts w:ascii="宋体" w:hAnsi="宋体" w:cs="宋体"/>
          <w:sz w:val="28"/>
          <w:szCs w:val="28"/>
        </w:rPr>
      </w:pPr>
      <w:r>
        <w:rPr>
          <w:rFonts w:hint="eastAsia" w:ascii="宋体" w:hAnsi="宋体" w:cs="宋体"/>
          <w:sz w:val="28"/>
          <w:szCs w:val="28"/>
        </w:rPr>
        <w:t>1.1保洁人员无男女比例要求，身体健康，年龄不超过60周岁（含）（有医院后勤服务经验的可以适当放宽），男性身高155cm以上，女性身高150cm以上，五官端正，肢体健全。</w:t>
      </w:r>
    </w:p>
    <w:p>
      <w:pPr>
        <w:spacing w:line="360" w:lineRule="auto"/>
        <w:rPr>
          <w:rFonts w:ascii="宋体" w:hAnsi="宋体" w:cs="宋体"/>
          <w:sz w:val="28"/>
          <w:szCs w:val="28"/>
        </w:rPr>
      </w:pPr>
      <w:r>
        <w:rPr>
          <w:rFonts w:hint="eastAsia" w:ascii="宋体" w:hAnsi="宋体" w:cs="宋体"/>
          <w:sz w:val="28"/>
          <w:szCs w:val="28"/>
        </w:rPr>
        <w:t>1.2普通运送人员，无男女比例要求，身体健康，年龄不超过55周岁（含），男性身高155cm以上，女性身高150cm以上，五官端正，肢体健全。</w:t>
      </w:r>
    </w:p>
    <w:p>
      <w:pPr>
        <w:spacing w:line="360" w:lineRule="auto"/>
        <w:rPr>
          <w:rFonts w:ascii="宋体" w:hAnsi="宋体" w:cs="宋体"/>
          <w:sz w:val="28"/>
          <w:szCs w:val="28"/>
        </w:rPr>
      </w:pPr>
      <w:r>
        <w:rPr>
          <w:rFonts w:hint="eastAsia" w:ascii="宋体" w:hAnsi="宋体" w:cs="宋体"/>
          <w:sz w:val="28"/>
          <w:szCs w:val="28"/>
        </w:rPr>
        <w:t>2.特殊科室：</w:t>
      </w:r>
    </w:p>
    <w:p>
      <w:pPr>
        <w:spacing w:line="360" w:lineRule="auto"/>
        <w:ind w:firstLine="560" w:firstLineChars="200"/>
        <w:rPr>
          <w:rFonts w:ascii="宋体" w:hAnsi="宋体" w:cs="宋体"/>
          <w:sz w:val="28"/>
          <w:szCs w:val="28"/>
        </w:rPr>
      </w:pPr>
      <w:r>
        <w:rPr>
          <w:rFonts w:hint="eastAsia" w:ascii="宋体" w:hAnsi="宋体" w:cs="宋体"/>
          <w:sz w:val="28"/>
          <w:szCs w:val="28"/>
        </w:rPr>
        <w:t>特殊科室运送人员，无男女比例要求，身体健康，年龄不超过50周岁（含），有一定文化基础，小学及以上学历，会写字识字，身高160cm及以上，五官端正，肢体健全，能满足科室使用需求。</w:t>
      </w:r>
    </w:p>
    <w:p>
      <w:pPr>
        <w:spacing w:line="360" w:lineRule="auto"/>
        <w:rPr>
          <w:rFonts w:ascii="宋体" w:hAnsi="宋体" w:cs="宋体"/>
          <w:sz w:val="28"/>
          <w:szCs w:val="28"/>
        </w:rPr>
      </w:pPr>
      <w:r>
        <w:rPr>
          <w:rFonts w:hint="eastAsia" w:ascii="宋体" w:hAnsi="宋体" w:cs="宋体"/>
          <w:sz w:val="28"/>
          <w:szCs w:val="28"/>
        </w:rPr>
        <w:t>3.投标人入场前后，经双方协商，必要时可根据医院发展情况对部分岗位进行调配，减少或增添符合岗位资质的物业服务人员，服务费按实际需要（减少或增添）的各岗位人数及投标单价、物业服务人员配置到岗时间据实支付物业服务费。</w:t>
      </w:r>
    </w:p>
    <w:p>
      <w:pPr>
        <w:spacing w:line="360" w:lineRule="auto"/>
        <w:rPr>
          <w:rFonts w:ascii="宋体" w:hAnsi="宋体" w:cs="宋体"/>
          <w:sz w:val="28"/>
          <w:szCs w:val="28"/>
        </w:rPr>
      </w:pPr>
      <w:r>
        <w:rPr>
          <w:rFonts w:hint="eastAsia" w:ascii="宋体" w:hAnsi="宋体" w:cs="宋体"/>
          <w:sz w:val="28"/>
          <w:szCs w:val="28"/>
        </w:rPr>
        <w:t>（二）投标人为本项目配置的项目管理人员为投标人在职员工，拟派的项目管理人员需符合项目管理需求。要求：22（含）-50（含）岁，要求身体健康、精力充沛，有亲和力及敬业精神，责任心强，项目管理人员要求大专及以上学历，且同时具有保洁（或清洁）和运送（或转运、配送）项目管理经验，有较强的组织、协调、策划、调研、分析能力，对物业服务工作有独到的见解。具有一定的公文写作能力，熟悉电脑办公软件应用及操作。项目管理人员中应至少应含1名项目经理，且应具有医院物业管理经验。</w:t>
      </w:r>
    </w:p>
    <w:p>
      <w:pPr>
        <w:spacing w:line="360" w:lineRule="auto"/>
        <w:rPr>
          <w:rFonts w:ascii="宋体" w:hAnsi="宋体" w:cs="宋体"/>
          <w:sz w:val="28"/>
          <w:szCs w:val="28"/>
        </w:rPr>
      </w:pPr>
      <w:r>
        <w:rPr>
          <w:rFonts w:hint="eastAsia" w:ascii="宋体" w:hAnsi="宋体" w:cs="宋体"/>
          <w:sz w:val="28"/>
          <w:szCs w:val="28"/>
        </w:rPr>
        <w:t>（三）投标人应具备一定的培训师资力量，有专职的培训师</w:t>
      </w:r>
      <w:r>
        <w:rPr>
          <w:rFonts w:hint="eastAsia" w:ascii="宋体" w:hAnsi="宋体" w:cs="宋体"/>
          <w:sz w:val="28"/>
          <w:szCs w:val="28"/>
          <w:lang w:eastAsia="zh-CN"/>
        </w:rPr>
        <w:t>（其中院感培训师具有院感培训合格证明）</w:t>
      </w:r>
      <w:r>
        <w:rPr>
          <w:rFonts w:hint="eastAsia" w:ascii="宋体" w:hAnsi="宋体" w:cs="宋体"/>
          <w:sz w:val="28"/>
          <w:szCs w:val="28"/>
        </w:rPr>
        <w:t>，并设有培训机构，具备独立培训员工的能力，并应提供相应的培训方案，包含教育员工节约用水用电，爱护公共财物，礼貌服务，遵守医院服务标准和要求，医院感染知识及各岗位的基本操作规程。</w:t>
      </w:r>
    </w:p>
    <w:p>
      <w:pPr>
        <w:spacing w:line="360" w:lineRule="auto"/>
        <w:rPr>
          <w:rFonts w:ascii="宋体" w:hAnsi="宋体" w:cs="宋体"/>
          <w:sz w:val="28"/>
          <w:szCs w:val="28"/>
        </w:rPr>
      </w:pPr>
      <w:r>
        <w:rPr>
          <w:rFonts w:hint="eastAsia" w:ascii="宋体" w:hAnsi="宋体" w:cs="宋体"/>
          <w:sz w:val="28"/>
          <w:szCs w:val="28"/>
        </w:rPr>
        <w:t>（四）投标人应在入场前应完成所有的人员招聘工作。</w:t>
      </w:r>
    </w:p>
    <w:p>
      <w:pPr>
        <w:spacing w:line="360" w:lineRule="auto"/>
        <w:rPr>
          <w:rFonts w:ascii="宋体" w:hAnsi="宋体" w:cs="宋体"/>
          <w:sz w:val="28"/>
          <w:szCs w:val="28"/>
        </w:rPr>
      </w:pPr>
      <w:r>
        <w:rPr>
          <w:rFonts w:hint="eastAsia" w:ascii="宋体" w:hAnsi="宋体" w:cs="宋体"/>
          <w:sz w:val="28"/>
          <w:szCs w:val="28"/>
        </w:rPr>
        <w:t>（五）中标人入场前后，经双方协商，必要时可根据医院发展情况对部分岗位进行调配，减少或增添符合岗位资质的物业服务人员；中标人应配合采购人的工作需要，响应采购人的服务标准，听从采购人的工作安排，物业服务费按实际需要（减少或增添）的各岗位人数及投标单价、物业服务人员配置到岗时间据实支付物业服务费。</w:t>
      </w:r>
    </w:p>
    <w:p/>
    <w:p>
      <w:pPr>
        <w:pStyle w:val="2"/>
      </w:pPr>
    </w:p>
    <w:p/>
    <w:p>
      <w:pPr>
        <w:pStyle w:val="2"/>
      </w:pPr>
    </w:p>
    <w:p>
      <w:pPr>
        <w:pStyle w:val="6"/>
      </w:pPr>
      <w:r>
        <w:rPr>
          <w:rFonts w:hint="eastAsia"/>
        </w:rPr>
        <w:t>物业工具配置及要求</w:t>
      </w:r>
    </w:p>
    <w:p>
      <w:pPr>
        <w:pStyle w:val="84"/>
        <w:numPr>
          <w:ilvl w:val="0"/>
          <w:numId w:val="42"/>
        </w:numPr>
        <w:spacing w:line="360" w:lineRule="auto"/>
        <w:ind w:left="21" w:leftChars="10" w:firstLineChars="0"/>
        <w:jc w:val="left"/>
        <w:rPr>
          <w:rFonts w:ascii="宋体" w:hAnsi="宋体" w:eastAsia="宋体" w:cs="宋体"/>
          <w:sz w:val="28"/>
          <w:szCs w:val="28"/>
        </w:rPr>
      </w:pPr>
      <w:r>
        <w:rPr>
          <w:rFonts w:hint="eastAsia" w:ascii="宋体" w:hAnsi="宋体" w:eastAsia="宋体" w:cs="宋体"/>
          <w:sz w:val="28"/>
          <w:szCs w:val="28"/>
        </w:rPr>
        <w:t xml:space="preserve">投标人须自备：办公桌椅、员工更衣柜及电脑、打印机、考勤设备通讯设备等办公设备和耗材及网络。采购人提供保洁办公场地供中标人使用。 </w:t>
      </w:r>
    </w:p>
    <w:p>
      <w:pPr>
        <w:pStyle w:val="84"/>
        <w:numPr>
          <w:ilvl w:val="0"/>
          <w:numId w:val="42"/>
        </w:numPr>
        <w:spacing w:line="360" w:lineRule="auto"/>
        <w:ind w:left="21" w:leftChars="10" w:firstLineChars="0"/>
        <w:jc w:val="left"/>
        <w:rPr>
          <w:rFonts w:ascii="宋体" w:hAnsi="宋体" w:eastAsia="宋体" w:cs="宋体"/>
          <w:sz w:val="28"/>
          <w:szCs w:val="28"/>
        </w:rPr>
      </w:pPr>
      <w:r>
        <w:rPr>
          <w:rFonts w:hint="eastAsia" w:ascii="宋体" w:hAnsi="宋体" w:eastAsia="宋体" w:cs="宋体"/>
          <w:sz w:val="28"/>
          <w:szCs w:val="28"/>
        </w:rPr>
        <w:t>投标人须为项目统一配备各岗位员工工服。</w:t>
      </w:r>
    </w:p>
    <w:p>
      <w:pPr>
        <w:pStyle w:val="84"/>
        <w:numPr>
          <w:ilvl w:val="0"/>
          <w:numId w:val="42"/>
        </w:numPr>
        <w:spacing w:line="360" w:lineRule="auto"/>
        <w:ind w:left="21" w:leftChars="10" w:firstLineChars="0"/>
        <w:jc w:val="left"/>
        <w:rPr>
          <w:rFonts w:ascii="宋体" w:hAnsi="宋体" w:eastAsia="宋体" w:cs="宋体"/>
          <w:sz w:val="28"/>
          <w:szCs w:val="28"/>
        </w:rPr>
      </w:pPr>
      <w:r>
        <w:rPr>
          <w:rFonts w:hint="eastAsia" w:ascii="宋体" w:hAnsi="宋体" w:eastAsia="宋体" w:cs="宋体"/>
          <w:sz w:val="28"/>
          <w:szCs w:val="28"/>
        </w:rPr>
        <w:t xml:space="preserve">投标人须提供信息化管理所需的设备设施及软件，且必须符合国家相关安全法规的要求。 </w:t>
      </w:r>
    </w:p>
    <w:p>
      <w:pPr>
        <w:pStyle w:val="84"/>
        <w:numPr>
          <w:ilvl w:val="0"/>
          <w:numId w:val="42"/>
        </w:numPr>
        <w:spacing w:line="360" w:lineRule="auto"/>
        <w:ind w:left="21" w:leftChars="10" w:firstLineChars="0"/>
        <w:jc w:val="left"/>
        <w:rPr>
          <w:rFonts w:ascii="宋体" w:hAnsi="宋体" w:eastAsia="宋体" w:cs="宋体"/>
          <w:sz w:val="28"/>
          <w:szCs w:val="28"/>
        </w:rPr>
      </w:pPr>
      <w:r>
        <w:rPr>
          <w:rFonts w:hint="eastAsia" w:ascii="宋体" w:hAnsi="宋体" w:eastAsia="宋体" w:cs="宋体"/>
          <w:sz w:val="28"/>
          <w:szCs w:val="28"/>
        </w:rPr>
        <w:t xml:space="preserve">投标人负责所有保洁所需作业工具和劳防用品，包括但不限于清洁、洗涤药剂，地面和物体表面擦拭用的消毒剂和保洁工具及耗材。 </w:t>
      </w:r>
    </w:p>
    <w:p>
      <w:pPr>
        <w:pStyle w:val="84"/>
        <w:numPr>
          <w:ilvl w:val="0"/>
          <w:numId w:val="42"/>
        </w:numPr>
        <w:spacing w:line="360" w:lineRule="auto"/>
        <w:ind w:left="21" w:leftChars="10" w:firstLineChars="0"/>
        <w:jc w:val="left"/>
        <w:rPr>
          <w:rFonts w:ascii="宋体" w:hAnsi="宋体" w:eastAsia="宋体" w:cs="宋体"/>
          <w:sz w:val="28"/>
          <w:szCs w:val="28"/>
        </w:rPr>
      </w:pPr>
      <w:r>
        <w:rPr>
          <w:rFonts w:hint="eastAsia" w:ascii="宋体" w:hAnsi="宋体" w:eastAsia="宋体" w:cs="宋体"/>
          <w:sz w:val="28"/>
          <w:szCs w:val="28"/>
        </w:rPr>
        <w:t xml:space="preserve">投标人负责配置保洁设施设备、工具。（全自动中型驾驶型洗地机、全自动手推式洗地机、吸水洗尘机、高压清洗机、多用途清洁手推车、榨水车等）。 </w:t>
      </w:r>
    </w:p>
    <w:p>
      <w:pPr>
        <w:pStyle w:val="84"/>
        <w:numPr>
          <w:ilvl w:val="0"/>
          <w:numId w:val="42"/>
        </w:numPr>
        <w:spacing w:line="360" w:lineRule="auto"/>
        <w:ind w:left="21" w:leftChars="10" w:firstLineChars="0"/>
        <w:jc w:val="left"/>
        <w:rPr>
          <w:rFonts w:ascii="宋体" w:hAnsi="宋体" w:eastAsia="宋体" w:cs="宋体"/>
          <w:sz w:val="28"/>
          <w:szCs w:val="28"/>
        </w:rPr>
      </w:pPr>
      <w:r>
        <w:rPr>
          <w:rFonts w:hint="eastAsia" w:ascii="宋体" w:hAnsi="宋体" w:eastAsia="宋体" w:cs="宋体"/>
          <w:sz w:val="28"/>
          <w:szCs w:val="28"/>
        </w:rPr>
        <w:t>采购人提出的配置清单为最低要求，是采购人认为投标人保证项目质量的前提，清单内容包含但不限于列举内容，投标人不能删减品类和数量，可以增加。</w:t>
      </w:r>
    </w:p>
    <w:p>
      <w:pPr>
        <w:widowControl/>
        <w:spacing w:line="360" w:lineRule="auto"/>
        <w:jc w:val="left"/>
        <w:rPr>
          <w:rFonts w:ascii="宋体" w:hAnsi="宋体" w:cs="宋体"/>
          <w:sz w:val="28"/>
          <w:szCs w:val="28"/>
        </w:rPr>
      </w:pPr>
      <w:r>
        <w:rPr>
          <w:rFonts w:hint="eastAsia" w:ascii="宋体" w:hAnsi="宋体" w:cs="宋体"/>
          <w:sz w:val="28"/>
          <w:szCs w:val="28"/>
        </w:rPr>
        <w:t xml:space="preserve">自备专业设备清单： </w:t>
      </w:r>
    </w:p>
    <w:tbl>
      <w:tblPr>
        <w:tblStyle w:val="48"/>
        <w:tblW w:w="829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68"/>
        <w:gridCol w:w="3439"/>
        <w:gridCol w:w="1868"/>
        <w:gridCol w:w="231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465" w:hRule="atLeast"/>
        </w:trPr>
        <w:tc>
          <w:tcPr>
            <w:tcW w:w="668" w:type="dxa"/>
          </w:tcPr>
          <w:p>
            <w:pPr>
              <w:spacing w:line="360" w:lineRule="auto"/>
              <w:jc w:val="center"/>
              <w:rPr>
                <w:rFonts w:ascii="宋体" w:hAnsi="宋体" w:cs="宋体"/>
                <w:b/>
                <w:bCs/>
                <w:sz w:val="28"/>
                <w:szCs w:val="28"/>
              </w:rPr>
            </w:pPr>
            <w:r>
              <w:rPr>
                <w:rFonts w:hint="eastAsia" w:ascii="宋体" w:hAnsi="宋体" w:cs="宋体"/>
                <w:b/>
                <w:bCs/>
                <w:sz w:val="28"/>
                <w:szCs w:val="28"/>
              </w:rPr>
              <w:t>序号</w:t>
            </w:r>
          </w:p>
        </w:tc>
        <w:tc>
          <w:tcPr>
            <w:tcW w:w="3439" w:type="dxa"/>
          </w:tcPr>
          <w:p>
            <w:pPr>
              <w:spacing w:line="360" w:lineRule="auto"/>
              <w:jc w:val="center"/>
              <w:rPr>
                <w:rFonts w:ascii="宋体" w:hAnsi="宋体" w:cs="宋体"/>
                <w:b/>
                <w:bCs/>
                <w:sz w:val="28"/>
                <w:szCs w:val="28"/>
              </w:rPr>
            </w:pPr>
            <w:r>
              <w:rPr>
                <w:rFonts w:hint="eastAsia" w:ascii="宋体" w:hAnsi="宋体" w:cs="宋体"/>
                <w:b/>
                <w:bCs/>
                <w:sz w:val="28"/>
                <w:szCs w:val="28"/>
              </w:rPr>
              <w:t>名称</w:t>
            </w:r>
          </w:p>
        </w:tc>
        <w:tc>
          <w:tcPr>
            <w:tcW w:w="1868" w:type="dxa"/>
          </w:tcPr>
          <w:p>
            <w:pPr>
              <w:spacing w:line="360" w:lineRule="auto"/>
              <w:jc w:val="center"/>
              <w:rPr>
                <w:rFonts w:ascii="宋体" w:hAnsi="宋体" w:cs="宋体"/>
                <w:b/>
                <w:bCs/>
                <w:sz w:val="28"/>
                <w:szCs w:val="28"/>
              </w:rPr>
            </w:pPr>
            <w:r>
              <w:rPr>
                <w:rFonts w:hint="eastAsia" w:ascii="宋体" w:hAnsi="宋体" w:cs="宋体"/>
                <w:b/>
                <w:bCs/>
                <w:sz w:val="28"/>
                <w:szCs w:val="28"/>
              </w:rPr>
              <w:t>单位</w:t>
            </w:r>
          </w:p>
        </w:tc>
        <w:tc>
          <w:tcPr>
            <w:tcW w:w="2319" w:type="dxa"/>
          </w:tcPr>
          <w:p>
            <w:pPr>
              <w:spacing w:line="360" w:lineRule="auto"/>
              <w:jc w:val="center"/>
              <w:rPr>
                <w:rFonts w:ascii="宋体" w:hAnsi="宋体" w:cs="宋体"/>
                <w:b/>
                <w:bCs/>
                <w:sz w:val="28"/>
                <w:szCs w:val="28"/>
              </w:rPr>
            </w:pPr>
            <w:r>
              <w:rPr>
                <w:rFonts w:hint="eastAsia" w:ascii="宋体" w:hAnsi="宋体" w:cs="宋体"/>
                <w:b/>
                <w:bCs/>
                <w:sz w:val="28"/>
                <w:szCs w:val="28"/>
              </w:rPr>
              <w:t>数量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668" w:type="dxa"/>
          </w:tcPr>
          <w:p>
            <w:pPr>
              <w:spacing w:line="360" w:lineRule="auto"/>
              <w:rPr>
                <w:rFonts w:ascii="宋体" w:hAnsi="宋体" w:cs="宋体"/>
                <w:sz w:val="28"/>
                <w:szCs w:val="28"/>
              </w:rPr>
            </w:pPr>
            <w:r>
              <w:rPr>
                <w:rFonts w:hint="eastAsia" w:ascii="宋体" w:hAnsi="宋体" w:cs="宋体"/>
                <w:sz w:val="28"/>
                <w:szCs w:val="28"/>
              </w:rPr>
              <w:t xml:space="preserve">1 </w:t>
            </w:r>
          </w:p>
        </w:tc>
        <w:tc>
          <w:tcPr>
            <w:tcW w:w="3439" w:type="dxa"/>
          </w:tcPr>
          <w:p>
            <w:pPr>
              <w:spacing w:line="360" w:lineRule="auto"/>
              <w:rPr>
                <w:rFonts w:ascii="宋体" w:hAnsi="宋体" w:cs="宋体"/>
                <w:sz w:val="28"/>
                <w:szCs w:val="28"/>
              </w:rPr>
            </w:pPr>
            <w:r>
              <w:rPr>
                <w:rFonts w:hint="eastAsia" w:ascii="宋体" w:hAnsi="宋体" w:cs="宋体"/>
                <w:sz w:val="28"/>
                <w:szCs w:val="28"/>
              </w:rPr>
              <w:t xml:space="preserve">全自动中型驾驶型洗地机 </w:t>
            </w:r>
          </w:p>
        </w:tc>
        <w:tc>
          <w:tcPr>
            <w:tcW w:w="1868" w:type="dxa"/>
          </w:tcPr>
          <w:p>
            <w:pPr>
              <w:spacing w:line="360" w:lineRule="auto"/>
              <w:rPr>
                <w:rFonts w:ascii="宋体" w:hAnsi="宋体" w:cs="宋体"/>
                <w:sz w:val="28"/>
                <w:szCs w:val="28"/>
              </w:rPr>
            </w:pPr>
            <w:r>
              <w:rPr>
                <w:rFonts w:hint="eastAsia" w:ascii="宋体" w:hAnsi="宋体" w:cs="宋体"/>
                <w:sz w:val="28"/>
                <w:szCs w:val="28"/>
              </w:rPr>
              <w:t xml:space="preserve">辆 </w:t>
            </w:r>
          </w:p>
        </w:tc>
        <w:tc>
          <w:tcPr>
            <w:tcW w:w="2319" w:type="dxa"/>
          </w:tcPr>
          <w:p>
            <w:pPr>
              <w:spacing w:line="360" w:lineRule="auto"/>
              <w:rPr>
                <w:rFonts w:ascii="宋体" w:hAnsi="宋体" w:cs="宋体"/>
                <w:sz w:val="28"/>
                <w:szCs w:val="28"/>
              </w:rPr>
            </w:pPr>
            <w:r>
              <w:rPr>
                <w:rFonts w:hint="eastAsia" w:ascii="宋体" w:hAnsi="宋体" w:cs="宋体"/>
                <w:sz w:val="28"/>
                <w:szCs w:val="28"/>
              </w:rPr>
              <w:t xml:space="preserve">1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15" w:hRule="atLeast"/>
        </w:trPr>
        <w:tc>
          <w:tcPr>
            <w:tcW w:w="668" w:type="dxa"/>
          </w:tcPr>
          <w:p>
            <w:pPr>
              <w:spacing w:line="360" w:lineRule="auto"/>
              <w:rPr>
                <w:rFonts w:ascii="宋体" w:hAnsi="宋体" w:cs="宋体"/>
                <w:sz w:val="28"/>
                <w:szCs w:val="28"/>
              </w:rPr>
            </w:pPr>
            <w:r>
              <w:rPr>
                <w:rFonts w:hint="eastAsia" w:ascii="宋体" w:hAnsi="宋体" w:cs="宋体"/>
                <w:sz w:val="28"/>
                <w:szCs w:val="28"/>
              </w:rPr>
              <w:t xml:space="preserve">2 </w:t>
            </w:r>
          </w:p>
        </w:tc>
        <w:tc>
          <w:tcPr>
            <w:tcW w:w="3439" w:type="dxa"/>
          </w:tcPr>
          <w:p>
            <w:pPr>
              <w:spacing w:line="360" w:lineRule="auto"/>
              <w:rPr>
                <w:rFonts w:ascii="宋体" w:hAnsi="宋体" w:cs="宋体"/>
                <w:sz w:val="28"/>
                <w:szCs w:val="28"/>
              </w:rPr>
            </w:pPr>
            <w:r>
              <w:rPr>
                <w:rFonts w:hint="eastAsia" w:ascii="宋体" w:hAnsi="宋体" w:cs="宋体"/>
                <w:sz w:val="28"/>
                <w:szCs w:val="28"/>
              </w:rPr>
              <w:t xml:space="preserve">全自动手推式洗地机 </w:t>
            </w:r>
          </w:p>
        </w:tc>
        <w:tc>
          <w:tcPr>
            <w:tcW w:w="1868" w:type="dxa"/>
          </w:tcPr>
          <w:p>
            <w:pPr>
              <w:spacing w:line="360" w:lineRule="auto"/>
              <w:rPr>
                <w:rFonts w:ascii="宋体" w:hAnsi="宋体" w:cs="宋体"/>
                <w:sz w:val="28"/>
                <w:szCs w:val="28"/>
              </w:rPr>
            </w:pPr>
            <w:r>
              <w:rPr>
                <w:rFonts w:hint="eastAsia" w:ascii="宋体" w:hAnsi="宋体" w:cs="宋体"/>
                <w:sz w:val="28"/>
                <w:szCs w:val="28"/>
              </w:rPr>
              <w:t xml:space="preserve">台 </w:t>
            </w:r>
          </w:p>
        </w:tc>
        <w:tc>
          <w:tcPr>
            <w:tcW w:w="2319" w:type="dxa"/>
          </w:tcPr>
          <w:p>
            <w:pPr>
              <w:spacing w:line="360" w:lineRule="auto"/>
              <w:rPr>
                <w:rFonts w:ascii="宋体" w:hAnsi="宋体" w:cs="宋体"/>
                <w:sz w:val="28"/>
                <w:szCs w:val="28"/>
              </w:rPr>
            </w:pPr>
            <w:r>
              <w:rPr>
                <w:rFonts w:hint="eastAsia" w:ascii="宋体" w:hAnsi="宋体" w:cs="宋体"/>
                <w:sz w:val="28"/>
                <w:szCs w:val="28"/>
              </w:rPr>
              <w:t>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668" w:type="dxa"/>
          </w:tcPr>
          <w:p>
            <w:pPr>
              <w:spacing w:line="360" w:lineRule="auto"/>
              <w:rPr>
                <w:rFonts w:ascii="宋体" w:hAnsi="宋体" w:cs="宋体"/>
                <w:sz w:val="28"/>
                <w:szCs w:val="28"/>
              </w:rPr>
            </w:pPr>
            <w:r>
              <w:rPr>
                <w:rFonts w:hint="eastAsia" w:ascii="宋体" w:hAnsi="宋体" w:cs="宋体"/>
                <w:sz w:val="28"/>
                <w:szCs w:val="28"/>
              </w:rPr>
              <w:t xml:space="preserve">3 </w:t>
            </w:r>
          </w:p>
        </w:tc>
        <w:tc>
          <w:tcPr>
            <w:tcW w:w="3439" w:type="dxa"/>
          </w:tcPr>
          <w:p>
            <w:pPr>
              <w:spacing w:line="360" w:lineRule="auto"/>
              <w:rPr>
                <w:rFonts w:ascii="宋体" w:hAnsi="宋体" w:cs="宋体"/>
                <w:sz w:val="28"/>
                <w:szCs w:val="28"/>
              </w:rPr>
            </w:pPr>
            <w:r>
              <w:rPr>
                <w:rFonts w:hint="eastAsia" w:ascii="宋体" w:hAnsi="宋体" w:cs="宋体"/>
                <w:sz w:val="28"/>
                <w:szCs w:val="28"/>
              </w:rPr>
              <w:t xml:space="preserve">小型自动洗地机 </w:t>
            </w:r>
          </w:p>
        </w:tc>
        <w:tc>
          <w:tcPr>
            <w:tcW w:w="1868" w:type="dxa"/>
          </w:tcPr>
          <w:p>
            <w:pPr>
              <w:spacing w:line="360" w:lineRule="auto"/>
              <w:rPr>
                <w:rFonts w:ascii="宋体" w:hAnsi="宋体" w:cs="宋体"/>
                <w:sz w:val="28"/>
                <w:szCs w:val="28"/>
              </w:rPr>
            </w:pPr>
            <w:r>
              <w:rPr>
                <w:rFonts w:hint="eastAsia" w:ascii="宋体" w:hAnsi="宋体" w:cs="宋体"/>
                <w:sz w:val="28"/>
                <w:szCs w:val="28"/>
              </w:rPr>
              <w:t xml:space="preserve">台 </w:t>
            </w:r>
          </w:p>
        </w:tc>
        <w:tc>
          <w:tcPr>
            <w:tcW w:w="2319" w:type="dxa"/>
          </w:tcPr>
          <w:p>
            <w:pPr>
              <w:spacing w:line="360" w:lineRule="auto"/>
              <w:rPr>
                <w:rFonts w:ascii="宋体" w:hAnsi="宋体" w:cs="宋体"/>
                <w:sz w:val="28"/>
                <w:szCs w:val="28"/>
              </w:rPr>
            </w:pPr>
            <w:r>
              <w:rPr>
                <w:rFonts w:hint="eastAsia" w:ascii="宋体" w:hAnsi="宋体" w:cs="宋体"/>
                <w:sz w:val="28"/>
                <w:szCs w:val="28"/>
              </w:rPr>
              <w:t xml:space="preserve">3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297" w:hRule="atLeast"/>
        </w:trPr>
        <w:tc>
          <w:tcPr>
            <w:tcW w:w="668" w:type="dxa"/>
          </w:tcPr>
          <w:p>
            <w:pPr>
              <w:spacing w:line="360" w:lineRule="auto"/>
              <w:rPr>
                <w:rFonts w:ascii="宋体" w:hAnsi="宋体" w:cs="宋体"/>
                <w:sz w:val="28"/>
                <w:szCs w:val="28"/>
              </w:rPr>
            </w:pPr>
            <w:r>
              <w:rPr>
                <w:rFonts w:hint="eastAsia" w:ascii="宋体" w:hAnsi="宋体" w:cs="宋体"/>
                <w:sz w:val="28"/>
                <w:szCs w:val="28"/>
              </w:rPr>
              <w:t xml:space="preserve">4 </w:t>
            </w:r>
          </w:p>
        </w:tc>
        <w:tc>
          <w:tcPr>
            <w:tcW w:w="3439" w:type="dxa"/>
          </w:tcPr>
          <w:p>
            <w:pPr>
              <w:spacing w:line="360" w:lineRule="auto"/>
              <w:rPr>
                <w:rFonts w:ascii="宋体" w:hAnsi="宋体" w:cs="宋体"/>
                <w:sz w:val="28"/>
                <w:szCs w:val="28"/>
              </w:rPr>
            </w:pPr>
            <w:r>
              <w:rPr>
                <w:rFonts w:hint="eastAsia" w:ascii="宋体" w:hAnsi="宋体" w:cs="宋体"/>
                <w:sz w:val="28"/>
                <w:szCs w:val="28"/>
              </w:rPr>
              <w:t xml:space="preserve">三速吹风机 </w:t>
            </w:r>
          </w:p>
        </w:tc>
        <w:tc>
          <w:tcPr>
            <w:tcW w:w="1868" w:type="dxa"/>
          </w:tcPr>
          <w:p>
            <w:pPr>
              <w:spacing w:line="360" w:lineRule="auto"/>
              <w:rPr>
                <w:rFonts w:ascii="宋体" w:hAnsi="宋体" w:cs="宋体"/>
                <w:sz w:val="28"/>
                <w:szCs w:val="28"/>
              </w:rPr>
            </w:pPr>
            <w:r>
              <w:rPr>
                <w:rFonts w:hint="eastAsia" w:ascii="宋体" w:hAnsi="宋体" w:cs="宋体"/>
                <w:sz w:val="28"/>
                <w:szCs w:val="28"/>
              </w:rPr>
              <w:t xml:space="preserve">台 </w:t>
            </w:r>
          </w:p>
        </w:tc>
        <w:tc>
          <w:tcPr>
            <w:tcW w:w="2319" w:type="dxa"/>
          </w:tcPr>
          <w:p>
            <w:pPr>
              <w:spacing w:line="360" w:lineRule="auto"/>
              <w:rPr>
                <w:rFonts w:ascii="宋体" w:hAnsi="宋体" w:cs="宋体"/>
                <w:sz w:val="28"/>
                <w:szCs w:val="28"/>
              </w:rPr>
            </w:pPr>
            <w:r>
              <w:rPr>
                <w:rFonts w:hint="eastAsia" w:ascii="宋体" w:hAnsi="宋体" w:cs="宋体"/>
                <w:sz w:val="28"/>
                <w:szCs w:val="28"/>
              </w:rPr>
              <w:t xml:space="preserve">2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297" w:hRule="atLeast"/>
        </w:trPr>
        <w:tc>
          <w:tcPr>
            <w:tcW w:w="668" w:type="dxa"/>
            <w:tcBorders>
              <w:bottom w:val="single" w:color="000000" w:sz="8" w:space="0"/>
            </w:tcBorders>
          </w:tcPr>
          <w:p>
            <w:pPr>
              <w:spacing w:line="360" w:lineRule="auto"/>
              <w:rPr>
                <w:rFonts w:ascii="宋体" w:hAnsi="宋体" w:cs="宋体"/>
                <w:sz w:val="28"/>
                <w:szCs w:val="28"/>
              </w:rPr>
            </w:pPr>
            <w:r>
              <w:rPr>
                <w:rFonts w:hint="eastAsia" w:ascii="宋体" w:hAnsi="宋体" w:cs="宋体"/>
                <w:sz w:val="28"/>
                <w:szCs w:val="28"/>
              </w:rPr>
              <w:t xml:space="preserve">5 </w:t>
            </w:r>
          </w:p>
        </w:tc>
        <w:tc>
          <w:tcPr>
            <w:tcW w:w="3439" w:type="dxa"/>
            <w:tcBorders>
              <w:bottom w:val="single" w:color="000000" w:sz="8" w:space="0"/>
            </w:tcBorders>
          </w:tcPr>
          <w:p>
            <w:pPr>
              <w:spacing w:line="360" w:lineRule="auto"/>
              <w:rPr>
                <w:rFonts w:ascii="宋体" w:hAnsi="宋体" w:cs="宋体"/>
                <w:sz w:val="28"/>
                <w:szCs w:val="28"/>
              </w:rPr>
            </w:pPr>
            <w:r>
              <w:rPr>
                <w:rFonts w:hint="eastAsia" w:ascii="宋体" w:hAnsi="宋体" w:cs="宋体"/>
                <w:sz w:val="28"/>
                <w:szCs w:val="28"/>
              </w:rPr>
              <w:t xml:space="preserve">吸水吸尘机 </w:t>
            </w:r>
          </w:p>
        </w:tc>
        <w:tc>
          <w:tcPr>
            <w:tcW w:w="1868" w:type="dxa"/>
            <w:tcBorders>
              <w:bottom w:val="single" w:color="000000" w:sz="8" w:space="0"/>
            </w:tcBorders>
          </w:tcPr>
          <w:p>
            <w:pPr>
              <w:spacing w:line="360" w:lineRule="auto"/>
              <w:rPr>
                <w:rFonts w:ascii="宋体" w:hAnsi="宋体" w:cs="宋体"/>
                <w:sz w:val="28"/>
                <w:szCs w:val="28"/>
              </w:rPr>
            </w:pPr>
            <w:r>
              <w:rPr>
                <w:rFonts w:hint="eastAsia" w:ascii="宋体" w:hAnsi="宋体" w:cs="宋体"/>
                <w:sz w:val="28"/>
                <w:szCs w:val="28"/>
              </w:rPr>
              <w:t xml:space="preserve">台 </w:t>
            </w:r>
          </w:p>
        </w:tc>
        <w:tc>
          <w:tcPr>
            <w:tcW w:w="2319" w:type="dxa"/>
            <w:tcBorders>
              <w:bottom w:val="single" w:color="000000" w:sz="8" w:space="0"/>
            </w:tcBorders>
          </w:tcPr>
          <w:p>
            <w:pPr>
              <w:spacing w:line="360" w:lineRule="auto"/>
              <w:rPr>
                <w:rFonts w:ascii="宋体" w:hAnsi="宋体" w:cs="宋体"/>
                <w:sz w:val="28"/>
                <w:szCs w:val="28"/>
              </w:rPr>
            </w:pPr>
            <w:r>
              <w:rPr>
                <w:rFonts w:hint="eastAsia" w:ascii="宋体" w:hAnsi="宋体" w:cs="宋体"/>
                <w:sz w:val="28"/>
                <w:szCs w:val="28"/>
              </w:rPr>
              <w:t xml:space="preserve">1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297" w:hRule="atLeast"/>
        </w:trPr>
        <w:tc>
          <w:tcPr>
            <w:tcW w:w="668" w:type="dxa"/>
            <w:tcBorders>
              <w:bottom w:val="single" w:color="000000" w:sz="8" w:space="0"/>
            </w:tcBorders>
          </w:tcPr>
          <w:p>
            <w:pPr>
              <w:spacing w:line="360" w:lineRule="auto"/>
              <w:rPr>
                <w:rFonts w:ascii="宋体" w:hAnsi="宋体" w:cs="宋体"/>
                <w:sz w:val="28"/>
                <w:szCs w:val="28"/>
              </w:rPr>
            </w:pPr>
            <w:r>
              <w:rPr>
                <w:rFonts w:hint="eastAsia" w:ascii="宋体" w:hAnsi="宋体" w:cs="宋体"/>
                <w:sz w:val="28"/>
                <w:szCs w:val="28"/>
              </w:rPr>
              <w:t xml:space="preserve">6 </w:t>
            </w:r>
          </w:p>
        </w:tc>
        <w:tc>
          <w:tcPr>
            <w:tcW w:w="3439" w:type="dxa"/>
            <w:tcBorders>
              <w:bottom w:val="single" w:color="000000" w:sz="8" w:space="0"/>
            </w:tcBorders>
          </w:tcPr>
          <w:p>
            <w:pPr>
              <w:spacing w:line="360" w:lineRule="auto"/>
              <w:rPr>
                <w:rFonts w:ascii="宋体" w:hAnsi="宋体" w:cs="宋体"/>
                <w:sz w:val="28"/>
                <w:szCs w:val="28"/>
              </w:rPr>
            </w:pPr>
            <w:r>
              <w:rPr>
                <w:rFonts w:hint="eastAsia" w:ascii="宋体" w:hAnsi="宋体" w:cs="宋体"/>
                <w:sz w:val="28"/>
                <w:szCs w:val="28"/>
              </w:rPr>
              <w:t xml:space="preserve">高压清洗机 </w:t>
            </w:r>
          </w:p>
        </w:tc>
        <w:tc>
          <w:tcPr>
            <w:tcW w:w="1868" w:type="dxa"/>
            <w:tcBorders>
              <w:bottom w:val="single" w:color="000000" w:sz="8" w:space="0"/>
            </w:tcBorders>
          </w:tcPr>
          <w:p>
            <w:pPr>
              <w:spacing w:line="360" w:lineRule="auto"/>
              <w:rPr>
                <w:rFonts w:ascii="宋体" w:hAnsi="宋体" w:cs="宋体"/>
                <w:sz w:val="28"/>
                <w:szCs w:val="28"/>
              </w:rPr>
            </w:pPr>
            <w:r>
              <w:rPr>
                <w:rFonts w:hint="eastAsia" w:ascii="宋体" w:hAnsi="宋体" w:cs="宋体"/>
                <w:sz w:val="28"/>
                <w:szCs w:val="28"/>
              </w:rPr>
              <w:t xml:space="preserve">辆 </w:t>
            </w:r>
          </w:p>
        </w:tc>
        <w:tc>
          <w:tcPr>
            <w:tcW w:w="2319" w:type="dxa"/>
            <w:tcBorders>
              <w:bottom w:val="single" w:color="000000" w:sz="8" w:space="0"/>
            </w:tcBorders>
          </w:tcPr>
          <w:p>
            <w:pPr>
              <w:spacing w:line="360" w:lineRule="auto"/>
              <w:rPr>
                <w:rFonts w:ascii="宋体" w:hAnsi="宋体" w:cs="宋体"/>
                <w:sz w:val="28"/>
                <w:szCs w:val="28"/>
              </w:rPr>
            </w:pPr>
            <w:r>
              <w:rPr>
                <w:rFonts w:hint="eastAsia" w:ascii="宋体" w:hAnsi="宋体" w:cs="宋体"/>
                <w:sz w:val="28"/>
                <w:szCs w:val="28"/>
              </w:rPr>
              <w:t xml:space="preserve">1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297" w:hRule="atLeast"/>
        </w:trPr>
        <w:tc>
          <w:tcPr>
            <w:tcW w:w="668" w:type="dxa"/>
            <w:tcBorders>
              <w:bottom w:val="single" w:color="000000" w:sz="8" w:space="0"/>
            </w:tcBorders>
          </w:tcPr>
          <w:p>
            <w:pPr>
              <w:spacing w:line="360" w:lineRule="auto"/>
              <w:rPr>
                <w:rFonts w:ascii="宋体" w:hAnsi="宋体" w:cs="宋体"/>
                <w:sz w:val="28"/>
                <w:szCs w:val="28"/>
              </w:rPr>
            </w:pPr>
            <w:r>
              <w:rPr>
                <w:rFonts w:hint="eastAsia" w:ascii="宋体" w:hAnsi="宋体" w:cs="宋体"/>
                <w:sz w:val="28"/>
                <w:szCs w:val="28"/>
              </w:rPr>
              <w:t xml:space="preserve"> </w:t>
            </w:r>
          </w:p>
        </w:tc>
        <w:tc>
          <w:tcPr>
            <w:tcW w:w="3439" w:type="dxa"/>
            <w:tcBorders>
              <w:bottom w:val="single" w:color="000000" w:sz="8" w:space="0"/>
            </w:tcBorders>
          </w:tcPr>
          <w:p>
            <w:pPr>
              <w:spacing w:line="360" w:lineRule="auto"/>
              <w:rPr>
                <w:rFonts w:ascii="宋体" w:hAnsi="宋体" w:cs="宋体"/>
                <w:sz w:val="28"/>
                <w:szCs w:val="28"/>
              </w:rPr>
            </w:pPr>
            <w:r>
              <w:rPr>
                <w:rFonts w:hint="eastAsia" w:ascii="宋体" w:hAnsi="宋体" w:cs="宋体"/>
                <w:sz w:val="28"/>
                <w:szCs w:val="28"/>
              </w:rPr>
              <w:t xml:space="preserve">合计 </w:t>
            </w:r>
          </w:p>
        </w:tc>
        <w:tc>
          <w:tcPr>
            <w:tcW w:w="1868" w:type="dxa"/>
            <w:tcBorders>
              <w:bottom w:val="single" w:color="000000" w:sz="8" w:space="0"/>
            </w:tcBorders>
          </w:tcPr>
          <w:p>
            <w:pPr>
              <w:spacing w:line="360" w:lineRule="auto"/>
              <w:rPr>
                <w:rFonts w:ascii="宋体" w:hAnsi="宋体" w:cs="宋体"/>
                <w:sz w:val="28"/>
                <w:szCs w:val="28"/>
              </w:rPr>
            </w:pPr>
            <w:r>
              <w:rPr>
                <w:rFonts w:hint="eastAsia" w:ascii="宋体" w:hAnsi="宋体" w:cs="宋体"/>
                <w:sz w:val="28"/>
                <w:szCs w:val="28"/>
              </w:rPr>
              <w:t xml:space="preserve"> </w:t>
            </w:r>
          </w:p>
        </w:tc>
        <w:tc>
          <w:tcPr>
            <w:tcW w:w="2319" w:type="dxa"/>
            <w:tcBorders>
              <w:bottom w:val="single" w:color="000000" w:sz="8" w:space="0"/>
            </w:tcBorders>
          </w:tcPr>
          <w:p>
            <w:pPr>
              <w:spacing w:line="360" w:lineRule="auto"/>
              <w:rPr>
                <w:rFonts w:ascii="宋体" w:hAnsi="宋体" w:cs="宋体"/>
                <w:sz w:val="28"/>
                <w:szCs w:val="28"/>
              </w:rPr>
            </w:pPr>
            <w:r>
              <w:rPr>
                <w:rFonts w:hint="eastAsia" w:ascii="宋体" w:hAnsi="宋体" w:cs="宋体"/>
                <w:sz w:val="28"/>
                <w:szCs w:val="28"/>
              </w:rPr>
              <w:t>9</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297" w:hRule="atLeast"/>
        </w:trPr>
        <w:tc>
          <w:tcPr>
            <w:tcW w:w="8294" w:type="dxa"/>
            <w:gridSpan w:val="4"/>
            <w:tcBorders>
              <w:bottom w:val="single" w:color="000000" w:sz="8" w:space="0"/>
            </w:tcBorders>
          </w:tcPr>
          <w:p>
            <w:pPr>
              <w:spacing w:line="360" w:lineRule="auto"/>
              <w:rPr>
                <w:rFonts w:ascii="宋体" w:hAnsi="宋体" w:cs="宋体"/>
                <w:sz w:val="28"/>
                <w:szCs w:val="28"/>
              </w:rPr>
            </w:pPr>
            <w:r>
              <w:rPr>
                <w:rFonts w:hint="eastAsia" w:ascii="宋体" w:hAnsi="宋体" w:cs="宋体"/>
                <w:b/>
                <w:bCs/>
                <w:sz w:val="28"/>
                <w:szCs w:val="28"/>
              </w:rPr>
              <w:t>（以上产品需提供产品合格证及购买设备的发票复印件并加盖投标人鲜章）。</w:t>
            </w:r>
            <w:r>
              <w:rPr>
                <w:rFonts w:ascii="宋体" w:hAnsi="宋体" w:cs="宋体"/>
                <w:b/>
                <w:bCs/>
                <w:sz w:val="28"/>
                <w:szCs w:val="28"/>
              </w:rPr>
              <w:t xml:space="preserve"> </w:t>
            </w:r>
          </w:p>
        </w:tc>
      </w:tr>
    </w:tbl>
    <w:p>
      <w:pPr>
        <w:spacing w:line="360" w:lineRule="auto"/>
        <w:rPr>
          <w:rFonts w:ascii="宋体" w:hAnsi="宋体" w:cs="宋体"/>
          <w:sz w:val="28"/>
          <w:szCs w:val="28"/>
        </w:rPr>
      </w:pPr>
      <w:r>
        <w:rPr>
          <w:rFonts w:hint="eastAsia" w:ascii="宋体" w:hAnsi="宋体" w:cs="宋体"/>
          <w:sz w:val="28"/>
          <w:szCs w:val="28"/>
        </w:rPr>
        <w:t xml:space="preserve">自备办公设施清单: </w:t>
      </w:r>
    </w:p>
    <w:tbl>
      <w:tblPr>
        <w:tblStyle w:val="49"/>
        <w:tblW w:w="8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2"/>
        <w:gridCol w:w="2073"/>
        <w:gridCol w:w="2073"/>
        <w:gridCol w:w="20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sz w:val="28"/>
                <w:szCs w:val="28"/>
              </w:rPr>
              <w:t>序号</w:t>
            </w:r>
          </w:p>
        </w:tc>
        <w:tc>
          <w:tcPr>
            <w:tcW w:w="2073" w:type="dxa"/>
          </w:tcPr>
          <w:p>
            <w:pPr>
              <w:autoSpaceDE w:val="0"/>
              <w:autoSpaceDN w:val="0"/>
              <w:jc w:val="center"/>
              <w:rPr>
                <w:rFonts w:ascii="宋体" w:hAnsi="宋体" w:cs="宋体"/>
                <w:sz w:val="20"/>
              </w:rPr>
            </w:pPr>
            <w:r>
              <w:rPr>
                <w:rFonts w:hint="eastAsia" w:ascii="宋体" w:hAnsi="宋体"/>
                <w:sz w:val="28"/>
                <w:szCs w:val="28"/>
              </w:rPr>
              <w:t>名称</w:t>
            </w:r>
          </w:p>
        </w:tc>
        <w:tc>
          <w:tcPr>
            <w:tcW w:w="2073" w:type="dxa"/>
          </w:tcPr>
          <w:p>
            <w:pPr>
              <w:autoSpaceDE w:val="0"/>
              <w:autoSpaceDN w:val="0"/>
              <w:jc w:val="center"/>
              <w:rPr>
                <w:rFonts w:ascii="宋体" w:hAnsi="宋体" w:cs="宋体"/>
                <w:sz w:val="20"/>
              </w:rPr>
            </w:pPr>
            <w:r>
              <w:rPr>
                <w:rFonts w:hint="eastAsia" w:ascii="宋体" w:hAnsi="宋体"/>
                <w:sz w:val="28"/>
                <w:szCs w:val="28"/>
              </w:rPr>
              <w:t>单位</w:t>
            </w:r>
          </w:p>
        </w:tc>
        <w:tc>
          <w:tcPr>
            <w:tcW w:w="2075" w:type="dxa"/>
          </w:tcPr>
          <w:p>
            <w:pPr>
              <w:autoSpaceDE w:val="0"/>
              <w:autoSpaceDN w:val="0"/>
              <w:jc w:val="center"/>
              <w:rPr>
                <w:rFonts w:ascii="宋体" w:hAnsi="宋体"/>
                <w:sz w:val="28"/>
                <w:szCs w:val="28"/>
              </w:rPr>
            </w:pPr>
            <w:r>
              <w:rPr>
                <w:rFonts w:hint="eastAsia" w:ascii="宋体" w:hAnsi="宋体"/>
                <w:sz w:val="28"/>
                <w:szCs w:val="28"/>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ascii="宋体" w:hAnsi="宋体"/>
                <w:sz w:val="28"/>
                <w:szCs w:val="28"/>
              </w:rPr>
              <w:t>1</w:t>
            </w:r>
          </w:p>
        </w:tc>
        <w:tc>
          <w:tcPr>
            <w:tcW w:w="2073" w:type="dxa"/>
          </w:tcPr>
          <w:p>
            <w:pPr>
              <w:autoSpaceDE w:val="0"/>
              <w:autoSpaceDN w:val="0"/>
              <w:jc w:val="center"/>
              <w:rPr>
                <w:rFonts w:ascii="宋体" w:hAnsi="宋体" w:cs="宋体"/>
                <w:sz w:val="20"/>
              </w:rPr>
            </w:pPr>
            <w:r>
              <w:rPr>
                <w:rFonts w:hint="eastAsia" w:ascii="宋体" w:hAnsi="宋体"/>
                <w:sz w:val="28"/>
                <w:szCs w:val="28"/>
              </w:rPr>
              <w:t>电脑</w:t>
            </w:r>
          </w:p>
        </w:tc>
        <w:tc>
          <w:tcPr>
            <w:tcW w:w="2073" w:type="dxa"/>
          </w:tcPr>
          <w:p>
            <w:pPr>
              <w:autoSpaceDE w:val="0"/>
              <w:autoSpaceDN w:val="0"/>
              <w:jc w:val="center"/>
              <w:rPr>
                <w:rFonts w:ascii="宋体" w:hAnsi="宋体" w:cs="宋体"/>
                <w:sz w:val="20"/>
              </w:rPr>
            </w:pPr>
            <w:r>
              <w:rPr>
                <w:rFonts w:hint="eastAsia" w:ascii="宋体" w:hAnsi="宋体"/>
                <w:sz w:val="28"/>
                <w:szCs w:val="28"/>
              </w:rPr>
              <w:t>台</w:t>
            </w:r>
          </w:p>
        </w:tc>
        <w:tc>
          <w:tcPr>
            <w:tcW w:w="2075" w:type="dxa"/>
          </w:tcPr>
          <w:p>
            <w:pPr>
              <w:autoSpaceDE w:val="0"/>
              <w:autoSpaceDN w:val="0"/>
              <w:jc w:val="center"/>
              <w:rPr>
                <w:rFonts w:ascii="宋体" w:hAnsi="宋体"/>
                <w:sz w:val="28"/>
                <w:szCs w:val="28"/>
              </w:rPr>
            </w:pPr>
            <w:r>
              <w:rPr>
                <w:rFonts w:hint="eastAsia" w:ascii="宋体" w:hAnsi="宋体"/>
                <w:sz w:val="28"/>
                <w:szCs w:val="2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ascii="宋体" w:hAnsi="宋体"/>
                <w:sz w:val="28"/>
                <w:szCs w:val="28"/>
              </w:rPr>
              <w:t>2</w:t>
            </w:r>
          </w:p>
        </w:tc>
        <w:tc>
          <w:tcPr>
            <w:tcW w:w="2073" w:type="dxa"/>
          </w:tcPr>
          <w:p>
            <w:pPr>
              <w:autoSpaceDE w:val="0"/>
              <w:autoSpaceDN w:val="0"/>
              <w:jc w:val="center"/>
              <w:rPr>
                <w:rFonts w:ascii="宋体" w:hAnsi="宋体" w:cs="宋体"/>
                <w:sz w:val="20"/>
              </w:rPr>
            </w:pPr>
            <w:r>
              <w:rPr>
                <w:rFonts w:hint="eastAsia" w:ascii="宋体" w:hAnsi="宋体"/>
                <w:sz w:val="28"/>
                <w:szCs w:val="28"/>
              </w:rPr>
              <w:t>打印机</w:t>
            </w:r>
          </w:p>
        </w:tc>
        <w:tc>
          <w:tcPr>
            <w:tcW w:w="2073" w:type="dxa"/>
          </w:tcPr>
          <w:p>
            <w:pPr>
              <w:autoSpaceDE w:val="0"/>
              <w:autoSpaceDN w:val="0"/>
              <w:jc w:val="center"/>
              <w:rPr>
                <w:rFonts w:ascii="宋体" w:hAnsi="宋体" w:cs="宋体"/>
                <w:sz w:val="20"/>
              </w:rPr>
            </w:pPr>
            <w:r>
              <w:rPr>
                <w:rFonts w:hint="eastAsia" w:ascii="宋体" w:hAnsi="宋体"/>
                <w:sz w:val="28"/>
                <w:szCs w:val="28"/>
              </w:rPr>
              <w:t>台</w:t>
            </w:r>
          </w:p>
        </w:tc>
        <w:tc>
          <w:tcPr>
            <w:tcW w:w="2075" w:type="dxa"/>
          </w:tcPr>
          <w:p>
            <w:pPr>
              <w:autoSpaceDE w:val="0"/>
              <w:autoSpaceDN w:val="0"/>
              <w:jc w:val="center"/>
              <w:rPr>
                <w:rFonts w:ascii="宋体" w:hAnsi="宋体"/>
                <w:sz w:val="28"/>
                <w:szCs w:val="28"/>
              </w:rPr>
            </w:pPr>
            <w:r>
              <w:rPr>
                <w:rFonts w:hint="eastAsia" w:ascii="宋体" w:hAnsi="宋体"/>
                <w:sz w:val="28"/>
                <w:szCs w:val="2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ascii="宋体" w:hAnsi="宋体"/>
                <w:sz w:val="28"/>
                <w:szCs w:val="28"/>
              </w:rPr>
              <w:t>3</w:t>
            </w:r>
          </w:p>
        </w:tc>
        <w:tc>
          <w:tcPr>
            <w:tcW w:w="2073" w:type="dxa"/>
          </w:tcPr>
          <w:p>
            <w:pPr>
              <w:autoSpaceDE w:val="0"/>
              <w:autoSpaceDN w:val="0"/>
              <w:jc w:val="center"/>
              <w:rPr>
                <w:rFonts w:ascii="宋体" w:hAnsi="宋体" w:cs="宋体"/>
                <w:sz w:val="20"/>
              </w:rPr>
            </w:pPr>
            <w:r>
              <w:rPr>
                <w:rFonts w:hint="eastAsia" w:ascii="宋体" w:hAnsi="宋体"/>
                <w:sz w:val="28"/>
                <w:szCs w:val="28"/>
              </w:rPr>
              <w:t>投影仪</w:t>
            </w:r>
          </w:p>
        </w:tc>
        <w:tc>
          <w:tcPr>
            <w:tcW w:w="2073" w:type="dxa"/>
          </w:tcPr>
          <w:p>
            <w:pPr>
              <w:autoSpaceDE w:val="0"/>
              <w:autoSpaceDN w:val="0"/>
              <w:jc w:val="center"/>
              <w:rPr>
                <w:rFonts w:ascii="宋体" w:hAnsi="宋体" w:cs="宋体"/>
                <w:sz w:val="20"/>
              </w:rPr>
            </w:pPr>
            <w:r>
              <w:rPr>
                <w:rFonts w:hint="eastAsia" w:ascii="宋体" w:hAnsi="宋体"/>
                <w:sz w:val="28"/>
                <w:szCs w:val="28"/>
              </w:rPr>
              <w:t>台</w:t>
            </w:r>
          </w:p>
        </w:tc>
        <w:tc>
          <w:tcPr>
            <w:tcW w:w="2075" w:type="dxa"/>
          </w:tcPr>
          <w:p>
            <w:pPr>
              <w:autoSpaceDE w:val="0"/>
              <w:autoSpaceDN w:val="0"/>
              <w:jc w:val="center"/>
              <w:rPr>
                <w:rFonts w:ascii="宋体" w:hAnsi="宋体"/>
                <w:sz w:val="28"/>
                <w:szCs w:val="28"/>
              </w:rPr>
            </w:pPr>
            <w:r>
              <w:rPr>
                <w:rFonts w:hint="eastAsia" w:ascii="宋体" w:hAnsi="宋体"/>
                <w:sz w:val="28"/>
                <w:szCs w:val="2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ascii="宋体" w:hAnsi="宋体"/>
                <w:sz w:val="28"/>
                <w:szCs w:val="28"/>
              </w:rPr>
              <w:t>4</w:t>
            </w:r>
          </w:p>
        </w:tc>
        <w:tc>
          <w:tcPr>
            <w:tcW w:w="2073" w:type="dxa"/>
          </w:tcPr>
          <w:p>
            <w:pPr>
              <w:autoSpaceDE w:val="0"/>
              <w:autoSpaceDN w:val="0"/>
              <w:jc w:val="center"/>
              <w:rPr>
                <w:rFonts w:ascii="宋体" w:hAnsi="宋体" w:cs="宋体"/>
                <w:sz w:val="20"/>
              </w:rPr>
            </w:pPr>
            <w:r>
              <w:rPr>
                <w:rFonts w:hint="eastAsia" w:ascii="宋体" w:hAnsi="宋体"/>
                <w:sz w:val="28"/>
                <w:szCs w:val="28"/>
              </w:rPr>
              <w:t>熨烫机</w:t>
            </w:r>
          </w:p>
        </w:tc>
        <w:tc>
          <w:tcPr>
            <w:tcW w:w="2073" w:type="dxa"/>
          </w:tcPr>
          <w:p>
            <w:pPr>
              <w:autoSpaceDE w:val="0"/>
              <w:autoSpaceDN w:val="0"/>
              <w:jc w:val="center"/>
              <w:rPr>
                <w:rFonts w:ascii="宋体" w:hAnsi="宋体" w:cs="宋体"/>
                <w:sz w:val="20"/>
              </w:rPr>
            </w:pPr>
            <w:r>
              <w:rPr>
                <w:rFonts w:hint="eastAsia" w:ascii="宋体" w:hAnsi="宋体"/>
                <w:sz w:val="28"/>
                <w:szCs w:val="28"/>
              </w:rPr>
              <w:t>台</w:t>
            </w:r>
          </w:p>
        </w:tc>
        <w:tc>
          <w:tcPr>
            <w:tcW w:w="2075" w:type="dxa"/>
          </w:tcPr>
          <w:p>
            <w:pPr>
              <w:autoSpaceDE w:val="0"/>
              <w:autoSpaceDN w:val="0"/>
              <w:jc w:val="center"/>
              <w:rPr>
                <w:rFonts w:ascii="宋体" w:hAnsi="宋体"/>
                <w:sz w:val="28"/>
                <w:szCs w:val="28"/>
              </w:rPr>
            </w:pPr>
            <w:r>
              <w:rPr>
                <w:rFonts w:hint="eastAsia" w:ascii="宋体" w:hAnsi="宋体"/>
                <w:sz w:val="28"/>
                <w:szCs w:val="2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ascii="宋体" w:hAnsi="宋体"/>
                <w:sz w:val="28"/>
                <w:szCs w:val="28"/>
              </w:rPr>
              <w:t>5</w:t>
            </w:r>
          </w:p>
        </w:tc>
        <w:tc>
          <w:tcPr>
            <w:tcW w:w="2073" w:type="dxa"/>
          </w:tcPr>
          <w:p>
            <w:pPr>
              <w:autoSpaceDE w:val="0"/>
              <w:autoSpaceDN w:val="0"/>
              <w:jc w:val="center"/>
              <w:rPr>
                <w:rFonts w:ascii="宋体" w:hAnsi="宋体" w:cs="宋体"/>
                <w:sz w:val="20"/>
              </w:rPr>
            </w:pPr>
            <w:r>
              <w:rPr>
                <w:rFonts w:hint="eastAsia" w:ascii="宋体" w:hAnsi="宋体"/>
                <w:sz w:val="28"/>
                <w:szCs w:val="28"/>
              </w:rPr>
              <w:t>饮水机</w:t>
            </w:r>
          </w:p>
        </w:tc>
        <w:tc>
          <w:tcPr>
            <w:tcW w:w="2073" w:type="dxa"/>
          </w:tcPr>
          <w:p>
            <w:pPr>
              <w:autoSpaceDE w:val="0"/>
              <w:autoSpaceDN w:val="0"/>
              <w:jc w:val="center"/>
              <w:rPr>
                <w:rFonts w:ascii="宋体" w:hAnsi="宋体" w:cs="宋体"/>
                <w:sz w:val="20"/>
              </w:rPr>
            </w:pPr>
            <w:r>
              <w:rPr>
                <w:rFonts w:hint="eastAsia" w:ascii="宋体" w:hAnsi="宋体"/>
                <w:sz w:val="28"/>
                <w:szCs w:val="28"/>
              </w:rPr>
              <w:t>台</w:t>
            </w:r>
          </w:p>
        </w:tc>
        <w:tc>
          <w:tcPr>
            <w:tcW w:w="2075" w:type="dxa"/>
          </w:tcPr>
          <w:p>
            <w:pPr>
              <w:autoSpaceDE w:val="0"/>
              <w:autoSpaceDN w:val="0"/>
              <w:jc w:val="center"/>
              <w:rPr>
                <w:rFonts w:ascii="宋体" w:hAnsi="宋体"/>
                <w:sz w:val="28"/>
                <w:szCs w:val="28"/>
              </w:rPr>
            </w:pPr>
            <w:r>
              <w:rPr>
                <w:rFonts w:hint="eastAsia" w:ascii="宋体" w:hAnsi="宋体"/>
                <w:sz w:val="28"/>
                <w:szCs w:val="2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ascii="宋体" w:hAnsi="宋体"/>
                <w:sz w:val="28"/>
                <w:szCs w:val="28"/>
              </w:rPr>
              <w:t>6</w:t>
            </w:r>
          </w:p>
        </w:tc>
        <w:tc>
          <w:tcPr>
            <w:tcW w:w="2073" w:type="dxa"/>
          </w:tcPr>
          <w:p>
            <w:pPr>
              <w:autoSpaceDE w:val="0"/>
              <w:autoSpaceDN w:val="0"/>
              <w:jc w:val="center"/>
              <w:rPr>
                <w:rFonts w:ascii="宋体" w:hAnsi="宋体" w:cs="宋体"/>
                <w:sz w:val="20"/>
              </w:rPr>
            </w:pPr>
            <w:r>
              <w:rPr>
                <w:rFonts w:hint="eastAsia" w:ascii="宋体" w:hAnsi="宋体"/>
                <w:sz w:val="28"/>
                <w:szCs w:val="28"/>
              </w:rPr>
              <w:t>打卡机（考勤）</w:t>
            </w:r>
          </w:p>
        </w:tc>
        <w:tc>
          <w:tcPr>
            <w:tcW w:w="2073" w:type="dxa"/>
          </w:tcPr>
          <w:p>
            <w:pPr>
              <w:autoSpaceDE w:val="0"/>
              <w:autoSpaceDN w:val="0"/>
              <w:jc w:val="center"/>
              <w:rPr>
                <w:rFonts w:ascii="宋体" w:hAnsi="宋体" w:cs="宋体"/>
                <w:sz w:val="20"/>
              </w:rPr>
            </w:pPr>
            <w:r>
              <w:rPr>
                <w:rFonts w:hint="eastAsia" w:ascii="宋体" w:hAnsi="宋体"/>
                <w:sz w:val="28"/>
                <w:szCs w:val="28"/>
              </w:rPr>
              <w:t>台</w:t>
            </w:r>
          </w:p>
        </w:tc>
        <w:tc>
          <w:tcPr>
            <w:tcW w:w="2075" w:type="dxa"/>
          </w:tcPr>
          <w:p>
            <w:pPr>
              <w:autoSpaceDE w:val="0"/>
              <w:autoSpaceDN w:val="0"/>
              <w:jc w:val="center"/>
              <w:rPr>
                <w:rFonts w:ascii="宋体" w:hAnsi="宋体"/>
                <w:sz w:val="28"/>
                <w:szCs w:val="28"/>
              </w:rPr>
            </w:pPr>
            <w:r>
              <w:rPr>
                <w:rFonts w:hint="eastAsia" w:ascii="宋体" w:hAnsi="宋体"/>
                <w:sz w:val="28"/>
                <w:szCs w:val="2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3" w:type="dxa"/>
            <w:gridSpan w:val="4"/>
          </w:tcPr>
          <w:p>
            <w:pPr>
              <w:autoSpaceDE w:val="0"/>
              <w:autoSpaceDN w:val="0"/>
              <w:jc w:val="center"/>
              <w:rPr>
                <w:rFonts w:ascii="宋体" w:hAnsi="宋体"/>
                <w:sz w:val="28"/>
                <w:szCs w:val="28"/>
              </w:rPr>
            </w:pPr>
            <w:r>
              <w:rPr>
                <w:rFonts w:hint="eastAsia" w:ascii="宋体" w:hAnsi="宋体" w:cs="宋体"/>
                <w:b/>
                <w:bCs/>
                <w:sz w:val="28"/>
                <w:szCs w:val="28"/>
              </w:rPr>
              <w:t>（以上产品数量为本项目的最低要求，是采购人认为投标人保证项目质量的前提。本项目实施过程中若需增加数量或种类，所产生的费用由投标人自行承担。）</w:t>
            </w:r>
          </w:p>
        </w:tc>
      </w:tr>
    </w:tbl>
    <w:p>
      <w:pPr>
        <w:spacing w:line="360" w:lineRule="auto"/>
        <w:rPr>
          <w:rFonts w:ascii="宋体" w:hAnsi="宋体" w:cs="宋体"/>
          <w:sz w:val="28"/>
          <w:szCs w:val="28"/>
        </w:rPr>
      </w:pPr>
    </w:p>
    <w:p>
      <w:pPr>
        <w:spacing w:line="360" w:lineRule="auto"/>
        <w:rPr>
          <w:rFonts w:ascii="宋体" w:hAnsi="宋体" w:cs="宋体"/>
          <w:sz w:val="28"/>
          <w:szCs w:val="28"/>
        </w:rPr>
      </w:pPr>
      <w:r>
        <w:rPr>
          <w:rFonts w:hint="eastAsia" w:ascii="宋体" w:hAnsi="宋体" w:cs="宋体"/>
          <w:sz w:val="28"/>
          <w:szCs w:val="28"/>
        </w:rPr>
        <w:t>自备专业工具清单：</w:t>
      </w:r>
    </w:p>
    <w:tbl>
      <w:tblPr>
        <w:tblStyle w:val="49"/>
        <w:tblW w:w="8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2"/>
        <w:gridCol w:w="2073"/>
        <w:gridCol w:w="2073"/>
        <w:gridCol w:w="20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序号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产品名称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单位 </w:t>
            </w:r>
          </w:p>
        </w:tc>
        <w:tc>
          <w:tcPr>
            <w:tcW w:w="2075" w:type="dxa"/>
          </w:tcPr>
          <w:p>
            <w:pPr>
              <w:autoSpaceDE w:val="0"/>
              <w:autoSpaceDN w:val="0"/>
              <w:jc w:val="center"/>
              <w:rPr>
                <w:rFonts w:ascii="宋体" w:hAnsi="宋体" w:cs="宋体"/>
                <w:sz w:val="28"/>
                <w:szCs w:val="28"/>
              </w:rPr>
            </w:pPr>
            <w:r>
              <w:rPr>
                <w:rFonts w:hint="eastAsia" w:ascii="宋体" w:hAnsi="宋体"/>
                <w:sz w:val="28"/>
                <w:szCs w:val="28"/>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1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标准清洁服务车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台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2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柞水车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台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3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灰杆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个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4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尘推罩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个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5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尘推架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个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6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尘推杆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个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7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马桶刷及底座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套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8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地板刷(含杆）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个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9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安全警示牌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个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10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人字梯 1.5M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个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11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人字梯 2M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个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12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玻璃清洁桶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个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13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玻璃刮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把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14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双面刮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个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15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铲刀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个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16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警示绳 50M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个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17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红色消毒抹布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张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18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蓝色消毒抹布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张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19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纯白色消毒抹布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张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20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皮围腰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件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21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鞋套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箱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22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雨衣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件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2" w:type="dxa"/>
          </w:tcPr>
          <w:p>
            <w:pPr>
              <w:autoSpaceDE w:val="0"/>
              <w:autoSpaceDN w:val="0"/>
              <w:jc w:val="center"/>
              <w:rPr>
                <w:rFonts w:ascii="宋体" w:hAnsi="宋体" w:cs="宋体"/>
                <w:sz w:val="20"/>
              </w:rPr>
            </w:pPr>
            <w:r>
              <w:rPr>
                <w:rFonts w:hint="eastAsia" w:ascii="宋体" w:hAnsi="宋体" w:cs="宋体"/>
                <w:sz w:val="28"/>
                <w:szCs w:val="28"/>
              </w:rPr>
              <w:t xml:space="preserve">23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头花 </w:t>
            </w:r>
          </w:p>
        </w:tc>
        <w:tc>
          <w:tcPr>
            <w:tcW w:w="2073" w:type="dxa"/>
          </w:tcPr>
          <w:p>
            <w:pPr>
              <w:autoSpaceDE w:val="0"/>
              <w:autoSpaceDN w:val="0"/>
              <w:jc w:val="center"/>
              <w:rPr>
                <w:rFonts w:ascii="宋体" w:hAnsi="宋体" w:cs="宋体"/>
                <w:sz w:val="20"/>
              </w:rPr>
            </w:pPr>
            <w:r>
              <w:rPr>
                <w:rFonts w:hint="eastAsia" w:ascii="宋体" w:hAnsi="宋体" w:cs="宋体"/>
                <w:sz w:val="28"/>
                <w:szCs w:val="28"/>
              </w:rPr>
              <w:t xml:space="preserve">个 </w:t>
            </w:r>
          </w:p>
        </w:tc>
        <w:tc>
          <w:tcPr>
            <w:tcW w:w="2075" w:type="dxa"/>
          </w:tcPr>
          <w:p>
            <w:pPr>
              <w:autoSpaceDE w:val="0"/>
              <w:autoSpaceDN w:val="0"/>
              <w:jc w:val="center"/>
              <w:rPr>
                <w:rFonts w:ascii="宋体" w:hAnsi="宋体" w:cs="宋体"/>
                <w:sz w:val="28"/>
                <w:szCs w:val="28"/>
              </w:rPr>
            </w:pPr>
            <w:r>
              <w:rPr>
                <w:rFonts w:hint="eastAsia" w:ascii="宋体" w:hAnsi="宋体" w:cs="宋体"/>
                <w:sz w:val="28"/>
                <w:szCs w:val="2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3" w:type="dxa"/>
            <w:gridSpan w:val="4"/>
          </w:tcPr>
          <w:p>
            <w:pPr>
              <w:autoSpaceDE w:val="0"/>
              <w:autoSpaceDN w:val="0"/>
              <w:jc w:val="center"/>
              <w:rPr>
                <w:rFonts w:ascii="宋体" w:hAnsi="宋体" w:cs="宋体"/>
                <w:b/>
                <w:bCs/>
                <w:sz w:val="28"/>
                <w:szCs w:val="28"/>
              </w:rPr>
            </w:pPr>
            <w:r>
              <w:rPr>
                <w:rFonts w:hint="eastAsia" w:ascii="宋体" w:hAnsi="宋体" w:cs="宋体"/>
                <w:b/>
                <w:bCs/>
                <w:sz w:val="28"/>
                <w:szCs w:val="28"/>
              </w:rPr>
              <w:t>（以上产品数量为本项目的最低要求，是采购人认为投标人保证项目质量的前提。本项目实施过程中若需增加数量或种类，所产生的费用由投标人自行承担。）</w:t>
            </w:r>
          </w:p>
        </w:tc>
      </w:tr>
    </w:tbl>
    <w:p>
      <w:pPr>
        <w:spacing w:line="360" w:lineRule="auto"/>
        <w:rPr>
          <w:rFonts w:ascii="宋体" w:hAnsi="宋体" w:cs="宋体"/>
          <w:sz w:val="28"/>
          <w:szCs w:val="28"/>
        </w:rPr>
      </w:pPr>
    </w:p>
    <w:p>
      <w:pPr>
        <w:spacing w:line="360" w:lineRule="auto"/>
        <w:rPr>
          <w:rFonts w:ascii="宋体" w:hAnsi="宋体" w:cs="宋体"/>
          <w:sz w:val="28"/>
          <w:szCs w:val="28"/>
        </w:rPr>
      </w:pPr>
      <w:r>
        <w:rPr>
          <w:rFonts w:hint="eastAsia" w:ascii="宋体" w:hAnsi="宋体" w:cs="宋体"/>
          <w:sz w:val="28"/>
          <w:szCs w:val="28"/>
        </w:rPr>
        <w:t>自备专业药剂耗材清单：</w:t>
      </w:r>
    </w:p>
    <w:p>
      <w:pPr>
        <w:spacing w:line="360" w:lineRule="auto"/>
        <w:rPr>
          <w:rFonts w:ascii="宋体" w:hAnsi="宋体" w:cs="宋体"/>
          <w:sz w:val="28"/>
          <w:szCs w:val="28"/>
        </w:rPr>
      </w:pPr>
    </w:p>
    <w:tbl>
      <w:tblPr>
        <w:tblStyle w:val="237"/>
        <w:tblW w:w="830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01"/>
        <w:gridCol w:w="3983"/>
        <w:gridCol w:w="1557"/>
        <w:gridCol w:w="156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15" w:hRule="atLeast"/>
        </w:trPr>
        <w:tc>
          <w:tcPr>
            <w:tcW w:w="1201" w:type="dxa"/>
            <w:tcBorders>
              <w:top w:val="single" w:color="auto" w:sz="4" w:space="0"/>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序号</w:t>
            </w:r>
          </w:p>
        </w:tc>
        <w:tc>
          <w:tcPr>
            <w:tcW w:w="3983" w:type="dxa"/>
            <w:tcBorders>
              <w:top w:val="single" w:color="auto" w:sz="4" w:space="0"/>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产品名称</w:t>
            </w:r>
          </w:p>
        </w:tc>
        <w:tc>
          <w:tcPr>
            <w:tcW w:w="1557" w:type="dxa"/>
            <w:tcBorders>
              <w:top w:val="single" w:color="auto" w:sz="4" w:space="0"/>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单位</w:t>
            </w:r>
          </w:p>
        </w:tc>
        <w:tc>
          <w:tcPr>
            <w:tcW w:w="1561" w:type="dxa"/>
            <w:tcBorders>
              <w:top w:val="single" w:color="auto" w:sz="4" w:space="0"/>
            </w:tcBorders>
          </w:tcPr>
          <w:p>
            <w:pPr>
              <w:autoSpaceDE w:val="0"/>
              <w:autoSpaceDN w:val="0"/>
              <w:spacing w:line="360" w:lineRule="auto"/>
              <w:jc w:val="center"/>
              <w:rPr>
                <w:rFonts w:ascii="宋体" w:hAnsi="宋体" w:cs="宋体"/>
                <w:sz w:val="28"/>
                <w:szCs w:val="28"/>
                <w:lang w:eastAsia="en-US"/>
              </w:rPr>
            </w:pPr>
            <w:r>
              <w:rPr>
                <w:rFonts w:hint="eastAsia" w:ascii="宋体" w:hAnsi="宋体"/>
                <w:sz w:val="28"/>
                <w:szCs w:val="28"/>
                <w:lang w:eastAsia="en-US"/>
              </w:rPr>
              <w:t>数量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15" w:hRule="atLeast"/>
        </w:trPr>
        <w:tc>
          <w:tcPr>
            <w:tcW w:w="1201" w:type="dxa"/>
            <w:tcBorders>
              <w:top w:val="nil"/>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1 </w:t>
            </w:r>
          </w:p>
        </w:tc>
        <w:tc>
          <w:tcPr>
            <w:tcW w:w="3983" w:type="dxa"/>
            <w:tcBorders>
              <w:top w:val="nil"/>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消泡剂 </w:t>
            </w:r>
          </w:p>
        </w:tc>
        <w:tc>
          <w:tcPr>
            <w:tcW w:w="1557" w:type="dxa"/>
            <w:tcBorders>
              <w:top w:val="nil"/>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箱 </w:t>
            </w:r>
          </w:p>
        </w:tc>
        <w:tc>
          <w:tcPr>
            <w:tcW w:w="1561" w:type="dxa"/>
            <w:tcBorders>
              <w:top w:val="nil"/>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00"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2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清洁剂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箱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15"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3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全能清洁剂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箱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00"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4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玻璃清洁剂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箱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15"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5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洗衣粉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件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00"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6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肥皂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件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15"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7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香晶球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件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00"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8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灭菌消毒片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件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15"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9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清洁垫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张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00"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10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白洁布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件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15"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11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外围大扫把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个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00"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12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劳保手套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件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15"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13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劳保口罩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件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00"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14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黑大垃圾袋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个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1000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12" w:hRule="atLeast"/>
        </w:trPr>
        <w:tc>
          <w:tcPr>
            <w:tcW w:w="1201" w:type="dxa"/>
            <w:tcBorders>
              <w:bottom w:val="single" w:color="000000" w:sz="8" w:space="0"/>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15 </w:t>
            </w:r>
          </w:p>
        </w:tc>
        <w:tc>
          <w:tcPr>
            <w:tcW w:w="3983" w:type="dxa"/>
            <w:tcBorders>
              <w:bottom w:val="single" w:color="000000" w:sz="8" w:space="0"/>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黑中垃圾袋 </w:t>
            </w:r>
          </w:p>
        </w:tc>
        <w:tc>
          <w:tcPr>
            <w:tcW w:w="1557" w:type="dxa"/>
            <w:tcBorders>
              <w:bottom w:val="single" w:color="000000" w:sz="8" w:space="0"/>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个 </w:t>
            </w:r>
          </w:p>
        </w:tc>
        <w:tc>
          <w:tcPr>
            <w:tcW w:w="1561" w:type="dxa"/>
            <w:tcBorders>
              <w:bottom w:val="single" w:color="000000" w:sz="8" w:space="0"/>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1000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297" w:hRule="atLeast"/>
        </w:trPr>
        <w:tc>
          <w:tcPr>
            <w:tcW w:w="1201" w:type="dxa"/>
            <w:tcBorders>
              <w:top w:val="single" w:color="000000" w:sz="8" w:space="0"/>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16 </w:t>
            </w:r>
          </w:p>
        </w:tc>
        <w:tc>
          <w:tcPr>
            <w:tcW w:w="3983" w:type="dxa"/>
            <w:tcBorders>
              <w:top w:val="single" w:color="000000" w:sz="8" w:space="0"/>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黑小垃圾袋 </w:t>
            </w:r>
          </w:p>
        </w:tc>
        <w:tc>
          <w:tcPr>
            <w:tcW w:w="1557" w:type="dxa"/>
            <w:tcBorders>
              <w:top w:val="single" w:color="000000" w:sz="8" w:space="0"/>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个 </w:t>
            </w:r>
          </w:p>
        </w:tc>
        <w:tc>
          <w:tcPr>
            <w:tcW w:w="1561" w:type="dxa"/>
            <w:tcBorders>
              <w:top w:val="single" w:color="000000" w:sz="8" w:space="0"/>
            </w:tcBorders>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1000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15"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17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白大垃圾袋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个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1000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00" w:hRule="atLeast"/>
        </w:trPr>
        <w:tc>
          <w:tcPr>
            <w:tcW w:w="120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18 </w:t>
            </w:r>
          </w:p>
        </w:tc>
        <w:tc>
          <w:tcPr>
            <w:tcW w:w="3983"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白小垃圾袋 </w:t>
            </w:r>
          </w:p>
        </w:tc>
        <w:tc>
          <w:tcPr>
            <w:tcW w:w="1557"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 xml:space="preserve">个 </w:t>
            </w:r>
          </w:p>
        </w:tc>
        <w:tc>
          <w:tcPr>
            <w:tcW w:w="1561" w:type="dxa"/>
          </w:tcPr>
          <w:p>
            <w:pPr>
              <w:autoSpaceDE w:val="0"/>
              <w:autoSpaceDN w:val="0"/>
              <w:spacing w:line="360" w:lineRule="auto"/>
              <w:jc w:val="center"/>
              <w:rPr>
                <w:rFonts w:ascii="宋体" w:hAnsi="宋体" w:cs="宋体"/>
                <w:sz w:val="28"/>
                <w:szCs w:val="28"/>
                <w:lang w:eastAsia="en-US"/>
              </w:rPr>
            </w:pPr>
            <w:r>
              <w:rPr>
                <w:rFonts w:hint="eastAsia" w:ascii="宋体" w:hAnsi="宋体" w:cs="宋体"/>
                <w:sz w:val="28"/>
                <w:szCs w:val="28"/>
                <w:lang w:eastAsia="en-US"/>
              </w:rPr>
              <w:t>1000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00" w:hRule="atLeast"/>
        </w:trPr>
        <w:tc>
          <w:tcPr>
            <w:tcW w:w="8302" w:type="dxa"/>
            <w:gridSpan w:val="4"/>
          </w:tcPr>
          <w:p>
            <w:pPr>
              <w:autoSpaceDE w:val="0"/>
              <w:autoSpaceDN w:val="0"/>
              <w:spacing w:line="360" w:lineRule="auto"/>
              <w:jc w:val="center"/>
              <w:rPr>
                <w:rFonts w:ascii="宋体" w:hAnsi="宋体" w:cs="宋体"/>
                <w:sz w:val="28"/>
                <w:szCs w:val="28"/>
                <w:lang w:eastAsia="en-US"/>
              </w:rPr>
            </w:pPr>
            <w:r>
              <w:rPr>
                <w:rFonts w:hint="eastAsia" w:ascii="宋体" w:hAnsi="宋体" w:cs="宋体"/>
                <w:b/>
                <w:bCs/>
                <w:sz w:val="28"/>
                <w:szCs w:val="28"/>
                <w:lang w:eastAsia="en-US"/>
              </w:rPr>
              <w:t>（以上产品数量为本项目的最低要求，是采购人认为投标人保证项目质量的前提。本项目实施过程中若需增加数量或种类，所产生的费用由投标人自行承担。）</w:t>
            </w:r>
          </w:p>
        </w:tc>
      </w:tr>
    </w:tbl>
    <w:p/>
    <w:p>
      <w:pPr>
        <w:pStyle w:val="2"/>
      </w:pPr>
    </w:p>
    <w:p/>
    <w:p>
      <w:pPr>
        <w:pStyle w:val="2"/>
      </w:pPr>
    </w:p>
    <w:p/>
    <w:p>
      <w:pPr>
        <w:pStyle w:val="2"/>
      </w:pPr>
    </w:p>
    <w:p>
      <w:pPr>
        <w:pStyle w:val="6"/>
      </w:pPr>
      <w:r>
        <w:rPr>
          <w:rFonts w:hint="eastAsia"/>
        </w:rPr>
        <w:t>项目管理要求</w:t>
      </w:r>
    </w:p>
    <w:p>
      <w:pPr>
        <w:pStyle w:val="84"/>
        <w:numPr>
          <w:ilvl w:val="0"/>
          <w:numId w:val="43"/>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 xml:space="preserve">投标人应严格遵守国家有关的法律、法规及行业标准。 </w:t>
      </w:r>
    </w:p>
    <w:p>
      <w:pPr>
        <w:pStyle w:val="84"/>
        <w:numPr>
          <w:ilvl w:val="0"/>
          <w:numId w:val="43"/>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投标人需具有相关的标准化操作程序、完善的人员培训体系和安全质量控制体系，并能严格按照实施，由专人负责检查监督并记录，确保项目安全、高效、有序进行。</w:t>
      </w:r>
    </w:p>
    <w:p>
      <w:pPr>
        <w:pStyle w:val="84"/>
        <w:numPr>
          <w:ilvl w:val="0"/>
          <w:numId w:val="43"/>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★投标人须为本项目拟派的所有服务人员提供100%培训考核合格上岗。</w:t>
      </w:r>
      <w:r>
        <w:rPr>
          <w:rFonts w:hint="eastAsia" w:ascii="宋体" w:hAnsi="宋体" w:eastAsia="宋体" w:cs="宋体"/>
          <w:b/>
          <w:bCs/>
          <w:sz w:val="28"/>
          <w:szCs w:val="28"/>
        </w:rPr>
        <w:t>（提供承诺函）</w:t>
      </w:r>
    </w:p>
    <w:p>
      <w:pPr>
        <w:pStyle w:val="84"/>
        <w:numPr>
          <w:ilvl w:val="0"/>
          <w:numId w:val="43"/>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 xml:space="preserve">为提高医院后勤智慧化服务水平，实现智慧物业服务管理，运用信息化平台，透明工作标准，建立线上考核机制，规避操作风险，实时质量监管。包括但不限于保洁、运送服务质量管理、人员管理、应急管理等在线智慧功能；具有可追踪数据汇总分析功能。 </w:t>
      </w:r>
    </w:p>
    <w:p>
      <w:pPr>
        <w:pStyle w:val="84"/>
        <w:numPr>
          <w:ilvl w:val="0"/>
          <w:numId w:val="43"/>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 xml:space="preserve">投标人提供的信息管理系统要符合医院实际情况并可接入医院现有的系统。对接方式包括单点登录+统一鉴权，用户登陆后勤平台后，可以通过平台门户经过统一鉴权，直接进入并使用后勤业务系统，无需二次登录。 </w:t>
      </w:r>
    </w:p>
    <w:p>
      <w:pPr>
        <w:pStyle w:val="84"/>
        <w:numPr>
          <w:ilvl w:val="0"/>
          <w:numId w:val="43"/>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投标人有责任配合医院接受上级领导部门的监督、检查，提供必须的资料。</w:t>
      </w:r>
    </w:p>
    <w:p/>
    <w:p>
      <w:pPr>
        <w:pStyle w:val="2"/>
      </w:pPr>
    </w:p>
    <w:p>
      <w:pPr>
        <w:pStyle w:val="6"/>
      </w:pPr>
      <w:r>
        <w:rPr>
          <w:rFonts w:hint="eastAsia"/>
        </w:rPr>
        <w:t>提交的投标服务方案要求</w:t>
      </w:r>
    </w:p>
    <w:p>
      <w:pPr>
        <w:pStyle w:val="84"/>
        <w:numPr>
          <w:ilvl w:val="0"/>
          <w:numId w:val="44"/>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 xml:space="preserve">投标人应根据招标文件的要求、现场情况以及自身经验提出具有针对性的日常保洁计划、服务方案措施及突发情况的应急方案。 </w:t>
      </w:r>
    </w:p>
    <w:p>
      <w:pPr>
        <w:pStyle w:val="84"/>
        <w:numPr>
          <w:ilvl w:val="0"/>
          <w:numId w:val="44"/>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 xml:space="preserve">投标人要在投标文件中详细说明项目组织结构图、日常保洁计划（年、季、月、周）实施方案、实施标准与流程、质量保证措施以及达到的目标等内容，并提出服务的设想及建议。特别是针对本医院服务保障方案、措施要详细、具体，有较高的可操作性。 </w:t>
      </w:r>
    </w:p>
    <w:p>
      <w:pPr>
        <w:pStyle w:val="84"/>
        <w:numPr>
          <w:ilvl w:val="0"/>
          <w:numId w:val="44"/>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 xml:space="preserve">投标人按照划定的工作范围、工作内容及管理目标成立相关机构，制定相应工作流程、每周工作计划、工作制度、监督考核办法. </w:t>
      </w:r>
    </w:p>
    <w:p>
      <w:pPr>
        <w:pStyle w:val="84"/>
        <w:numPr>
          <w:ilvl w:val="0"/>
          <w:numId w:val="44"/>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 xml:space="preserve">投标人需合理安排人员，科学管理，严格要求，达标运行。 </w:t>
      </w:r>
    </w:p>
    <w:p>
      <w:pPr>
        <w:pStyle w:val="84"/>
        <w:numPr>
          <w:ilvl w:val="0"/>
          <w:numId w:val="44"/>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 xml:space="preserve">投标人需提供各岗位人员配备方案及管理人员的工作范围、岗位职责、工作标准、考核标准及实施方案。 </w:t>
      </w:r>
    </w:p>
    <w:p>
      <w:pPr>
        <w:pStyle w:val="84"/>
        <w:numPr>
          <w:ilvl w:val="0"/>
          <w:numId w:val="44"/>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 xml:space="preserve">投标人需提供在本院服务人员详细工作班次，各时间段工作内容。 </w:t>
      </w:r>
    </w:p>
    <w:p>
      <w:pPr>
        <w:pStyle w:val="84"/>
        <w:numPr>
          <w:ilvl w:val="0"/>
          <w:numId w:val="44"/>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 xml:space="preserve">★投标人需提供项目所需的设备、工具、物料等清单明细； </w:t>
      </w:r>
    </w:p>
    <w:p>
      <w:pPr>
        <w:pStyle w:val="84"/>
        <w:numPr>
          <w:ilvl w:val="0"/>
          <w:numId w:val="44"/>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 xml:space="preserve">投标人需提供各种突发应急预案。 </w:t>
      </w:r>
    </w:p>
    <w:p>
      <w:pPr>
        <w:pStyle w:val="84"/>
        <w:numPr>
          <w:ilvl w:val="0"/>
          <w:numId w:val="44"/>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 xml:space="preserve">投标人要教育员工不得泄露、倒卖逝者家属信息。 </w:t>
      </w:r>
    </w:p>
    <w:p>
      <w:pPr>
        <w:pStyle w:val="84"/>
        <w:numPr>
          <w:ilvl w:val="0"/>
          <w:numId w:val="44"/>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投标人不得参与、介绍、推荐殡仪服务。</w:t>
      </w:r>
    </w:p>
    <w:p/>
    <w:p/>
    <w:p>
      <w:pPr>
        <w:pStyle w:val="2"/>
      </w:pPr>
    </w:p>
    <w:p>
      <w:pPr>
        <w:pStyle w:val="6"/>
      </w:pPr>
      <w:r>
        <w:rPr>
          <w:rFonts w:hint="eastAsia"/>
        </w:rPr>
        <w:t>其他要求</w:t>
      </w:r>
    </w:p>
    <w:p>
      <w:pPr>
        <w:pStyle w:val="84"/>
        <w:numPr>
          <w:ilvl w:val="0"/>
          <w:numId w:val="45"/>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投标人应配合采购人的工作需要，响应采购人的服务标准，听从采购人的工作安排，必要时根据医院发展情况经双方协商对岗位进行调配、减少或增添符合岗位资质的物业服务人员。物业服务费按实际需要（减少或增添）的各岗位人数及岗位人员综合报价、物业服务人员配置到岗时间据实支付物业服务费。</w:t>
      </w:r>
    </w:p>
    <w:p>
      <w:pPr>
        <w:pStyle w:val="84"/>
        <w:numPr>
          <w:ilvl w:val="0"/>
          <w:numId w:val="45"/>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投标人应充分了解医院服务相关要求，如出现因投标人管理不规范或员工疏忽不按操作流程操作出现的职业暴露等问题，所需费用及责任均由投标人自行承担。</w:t>
      </w:r>
    </w:p>
    <w:p>
      <w:pPr>
        <w:pStyle w:val="84"/>
        <w:numPr>
          <w:ilvl w:val="0"/>
          <w:numId w:val="45"/>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投标人中标后应做好与原有物业公司的交接工作，制定详细的交接计划（含时间节点、人员配置、岗前培训、物资准备、工具配备，移交过程中的突发应急处置方案)，完成顺利交接工作。特殊科室人员配置应根据使用科室实际需求配置男女及年龄要求，在项目入场前应做好物业服务人员的培训工作。</w:t>
      </w:r>
    </w:p>
    <w:p>
      <w:pPr>
        <w:pStyle w:val="84"/>
        <w:numPr>
          <w:ilvl w:val="0"/>
          <w:numId w:val="45"/>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投标人中标后应接受采购人的监督和考核，对外公布投诉电话，认真及时处理投诉意见和建议，将处理结果书面上报采购人主管部门和及时反馈给投诉者。</w:t>
      </w:r>
    </w:p>
    <w:p>
      <w:pPr>
        <w:pStyle w:val="84"/>
        <w:numPr>
          <w:ilvl w:val="0"/>
          <w:numId w:val="45"/>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为规范员工关系管理、维护职工的合法权益、稳定职工就业，投标人需成立工会组织。</w:t>
      </w:r>
    </w:p>
    <w:p>
      <w:pPr>
        <w:pStyle w:val="84"/>
        <w:numPr>
          <w:ilvl w:val="0"/>
          <w:numId w:val="45"/>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投标人中标后需积极配合医院的各类重大活动、接待考察、医院等级创建及评审。</w:t>
      </w:r>
    </w:p>
    <w:p>
      <w:pPr>
        <w:pStyle w:val="84"/>
        <w:numPr>
          <w:ilvl w:val="0"/>
          <w:numId w:val="45"/>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投标人应在企业内部建立规范的体系文件，对现场服务质量管理、服务环境管理、人员职业健康安全管理、医护病患人员安全管理有各类控制措施及作业文件，以规范现场服务管理。</w:t>
      </w:r>
    </w:p>
    <w:p>
      <w:pPr>
        <w:pStyle w:val="84"/>
        <w:numPr>
          <w:ilvl w:val="0"/>
          <w:numId w:val="45"/>
        </w:numPr>
        <w:spacing w:line="360" w:lineRule="auto"/>
        <w:ind w:left="120" w:leftChars="57" w:firstLineChars="0"/>
        <w:rPr>
          <w:rFonts w:ascii="宋体" w:hAnsi="宋体" w:eastAsia="宋体" w:cs="宋体"/>
          <w:sz w:val="28"/>
          <w:szCs w:val="28"/>
        </w:rPr>
      </w:pPr>
      <w:r>
        <w:rPr>
          <w:rFonts w:hint="eastAsia" w:ascii="宋体" w:hAnsi="宋体" w:eastAsia="宋体" w:cs="宋体"/>
          <w:sz w:val="28"/>
          <w:szCs w:val="28"/>
        </w:rPr>
        <w:t>本招标文件中标注“★”的条款为本次招标采购项目的实质性要求，投标人必须全部响应，明确要求投标人提供承诺函或者相关证明材料的，投标人应提供，否则视为无效投标。</w:t>
      </w:r>
    </w:p>
    <w:p/>
    <w:p/>
    <w:p>
      <w:pPr>
        <w:pStyle w:val="2"/>
      </w:pPr>
    </w:p>
    <w:p/>
    <w:p>
      <w:pPr>
        <w:pStyle w:val="2"/>
      </w:pPr>
    </w:p>
    <w:p/>
    <w:p>
      <w:pPr>
        <w:pStyle w:val="2"/>
      </w:pPr>
    </w:p>
    <w:p/>
    <w:p>
      <w:pPr>
        <w:pStyle w:val="2"/>
      </w:pPr>
    </w:p>
    <w:p/>
    <w:p>
      <w:pPr>
        <w:pStyle w:val="2"/>
      </w:pPr>
    </w:p>
    <w:p>
      <w:pPr>
        <w:pStyle w:val="2"/>
        <w:rPr>
          <w:rFonts w:hint="eastAsia"/>
        </w:rPr>
      </w:pPr>
    </w:p>
    <w:p>
      <w:pPr>
        <w:pStyle w:val="4"/>
        <w:numPr>
          <w:ilvl w:val="1"/>
          <w:numId w:val="4"/>
        </w:numPr>
        <w:tabs>
          <w:tab w:val="left" w:pos="0"/>
          <w:tab w:val="left" w:pos="426"/>
          <w:tab w:val="left" w:pos="576"/>
          <w:tab w:val="left" w:pos="786"/>
        </w:tabs>
        <w:spacing w:before="0" w:after="0" w:line="560" w:lineRule="exact"/>
        <w:ind w:left="0" w:firstLine="0"/>
        <w:jc w:val="both"/>
        <w:rPr>
          <w:color w:val="000000" w:themeColor="text1"/>
          <w14:textFill>
            <w14:solidFill>
              <w14:schemeClr w14:val="tx1"/>
            </w14:solidFill>
          </w14:textFill>
        </w:rPr>
      </w:pPr>
      <w:bookmarkStart w:id="268" w:name="_Toc28344"/>
      <w:r>
        <w:rPr>
          <w:rFonts w:hint="eastAsia"/>
          <w:color w:val="000000" w:themeColor="text1"/>
          <w14:textFill>
            <w14:solidFill>
              <w14:schemeClr w14:val="tx1"/>
            </w14:solidFill>
          </w14:textFill>
        </w:rPr>
        <w:t>商务要求</w:t>
      </w:r>
      <w:bookmarkEnd w:id="259"/>
      <w:bookmarkEnd w:id="260"/>
      <w:bookmarkEnd w:id="261"/>
      <w:bookmarkEnd w:id="262"/>
      <w:bookmarkEnd w:id="263"/>
      <w:bookmarkEnd w:id="264"/>
      <w:bookmarkEnd w:id="265"/>
      <w:bookmarkEnd w:id="266"/>
      <w:bookmarkEnd w:id="267"/>
      <w:bookmarkEnd w:id="268"/>
    </w:p>
    <w:p>
      <w:pPr>
        <w:pStyle w:val="5"/>
        <w:numPr>
          <w:ilvl w:val="2"/>
          <w:numId w:val="4"/>
        </w:numPr>
        <w:spacing w:after="200" w:line="56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服务地点</w:t>
      </w:r>
    </w:p>
    <w:p>
      <w:pPr>
        <w:spacing w:line="360" w:lineRule="auto"/>
        <w:rPr>
          <w:rFonts w:ascii="宋体" w:hAnsi="宋体" w:cs="宋体"/>
          <w:sz w:val="28"/>
          <w:szCs w:val="28"/>
        </w:rPr>
      </w:pPr>
      <w:r>
        <w:rPr>
          <w:rFonts w:hint="eastAsia" w:ascii="宋体" w:hAnsi="宋体" w:cs="宋体"/>
          <w:sz w:val="28"/>
          <w:szCs w:val="28"/>
        </w:rPr>
        <w:t>成都市新津区人民医院。</w:t>
      </w:r>
    </w:p>
    <w:p>
      <w:pPr>
        <w:pStyle w:val="5"/>
        <w:numPr>
          <w:ilvl w:val="2"/>
          <w:numId w:val="4"/>
        </w:numPr>
        <w:spacing w:after="200" w:line="560" w:lineRule="exact"/>
        <w:rPr>
          <w:rFonts w:cstheme="minorBidi"/>
          <w:bCs w:val="0"/>
          <w:color w:val="000000" w:themeColor="text1"/>
          <w:kern w:val="2"/>
          <w:lang w:val="zh-CN"/>
          <w14:textFill>
            <w14:solidFill>
              <w14:schemeClr w14:val="tx1"/>
            </w14:solidFill>
          </w14:textFill>
        </w:rPr>
      </w:pPr>
      <w:r>
        <w:rPr>
          <w:rFonts w:hint="eastAsia"/>
          <w:color w:val="000000" w:themeColor="text1"/>
          <w14:textFill>
            <w14:solidFill>
              <w14:schemeClr w14:val="tx1"/>
            </w14:solidFill>
          </w14:textFill>
        </w:rPr>
        <w:t>服务期限</w:t>
      </w:r>
    </w:p>
    <w:p>
      <w:pPr>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服务期限为3年，合同一年一签。经采购人年度考核物业服务合格，双方同意，方可续签下一年度合同。若不合格，则不续签下一年合同。</w:t>
      </w:r>
    </w:p>
    <w:p>
      <w:pPr>
        <w:pStyle w:val="5"/>
        <w:numPr>
          <w:ilvl w:val="2"/>
          <w:numId w:val="4"/>
        </w:numPr>
        <w:spacing w:after="200" w:line="56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考核标准及办法</w:t>
      </w:r>
    </w:p>
    <w:p>
      <w:pPr>
        <w:spacing w:line="360" w:lineRule="auto"/>
        <w:ind w:firstLine="280" w:firstLineChars="100"/>
        <w:rPr>
          <w:rFonts w:ascii="宋体" w:hAnsi="宋体" w:cs="宋体"/>
          <w:sz w:val="28"/>
          <w:szCs w:val="28"/>
        </w:rPr>
      </w:pPr>
      <w:r>
        <w:rPr>
          <w:rFonts w:hint="eastAsia" w:ascii="宋体" w:hAnsi="宋体" w:cs="宋体"/>
          <w:sz w:val="28"/>
          <w:szCs w:val="28"/>
        </w:rPr>
        <w:t xml:space="preserve">为提高物业管理服务质量，提高病人和医护人员满意度现制定月考核办法如下： </w:t>
      </w:r>
    </w:p>
    <w:p>
      <w:pPr>
        <w:spacing w:line="360" w:lineRule="auto"/>
        <w:ind w:firstLine="280" w:firstLineChars="100"/>
        <w:rPr>
          <w:rFonts w:ascii="宋体" w:hAnsi="宋体" w:cs="宋体"/>
          <w:sz w:val="28"/>
          <w:szCs w:val="28"/>
        </w:rPr>
      </w:pPr>
      <w:r>
        <w:rPr>
          <w:rFonts w:hint="eastAsia" w:ascii="宋体" w:hAnsi="宋体" w:cs="宋体"/>
          <w:sz w:val="28"/>
          <w:szCs w:val="28"/>
        </w:rPr>
        <w:t>一、考核部门组成及考核内容</w:t>
      </w:r>
    </w:p>
    <w:p>
      <w:pPr>
        <w:spacing w:line="360" w:lineRule="auto"/>
        <w:ind w:firstLine="280" w:firstLineChars="100"/>
        <w:rPr>
          <w:rFonts w:ascii="宋体" w:hAnsi="宋体" w:cs="宋体"/>
          <w:sz w:val="28"/>
          <w:szCs w:val="28"/>
        </w:rPr>
      </w:pPr>
      <w:r>
        <w:rPr>
          <w:rFonts w:hint="eastAsia" w:ascii="宋体" w:hAnsi="宋体" w:cs="宋体"/>
          <w:sz w:val="28"/>
          <w:szCs w:val="28"/>
        </w:rPr>
        <w:t>第一层由临床科室、特殊科室负责人、相关职能科室负责人对卫生保洁和垃圾清运服务、中央运送服务内容进行每月考核。</w:t>
      </w:r>
    </w:p>
    <w:p>
      <w:pPr>
        <w:spacing w:line="360" w:lineRule="auto"/>
        <w:ind w:firstLine="280" w:firstLineChars="100"/>
        <w:rPr>
          <w:rFonts w:ascii="宋体" w:hAnsi="宋体" w:cs="宋体"/>
          <w:sz w:val="28"/>
          <w:szCs w:val="28"/>
        </w:rPr>
      </w:pPr>
      <w:r>
        <w:rPr>
          <w:rFonts w:hint="eastAsia" w:ascii="宋体" w:hAnsi="宋体" w:cs="宋体"/>
          <w:sz w:val="28"/>
          <w:szCs w:val="28"/>
        </w:rPr>
        <w:t>第二层由医院院感科对院感环境清洁卫生内容进行每月考核。</w:t>
      </w:r>
    </w:p>
    <w:p>
      <w:pPr>
        <w:spacing w:line="360" w:lineRule="auto"/>
        <w:ind w:firstLine="280" w:firstLineChars="100"/>
        <w:rPr>
          <w:rFonts w:ascii="宋体" w:hAnsi="宋体" w:cs="宋体"/>
          <w:sz w:val="28"/>
          <w:szCs w:val="28"/>
        </w:rPr>
      </w:pPr>
      <w:r>
        <w:rPr>
          <w:rFonts w:hint="eastAsia" w:ascii="宋体" w:hAnsi="宋体" w:cs="宋体"/>
          <w:sz w:val="28"/>
          <w:szCs w:val="28"/>
        </w:rPr>
        <w:t>第三层由住院病人及家属对新津区人民医院病人满意度调查表内容进行每月考核。</w:t>
      </w:r>
    </w:p>
    <w:p>
      <w:pPr>
        <w:spacing w:line="360" w:lineRule="auto"/>
        <w:ind w:firstLine="280" w:firstLineChars="100"/>
        <w:rPr>
          <w:rFonts w:ascii="宋体" w:hAnsi="宋体" w:cs="宋体"/>
          <w:sz w:val="28"/>
          <w:szCs w:val="28"/>
        </w:rPr>
      </w:pPr>
      <w:r>
        <w:rPr>
          <w:rFonts w:hint="eastAsia" w:ascii="宋体" w:hAnsi="宋体" w:cs="宋体"/>
          <w:sz w:val="28"/>
          <w:szCs w:val="28"/>
        </w:rPr>
        <w:t>二、月考核评分标准</w:t>
      </w:r>
    </w:p>
    <w:p>
      <w:pPr>
        <w:spacing w:line="360" w:lineRule="auto"/>
        <w:ind w:firstLine="280" w:firstLineChars="100"/>
        <w:rPr>
          <w:rFonts w:ascii="宋体" w:hAnsi="宋体" w:cs="宋体"/>
          <w:sz w:val="28"/>
          <w:szCs w:val="28"/>
        </w:rPr>
      </w:pPr>
      <w:r>
        <w:rPr>
          <w:rFonts w:hint="eastAsia" w:ascii="宋体" w:hAnsi="宋体" w:cs="宋体"/>
          <w:sz w:val="28"/>
          <w:szCs w:val="28"/>
        </w:rPr>
        <w:t>考核分值按百分进行计算，卫生保洁和垃圾清运服务考核标准占25%；中央运送服务考核标准占25%；院感环境清洁卫生质量考核标准占25%；病人满意度调查服务考核标准占25%；五个部份分值相加的总和为该月的最终考核得分，根据考核得分等级进行支付物业服务费。</w:t>
      </w:r>
    </w:p>
    <w:p>
      <w:pPr>
        <w:spacing w:line="360" w:lineRule="auto"/>
        <w:ind w:firstLine="280" w:firstLineChars="100"/>
        <w:rPr>
          <w:rFonts w:ascii="宋体" w:hAnsi="宋体" w:cs="宋体"/>
          <w:sz w:val="28"/>
          <w:szCs w:val="28"/>
        </w:rPr>
      </w:pPr>
      <w:r>
        <w:rPr>
          <w:rFonts w:hint="eastAsia" w:ascii="宋体" w:hAnsi="宋体" w:cs="宋体"/>
          <w:sz w:val="28"/>
          <w:szCs w:val="28"/>
        </w:rPr>
        <w:t>（一）卫生保洁和垃圾清运服务考核标准：</w:t>
      </w:r>
    </w:p>
    <w:tbl>
      <w:tblPr>
        <w:tblStyle w:val="48"/>
        <w:tblW w:w="10633" w:type="dxa"/>
        <w:jc w:val="center"/>
        <w:tblInd w:w="0" w:type="dxa"/>
        <w:tblLayout w:type="fixed"/>
        <w:tblCellMar>
          <w:top w:w="0" w:type="dxa"/>
          <w:left w:w="108" w:type="dxa"/>
          <w:bottom w:w="0" w:type="dxa"/>
          <w:right w:w="108" w:type="dxa"/>
        </w:tblCellMar>
      </w:tblPr>
      <w:tblGrid>
        <w:gridCol w:w="3263"/>
        <w:gridCol w:w="404"/>
        <w:gridCol w:w="3518"/>
        <w:gridCol w:w="1845"/>
        <w:gridCol w:w="1155"/>
        <w:gridCol w:w="448"/>
      </w:tblGrid>
      <w:tr>
        <w:tblPrEx>
          <w:tblLayout w:type="fixed"/>
          <w:tblCellMar>
            <w:top w:w="0" w:type="dxa"/>
            <w:left w:w="108" w:type="dxa"/>
            <w:bottom w:w="0" w:type="dxa"/>
            <w:right w:w="108" w:type="dxa"/>
          </w:tblCellMar>
        </w:tblPrEx>
        <w:trPr>
          <w:trHeight w:val="630" w:hRule="atLeast"/>
          <w:jc w:val="center"/>
        </w:trPr>
        <w:tc>
          <w:tcPr>
            <w:tcW w:w="10633" w:type="dxa"/>
            <w:gridSpan w:val="6"/>
            <w:tcMar>
              <w:top w:w="15" w:type="dxa"/>
              <w:left w:w="15" w:type="dxa"/>
              <w:bottom w:w="15" w:type="dxa"/>
              <w:right w:w="15" w:type="dxa"/>
            </w:tcMar>
            <w:vAlign w:val="center"/>
          </w:tcPr>
          <w:p>
            <w:pPr>
              <w:widowControl/>
              <w:spacing w:line="360" w:lineRule="auto"/>
              <w:jc w:val="center"/>
              <w:textAlignment w:val="center"/>
              <w:rPr>
                <w:rFonts w:ascii="宋体" w:hAnsi="宋体" w:cs="宋体"/>
                <w:b/>
                <w:sz w:val="28"/>
                <w:szCs w:val="28"/>
              </w:rPr>
            </w:pPr>
            <w:r>
              <w:rPr>
                <w:rFonts w:hint="eastAsia" w:ascii="宋体" w:hAnsi="宋体" w:cs="宋体"/>
                <w:b/>
                <w:kern w:val="0"/>
                <w:sz w:val="28"/>
                <w:szCs w:val="28"/>
              </w:rPr>
              <w:t>卫生保洁和垃圾清运服务考核表：（总分值25%）</w:t>
            </w:r>
          </w:p>
        </w:tc>
      </w:tr>
      <w:tr>
        <w:tblPrEx>
          <w:tblLayout w:type="fixed"/>
          <w:tblCellMar>
            <w:top w:w="0" w:type="dxa"/>
            <w:left w:w="108" w:type="dxa"/>
            <w:bottom w:w="0" w:type="dxa"/>
            <w:right w:w="108" w:type="dxa"/>
          </w:tblCellMar>
        </w:tblPrEx>
        <w:trPr>
          <w:gridAfter w:val="1"/>
          <w:wAfter w:w="448" w:type="dxa"/>
          <w:trHeight w:val="301" w:hRule="atLeast"/>
          <w:jc w:val="center"/>
        </w:trPr>
        <w:tc>
          <w:tcPr>
            <w:tcW w:w="3263" w:type="dxa"/>
            <w:tcBorders>
              <w:top w:val="single" w:color="000000" w:sz="12" w:space="0"/>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b/>
                <w:sz w:val="18"/>
                <w:szCs w:val="18"/>
              </w:rPr>
            </w:pPr>
            <w:r>
              <w:rPr>
                <w:rFonts w:hint="eastAsia" w:ascii="宋体" w:hAnsi="宋体" w:cs="宋体"/>
                <w:b/>
                <w:kern w:val="0"/>
                <w:sz w:val="18"/>
                <w:szCs w:val="18"/>
              </w:rPr>
              <w:t>考核标准</w:t>
            </w:r>
          </w:p>
        </w:tc>
        <w:tc>
          <w:tcPr>
            <w:tcW w:w="404"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b/>
                <w:sz w:val="18"/>
                <w:szCs w:val="18"/>
              </w:rPr>
            </w:pPr>
            <w:r>
              <w:rPr>
                <w:rFonts w:hint="eastAsia" w:ascii="宋体" w:hAnsi="宋体" w:cs="宋体"/>
                <w:b/>
                <w:kern w:val="0"/>
                <w:sz w:val="18"/>
                <w:szCs w:val="18"/>
              </w:rPr>
              <w:t>分值</w:t>
            </w:r>
          </w:p>
        </w:tc>
        <w:tc>
          <w:tcPr>
            <w:tcW w:w="3518"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b/>
                <w:sz w:val="18"/>
                <w:szCs w:val="18"/>
              </w:rPr>
            </w:pPr>
            <w:r>
              <w:rPr>
                <w:rFonts w:hint="eastAsia" w:ascii="宋体" w:hAnsi="宋体" w:cs="宋体"/>
                <w:b/>
                <w:kern w:val="0"/>
                <w:sz w:val="18"/>
                <w:szCs w:val="18"/>
              </w:rPr>
              <w:t xml:space="preserve">    评分标准</w:t>
            </w:r>
          </w:p>
        </w:tc>
        <w:tc>
          <w:tcPr>
            <w:tcW w:w="1845"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b/>
                <w:sz w:val="18"/>
                <w:szCs w:val="18"/>
              </w:rPr>
            </w:pPr>
            <w:r>
              <w:rPr>
                <w:rFonts w:hint="eastAsia" w:ascii="宋体" w:hAnsi="宋体" w:cs="宋体"/>
                <w:b/>
                <w:kern w:val="0"/>
                <w:sz w:val="18"/>
                <w:szCs w:val="18"/>
              </w:rPr>
              <w:t>扣分原因</w:t>
            </w:r>
          </w:p>
        </w:tc>
        <w:tc>
          <w:tcPr>
            <w:tcW w:w="1155"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b/>
                <w:sz w:val="18"/>
                <w:szCs w:val="18"/>
              </w:rPr>
            </w:pPr>
            <w:r>
              <w:rPr>
                <w:rFonts w:hint="eastAsia" w:ascii="宋体" w:hAnsi="宋体" w:cs="宋体"/>
                <w:b/>
                <w:kern w:val="0"/>
                <w:sz w:val="18"/>
                <w:szCs w:val="18"/>
              </w:rPr>
              <w:t>得分</w:t>
            </w:r>
          </w:p>
        </w:tc>
      </w:tr>
      <w:tr>
        <w:tblPrEx>
          <w:tblLayout w:type="fixed"/>
          <w:tblCellMar>
            <w:top w:w="0" w:type="dxa"/>
            <w:left w:w="108" w:type="dxa"/>
            <w:bottom w:w="0" w:type="dxa"/>
            <w:right w:w="108" w:type="dxa"/>
          </w:tblCellMar>
        </w:tblPrEx>
        <w:trPr>
          <w:gridAfter w:val="1"/>
          <w:wAfter w:w="448" w:type="dxa"/>
          <w:trHeight w:val="435" w:hRule="atLeast"/>
          <w:jc w:val="center"/>
        </w:trPr>
        <w:tc>
          <w:tcPr>
            <w:tcW w:w="10185" w:type="dxa"/>
            <w:gridSpan w:val="5"/>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b/>
                <w:sz w:val="18"/>
                <w:szCs w:val="18"/>
              </w:rPr>
            </w:pPr>
            <w:r>
              <w:rPr>
                <w:rFonts w:hint="eastAsia" w:ascii="宋体" w:hAnsi="宋体" w:cs="宋体"/>
                <w:b/>
                <w:kern w:val="0"/>
                <w:sz w:val="18"/>
                <w:szCs w:val="18"/>
              </w:rPr>
              <w:t>一、服务水平（12分）</w:t>
            </w:r>
          </w:p>
        </w:tc>
      </w:tr>
      <w:tr>
        <w:tblPrEx>
          <w:tblLayout w:type="fixed"/>
          <w:tblCellMar>
            <w:top w:w="0" w:type="dxa"/>
            <w:left w:w="108" w:type="dxa"/>
            <w:bottom w:w="0" w:type="dxa"/>
            <w:right w:w="108" w:type="dxa"/>
          </w:tblCellMar>
        </w:tblPrEx>
        <w:trPr>
          <w:gridAfter w:val="1"/>
          <w:wAfter w:w="448" w:type="dxa"/>
          <w:trHeight w:val="840" w:hRule="atLeast"/>
          <w:jc w:val="center"/>
        </w:trPr>
        <w:tc>
          <w:tcPr>
            <w:tcW w:w="3263" w:type="dxa"/>
            <w:tcBorders>
              <w:top w:val="nil"/>
              <w:left w:val="single" w:color="000000" w:sz="12" w:space="0"/>
              <w:bottom w:val="nil"/>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1</w:t>
            </w:r>
            <w:r>
              <w:rPr>
                <w:rFonts w:hint="eastAsia" w:ascii="宋体" w:hAnsi="宋体" w:cs="宋体"/>
                <w:kern w:val="0"/>
                <w:sz w:val="18"/>
                <w:szCs w:val="18"/>
                <w:lang w:val="en-US" w:eastAsia="zh-CN"/>
              </w:rPr>
              <w:t>.</w:t>
            </w:r>
            <w:r>
              <w:rPr>
                <w:rStyle w:val="238"/>
                <w:rFonts w:hint="default"/>
              </w:rPr>
              <w:t>保洁人员在保洁时间执行保洁任务到位。在规定服务时间内全体保洁人员着装统一，佩戴胸卡，</w:t>
            </w:r>
            <w:r>
              <w:rPr>
                <w:rStyle w:val="238"/>
                <w:rFonts w:hint="default"/>
                <w:szCs w:val="21"/>
              </w:rPr>
              <w:t>文明用语，</w:t>
            </w:r>
            <w:r>
              <w:rPr>
                <w:rStyle w:val="238"/>
                <w:rFonts w:hint="default"/>
              </w:rPr>
              <w:t>按切实可行的计划流程进行保洁。</w:t>
            </w:r>
          </w:p>
        </w:tc>
        <w:tc>
          <w:tcPr>
            <w:tcW w:w="404" w:type="dxa"/>
            <w:vMerge w:val="restart"/>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5分</w:t>
            </w:r>
          </w:p>
        </w:tc>
        <w:tc>
          <w:tcPr>
            <w:tcW w:w="3518" w:type="dxa"/>
            <w:vMerge w:val="restart"/>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1.</w:t>
            </w:r>
            <w:r>
              <w:rPr>
                <w:rStyle w:val="238"/>
                <w:rFonts w:hint="default"/>
              </w:rPr>
              <w:t>在规定时间内无人保洁或保洁质量不达标，发现一处扣1分；2.未按规定着装、佩戴胸卡，一次扣0.5分；3.院方人员检查发现或保洁员反映设备不足一次扣0.5分； 4.未按流程工作一次扣0.5分；5.服务态度恶劣，发生投诉一次扣1分。</w:t>
            </w:r>
          </w:p>
        </w:tc>
        <w:tc>
          <w:tcPr>
            <w:tcW w:w="1845" w:type="dxa"/>
            <w:vMerge w:val="restart"/>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vMerge w:val="restart"/>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720"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2</w:t>
            </w:r>
            <w:r>
              <w:rPr>
                <w:rFonts w:hint="eastAsia" w:ascii="宋体" w:hAnsi="宋体" w:cs="宋体"/>
                <w:kern w:val="0"/>
                <w:sz w:val="18"/>
                <w:szCs w:val="18"/>
                <w:lang w:val="en-US" w:eastAsia="zh-CN"/>
              </w:rPr>
              <w:t>.</w:t>
            </w:r>
            <w:r>
              <w:rPr>
                <w:rFonts w:hint="eastAsia" w:ascii="宋体" w:hAnsi="宋体" w:cs="宋体"/>
                <w:kern w:val="0"/>
                <w:sz w:val="18"/>
                <w:szCs w:val="18"/>
              </w:rPr>
              <w:t>保洁工作有计划流程，保洁设备、工具、用品、药剂齐全。根据医院工作性质制定工作流程。</w:t>
            </w:r>
          </w:p>
        </w:tc>
        <w:tc>
          <w:tcPr>
            <w:tcW w:w="404" w:type="dxa"/>
            <w:vMerge w:val="continue"/>
            <w:tcBorders>
              <w:top w:val="single" w:color="000000" w:sz="12" w:space="0"/>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c>
          <w:tcPr>
            <w:tcW w:w="3518" w:type="dxa"/>
            <w:vMerge w:val="continue"/>
            <w:tcBorders>
              <w:top w:val="single" w:color="000000" w:sz="12" w:space="0"/>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c>
          <w:tcPr>
            <w:tcW w:w="1845" w:type="dxa"/>
            <w:vMerge w:val="continue"/>
            <w:tcBorders>
              <w:top w:val="single" w:color="000000" w:sz="12" w:space="0"/>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c>
          <w:tcPr>
            <w:tcW w:w="1155" w:type="dxa"/>
            <w:vMerge w:val="continue"/>
            <w:tcBorders>
              <w:top w:val="single" w:color="000000" w:sz="12" w:space="0"/>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720" w:hRule="atLeast"/>
          <w:jc w:val="center"/>
        </w:trPr>
        <w:tc>
          <w:tcPr>
            <w:tcW w:w="3263" w:type="dxa"/>
            <w:tcBorders>
              <w:top w:val="nil"/>
              <w:left w:val="single" w:color="000000" w:sz="12" w:space="0"/>
              <w:bottom w:val="nil"/>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3</w:t>
            </w:r>
            <w:r>
              <w:rPr>
                <w:rStyle w:val="238"/>
                <w:rFonts w:hint="eastAsia"/>
                <w:lang w:val="en-US" w:eastAsia="zh-CN"/>
              </w:rPr>
              <w:t>.</w:t>
            </w:r>
            <w:r>
              <w:rPr>
                <w:rStyle w:val="238"/>
                <w:rFonts w:hint="default"/>
              </w:rPr>
              <w:t>每天按时完成并认真做好床单元日常卫生，并随时做好环境保洁；管辖区域内卫生死角。</w:t>
            </w:r>
          </w:p>
        </w:tc>
        <w:tc>
          <w:tcPr>
            <w:tcW w:w="404"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5分</w:t>
            </w:r>
          </w:p>
        </w:tc>
        <w:tc>
          <w:tcPr>
            <w:tcW w:w="3518"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1.床单元卫生质量不达标，</w:t>
            </w:r>
            <w:r>
              <w:rPr>
                <w:rStyle w:val="238"/>
                <w:rFonts w:hint="default"/>
              </w:rPr>
              <w:t>发现一处扣0.5分；2.未</w:t>
            </w:r>
            <w:r>
              <w:rPr>
                <w:rFonts w:hint="eastAsia" w:ascii="宋体" w:hAnsi="宋体" w:cs="宋体"/>
                <w:kern w:val="0"/>
                <w:sz w:val="18"/>
                <w:szCs w:val="18"/>
              </w:rPr>
              <w:t>使用有效含氯效消毒剂，</w:t>
            </w:r>
            <w:r>
              <w:rPr>
                <w:rStyle w:val="238"/>
                <w:rFonts w:hint="default"/>
              </w:rPr>
              <w:t>发现一处扣0.5分；3.</w:t>
            </w:r>
            <w:r>
              <w:rPr>
                <w:rFonts w:hint="eastAsia" w:ascii="宋体" w:hAnsi="宋体" w:cs="宋体"/>
                <w:kern w:val="0"/>
                <w:sz w:val="18"/>
                <w:szCs w:val="18"/>
              </w:rPr>
              <w:t>未完成终末消毒，一次扣2分。</w:t>
            </w:r>
          </w:p>
        </w:tc>
        <w:tc>
          <w:tcPr>
            <w:tcW w:w="1845"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600" w:hRule="atLeast"/>
          <w:jc w:val="center"/>
        </w:trPr>
        <w:tc>
          <w:tcPr>
            <w:tcW w:w="3263" w:type="dxa"/>
            <w:tcBorders>
              <w:top w:val="nil"/>
              <w:left w:val="single" w:color="000000" w:sz="12" w:space="0"/>
              <w:bottom w:val="nil"/>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4</w:t>
            </w:r>
            <w:r>
              <w:rPr>
                <w:rFonts w:hint="eastAsia" w:ascii="宋体" w:hAnsi="宋体" w:cs="宋体"/>
                <w:kern w:val="0"/>
                <w:sz w:val="18"/>
                <w:szCs w:val="18"/>
                <w:lang w:val="en-US" w:eastAsia="zh-CN"/>
              </w:rPr>
              <w:t>.</w:t>
            </w:r>
            <w:r>
              <w:rPr>
                <w:rFonts w:hint="eastAsia" w:ascii="宋体" w:hAnsi="宋体" w:cs="宋体"/>
                <w:kern w:val="0"/>
                <w:sz w:val="18"/>
                <w:szCs w:val="18"/>
              </w:rPr>
              <w:t>床单元卫生应使用有效含氯效消毒剂消毒后的毛巾擦拭。做到一桌一巾用后再消毒。</w:t>
            </w:r>
          </w:p>
        </w:tc>
        <w:tc>
          <w:tcPr>
            <w:tcW w:w="404" w:type="dxa"/>
            <w:vMerge w:val="continue"/>
            <w:tcBorders>
              <w:top w:val="nil"/>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c>
          <w:tcPr>
            <w:tcW w:w="3518" w:type="dxa"/>
            <w:vMerge w:val="continue"/>
            <w:tcBorders>
              <w:top w:val="nil"/>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c>
          <w:tcPr>
            <w:tcW w:w="1845" w:type="dxa"/>
            <w:vMerge w:val="continue"/>
            <w:tcBorders>
              <w:top w:val="nil"/>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c>
          <w:tcPr>
            <w:tcW w:w="1155" w:type="dxa"/>
            <w:vMerge w:val="continue"/>
            <w:tcBorders>
              <w:top w:val="nil"/>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810"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5</w:t>
            </w:r>
            <w:r>
              <w:rPr>
                <w:rFonts w:hint="eastAsia" w:ascii="宋体" w:hAnsi="宋体" w:cs="宋体"/>
                <w:kern w:val="0"/>
                <w:sz w:val="18"/>
                <w:szCs w:val="18"/>
                <w:lang w:val="en-US" w:eastAsia="zh-CN"/>
              </w:rPr>
              <w:t>.</w:t>
            </w:r>
            <w:r>
              <w:rPr>
                <w:rFonts w:hint="eastAsia" w:ascii="宋体" w:hAnsi="宋体" w:cs="宋体"/>
                <w:kern w:val="0"/>
                <w:sz w:val="18"/>
                <w:szCs w:val="18"/>
              </w:rPr>
              <w:t>对出院、转科病人及时完成终末消毒，抹布、拖帕专区专用，用后消毒，分区晾晒；处置间清洁整洁、无积水、无杂物废物堆砌。</w:t>
            </w:r>
          </w:p>
        </w:tc>
        <w:tc>
          <w:tcPr>
            <w:tcW w:w="404" w:type="dxa"/>
            <w:vMerge w:val="continue"/>
            <w:tcBorders>
              <w:top w:val="nil"/>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c>
          <w:tcPr>
            <w:tcW w:w="3518" w:type="dxa"/>
            <w:vMerge w:val="continue"/>
            <w:tcBorders>
              <w:top w:val="nil"/>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c>
          <w:tcPr>
            <w:tcW w:w="1845" w:type="dxa"/>
            <w:vMerge w:val="continue"/>
            <w:tcBorders>
              <w:top w:val="nil"/>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c>
          <w:tcPr>
            <w:tcW w:w="1155" w:type="dxa"/>
            <w:vMerge w:val="continue"/>
            <w:tcBorders>
              <w:top w:val="nil"/>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1275"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textAlignment w:val="center"/>
              <w:rPr>
                <w:rFonts w:ascii="宋体" w:hAnsi="宋体" w:cs="宋体"/>
                <w:sz w:val="18"/>
                <w:szCs w:val="18"/>
              </w:rPr>
            </w:pPr>
            <w:r>
              <w:rPr>
                <w:rFonts w:hint="eastAsia" w:ascii="宋体" w:hAnsi="宋体" w:cs="宋体"/>
                <w:kern w:val="0"/>
                <w:sz w:val="18"/>
                <w:szCs w:val="18"/>
              </w:rPr>
              <w:t>6</w:t>
            </w:r>
            <w:r>
              <w:rPr>
                <w:rFonts w:hint="eastAsia" w:ascii="宋体" w:hAnsi="宋体" w:cs="宋体"/>
                <w:kern w:val="0"/>
                <w:sz w:val="18"/>
                <w:szCs w:val="18"/>
                <w:lang w:val="en-US" w:eastAsia="zh-CN"/>
              </w:rPr>
              <w:t>.</w:t>
            </w:r>
            <w:r>
              <w:rPr>
                <w:rFonts w:hint="eastAsia" w:ascii="宋体" w:hAnsi="宋体" w:cs="宋体"/>
                <w:kern w:val="0"/>
                <w:sz w:val="18"/>
                <w:szCs w:val="18"/>
              </w:rPr>
              <w:t>按要求做好个人防护。清洁消毒时戴防水手套，必要时戴防水袖套、面罩、眼罩。医废暂存地工人工作时应穿防水靴、戴橡胶手套、口罩、帽子。医废回收交接应包括临床科室与保洁员之间，保洁员与医废暂存地之间的交接及记录。运送医疗垃圾时不得有外撒、外溢。</w:t>
            </w:r>
          </w:p>
        </w:tc>
        <w:tc>
          <w:tcPr>
            <w:tcW w:w="40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2分</w:t>
            </w: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没按要求做到1次扣1分。</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420" w:hRule="atLeast"/>
          <w:jc w:val="center"/>
        </w:trPr>
        <w:tc>
          <w:tcPr>
            <w:tcW w:w="10185" w:type="dxa"/>
            <w:gridSpan w:val="5"/>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b/>
                <w:sz w:val="18"/>
                <w:szCs w:val="18"/>
              </w:rPr>
            </w:pPr>
            <w:r>
              <w:rPr>
                <w:rFonts w:hint="eastAsia" w:ascii="宋体" w:hAnsi="宋体" w:cs="宋体"/>
                <w:b/>
                <w:kern w:val="0"/>
                <w:sz w:val="18"/>
                <w:szCs w:val="18"/>
              </w:rPr>
              <w:t>二、保洁质量（68分）</w:t>
            </w:r>
          </w:p>
        </w:tc>
      </w:tr>
      <w:tr>
        <w:tblPrEx>
          <w:tblLayout w:type="fixed"/>
          <w:tblCellMar>
            <w:top w:w="0" w:type="dxa"/>
            <w:left w:w="108" w:type="dxa"/>
            <w:bottom w:w="0" w:type="dxa"/>
            <w:right w:w="108" w:type="dxa"/>
          </w:tblCellMar>
        </w:tblPrEx>
        <w:trPr>
          <w:gridAfter w:val="1"/>
          <w:wAfter w:w="448" w:type="dxa"/>
          <w:trHeight w:val="720"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1</w:t>
            </w:r>
            <w:r>
              <w:rPr>
                <w:rFonts w:hint="eastAsia" w:ascii="宋体" w:hAnsi="宋体" w:cs="宋体"/>
                <w:kern w:val="0"/>
                <w:sz w:val="18"/>
                <w:szCs w:val="18"/>
                <w:lang w:val="en-US" w:eastAsia="zh-CN"/>
              </w:rPr>
              <w:t>.</w:t>
            </w:r>
            <w:r>
              <w:rPr>
                <w:rFonts w:hint="eastAsia" w:ascii="宋体" w:hAnsi="宋体" w:cs="宋体"/>
                <w:kern w:val="0"/>
                <w:sz w:val="18"/>
                <w:szCs w:val="18"/>
              </w:rPr>
              <w:t>地面、走廊、过道、楼梯、阳台整洁、无脏杂物、无污迹；楼内大厅整洁、光亮、无浮尘、无水迹、无污迹。</w:t>
            </w:r>
          </w:p>
        </w:tc>
        <w:tc>
          <w:tcPr>
            <w:tcW w:w="404"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6分</w:t>
            </w:r>
          </w:p>
        </w:tc>
        <w:tc>
          <w:tcPr>
            <w:tcW w:w="3518"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该区域有烟蒂、纸屑、有呕吐物等脏物，20分种内无人打扫，一次扣0.5分。</w:t>
            </w:r>
          </w:p>
        </w:tc>
        <w:tc>
          <w:tcPr>
            <w:tcW w:w="1845"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1140"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2</w:t>
            </w:r>
            <w:r>
              <w:rPr>
                <w:rFonts w:hint="eastAsia" w:ascii="宋体" w:hAnsi="宋体" w:cs="宋体"/>
                <w:kern w:val="0"/>
                <w:sz w:val="18"/>
                <w:szCs w:val="18"/>
                <w:lang w:val="en-US" w:eastAsia="zh-CN"/>
              </w:rPr>
              <w:t>.</w:t>
            </w:r>
            <w:r>
              <w:rPr>
                <w:rFonts w:hint="eastAsia" w:ascii="宋体" w:hAnsi="宋体" w:cs="宋体"/>
                <w:kern w:val="0"/>
                <w:sz w:val="18"/>
                <w:szCs w:val="18"/>
              </w:rPr>
              <w:t>门窗（窗帘由采购人洗涤，投标人负责拆装）、窗台干净、整洁、无灰尘、无污迹；2米以下室外玻璃及室内玻璃、玻璃间格、各种柱身、扶手、栏杆（含木质、金属、不锈钢）、内玻璃窗、镜面等明净、光亮、无积尘、无污迹、无斑点、金属、不锈钢按规定时间上保护剂。</w:t>
            </w:r>
          </w:p>
        </w:tc>
        <w:tc>
          <w:tcPr>
            <w:tcW w:w="40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4分</w:t>
            </w: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有明显灰尘、污物、脏物，一次扣0.5分。</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1170"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3</w:t>
            </w:r>
            <w:r>
              <w:rPr>
                <w:rFonts w:hint="eastAsia" w:ascii="宋体" w:hAnsi="宋体" w:cs="宋体"/>
                <w:kern w:val="0"/>
                <w:sz w:val="18"/>
                <w:szCs w:val="18"/>
                <w:lang w:val="en-US" w:eastAsia="zh-CN"/>
              </w:rPr>
              <w:t>.</w:t>
            </w:r>
            <w:r>
              <w:rPr>
                <w:rFonts w:hint="eastAsia" w:ascii="宋体" w:hAnsi="宋体" w:cs="宋体"/>
                <w:kern w:val="0"/>
                <w:sz w:val="18"/>
                <w:szCs w:val="18"/>
              </w:rPr>
              <w:t>各种室内装饰物、墙上装饰物和各类设施表面（如灯饰、警铃、监视器、火灾报警控制器、风口、安全指标灯、开关盒、消防栓箱、各种告示牌、指示牌、空调等）干净、无灰尘、无污迹、无蜘蛛网。</w:t>
            </w:r>
          </w:p>
        </w:tc>
        <w:tc>
          <w:tcPr>
            <w:tcW w:w="40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4分</w:t>
            </w: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有明显灰尘、污物、蜘蛛等脏物，一次扣0.5分。</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915"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4</w:t>
            </w:r>
            <w:r>
              <w:rPr>
                <w:rFonts w:hint="eastAsia" w:ascii="宋体" w:hAnsi="宋体" w:cs="宋体"/>
                <w:kern w:val="0"/>
                <w:sz w:val="18"/>
                <w:szCs w:val="18"/>
                <w:lang w:val="en-US" w:eastAsia="zh-CN"/>
              </w:rPr>
              <w:t>.</w:t>
            </w:r>
            <w:r>
              <w:rPr>
                <w:rFonts w:hint="eastAsia" w:ascii="宋体" w:hAnsi="宋体" w:cs="宋体"/>
                <w:kern w:val="0"/>
                <w:sz w:val="18"/>
                <w:szCs w:val="18"/>
              </w:rPr>
              <w:t>病房地面、床、柜、电视等各类家具、用品干净整洁、无尘、无水；垃圾篮清倒及时，及时更换塑料袋。垃圾桶配置合理，清倒及时、外表干净、无积垢、无臭味；病房门把每日进行消毒。</w:t>
            </w:r>
          </w:p>
        </w:tc>
        <w:tc>
          <w:tcPr>
            <w:tcW w:w="40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7分</w:t>
            </w: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床等生活用品有灰尘、地面积水20分内无人打扫，垃圾桶配置不足，垃圾桶未按规定时间清洁，一次扣0.5分。</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1140"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5</w:t>
            </w:r>
            <w:r>
              <w:rPr>
                <w:rFonts w:hint="eastAsia" w:ascii="宋体" w:hAnsi="宋体" w:cs="宋体"/>
                <w:kern w:val="0"/>
                <w:sz w:val="18"/>
                <w:szCs w:val="18"/>
                <w:lang w:val="en-US" w:eastAsia="zh-CN"/>
              </w:rPr>
              <w:t>.</w:t>
            </w:r>
            <w:r>
              <w:rPr>
                <w:rFonts w:hint="eastAsia" w:ascii="宋体" w:hAnsi="宋体" w:cs="宋体"/>
                <w:kern w:val="0"/>
                <w:sz w:val="18"/>
                <w:szCs w:val="18"/>
              </w:rPr>
              <w:t>诊室、检查室、办公室、会议室的办公家具、桌椅等整洁、无浮尘、无污迹，茶杯清洗、消毒到位，纸篓清倒、抹净及时，办公、会议用具、用品和各种设施表面干净、无灰尘、无污迹。</w:t>
            </w:r>
          </w:p>
        </w:tc>
        <w:tc>
          <w:tcPr>
            <w:tcW w:w="40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6分</w:t>
            </w: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办公家具等有灰尘、纸篓未及时清倒一次扣0.5分。</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1831"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6</w:t>
            </w:r>
            <w:r>
              <w:rPr>
                <w:rFonts w:hint="eastAsia" w:ascii="宋体" w:hAnsi="宋体" w:cs="宋体"/>
                <w:kern w:val="0"/>
                <w:sz w:val="18"/>
                <w:szCs w:val="18"/>
                <w:lang w:val="en-US" w:eastAsia="zh-CN"/>
              </w:rPr>
              <w:t>.</w:t>
            </w:r>
            <w:r>
              <w:rPr>
                <w:rFonts w:hint="eastAsia" w:ascii="宋体" w:hAnsi="宋体" w:cs="宋体"/>
                <w:kern w:val="0"/>
                <w:sz w:val="18"/>
                <w:szCs w:val="18"/>
              </w:rPr>
              <w:t>卫生间大小便池、坐便器、拖把池等内外光洁，无污垢、无积尘、无臭味；洗手盆、镜台、镜面内外光洁，无斑点、无积水、无积尘；地面、墙面光洁，无污迹、无脏杂物、无积水、无积尘、无蜘蛛网；门窗、窗台、内玻璃、天花板、隔板、照明灯具、开关盒、开水器、卷纸盒等干净、无灰尘、无污迹；厕纸篓、垃圾桶无陈积物、无臭味，外表干净。</w:t>
            </w:r>
          </w:p>
        </w:tc>
        <w:tc>
          <w:tcPr>
            <w:tcW w:w="40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8分</w:t>
            </w: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卫生间未及时冲洗、有异味、有污垢、大小便池不光洁、洗手盆等有灰尘、</w:t>
            </w:r>
            <w:r>
              <w:rPr>
                <w:rFonts w:hint="eastAsia" w:ascii="宋体" w:hAnsi="宋体" w:cs="宋体"/>
                <w:kern w:val="0"/>
                <w:sz w:val="18"/>
                <w:szCs w:val="18"/>
                <w:lang w:eastAsia="zh-CN"/>
              </w:rPr>
              <w:t>洗漱</w:t>
            </w:r>
            <w:r>
              <w:rPr>
                <w:rFonts w:hint="eastAsia" w:ascii="宋体" w:hAnsi="宋体" w:cs="宋体"/>
                <w:kern w:val="0"/>
                <w:sz w:val="18"/>
                <w:szCs w:val="18"/>
              </w:rPr>
              <w:t>间地面有积水、有污垢、洗手池有剩菜剩饭、地漏堵塞等，每一项每一次扣0.2分。</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1291"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7</w:t>
            </w:r>
            <w:r>
              <w:rPr>
                <w:rFonts w:hint="eastAsia" w:ascii="宋体" w:hAnsi="宋体" w:cs="宋体"/>
                <w:kern w:val="0"/>
                <w:sz w:val="18"/>
                <w:szCs w:val="18"/>
                <w:lang w:val="en-US" w:eastAsia="zh-CN"/>
              </w:rPr>
              <w:t>.</w:t>
            </w:r>
            <w:r>
              <w:rPr>
                <w:rFonts w:hint="eastAsia" w:ascii="宋体" w:hAnsi="宋体" w:cs="宋体"/>
                <w:kern w:val="0"/>
                <w:sz w:val="18"/>
                <w:szCs w:val="18"/>
              </w:rPr>
              <w:t>电梯厅墙面、地面、门框、电梯指标牌表面干净，无油迹、无灰尘、无杂物；电梯内墙、地面、门、天花板、通风口、监视器、照明灯具、指标板等表面干净、无积尘、无污迹、无脏杂物；电梯厢壁、电梯门、框按规定时间上保护剂；地毯按规定更换；电梯按钮每日进行消毒。</w:t>
            </w:r>
          </w:p>
        </w:tc>
        <w:tc>
          <w:tcPr>
            <w:tcW w:w="40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4分</w:t>
            </w: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电梯地面有烟蒂、纸屑、电梯轿箱有灰尘、污迹，未按规定时间上保护剂、地毯未按规定更换，电梯按钮每日未进行消毒，每一项每一次扣0.2分。</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1215"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8</w:t>
            </w:r>
            <w:r>
              <w:rPr>
                <w:rFonts w:hint="eastAsia" w:ascii="宋体" w:hAnsi="宋体" w:cs="宋体"/>
                <w:kern w:val="0"/>
                <w:sz w:val="18"/>
                <w:szCs w:val="18"/>
                <w:lang w:val="en-US" w:eastAsia="zh-CN"/>
              </w:rPr>
              <w:t>.</w:t>
            </w:r>
            <w:r>
              <w:rPr>
                <w:rFonts w:hint="eastAsia" w:ascii="宋体" w:hAnsi="宋体" w:cs="宋体"/>
                <w:kern w:val="0"/>
                <w:sz w:val="18"/>
                <w:szCs w:val="18"/>
              </w:rPr>
              <w:t xml:space="preserve">大厅、走廊、楼梯干净明亮，无纸屑、 </w:t>
            </w:r>
          </w:p>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 xml:space="preserve">果皮、污渍，垃圾筒内的垃圾不能超过三 </w:t>
            </w:r>
          </w:p>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分之二，上面无烟头及垃圾。</w:t>
            </w:r>
          </w:p>
        </w:tc>
        <w:tc>
          <w:tcPr>
            <w:tcW w:w="40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4分</w:t>
            </w: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sz w:val="18"/>
                <w:szCs w:val="18"/>
              </w:rPr>
              <w:t>每处不达标扣0.5分。</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975"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9.</w:t>
            </w:r>
            <w:r>
              <w:rPr>
                <w:rFonts w:hint="eastAsia" w:ascii="宋体" w:hAnsi="宋体" w:cs="宋体"/>
                <w:b/>
                <w:bCs/>
                <w:kern w:val="0"/>
                <w:sz w:val="18"/>
                <w:szCs w:val="18"/>
              </w:rPr>
              <w:t>2</w:t>
            </w:r>
            <w:r>
              <w:rPr>
                <w:rFonts w:hint="eastAsia" w:ascii="宋体" w:hAnsi="宋体" w:cs="宋体"/>
                <w:kern w:val="0"/>
                <w:sz w:val="18"/>
                <w:szCs w:val="18"/>
              </w:rPr>
              <w:t>米以下吊顶、天窗、外墙、外玻璃按计划清洗并达到要求；镜面砖按规定时间处理保养，达到整洁光亮；地板按医院需求打蜡保养，达到整洁光亮并起到保护作用。</w:t>
            </w:r>
          </w:p>
        </w:tc>
        <w:tc>
          <w:tcPr>
            <w:tcW w:w="40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5分</w:t>
            </w: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未按规定要求进行每一项每一次扣0.5分。</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396"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10</w:t>
            </w:r>
            <w:r>
              <w:rPr>
                <w:rFonts w:hint="eastAsia" w:ascii="宋体" w:hAnsi="宋体" w:cs="宋体"/>
                <w:kern w:val="0"/>
                <w:sz w:val="18"/>
                <w:szCs w:val="18"/>
                <w:lang w:val="en-US" w:eastAsia="zh-CN"/>
              </w:rPr>
              <w:t>.</w:t>
            </w:r>
            <w:r>
              <w:rPr>
                <w:rFonts w:hint="eastAsia" w:ascii="宋体" w:hAnsi="宋体" w:cs="宋体"/>
                <w:kern w:val="0"/>
                <w:sz w:val="18"/>
                <w:szCs w:val="18"/>
              </w:rPr>
              <w:t>医疗废物、生活垃圾按规范分类收集、登记、交接、转运；容器、塑料袋配置合理，符合相关标准、要求，记录完善、规范。医疗垃圾的收送必须走指定通道，不得从病区穿过，不得走人行电梯,不得外卖医疗废物。</w:t>
            </w:r>
          </w:p>
        </w:tc>
        <w:tc>
          <w:tcPr>
            <w:tcW w:w="40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10分</w:t>
            </w: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医疗废物、生活垃圾未分类收集、运输、储存、处理；容器、塑料袋配置、记录不规范，一次扣1-2分，发现外卖医疗废物按相关法律程序处理。</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930"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11</w:t>
            </w:r>
            <w:r>
              <w:rPr>
                <w:rFonts w:hint="eastAsia" w:ascii="宋体" w:hAnsi="宋体" w:cs="宋体"/>
                <w:kern w:val="0"/>
                <w:sz w:val="18"/>
                <w:szCs w:val="18"/>
                <w:lang w:val="en-US" w:eastAsia="zh-CN"/>
              </w:rPr>
              <w:t>.</w:t>
            </w:r>
            <w:r>
              <w:rPr>
                <w:rFonts w:hint="eastAsia" w:ascii="宋体" w:hAnsi="宋体" w:cs="宋体"/>
                <w:kern w:val="0"/>
                <w:sz w:val="18"/>
                <w:szCs w:val="18"/>
              </w:rPr>
              <w:t>定期进行消毒、消杀，药剂符合相关标准，记录完善、规范。工作现场所有消毒剂必须有批件，必须在有效期内使用。</w:t>
            </w:r>
          </w:p>
        </w:tc>
        <w:tc>
          <w:tcPr>
            <w:tcW w:w="40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5分</w:t>
            </w: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未定期进行消毒、消杀，记录不完善、不规范，一次扣0.5分；发现一样无批件5分。</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510" w:hRule="atLeast"/>
          <w:jc w:val="center"/>
        </w:trPr>
        <w:tc>
          <w:tcPr>
            <w:tcW w:w="3263" w:type="dxa"/>
            <w:vMerge w:val="restart"/>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12</w:t>
            </w:r>
            <w:r>
              <w:rPr>
                <w:rFonts w:hint="eastAsia" w:ascii="宋体" w:hAnsi="宋体" w:cs="宋体"/>
                <w:kern w:val="0"/>
                <w:sz w:val="18"/>
                <w:szCs w:val="18"/>
                <w:lang w:val="en-US" w:eastAsia="zh-CN"/>
              </w:rPr>
              <w:t>.</w:t>
            </w:r>
            <w:r>
              <w:rPr>
                <w:rFonts w:hint="eastAsia" w:ascii="宋体" w:hAnsi="宋体" w:cs="宋体"/>
                <w:kern w:val="0"/>
                <w:sz w:val="18"/>
                <w:szCs w:val="18"/>
              </w:rPr>
              <w:t>及时关闭电器，用电设备、空调、新风开关，自来水、热水阀门。</w:t>
            </w:r>
          </w:p>
        </w:tc>
        <w:tc>
          <w:tcPr>
            <w:tcW w:w="404"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5分</w:t>
            </w:r>
          </w:p>
        </w:tc>
        <w:tc>
          <w:tcPr>
            <w:tcW w:w="3518" w:type="dxa"/>
            <w:tcBorders>
              <w:top w:val="nil"/>
              <w:left w:val="nil"/>
              <w:bottom w:val="nil"/>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未及时关灯、关自来水、热水阀门一</w:t>
            </w:r>
          </w:p>
        </w:tc>
        <w:tc>
          <w:tcPr>
            <w:tcW w:w="1845"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301" w:hRule="atLeast"/>
          <w:jc w:val="center"/>
        </w:trPr>
        <w:tc>
          <w:tcPr>
            <w:tcW w:w="3263" w:type="dxa"/>
            <w:vMerge w:val="continue"/>
            <w:tcBorders>
              <w:top w:val="nil"/>
              <w:left w:val="single" w:color="000000" w:sz="12" w:space="0"/>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c>
          <w:tcPr>
            <w:tcW w:w="404" w:type="dxa"/>
            <w:vMerge w:val="continue"/>
            <w:tcBorders>
              <w:top w:val="nil"/>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次扣0.2分。</w:t>
            </w:r>
          </w:p>
        </w:tc>
        <w:tc>
          <w:tcPr>
            <w:tcW w:w="1845" w:type="dxa"/>
            <w:vMerge w:val="continue"/>
            <w:tcBorders>
              <w:top w:val="nil"/>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c>
          <w:tcPr>
            <w:tcW w:w="1155" w:type="dxa"/>
            <w:vMerge w:val="continue"/>
            <w:tcBorders>
              <w:top w:val="nil"/>
              <w:left w:val="nil"/>
              <w:bottom w:val="single" w:color="000000" w:sz="12" w:space="0"/>
              <w:right w:val="single" w:color="000000" w:sz="12" w:space="0"/>
            </w:tcBorders>
            <w:vAlign w:val="center"/>
          </w:tcPr>
          <w:p>
            <w:pPr>
              <w:widowControl/>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316" w:hRule="atLeast"/>
          <w:jc w:val="center"/>
        </w:trPr>
        <w:tc>
          <w:tcPr>
            <w:tcW w:w="10185" w:type="dxa"/>
            <w:gridSpan w:val="5"/>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b/>
                <w:sz w:val="18"/>
                <w:szCs w:val="18"/>
              </w:rPr>
            </w:pPr>
            <w:r>
              <w:rPr>
                <w:rFonts w:hint="eastAsia" w:ascii="宋体" w:hAnsi="宋体" w:cs="宋体"/>
                <w:b/>
                <w:kern w:val="0"/>
                <w:sz w:val="18"/>
                <w:szCs w:val="18"/>
              </w:rPr>
              <w:t>三、操作规程（10分）</w:t>
            </w:r>
          </w:p>
        </w:tc>
      </w:tr>
      <w:tr>
        <w:tblPrEx>
          <w:tblLayout w:type="fixed"/>
          <w:tblCellMar>
            <w:top w:w="0" w:type="dxa"/>
            <w:left w:w="108" w:type="dxa"/>
            <w:bottom w:w="0" w:type="dxa"/>
            <w:right w:w="108" w:type="dxa"/>
          </w:tblCellMar>
        </w:tblPrEx>
        <w:trPr>
          <w:gridAfter w:val="1"/>
          <w:wAfter w:w="448" w:type="dxa"/>
          <w:trHeight w:val="510"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1</w:t>
            </w:r>
            <w:r>
              <w:rPr>
                <w:rFonts w:hint="eastAsia" w:ascii="宋体" w:hAnsi="宋体" w:cs="宋体"/>
                <w:kern w:val="0"/>
                <w:sz w:val="18"/>
                <w:szCs w:val="18"/>
                <w:lang w:val="en-US" w:eastAsia="zh-CN"/>
              </w:rPr>
              <w:t>.</w:t>
            </w:r>
            <w:r>
              <w:rPr>
                <w:rFonts w:hint="eastAsia" w:ascii="宋体" w:hAnsi="宋体" w:cs="宋体"/>
                <w:kern w:val="0"/>
                <w:sz w:val="18"/>
                <w:szCs w:val="18"/>
              </w:rPr>
              <w:t>保洁作业操作规程规范，药剂使用正确、到位。</w:t>
            </w:r>
          </w:p>
        </w:tc>
        <w:tc>
          <w:tcPr>
            <w:tcW w:w="404"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5分</w:t>
            </w:r>
          </w:p>
        </w:tc>
        <w:tc>
          <w:tcPr>
            <w:tcW w:w="3518"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未按操作规程操作，一次扣0.2分。</w:t>
            </w:r>
          </w:p>
        </w:tc>
        <w:tc>
          <w:tcPr>
            <w:tcW w:w="1845"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301"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2</w:t>
            </w:r>
            <w:r>
              <w:rPr>
                <w:rFonts w:hint="eastAsia" w:ascii="宋体" w:hAnsi="宋体" w:cs="宋体"/>
                <w:kern w:val="0"/>
                <w:sz w:val="18"/>
                <w:szCs w:val="18"/>
                <w:lang w:val="en-US" w:eastAsia="zh-CN"/>
              </w:rPr>
              <w:t>.</w:t>
            </w:r>
            <w:r>
              <w:rPr>
                <w:rFonts w:hint="eastAsia" w:ascii="宋体" w:hAnsi="宋体" w:cs="宋体"/>
                <w:kern w:val="0"/>
                <w:sz w:val="18"/>
                <w:szCs w:val="18"/>
              </w:rPr>
              <w:t>保洁作业安全措施到位，未发生任何事故。</w:t>
            </w:r>
          </w:p>
        </w:tc>
        <w:tc>
          <w:tcPr>
            <w:tcW w:w="40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5分</w:t>
            </w: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保洁作业发生事故，一次扣1分。</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316" w:hRule="atLeast"/>
          <w:jc w:val="center"/>
        </w:trPr>
        <w:tc>
          <w:tcPr>
            <w:tcW w:w="10185" w:type="dxa"/>
            <w:gridSpan w:val="5"/>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b/>
                <w:sz w:val="18"/>
                <w:szCs w:val="18"/>
              </w:rPr>
            </w:pPr>
            <w:r>
              <w:rPr>
                <w:rFonts w:hint="eastAsia" w:ascii="宋体" w:hAnsi="宋体" w:cs="宋体"/>
                <w:b/>
                <w:kern w:val="0"/>
                <w:sz w:val="18"/>
                <w:szCs w:val="18"/>
              </w:rPr>
              <w:t>四、内部管理（10分）</w:t>
            </w:r>
          </w:p>
        </w:tc>
      </w:tr>
      <w:tr>
        <w:tblPrEx>
          <w:tblLayout w:type="fixed"/>
          <w:tblCellMar>
            <w:top w:w="0" w:type="dxa"/>
            <w:left w:w="108" w:type="dxa"/>
            <w:bottom w:w="0" w:type="dxa"/>
            <w:right w:w="108" w:type="dxa"/>
          </w:tblCellMar>
        </w:tblPrEx>
        <w:trPr>
          <w:gridAfter w:val="1"/>
          <w:wAfter w:w="448" w:type="dxa"/>
          <w:trHeight w:val="1501"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1</w:t>
            </w:r>
            <w:r>
              <w:rPr>
                <w:rFonts w:hint="eastAsia" w:ascii="宋体" w:hAnsi="宋体" w:cs="宋体"/>
                <w:kern w:val="0"/>
                <w:sz w:val="18"/>
                <w:szCs w:val="18"/>
                <w:lang w:val="en-US" w:eastAsia="zh-CN"/>
              </w:rPr>
              <w:t>.</w:t>
            </w:r>
            <w:r>
              <w:rPr>
                <w:rFonts w:hint="eastAsia" w:ascii="宋体" w:hAnsi="宋体" w:cs="宋体"/>
                <w:kern w:val="0"/>
                <w:sz w:val="18"/>
                <w:szCs w:val="18"/>
              </w:rPr>
              <w:t>保洁人员教育、培训、管理到位；2、所有保洁员必须经过上岗培训，应掌握手卫生、床单元消毒、医疗废物处置等内容。医疗垃圾须加盖保存，装量不得超过3/4，运送车辆专车专用，有标识。</w:t>
            </w:r>
          </w:p>
        </w:tc>
        <w:tc>
          <w:tcPr>
            <w:tcW w:w="404"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5分</w:t>
            </w:r>
          </w:p>
        </w:tc>
        <w:tc>
          <w:tcPr>
            <w:tcW w:w="3518"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保洁人员未经培训、作业中发生差错，损害客户利益，未造成不良影响，一样一次扣0.5分。</w:t>
            </w:r>
          </w:p>
        </w:tc>
        <w:tc>
          <w:tcPr>
            <w:tcW w:w="1845"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90" w:hRule="atLeast"/>
          <w:jc w:val="center"/>
        </w:trPr>
        <w:tc>
          <w:tcPr>
            <w:tcW w:w="3263"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2</w:t>
            </w:r>
            <w:r>
              <w:rPr>
                <w:rFonts w:hint="eastAsia" w:ascii="宋体" w:hAnsi="宋体" w:cs="宋体"/>
                <w:kern w:val="0"/>
                <w:sz w:val="18"/>
                <w:szCs w:val="18"/>
                <w:lang w:val="en-US" w:eastAsia="zh-CN"/>
              </w:rPr>
              <w:t>.</w:t>
            </w:r>
            <w:r>
              <w:rPr>
                <w:rFonts w:hint="eastAsia" w:ascii="宋体" w:hAnsi="宋体" w:cs="宋体"/>
                <w:kern w:val="0"/>
                <w:sz w:val="18"/>
                <w:szCs w:val="18"/>
              </w:rPr>
              <w:t xml:space="preserve">清洁卫生各项责任范围明确到人，清 </w:t>
            </w:r>
          </w:p>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洁区内保洁清洁达到服务标准。</w:t>
            </w:r>
          </w:p>
        </w:tc>
        <w:tc>
          <w:tcPr>
            <w:tcW w:w="40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5分</w:t>
            </w:r>
          </w:p>
        </w:tc>
        <w:tc>
          <w:tcPr>
            <w:tcW w:w="3518"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责任范围不明确的扣0.5分，清洁保洁不符合标准每个点位扣0.5分。</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600" w:hRule="atLeast"/>
          <w:jc w:val="center"/>
        </w:trPr>
        <w:tc>
          <w:tcPr>
            <w:tcW w:w="7185" w:type="dxa"/>
            <w:gridSpan w:val="3"/>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合计</w:t>
            </w:r>
          </w:p>
        </w:tc>
        <w:tc>
          <w:tcPr>
            <w:tcW w:w="184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155"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gridAfter w:val="1"/>
          <w:wAfter w:w="448" w:type="dxa"/>
          <w:trHeight w:val="495" w:hRule="atLeast"/>
          <w:jc w:val="center"/>
        </w:trPr>
        <w:tc>
          <w:tcPr>
            <w:tcW w:w="10185" w:type="dxa"/>
            <w:gridSpan w:val="5"/>
            <w:tcMar>
              <w:top w:w="15" w:type="dxa"/>
              <w:left w:w="15" w:type="dxa"/>
              <w:bottom w:w="15" w:type="dxa"/>
              <w:right w:w="15" w:type="dxa"/>
            </w:tcMar>
            <w:vAlign w:val="center"/>
          </w:tcPr>
          <w:p>
            <w:pPr>
              <w:widowControl/>
              <w:spacing w:line="360" w:lineRule="auto"/>
              <w:jc w:val="left"/>
              <w:textAlignment w:val="center"/>
              <w:rPr>
                <w:rFonts w:ascii="宋体" w:hAnsi="宋体" w:cs="宋体"/>
                <w:sz w:val="24"/>
                <w:szCs w:val="24"/>
              </w:rPr>
            </w:pPr>
            <w:r>
              <w:rPr>
                <w:rFonts w:hint="eastAsia" w:ascii="宋体" w:hAnsi="宋体" w:cs="宋体"/>
                <w:kern w:val="0"/>
                <w:sz w:val="24"/>
                <w:szCs w:val="24"/>
              </w:rPr>
              <w:t>考核所在科室：                         科室负责人：               考核时间：</w:t>
            </w:r>
          </w:p>
        </w:tc>
      </w:tr>
      <w:tr>
        <w:tblPrEx>
          <w:tblLayout w:type="fixed"/>
          <w:tblCellMar>
            <w:top w:w="0" w:type="dxa"/>
            <w:left w:w="108" w:type="dxa"/>
            <w:bottom w:w="0" w:type="dxa"/>
            <w:right w:w="108" w:type="dxa"/>
          </w:tblCellMar>
        </w:tblPrEx>
        <w:trPr>
          <w:gridAfter w:val="1"/>
          <w:wAfter w:w="448" w:type="dxa"/>
          <w:trHeight w:val="495" w:hRule="atLeast"/>
          <w:jc w:val="center"/>
        </w:trPr>
        <w:tc>
          <w:tcPr>
            <w:tcW w:w="10185" w:type="dxa"/>
            <w:gridSpan w:val="5"/>
            <w:tcMar>
              <w:top w:w="15" w:type="dxa"/>
              <w:left w:w="15" w:type="dxa"/>
              <w:bottom w:w="15" w:type="dxa"/>
              <w:right w:w="15" w:type="dxa"/>
            </w:tcMar>
            <w:vAlign w:val="center"/>
          </w:tcPr>
          <w:p>
            <w:pPr>
              <w:widowControl/>
              <w:spacing w:line="360" w:lineRule="auto"/>
              <w:jc w:val="left"/>
              <w:textAlignment w:val="center"/>
              <w:rPr>
                <w:rFonts w:hint="eastAsia" w:ascii="宋体" w:hAnsi="宋体" w:cs="宋体"/>
                <w:b/>
                <w:kern w:val="0"/>
                <w:sz w:val="28"/>
                <w:szCs w:val="28"/>
              </w:rPr>
            </w:pPr>
          </w:p>
          <w:p>
            <w:pPr>
              <w:widowControl/>
              <w:spacing w:line="360" w:lineRule="auto"/>
              <w:jc w:val="left"/>
              <w:textAlignment w:val="center"/>
              <w:rPr>
                <w:rFonts w:ascii="宋体" w:hAnsi="宋体" w:cs="宋体"/>
                <w:b/>
                <w:kern w:val="0"/>
                <w:sz w:val="28"/>
                <w:szCs w:val="28"/>
              </w:rPr>
            </w:pPr>
            <w:r>
              <w:rPr>
                <w:rFonts w:hint="eastAsia" w:ascii="宋体" w:hAnsi="宋体" w:cs="宋体"/>
                <w:b/>
                <w:kern w:val="0"/>
                <w:sz w:val="28"/>
                <w:szCs w:val="28"/>
              </w:rPr>
              <w:t>（二）中央运送服务考核标准</w:t>
            </w:r>
          </w:p>
          <w:tbl>
            <w:tblPr>
              <w:tblStyle w:val="48"/>
              <w:tblW w:w="10143" w:type="dxa"/>
              <w:jc w:val="center"/>
              <w:tblInd w:w="0" w:type="dxa"/>
              <w:tblLayout w:type="fixed"/>
              <w:tblCellMar>
                <w:top w:w="0" w:type="dxa"/>
                <w:left w:w="108" w:type="dxa"/>
                <w:bottom w:w="0" w:type="dxa"/>
                <w:right w:w="108" w:type="dxa"/>
              </w:tblCellMar>
            </w:tblPr>
            <w:tblGrid>
              <w:gridCol w:w="10143"/>
            </w:tblGrid>
            <w:tr>
              <w:tblPrEx>
                <w:tblLayout w:type="fixed"/>
                <w:tblCellMar>
                  <w:top w:w="0" w:type="dxa"/>
                  <w:left w:w="108" w:type="dxa"/>
                  <w:bottom w:w="0" w:type="dxa"/>
                  <w:right w:w="108" w:type="dxa"/>
                </w:tblCellMar>
              </w:tblPrEx>
              <w:trPr>
                <w:trHeight w:val="390" w:hRule="atLeast"/>
                <w:jc w:val="center"/>
              </w:trPr>
              <w:tc>
                <w:tcPr>
                  <w:tcW w:w="10143" w:type="dxa"/>
                  <w:tcMar>
                    <w:top w:w="15" w:type="dxa"/>
                    <w:left w:w="15" w:type="dxa"/>
                    <w:bottom w:w="15" w:type="dxa"/>
                    <w:right w:w="15" w:type="dxa"/>
                  </w:tcMar>
                  <w:vAlign w:val="center"/>
                </w:tcPr>
                <w:tbl>
                  <w:tblPr>
                    <w:tblStyle w:val="48"/>
                    <w:tblW w:w="10155" w:type="dxa"/>
                    <w:jc w:val="center"/>
                    <w:tblInd w:w="0" w:type="dxa"/>
                    <w:tblLayout w:type="fixed"/>
                    <w:tblCellMar>
                      <w:top w:w="0" w:type="dxa"/>
                      <w:left w:w="108" w:type="dxa"/>
                      <w:bottom w:w="0" w:type="dxa"/>
                      <w:right w:w="108" w:type="dxa"/>
                    </w:tblCellMar>
                  </w:tblPr>
                  <w:tblGrid>
                    <w:gridCol w:w="3686"/>
                    <w:gridCol w:w="456"/>
                    <w:gridCol w:w="54"/>
                    <w:gridCol w:w="3464"/>
                    <w:gridCol w:w="1340"/>
                    <w:gridCol w:w="30"/>
                    <w:gridCol w:w="1125"/>
                  </w:tblGrid>
                  <w:tr>
                    <w:tblPrEx>
                      <w:tblLayout w:type="fixed"/>
                      <w:tblCellMar>
                        <w:top w:w="0" w:type="dxa"/>
                        <w:left w:w="108" w:type="dxa"/>
                        <w:bottom w:w="0" w:type="dxa"/>
                        <w:right w:w="108" w:type="dxa"/>
                      </w:tblCellMar>
                    </w:tblPrEx>
                    <w:trPr>
                      <w:trHeight w:val="390" w:hRule="atLeast"/>
                      <w:jc w:val="center"/>
                    </w:trPr>
                    <w:tc>
                      <w:tcPr>
                        <w:tcW w:w="10155" w:type="dxa"/>
                        <w:gridSpan w:val="7"/>
                        <w:tcMar>
                          <w:top w:w="15" w:type="dxa"/>
                          <w:left w:w="15" w:type="dxa"/>
                          <w:bottom w:w="15" w:type="dxa"/>
                          <w:right w:w="15" w:type="dxa"/>
                        </w:tcMar>
                        <w:vAlign w:val="center"/>
                      </w:tcPr>
                      <w:p>
                        <w:pPr>
                          <w:widowControl/>
                          <w:spacing w:line="360" w:lineRule="auto"/>
                          <w:jc w:val="center"/>
                          <w:textAlignment w:val="center"/>
                          <w:rPr>
                            <w:rFonts w:ascii="宋体" w:hAnsi="宋体" w:cs="宋体"/>
                            <w:b/>
                            <w:sz w:val="28"/>
                            <w:szCs w:val="28"/>
                          </w:rPr>
                        </w:pPr>
                        <w:r>
                          <w:rPr>
                            <w:rFonts w:hint="eastAsia" w:ascii="宋体" w:hAnsi="宋体" w:cs="宋体"/>
                            <w:b/>
                            <w:kern w:val="0"/>
                            <w:sz w:val="28"/>
                            <w:szCs w:val="28"/>
                          </w:rPr>
                          <w:t>中央运送服务考核表（总分值25%）</w:t>
                        </w:r>
                      </w:p>
                    </w:tc>
                  </w:tr>
                  <w:tr>
                    <w:tblPrEx>
                      <w:tblLayout w:type="fixed"/>
                      <w:tblCellMar>
                        <w:top w:w="0" w:type="dxa"/>
                        <w:left w:w="108" w:type="dxa"/>
                        <w:bottom w:w="0" w:type="dxa"/>
                        <w:right w:w="108" w:type="dxa"/>
                      </w:tblCellMar>
                    </w:tblPrEx>
                    <w:trPr>
                      <w:trHeight w:val="690" w:hRule="atLeast"/>
                      <w:jc w:val="center"/>
                    </w:trPr>
                    <w:tc>
                      <w:tcPr>
                        <w:tcW w:w="10155" w:type="dxa"/>
                        <w:gridSpan w:val="7"/>
                        <w:tcBorders>
                          <w:top w:val="single" w:color="000000" w:sz="12" w:space="0"/>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中央运送工作主要检查考核服务水平、运送服务质量、操作规程、内部管理等，考核采用百分制（100分）。</w:t>
                        </w:r>
                      </w:p>
                    </w:tc>
                  </w:tr>
                  <w:tr>
                    <w:tblPrEx>
                      <w:tblLayout w:type="fixed"/>
                      <w:tblCellMar>
                        <w:top w:w="0" w:type="dxa"/>
                        <w:left w:w="108" w:type="dxa"/>
                        <w:bottom w:w="0" w:type="dxa"/>
                        <w:right w:w="108" w:type="dxa"/>
                      </w:tblCellMar>
                    </w:tblPrEx>
                    <w:trPr>
                      <w:trHeight w:val="390" w:hRule="atLeast"/>
                      <w:jc w:val="center"/>
                    </w:trPr>
                    <w:tc>
                      <w:tcPr>
                        <w:tcW w:w="3686"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考核标准</w:t>
                        </w:r>
                      </w:p>
                    </w:tc>
                    <w:tc>
                      <w:tcPr>
                        <w:tcW w:w="510" w:type="dxa"/>
                        <w:gridSpan w:val="2"/>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分值</w:t>
                        </w:r>
                      </w:p>
                    </w:tc>
                    <w:tc>
                      <w:tcPr>
                        <w:tcW w:w="3464"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 xml:space="preserve"> 评分标准</w:t>
                        </w:r>
                      </w:p>
                    </w:tc>
                    <w:tc>
                      <w:tcPr>
                        <w:tcW w:w="1370" w:type="dxa"/>
                        <w:gridSpan w:val="2"/>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扣分原因</w:t>
                        </w:r>
                      </w:p>
                    </w:tc>
                    <w:tc>
                      <w:tcPr>
                        <w:tcW w:w="1125"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得分</w:t>
                        </w:r>
                      </w:p>
                    </w:tc>
                  </w:tr>
                  <w:tr>
                    <w:tblPrEx>
                      <w:tblLayout w:type="fixed"/>
                      <w:tblCellMar>
                        <w:top w:w="0" w:type="dxa"/>
                        <w:left w:w="108" w:type="dxa"/>
                        <w:bottom w:w="0" w:type="dxa"/>
                        <w:right w:w="108" w:type="dxa"/>
                      </w:tblCellMar>
                    </w:tblPrEx>
                    <w:trPr>
                      <w:trHeight w:val="420" w:hRule="atLeast"/>
                      <w:jc w:val="center"/>
                    </w:trPr>
                    <w:tc>
                      <w:tcPr>
                        <w:tcW w:w="10155" w:type="dxa"/>
                        <w:gridSpan w:val="7"/>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b/>
                            <w:sz w:val="18"/>
                            <w:szCs w:val="18"/>
                          </w:rPr>
                        </w:pPr>
                        <w:r>
                          <w:rPr>
                            <w:rFonts w:hint="eastAsia" w:ascii="宋体" w:hAnsi="宋体" w:cs="宋体"/>
                            <w:b/>
                            <w:kern w:val="0"/>
                            <w:sz w:val="18"/>
                            <w:szCs w:val="18"/>
                          </w:rPr>
                          <w:t>（一）服务规范（20分）</w:t>
                        </w:r>
                      </w:p>
                    </w:tc>
                  </w:tr>
                  <w:tr>
                    <w:tblPrEx>
                      <w:tblLayout w:type="fixed"/>
                      <w:tblCellMar>
                        <w:top w:w="0" w:type="dxa"/>
                        <w:left w:w="108" w:type="dxa"/>
                        <w:bottom w:w="0" w:type="dxa"/>
                        <w:right w:w="108" w:type="dxa"/>
                      </w:tblCellMar>
                    </w:tblPrEx>
                    <w:trPr>
                      <w:trHeight w:val="540" w:hRule="atLeast"/>
                      <w:jc w:val="center"/>
                    </w:trPr>
                    <w:tc>
                      <w:tcPr>
                        <w:tcW w:w="3686"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1</w:t>
                        </w:r>
                        <w:r>
                          <w:rPr>
                            <w:rFonts w:hint="eastAsia" w:ascii="宋体" w:hAnsi="宋体" w:cs="宋体"/>
                            <w:kern w:val="0"/>
                            <w:sz w:val="18"/>
                            <w:szCs w:val="18"/>
                            <w:lang w:val="en-US" w:eastAsia="zh-CN"/>
                          </w:rPr>
                          <w:t>.</w:t>
                        </w:r>
                        <w:r>
                          <w:rPr>
                            <w:rFonts w:hint="eastAsia" w:ascii="宋体" w:hAnsi="宋体" w:cs="宋体"/>
                            <w:kern w:val="0"/>
                            <w:sz w:val="18"/>
                            <w:szCs w:val="18"/>
                          </w:rPr>
                          <w:t>中央运送人员严格遵守医院制度，上班期间严禁酗酒、抽烟、看报、大声喧哗等。</w:t>
                        </w:r>
                      </w:p>
                    </w:tc>
                    <w:tc>
                      <w:tcPr>
                        <w:tcW w:w="456"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10</w:t>
                        </w:r>
                      </w:p>
                    </w:tc>
                    <w:tc>
                      <w:tcPr>
                        <w:tcW w:w="3518" w:type="dxa"/>
                        <w:gridSpan w:val="2"/>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未按规定要求进行每发现一次扣1分</w:t>
                        </w:r>
                      </w:p>
                    </w:tc>
                    <w:tc>
                      <w:tcPr>
                        <w:tcW w:w="1340"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155" w:type="dxa"/>
                        <w:gridSpan w:val="2"/>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trHeight w:val="420" w:hRule="atLeast"/>
                      <w:jc w:val="center"/>
                    </w:trPr>
                    <w:tc>
                      <w:tcPr>
                        <w:tcW w:w="3686"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2</w:t>
                        </w:r>
                        <w:r>
                          <w:rPr>
                            <w:rFonts w:hint="eastAsia" w:ascii="宋体" w:hAnsi="宋体" w:cs="宋体"/>
                            <w:kern w:val="0"/>
                            <w:sz w:val="18"/>
                            <w:szCs w:val="18"/>
                            <w:lang w:val="en-US" w:eastAsia="zh-CN"/>
                          </w:rPr>
                          <w:t>.</w:t>
                        </w:r>
                        <w:r>
                          <w:rPr>
                            <w:rFonts w:hint="eastAsia" w:ascii="宋体" w:hAnsi="宋体" w:cs="宋体"/>
                            <w:kern w:val="0"/>
                            <w:sz w:val="18"/>
                            <w:szCs w:val="18"/>
                          </w:rPr>
                          <w:t>中央运送人员着装统一，佩戴胸卡。</w:t>
                        </w:r>
                      </w:p>
                    </w:tc>
                    <w:tc>
                      <w:tcPr>
                        <w:tcW w:w="456"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10</w:t>
                        </w:r>
                      </w:p>
                    </w:tc>
                    <w:tc>
                      <w:tcPr>
                        <w:tcW w:w="3518"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未按规定要求进行每发现一次扣1分</w:t>
                        </w:r>
                      </w:p>
                    </w:tc>
                    <w:tc>
                      <w:tcPr>
                        <w:tcW w:w="1340"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155"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trHeight w:val="420" w:hRule="atLeast"/>
                      <w:jc w:val="center"/>
                    </w:trPr>
                    <w:tc>
                      <w:tcPr>
                        <w:tcW w:w="10155" w:type="dxa"/>
                        <w:gridSpan w:val="7"/>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b/>
                            <w:sz w:val="18"/>
                            <w:szCs w:val="18"/>
                          </w:rPr>
                        </w:pPr>
                        <w:r>
                          <w:rPr>
                            <w:rFonts w:hint="eastAsia" w:ascii="宋体" w:hAnsi="宋体" w:cs="宋体"/>
                            <w:b/>
                            <w:kern w:val="0"/>
                            <w:sz w:val="18"/>
                            <w:szCs w:val="18"/>
                          </w:rPr>
                          <w:t>（二）运送服务要求（70分）</w:t>
                        </w:r>
                      </w:p>
                    </w:tc>
                  </w:tr>
                  <w:tr>
                    <w:tblPrEx>
                      <w:tblLayout w:type="fixed"/>
                      <w:tblCellMar>
                        <w:top w:w="0" w:type="dxa"/>
                        <w:left w:w="108" w:type="dxa"/>
                        <w:bottom w:w="0" w:type="dxa"/>
                        <w:right w:w="108" w:type="dxa"/>
                      </w:tblCellMar>
                    </w:tblPrEx>
                    <w:trPr>
                      <w:trHeight w:val="1020" w:hRule="atLeast"/>
                      <w:jc w:val="center"/>
                    </w:trPr>
                    <w:tc>
                      <w:tcPr>
                        <w:tcW w:w="3686"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1</w:t>
                        </w:r>
                        <w:r>
                          <w:rPr>
                            <w:rFonts w:hint="eastAsia" w:ascii="宋体" w:hAnsi="宋体" w:cs="宋体"/>
                            <w:kern w:val="0"/>
                            <w:sz w:val="18"/>
                            <w:szCs w:val="18"/>
                            <w:lang w:val="en-US" w:eastAsia="zh-CN"/>
                          </w:rPr>
                          <w:t>.</w:t>
                        </w:r>
                        <w:r>
                          <w:rPr>
                            <w:rFonts w:hint="eastAsia" w:ascii="宋体" w:hAnsi="宋体" w:cs="宋体"/>
                            <w:kern w:val="0"/>
                            <w:sz w:val="18"/>
                            <w:szCs w:val="18"/>
                          </w:rPr>
                          <w:t>严格执行院感要求，各类运输设备及时清洁消毒</w:t>
                        </w:r>
                      </w:p>
                    </w:tc>
                    <w:tc>
                      <w:tcPr>
                        <w:tcW w:w="456"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kern w:val="0"/>
                            <w:sz w:val="18"/>
                            <w:szCs w:val="18"/>
                          </w:rPr>
                        </w:pPr>
                        <w:r>
                          <w:rPr>
                            <w:rFonts w:hint="eastAsia" w:ascii="宋体" w:hAnsi="宋体" w:cs="宋体"/>
                            <w:kern w:val="0"/>
                            <w:sz w:val="18"/>
                            <w:szCs w:val="18"/>
                          </w:rPr>
                          <w:t>10</w:t>
                        </w:r>
                      </w:p>
                    </w:tc>
                    <w:tc>
                      <w:tcPr>
                        <w:tcW w:w="3518" w:type="dxa"/>
                        <w:gridSpan w:val="2"/>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kern w:val="0"/>
                            <w:sz w:val="18"/>
                            <w:szCs w:val="18"/>
                          </w:rPr>
                        </w:pPr>
                        <w:r>
                          <w:rPr>
                            <w:rFonts w:hint="eastAsia" w:ascii="宋体" w:hAnsi="宋体" w:cs="宋体"/>
                            <w:kern w:val="0"/>
                            <w:sz w:val="18"/>
                            <w:szCs w:val="18"/>
                          </w:rPr>
                          <w:t>未按规定要求进行每发现一次扣1分</w:t>
                        </w:r>
                      </w:p>
                    </w:tc>
                    <w:tc>
                      <w:tcPr>
                        <w:tcW w:w="1340"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155" w:type="dxa"/>
                        <w:gridSpan w:val="2"/>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trHeight w:val="1020" w:hRule="atLeast"/>
                      <w:jc w:val="center"/>
                    </w:trPr>
                    <w:tc>
                      <w:tcPr>
                        <w:tcW w:w="3686"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2</w:t>
                        </w:r>
                        <w:r>
                          <w:rPr>
                            <w:rFonts w:hint="eastAsia" w:ascii="宋体" w:hAnsi="宋体" w:cs="宋体"/>
                            <w:kern w:val="0"/>
                            <w:sz w:val="18"/>
                            <w:szCs w:val="18"/>
                            <w:lang w:val="en-US" w:eastAsia="zh-CN"/>
                          </w:rPr>
                          <w:t>.</w:t>
                        </w:r>
                        <w:r>
                          <w:rPr>
                            <w:rFonts w:hint="eastAsia" w:ascii="宋体" w:hAnsi="宋体" w:cs="宋体"/>
                            <w:kern w:val="0"/>
                            <w:sz w:val="18"/>
                            <w:szCs w:val="18"/>
                          </w:rPr>
                          <w:t>在陪护病人检查过程中，按运送规范陪同病员，态度</w:t>
                        </w:r>
                        <w:r>
                          <w:rPr>
                            <w:rFonts w:hint="eastAsia" w:ascii="宋体" w:hAnsi="宋体" w:cs="宋体"/>
                            <w:kern w:val="0"/>
                            <w:sz w:val="18"/>
                            <w:szCs w:val="18"/>
                            <w:lang w:eastAsia="zh-CN"/>
                          </w:rPr>
                          <w:t>亲和</w:t>
                        </w:r>
                        <w:r>
                          <w:rPr>
                            <w:rFonts w:hint="eastAsia" w:ascii="宋体" w:hAnsi="宋体" w:cs="宋体"/>
                            <w:kern w:val="0"/>
                            <w:sz w:val="18"/>
                            <w:szCs w:val="18"/>
                          </w:rPr>
                          <w:t>，礼貌用语，杜绝说话粗鲁或者与病人及病人家属发生争执等。</w:t>
                        </w:r>
                      </w:p>
                    </w:tc>
                    <w:tc>
                      <w:tcPr>
                        <w:tcW w:w="456"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10</w:t>
                        </w:r>
                      </w:p>
                    </w:tc>
                    <w:tc>
                      <w:tcPr>
                        <w:tcW w:w="3518" w:type="dxa"/>
                        <w:gridSpan w:val="2"/>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未按规定要求进行每发现一次扣1分</w:t>
                        </w:r>
                      </w:p>
                    </w:tc>
                    <w:tc>
                      <w:tcPr>
                        <w:tcW w:w="1340"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155" w:type="dxa"/>
                        <w:gridSpan w:val="2"/>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trHeight w:val="930" w:hRule="atLeast"/>
                      <w:jc w:val="center"/>
                    </w:trPr>
                    <w:tc>
                      <w:tcPr>
                        <w:tcW w:w="3686"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3</w:t>
                        </w:r>
                        <w:r>
                          <w:rPr>
                            <w:rFonts w:hint="eastAsia" w:ascii="宋体" w:hAnsi="宋体" w:cs="宋体"/>
                            <w:kern w:val="0"/>
                            <w:sz w:val="18"/>
                            <w:szCs w:val="18"/>
                            <w:lang w:val="en-US" w:eastAsia="zh-CN"/>
                          </w:rPr>
                          <w:t>.</w:t>
                        </w:r>
                        <w:r>
                          <w:rPr>
                            <w:rFonts w:hint="eastAsia" w:ascii="宋体" w:hAnsi="宋体" w:cs="宋体"/>
                            <w:kern w:val="0"/>
                            <w:sz w:val="18"/>
                            <w:szCs w:val="18"/>
                          </w:rPr>
                          <w:t>运送过程中严格按照运送标准和规范操作，标本规范收集、严格查对、不得随地乱放标本。</w:t>
                        </w:r>
                      </w:p>
                    </w:tc>
                    <w:tc>
                      <w:tcPr>
                        <w:tcW w:w="456"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10</w:t>
                        </w:r>
                      </w:p>
                    </w:tc>
                    <w:tc>
                      <w:tcPr>
                        <w:tcW w:w="3518"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未按规定要求进行每发现一次扣1分</w:t>
                        </w:r>
                      </w:p>
                    </w:tc>
                    <w:tc>
                      <w:tcPr>
                        <w:tcW w:w="1340"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155"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trHeight w:val="900" w:hRule="atLeast"/>
                      <w:jc w:val="center"/>
                    </w:trPr>
                    <w:tc>
                      <w:tcPr>
                        <w:tcW w:w="3686"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4</w:t>
                        </w:r>
                        <w:r>
                          <w:rPr>
                            <w:rFonts w:hint="eastAsia" w:ascii="宋体" w:hAnsi="宋体" w:cs="宋体"/>
                            <w:kern w:val="0"/>
                            <w:sz w:val="18"/>
                            <w:szCs w:val="18"/>
                            <w:lang w:val="en-US" w:eastAsia="zh-CN"/>
                          </w:rPr>
                          <w:t>.</w:t>
                        </w:r>
                        <w:r>
                          <w:rPr>
                            <w:rFonts w:hint="eastAsia" w:ascii="宋体" w:hAnsi="宋体" w:cs="宋体"/>
                            <w:kern w:val="0"/>
                            <w:sz w:val="18"/>
                            <w:szCs w:val="18"/>
                          </w:rPr>
                          <w:t>等待工作期间，严禁大声说话影响其他人员，或者做与工作无关的事情。运送人员按规定使用通讯工具（对讲机），不得在运输通讯工具中谈私话，不得制造噪音影响他人。</w:t>
                        </w:r>
                      </w:p>
                    </w:tc>
                    <w:tc>
                      <w:tcPr>
                        <w:tcW w:w="456"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10</w:t>
                        </w:r>
                      </w:p>
                    </w:tc>
                    <w:tc>
                      <w:tcPr>
                        <w:tcW w:w="3518"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未按规定要求进行每发现一次扣1分</w:t>
                        </w:r>
                      </w:p>
                    </w:tc>
                    <w:tc>
                      <w:tcPr>
                        <w:tcW w:w="1340"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155"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trHeight w:val="1413" w:hRule="atLeast"/>
                      <w:jc w:val="center"/>
                    </w:trPr>
                    <w:tc>
                      <w:tcPr>
                        <w:tcW w:w="3686"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5</w:t>
                        </w:r>
                        <w:r>
                          <w:rPr>
                            <w:rFonts w:hint="eastAsia" w:ascii="宋体" w:hAnsi="宋体" w:cs="宋体"/>
                            <w:kern w:val="0"/>
                            <w:sz w:val="18"/>
                            <w:szCs w:val="18"/>
                            <w:lang w:val="en-US" w:eastAsia="zh-CN"/>
                          </w:rPr>
                          <w:t>.</w:t>
                        </w:r>
                        <w:r>
                          <w:rPr>
                            <w:rFonts w:hint="eastAsia" w:ascii="宋体" w:hAnsi="宋体" w:cs="宋体"/>
                            <w:kern w:val="0"/>
                            <w:sz w:val="18"/>
                            <w:szCs w:val="18"/>
                          </w:rPr>
                          <w:t>运送标本、药品等过程中，准确、及时、无损坏遗失。杜绝故意拖延时间运送各类标本不按医院规定使用固定容器运输，导致标本损坏或者被污染。</w:t>
                        </w:r>
                      </w:p>
                    </w:tc>
                    <w:tc>
                      <w:tcPr>
                        <w:tcW w:w="456"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10</w:t>
                        </w:r>
                      </w:p>
                    </w:tc>
                    <w:tc>
                      <w:tcPr>
                        <w:tcW w:w="3518"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未按规定要求进行每发现一次扣1分</w:t>
                        </w:r>
                      </w:p>
                    </w:tc>
                    <w:tc>
                      <w:tcPr>
                        <w:tcW w:w="1340"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155"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trHeight w:val="1020" w:hRule="atLeast"/>
                      <w:jc w:val="center"/>
                    </w:trPr>
                    <w:tc>
                      <w:tcPr>
                        <w:tcW w:w="3686"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6</w:t>
                        </w:r>
                        <w:r>
                          <w:rPr>
                            <w:rFonts w:hint="eastAsia" w:ascii="宋体" w:hAnsi="宋体" w:cs="宋体"/>
                            <w:kern w:val="0"/>
                            <w:sz w:val="18"/>
                            <w:szCs w:val="18"/>
                            <w:lang w:val="en-US" w:eastAsia="zh-CN"/>
                          </w:rPr>
                          <w:t>.</w:t>
                        </w:r>
                        <w:r>
                          <w:rPr>
                            <w:rFonts w:hint="eastAsia" w:ascii="宋体" w:hAnsi="宋体" w:cs="宋体"/>
                            <w:kern w:val="0"/>
                            <w:sz w:val="18"/>
                            <w:szCs w:val="18"/>
                          </w:rPr>
                          <w:t>中央运送热线电话保持24小时畅通，如有线路故障应立即报告，杜绝故意让电话处于占线状态，杜绝夜班睡觉。</w:t>
                        </w:r>
                      </w:p>
                    </w:tc>
                    <w:tc>
                      <w:tcPr>
                        <w:tcW w:w="456"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10</w:t>
                        </w:r>
                      </w:p>
                    </w:tc>
                    <w:tc>
                      <w:tcPr>
                        <w:tcW w:w="3518"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未按规定要求进行每发现一次扣1分</w:t>
                        </w:r>
                      </w:p>
                    </w:tc>
                    <w:tc>
                      <w:tcPr>
                        <w:tcW w:w="1340"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155"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trHeight w:val="615" w:hRule="atLeast"/>
                      <w:jc w:val="center"/>
                    </w:trPr>
                    <w:tc>
                      <w:tcPr>
                        <w:tcW w:w="3686"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7</w:t>
                        </w:r>
                        <w:r>
                          <w:rPr>
                            <w:rFonts w:hint="eastAsia" w:ascii="宋体" w:hAnsi="宋体" w:cs="宋体"/>
                            <w:kern w:val="0"/>
                            <w:sz w:val="18"/>
                            <w:szCs w:val="18"/>
                            <w:lang w:val="en-US" w:eastAsia="zh-CN"/>
                          </w:rPr>
                          <w:t>.</w:t>
                        </w:r>
                        <w:r>
                          <w:rPr>
                            <w:rFonts w:hint="eastAsia" w:ascii="宋体" w:hAnsi="宋体" w:cs="宋体"/>
                            <w:kern w:val="0"/>
                            <w:sz w:val="18"/>
                            <w:szCs w:val="18"/>
                          </w:rPr>
                          <w:t>各类运送交接记录准确清晰，不得乱写、编造。</w:t>
                        </w:r>
                      </w:p>
                    </w:tc>
                    <w:tc>
                      <w:tcPr>
                        <w:tcW w:w="456"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10</w:t>
                        </w:r>
                      </w:p>
                    </w:tc>
                    <w:tc>
                      <w:tcPr>
                        <w:tcW w:w="3518"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未按规定要求进行每发现一次扣1分</w:t>
                        </w:r>
                      </w:p>
                    </w:tc>
                    <w:tc>
                      <w:tcPr>
                        <w:tcW w:w="1340"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155"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trHeight w:val="420" w:hRule="atLeast"/>
                      <w:jc w:val="center"/>
                    </w:trPr>
                    <w:tc>
                      <w:tcPr>
                        <w:tcW w:w="10155" w:type="dxa"/>
                        <w:gridSpan w:val="7"/>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b/>
                            <w:sz w:val="18"/>
                            <w:szCs w:val="18"/>
                          </w:rPr>
                        </w:pPr>
                        <w:r>
                          <w:rPr>
                            <w:rFonts w:hint="eastAsia" w:ascii="宋体" w:hAnsi="宋体" w:cs="宋体"/>
                            <w:b/>
                            <w:kern w:val="0"/>
                            <w:sz w:val="18"/>
                            <w:szCs w:val="18"/>
                          </w:rPr>
                          <w:t>（四）内部管理（10分）</w:t>
                        </w:r>
                      </w:p>
                    </w:tc>
                  </w:tr>
                  <w:tr>
                    <w:tblPrEx>
                      <w:tblLayout w:type="fixed"/>
                      <w:tblCellMar>
                        <w:top w:w="0" w:type="dxa"/>
                        <w:left w:w="108" w:type="dxa"/>
                        <w:bottom w:w="0" w:type="dxa"/>
                        <w:right w:w="108" w:type="dxa"/>
                      </w:tblCellMar>
                    </w:tblPrEx>
                    <w:trPr>
                      <w:trHeight w:val="615" w:hRule="atLeast"/>
                      <w:jc w:val="center"/>
                    </w:trPr>
                    <w:tc>
                      <w:tcPr>
                        <w:tcW w:w="3686"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1</w:t>
                        </w:r>
                        <w:r>
                          <w:rPr>
                            <w:rFonts w:hint="eastAsia" w:ascii="宋体" w:hAnsi="宋体" w:cs="宋体"/>
                            <w:kern w:val="0"/>
                            <w:sz w:val="18"/>
                            <w:szCs w:val="18"/>
                            <w:lang w:val="en-US" w:eastAsia="zh-CN"/>
                          </w:rPr>
                          <w:t>.</w:t>
                        </w:r>
                        <w:r>
                          <w:rPr>
                            <w:rFonts w:hint="eastAsia" w:ascii="宋体" w:hAnsi="宋体" w:cs="宋体"/>
                            <w:kern w:val="0"/>
                            <w:sz w:val="18"/>
                            <w:szCs w:val="18"/>
                          </w:rPr>
                          <w:t>中央运送人员教育、培训、管理到位。</w:t>
                        </w:r>
                      </w:p>
                    </w:tc>
                    <w:tc>
                      <w:tcPr>
                        <w:tcW w:w="456"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5</w:t>
                        </w:r>
                      </w:p>
                    </w:tc>
                    <w:tc>
                      <w:tcPr>
                        <w:tcW w:w="3518"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未达到要求每发现一次扣1分</w:t>
                        </w:r>
                      </w:p>
                    </w:tc>
                    <w:tc>
                      <w:tcPr>
                        <w:tcW w:w="1340"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155" w:type="dxa"/>
                        <w:gridSpan w:val="2"/>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trHeight w:val="615" w:hRule="atLeast"/>
                      <w:jc w:val="center"/>
                    </w:trPr>
                    <w:tc>
                      <w:tcPr>
                        <w:tcW w:w="3686"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2.运送工作各项责任范围明确到人，达到服务标准。</w:t>
                        </w:r>
                      </w:p>
                    </w:tc>
                    <w:tc>
                      <w:tcPr>
                        <w:tcW w:w="456"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kern w:val="0"/>
                            <w:sz w:val="18"/>
                            <w:szCs w:val="18"/>
                          </w:rPr>
                        </w:pPr>
                        <w:r>
                          <w:rPr>
                            <w:rFonts w:hint="eastAsia" w:ascii="宋体" w:hAnsi="宋体" w:cs="宋体"/>
                            <w:kern w:val="0"/>
                            <w:sz w:val="18"/>
                            <w:szCs w:val="18"/>
                          </w:rPr>
                          <w:t>5</w:t>
                        </w:r>
                      </w:p>
                    </w:tc>
                    <w:tc>
                      <w:tcPr>
                        <w:tcW w:w="3518"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kern w:val="0"/>
                            <w:sz w:val="18"/>
                            <w:szCs w:val="18"/>
                          </w:rPr>
                        </w:pPr>
                        <w:r>
                          <w:rPr>
                            <w:rFonts w:hint="eastAsia" w:ascii="宋体" w:hAnsi="宋体" w:cs="宋体"/>
                            <w:kern w:val="0"/>
                            <w:sz w:val="18"/>
                            <w:szCs w:val="18"/>
                          </w:rPr>
                          <w:t>未明确到人，未达到标准每一次扣2分</w:t>
                        </w:r>
                      </w:p>
                    </w:tc>
                    <w:tc>
                      <w:tcPr>
                        <w:tcW w:w="1340" w:type="dxa"/>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155" w:type="dxa"/>
                        <w:gridSpan w:val="2"/>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r>
                    <w:tblPrEx>
                      <w:tblLayout w:type="fixed"/>
                      <w:tblCellMar>
                        <w:top w:w="0" w:type="dxa"/>
                        <w:left w:w="108" w:type="dxa"/>
                        <w:bottom w:w="0" w:type="dxa"/>
                        <w:right w:w="108" w:type="dxa"/>
                      </w:tblCellMar>
                    </w:tblPrEx>
                    <w:trPr>
                      <w:trHeight w:val="495" w:hRule="atLeast"/>
                      <w:jc w:val="center"/>
                    </w:trPr>
                    <w:tc>
                      <w:tcPr>
                        <w:tcW w:w="7660" w:type="dxa"/>
                        <w:gridSpan w:val="4"/>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合计</w:t>
                        </w:r>
                      </w:p>
                    </w:tc>
                    <w:tc>
                      <w:tcPr>
                        <w:tcW w:w="1340"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155"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spacing w:line="360" w:lineRule="auto"/>
                          <w:jc w:val="left"/>
                          <w:rPr>
                            <w:rFonts w:ascii="宋体" w:hAnsi="宋体" w:cs="宋体"/>
                            <w:sz w:val="18"/>
                            <w:szCs w:val="18"/>
                          </w:rPr>
                        </w:pPr>
                      </w:p>
                    </w:tc>
                  </w:tr>
                </w:tbl>
                <w:p>
                  <w:pPr>
                    <w:widowControl/>
                    <w:spacing w:line="360" w:lineRule="auto"/>
                    <w:jc w:val="center"/>
                    <w:textAlignment w:val="center"/>
                    <w:rPr>
                      <w:rFonts w:ascii="宋体" w:hAnsi="宋体" w:cs="宋体"/>
                      <w:b/>
                      <w:sz w:val="28"/>
                      <w:szCs w:val="28"/>
                    </w:rPr>
                  </w:pPr>
                </w:p>
              </w:tc>
            </w:tr>
          </w:tbl>
          <w:p>
            <w:pPr>
              <w:widowControl/>
              <w:spacing w:line="360" w:lineRule="auto"/>
              <w:jc w:val="left"/>
              <w:textAlignment w:val="center"/>
              <w:rPr>
                <w:rFonts w:ascii="宋体" w:hAnsi="宋体" w:cs="宋体"/>
                <w:kern w:val="0"/>
                <w:sz w:val="24"/>
                <w:szCs w:val="24"/>
              </w:rPr>
            </w:pPr>
          </w:p>
        </w:tc>
      </w:tr>
      <w:tr>
        <w:tblPrEx>
          <w:tblLayout w:type="fixed"/>
          <w:tblCellMar>
            <w:top w:w="0" w:type="dxa"/>
            <w:left w:w="108" w:type="dxa"/>
            <w:bottom w:w="0" w:type="dxa"/>
            <w:right w:w="108" w:type="dxa"/>
          </w:tblCellMar>
        </w:tblPrEx>
        <w:trPr>
          <w:gridAfter w:val="1"/>
          <w:wAfter w:w="448" w:type="dxa"/>
          <w:trHeight w:val="495" w:hRule="atLeast"/>
          <w:jc w:val="center"/>
        </w:trPr>
        <w:tc>
          <w:tcPr>
            <w:tcW w:w="10185" w:type="dxa"/>
            <w:gridSpan w:val="5"/>
            <w:tcMar>
              <w:top w:w="15" w:type="dxa"/>
              <w:left w:w="15" w:type="dxa"/>
              <w:bottom w:w="15" w:type="dxa"/>
              <w:right w:w="15" w:type="dxa"/>
            </w:tcMar>
            <w:vAlign w:val="center"/>
          </w:tcPr>
          <w:p>
            <w:pPr>
              <w:widowControl/>
              <w:spacing w:line="360" w:lineRule="auto"/>
              <w:jc w:val="left"/>
              <w:textAlignment w:val="center"/>
              <w:rPr>
                <w:rFonts w:ascii="宋体" w:hAnsi="宋体" w:cs="宋体"/>
                <w:b/>
                <w:kern w:val="0"/>
                <w:sz w:val="28"/>
                <w:szCs w:val="28"/>
              </w:rPr>
            </w:pPr>
          </w:p>
          <w:p>
            <w:pPr>
              <w:widowControl/>
              <w:spacing w:line="360" w:lineRule="auto"/>
              <w:jc w:val="left"/>
              <w:textAlignment w:val="center"/>
              <w:rPr>
                <w:rFonts w:ascii="宋体" w:hAnsi="宋体" w:cs="宋体"/>
                <w:b/>
                <w:kern w:val="0"/>
                <w:sz w:val="28"/>
                <w:szCs w:val="28"/>
              </w:rPr>
            </w:pPr>
            <w:r>
              <w:rPr>
                <w:rFonts w:hint="eastAsia" w:ascii="宋体" w:hAnsi="宋体" w:cs="宋体"/>
                <w:b/>
                <w:kern w:val="0"/>
                <w:sz w:val="28"/>
                <w:szCs w:val="28"/>
              </w:rPr>
              <w:t>（三）院感环境清洁卫生质量考核标准（总分值25%）</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考核方法：</w:t>
            </w:r>
          </w:p>
          <w:p>
            <w:pPr>
              <w:widowControl/>
              <w:spacing w:line="360" w:lineRule="auto"/>
              <w:ind w:firstLine="480"/>
              <w:jc w:val="left"/>
              <w:rPr>
                <w:rFonts w:ascii="宋体" w:hAnsi="宋体" w:cs="宋体"/>
                <w:sz w:val="28"/>
                <w:szCs w:val="28"/>
              </w:rPr>
            </w:pPr>
            <w:r>
              <w:rPr>
                <w:rFonts w:hint="eastAsia" w:ascii="宋体" w:hAnsi="宋体" w:cs="宋体"/>
                <w:sz w:val="28"/>
                <w:szCs w:val="28"/>
              </w:rPr>
              <w:t>（1）感官考核方法与标准：通过视觉检查、嗅觉检查、擦拭检查等方法，感官标准，并配有相应的现场检查表。</w:t>
            </w:r>
          </w:p>
          <w:p>
            <w:pPr>
              <w:widowControl/>
              <w:spacing w:line="360" w:lineRule="auto"/>
              <w:ind w:firstLine="480"/>
              <w:jc w:val="left"/>
              <w:rPr>
                <w:rFonts w:ascii="宋体" w:hAnsi="宋体" w:cs="宋体"/>
                <w:sz w:val="28"/>
                <w:szCs w:val="28"/>
              </w:rPr>
            </w:pPr>
            <w:r>
              <w:rPr>
                <w:rFonts w:hint="eastAsia" w:ascii="宋体" w:hAnsi="宋体" w:cs="宋体"/>
                <w:sz w:val="28"/>
                <w:szCs w:val="28"/>
              </w:rPr>
              <w:t>视觉检查，用视觉观察环境是否卫生整洁、表面是否有血液等污渍污迹、地面有无纸屑果皮、空调出风口栅栏是否有积尘、室内有无蜘蛛网、卫生间是否有明显水迹、窗户玻璃是否明亮等。</w:t>
            </w:r>
          </w:p>
          <w:p>
            <w:pPr>
              <w:widowControl/>
              <w:spacing w:line="360" w:lineRule="auto"/>
              <w:ind w:firstLine="480"/>
              <w:jc w:val="left"/>
              <w:rPr>
                <w:rFonts w:ascii="宋体" w:hAnsi="宋体" w:cs="宋体"/>
                <w:sz w:val="28"/>
                <w:szCs w:val="28"/>
              </w:rPr>
            </w:pPr>
            <w:r>
              <w:rPr>
                <w:rFonts w:hint="eastAsia" w:ascii="宋体" w:hAnsi="宋体" w:cs="宋体"/>
                <w:sz w:val="28"/>
                <w:szCs w:val="28"/>
              </w:rPr>
              <w:t>嗅觉检查，房间、卫生间不得有除消毒剂、清洁剂以外的异味。</w:t>
            </w:r>
          </w:p>
          <w:p>
            <w:pPr>
              <w:widowControl/>
              <w:spacing w:line="360" w:lineRule="auto"/>
              <w:ind w:firstLine="480"/>
              <w:jc w:val="left"/>
              <w:rPr>
                <w:rFonts w:ascii="宋体" w:hAnsi="宋体" w:cs="宋体"/>
                <w:sz w:val="28"/>
                <w:szCs w:val="28"/>
              </w:rPr>
            </w:pPr>
            <w:r>
              <w:rPr>
                <w:rFonts w:hint="eastAsia" w:ascii="宋体" w:hAnsi="宋体" w:cs="宋体"/>
                <w:sz w:val="28"/>
                <w:szCs w:val="28"/>
              </w:rPr>
              <w:t>擦拭检查，检查人员可佩戴白色手套，或手持白色清洁纱布，擦拭环境表面是否有明显积尘。</w:t>
            </w:r>
          </w:p>
          <w:p>
            <w:pPr>
              <w:widowControl/>
              <w:spacing w:line="360" w:lineRule="auto"/>
              <w:ind w:firstLine="480"/>
              <w:jc w:val="left"/>
              <w:rPr>
                <w:rFonts w:ascii="宋体" w:hAnsi="宋体" w:cs="宋体"/>
                <w:sz w:val="28"/>
                <w:szCs w:val="28"/>
              </w:rPr>
            </w:pPr>
            <w:r>
              <w:rPr>
                <w:rFonts w:hint="eastAsia" w:ascii="宋体" w:hAnsi="宋体" w:cs="宋体"/>
                <w:sz w:val="28"/>
                <w:szCs w:val="28"/>
              </w:rPr>
              <w:t>感官标准，卫生整洁、表面无血液等污渍污迹、地面无纸屑果皮、空调出风口栅栏无积尘、室内无蜘蛛网、卫生间无明显水迹、窗户玻璃明亮干净；病房、卫生间无异味；以及室内等处无成蝇、无鼠迹和蟑迹等。</w:t>
            </w:r>
          </w:p>
          <w:p>
            <w:pPr>
              <w:widowControl/>
              <w:spacing w:line="360" w:lineRule="auto"/>
              <w:ind w:firstLine="480"/>
              <w:jc w:val="left"/>
              <w:rPr>
                <w:rFonts w:ascii="宋体" w:hAnsi="宋体" w:cs="宋体"/>
                <w:sz w:val="28"/>
                <w:szCs w:val="28"/>
              </w:rPr>
            </w:pPr>
            <w:r>
              <w:rPr>
                <w:rFonts w:hint="eastAsia" w:ascii="宋体" w:hAnsi="宋体" w:cs="宋体"/>
                <w:sz w:val="28"/>
                <w:szCs w:val="28"/>
              </w:rPr>
              <w:t>（2）化学法考核方法与标准：荧光标记法是采用水溶性荧光试剂标记在邻近患者诊疗区域内高频接触的环境和物体表面，没有紫外线灯的光照射不易被保洁人员发现。通过检查荧光标记物是否被保洁人员有效清除，来考核保洁人员的工作质量。化学法考核方法系现场监测技术，具有较好的时效性。</w:t>
            </w:r>
          </w:p>
          <w:p>
            <w:pPr>
              <w:widowControl/>
              <w:spacing w:line="360" w:lineRule="auto"/>
              <w:ind w:firstLine="480"/>
              <w:jc w:val="left"/>
              <w:rPr>
                <w:rFonts w:ascii="宋体" w:hAnsi="宋体" w:cs="宋体"/>
                <w:sz w:val="28"/>
                <w:szCs w:val="28"/>
              </w:rPr>
            </w:pPr>
            <w:r>
              <w:rPr>
                <w:rFonts w:hint="eastAsia" w:ascii="宋体" w:hAnsi="宋体" w:cs="宋体"/>
                <w:sz w:val="28"/>
                <w:szCs w:val="28"/>
              </w:rPr>
              <w:t>（3）微生物考核方法与标准：具体采样方法参照GB15982-2012《医院消毒卫生标准》附录A。</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（4）满意度调查方法与标准：定期和不定期开展无记名问卷调查，调查对象应包括患者、医务人员、患者家属和来访者等。满意度等级可分为非常满意、满意、基本满意、不满意和很不满意等。</w:t>
            </w:r>
          </w:p>
          <w:p>
            <w:pPr>
              <w:widowControl/>
              <w:spacing w:line="360" w:lineRule="auto"/>
              <w:ind w:firstLine="480"/>
              <w:jc w:val="left"/>
              <w:rPr>
                <w:rFonts w:ascii="宋体" w:hAnsi="宋体" w:cs="宋体"/>
                <w:sz w:val="28"/>
                <w:szCs w:val="28"/>
              </w:rPr>
            </w:pPr>
            <w:r>
              <w:rPr>
                <w:rFonts w:hint="eastAsia" w:ascii="宋体" w:hAnsi="宋体" w:cs="宋体"/>
                <w:sz w:val="28"/>
                <w:szCs w:val="28"/>
              </w:rPr>
              <w:t>各类环境污染危险度适用的卫生等级、考核标准与考核方法汇总如下（见附表）。</w:t>
            </w:r>
          </w:p>
          <w:p>
            <w:pPr>
              <w:widowControl/>
              <w:spacing w:line="360" w:lineRule="auto"/>
              <w:jc w:val="left"/>
              <w:rPr>
                <w:rFonts w:ascii="宋体" w:hAnsi="宋体" w:cs="宋体"/>
                <w:kern w:val="0"/>
                <w:sz w:val="24"/>
                <w:szCs w:val="24"/>
              </w:rPr>
            </w:pPr>
            <w:r>
              <w:rPr>
                <w:rFonts w:hint="eastAsia" w:ascii="宋体" w:hAnsi="宋体" w:cs="宋体"/>
                <w:b/>
                <w:kern w:val="0"/>
                <w:sz w:val="30"/>
                <w:szCs w:val="30"/>
              </w:rPr>
              <w:t>附表一：</w:t>
            </w:r>
          </w:p>
          <w:p>
            <w:pPr>
              <w:widowControl/>
              <w:spacing w:line="360" w:lineRule="auto"/>
              <w:jc w:val="center"/>
              <w:rPr>
                <w:rFonts w:ascii="宋体" w:hAnsi="宋体" w:cs="宋体"/>
                <w:b/>
                <w:kern w:val="0"/>
                <w:sz w:val="30"/>
                <w:szCs w:val="30"/>
              </w:rPr>
            </w:pPr>
            <w:r>
              <w:rPr>
                <w:rFonts w:hint="eastAsia" w:ascii="宋体" w:hAnsi="宋体" w:cs="宋体"/>
                <w:b/>
                <w:kern w:val="0"/>
                <w:sz w:val="30"/>
                <w:szCs w:val="30"/>
              </w:rPr>
              <w:t>各类环境感染危险度适用的卫生等级、考核标准与考核方法</w:t>
            </w:r>
          </w:p>
          <w:p>
            <w:pPr>
              <w:widowControl/>
              <w:spacing w:line="360" w:lineRule="auto"/>
              <w:jc w:val="left"/>
              <w:rPr>
                <w:rFonts w:ascii="宋体" w:hAnsi="宋体" w:cs="宋体"/>
                <w:b/>
                <w:kern w:val="0"/>
                <w:sz w:val="24"/>
                <w:szCs w:val="24"/>
              </w:rPr>
            </w:pPr>
          </w:p>
          <w:tbl>
            <w:tblPr>
              <w:tblStyle w:val="48"/>
              <w:tblW w:w="9781" w:type="dxa"/>
              <w:tblInd w:w="98"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1800"/>
              <w:gridCol w:w="1080"/>
              <w:gridCol w:w="1370"/>
              <w:gridCol w:w="853"/>
              <w:gridCol w:w="993"/>
              <w:gridCol w:w="1134"/>
              <w:gridCol w:w="1275"/>
              <w:gridCol w:w="1276"/>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shd w:val="clear" w:color="auto" w:fill="FFFFFF"/>
                <w:tblLayout w:type="fixed"/>
                <w:tblCellMar>
                  <w:top w:w="0" w:type="dxa"/>
                  <w:left w:w="0" w:type="dxa"/>
                  <w:bottom w:w="0" w:type="dxa"/>
                  <w:right w:w="0" w:type="dxa"/>
                </w:tblCellMar>
              </w:tblPrEx>
              <w:tc>
                <w:tcPr>
                  <w:tcW w:w="1800" w:type="dxa"/>
                  <w:vMerge w:val="restart"/>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危险度</w:t>
                  </w:r>
                </w:p>
              </w:tc>
              <w:tc>
                <w:tcPr>
                  <w:tcW w:w="1080" w:type="dxa"/>
                  <w:vMerge w:val="restart"/>
                  <w:tcBorders>
                    <w:top w:val="single" w:color="auto" w:sz="8"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卫生等级</w:t>
                  </w:r>
                </w:p>
              </w:tc>
              <w:tc>
                <w:tcPr>
                  <w:tcW w:w="1370" w:type="dxa"/>
                  <w:vMerge w:val="restart"/>
                  <w:tcBorders>
                    <w:top w:val="single" w:color="auto" w:sz="8"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考核标准</w:t>
                  </w:r>
                </w:p>
              </w:tc>
              <w:tc>
                <w:tcPr>
                  <w:tcW w:w="5531" w:type="dxa"/>
                  <w:gridSpan w:val="5"/>
                  <w:tcBorders>
                    <w:top w:val="single" w:color="auto" w:sz="8"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考核方法</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c>
                <w:tcPr>
                  <w:tcW w:w="1800" w:type="dxa"/>
                  <w:vMerge w:val="continue"/>
                  <w:tcBorders>
                    <w:top w:val="single" w:color="auto" w:sz="8" w:space="0"/>
                    <w:left w:val="single" w:color="auto" w:sz="8" w:space="0"/>
                    <w:bottom w:val="single" w:color="auto" w:sz="8" w:space="0"/>
                    <w:right w:val="single" w:color="auto" w:sz="8" w:space="0"/>
                  </w:tcBorders>
                  <w:shd w:val="clear" w:color="auto" w:fill="FFFFFF"/>
                  <w:vAlign w:val="center"/>
                </w:tcPr>
                <w:p>
                  <w:pPr>
                    <w:widowControl/>
                    <w:spacing w:line="360" w:lineRule="auto"/>
                    <w:jc w:val="left"/>
                    <w:rPr>
                      <w:rFonts w:ascii="宋体" w:hAnsi="宋体" w:cs="宋体"/>
                      <w:kern w:val="0"/>
                      <w:szCs w:val="21"/>
                    </w:rPr>
                  </w:pPr>
                </w:p>
              </w:tc>
              <w:tc>
                <w:tcPr>
                  <w:tcW w:w="1080" w:type="dxa"/>
                  <w:vMerge w:val="continue"/>
                  <w:tcBorders>
                    <w:top w:val="single" w:color="auto" w:sz="8" w:space="0"/>
                    <w:left w:val="outset" w:color="000000" w:sz="2" w:space="0"/>
                    <w:bottom w:val="single" w:color="auto" w:sz="8" w:space="0"/>
                    <w:right w:val="single" w:color="auto" w:sz="8" w:space="0"/>
                  </w:tcBorders>
                  <w:shd w:val="clear" w:color="auto" w:fill="FFFFFF"/>
                  <w:vAlign w:val="center"/>
                </w:tcPr>
                <w:p>
                  <w:pPr>
                    <w:widowControl/>
                    <w:spacing w:line="360" w:lineRule="auto"/>
                    <w:jc w:val="left"/>
                    <w:rPr>
                      <w:rFonts w:ascii="宋体" w:hAnsi="宋体" w:cs="宋体"/>
                      <w:kern w:val="0"/>
                      <w:szCs w:val="21"/>
                    </w:rPr>
                  </w:pPr>
                </w:p>
              </w:tc>
              <w:tc>
                <w:tcPr>
                  <w:tcW w:w="1370" w:type="dxa"/>
                  <w:vMerge w:val="continue"/>
                  <w:tcBorders>
                    <w:top w:val="single" w:color="auto" w:sz="8" w:space="0"/>
                    <w:left w:val="outset" w:color="000000" w:sz="2" w:space="0"/>
                    <w:bottom w:val="single" w:color="auto" w:sz="8" w:space="0"/>
                    <w:right w:val="single" w:color="auto" w:sz="8" w:space="0"/>
                  </w:tcBorders>
                  <w:shd w:val="clear" w:color="auto" w:fill="FFFFFF"/>
                  <w:vAlign w:val="center"/>
                </w:tcPr>
                <w:p>
                  <w:pPr>
                    <w:widowControl/>
                    <w:spacing w:line="360" w:lineRule="auto"/>
                    <w:jc w:val="left"/>
                    <w:rPr>
                      <w:rFonts w:ascii="宋体" w:hAnsi="宋体" w:cs="宋体"/>
                      <w:kern w:val="0"/>
                      <w:szCs w:val="21"/>
                    </w:rPr>
                  </w:pPr>
                </w:p>
              </w:tc>
              <w:tc>
                <w:tcPr>
                  <w:tcW w:w="853"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感官法</w:t>
                  </w:r>
                </w:p>
              </w:tc>
              <w:tc>
                <w:tcPr>
                  <w:tcW w:w="993"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荧光法</w:t>
                  </w:r>
                </w:p>
              </w:tc>
              <w:tc>
                <w:tcPr>
                  <w:tcW w:w="1134"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ATP法</w:t>
                  </w:r>
                </w:p>
              </w:tc>
              <w:tc>
                <w:tcPr>
                  <w:tcW w:w="1275"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微生物法</w:t>
                  </w:r>
                </w:p>
              </w:tc>
              <w:tc>
                <w:tcPr>
                  <w:tcW w:w="1276"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满意度</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c>
                <w:tcPr>
                  <w:tcW w:w="1800" w:type="dxa"/>
                  <w:tcBorders>
                    <w:top w:val="outset" w:color="000000" w:sz="2"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低度污染区域</w:t>
                  </w:r>
                </w:p>
              </w:tc>
              <w:tc>
                <w:tcPr>
                  <w:tcW w:w="1080"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清洁</w:t>
                  </w:r>
                </w:p>
              </w:tc>
              <w:tc>
                <w:tcPr>
                  <w:tcW w:w="1370"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感官考核方法与标准</w:t>
                  </w:r>
                </w:p>
              </w:tc>
              <w:tc>
                <w:tcPr>
                  <w:tcW w:w="853"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c>
                <w:tcPr>
                  <w:tcW w:w="993"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c>
                <w:tcPr>
                  <w:tcW w:w="1134"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c>
                <w:tcPr>
                  <w:tcW w:w="1275"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c>
                <w:tcPr>
                  <w:tcW w:w="1276"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c>
                <w:tcPr>
                  <w:tcW w:w="1800" w:type="dxa"/>
                  <w:tcBorders>
                    <w:top w:val="outset" w:color="000000" w:sz="2"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中度污染区域</w:t>
                  </w:r>
                </w:p>
              </w:tc>
              <w:tc>
                <w:tcPr>
                  <w:tcW w:w="1080"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卫生</w:t>
                  </w:r>
                </w:p>
              </w:tc>
              <w:tc>
                <w:tcPr>
                  <w:tcW w:w="1370"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GB15982</w:t>
                  </w:r>
                </w:p>
              </w:tc>
              <w:tc>
                <w:tcPr>
                  <w:tcW w:w="853"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c>
                <w:tcPr>
                  <w:tcW w:w="993"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c>
                <w:tcPr>
                  <w:tcW w:w="1134"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c>
                <w:tcPr>
                  <w:tcW w:w="1275"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暴发时</w:t>
                  </w:r>
                </w:p>
              </w:tc>
              <w:tc>
                <w:tcPr>
                  <w:tcW w:w="1276"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c>
                <w:tcPr>
                  <w:tcW w:w="1800" w:type="dxa"/>
                  <w:tcBorders>
                    <w:top w:val="outset" w:color="000000" w:sz="2"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高度污染区域</w:t>
                  </w:r>
                </w:p>
              </w:tc>
              <w:tc>
                <w:tcPr>
                  <w:tcW w:w="1080"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w:t>
                  </w:r>
                </w:p>
              </w:tc>
              <w:tc>
                <w:tcPr>
                  <w:tcW w:w="1370"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GB15982</w:t>
                  </w:r>
                </w:p>
              </w:tc>
              <w:tc>
                <w:tcPr>
                  <w:tcW w:w="853"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c>
                <w:tcPr>
                  <w:tcW w:w="993"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c>
                <w:tcPr>
                  <w:tcW w:w="1134"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c>
                <w:tcPr>
                  <w:tcW w:w="1275"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暴发时</w:t>
                  </w:r>
                </w:p>
              </w:tc>
              <w:tc>
                <w:tcPr>
                  <w:tcW w:w="1276"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c>
                <w:tcPr>
                  <w:tcW w:w="1800" w:type="dxa"/>
                  <w:tcBorders>
                    <w:top w:val="outset" w:color="000000" w:sz="2"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极度污染区域</w:t>
                  </w:r>
                </w:p>
              </w:tc>
              <w:tc>
                <w:tcPr>
                  <w:tcW w:w="1080"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消毒</w:t>
                  </w:r>
                </w:p>
              </w:tc>
              <w:tc>
                <w:tcPr>
                  <w:tcW w:w="1370"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GB15982</w:t>
                  </w:r>
                </w:p>
              </w:tc>
              <w:tc>
                <w:tcPr>
                  <w:tcW w:w="853"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c>
                <w:tcPr>
                  <w:tcW w:w="993"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c>
                <w:tcPr>
                  <w:tcW w:w="1134"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c>
                <w:tcPr>
                  <w:tcW w:w="1275"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暴发时</w:t>
                  </w:r>
                </w:p>
              </w:tc>
              <w:tc>
                <w:tcPr>
                  <w:tcW w:w="1276" w:type="dxa"/>
                  <w:tcBorders>
                    <w:top w:val="outset" w:color="000000" w:sz="2" w:space="0"/>
                    <w:left w:val="outset" w:color="000000" w:sz="2"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center"/>
                    <w:rPr>
                      <w:rFonts w:ascii="宋体" w:hAnsi="宋体" w:cs="宋体"/>
                      <w:kern w:val="0"/>
                      <w:szCs w:val="21"/>
                    </w:rPr>
                  </w:pPr>
                  <w:r>
                    <w:rPr>
                      <w:rFonts w:hint="eastAsia" w:ascii="宋体" w:hAnsi="宋体" w:cs="宋体"/>
                      <w:kern w:val="0"/>
                      <w:szCs w:val="21"/>
                    </w:rPr>
                    <w:t>√</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c>
                <w:tcPr>
                  <w:tcW w:w="9781" w:type="dxa"/>
                  <w:gridSpan w:val="8"/>
                  <w:tcBorders>
                    <w:top w:val="outset" w:color="000000" w:sz="2"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得分合计：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c>
                <w:tcPr>
                  <w:tcW w:w="9781" w:type="dxa"/>
                  <w:gridSpan w:val="8"/>
                  <w:tcBorders>
                    <w:top w:val="outset" w:color="000000" w:sz="2"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扣分原因：</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c>
                <w:tcPr>
                  <w:tcW w:w="9781" w:type="dxa"/>
                  <w:gridSpan w:val="8"/>
                  <w:tcBorders>
                    <w:top w:val="outset" w:color="000000" w:sz="2"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注1：“√”表示宜采用的方法。不符合院感要求的发现一处扣5分。</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c>
                <w:tcPr>
                  <w:tcW w:w="9781" w:type="dxa"/>
                  <w:gridSpan w:val="8"/>
                  <w:tcBorders>
                    <w:top w:val="outset" w:color="000000" w:sz="2" w:space="0"/>
                    <w:left w:val="single" w:color="auto" w:sz="8" w:space="0"/>
                    <w:bottom w:val="outset" w:color="000000" w:sz="2"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注2：“×”表示不宜采用的方法。不符合院感要求的发现一处扣5分。</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Ex>
              <w:tc>
                <w:tcPr>
                  <w:tcW w:w="9781" w:type="dxa"/>
                  <w:gridSpan w:val="8"/>
                  <w:tcBorders>
                    <w:top w:val="outset" w:color="000000" w:sz="2"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本项考核占院感总分值25%中的60%。</w:t>
                  </w:r>
                </w:p>
              </w:tc>
            </w:tr>
          </w:tbl>
          <w:p>
            <w:pPr>
              <w:widowControl/>
              <w:spacing w:line="360" w:lineRule="auto"/>
              <w:jc w:val="left"/>
              <w:rPr>
                <w:rFonts w:ascii="宋体" w:hAnsi="宋体" w:cs="宋体"/>
                <w:b/>
                <w:kern w:val="0"/>
                <w:sz w:val="30"/>
                <w:szCs w:val="30"/>
              </w:rPr>
            </w:pPr>
          </w:p>
          <w:p>
            <w:pPr>
              <w:widowControl/>
              <w:spacing w:line="360" w:lineRule="auto"/>
              <w:jc w:val="left"/>
              <w:rPr>
                <w:rFonts w:ascii="宋体" w:hAnsi="宋体" w:cs="宋体"/>
                <w:b/>
                <w:kern w:val="0"/>
                <w:sz w:val="30"/>
                <w:szCs w:val="30"/>
              </w:rPr>
            </w:pPr>
          </w:p>
          <w:p>
            <w:pPr>
              <w:widowControl/>
              <w:spacing w:line="360" w:lineRule="auto"/>
              <w:jc w:val="left"/>
              <w:rPr>
                <w:rFonts w:ascii="宋体" w:hAnsi="宋体" w:cs="宋体"/>
                <w:b/>
                <w:kern w:val="0"/>
                <w:sz w:val="30"/>
                <w:szCs w:val="30"/>
              </w:rPr>
            </w:pPr>
          </w:p>
          <w:p>
            <w:pPr>
              <w:widowControl/>
              <w:spacing w:line="360" w:lineRule="auto"/>
              <w:jc w:val="left"/>
              <w:rPr>
                <w:rFonts w:ascii="宋体" w:hAnsi="宋体" w:cs="宋体"/>
                <w:b/>
                <w:kern w:val="0"/>
                <w:sz w:val="30"/>
                <w:szCs w:val="30"/>
              </w:rPr>
            </w:pPr>
            <w:r>
              <w:rPr>
                <w:rFonts w:hint="eastAsia" w:ascii="宋体" w:hAnsi="宋体" w:cs="宋体"/>
                <w:b/>
                <w:kern w:val="0"/>
                <w:sz w:val="30"/>
                <w:szCs w:val="30"/>
              </w:rPr>
              <w:t>附表二：保洁人员工作防护着装要求</w:t>
            </w:r>
          </w:p>
          <w:tbl>
            <w:tblPr>
              <w:tblStyle w:val="48"/>
              <w:tblW w:w="9923" w:type="dxa"/>
              <w:tblInd w:w="98" w:type="dxa"/>
              <w:shd w:val="clear" w:color="auto" w:fill="FFFFFF"/>
              <w:tblLayout w:type="fixed"/>
              <w:tblCellMar>
                <w:top w:w="0" w:type="dxa"/>
                <w:left w:w="0" w:type="dxa"/>
                <w:bottom w:w="0" w:type="dxa"/>
                <w:right w:w="0" w:type="dxa"/>
              </w:tblCellMar>
            </w:tblPr>
            <w:tblGrid>
              <w:gridCol w:w="1992"/>
              <w:gridCol w:w="1080"/>
              <w:gridCol w:w="888"/>
              <w:gridCol w:w="900"/>
              <w:gridCol w:w="1260"/>
              <w:gridCol w:w="1393"/>
              <w:gridCol w:w="851"/>
              <w:gridCol w:w="1559"/>
            </w:tblGrid>
            <w:tr>
              <w:tblPrEx>
                <w:shd w:val="clear" w:color="auto" w:fill="FFFFFF"/>
                <w:tblLayout w:type="fixed"/>
                <w:tblCellMar>
                  <w:top w:w="0" w:type="dxa"/>
                  <w:left w:w="0" w:type="dxa"/>
                  <w:bottom w:w="0" w:type="dxa"/>
                  <w:right w:w="0" w:type="dxa"/>
                </w:tblCellMar>
              </w:tblPrEx>
              <w:trPr>
                <w:trHeight w:val="600" w:hRule="atLeast"/>
              </w:trPr>
              <w:tc>
                <w:tcPr>
                  <w:tcW w:w="1992" w:type="dxa"/>
                  <w:vMerge w:val="restart"/>
                  <w:tcBorders>
                    <w:top w:val="single" w:color="auto" w:sz="8" w:space="0"/>
                    <w:left w:val="single" w:color="auto" w:sz="8" w:space="0"/>
                    <w:bottom w:val="single" w:color="000000"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操作</w:t>
                  </w:r>
                </w:p>
              </w:tc>
              <w:tc>
                <w:tcPr>
                  <w:tcW w:w="7931" w:type="dxa"/>
                  <w:gridSpan w:val="7"/>
                  <w:tcBorders>
                    <w:top w:val="single" w:color="auto" w:sz="8" w:space="0"/>
                    <w:left w:val="nil"/>
                    <w:bottom w:val="single" w:color="auto" w:sz="4" w:space="0"/>
                    <w:right w:val="single" w:color="000000"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防护着装</w:t>
                  </w:r>
                </w:p>
              </w:tc>
            </w:tr>
            <w:tr>
              <w:tblPrEx>
                <w:tblLayout w:type="fixed"/>
                <w:tblCellMar>
                  <w:top w:w="0" w:type="dxa"/>
                  <w:left w:w="0" w:type="dxa"/>
                  <w:bottom w:w="0" w:type="dxa"/>
                  <w:right w:w="0" w:type="dxa"/>
                </w:tblCellMar>
              </w:tblPrEx>
              <w:trPr>
                <w:trHeight w:val="600" w:hRule="atLeast"/>
              </w:trPr>
              <w:tc>
                <w:tcPr>
                  <w:tcW w:w="1992" w:type="dxa"/>
                  <w:vMerge w:val="continue"/>
                  <w:tcBorders>
                    <w:top w:val="single" w:color="auto" w:sz="8" w:space="0"/>
                    <w:left w:val="single" w:color="auto" w:sz="8" w:space="0"/>
                    <w:bottom w:val="single" w:color="000000" w:sz="8" w:space="0"/>
                    <w:right w:val="single" w:color="auto" w:sz="8" w:space="0"/>
                  </w:tcBorders>
                  <w:shd w:val="clear" w:color="auto" w:fill="FFFFFF"/>
                  <w:vAlign w:val="center"/>
                </w:tcPr>
                <w:p>
                  <w:pPr>
                    <w:widowControl/>
                    <w:spacing w:line="360" w:lineRule="auto"/>
                    <w:jc w:val="left"/>
                    <w:rPr>
                      <w:rFonts w:ascii="宋体" w:hAnsi="宋体" w:cs="宋体"/>
                      <w:b/>
                      <w:kern w:val="0"/>
                      <w:szCs w:val="21"/>
                    </w:rPr>
                  </w:pPr>
                </w:p>
              </w:tc>
              <w:tc>
                <w:tcPr>
                  <w:tcW w:w="1080" w:type="dxa"/>
                  <w:tcBorders>
                    <w:top w:val="single" w:color="auto" w:sz="8" w:space="0"/>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工作服</w:t>
                  </w:r>
                </w:p>
              </w:tc>
              <w:tc>
                <w:tcPr>
                  <w:tcW w:w="888"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圆帽</w:t>
                  </w:r>
                </w:p>
              </w:tc>
              <w:tc>
                <w:tcPr>
                  <w:tcW w:w="90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口罩</w:t>
                  </w:r>
                </w:p>
              </w:tc>
              <w:tc>
                <w:tcPr>
                  <w:tcW w:w="126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隔离衣/防水围裙</w:t>
                  </w:r>
                </w:p>
              </w:tc>
              <w:tc>
                <w:tcPr>
                  <w:tcW w:w="1393"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靴</w:t>
                  </w:r>
                </w:p>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/鞋套</w:t>
                  </w:r>
                </w:p>
              </w:tc>
              <w:tc>
                <w:tcPr>
                  <w:tcW w:w="851"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手套</w:t>
                  </w:r>
                </w:p>
              </w:tc>
              <w:tc>
                <w:tcPr>
                  <w:tcW w:w="1559"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护目镜/面罩</w:t>
                  </w:r>
                </w:p>
              </w:tc>
            </w:tr>
            <w:tr>
              <w:tblPrEx>
                <w:tblLayout w:type="fixed"/>
                <w:tblCellMar>
                  <w:top w:w="0" w:type="dxa"/>
                  <w:left w:w="0" w:type="dxa"/>
                  <w:bottom w:w="0" w:type="dxa"/>
                  <w:right w:w="0" w:type="dxa"/>
                </w:tblCellMar>
              </w:tblPrEx>
              <w:trPr>
                <w:trHeight w:val="600" w:hRule="atLeast"/>
              </w:trPr>
              <w:tc>
                <w:tcPr>
                  <w:tcW w:w="1992" w:type="dxa"/>
                  <w:tcBorders>
                    <w:top w:val="nil"/>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处理医疗废物</w:t>
                  </w:r>
                </w:p>
              </w:tc>
              <w:tc>
                <w:tcPr>
                  <w:tcW w:w="108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888"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90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26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r>
                    <w:rPr>
                      <w:rFonts w:hint="eastAsia" w:ascii="宋体" w:hAnsi="宋体" w:cs="宋体"/>
                      <w:b/>
                      <w:kern w:val="0"/>
                      <w:szCs w:val="21"/>
                      <w:vertAlign w:val="subscript"/>
                    </w:rPr>
                    <w:t>注</w:t>
                  </w:r>
                </w:p>
              </w:tc>
              <w:tc>
                <w:tcPr>
                  <w:tcW w:w="1393"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r>
                    <w:rPr>
                      <w:rFonts w:hint="eastAsia" w:ascii="宋体" w:hAnsi="宋体" w:cs="宋体"/>
                      <w:b/>
                      <w:kern w:val="0"/>
                      <w:szCs w:val="21"/>
                      <w:vertAlign w:val="subscript"/>
                    </w:rPr>
                    <w:t>注</w:t>
                  </w:r>
                </w:p>
              </w:tc>
              <w:tc>
                <w:tcPr>
                  <w:tcW w:w="851"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559"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r>
            <w:tr>
              <w:tblPrEx>
                <w:tblLayout w:type="fixed"/>
                <w:tblCellMar>
                  <w:top w:w="0" w:type="dxa"/>
                  <w:left w:w="0" w:type="dxa"/>
                  <w:bottom w:w="0" w:type="dxa"/>
                  <w:right w:w="0" w:type="dxa"/>
                </w:tblCellMar>
              </w:tblPrEx>
              <w:trPr>
                <w:trHeight w:val="600" w:hRule="atLeast"/>
              </w:trPr>
              <w:tc>
                <w:tcPr>
                  <w:tcW w:w="1992" w:type="dxa"/>
                  <w:tcBorders>
                    <w:top w:val="nil"/>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处理生活垃圾</w:t>
                  </w:r>
                </w:p>
              </w:tc>
              <w:tc>
                <w:tcPr>
                  <w:tcW w:w="108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888"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90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26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　</w:t>
                  </w:r>
                </w:p>
              </w:tc>
              <w:tc>
                <w:tcPr>
                  <w:tcW w:w="1393"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851"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559"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　</w:t>
                  </w:r>
                </w:p>
              </w:tc>
            </w:tr>
            <w:tr>
              <w:tblPrEx>
                <w:tblLayout w:type="fixed"/>
                <w:tblCellMar>
                  <w:top w:w="0" w:type="dxa"/>
                  <w:left w:w="0" w:type="dxa"/>
                  <w:bottom w:w="0" w:type="dxa"/>
                  <w:right w:w="0" w:type="dxa"/>
                </w:tblCellMar>
              </w:tblPrEx>
              <w:trPr>
                <w:trHeight w:val="600" w:hRule="atLeast"/>
              </w:trPr>
              <w:tc>
                <w:tcPr>
                  <w:tcW w:w="1992" w:type="dxa"/>
                  <w:tcBorders>
                    <w:top w:val="nil"/>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手工清洗消毒</w:t>
                  </w:r>
                </w:p>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污染器具、用品</w:t>
                  </w:r>
                </w:p>
              </w:tc>
              <w:tc>
                <w:tcPr>
                  <w:tcW w:w="108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888"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90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26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393"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851"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559"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r>
            <w:tr>
              <w:tblPrEx>
                <w:tblLayout w:type="fixed"/>
                <w:tblCellMar>
                  <w:top w:w="0" w:type="dxa"/>
                  <w:left w:w="0" w:type="dxa"/>
                  <w:bottom w:w="0" w:type="dxa"/>
                  <w:right w:w="0" w:type="dxa"/>
                </w:tblCellMar>
              </w:tblPrEx>
              <w:trPr>
                <w:trHeight w:val="600" w:hRule="atLeast"/>
              </w:trPr>
              <w:tc>
                <w:tcPr>
                  <w:tcW w:w="1992" w:type="dxa"/>
                  <w:tcBorders>
                    <w:top w:val="nil"/>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洁具机械</w:t>
                  </w:r>
                </w:p>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复用处置</w:t>
                  </w:r>
                </w:p>
              </w:tc>
              <w:tc>
                <w:tcPr>
                  <w:tcW w:w="108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888"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　</w:t>
                  </w:r>
                </w:p>
              </w:tc>
              <w:tc>
                <w:tcPr>
                  <w:tcW w:w="90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　</w:t>
                  </w:r>
                </w:p>
              </w:tc>
              <w:tc>
                <w:tcPr>
                  <w:tcW w:w="126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　</w:t>
                  </w:r>
                </w:p>
              </w:tc>
              <w:tc>
                <w:tcPr>
                  <w:tcW w:w="1393"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851"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559"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　</w:t>
                  </w:r>
                </w:p>
              </w:tc>
            </w:tr>
            <w:tr>
              <w:tblPrEx>
                <w:tblLayout w:type="fixed"/>
                <w:tblCellMar>
                  <w:top w:w="0" w:type="dxa"/>
                  <w:left w:w="0" w:type="dxa"/>
                  <w:bottom w:w="0" w:type="dxa"/>
                  <w:right w:w="0" w:type="dxa"/>
                </w:tblCellMar>
              </w:tblPrEx>
              <w:trPr>
                <w:trHeight w:val="600" w:hRule="atLeast"/>
              </w:trPr>
              <w:tc>
                <w:tcPr>
                  <w:tcW w:w="1992" w:type="dxa"/>
                  <w:tcBorders>
                    <w:top w:val="nil"/>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日常清洁与消毒</w:t>
                  </w:r>
                </w:p>
              </w:tc>
              <w:tc>
                <w:tcPr>
                  <w:tcW w:w="108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888"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90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26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　</w:t>
                  </w:r>
                </w:p>
              </w:tc>
              <w:tc>
                <w:tcPr>
                  <w:tcW w:w="1393"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851"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559"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　</w:t>
                  </w:r>
                </w:p>
              </w:tc>
            </w:tr>
            <w:tr>
              <w:tblPrEx>
                <w:tblLayout w:type="fixed"/>
                <w:tblCellMar>
                  <w:top w:w="0" w:type="dxa"/>
                  <w:left w:w="0" w:type="dxa"/>
                  <w:bottom w:w="0" w:type="dxa"/>
                  <w:right w:w="0" w:type="dxa"/>
                </w:tblCellMar>
              </w:tblPrEx>
              <w:trPr>
                <w:trHeight w:val="600" w:hRule="atLeast"/>
              </w:trPr>
              <w:tc>
                <w:tcPr>
                  <w:tcW w:w="1992" w:type="dxa"/>
                  <w:tcBorders>
                    <w:top w:val="nil"/>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终末清洁与消毒</w:t>
                  </w:r>
                </w:p>
              </w:tc>
              <w:tc>
                <w:tcPr>
                  <w:tcW w:w="108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888"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90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26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　</w:t>
                  </w:r>
                </w:p>
              </w:tc>
              <w:tc>
                <w:tcPr>
                  <w:tcW w:w="1393"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851"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559"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　</w:t>
                  </w:r>
                </w:p>
              </w:tc>
            </w:tr>
            <w:tr>
              <w:tblPrEx>
                <w:tblLayout w:type="fixed"/>
                <w:tblCellMar>
                  <w:top w:w="0" w:type="dxa"/>
                  <w:left w:w="0" w:type="dxa"/>
                  <w:bottom w:w="0" w:type="dxa"/>
                  <w:right w:w="0" w:type="dxa"/>
                </w:tblCellMar>
              </w:tblPrEx>
              <w:trPr>
                <w:trHeight w:val="645" w:hRule="atLeast"/>
              </w:trPr>
              <w:tc>
                <w:tcPr>
                  <w:tcW w:w="1992" w:type="dxa"/>
                  <w:tcBorders>
                    <w:top w:val="nil"/>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强化清洁/消毒</w:t>
                  </w:r>
                </w:p>
              </w:tc>
              <w:tc>
                <w:tcPr>
                  <w:tcW w:w="108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888"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90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260"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393"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851"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w:t>
                  </w:r>
                </w:p>
              </w:tc>
              <w:tc>
                <w:tcPr>
                  <w:tcW w:w="1559" w:type="dxa"/>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　</w:t>
                  </w:r>
                </w:p>
              </w:tc>
            </w:tr>
            <w:tr>
              <w:tblPrEx>
                <w:tblLayout w:type="fixed"/>
                <w:tblCellMar>
                  <w:top w:w="0" w:type="dxa"/>
                  <w:left w:w="0" w:type="dxa"/>
                  <w:bottom w:w="0" w:type="dxa"/>
                  <w:right w:w="0" w:type="dxa"/>
                </w:tblCellMar>
              </w:tblPrEx>
              <w:trPr>
                <w:trHeight w:val="645" w:hRule="atLeast"/>
              </w:trPr>
              <w:tc>
                <w:tcPr>
                  <w:tcW w:w="1992" w:type="dxa"/>
                  <w:tcBorders>
                    <w:top w:val="nil"/>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r>
                    <w:rPr>
                      <w:rFonts w:hint="eastAsia" w:ascii="宋体" w:hAnsi="宋体" w:cs="宋体"/>
                      <w:b/>
                      <w:kern w:val="0"/>
                      <w:szCs w:val="21"/>
                    </w:rPr>
                    <w:t>合计得分</w:t>
                  </w:r>
                </w:p>
              </w:tc>
              <w:tc>
                <w:tcPr>
                  <w:tcW w:w="7931" w:type="dxa"/>
                  <w:gridSpan w:val="7"/>
                  <w:tcBorders>
                    <w:top w:val="nil"/>
                    <w:left w:val="nil"/>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center"/>
                    <w:rPr>
                      <w:rFonts w:ascii="宋体" w:hAnsi="宋体" w:cs="宋体"/>
                      <w:b/>
                      <w:kern w:val="0"/>
                      <w:szCs w:val="21"/>
                    </w:rPr>
                  </w:pPr>
                </w:p>
              </w:tc>
            </w:tr>
            <w:tr>
              <w:tblPrEx>
                <w:tblLayout w:type="fixed"/>
                <w:tblCellMar>
                  <w:top w:w="0" w:type="dxa"/>
                  <w:left w:w="0" w:type="dxa"/>
                  <w:bottom w:w="0" w:type="dxa"/>
                  <w:right w:w="0" w:type="dxa"/>
                </w:tblCellMar>
              </w:tblPrEx>
              <w:trPr>
                <w:trHeight w:val="645" w:hRule="atLeast"/>
              </w:trPr>
              <w:tc>
                <w:tcPr>
                  <w:tcW w:w="9923" w:type="dxa"/>
                  <w:gridSpan w:val="8"/>
                  <w:tcBorders>
                    <w:top w:val="nil"/>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b/>
                      <w:kern w:val="0"/>
                      <w:szCs w:val="21"/>
                    </w:rPr>
                  </w:pPr>
                  <w:r>
                    <w:rPr>
                      <w:rFonts w:hint="eastAsia" w:ascii="宋体" w:hAnsi="宋体" w:cs="宋体"/>
                      <w:kern w:val="0"/>
                      <w:szCs w:val="21"/>
                    </w:rPr>
                    <w:t>注：本项考核占院感总分值25%中的40%。</w:t>
                  </w:r>
                </w:p>
              </w:tc>
            </w:tr>
            <w:tr>
              <w:tblPrEx>
                <w:tblLayout w:type="fixed"/>
                <w:tblCellMar>
                  <w:top w:w="0" w:type="dxa"/>
                  <w:left w:w="0" w:type="dxa"/>
                  <w:bottom w:w="0" w:type="dxa"/>
                  <w:right w:w="0" w:type="dxa"/>
                </w:tblCellMar>
              </w:tblPrEx>
              <w:trPr>
                <w:trHeight w:val="645" w:hRule="atLeast"/>
              </w:trPr>
              <w:tc>
                <w:tcPr>
                  <w:tcW w:w="9923" w:type="dxa"/>
                  <w:gridSpan w:val="8"/>
                  <w:tcBorders>
                    <w:top w:val="nil"/>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jc w:val="left"/>
                    <w:rPr>
                      <w:rFonts w:ascii="宋体" w:hAnsi="宋体" w:cs="宋体"/>
                      <w:kern w:val="0"/>
                      <w:szCs w:val="21"/>
                    </w:rPr>
                  </w:pPr>
                  <w:r>
                    <w:rPr>
                      <w:rFonts w:hint="eastAsia" w:ascii="宋体" w:hAnsi="宋体" w:cs="宋体"/>
                      <w:kern w:val="0"/>
                      <w:szCs w:val="21"/>
                    </w:rPr>
                    <w:t>扣分原因：</w:t>
                  </w:r>
                </w:p>
              </w:tc>
            </w:tr>
            <w:tr>
              <w:tblPrEx>
                <w:tblLayout w:type="fixed"/>
                <w:tblCellMar>
                  <w:top w:w="0" w:type="dxa"/>
                  <w:left w:w="0" w:type="dxa"/>
                  <w:bottom w:w="0" w:type="dxa"/>
                  <w:right w:w="0" w:type="dxa"/>
                </w:tblCellMar>
              </w:tblPrEx>
              <w:trPr>
                <w:trHeight w:val="1020" w:hRule="atLeast"/>
              </w:trPr>
              <w:tc>
                <w:tcPr>
                  <w:tcW w:w="9923" w:type="dxa"/>
                  <w:gridSpan w:val="8"/>
                  <w:tcBorders>
                    <w:top w:val="nil"/>
                    <w:left w:val="single" w:color="auto" w:sz="8" w:space="0"/>
                    <w:bottom w:val="single" w:color="auto" w:sz="8" w:space="0"/>
                    <w:right w:val="single" w:color="000000" w:sz="8" w:space="0"/>
                  </w:tcBorders>
                  <w:shd w:val="clear" w:color="auto" w:fill="FFFFFF"/>
                  <w:tcMar>
                    <w:top w:w="0" w:type="dxa"/>
                    <w:left w:w="108" w:type="dxa"/>
                    <w:bottom w:w="0" w:type="dxa"/>
                    <w:right w:w="108" w:type="dxa"/>
                  </w:tcMar>
                  <w:vAlign w:val="center"/>
                </w:tcPr>
                <w:p>
                  <w:pPr>
                    <w:widowControl/>
                    <w:spacing w:before="100" w:beforeAutospacing="1" w:after="100" w:afterAutospacing="1" w:line="360" w:lineRule="auto"/>
                    <w:ind w:hanging="720"/>
                    <w:jc w:val="left"/>
                    <w:rPr>
                      <w:rFonts w:ascii="宋体" w:hAnsi="宋体" w:cs="宋体"/>
                      <w:b/>
                      <w:kern w:val="0"/>
                      <w:szCs w:val="21"/>
                    </w:rPr>
                  </w:pPr>
                  <w:r>
                    <w:rPr>
                      <w:rFonts w:hint="eastAsia" w:ascii="宋体" w:hAnsi="宋体" w:cs="宋体"/>
                      <w:b/>
                      <w:kern w:val="0"/>
                      <w:szCs w:val="21"/>
                    </w:rPr>
                    <w:t>注：  √：应使用    √注：指医疗废物转运人员    △：按需要使用</w:t>
                  </w:r>
                  <w:r>
                    <w:rPr>
                      <w:rFonts w:hint="eastAsia" w:ascii="宋体" w:hAnsi="宋体" w:cs="宋体"/>
                      <w:b/>
                      <w:kern w:val="0"/>
                      <w:szCs w:val="21"/>
                    </w:rPr>
                    <w:br w:type="textWrapping"/>
                  </w:r>
                  <w:r>
                    <w:rPr>
                      <w:rFonts w:hint="eastAsia" w:ascii="宋体" w:hAnsi="宋体" w:cs="宋体"/>
                      <w:b/>
                      <w:kern w:val="0"/>
                      <w:szCs w:val="21"/>
                    </w:rPr>
                    <w:t>◇：根据所在区域要求    #具有防烫功能的手套；未按院感规范着装发现一次扣2分。</w:t>
                  </w:r>
                </w:p>
              </w:tc>
            </w:tr>
          </w:tbl>
          <w:p>
            <w:pPr>
              <w:widowControl/>
              <w:spacing w:line="360" w:lineRule="auto"/>
              <w:jc w:val="left"/>
              <w:textAlignment w:val="center"/>
              <w:rPr>
                <w:rFonts w:ascii="宋体" w:hAnsi="宋体" w:cs="宋体"/>
                <w:sz w:val="28"/>
                <w:szCs w:val="28"/>
              </w:rPr>
            </w:pPr>
            <w:r>
              <w:rPr>
                <w:rFonts w:hint="eastAsia" w:ascii="宋体" w:hAnsi="宋体" w:cs="宋体"/>
                <w:sz w:val="28"/>
                <w:szCs w:val="28"/>
              </w:rPr>
              <w:t>院感考核由附表一、二之和组成，并乘以25%，为每月院感考核最终得分。</w:t>
            </w:r>
          </w:p>
          <w:p>
            <w:pPr>
              <w:pStyle w:val="2"/>
              <w:rPr>
                <w:rFonts w:hint="eastAsia"/>
              </w:rPr>
            </w:pPr>
          </w:p>
          <w:p>
            <w:pPr>
              <w:pStyle w:val="2"/>
              <w:rPr>
                <w:rFonts w:hint="eastAsia"/>
              </w:rPr>
            </w:pPr>
            <w:r>
              <w:rPr>
                <w:rFonts w:hint="eastAsia"/>
                <w:b/>
                <w:sz w:val="32"/>
                <w:szCs w:val="32"/>
              </w:rPr>
              <w:t>（四）病人满意度调查服务考核标准（总分值25%）</w:t>
            </w:r>
          </w:p>
        </w:tc>
      </w:tr>
    </w:tbl>
    <w:p>
      <w:pPr>
        <w:widowControl/>
        <w:spacing w:line="360" w:lineRule="auto"/>
        <w:jc w:val="left"/>
        <w:textAlignment w:val="center"/>
        <w:rPr>
          <w:rFonts w:hint="eastAsia" w:ascii="宋体" w:hAnsi="宋体" w:cs="宋体"/>
          <w:b/>
          <w:kern w:val="0"/>
          <w:sz w:val="28"/>
          <w:szCs w:val="28"/>
        </w:rPr>
      </w:pPr>
    </w:p>
    <w:tbl>
      <w:tblPr>
        <w:tblStyle w:val="48"/>
        <w:tblpPr w:leftFromText="180" w:rightFromText="180" w:vertAnchor="text" w:horzAnchor="page" w:tblpX="1064" w:tblpY="319"/>
        <w:tblOverlap w:val="never"/>
        <w:tblW w:w="10260" w:type="dxa"/>
        <w:tblInd w:w="0" w:type="dxa"/>
        <w:tblLayout w:type="fixed"/>
        <w:tblCellMar>
          <w:top w:w="0" w:type="dxa"/>
          <w:left w:w="108" w:type="dxa"/>
          <w:bottom w:w="0" w:type="dxa"/>
          <w:right w:w="108" w:type="dxa"/>
        </w:tblCellMar>
      </w:tblPr>
      <w:tblGrid>
        <w:gridCol w:w="2740"/>
        <w:gridCol w:w="4475"/>
        <w:gridCol w:w="1365"/>
        <w:gridCol w:w="1680"/>
      </w:tblGrid>
      <w:tr>
        <w:tblPrEx>
          <w:tblLayout w:type="fixed"/>
          <w:tblCellMar>
            <w:top w:w="0" w:type="dxa"/>
            <w:left w:w="108" w:type="dxa"/>
            <w:bottom w:w="0" w:type="dxa"/>
            <w:right w:w="108" w:type="dxa"/>
          </w:tblCellMar>
        </w:tblPrEx>
        <w:trPr>
          <w:trHeight w:val="375" w:hRule="atLeast"/>
        </w:trPr>
        <w:tc>
          <w:tcPr>
            <w:tcW w:w="10260" w:type="dxa"/>
            <w:gridSpan w:val="4"/>
            <w:tcMar>
              <w:top w:w="15" w:type="dxa"/>
              <w:left w:w="15" w:type="dxa"/>
              <w:bottom w:w="15" w:type="dxa"/>
              <w:right w:w="15" w:type="dxa"/>
            </w:tcMar>
            <w:vAlign w:val="center"/>
          </w:tcPr>
          <w:p>
            <w:pPr>
              <w:widowControl/>
              <w:spacing w:line="360" w:lineRule="auto"/>
              <w:jc w:val="center"/>
              <w:textAlignment w:val="center"/>
              <w:rPr>
                <w:rFonts w:ascii="宋体" w:hAnsi="宋体" w:cs="宋体"/>
                <w:b/>
                <w:sz w:val="28"/>
                <w:szCs w:val="28"/>
              </w:rPr>
            </w:pPr>
            <w:r>
              <w:rPr>
                <w:rFonts w:hint="eastAsia" w:ascii="宋体" w:hAnsi="宋体" w:cs="宋体"/>
                <w:b/>
                <w:kern w:val="0"/>
                <w:sz w:val="28"/>
                <w:szCs w:val="28"/>
              </w:rPr>
              <w:t>新津区人民医院病人满意度调查表（总分值25%）</w:t>
            </w:r>
          </w:p>
        </w:tc>
      </w:tr>
      <w:tr>
        <w:tblPrEx>
          <w:tblLayout w:type="fixed"/>
          <w:tblCellMar>
            <w:top w:w="0" w:type="dxa"/>
            <w:left w:w="108" w:type="dxa"/>
            <w:bottom w:w="0" w:type="dxa"/>
            <w:right w:w="108" w:type="dxa"/>
          </w:tblCellMar>
        </w:tblPrEx>
        <w:trPr>
          <w:trHeight w:val="480" w:hRule="atLeast"/>
        </w:trPr>
        <w:tc>
          <w:tcPr>
            <w:tcW w:w="10260" w:type="dxa"/>
            <w:gridSpan w:val="4"/>
            <w:tcBorders>
              <w:top w:val="single" w:color="000000" w:sz="4" w:space="0"/>
              <w:left w:val="single" w:color="000000" w:sz="4" w:space="0"/>
              <w:bottom w:val="nil"/>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Cs w:val="21"/>
              </w:rPr>
            </w:pPr>
            <w:r>
              <w:rPr>
                <w:rFonts w:hint="eastAsia" w:ascii="宋体" w:hAnsi="宋体" w:cs="宋体"/>
                <w:kern w:val="0"/>
                <w:szCs w:val="21"/>
              </w:rPr>
              <w:t>亲爱的病员同志：</w:t>
            </w:r>
          </w:p>
        </w:tc>
      </w:tr>
      <w:tr>
        <w:tblPrEx>
          <w:tblLayout w:type="fixed"/>
          <w:tblCellMar>
            <w:top w:w="0" w:type="dxa"/>
            <w:left w:w="108" w:type="dxa"/>
            <w:bottom w:w="0" w:type="dxa"/>
            <w:right w:w="108" w:type="dxa"/>
          </w:tblCellMar>
        </w:tblPrEx>
        <w:trPr>
          <w:trHeight w:val="840" w:hRule="atLeast"/>
        </w:trPr>
        <w:tc>
          <w:tcPr>
            <w:tcW w:w="10260" w:type="dxa"/>
            <w:gridSpan w:val="4"/>
            <w:tcBorders>
              <w:top w:val="nil"/>
              <w:left w:val="single" w:color="000000" w:sz="4" w:space="0"/>
              <w:bottom w:val="nil"/>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Cs w:val="21"/>
              </w:rPr>
            </w:pPr>
            <w:r>
              <w:rPr>
                <w:rFonts w:hint="eastAsia" w:ascii="宋体" w:hAnsi="宋体" w:cs="宋体"/>
                <w:kern w:val="0"/>
                <w:szCs w:val="21"/>
              </w:rPr>
              <w:br w:type="textWrapping"/>
            </w:r>
            <w:r>
              <w:rPr>
                <w:rFonts w:hint="eastAsia" w:ascii="宋体" w:hAnsi="宋体" w:cs="宋体"/>
                <w:kern w:val="0"/>
                <w:szCs w:val="21"/>
              </w:rPr>
              <w:t xml:space="preserve">    为帮助医院改进后勤工作，在您生病治疗期间为您提供更优质的服务，现对“物业公司”后勤服务工作进行满意度调查，调查内容如下，请您对各项评分并在相应栏打“√”。</w:t>
            </w:r>
          </w:p>
        </w:tc>
      </w:tr>
      <w:tr>
        <w:tblPrEx>
          <w:tblLayout w:type="fixed"/>
          <w:tblCellMar>
            <w:top w:w="0" w:type="dxa"/>
            <w:left w:w="108" w:type="dxa"/>
            <w:bottom w:w="0" w:type="dxa"/>
            <w:right w:w="108" w:type="dxa"/>
          </w:tblCellMar>
        </w:tblPrEx>
        <w:trPr>
          <w:trHeight w:val="600" w:hRule="atLeast"/>
        </w:trPr>
        <w:tc>
          <w:tcPr>
            <w:tcW w:w="10260" w:type="dxa"/>
            <w:gridSpan w:val="4"/>
            <w:tcBorders>
              <w:top w:val="nil"/>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20"/>
                <w:szCs w:val="20"/>
              </w:rPr>
            </w:pPr>
            <w:r>
              <w:rPr>
                <w:rFonts w:hint="eastAsia" w:ascii="宋体" w:hAnsi="宋体" w:cs="宋体"/>
                <w:kern w:val="0"/>
                <w:sz w:val="20"/>
                <w:szCs w:val="20"/>
              </w:rPr>
              <w:t>谢谢并祝您早日康复！</w:t>
            </w:r>
          </w:p>
        </w:tc>
      </w:tr>
      <w:tr>
        <w:tblPrEx>
          <w:tblLayout w:type="fixed"/>
          <w:tblCellMar>
            <w:top w:w="0" w:type="dxa"/>
            <w:left w:w="108" w:type="dxa"/>
            <w:bottom w:w="0" w:type="dxa"/>
            <w:right w:w="108" w:type="dxa"/>
          </w:tblCellMar>
        </w:tblPrEx>
        <w:trPr>
          <w:trHeight w:val="795" w:hRule="atLeast"/>
        </w:trPr>
        <w:tc>
          <w:tcPr>
            <w:tcW w:w="274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调查内容</w:t>
            </w:r>
          </w:p>
        </w:tc>
        <w:tc>
          <w:tcPr>
            <w:tcW w:w="44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 xml:space="preserve"> 评判标准</w:t>
            </w:r>
          </w:p>
        </w:tc>
        <w:tc>
          <w:tcPr>
            <w:tcW w:w="136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原因</w:t>
            </w:r>
          </w:p>
        </w:tc>
        <w:tc>
          <w:tcPr>
            <w:tcW w:w="168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center"/>
              <w:textAlignment w:val="center"/>
              <w:rPr>
                <w:rFonts w:ascii="宋体" w:hAnsi="宋体" w:cs="宋体"/>
                <w:sz w:val="18"/>
                <w:szCs w:val="18"/>
              </w:rPr>
            </w:pPr>
            <w:r>
              <w:rPr>
                <w:rFonts w:hint="eastAsia" w:ascii="宋体" w:hAnsi="宋体" w:cs="宋体"/>
                <w:kern w:val="0"/>
                <w:sz w:val="18"/>
                <w:szCs w:val="18"/>
              </w:rPr>
              <w:t>建议</w:t>
            </w:r>
          </w:p>
        </w:tc>
      </w:tr>
      <w:tr>
        <w:tblPrEx>
          <w:tblLayout w:type="fixed"/>
          <w:tblCellMar>
            <w:top w:w="0" w:type="dxa"/>
            <w:left w:w="108" w:type="dxa"/>
            <w:bottom w:w="0" w:type="dxa"/>
            <w:right w:w="108" w:type="dxa"/>
          </w:tblCellMar>
        </w:tblPrEx>
        <w:trPr>
          <w:trHeight w:val="795" w:hRule="atLeast"/>
        </w:trPr>
        <w:tc>
          <w:tcPr>
            <w:tcW w:w="274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1、您认为保洁员工工作时服务态度如何？</w:t>
            </w:r>
          </w:p>
        </w:tc>
        <w:tc>
          <w:tcPr>
            <w:tcW w:w="44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1、非常满意( 10分 )   2、满意(8分  )  3、基本满意( 6分 ) 4、不满意( 4分 )  5.非常不满意（0分）</w:t>
            </w:r>
          </w:p>
        </w:tc>
        <w:tc>
          <w:tcPr>
            <w:tcW w:w="136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c>
          <w:tcPr>
            <w:tcW w:w="168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r>
      <w:tr>
        <w:tblPrEx>
          <w:tblLayout w:type="fixed"/>
          <w:tblCellMar>
            <w:top w:w="0" w:type="dxa"/>
            <w:left w:w="108" w:type="dxa"/>
            <w:bottom w:w="0" w:type="dxa"/>
            <w:right w:w="108" w:type="dxa"/>
          </w:tblCellMar>
        </w:tblPrEx>
        <w:trPr>
          <w:trHeight w:val="795" w:hRule="atLeast"/>
        </w:trPr>
        <w:tc>
          <w:tcPr>
            <w:tcW w:w="274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2、您认为保洁员工是否为您每天提供了湿拖服务？</w:t>
            </w:r>
          </w:p>
        </w:tc>
        <w:tc>
          <w:tcPr>
            <w:tcW w:w="44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1、非常满意( 10分 )   2、满意(8分  )  3、基本满意( 6分 ) 4、不满意( 4分 )  5.非常不满意（0分）</w:t>
            </w:r>
          </w:p>
        </w:tc>
        <w:tc>
          <w:tcPr>
            <w:tcW w:w="136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c>
          <w:tcPr>
            <w:tcW w:w="168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r>
      <w:tr>
        <w:tblPrEx>
          <w:tblLayout w:type="fixed"/>
          <w:tblCellMar>
            <w:top w:w="0" w:type="dxa"/>
            <w:left w:w="108" w:type="dxa"/>
            <w:bottom w:w="0" w:type="dxa"/>
            <w:right w:w="108" w:type="dxa"/>
          </w:tblCellMar>
        </w:tblPrEx>
        <w:trPr>
          <w:trHeight w:val="795" w:hRule="atLeast"/>
        </w:trPr>
        <w:tc>
          <w:tcPr>
            <w:tcW w:w="274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3、您认为保洁员工每天对病房打扫是否彻底？</w:t>
            </w:r>
          </w:p>
        </w:tc>
        <w:tc>
          <w:tcPr>
            <w:tcW w:w="44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1、非常满意( 10分 )   2、满意(8分  )  3、基本满意( 6分 ) 4、不满意( 4分 )  5.非常不满意（0分）</w:t>
            </w:r>
          </w:p>
        </w:tc>
        <w:tc>
          <w:tcPr>
            <w:tcW w:w="136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c>
          <w:tcPr>
            <w:tcW w:w="168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r>
      <w:tr>
        <w:tblPrEx>
          <w:tblLayout w:type="fixed"/>
          <w:tblCellMar>
            <w:top w:w="0" w:type="dxa"/>
            <w:left w:w="108" w:type="dxa"/>
            <w:bottom w:w="0" w:type="dxa"/>
            <w:right w:w="108" w:type="dxa"/>
          </w:tblCellMar>
        </w:tblPrEx>
        <w:trPr>
          <w:trHeight w:val="795" w:hRule="atLeast"/>
        </w:trPr>
        <w:tc>
          <w:tcPr>
            <w:tcW w:w="274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4、您认为病区卫生状况是否良好？</w:t>
            </w:r>
          </w:p>
        </w:tc>
        <w:tc>
          <w:tcPr>
            <w:tcW w:w="44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1、非常满意( 10分 )   2、满意(8分  )  3、基本满意( 6分 ) 4、不满意( 4分 )  5.非常不满意（0分）</w:t>
            </w:r>
          </w:p>
        </w:tc>
        <w:tc>
          <w:tcPr>
            <w:tcW w:w="136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c>
          <w:tcPr>
            <w:tcW w:w="168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r>
      <w:tr>
        <w:tblPrEx>
          <w:tblLayout w:type="fixed"/>
          <w:tblCellMar>
            <w:top w:w="0" w:type="dxa"/>
            <w:left w:w="108" w:type="dxa"/>
            <w:bottom w:w="0" w:type="dxa"/>
            <w:right w:w="108" w:type="dxa"/>
          </w:tblCellMar>
        </w:tblPrEx>
        <w:trPr>
          <w:trHeight w:val="795" w:hRule="atLeast"/>
        </w:trPr>
        <w:tc>
          <w:tcPr>
            <w:tcW w:w="274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5、您认为医院外围环境卫生情况是否良好？</w:t>
            </w:r>
          </w:p>
        </w:tc>
        <w:tc>
          <w:tcPr>
            <w:tcW w:w="44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1、非常满意( 10分 )   2、满意(8分  )  3、基本满意( 6分 ) 4、不满意( 4分 )  5.非常不满意（0分）</w:t>
            </w:r>
          </w:p>
        </w:tc>
        <w:tc>
          <w:tcPr>
            <w:tcW w:w="136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c>
          <w:tcPr>
            <w:tcW w:w="168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r>
      <w:tr>
        <w:tblPrEx>
          <w:tblLayout w:type="fixed"/>
          <w:tblCellMar>
            <w:top w:w="0" w:type="dxa"/>
            <w:left w:w="108" w:type="dxa"/>
            <w:bottom w:w="0" w:type="dxa"/>
            <w:right w:w="108" w:type="dxa"/>
          </w:tblCellMar>
        </w:tblPrEx>
        <w:trPr>
          <w:trHeight w:val="795" w:hRule="atLeast"/>
        </w:trPr>
        <w:tc>
          <w:tcPr>
            <w:tcW w:w="274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6、您认为保洁员是否着装整齐并注意个人卫生？</w:t>
            </w:r>
          </w:p>
        </w:tc>
        <w:tc>
          <w:tcPr>
            <w:tcW w:w="44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1、非常满意( 10分 )   2、满意(8分  )  3、基本满意( 6分 ) 4、不满意( 4分 )  5.非常不满意（0分）</w:t>
            </w:r>
          </w:p>
        </w:tc>
        <w:tc>
          <w:tcPr>
            <w:tcW w:w="136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c>
          <w:tcPr>
            <w:tcW w:w="168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r>
      <w:tr>
        <w:tblPrEx>
          <w:tblLayout w:type="fixed"/>
          <w:tblCellMar>
            <w:top w:w="0" w:type="dxa"/>
            <w:left w:w="108" w:type="dxa"/>
            <w:bottom w:w="0" w:type="dxa"/>
            <w:right w:w="108" w:type="dxa"/>
          </w:tblCellMar>
        </w:tblPrEx>
        <w:trPr>
          <w:trHeight w:val="795" w:hRule="atLeast"/>
        </w:trPr>
        <w:tc>
          <w:tcPr>
            <w:tcW w:w="274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7、您认为运送员工为您服务时态度如何？</w:t>
            </w:r>
          </w:p>
        </w:tc>
        <w:tc>
          <w:tcPr>
            <w:tcW w:w="44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1、非常满意( 10分 )   2、满意(8分  )  3、基本满意( 6分 ) 4、不满意( 4分 )  5.非常不满意（0分）</w:t>
            </w:r>
          </w:p>
        </w:tc>
        <w:tc>
          <w:tcPr>
            <w:tcW w:w="136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c>
          <w:tcPr>
            <w:tcW w:w="168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r>
      <w:tr>
        <w:tblPrEx>
          <w:tblLayout w:type="fixed"/>
          <w:tblCellMar>
            <w:top w:w="0" w:type="dxa"/>
            <w:left w:w="108" w:type="dxa"/>
            <w:bottom w:w="0" w:type="dxa"/>
            <w:right w:w="108" w:type="dxa"/>
          </w:tblCellMar>
        </w:tblPrEx>
        <w:trPr>
          <w:trHeight w:val="795" w:hRule="atLeast"/>
        </w:trPr>
        <w:tc>
          <w:tcPr>
            <w:tcW w:w="274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8、您认为运送员工作时是否着装整齐，精神面貌良好？</w:t>
            </w:r>
          </w:p>
        </w:tc>
        <w:tc>
          <w:tcPr>
            <w:tcW w:w="44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1、非常满意( 10分 )   2、满意(8分  )  3、基本满意( 6分 ) 4、不满意( 4分 )  5.非常不满意（0分）</w:t>
            </w:r>
          </w:p>
        </w:tc>
        <w:tc>
          <w:tcPr>
            <w:tcW w:w="136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c>
          <w:tcPr>
            <w:tcW w:w="168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r>
      <w:tr>
        <w:tblPrEx>
          <w:tblLayout w:type="fixed"/>
          <w:tblCellMar>
            <w:top w:w="0" w:type="dxa"/>
            <w:left w:w="108" w:type="dxa"/>
            <w:bottom w:w="0" w:type="dxa"/>
            <w:right w:w="108" w:type="dxa"/>
          </w:tblCellMar>
        </w:tblPrEx>
        <w:trPr>
          <w:trHeight w:val="795" w:hRule="atLeast"/>
        </w:trPr>
        <w:tc>
          <w:tcPr>
            <w:tcW w:w="274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9、运送员在送您去检查途中是否注意您的安全？</w:t>
            </w:r>
          </w:p>
        </w:tc>
        <w:tc>
          <w:tcPr>
            <w:tcW w:w="44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1、非常满意( 10分 )   2、满意(8分  )  3、基本满意( 6分 ) 4、不满意( 4分 )  5.非常不满意（0分）</w:t>
            </w:r>
          </w:p>
        </w:tc>
        <w:tc>
          <w:tcPr>
            <w:tcW w:w="136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c>
          <w:tcPr>
            <w:tcW w:w="168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r>
      <w:tr>
        <w:tblPrEx>
          <w:tblLayout w:type="fixed"/>
          <w:tblCellMar>
            <w:top w:w="0" w:type="dxa"/>
            <w:left w:w="108" w:type="dxa"/>
            <w:bottom w:w="0" w:type="dxa"/>
            <w:right w:w="108" w:type="dxa"/>
          </w:tblCellMar>
        </w:tblPrEx>
        <w:trPr>
          <w:trHeight w:val="795" w:hRule="atLeast"/>
        </w:trPr>
        <w:tc>
          <w:tcPr>
            <w:tcW w:w="274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10、就以上服务管理人员对您提出的问题是否积极采取措施予以处理？</w:t>
            </w:r>
          </w:p>
        </w:tc>
        <w:tc>
          <w:tcPr>
            <w:tcW w:w="44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18"/>
                <w:szCs w:val="18"/>
              </w:rPr>
            </w:pPr>
            <w:r>
              <w:rPr>
                <w:rFonts w:hint="eastAsia" w:ascii="宋体" w:hAnsi="宋体" w:cs="宋体"/>
                <w:kern w:val="0"/>
                <w:sz w:val="18"/>
                <w:szCs w:val="18"/>
              </w:rPr>
              <w:t>1、非常满意( 10分 )   2、满意(8分  )  3、基本满意( 6分 ) 4、不满意( 4分 )  5.非常不满意（0分）</w:t>
            </w:r>
          </w:p>
        </w:tc>
        <w:tc>
          <w:tcPr>
            <w:tcW w:w="136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jc w:val="center"/>
              <w:rPr>
                <w:rFonts w:ascii="宋体" w:hAnsi="宋体" w:cs="宋体"/>
                <w:sz w:val="18"/>
                <w:szCs w:val="18"/>
              </w:rPr>
            </w:pPr>
          </w:p>
        </w:tc>
        <w:tc>
          <w:tcPr>
            <w:tcW w:w="1680"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r>
      <w:tr>
        <w:tblPrEx>
          <w:tblLayout w:type="fixed"/>
          <w:tblCellMar>
            <w:top w:w="0" w:type="dxa"/>
            <w:left w:w="108" w:type="dxa"/>
            <w:bottom w:w="0" w:type="dxa"/>
            <w:right w:w="108" w:type="dxa"/>
          </w:tblCellMar>
        </w:tblPrEx>
        <w:trPr>
          <w:trHeight w:val="1651" w:hRule="atLeast"/>
        </w:trPr>
        <w:tc>
          <w:tcPr>
            <w:tcW w:w="7215" w:type="dxa"/>
            <w:gridSpan w:val="2"/>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您的建议或意见：</w:t>
            </w:r>
          </w:p>
        </w:tc>
        <w:tc>
          <w:tcPr>
            <w:tcW w:w="1365" w:type="dxa"/>
            <w:tcBorders>
              <w:top w:val="single" w:color="000000" w:sz="4" w:space="0"/>
              <w:left w:val="single" w:color="000000" w:sz="4" w:space="0"/>
              <w:bottom w:val="single" w:color="000000" w:sz="4" w:space="0"/>
              <w:right w:val="nil"/>
            </w:tcBorders>
            <w:tcMar>
              <w:top w:w="15" w:type="dxa"/>
              <w:left w:w="15" w:type="dxa"/>
              <w:bottom w:w="15" w:type="dxa"/>
              <w:right w:w="15" w:type="dxa"/>
            </w:tcMar>
            <w:vAlign w:val="center"/>
          </w:tcPr>
          <w:p>
            <w:pPr>
              <w:widowControl/>
              <w:spacing w:line="360" w:lineRule="auto"/>
              <w:jc w:val="left"/>
              <w:textAlignment w:val="center"/>
              <w:rPr>
                <w:rFonts w:ascii="宋体" w:hAnsi="宋体" w:cs="宋体"/>
                <w:sz w:val="18"/>
                <w:szCs w:val="18"/>
              </w:rPr>
            </w:pPr>
            <w:r>
              <w:rPr>
                <w:rFonts w:hint="eastAsia" w:ascii="宋体" w:hAnsi="宋体" w:cs="宋体"/>
                <w:kern w:val="0"/>
                <w:sz w:val="18"/>
                <w:szCs w:val="18"/>
              </w:rPr>
              <w:t>考核情况</w:t>
            </w:r>
          </w:p>
        </w:tc>
        <w:tc>
          <w:tcPr>
            <w:tcW w:w="1680"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center"/>
          </w:tcPr>
          <w:p>
            <w:pPr>
              <w:spacing w:line="360" w:lineRule="auto"/>
              <w:rPr>
                <w:rFonts w:ascii="宋体" w:hAnsi="宋体" w:cs="宋体"/>
                <w:sz w:val="18"/>
                <w:szCs w:val="18"/>
              </w:rPr>
            </w:pPr>
          </w:p>
        </w:tc>
      </w:tr>
      <w:tr>
        <w:tblPrEx>
          <w:tblLayout w:type="fixed"/>
          <w:tblCellMar>
            <w:top w:w="0" w:type="dxa"/>
            <w:left w:w="108" w:type="dxa"/>
            <w:bottom w:w="0" w:type="dxa"/>
            <w:right w:w="108" w:type="dxa"/>
          </w:tblCellMar>
        </w:tblPrEx>
        <w:trPr>
          <w:trHeight w:val="795" w:hRule="atLeast"/>
        </w:trPr>
        <w:tc>
          <w:tcPr>
            <w:tcW w:w="10260" w:type="dxa"/>
            <w:gridSpan w:val="4"/>
            <w:tcMar>
              <w:top w:w="15" w:type="dxa"/>
              <w:left w:w="15" w:type="dxa"/>
              <w:bottom w:w="15" w:type="dxa"/>
              <w:right w:w="15" w:type="dxa"/>
            </w:tcMar>
            <w:vAlign w:val="center"/>
          </w:tcPr>
          <w:p>
            <w:pPr>
              <w:widowControl/>
              <w:spacing w:line="360" w:lineRule="auto"/>
              <w:jc w:val="left"/>
              <w:textAlignment w:val="center"/>
              <w:rPr>
                <w:rFonts w:ascii="宋体" w:hAnsi="宋体" w:cs="宋体"/>
                <w:kern w:val="0"/>
                <w:sz w:val="24"/>
                <w:szCs w:val="24"/>
              </w:rPr>
            </w:pPr>
            <w:r>
              <w:rPr>
                <w:rFonts w:hint="eastAsia" w:ascii="宋体" w:hAnsi="宋体" w:cs="宋体"/>
                <w:kern w:val="0"/>
                <w:sz w:val="24"/>
                <w:szCs w:val="24"/>
              </w:rPr>
              <w:t>调查所在科室：                     调查人员签字：               考核时间：</w:t>
            </w:r>
          </w:p>
          <w:p>
            <w:pPr>
              <w:pStyle w:val="2"/>
            </w:pPr>
          </w:p>
          <w:p>
            <w:pPr>
              <w:widowControl/>
              <w:spacing w:line="360" w:lineRule="auto"/>
              <w:jc w:val="left"/>
              <w:textAlignment w:val="center"/>
              <w:rPr>
                <w:rFonts w:ascii="宋体" w:hAnsi="宋体" w:cs="宋体"/>
                <w:b/>
                <w:kern w:val="0"/>
                <w:sz w:val="28"/>
                <w:szCs w:val="28"/>
              </w:rPr>
            </w:pPr>
            <w:r>
              <w:rPr>
                <w:rFonts w:hint="eastAsia" w:ascii="宋体" w:hAnsi="宋体" w:cs="宋体"/>
                <w:b/>
                <w:kern w:val="0"/>
                <w:sz w:val="28"/>
                <w:szCs w:val="28"/>
              </w:rPr>
              <w:t>（五）物业考核办法</w:t>
            </w:r>
          </w:p>
        </w:tc>
      </w:tr>
    </w:tbl>
    <w:p>
      <w:pPr>
        <w:pStyle w:val="84"/>
        <w:numPr>
          <w:ilvl w:val="0"/>
          <w:numId w:val="46"/>
        </w:numPr>
        <w:spacing w:line="360" w:lineRule="auto"/>
        <w:ind w:left="420" w:firstLineChars="0"/>
        <w:jc w:val="left"/>
        <w:rPr>
          <w:rFonts w:ascii="宋体" w:hAnsi="宋体" w:eastAsia="宋体" w:cs="宋体"/>
          <w:sz w:val="28"/>
          <w:szCs w:val="28"/>
        </w:rPr>
      </w:pPr>
      <w:r>
        <w:rPr>
          <w:rFonts w:hint="eastAsia" w:ascii="宋体" w:hAnsi="宋体" w:eastAsia="宋体" w:cs="宋体"/>
          <w:sz w:val="28"/>
          <w:szCs w:val="28"/>
        </w:rPr>
        <w:t>投标人每月进行自查和请所服务的部门负责人考评检查，并在次月5日前将由各服务部门负责人对上月考核结果交采购人的管理部门，由采购人管理部门对所有部门负责人考核情况进行汇总，计算出当月平均得分，根据得分计算当月物业服务费用。</w:t>
      </w:r>
    </w:p>
    <w:p>
      <w:pPr>
        <w:pStyle w:val="84"/>
        <w:numPr>
          <w:ilvl w:val="0"/>
          <w:numId w:val="46"/>
        </w:numPr>
        <w:spacing w:line="360" w:lineRule="auto"/>
        <w:ind w:left="420" w:firstLineChars="0"/>
        <w:jc w:val="left"/>
        <w:rPr>
          <w:rFonts w:ascii="宋体" w:hAnsi="宋体" w:eastAsia="宋体" w:cs="宋体"/>
          <w:sz w:val="28"/>
          <w:szCs w:val="28"/>
        </w:rPr>
      </w:pPr>
      <w:r>
        <w:rPr>
          <w:rFonts w:hint="eastAsia" w:ascii="宋体" w:hAnsi="宋体" w:eastAsia="宋体" w:cs="宋体"/>
          <w:sz w:val="28"/>
          <w:szCs w:val="28"/>
        </w:rPr>
        <w:t>投诉考核：采购人管理部门接到保洁质量和服务态度的投诉，经双方现场核查，投诉属实一次扣一分，情节严重者特别是服务态度的投诉，一次扣叁分，双方签字确认，在考核总分中扣减。</w:t>
      </w:r>
    </w:p>
    <w:p>
      <w:pPr>
        <w:pStyle w:val="84"/>
        <w:numPr>
          <w:ilvl w:val="0"/>
          <w:numId w:val="46"/>
        </w:numPr>
        <w:spacing w:line="360" w:lineRule="auto"/>
        <w:ind w:left="420" w:firstLineChars="0"/>
        <w:jc w:val="left"/>
        <w:rPr>
          <w:rFonts w:ascii="宋体" w:hAnsi="宋体" w:eastAsia="宋体" w:cs="宋体"/>
          <w:sz w:val="28"/>
          <w:szCs w:val="28"/>
        </w:rPr>
      </w:pPr>
      <w:r>
        <w:rPr>
          <w:rFonts w:hint="eastAsia" w:ascii="宋体" w:hAnsi="宋体" w:eastAsia="宋体" w:cs="宋体"/>
          <w:sz w:val="28"/>
          <w:szCs w:val="28"/>
        </w:rPr>
        <w:t>采购人考核汇总完成后向投标人通报上月考核得分情况和提出整改要求，限期改正。</w:t>
      </w:r>
    </w:p>
    <w:p>
      <w:pPr>
        <w:pStyle w:val="84"/>
        <w:numPr>
          <w:ilvl w:val="0"/>
          <w:numId w:val="46"/>
        </w:numPr>
        <w:spacing w:line="360" w:lineRule="auto"/>
        <w:ind w:left="420" w:firstLineChars="0"/>
        <w:jc w:val="left"/>
        <w:rPr>
          <w:rFonts w:ascii="宋体" w:hAnsi="宋体" w:eastAsia="宋体" w:cs="宋体"/>
          <w:sz w:val="28"/>
          <w:szCs w:val="28"/>
        </w:rPr>
      </w:pPr>
      <w:r>
        <w:rPr>
          <w:rFonts w:hint="eastAsia" w:ascii="宋体" w:hAnsi="宋体" w:eastAsia="宋体" w:cs="宋体"/>
          <w:sz w:val="28"/>
          <w:szCs w:val="28"/>
        </w:rPr>
        <w:t>物业考核等级分为：优等（90分以上含90分），良等（90分以下，80分以上含80分），合格（80分以下，70分以上含70分），不合格（70分以下）。</w:t>
      </w:r>
    </w:p>
    <w:p>
      <w:pPr>
        <w:spacing w:line="360" w:lineRule="auto"/>
        <w:jc w:val="left"/>
        <w:rPr>
          <w:rFonts w:ascii="宋体" w:hAnsi="宋体" w:cs="宋体"/>
          <w:sz w:val="28"/>
          <w:szCs w:val="28"/>
        </w:rPr>
      </w:pPr>
      <w:r>
        <w:rPr>
          <w:rFonts w:hint="eastAsia" w:ascii="宋体" w:hAnsi="宋体" w:cs="宋体"/>
          <w:b/>
          <w:kern w:val="0"/>
          <w:sz w:val="28"/>
          <w:szCs w:val="28"/>
        </w:rPr>
        <w:t>（六）考核结果的运用</w:t>
      </w:r>
    </w:p>
    <w:p>
      <w:pPr>
        <w:pStyle w:val="2"/>
        <w:jc w:val="left"/>
        <w:rPr>
          <w:rFonts w:ascii="宋体" w:hAnsi="宋体" w:cs="宋体"/>
          <w:kern w:val="2"/>
          <w:sz w:val="28"/>
          <w:szCs w:val="28"/>
        </w:rPr>
      </w:pPr>
      <w:r>
        <w:rPr>
          <w:rFonts w:hint="eastAsia" w:ascii="宋体" w:hAnsi="宋体" w:cs="宋体"/>
          <w:kern w:val="2"/>
          <w:sz w:val="28"/>
          <w:szCs w:val="28"/>
        </w:rPr>
        <w:t>1．考核结果中存在总体考核合格，其中又存在单个科室（临床、医技、职能、病人满意度）考核低于70分的，采购人有权扣除5000</w:t>
      </w:r>
      <w:r>
        <w:rPr>
          <w:rFonts w:hint="eastAsia" w:ascii="宋体" w:hAnsi="宋体" w:cs="宋体"/>
          <w:kern w:val="2"/>
          <w:sz w:val="28"/>
          <w:szCs w:val="28"/>
          <w:lang w:val="en-US" w:eastAsia="zh-CN"/>
        </w:rPr>
        <w:t>.00</w:t>
      </w:r>
      <w:r>
        <w:rPr>
          <w:rFonts w:hint="eastAsia" w:ascii="宋体" w:hAnsi="宋体" w:cs="宋体"/>
          <w:kern w:val="2"/>
          <w:sz w:val="28"/>
          <w:szCs w:val="28"/>
        </w:rPr>
        <w:t>元的当月物业服务费。</w:t>
      </w:r>
    </w:p>
    <w:p>
      <w:pPr>
        <w:pStyle w:val="2"/>
        <w:jc w:val="left"/>
        <w:rPr>
          <w:rFonts w:ascii="宋体" w:hAnsi="宋体" w:cs="宋体"/>
          <w:kern w:val="2"/>
          <w:sz w:val="28"/>
          <w:szCs w:val="28"/>
        </w:rPr>
      </w:pPr>
      <w:r>
        <w:rPr>
          <w:rFonts w:hint="eastAsia" w:ascii="宋体" w:hAnsi="宋体" w:cs="宋体"/>
          <w:kern w:val="2"/>
          <w:sz w:val="28"/>
          <w:szCs w:val="28"/>
        </w:rPr>
        <w:t>2.考核结果中存在总体考核合格，因投标人自己管理不善造成的事故、差错以及因服务不善被病人投诉、服务质量差被各级检查通报等，影响医院形象，采购人有权按医院优质服务相关规定的处罚金额扣罚投标人，处罚金额5000.00-50000.00元，从当月拨付物业服务费金额中予以扣除；因投标人自己管理不善或物业人员服务工作中造成的安全事故、人员伤亡、财产损失、第三方人员伤亡财产损失均由投标人承担全部责任。采购人将对投标人处以20000.00元起上不封顶的处罚，从当月拨付物业服务费金额中予以扣除。</w:t>
      </w:r>
    </w:p>
    <w:p>
      <w:pPr>
        <w:pStyle w:val="2"/>
        <w:jc w:val="left"/>
        <w:rPr>
          <w:rFonts w:ascii="宋体" w:hAnsi="宋体" w:cs="宋体"/>
          <w:kern w:val="2"/>
          <w:sz w:val="28"/>
          <w:szCs w:val="28"/>
        </w:rPr>
      </w:pPr>
      <w:r>
        <w:rPr>
          <w:rFonts w:hint="eastAsia" w:ascii="宋体" w:hAnsi="宋体" w:cs="宋体"/>
          <w:kern w:val="2"/>
          <w:sz w:val="28"/>
          <w:szCs w:val="28"/>
        </w:rPr>
        <w:t>3.日常考核：</w:t>
      </w:r>
      <w:r>
        <w:rPr>
          <w:rFonts w:hint="eastAsia" w:ascii="宋体" w:hAnsi="宋体" w:cs="宋体"/>
          <w:kern w:val="2"/>
          <w:sz w:val="28"/>
          <w:szCs w:val="28"/>
          <w:lang w:eastAsia="zh-CN"/>
        </w:rPr>
        <w:t>医院管理科室</w:t>
      </w:r>
      <w:r>
        <w:rPr>
          <w:rFonts w:hint="eastAsia" w:ascii="宋体" w:hAnsi="宋体" w:cs="宋体"/>
          <w:kern w:val="2"/>
          <w:sz w:val="28"/>
          <w:szCs w:val="28"/>
        </w:rPr>
        <w:t>可不定期对物业进行抽查，抽查结果作为日常考核结果，主要内容包括但不限于以下条款，如有违反，按照相应金额扣除物业服务费。</w:t>
      </w:r>
    </w:p>
    <w:p/>
    <w:p>
      <w:pPr>
        <w:pStyle w:val="2"/>
      </w:pPr>
    </w:p>
    <w:tbl>
      <w:tblPr>
        <w:tblStyle w:val="49"/>
        <w:tblpPr w:leftFromText="180" w:rightFromText="180" w:vertAnchor="text" w:horzAnchor="margin" w:tblpY="81"/>
        <w:tblOverlap w:val="never"/>
        <w:tblW w:w="83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69"/>
        <w:gridCol w:w="1862"/>
        <w:gridCol w:w="25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69" w:type="dxa"/>
            <w:tcBorders>
              <w:top w:val="single" w:color="auto" w:sz="4" w:space="0"/>
              <w:left w:val="single" w:color="auto" w:sz="4" w:space="0"/>
              <w:bottom w:val="single" w:color="auto" w:sz="4" w:space="0"/>
              <w:right w:val="single" w:color="auto" w:sz="4" w:space="0"/>
            </w:tcBorders>
          </w:tcPr>
          <w:p>
            <w:pPr>
              <w:pStyle w:val="2"/>
              <w:jc w:val="left"/>
            </w:pPr>
            <w:r>
              <w:rPr>
                <w:rFonts w:hint="eastAsia"/>
              </w:rPr>
              <w:t>考核内容</w:t>
            </w:r>
          </w:p>
        </w:tc>
        <w:tc>
          <w:tcPr>
            <w:tcW w:w="1862" w:type="dxa"/>
            <w:tcBorders>
              <w:top w:val="single" w:color="auto" w:sz="4" w:space="0"/>
              <w:left w:val="single" w:color="auto" w:sz="4" w:space="0"/>
              <w:bottom w:val="single" w:color="auto" w:sz="4" w:space="0"/>
              <w:right w:val="single" w:color="auto" w:sz="4" w:space="0"/>
            </w:tcBorders>
          </w:tcPr>
          <w:p>
            <w:pPr>
              <w:pStyle w:val="2"/>
              <w:jc w:val="left"/>
            </w:pPr>
            <w:r>
              <w:rPr>
                <w:rFonts w:hint="eastAsia"/>
              </w:rPr>
              <w:t>扣罚金额（元）</w:t>
            </w:r>
          </w:p>
        </w:tc>
        <w:tc>
          <w:tcPr>
            <w:tcW w:w="2569" w:type="dxa"/>
            <w:tcBorders>
              <w:top w:val="single" w:color="auto" w:sz="4" w:space="0"/>
              <w:left w:val="single" w:color="auto" w:sz="4" w:space="0"/>
              <w:bottom w:val="single" w:color="auto" w:sz="4" w:space="0"/>
              <w:right w:val="single" w:color="auto" w:sz="4" w:space="0"/>
            </w:tcBorders>
          </w:tcPr>
          <w:p>
            <w:pPr>
              <w:pStyle w:val="2"/>
              <w:jc w:val="left"/>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22" w:hRule="atLeast"/>
        </w:trPr>
        <w:tc>
          <w:tcPr>
            <w:tcW w:w="3869" w:type="dxa"/>
            <w:tcBorders>
              <w:top w:val="single" w:color="auto" w:sz="4" w:space="0"/>
              <w:left w:val="single" w:color="auto" w:sz="4" w:space="0"/>
              <w:bottom w:val="single" w:color="auto" w:sz="4" w:space="0"/>
              <w:right w:val="single" w:color="auto" w:sz="4" w:space="0"/>
            </w:tcBorders>
          </w:tcPr>
          <w:p>
            <w:pPr>
              <w:pStyle w:val="2"/>
            </w:pPr>
            <w:r>
              <w:rPr>
                <w:rFonts w:hint="eastAsia"/>
              </w:rPr>
              <w:t>（1）周末及节假日保证有二名主管以上人员值班，负责协调物业服务范围内的所有工作。</w:t>
            </w:r>
          </w:p>
        </w:tc>
        <w:tc>
          <w:tcPr>
            <w:tcW w:w="1862" w:type="dxa"/>
            <w:tcBorders>
              <w:top w:val="single" w:color="auto" w:sz="4" w:space="0"/>
              <w:left w:val="single" w:color="auto" w:sz="4" w:space="0"/>
              <w:bottom w:val="single" w:color="auto" w:sz="4" w:space="0"/>
              <w:right w:val="single" w:color="auto" w:sz="4" w:space="0"/>
            </w:tcBorders>
          </w:tcPr>
          <w:p>
            <w:pPr>
              <w:pStyle w:val="2"/>
              <w:jc w:val="left"/>
              <w:rPr>
                <w:rFonts w:hint="default" w:eastAsia="宋体"/>
                <w:lang w:val="en-US" w:eastAsia="zh-CN"/>
              </w:rPr>
            </w:pPr>
            <w:r>
              <w:rPr>
                <w:rFonts w:hint="eastAsia"/>
              </w:rPr>
              <w:t>500</w:t>
            </w:r>
            <w:r>
              <w:rPr>
                <w:rFonts w:hint="eastAsia"/>
                <w:lang w:val="en-US" w:eastAsia="zh-CN"/>
              </w:rPr>
              <w:t>.00</w:t>
            </w:r>
          </w:p>
        </w:tc>
        <w:tc>
          <w:tcPr>
            <w:tcW w:w="2569" w:type="dxa"/>
            <w:tcBorders>
              <w:top w:val="single" w:color="auto" w:sz="4" w:space="0"/>
              <w:left w:val="single" w:color="auto" w:sz="4" w:space="0"/>
              <w:bottom w:val="single" w:color="auto" w:sz="4" w:space="0"/>
              <w:right w:val="single" w:color="auto" w:sz="4" w:space="0"/>
            </w:tcBorders>
          </w:tcPr>
          <w:p>
            <w:pPr>
              <w:pStyle w:val="2"/>
            </w:pPr>
            <w:r>
              <w:rPr>
                <w:rFonts w:hint="eastAsia"/>
              </w:rPr>
              <w:t>月总额不超过2000</w:t>
            </w:r>
            <w:r>
              <w:rPr>
                <w:rFonts w:hint="eastAsia"/>
                <w:lang w:val="en-US" w:eastAsia="zh-CN"/>
              </w:rPr>
              <w:t>.00</w:t>
            </w:r>
            <w:r>
              <w:rPr>
                <w:rFonts w:hint="eastAsia"/>
              </w:rPr>
              <w:t xml:space="preserve">元 </w:t>
            </w:r>
          </w:p>
          <w:p>
            <w:pPr>
              <w:pStyle w:val="2"/>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5" w:hRule="atLeast"/>
        </w:trPr>
        <w:tc>
          <w:tcPr>
            <w:tcW w:w="3869" w:type="dxa"/>
            <w:tcBorders>
              <w:top w:val="single" w:color="auto" w:sz="4" w:space="0"/>
              <w:left w:val="single" w:color="auto" w:sz="4" w:space="0"/>
              <w:bottom w:val="single" w:color="auto" w:sz="4" w:space="0"/>
              <w:right w:val="single" w:color="auto" w:sz="4" w:space="0"/>
            </w:tcBorders>
          </w:tcPr>
          <w:p>
            <w:pPr>
              <w:pStyle w:val="2"/>
            </w:pPr>
            <w:r>
              <w:rPr>
                <w:rFonts w:hint="eastAsia"/>
              </w:rPr>
              <w:t>（2）如医院接受大型接待及检查，项目经理必须到场，检查完后对会场的恢复及卫生的打扫。</w:t>
            </w:r>
          </w:p>
        </w:tc>
        <w:tc>
          <w:tcPr>
            <w:tcW w:w="1862" w:type="dxa"/>
            <w:tcBorders>
              <w:top w:val="single" w:color="auto" w:sz="4" w:space="0"/>
              <w:left w:val="single" w:color="auto" w:sz="4" w:space="0"/>
              <w:bottom w:val="single" w:color="auto" w:sz="4" w:space="0"/>
              <w:right w:val="single" w:color="auto" w:sz="4" w:space="0"/>
            </w:tcBorders>
          </w:tcPr>
          <w:p>
            <w:pPr>
              <w:pStyle w:val="2"/>
              <w:jc w:val="left"/>
              <w:rPr>
                <w:rFonts w:hint="default" w:eastAsia="宋体"/>
                <w:lang w:val="en-US" w:eastAsia="zh-CN"/>
              </w:rPr>
            </w:pPr>
            <w:r>
              <w:rPr>
                <w:rFonts w:hint="eastAsia"/>
              </w:rPr>
              <w:t>500</w:t>
            </w:r>
            <w:r>
              <w:rPr>
                <w:rFonts w:hint="eastAsia"/>
                <w:lang w:val="en-US" w:eastAsia="zh-CN"/>
              </w:rPr>
              <w:t>.00</w:t>
            </w:r>
          </w:p>
        </w:tc>
        <w:tc>
          <w:tcPr>
            <w:tcW w:w="2569" w:type="dxa"/>
            <w:tcBorders>
              <w:top w:val="single" w:color="auto" w:sz="4" w:space="0"/>
              <w:left w:val="single" w:color="auto" w:sz="4" w:space="0"/>
              <w:bottom w:val="single" w:color="auto" w:sz="4" w:space="0"/>
              <w:right w:val="single" w:color="auto" w:sz="4" w:space="0"/>
            </w:tcBorders>
          </w:tcPr>
          <w:p>
            <w:pPr>
              <w:pStyle w:val="2"/>
            </w:pPr>
            <w:r>
              <w:rPr>
                <w:rFonts w:hint="eastAsia"/>
              </w:rPr>
              <w:t>月总额不超过2000</w:t>
            </w:r>
            <w:r>
              <w:rPr>
                <w:rFonts w:hint="eastAsia"/>
                <w:lang w:val="en-US" w:eastAsia="zh-CN"/>
              </w:rPr>
              <w:t>.00</w:t>
            </w:r>
            <w:r>
              <w:rPr>
                <w:rFonts w:hint="eastAsia"/>
              </w:rPr>
              <w:t xml:space="preserve">元 </w:t>
            </w:r>
          </w:p>
          <w:p>
            <w:pPr>
              <w:pStyle w:val="2"/>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69" w:type="dxa"/>
            <w:tcBorders>
              <w:top w:val="single" w:color="auto" w:sz="4" w:space="0"/>
              <w:left w:val="single" w:color="auto" w:sz="4" w:space="0"/>
              <w:bottom w:val="single" w:color="auto" w:sz="4" w:space="0"/>
              <w:right w:val="single" w:color="auto" w:sz="4" w:space="0"/>
            </w:tcBorders>
          </w:tcPr>
          <w:p>
            <w:pPr>
              <w:pStyle w:val="2"/>
            </w:pPr>
            <w:r>
              <w:rPr>
                <w:rFonts w:hint="eastAsia"/>
              </w:rPr>
              <w:t>（3）发现未经培训上岗人员。</w:t>
            </w:r>
          </w:p>
        </w:tc>
        <w:tc>
          <w:tcPr>
            <w:tcW w:w="1862" w:type="dxa"/>
            <w:tcBorders>
              <w:top w:val="single" w:color="auto" w:sz="4" w:space="0"/>
              <w:left w:val="single" w:color="auto" w:sz="4" w:space="0"/>
              <w:bottom w:val="single" w:color="auto" w:sz="4" w:space="0"/>
              <w:right w:val="single" w:color="auto" w:sz="4" w:space="0"/>
            </w:tcBorders>
          </w:tcPr>
          <w:p>
            <w:pPr>
              <w:pStyle w:val="2"/>
              <w:jc w:val="left"/>
              <w:rPr>
                <w:rFonts w:hint="default" w:eastAsia="宋体"/>
                <w:lang w:val="en-US" w:eastAsia="zh-CN"/>
              </w:rPr>
            </w:pPr>
            <w:r>
              <w:rPr>
                <w:rFonts w:hint="eastAsia"/>
              </w:rPr>
              <w:t>200</w:t>
            </w:r>
            <w:r>
              <w:rPr>
                <w:rFonts w:hint="eastAsia"/>
                <w:lang w:val="en-US" w:eastAsia="zh-CN"/>
              </w:rPr>
              <w:t>.00</w:t>
            </w:r>
          </w:p>
        </w:tc>
        <w:tc>
          <w:tcPr>
            <w:tcW w:w="2569" w:type="dxa"/>
            <w:tcBorders>
              <w:top w:val="single" w:color="auto" w:sz="4" w:space="0"/>
              <w:left w:val="single" w:color="auto" w:sz="4" w:space="0"/>
              <w:bottom w:val="single" w:color="auto" w:sz="4" w:space="0"/>
              <w:right w:val="single" w:color="auto" w:sz="4" w:space="0"/>
            </w:tcBorders>
          </w:tcPr>
          <w:p>
            <w:pPr>
              <w:pStyle w:val="2"/>
            </w:pPr>
            <w:r>
              <w:rPr>
                <w:rFonts w:hint="eastAsia"/>
              </w:rPr>
              <w:t>200</w:t>
            </w:r>
            <w:r>
              <w:rPr>
                <w:rFonts w:hint="eastAsia"/>
                <w:lang w:val="en-US" w:eastAsia="zh-CN"/>
              </w:rPr>
              <w:t>.00</w:t>
            </w:r>
            <w:r>
              <w:rPr>
                <w:rFonts w:hint="eastAsia"/>
                <w:lang w:eastAsia="zh-CN"/>
              </w:rPr>
              <w:t>元</w:t>
            </w:r>
            <w:r>
              <w:rPr>
                <w:rFonts w:hint="eastAsia"/>
              </w:rPr>
              <w:t>/</w:t>
            </w:r>
            <w:r>
              <w:rPr>
                <w:rFonts w:hint="eastAsia"/>
                <w:lang w:eastAsia="zh-CN"/>
              </w:rPr>
              <w:t>人</w:t>
            </w:r>
            <w:r>
              <w:rPr>
                <w:rFonts w:hint="eastAsia"/>
              </w:rPr>
              <w:t>，月总额不超过2000</w:t>
            </w:r>
            <w:r>
              <w:rPr>
                <w:rFonts w:hint="eastAsia"/>
                <w:lang w:val="en-US" w:eastAsia="zh-CN"/>
              </w:rPr>
              <w:t>.00</w:t>
            </w:r>
            <w:r>
              <w:rPr>
                <w:rFonts w:hint="eastAsia"/>
              </w:rPr>
              <w:t>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69" w:type="dxa"/>
            <w:tcBorders>
              <w:top w:val="single" w:color="auto" w:sz="4" w:space="0"/>
              <w:left w:val="single" w:color="auto" w:sz="4" w:space="0"/>
              <w:bottom w:val="single" w:color="auto" w:sz="4" w:space="0"/>
              <w:right w:val="single" w:color="auto" w:sz="4" w:space="0"/>
            </w:tcBorders>
          </w:tcPr>
          <w:p>
            <w:pPr>
              <w:pStyle w:val="2"/>
            </w:pPr>
            <w:r>
              <w:rPr>
                <w:rFonts w:hint="eastAsia"/>
              </w:rPr>
              <w:t>（4）凡发生投诉到</w:t>
            </w:r>
            <w:r>
              <w:rPr>
                <w:rFonts w:hint="eastAsia"/>
                <w:lang w:eastAsia="zh-CN"/>
              </w:rPr>
              <w:t>后保</w:t>
            </w:r>
            <w:r>
              <w:rPr>
                <w:rFonts w:hint="eastAsia"/>
              </w:rPr>
              <w:t>科、上级部门、市长热线、信箱等。</w:t>
            </w:r>
          </w:p>
        </w:tc>
        <w:tc>
          <w:tcPr>
            <w:tcW w:w="1862" w:type="dxa"/>
            <w:tcBorders>
              <w:top w:val="single" w:color="auto" w:sz="4" w:space="0"/>
              <w:left w:val="single" w:color="auto" w:sz="4" w:space="0"/>
              <w:bottom w:val="single" w:color="auto" w:sz="4" w:space="0"/>
              <w:right w:val="single" w:color="auto" w:sz="4" w:space="0"/>
            </w:tcBorders>
          </w:tcPr>
          <w:p>
            <w:pPr>
              <w:pStyle w:val="2"/>
              <w:jc w:val="left"/>
              <w:rPr>
                <w:rFonts w:hint="default" w:eastAsia="宋体"/>
                <w:lang w:val="en-US" w:eastAsia="zh-CN"/>
              </w:rPr>
            </w:pPr>
            <w:r>
              <w:rPr>
                <w:rFonts w:hint="eastAsia"/>
              </w:rPr>
              <w:t>500</w:t>
            </w:r>
            <w:r>
              <w:rPr>
                <w:rFonts w:hint="eastAsia"/>
                <w:lang w:val="en-US" w:eastAsia="zh-CN"/>
              </w:rPr>
              <w:t>.00</w:t>
            </w:r>
            <w:r>
              <w:rPr>
                <w:rFonts w:hint="eastAsia"/>
              </w:rPr>
              <w:t>-2000</w:t>
            </w:r>
            <w:r>
              <w:rPr>
                <w:rFonts w:hint="eastAsia"/>
                <w:lang w:val="en-US" w:eastAsia="zh-CN"/>
              </w:rPr>
              <w:t>.00</w:t>
            </w:r>
          </w:p>
          <w:p>
            <w:pPr>
              <w:pStyle w:val="2"/>
              <w:jc w:val="left"/>
            </w:pPr>
          </w:p>
        </w:tc>
        <w:tc>
          <w:tcPr>
            <w:tcW w:w="2569" w:type="dxa"/>
            <w:tcBorders>
              <w:top w:val="single" w:color="auto" w:sz="4" w:space="0"/>
              <w:left w:val="single" w:color="auto" w:sz="4" w:space="0"/>
              <w:bottom w:val="single" w:color="auto" w:sz="4" w:space="0"/>
              <w:right w:val="single" w:color="auto" w:sz="4" w:space="0"/>
            </w:tcBorders>
          </w:tcPr>
          <w:p>
            <w:pPr>
              <w:pStyle w:val="2"/>
            </w:pPr>
            <w:r>
              <w:rPr>
                <w:rFonts w:hint="eastAsia"/>
              </w:rPr>
              <w:t>根据严重程度而定</w:t>
            </w:r>
          </w:p>
          <w:p>
            <w:pPr>
              <w:pStyle w:val="2"/>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69" w:type="dxa"/>
            <w:tcBorders>
              <w:top w:val="single" w:color="auto" w:sz="4" w:space="0"/>
              <w:left w:val="single" w:color="auto" w:sz="4" w:space="0"/>
              <w:bottom w:val="single" w:color="auto" w:sz="4" w:space="0"/>
              <w:right w:val="single" w:color="auto" w:sz="4" w:space="0"/>
            </w:tcBorders>
          </w:tcPr>
          <w:p>
            <w:pPr>
              <w:pStyle w:val="2"/>
            </w:pPr>
            <w:r>
              <w:rPr>
                <w:rFonts w:hint="eastAsia"/>
              </w:rPr>
              <w:t>（5）项目管理人员调整提前告知</w:t>
            </w:r>
            <w:r>
              <w:rPr>
                <w:rFonts w:hint="eastAsia"/>
                <w:lang w:eastAsia="zh-CN"/>
              </w:rPr>
              <w:t>医院管理科室</w:t>
            </w:r>
            <w:r>
              <w:rPr>
                <w:rFonts w:hint="eastAsia"/>
              </w:rPr>
              <w:t>（项目经理提前一月，项目主管提前一周）;项目管理人员工作日休假2天以上（含2天）必须向</w:t>
            </w:r>
            <w:r>
              <w:rPr>
                <w:rFonts w:hint="eastAsia"/>
                <w:lang w:eastAsia="zh-CN"/>
              </w:rPr>
              <w:t>医院管理科室</w:t>
            </w:r>
            <w:r>
              <w:rPr>
                <w:rFonts w:hint="eastAsia"/>
              </w:rPr>
              <w:t>报备。</w:t>
            </w:r>
          </w:p>
        </w:tc>
        <w:tc>
          <w:tcPr>
            <w:tcW w:w="1862" w:type="dxa"/>
            <w:tcBorders>
              <w:top w:val="single" w:color="auto" w:sz="4" w:space="0"/>
              <w:left w:val="single" w:color="auto" w:sz="4" w:space="0"/>
              <w:bottom w:val="single" w:color="auto" w:sz="4" w:space="0"/>
              <w:right w:val="single" w:color="auto" w:sz="4" w:space="0"/>
            </w:tcBorders>
          </w:tcPr>
          <w:p>
            <w:pPr>
              <w:pStyle w:val="2"/>
              <w:jc w:val="left"/>
              <w:rPr>
                <w:rFonts w:hint="default" w:eastAsia="宋体"/>
                <w:lang w:val="en-US" w:eastAsia="zh-CN"/>
              </w:rPr>
            </w:pPr>
            <w:r>
              <w:rPr>
                <w:rFonts w:hint="eastAsia"/>
              </w:rPr>
              <w:t>500</w:t>
            </w:r>
            <w:r>
              <w:rPr>
                <w:rFonts w:hint="eastAsia"/>
                <w:lang w:val="en-US" w:eastAsia="zh-CN"/>
              </w:rPr>
              <w:t>.00</w:t>
            </w:r>
          </w:p>
        </w:tc>
        <w:tc>
          <w:tcPr>
            <w:tcW w:w="2569" w:type="dxa"/>
            <w:tcBorders>
              <w:top w:val="single" w:color="auto" w:sz="4" w:space="0"/>
              <w:left w:val="single" w:color="auto" w:sz="4" w:space="0"/>
              <w:bottom w:val="single" w:color="auto" w:sz="4" w:space="0"/>
              <w:right w:val="single" w:color="auto" w:sz="4" w:space="0"/>
            </w:tcBorders>
          </w:tcPr>
          <w:p>
            <w:pPr>
              <w:pStyle w:val="2"/>
            </w:pPr>
            <w:r>
              <w:rPr>
                <w:rFonts w:hint="eastAsia"/>
              </w:rPr>
              <w:t>月总额不超过 2000</w:t>
            </w:r>
            <w:r>
              <w:rPr>
                <w:rFonts w:hint="eastAsia"/>
                <w:lang w:val="en-US" w:eastAsia="zh-CN"/>
              </w:rPr>
              <w:t>.00</w:t>
            </w:r>
            <w:r>
              <w:rPr>
                <w:rFonts w:hint="eastAsia"/>
              </w:rPr>
              <w:t>元</w:t>
            </w:r>
          </w:p>
          <w:p>
            <w:pPr>
              <w:pStyle w:val="2"/>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69" w:type="dxa"/>
            <w:tcBorders>
              <w:top w:val="single" w:color="auto" w:sz="4" w:space="0"/>
              <w:left w:val="single" w:color="auto" w:sz="4" w:space="0"/>
              <w:bottom w:val="single" w:color="auto" w:sz="4" w:space="0"/>
              <w:right w:val="single" w:color="auto" w:sz="4" w:space="0"/>
            </w:tcBorders>
          </w:tcPr>
          <w:p>
            <w:pPr>
              <w:pStyle w:val="2"/>
            </w:pPr>
            <w:r>
              <w:rPr>
                <w:rFonts w:hint="eastAsia"/>
              </w:rPr>
              <w:t>（6）公共场合发生争吵、打架或讨论与工作无关事项引起不良后果。</w:t>
            </w:r>
          </w:p>
        </w:tc>
        <w:tc>
          <w:tcPr>
            <w:tcW w:w="1862" w:type="dxa"/>
            <w:tcBorders>
              <w:top w:val="single" w:color="auto" w:sz="4" w:space="0"/>
              <w:left w:val="single" w:color="auto" w:sz="4" w:space="0"/>
              <w:bottom w:val="single" w:color="auto" w:sz="4" w:space="0"/>
              <w:right w:val="single" w:color="auto" w:sz="4" w:space="0"/>
            </w:tcBorders>
          </w:tcPr>
          <w:p>
            <w:pPr>
              <w:pStyle w:val="2"/>
              <w:jc w:val="left"/>
              <w:rPr>
                <w:rFonts w:hint="default" w:eastAsia="宋体"/>
                <w:lang w:val="en-US" w:eastAsia="zh-CN"/>
              </w:rPr>
            </w:pPr>
            <w:r>
              <w:rPr>
                <w:rFonts w:hint="eastAsia"/>
              </w:rPr>
              <w:t>500</w:t>
            </w:r>
            <w:r>
              <w:rPr>
                <w:rFonts w:hint="eastAsia"/>
                <w:lang w:val="en-US" w:eastAsia="zh-CN"/>
              </w:rPr>
              <w:t>.00</w:t>
            </w:r>
            <w:r>
              <w:rPr>
                <w:rFonts w:hint="eastAsia"/>
              </w:rPr>
              <w:t>-1000</w:t>
            </w:r>
            <w:r>
              <w:rPr>
                <w:rFonts w:hint="eastAsia"/>
                <w:lang w:val="en-US" w:eastAsia="zh-CN"/>
              </w:rPr>
              <w:t>.00</w:t>
            </w:r>
          </w:p>
          <w:p>
            <w:pPr>
              <w:pStyle w:val="2"/>
              <w:jc w:val="left"/>
            </w:pPr>
          </w:p>
        </w:tc>
        <w:tc>
          <w:tcPr>
            <w:tcW w:w="2569" w:type="dxa"/>
            <w:tcBorders>
              <w:top w:val="single" w:color="auto" w:sz="4" w:space="0"/>
              <w:left w:val="single" w:color="auto" w:sz="4" w:space="0"/>
              <w:bottom w:val="single" w:color="auto" w:sz="4" w:space="0"/>
              <w:right w:val="single" w:color="auto" w:sz="4" w:space="0"/>
            </w:tcBorders>
          </w:tcPr>
          <w:p>
            <w:pPr>
              <w:pStyle w:val="2"/>
            </w:pPr>
            <w:r>
              <w:rPr>
                <w:rFonts w:hint="eastAsia"/>
              </w:rPr>
              <w:t>根据严重程度而定</w:t>
            </w:r>
          </w:p>
          <w:p>
            <w:pPr>
              <w:pStyle w:val="2"/>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69" w:type="dxa"/>
            <w:tcBorders>
              <w:top w:val="single" w:color="auto" w:sz="4" w:space="0"/>
              <w:left w:val="single" w:color="auto" w:sz="4" w:space="0"/>
              <w:bottom w:val="single" w:color="auto" w:sz="4" w:space="0"/>
              <w:right w:val="single" w:color="auto" w:sz="4" w:space="0"/>
            </w:tcBorders>
          </w:tcPr>
          <w:p>
            <w:pPr>
              <w:pStyle w:val="2"/>
            </w:pPr>
            <w:r>
              <w:rPr>
                <w:rFonts w:hint="eastAsia"/>
              </w:rPr>
              <w:t>(7)物业人员在网络、自媒体等平台发表对医院的不当言论。</w:t>
            </w:r>
          </w:p>
        </w:tc>
        <w:tc>
          <w:tcPr>
            <w:tcW w:w="1862" w:type="dxa"/>
            <w:tcBorders>
              <w:top w:val="single" w:color="auto" w:sz="4" w:space="0"/>
              <w:left w:val="single" w:color="auto" w:sz="4" w:space="0"/>
              <w:bottom w:val="single" w:color="auto" w:sz="4" w:space="0"/>
              <w:right w:val="single" w:color="auto" w:sz="4" w:space="0"/>
            </w:tcBorders>
          </w:tcPr>
          <w:p>
            <w:pPr>
              <w:pStyle w:val="2"/>
              <w:jc w:val="left"/>
              <w:rPr>
                <w:rFonts w:hint="default" w:eastAsia="宋体"/>
                <w:lang w:val="en-US" w:eastAsia="zh-CN"/>
              </w:rPr>
            </w:pPr>
            <w:r>
              <w:rPr>
                <w:rFonts w:hint="eastAsia"/>
              </w:rPr>
              <w:t>500</w:t>
            </w:r>
            <w:r>
              <w:rPr>
                <w:rFonts w:hint="eastAsia"/>
                <w:lang w:val="en-US" w:eastAsia="zh-CN"/>
              </w:rPr>
              <w:t>.00</w:t>
            </w:r>
            <w:r>
              <w:rPr>
                <w:rFonts w:hint="eastAsia"/>
              </w:rPr>
              <w:t>-1000</w:t>
            </w:r>
            <w:r>
              <w:rPr>
                <w:rFonts w:hint="eastAsia"/>
                <w:lang w:val="en-US" w:eastAsia="zh-CN"/>
              </w:rPr>
              <w:t>.00</w:t>
            </w:r>
          </w:p>
        </w:tc>
        <w:tc>
          <w:tcPr>
            <w:tcW w:w="2569" w:type="dxa"/>
            <w:tcBorders>
              <w:top w:val="single" w:color="auto" w:sz="4" w:space="0"/>
              <w:left w:val="single" w:color="auto" w:sz="4" w:space="0"/>
              <w:bottom w:val="single" w:color="auto" w:sz="4" w:space="0"/>
              <w:right w:val="single" w:color="auto" w:sz="4" w:space="0"/>
            </w:tcBorders>
          </w:tcPr>
          <w:p>
            <w:pPr>
              <w:pStyle w:val="2"/>
            </w:pPr>
            <w:r>
              <w:rPr>
                <w:rFonts w:hint="eastAsia"/>
              </w:rPr>
              <w:t>根据严重程度而定</w:t>
            </w:r>
          </w:p>
          <w:p>
            <w:pPr>
              <w:pStyle w:val="2"/>
              <w:jc w:val="left"/>
            </w:pPr>
          </w:p>
        </w:tc>
      </w:tr>
    </w:tbl>
    <w:p>
      <w:pPr>
        <w:pStyle w:val="2"/>
        <w:rPr>
          <w:rFonts w:ascii="宋体" w:hAnsi="宋体" w:cs="宋体"/>
          <w:kern w:val="2"/>
          <w:sz w:val="28"/>
          <w:szCs w:val="28"/>
        </w:rPr>
      </w:pPr>
      <w:r>
        <w:rPr>
          <w:rFonts w:hint="eastAsia" w:ascii="宋体" w:hAnsi="宋体" w:cs="宋体"/>
          <w:kern w:val="2"/>
          <w:sz w:val="28"/>
          <w:szCs w:val="28"/>
        </w:rPr>
        <w:t>4.采购人有权在物业服务合同履约中，根据医院管理要求对考核标准进行调整，投标人应积极配合。</w:t>
      </w:r>
    </w:p>
    <w:p>
      <w:pPr>
        <w:pStyle w:val="2"/>
      </w:pPr>
    </w:p>
    <w:p>
      <w:pPr>
        <w:pStyle w:val="2"/>
      </w:pPr>
    </w:p>
    <w:p>
      <w:pPr>
        <w:pStyle w:val="5"/>
        <w:numPr>
          <w:ilvl w:val="2"/>
          <w:numId w:val="4"/>
        </w:numPr>
        <w:spacing w:after="200" w:line="520" w:lineRule="exact"/>
        <w:rPr>
          <w:rFonts w:cstheme="minorEastAsia"/>
          <w:color w:val="000000" w:themeColor="text1"/>
          <w14:textFill>
            <w14:solidFill>
              <w14:schemeClr w14:val="tx1"/>
            </w14:solidFill>
          </w14:textFill>
        </w:rPr>
      </w:pPr>
      <w:r>
        <w:rPr>
          <w:rFonts w:hint="eastAsia" w:cstheme="minorEastAsia"/>
          <w:color w:val="000000" w:themeColor="text1"/>
          <w14:textFill>
            <w14:solidFill>
              <w14:schemeClr w14:val="tx1"/>
            </w14:solidFill>
          </w14:textFill>
        </w:rPr>
        <w:t>付款方式</w:t>
      </w:r>
    </w:p>
    <w:p>
      <w:pPr>
        <w:spacing w:line="360" w:lineRule="auto"/>
        <w:ind w:firstLine="565" w:firstLineChars="202"/>
        <w:rPr>
          <w:rFonts w:ascii="宋体" w:hAnsi="宋体" w:cs="宋体"/>
          <w:sz w:val="28"/>
          <w:szCs w:val="28"/>
        </w:rPr>
      </w:pPr>
      <w:r>
        <w:rPr>
          <w:rFonts w:hint="eastAsia" w:ascii="宋体" w:hAnsi="宋体" w:cs="宋体"/>
          <w:sz w:val="28"/>
          <w:szCs w:val="28"/>
        </w:rPr>
        <w:t>根据考核结果，以下方式支付物业服务费。</w:t>
      </w:r>
    </w:p>
    <w:p>
      <w:pPr>
        <w:spacing w:line="360" w:lineRule="auto"/>
        <w:ind w:firstLine="565" w:firstLineChars="202"/>
        <w:rPr>
          <w:rFonts w:ascii="宋体" w:hAnsi="宋体" w:cs="宋体"/>
          <w:sz w:val="28"/>
          <w:szCs w:val="28"/>
        </w:rPr>
      </w:pPr>
      <w:r>
        <w:rPr>
          <w:rFonts w:hint="eastAsia" w:ascii="宋体" w:hAnsi="宋体" w:cs="宋体"/>
          <w:sz w:val="28"/>
          <w:szCs w:val="28"/>
        </w:rPr>
        <w:t>一、物业服务费按月结算，服务费用于第二月收到中标方发票之日起30日内支付。</w:t>
      </w:r>
    </w:p>
    <w:p>
      <w:pPr>
        <w:spacing w:line="360" w:lineRule="auto"/>
        <w:ind w:firstLine="565" w:firstLineChars="202"/>
        <w:rPr>
          <w:rFonts w:ascii="宋体" w:hAnsi="宋体" w:cs="宋体"/>
          <w:sz w:val="28"/>
          <w:szCs w:val="28"/>
        </w:rPr>
      </w:pPr>
      <w:r>
        <w:rPr>
          <w:rFonts w:hint="eastAsia" w:ascii="宋体" w:hAnsi="宋体" w:cs="宋体"/>
          <w:sz w:val="28"/>
          <w:szCs w:val="28"/>
        </w:rPr>
        <w:t>二、采购人在物业合同期内每月对物业管理工作进行考核，物业服务考核满分为100分，考核结果为优等(得分90分以上含90分)，每个月服务期满按时支付物业服务费；考核结果为良等（得分90分以下、80分以上含80分），每低1分扣500.00元，整改项目整改率达100%后延迟1个月支付物业服务费；考核结果为合格（得分80分以下、70分以上含70分），每低1分扣1000.00元，整改项目整改率达100%后延迟2个月支付物业服务费；考核结果为不合格（得分70分以下），整改项目整改率达100%后延迟3个月支付物业服务费总额的80%；连续两月得分70分以下，医院有权单方面终止服务合同，不再支付物业服务费用，并由中标人承担违约责任。</w:t>
      </w:r>
    </w:p>
    <w:p>
      <w:pPr>
        <w:pStyle w:val="5"/>
        <w:numPr>
          <w:ilvl w:val="2"/>
          <w:numId w:val="4"/>
        </w:numPr>
        <w:spacing w:after="200" w:line="520" w:lineRule="exact"/>
        <w:rPr>
          <w:rFonts w:cstheme="minorEastAsia"/>
          <w:color w:val="000000" w:themeColor="text1"/>
          <w14:textFill>
            <w14:solidFill>
              <w14:schemeClr w14:val="tx1"/>
            </w14:solidFill>
          </w14:textFill>
        </w:rPr>
      </w:pPr>
      <w:r>
        <w:rPr>
          <w:rFonts w:hint="eastAsia" w:cstheme="minorEastAsia"/>
          <w:color w:val="000000" w:themeColor="text1"/>
          <w14:textFill>
            <w14:solidFill>
              <w14:schemeClr w14:val="tx1"/>
            </w14:solidFill>
          </w14:textFill>
        </w:rPr>
        <w:t>违约责任</w:t>
      </w:r>
    </w:p>
    <w:p>
      <w:pPr>
        <w:spacing w:line="360" w:lineRule="auto"/>
        <w:rPr>
          <w:rFonts w:ascii="宋体" w:hAnsi="宋体" w:cs="宋体"/>
          <w:sz w:val="28"/>
          <w:szCs w:val="28"/>
        </w:rPr>
      </w:pPr>
      <w:r>
        <w:rPr>
          <w:rFonts w:hint="eastAsia" w:ascii="宋体" w:hAnsi="宋体" w:cs="宋体"/>
          <w:sz w:val="28"/>
          <w:szCs w:val="28"/>
        </w:rPr>
        <w:t>（一）由于中标人原因未按合同约定时间入场，中标人应当承担违约责任。每逾期1日，中标人按照中标总金额的万分之五支付违约金，由此给采购人造成损失的，中标人还应当负责向采购人赔偿损失。</w:t>
      </w:r>
    </w:p>
    <w:p>
      <w:pPr>
        <w:spacing w:line="360" w:lineRule="auto"/>
        <w:rPr>
          <w:rFonts w:ascii="宋体" w:hAnsi="宋体" w:cs="宋体"/>
          <w:sz w:val="28"/>
          <w:szCs w:val="28"/>
        </w:rPr>
      </w:pPr>
      <w:r>
        <w:rPr>
          <w:rFonts w:hint="eastAsia" w:ascii="宋体" w:hAnsi="宋体" w:cs="宋体"/>
          <w:sz w:val="28"/>
          <w:szCs w:val="28"/>
        </w:rPr>
        <w:t>（二）如因中标人工作人员在履行职务过程中给采购人及第三人造成损失或侵害，包括但不限于采购人本身的财产损失、采购人对其他任何第三方承担赔偿责任等，中标人对此均应承担全部的赔偿责任。</w:t>
      </w:r>
    </w:p>
    <w:p>
      <w:pPr>
        <w:spacing w:line="360" w:lineRule="auto"/>
        <w:rPr>
          <w:rFonts w:ascii="宋体" w:hAnsi="宋体" w:cs="宋体"/>
          <w:sz w:val="28"/>
          <w:szCs w:val="28"/>
        </w:rPr>
      </w:pPr>
      <w:r>
        <w:rPr>
          <w:rFonts w:hint="eastAsia" w:ascii="宋体" w:hAnsi="宋体" w:cs="宋体"/>
          <w:sz w:val="28"/>
          <w:szCs w:val="28"/>
        </w:rPr>
        <w:t>（三）中标人的工作人员在工作期间受到人身、财产损害的，由中标人负责解决；如因中标人怠于解决而影响采购人正常经营的，采购人有权要求中标人赔偿采购人由此遭受的经济损失。如采购人代中标人进行相关费用支付的，采购人有权在应向中标人支付的物业服务费用中予以抵扣。</w:t>
      </w:r>
    </w:p>
    <w:p>
      <w:pPr>
        <w:spacing w:line="360" w:lineRule="auto"/>
        <w:rPr>
          <w:rFonts w:ascii="宋体" w:hAnsi="宋体" w:cs="宋体"/>
          <w:sz w:val="28"/>
          <w:szCs w:val="28"/>
        </w:rPr>
      </w:pPr>
      <w:r>
        <w:rPr>
          <w:rFonts w:hint="eastAsia" w:ascii="宋体" w:hAnsi="宋体" w:cs="宋体"/>
          <w:sz w:val="28"/>
          <w:szCs w:val="28"/>
        </w:rPr>
        <w:t>（四）如中标人人员违反本合同约定，对外泄密采购人信息的，采购人有权按照5000</w:t>
      </w:r>
      <w:r>
        <w:rPr>
          <w:rFonts w:hint="eastAsia" w:ascii="宋体" w:hAnsi="宋体" w:cs="宋体"/>
          <w:sz w:val="28"/>
          <w:szCs w:val="28"/>
          <w:lang w:val="en-US" w:eastAsia="zh-CN"/>
        </w:rPr>
        <w:t>.00</w:t>
      </w:r>
      <w:r>
        <w:rPr>
          <w:rFonts w:hint="eastAsia" w:ascii="宋体" w:hAnsi="宋体" w:cs="宋体"/>
          <w:sz w:val="28"/>
          <w:szCs w:val="28"/>
        </w:rPr>
        <w:t>元/次向中标人要求支付违约金。如违约金不足以弥补采购人损失的，中标人应足额赔偿采购人损失。</w:t>
      </w:r>
    </w:p>
    <w:p>
      <w:pPr>
        <w:spacing w:line="360" w:lineRule="auto"/>
        <w:rPr>
          <w:rFonts w:ascii="宋体" w:hAnsi="宋体" w:cs="宋体"/>
          <w:sz w:val="28"/>
          <w:szCs w:val="28"/>
        </w:rPr>
      </w:pPr>
      <w:r>
        <w:rPr>
          <w:rFonts w:hint="eastAsia" w:ascii="宋体" w:hAnsi="宋体" w:cs="宋体"/>
          <w:sz w:val="28"/>
          <w:szCs w:val="28"/>
        </w:rPr>
        <w:t>（五）采购人对中标人进行的日常检查中，对因中标人管理不到位、失职等原因，未达到管理服务要求和标准包括但不限于物业服务人员未按服务流程操作、消极怠工、迟到早退、私自倒卖携带医废、着装不整洁不规范、干本职工作以外的事项、违反消防安全、用电安全、治安安全等，视情况每次给予最低500.00——2000.00元的处罚，对要求限期整改的项目整改不到位的，视情况每次给予最低2000.00——5000.00元的处罚，对要求限期整改的项目到期仍不整改的，采购人有权扣除当月物业服务费的5‰，由此造成的采购人经济损失，中标人应负责全额赔偿。</w:t>
      </w:r>
    </w:p>
    <w:p>
      <w:pPr>
        <w:spacing w:line="360" w:lineRule="auto"/>
        <w:rPr>
          <w:rFonts w:ascii="宋体" w:hAnsi="宋体" w:cs="宋体"/>
          <w:sz w:val="28"/>
          <w:szCs w:val="28"/>
        </w:rPr>
      </w:pPr>
      <w:r>
        <w:rPr>
          <w:rFonts w:hint="eastAsia" w:ascii="宋体" w:hAnsi="宋体" w:cs="宋体"/>
          <w:sz w:val="28"/>
          <w:szCs w:val="28"/>
        </w:rPr>
        <w:t>（六）因中标人在特殊科室服务管理不到位、失职等原因，未达到管理服务要求和标准（含院感）的事项，造成财产损失、院感疫情、设施损坏、医疗事故包括但不限于物业服务人员自身伤害、伤亡、医疗纠纷、院感不达标等中标人应承担全部责任及全部经济损失，采购人有权从当月物业服务费中扣除最低2000.00-10000.00元进行考核。情节严重的采购人有权扣除中标人合同总金额的1‰作为违约处罚。</w:t>
      </w:r>
    </w:p>
    <w:p>
      <w:pPr>
        <w:spacing w:line="360" w:lineRule="auto"/>
        <w:rPr>
          <w:rFonts w:ascii="宋体" w:hAnsi="宋体" w:cs="宋体"/>
          <w:sz w:val="28"/>
          <w:szCs w:val="28"/>
        </w:rPr>
      </w:pPr>
      <w:r>
        <w:rPr>
          <w:rFonts w:hint="eastAsia" w:ascii="宋体" w:hAnsi="宋体" w:cs="宋体"/>
          <w:sz w:val="28"/>
          <w:szCs w:val="28"/>
        </w:rPr>
        <w:t>（七）采购人未在合同约定时间向中标人支付物业服务费用，每延迟一天按所延迟支付费用总额</w:t>
      </w:r>
      <w:r>
        <w:rPr>
          <w:rFonts w:hint="eastAsia" w:ascii="宋体" w:hAnsi="宋体" w:cs="宋体"/>
          <w:sz w:val="28"/>
          <w:szCs w:val="28"/>
          <w:lang w:val="en-US" w:eastAsia="zh-CN"/>
        </w:rPr>
        <w:t>1</w:t>
      </w:r>
      <w:r>
        <w:rPr>
          <w:rFonts w:hint="eastAsia" w:ascii="宋体" w:hAnsi="宋体" w:cs="宋体"/>
          <w:sz w:val="28"/>
          <w:szCs w:val="28"/>
        </w:rPr>
        <w:t xml:space="preserve">%向中标人支付违约金。 </w:t>
      </w:r>
    </w:p>
    <w:p>
      <w:pPr>
        <w:spacing w:line="360" w:lineRule="auto"/>
        <w:rPr>
          <w:rFonts w:ascii="宋体" w:hAnsi="宋体" w:cs="宋体"/>
          <w:sz w:val="28"/>
          <w:szCs w:val="28"/>
        </w:rPr>
      </w:pPr>
      <w:r>
        <w:rPr>
          <w:rFonts w:hint="eastAsia" w:ascii="宋体" w:hAnsi="宋体" w:cs="宋体"/>
          <w:sz w:val="28"/>
          <w:szCs w:val="28"/>
        </w:rPr>
        <w:t>（八）因采购人原因导致变更、中止或者终止政府采购合同的，采购人应当对供应商受到的损失予以赔偿或者补偿。</w:t>
      </w:r>
    </w:p>
    <w:p>
      <w:pPr>
        <w:spacing w:line="360" w:lineRule="auto"/>
        <w:rPr>
          <w:rFonts w:ascii="宋体" w:hAnsi="宋体" w:cs="宋体"/>
          <w:sz w:val="28"/>
          <w:szCs w:val="28"/>
        </w:rPr>
      </w:pPr>
      <w:r>
        <w:rPr>
          <w:rFonts w:hint="eastAsia" w:ascii="宋体" w:hAnsi="宋体" w:cs="宋体"/>
          <w:sz w:val="28"/>
          <w:szCs w:val="28"/>
        </w:rPr>
        <w:t>（九）甲乙任一方违反本合同约定提前终止合同的，应向对方支付合同金额</w:t>
      </w:r>
      <w:r>
        <w:rPr>
          <w:rFonts w:hint="eastAsia" w:ascii="宋体" w:hAnsi="宋体" w:cs="宋体"/>
          <w:sz w:val="28"/>
          <w:szCs w:val="28"/>
          <w:lang w:val="en-US" w:eastAsia="zh-CN"/>
        </w:rPr>
        <w:t>1</w:t>
      </w:r>
      <w:r>
        <w:rPr>
          <w:rFonts w:hint="eastAsia" w:ascii="宋体" w:hAnsi="宋体" w:cs="宋体"/>
          <w:sz w:val="28"/>
          <w:szCs w:val="28"/>
        </w:rPr>
        <w:t>%的违约金，给对方造成的经济损失超过违约金的，还应给予赔偿。</w:t>
      </w:r>
    </w:p>
    <w:p>
      <w:pPr>
        <w:pStyle w:val="5"/>
        <w:numPr>
          <w:ilvl w:val="2"/>
          <w:numId w:val="4"/>
        </w:numPr>
        <w:spacing w:after="200" w:line="56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报价要求</w:t>
      </w:r>
    </w:p>
    <w:p>
      <w:pPr>
        <w:pStyle w:val="6"/>
        <w:numPr>
          <w:ilvl w:val="3"/>
          <w:numId w:val="4"/>
        </w:numPr>
        <w:spacing w:line="560" w:lineRule="exac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最高限价</w:t>
      </w:r>
    </w:p>
    <w:p>
      <w:pPr>
        <w:pStyle w:val="84"/>
        <w:tabs>
          <w:tab w:val="left" w:pos="993"/>
          <w:tab w:val="left" w:pos="1134"/>
        </w:tabs>
        <w:spacing w:line="560" w:lineRule="exact"/>
        <w:ind w:firstLine="565" w:firstLineChars="201"/>
        <w:rPr>
          <w:rFonts w:ascii="宋体" w:hAnsi="宋体" w:eastAsia="宋体"/>
          <w:b/>
          <w:color w:val="000000" w:themeColor="text1"/>
          <w:sz w:val="28"/>
          <w:szCs w:val="28"/>
          <w14:textFill>
            <w14:solidFill>
              <w14:schemeClr w14:val="tx1"/>
            </w14:solidFill>
          </w14:textFill>
        </w:rPr>
      </w:pPr>
      <w:r>
        <w:rPr>
          <w:rFonts w:hint="eastAsia" w:ascii="宋体" w:hAnsi="宋体" w:eastAsia="宋体"/>
          <w:b/>
          <w:color w:val="000000" w:themeColor="text1"/>
          <w:sz w:val="28"/>
          <w:szCs w:val="28"/>
          <w14:textFill>
            <w14:solidFill>
              <w14:schemeClr w14:val="tx1"/>
            </w14:solidFill>
          </w14:textFill>
        </w:rPr>
        <w:t>★本项目最高限价为人民币</w:t>
      </w:r>
      <w:r>
        <w:rPr>
          <w:rFonts w:ascii="宋体" w:hAnsi="宋体" w:eastAsia="宋体"/>
          <w:b/>
          <w:color w:val="000000" w:themeColor="text1"/>
          <w:sz w:val="28"/>
          <w:szCs w:val="28"/>
          <w14:textFill>
            <w14:solidFill>
              <w14:schemeClr w14:val="tx1"/>
            </w14:solidFill>
          </w14:textFill>
        </w:rPr>
        <w:t>4000000</w:t>
      </w:r>
      <w:r>
        <w:rPr>
          <w:rFonts w:hint="eastAsia" w:ascii="宋体" w:hAnsi="宋体" w:eastAsia="宋体"/>
          <w:b/>
          <w:color w:val="000000" w:themeColor="text1"/>
          <w:sz w:val="28"/>
          <w:szCs w:val="28"/>
          <w:lang w:val="en-US" w:eastAsia="zh-CN"/>
          <w14:textFill>
            <w14:solidFill>
              <w14:schemeClr w14:val="tx1"/>
            </w14:solidFill>
          </w14:textFill>
        </w:rPr>
        <w:t>.00</w:t>
      </w:r>
      <w:r>
        <w:rPr>
          <w:rFonts w:hint="eastAsia" w:ascii="宋体" w:hAnsi="宋体" w:eastAsia="宋体"/>
          <w:b/>
          <w:color w:val="000000" w:themeColor="text1"/>
          <w:sz w:val="28"/>
          <w:szCs w:val="28"/>
          <w14:textFill>
            <w14:solidFill>
              <w14:schemeClr w14:val="tx1"/>
            </w14:solidFill>
          </w14:textFill>
        </w:rPr>
        <w:t>元</w:t>
      </w:r>
      <w:r>
        <w:rPr>
          <w:rFonts w:hint="eastAsia" w:ascii="宋体" w:hAnsi="宋体" w:eastAsia="宋体"/>
          <w:b/>
          <w:color w:val="000000" w:themeColor="text1"/>
          <w:sz w:val="28"/>
          <w:szCs w:val="28"/>
          <w:lang w:val="en-US" w:eastAsia="zh-CN"/>
          <w14:textFill>
            <w14:solidFill>
              <w14:schemeClr w14:val="tx1"/>
            </w14:solidFill>
          </w14:textFill>
        </w:rPr>
        <w:t>/年，招三年</w:t>
      </w:r>
      <w:r>
        <w:rPr>
          <w:rFonts w:hint="eastAsia" w:ascii="宋体" w:hAnsi="宋体" w:eastAsia="宋体"/>
          <w:b/>
          <w:color w:val="000000" w:themeColor="text1"/>
          <w:sz w:val="28"/>
          <w:szCs w:val="28"/>
          <w14:textFill>
            <w14:solidFill>
              <w14:schemeClr w14:val="tx1"/>
            </w14:solidFill>
          </w14:textFill>
        </w:rPr>
        <w:t>，投标人投标报价高于最高限价的，则其投标文件将按无效投标文件处理。</w:t>
      </w:r>
    </w:p>
    <w:p>
      <w:pPr>
        <w:pStyle w:val="6"/>
        <w:numPr>
          <w:ilvl w:val="3"/>
          <w:numId w:val="4"/>
        </w:numPr>
        <w:spacing w:line="560" w:lineRule="exac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其他要求</w:t>
      </w:r>
    </w:p>
    <w:p>
      <w:pPr>
        <w:pStyle w:val="84"/>
        <w:tabs>
          <w:tab w:val="left" w:pos="993"/>
          <w:tab w:val="left" w:pos="1134"/>
        </w:tabs>
        <w:spacing w:line="560" w:lineRule="exact"/>
        <w:ind w:firstLine="568" w:firstLineChars="202"/>
        <w:rPr>
          <w:rFonts w:ascii="宋体" w:hAnsi="宋体" w:eastAsia="宋体"/>
          <w:b/>
          <w:color w:val="000000" w:themeColor="text1"/>
          <w:sz w:val="28"/>
          <w:szCs w:val="28"/>
          <w:lang w:val="zh-CN"/>
          <w14:textFill>
            <w14:solidFill>
              <w14:schemeClr w14:val="tx1"/>
            </w14:solidFill>
          </w14:textFill>
        </w:rPr>
      </w:pPr>
      <w:r>
        <w:rPr>
          <w:rFonts w:hint="eastAsia" w:ascii="宋体" w:hAnsi="宋体" w:eastAsia="宋体"/>
          <w:b/>
          <w:color w:val="000000" w:themeColor="text1"/>
          <w:sz w:val="28"/>
          <w:szCs w:val="28"/>
          <w:lang w:val="zh-CN"/>
          <w14:textFill>
            <w14:solidFill>
              <w14:schemeClr w14:val="tx1"/>
            </w14:solidFill>
          </w14:textFill>
        </w:rPr>
        <w:t>★在评标过程中，评标委员会认为投标人投标报价明显低于其他通过符合性审查投标人的投标报价，有可能影响产品质量或者不能诚信履约的，评标委员会应当要求其在评标现场合理的时间内提供书面说明，必要时提交相关证明材料。投标人提交的书面说明、相关证明材料（如涉及），应当加盖投标人（法定名称）电子签章，在评标委员会要求的时间内通过云平台进行递交，否则无效。如因断电、断网、系统故障或其他不可抗力等因素，导致系统无法使用的，由投标人按评标委员会的要求进行澄清或者说明。投标人不能证明其投标报价合理性的，评标委员会应当将其投标文件作为无效处理。</w:t>
      </w:r>
    </w:p>
    <w:p>
      <w:pPr>
        <w:spacing w:line="360" w:lineRule="auto"/>
        <w:ind w:firstLine="565" w:firstLineChars="202"/>
        <w:rPr>
          <w:rFonts w:asciiTheme="minorEastAsia" w:hAnsiTheme="minorEastAsia" w:eastAsiaTheme="minorEastAsia"/>
          <w:color w:val="000000" w:themeColor="text1"/>
          <w:sz w:val="28"/>
          <w:szCs w:val="28"/>
          <w14:textFill>
            <w14:solidFill>
              <w14:schemeClr w14:val="tx1"/>
            </w14:solidFill>
          </w14:textFill>
        </w:rPr>
      </w:pPr>
    </w:p>
    <w:p>
      <w:pPr>
        <w:spacing w:line="360" w:lineRule="auto"/>
        <w:ind w:firstLine="565" w:firstLineChars="202"/>
        <w:rPr>
          <w:rFonts w:asciiTheme="minorEastAsia" w:hAnsiTheme="minorEastAsia" w:eastAsiaTheme="minorEastAsia"/>
          <w:color w:val="000000" w:themeColor="text1"/>
          <w:sz w:val="28"/>
          <w:szCs w:val="28"/>
          <w14:textFill>
            <w14:solidFill>
              <w14:schemeClr w14:val="tx1"/>
            </w14:solidFill>
          </w14:textFill>
        </w:rPr>
      </w:pPr>
    </w:p>
    <w:p>
      <w:pPr>
        <w:spacing w:line="360" w:lineRule="auto"/>
        <w:ind w:firstLine="565" w:firstLineChars="202"/>
        <w:rPr>
          <w:rFonts w:asciiTheme="minorEastAsia" w:hAnsiTheme="minorEastAsia" w:eastAsiaTheme="minorEastAsia"/>
          <w:color w:val="000000" w:themeColor="text1"/>
          <w:sz w:val="28"/>
          <w:szCs w:val="28"/>
          <w14:textFill>
            <w14:solidFill>
              <w14:schemeClr w14:val="tx1"/>
            </w14:solidFill>
          </w14:textFill>
        </w:rPr>
      </w:pPr>
    </w:p>
    <w:p>
      <w:pPr>
        <w:spacing w:line="360" w:lineRule="auto"/>
        <w:ind w:firstLine="565" w:firstLineChars="202"/>
        <w:rPr>
          <w:rFonts w:asciiTheme="minorEastAsia" w:hAnsiTheme="minorEastAsia" w:eastAsiaTheme="minorEastAsia"/>
          <w:color w:val="000000" w:themeColor="text1"/>
          <w:sz w:val="28"/>
          <w:szCs w:val="28"/>
          <w14:textFill>
            <w14:solidFill>
              <w14:schemeClr w14:val="tx1"/>
            </w14:solidFill>
          </w14:textFill>
        </w:rPr>
      </w:pPr>
    </w:p>
    <w:p>
      <w:pPr>
        <w:widowControl/>
        <w:jc w:val="left"/>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br w:type="page"/>
      </w:r>
    </w:p>
    <w:p>
      <w:pPr>
        <w:spacing w:line="360" w:lineRule="auto"/>
        <w:ind w:firstLine="565" w:firstLineChars="202"/>
        <w:rPr>
          <w:rFonts w:asciiTheme="minorEastAsia" w:hAnsiTheme="minorEastAsia" w:eastAsiaTheme="minorEastAsia"/>
          <w:color w:val="000000" w:themeColor="text1"/>
          <w:sz w:val="28"/>
          <w:szCs w:val="28"/>
          <w14:textFill>
            <w14:solidFill>
              <w14:schemeClr w14:val="tx1"/>
            </w14:solidFill>
          </w14:textFill>
        </w:rPr>
      </w:pPr>
    </w:p>
    <w:bookmarkEnd w:id="244"/>
    <w:bookmarkEnd w:id="245"/>
    <w:bookmarkEnd w:id="246"/>
    <w:bookmarkEnd w:id="247"/>
    <w:bookmarkEnd w:id="248"/>
    <w:p>
      <w:pPr>
        <w:pStyle w:val="3"/>
        <w:numPr>
          <w:ilvl w:val="0"/>
          <w:numId w:val="4"/>
        </w:numPr>
        <w:spacing w:before="0" w:after="0" w:line="360" w:lineRule="auto"/>
        <w:ind w:left="0" w:firstLine="0"/>
        <w:rPr>
          <w:color w:val="000000" w:themeColor="text1"/>
          <w14:textFill>
            <w14:solidFill>
              <w14:schemeClr w14:val="tx1"/>
            </w14:solidFill>
          </w14:textFill>
        </w:rPr>
      </w:pPr>
      <w:bookmarkStart w:id="269" w:name="_Toc27576"/>
      <w:bookmarkStart w:id="270" w:name="_Toc10524"/>
      <w:bookmarkStart w:id="271" w:name="_Toc1676"/>
      <w:bookmarkStart w:id="272" w:name="_Toc7093"/>
      <w:bookmarkStart w:id="273" w:name="_Toc7800"/>
      <w:r>
        <w:rPr>
          <w:rFonts w:hint="eastAsia"/>
          <w:color w:val="000000" w:themeColor="text1"/>
          <w14:textFill>
            <w14:solidFill>
              <w14:schemeClr w14:val="tx1"/>
            </w14:solidFill>
          </w14:textFill>
        </w:rPr>
        <w:t>资格性审查</w:t>
      </w:r>
      <w:bookmarkEnd w:id="269"/>
      <w:bookmarkEnd w:id="270"/>
      <w:bookmarkEnd w:id="271"/>
      <w:bookmarkEnd w:id="272"/>
      <w:bookmarkEnd w:id="273"/>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资格性审查由采购人组建的资格审查小组依据法律法规和招标文件的规定，对投标保证金(区公资交易中心出具的</w:t>
      </w:r>
      <w:r>
        <w:rPr>
          <w:rFonts w:hint="eastAsia" w:ascii="宋体" w:hAnsi="宋体"/>
          <w:b/>
          <w:color w:val="000000" w:themeColor="text1"/>
          <w:sz w:val="28"/>
          <w:szCs w:val="28"/>
          <w14:textFill>
            <w14:solidFill>
              <w14:schemeClr w14:val="tx1"/>
            </w14:solidFill>
          </w14:textFill>
        </w:rPr>
        <w:t>《成都市政府采购项目供应商参与及保证金交纳情况表》或投标人递交的投标保函</w:t>
      </w:r>
      <w:r>
        <w:rPr>
          <w:rFonts w:hint="eastAsia" w:ascii="宋体" w:hAnsi="宋体"/>
          <w:color w:val="000000" w:themeColor="text1"/>
          <w:sz w:val="28"/>
          <w:szCs w:val="28"/>
          <w14:textFill>
            <w14:solidFill>
              <w14:schemeClr w14:val="tx1"/>
            </w14:solidFill>
          </w14:textFill>
        </w:rPr>
        <w:t>)、投标文件中的资格证明等进行审查，以确定投标人是否具备投标资格，并出具资格性审查报告。</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资格性审查时因断电、断网、系统故障或其他不可抗力等因素，导致资格审查小组无法通过系统阅读投标文件进行审查的，待系统恢复后继续审查。出现上述情况时，区公资交易中心将以电子邮件形式通知各投标人。资格性审查标准见下表：</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rPr>
          <w:rFonts w:hint="eastAsia"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tbl>
      <w:tblPr>
        <w:tblStyle w:val="48"/>
        <w:tblW w:w="85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7"/>
        <w:gridCol w:w="697"/>
        <w:gridCol w:w="1196"/>
        <w:gridCol w:w="5943"/>
        <w:gridCol w:w="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2580" w:type="dxa"/>
            <w:gridSpan w:val="3"/>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b/>
                <w:color w:val="000000" w:themeColor="text1"/>
                <w:sz w:val="20"/>
                <w14:textFill>
                  <w14:solidFill>
                    <w14:schemeClr w14:val="tx1"/>
                  </w14:solidFill>
                </w14:textFill>
              </w:rPr>
            </w:pPr>
            <w:r>
              <w:rPr>
                <w:b/>
                <w:color w:val="000000" w:themeColor="text1"/>
                <w:sz w:val="20"/>
                <w14:textFill>
                  <w14:solidFill>
                    <w14:schemeClr w14:val="tx1"/>
                  </w14:solidFill>
                </w14:textFill>
              </w:rPr>
              <w:t>资格性审查项</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color w:val="000000" w:themeColor="text1"/>
                <w:sz w:val="20"/>
                <w14:textFill>
                  <w14:solidFill>
                    <w14:schemeClr w14:val="tx1"/>
                  </w14:solidFill>
                </w14:textFill>
              </w:rPr>
            </w:pPr>
            <w:r>
              <w:rPr>
                <w:b/>
                <w:color w:val="000000" w:themeColor="text1"/>
                <w:sz w:val="20"/>
                <w14:textFill>
                  <w14:solidFill>
                    <w14:schemeClr w14:val="tx1"/>
                  </w14:solidFill>
                </w14:textFill>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1</w:t>
            </w:r>
          </w:p>
        </w:tc>
        <w:tc>
          <w:tcPr>
            <w:tcW w:w="1893"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在中华人民共和国境内依法登记注册，并有效存续具有独立法人资格的</w:t>
            </w:r>
            <w:r>
              <w:rPr>
                <w:rFonts w:hint="eastAsia"/>
                <w:color w:val="000000" w:themeColor="text1"/>
                <w:sz w:val="20"/>
                <w14:textFill>
                  <w14:solidFill>
                    <w14:schemeClr w14:val="tx1"/>
                  </w14:solidFill>
                </w14:textFill>
              </w:rPr>
              <w:t>供应商</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营业执照复印件（正本或副本）或法人证书复印件（正本或副本）</w:t>
            </w:r>
            <w:r>
              <w:rPr>
                <w:rFonts w:hint="eastAsia"/>
                <w:color w:val="000000" w:themeColor="text1"/>
                <w:sz w:val="20"/>
                <w14:textFill>
                  <w14:solidFill>
                    <w14:schemeClr w14:val="tx1"/>
                  </w14:solidFill>
                </w14:textFill>
              </w:rPr>
              <w:t>。</w:t>
            </w:r>
            <w:r>
              <w:rPr>
                <w:color w:val="000000" w:themeColor="text1"/>
                <w:sz w:val="20"/>
                <w14:textFill>
                  <w14:solidFill>
                    <w14:schemeClr w14:val="tx1"/>
                  </w14:solidFill>
                </w14:textFill>
              </w:rPr>
              <w:t>【说明：</w:t>
            </w:r>
            <w:r>
              <w:rPr>
                <w:rFonts w:hint="eastAsia" w:ascii="宋体" w:hAnsi="宋体"/>
                <w:color w:val="000000" w:themeColor="text1"/>
                <w:sz w:val="20"/>
                <w:szCs w:val="28"/>
                <w14:textFill>
                  <w14:solidFill>
                    <w14:schemeClr w14:val="tx1"/>
                  </w14:solidFill>
                </w14:textFill>
              </w:rPr>
              <w:t>①</w:t>
            </w:r>
            <w:r>
              <w:rPr>
                <w:color w:val="000000" w:themeColor="text1"/>
                <w:sz w:val="20"/>
                <w14:textFill>
                  <w14:solidFill>
                    <w14:schemeClr w14:val="tx1"/>
                  </w14:solidFill>
                </w14:textFill>
              </w:rPr>
              <w:t>营业执照或法人证书载明有期限的，应在有效期限内；</w:t>
            </w:r>
            <w:r>
              <w:rPr>
                <w:rFonts w:hint="eastAsia" w:ascii="宋体" w:hAnsi="宋体"/>
                <w:color w:val="000000" w:themeColor="text1"/>
                <w:sz w:val="20"/>
                <w:szCs w:val="28"/>
                <w14:textFill>
                  <w14:solidFill>
                    <w14:schemeClr w14:val="tx1"/>
                  </w14:solidFill>
                </w14:textFill>
              </w:rPr>
              <w:t>②</w:t>
            </w:r>
            <w:r>
              <w:rPr>
                <w:color w:val="000000" w:themeColor="text1"/>
                <w:sz w:val="20"/>
                <w14:textFill>
                  <w14:solidFill>
                    <w14:schemeClr w14:val="tx1"/>
                  </w14:solidFill>
                </w14:textFill>
              </w:rPr>
              <w:t>在中华人民共和国境内注册，具有独立法人资格。】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87" w:type="dxa"/>
            <w:vMerge w:val="restart"/>
            <w:tcBorders>
              <w:top w:val="single" w:color="auto" w:sz="2" w:space="0"/>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2</w:t>
            </w:r>
          </w:p>
        </w:tc>
        <w:tc>
          <w:tcPr>
            <w:tcW w:w="697" w:type="dxa"/>
            <w:vMerge w:val="restart"/>
            <w:tcBorders>
              <w:top w:val="single" w:color="auto" w:sz="2" w:space="0"/>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书面声明材料</w:t>
            </w: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具有良好的商业信誉的证明材料</w:t>
            </w:r>
          </w:p>
        </w:tc>
        <w:tc>
          <w:tcPr>
            <w:tcW w:w="5998"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投标人具有良好的商业信誉的书面声明材料。【说明：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按招标文件第</w:t>
            </w:r>
            <w:r>
              <w:rPr>
                <w:color w:val="000000" w:themeColor="text1"/>
                <w:sz w:val="20"/>
                <w14:textFill>
                  <w14:solidFill>
                    <w14:schemeClr w14:val="tx1"/>
                  </w14:solidFill>
                </w14:textFill>
              </w:rPr>
              <w:t>3</w:t>
            </w:r>
            <w:r>
              <w:rPr>
                <w:rFonts w:hint="eastAsia"/>
                <w:color w:val="000000" w:themeColor="text1"/>
                <w:sz w:val="20"/>
                <w14:textFill>
                  <w14:solidFill>
                    <w14:schemeClr w14:val="tx1"/>
                  </w14:solidFill>
                </w14:textFill>
              </w:rPr>
              <w:t>章的格式及要求提供书面声明材料</w:t>
            </w:r>
            <w:r>
              <w:rPr>
                <w:rFonts w:hint="eastAsia" w:ascii="宋体" w:hAnsi="宋体"/>
                <w:color w:val="000000" w:themeColor="text1"/>
                <w:sz w:val="20"/>
                <w:szCs w:val="28"/>
                <w14:textFill>
                  <w14:solidFill>
                    <w14:schemeClr w14:val="tx1"/>
                  </w14:solidFill>
                </w14:textFill>
              </w:rPr>
              <w:t>；②供应商具有良好的商业信誉</w:t>
            </w:r>
            <w:r>
              <w:rPr>
                <w:rFonts w:hint="eastAsia"/>
                <w:color w:val="000000" w:themeColor="text1"/>
                <w:sz w:val="20"/>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87"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697"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参加政府采购活动前三年内，在经营活动中没有重大违法记录</w:t>
            </w:r>
          </w:p>
        </w:tc>
        <w:tc>
          <w:tcPr>
            <w:tcW w:w="5998"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1.</w:t>
            </w:r>
            <w:r>
              <w:rPr>
                <w:rFonts w:hint="eastAsia"/>
                <w:color w:val="000000" w:themeColor="text1"/>
                <w:sz w:val="20"/>
                <w14:textFill>
                  <w14:solidFill>
                    <w14:schemeClr w14:val="tx1"/>
                  </w14:solidFill>
                </w14:textFill>
              </w:rPr>
              <w:t>投标人参加政府采购活动前三年内，在经营活动中没有重大违法记录的书面声明材料。【说明：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按第</w:t>
            </w:r>
            <w:r>
              <w:rPr>
                <w:color w:val="000000" w:themeColor="text1"/>
                <w:sz w:val="20"/>
                <w14:textFill>
                  <w14:solidFill>
                    <w14:schemeClr w14:val="tx1"/>
                  </w14:solidFill>
                </w14:textFill>
              </w:rPr>
              <w:t>3</w:t>
            </w:r>
            <w:r>
              <w:rPr>
                <w:rFonts w:hint="eastAsia"/>
                <w:color w:val="000000" w:themeColor="text1"/>
                <w:sz w:val="20"/>
                <w14:textFill>
                  <w14:solidFill>
                    <w14:schemeClr w14:val="tx1"/>
                  </w14:solidFill>
                </w14:textFill>
              </w:rPr>
              <w:t>章的格式及要求提供书面声明材料；</w:t>
            </w:r>
            <w:r>
              <w:rPr>
                <w:rFonts w:hint="eastAsia" w:ascii="宋体" w:hAnsi="宋体"/>
                <w:color w:val="000000" w:themeColor="text1"/>
                <w:sz w:val="20"/>
                <w:szCs w:val="28"/>
                <w14:textFill>
                  <w14:solidFill>
                    <w14:schemeClr w14:val="tx1"/>
                  </w14:solidFill>
                </w14:textFill>
              </w:rPr>
              <w:t>②供应商参加政府采购活动前三年内，在经营活动中没有重大违法记录</w:t>
            </w:r>
            <w:r>
              <w:rPr>
                <w:rFonts w:hint="eastAsia"/>
                <w:color w:val="000000" w:themeColor="text1"/>
                <w:sz w:val="20"/>
                <w14:textFill>
                  <w14:solidFill>
                    <w14:schemeClr w14:val="tx1"/>
                  </w14:solidFill>
                </w14:textFill>
              </w:rPr>
              <w:t>。】</w:t>
            </w:r>
          </w:p>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 xml:space="preserve">2. </w:t>
            </w:r>
            <w:r>
              <w:rPr>
                <w:rFonts w:hint="eastAsia"/>
                <w:color w:val="000000" w:themeColor="text1"/>
                <w:sz w:val="20"/>
                <w14:textFill>
                  <w14:solidFill>
                    <w14:schemeClr w14:val="tx1"/>
                  </w14:solidFill>
                </w14:textFill>
              </w:rPr>
              <w:t>资格审查小组根据</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信用中国</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和</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中国政府采购网</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网站的查询结果，在资格审查期间对投标人在参加政府采购活动前三年内，在经营活动中是否有重大违法记录进行审查。【说明：投标人参加政府采购活动前三年内，在经营活动中没有重大违法记录。】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697"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未被列入失信被执行人、重大税收违法案件当事人名单、政府采购严重违法失信行为记录名单</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1.</w:t>
            </w:r>
            <w:r>
              <w:rPr>
                <w:rFonts w:hint="eastAsia"/>
                <w:color w:val="000000" w:themeColor="text1"/>
                <w:sz w:val="20"/>
                <w14:textFill>
                  <w14:solidFill>
                    <w14:schemeClr w14:val="tx1"/>
                  </w14:solidFill>
                </w14:textFill>
              </w:rPr>
              <w:t>投标人未列入失信被执行人、重大税收违法案件当事人名单、政府采购严重违法失信行为记录名单的书面声明材料。【说明：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投标人未列入失信被执行人、重大税收违法案件当事人名单、政府采购严重违法失信行为记录名单；</w:t>
            </w:r>
            <w:r>
              <w:rPr>
                <w:rFonts w:hint="eastAsia" w:ascii="宋体" w:hAnsi="宋体"/>
                <w:color w:val="000000" w:themeColor="text1"/>
                <w:sz w:val="20"/>
                <w:szCs w:val="28"/>
                <w14:textFill>
                  <w14:solidFill>
                    <w14:schemeClr w14:val="tx1"/>
                  </w14:solidFill>
                </w14:textFill>
              </w:rPr>
              <w:t>②</w:t>
            </w:r>
            <w:r>
              <w:rPr>
                <w:rFonts w:hint="eastAsia"/>
                <w:color w:val="000000" w:themeColor="text1"/>
                <w:sz w:val="20"/>
                <w14:textFill>
                  <w14:solidFill>
                    <w14:schemeClr w14:val="tx1"/>
                  </w14:solidFill>
                </w14:textFill>
              </w:rPr>
              <w:t>按第</w:t>
            </w:r>
            <w:r>
              <w:rPr>
                <w:color w:val="000000" w:themeColor="text1"/>
                <w:sz w:val="20"/>
                <w14:textFill>
                  <w14:solidFill>
                    <w14:schemeClr w14:val="tx1"/>
                  </w14:solidFill>
                </w14:textFill>
              </w:rPr>
              <w:t>3</w:t>
            </w:r>
            <w:r>
              <w:rPr>
                <w:rFonts w:hint="eastAsia"/>
                <w:color w:val="000000" w:themeColor="text1"/>
                <w:sz w:val="20"/>
                <w14:textFill>
                  <w14:solidFill>
                    <w14:schemeClr w14:val="tx1"/>
                  </w14:solidFill>
                </w14:textFill>
              </w:rPr>
              <w:t>章的格式及要求提供书面声明材料。】</w:t>
            </w:r>
          </w:p>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 xml:space="preserve">2. </w:t>
            </w:r>
            <w:r>
              <w:rPr>
                <w:rFonts w:hint="eastAsia"/>
                <w:color w:val="000000" w:themeColor="text1"/>
                <w:sz w:val="20"/>
                <w14:textFill>
                  <w14:solidFill>
                    <w14:schemeClr w14:val="tx1"/>
                  </w14:solidFill>
                </w14:textFill>
              </w:rPr>
              <w:t>资格审查小组根据</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信用中国</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和</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中国政府采购网</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网站的查询结果，在资格审查期间对投标人在参加政府采购活动前三年内，在经营活动中是否被列入失信被执行人、重大税收违法案件当事人名单、政府采购严重违法失信行为记录名单进行审查。【说明：投标人未列入失信被执行人、重大税收违法案件当事人名单、政府采购严重违法失信行为记录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697"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未处于被行政部门禁止参与政府采购活动的期限内</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投标人未处于被行政部门禁止参与政府采购活动的期限内。【说明：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按招标文件第</w:t>
            </w:r>
            <w:r>
              <w:rPr>
                <w:color w:val="000000" w:themeColor="text1"/>
                <w:sz w:val="20"/>
                <w14:textFill>
                  <w14:solidFill>
                    <w14:schemeClr w14:val="tx1"/>
                  </w14:solidFill>
                </w14:textFill>
              </w:rPr>
              <w:t>3</w:t>
            </w:r>
            <w:r>
              <w:rPr>
                <w:rFonts w:hint="eastAsia"/>
                <w:color w:val="000000" w:themeColor="text1"/>
                <w:sz w:val="20"/>
                <w14:textFill>
                  <w14:solidFill>
                    <w14:schemeClr w14:val="tx1"/>
                  </w14:solidFill>
                </w14:textFill>
              </w:rPr>
              <w:t>章的格式及要求提供书面声明材料</w:t>
            </w:r>
            <w:r>
              <w:rPr>
                <w:rFonts w:hint="eastAsia" w:ascii="宋体" w:hAnsi="宋体"/>
                <w:color w:val="000000" w:themeColor="text1"/>
                <w:sz w:val="20"/>
                <w:szCs w:val="28"/>
                <w14:textFill>
                  <w14:solidFill>
                    <w14:schemeClr w14:val="tx1"/>
                  </w14:solidFill>
                </w14:textFill>
              </w:rPr>
              <w:t>；②供应商未处于被行政部门禁止参与政府采购活动的期限内。</w:t>
            </w:r>
            <w:r>
              <w:rPr>
                <w:rFonts w:hint="eastAsia"/>
                <w:color w:val="000000" w:themeColor="text1"/>
                <w:sz w:val="20"/>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vMerge w:val="continue"/>
            <w:tcBorders>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697" w:type="dxa"/>
            <w:vMerge w:val="continue"/>
            <w:tcBorders>
              <w:left w:val="single" w:color="auto" w:sz="2" w:space="0"/>
              <w:bottom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行贿犯罪记录</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在行贿犯罪信息查询期限内，投标人及其现任法定代表人、主要负责人没有行贿犯罪记录的书面声明材料。【说明：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按招标文件第</w:t>
            </w:r>
            <w:r>
              <w:rPr>
                <w:color w:val="000000" w:themeColor="text1"/>
                <w:sz w:val="20"/>
                <w14:textFill>
                  <w14:solidFill>
                    <w14:schemeClr w14:val="tx1"/>
                  </w14:solidFill>
                </w14:textFill>
              </w:rPr>
              <w:t>3</w:t>
            </w:r>
            <w:r>
              <w:rPr>
                <w:rFonts w:hint="eastAsia"/>
                <w:color w:val="000000" w:themeColor="text1"/>
                <w:sz w:val="20"/>
                <w14:textFill>
                  <w14:solidFill>
                    <w14:schemeClr w14:val="tx1"/>
                  </w14:solidFill>
                </w14:textFill>
              </w:rPr>
              <w:t>章的格式及要求提供书面声明材料，投标文件中不需提供中国裁判文书网（</w:t>
            </w:r>
            <w:r>
              <w:rPr>
                <w:color w:val="000000" w:themeColor="text1"/>
                <w:sz w:val="20"/>
                <w14:textFill>
                  <w14:solidFill>
                    <w14:schemeClr w14:val="tx1"/>
                  </w14:solidFill>
                </w14:textFill>
              </w:rPr>
              <w:t>https://wenshu.court.gov.cn</w:t>
            </w:r>
            <w:r>
              <w:rPr>
                <w:rFonts w:hint="eastAsia"/>
                <w:color w:val="000000" w:themeColor="text1"/>
                <w:sz w:val="20"/>
                <w14:textFill>
                  <w14:solidFill>
                    <w14:schemeClr w14:val="tx1"/>
                  </w14:solidFill>
                </w14:textFill>
              </w:rPr>
              <w:t>）查询结果的证明材料；</w:t>
            </w:r>
            <w:r>
              <w:rPr>
                <w:rFonts w:hint="eastAsia" w:ascii="宋体" w:hAnsi="宋体"/>
                <w:color w:val="000000" w:themeColor="text1"/>
                <w:sz w:val="20"/>
                <w:szCs w:val="28"/>
                <w14:textFill>
                  <w14:solidFill>
                    <w14:schemeClr w14:val="tx1"/>
                  </w14:solidFill>
                </w14:textFill>
              </w:rPr>
              <w:t>②在行贿犯罪信息查询期限内，供应商及其现任法定代表人、主要负责人没有行贿犯罪记录</w:t>
            </w:r>
            <w:r>
              <w:rPr>
                <w:rFonts w:hint="eastAsia"/>
                <w:color w:val="000000" w:themeColor="text1"/>
                <w:sz w:val="20"/>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vMerge w:val="restart"/>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3</w:t>
            </w:r>
          </w:p>
        </w:tc>
        <w:tc>
          <w:tcPr>
            <w:tcW w:w="697" w:type="dxa"/>
            <w:vMerge w:val="restart"/>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其他</w:t>
            </w: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具有履行合同</w:t>
            </w:r>
            <w:r>
              <w:rPr>
                <w:rFonts w:hint="eastAsia"/>
                <w:color w:val="000000" w:themeColor="text1"/>
                <w:sz w:val="20"/>
                <w:lang w:eastAsia="zh-CN"/>
                <w14:textFill>
                  <w14:solidFill>
                    <w14:schemeClr w14:val="tx1"/>
                  </w14:solidFill>
                </w14:textFill>
              </w:rPr>
              <w:t>所必需的</w:t>
            </w:r>
            <w:r>
              <w:rPr>
                <w:rFonts w:hint="eastAsia"/>
                <w:color w:val="000000" w:themeColor="text1"/>
                <w:sz w:val="20"/>
                <w14:textFill>
                  <w14:solidFill>
                    <w14:schemeClr w14:val="tx1"/>
                  </w14:solidFill>
                </w14:textFill>
              </w:rPr>
              <w:t>设备和专业技术能力</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采购人对投标人履行合同</w:t>
            </w:r>
            <w:r>
              <w:rPr>
                <w:rFonts w:hint="eastAsia"/>
                <w:color w:val="000000" w:themeColor="text1"/>
                <w:sz w:val="20"/>
                <w:lang w:eastAsia="zh-CN"/>
                <w14:textFill>
                  <w14:solidFill>
                    <w14:schemeClr w14:val="tx1"/>
                  </w14:solidFill>
                </w14:textFill>
              </w:rPr>
              <w:t>所必需的</w:t>
            </w:r>
            <w:r>
              <w:rPr>
                <w:rFonts w:hint="eastAsia"/>
                <w:color w:val="000000" w:themeColor="text1"/>
                <w:sz w:val="20"/>
                <w14:textFill>
                  <w14:solidFill>
                    <w14:schemeClr w14:val="tx1"/>
                  </w14:solidFill>
                </w14:textFill>
              </w:rPr>
              <w:t>设备和专业技术能力无其他特殊要求，投标人具有有效的营业执照或法人证书</w:t>
            </w:r>
            <w:r>
              <w:rPr>
                <w:rFonts w:hint="eastAsia" w:ascii="宋体" w:hAnsi="宋体"/>
                <w:color w:val="000000" w:themeColor="text1"/>
                <w:sz w:val="20"/>
                <w:szCs w:val="28"/>
                <w14:textFill>
                  <w14:solidFill>
                    <w14:schemeClr w14:val="tx1"/>
                  </w14:solidFill>
                </w14:textFill>
              </w:rPr>
              <w:t>即可，可不提供其他证明材料</w:t>
            </w:r>
            <w:r>
              <w:rPr>
                <w:rFonts w:hint="eastAsia"/>
                <w:color w:val="000000" w:themeColor="text1"/>
                <w:sz w:val="20"/>
                <w14:textFill>
                  <w14:solidFill>
                    <w14:schemeClr w14:val="tx1"/>
                  </w14:solidFill>
                </w14:textFill>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697"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法律、行政法规规定的其他条件</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采购人对法律、行政法规规定的其他条件无其他特殊要求，投标人具有有效的营业执照或法人证书</w:t>
            </w:r>
            <w:r>
              <w:rPr>
                <w:rFonts w:hint="eastAsia" w:ascii="宋体" w:hAnsi="宋体"/>
                <w:color w:val="000000" w:themeColor="text1"/>
                <w:sz w:val="20"/>
                <w:szCs w:val="28"/>
                <w14:textFill>
                  <w14:solidFill>
                    <w14:schemeClr w14:val="tx1"/>
                  </w14:solidFill>
                </w14:textFill>
              </w:rPr>
              <w:t>即可，可不提供其他证明材料</w:t>
            </w:r>
            <w:r>
              <w:rPr>
                <w:rFonts w:hint="eastAsia"/>
                <w:color w:val="000000" w:themeColor="text1"/>
                <w:sz w:val="20"/>
                <w14:textFill>
                  <w14:solidFill>
                    <w14:schemeClr w14:val="tx1"/>
                  </w14:solidFill>
                </w14:textFill>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697"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不属于其他国家相关法律法规规定的禁止参加投标的供应商</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1</w:t>
            </w:r>
            <w:r>
              <w:rPr>
                <w:rFonts w:hint="eastAsia"/>
                <w:color w:val="000000" w:themeColor="text1"/>
                <w:sz w:val="20"/>
                <w:lang w:val="en-US" w:eastAsia="zh-CN"/>
                <w14:textFill>
                  <w14:solidFill>
                    <w14:schemeClr w14:val="tx1"/>
                  </w14:solidFill>
                </w14:textFill>
              </w:rPr>
              <w:t>.</w:t>
            </w:r>
            <w:r>
              <w:rPr>
                <w:rFonts w:hint="eastAsia"/>
                <w:color w:val="000000" w:themeColor="text1"/>
                <w:sz w:val="20"/>
                <w14:textFill>
                  <w14:solidFill>
                    <w14:schemeClr w14:val="tx1"/>
                  </w14:solidFill>
                </w14:textFill>
              </w:rPr>
              <w:t>根据招标文件的要求不属于禁止参加投标或投标无效的供应商；</w:t>
            </w:r>
          </w:p>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2</w:t>
            </w:r>
            <w:r>
              <w:rPr>
                <w:rFonts w:hint="eastAsia"/>
                <w:color w:val="000000" w:themeColor="text1"/>
                <w:sz w:val="20"/>
                <w:lang w:val="en-US" w:eastAsia="zh-CN"/>
                <w14:textFill>
                  <w14:solidFill>
                    <w14:schemeClr w14:val="tx1"/>
                  </w14:solidFill>
                </w14:textFill>
              </w:rPr>
              <w:t>.</w:t>
            </w:r>
            <w:r>
              <w:rPr>
                <w:rFonts w:hint="eastAsia"/>
                <w:color w:val="000000" w:themeColor="text1"/>
                <w:sz w:val="20"/>
                <w14:textFill>
                  <w14:solidFill>
                    <w14:schemeClr w14:val="tx1"/>
                  </w14:solidFill>
                </w14:textFill>
              </w:rPr>
              <w:t>资格审查小组未发现或者未知晓投标人存在属于国家相关法律法规规定的禁止参加投标或投标无效的供应商。</w:t>
            </w:r>
          </w:p>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697"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联合体投标</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非联合体投标。【说明：无须提供证明材料，上传空白页即可，不对本项上传的材料作资格审查】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697"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资质要求</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697"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投标保证金</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697"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投标文件解密情况</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ascii="宋体" w:hAnsi="宋体"/>
                <w:color w:val="000000" w:themeColor="text1"/>
                <w:sz w:val="20"/>
                <w:szCs w:val="28"/>
                <w14:textFill>
                  <w14:solidFill>
                    <w14:schemeClr w14:val="tx1"/>
                  </w14:solidFill>
                </w14:textFill>
              </w:rPr>
              <w:t>除因断电、断网、系统故障或其他不可抗力等因素，导致系统无法使用外，投标文件已成功解密。</w:t>
            </w:r>
            <w:r>
              <w:rPr>
                <w:rFonts w:hint="eastAsia"/>
                <w:color w:val="000000" w:themeColor="text1"/>
                <w:sz w:val="20"/>
                <w14:textFill>
                  <w14:solidFill>
                    <w14:schemeClr w14:val="tx1"/>
                  </w14:solidFill>
                </w14:textFill>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697"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投标文件资格性审查部分签章</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均按招标文件要求签章。【说明：无须提供证明材料，上传空白页即可，不对本项上传的材料作资格审查】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697"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投标文件资格性审查部分组成</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符合招标文件</w:t>
            </w:r>
            <w:r>
              <w:rPr>
                <w:color w:val="000000" w:themeColor="text1"/>
                <w:sz w:val="20"/>
                <w14:textFill>
                  <w14:solidFill>
                    <w14:schemeClr w14:val="tx1"/>
                  </w14:solidFill>
                </w14:textFill>
              </w:rPr>
              <w:t>“2.4.6</w:t>
            </w:r>
            <w:r>
              <w:rPr>
                <w:rFonts w:hint="eastAsia"/>
                <w:color w:val="000000" w:themeColor="text1"/>
                <w:sz w:val="20"/>
                <w14:textFill>
                  <w14:solidFill>
                    <w14:schemeClr w14:val="tx1"/>
                  </w14:solidFill>
                </w14:textFill>
              </w:rPr>
              <w:t>投标文件的组成</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规定要求。【说明：无须提供证明材料，上传空白页即可，不对本项上传的材料作资格审查】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vMerge w:val="continue"/>
            <w:tcBorders>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697" w:type="dxa"/>
            <w:vMerge w:val="continue"/>
            <w:tcBorders>
              <w:left w:val="single" w:color="auto" w:sz="2" w:space="0"/>
              <w:bottom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6"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投标文件资格性审查部分的语言</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语言符合招标文件的要求。【说明：无须提供证明材料，上传空白页即可，不对本项上传的材料作资格审查】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4</w:t>
            </w:r>
          </w:p>
        </w:tc>
        <w:tc>
          <w:tcPr>
            <w:tcW w:w="1893"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具有健全的财务会计制度的证明材料</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20</w:t>
            </w:r>
            <w:r>
              <w:rPr>
                <w:rFonts w:hint="eastAsia"/>
                <w:color w:val="000000" w:themeColor="text1"/>
                <w:sz w:val="20"/>
                <w:lang w:val="en-US" w:eastAsia="zh-CN"/>
                <w14:textFill>
                  <w14:solidFill>
                    <w14:schemeClr w14:val="tx1"/>
                  </w14:solidFill>
                </w14:textFill>
              </w:rPr>
              <w:t>19</w:t>
            </w:r>
            <w:r>
              <w:rPr>
                <w:rFonts w:hint="eastAsia"/>
                <w:color w:val="000000" w:themeColor="text1"/>
                <w:sz w:val="20"/>
                <w14:textFill>
                  <w14:solidFill>
                    <w14:schemeClr w14:val="tx1"/>
                  </w14:solidFill>
                </w14:textFill>
              </w:rPr>
              <w:t>或</w:t>
            </w:r>
            <w:r>
              <w:rPr>
                <w:color w:val="000000" w:themeColor="text1"/>
                <w:sz w:val="20"/>
                <w14:textFill>
                  <w14:solidFill>
                    <w14:schemeClr w14:val="tx1"/>
                  </w14:solidFill>
                </w14:textFill>
              </w:rPr>
              <w:t>20</w:t>
            </w:r>
            <w:r>
              <w:rPr>
                <w:rFonts w:hint="eastAsia"/>
                <w:color w:val="000000" w:themeColor="text1"/>
                <w:sz w:val="20"/>
                <w:lang w:val="en-US" w:eastAsia="zh-CN"/>
                <w14:textFill>
                  <w14:solidFill>
                    <w14:schemeClr w14:val="tx1"/>
                  </w14:solidFill>
                </w14:textFill>
              </w:rPr>
              <w:t>20</w:t>
            </w:r>
            <w:r>
              <w:rPr>
                <w:rFonts w:hint="eastAsia"/>
                <w:color w:val="000000" w:themeColor="text1"/>
                <w:sz w:val="20"/>
                <w14:textFill>
                  <w14:solidFill>
                    <w14:schemeClr w14:val="tx1"/>
                  </w14:solidFill>
                </w14:textFill>
              </w:rPr>
              <w:t>会计年度资产负债表复印件。【说明：投标人成立时间至投标截止时间止不足一年的，提供成立后任意时段的资产负债表复印件。】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5</w:t>
            </w:r>
          </w:p>
        </w:tc>
        <w:tc>
          <w:tcPr>
            <w:tcW w:w="1893"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缴纳社会保障资金的证明材料</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投标人缴纳</w:t>
            </w:r>
            <w:r>
              <w:rPr>
                <w:color w:val="000000" w:themeColor="text1"/>
                <w:sz w:val="20"/>
                <w14:textFill>
                  <w14:solidFill>
                    <w14:schemeClr w14:val="tx1"/>
                  </w14:solidFill>
                </w14:textFill>
              </w:rPr>
              <w:t>20</w:t>
            </w:r>
            <w:r>
              <w:rPr>
                <w:rFonts w:hint="eastAsia"/>
                <w:color w:val="000000" w:themeColor="text1"/>
                <w:sz w:val="20"/>
                <w:lang w:val="en-US" w:eastAsia="zh-CN"/>
                <w14:textFill>
                  <w14:solidFill>
                    <w14:schemeClr w14:val="tx1"/>
                  </w14:solidFill>
                </w14:textFill>
              </w:rPr>
              <w:t>20</w:t>
            </w:r>
            <w:r>
              <w:rPr>
                <w:rFonts w:hint="eastAsia"/>
                <w:color w:val="000000" w:themeColor="text1"/>
                <w:sz w:val="20"/>
                <w14:textFill>
                  <w14:solidFill>
                    <w14:schemeClr w14:val="tx1"/>
                  </w14:solidFill>
                </w14:textFill>
              </w:rPr>
              <w:t>或</w:t>
            </w:r>
            <w:r>
              <w:rPr>
                <w:color w:val="000000" w:themeColor="text1"/>
                <w:sz w:val="20"/>
                <w14:textFill>
                  <w14:solidFill>
                    <w14:schemeClr w14:val="tx1"/>
                  </w14:solidFill>
                </w14:textFill>
              </w:rPr>
              <w:t>20</w:t>
            </w:r>
            <w:r>
              <w:rPr>
                <w:rFonts w:hint="eastAsia"/>
                <w:color w:val="000000" w:themeColor="text1"/>
                <w:sz w:val="20"/>
                <w:lang w:val="en-US" w:eastAsia="zh-CN"/>
                <w14:textFill>
                  <w14:solidFill>
                    <w14:schemeClr w14:val="tx1"/>
                  </w14:solidFill>
                </w14:textFill>
              </w:rPr>
              <w:t>21</w:t>
            </w:r>
            <w:r>
              <w:rPr>
                <w:rFonts w:hint="eastAsia"/>
                <w:color w:val="000000" w:themeColor="text1"/>
                <w:sz w:val="20"/>
                <w14:textFill>
                  <w14:solidFill>
                    <w14:schemeClr w14:val="tx1"/>
                  </w14:solidFill>
                </w14:textFill>
              </w:rPr>
              <w:t>年任意时段的社保的银行电子回单或行政部门出具的社保缴纳证明材料复印件。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55" w:type="dxa"/>
        </w:trPr>
        <w:tc>
          <w:tcPr>
            <w:tcW w:w="687"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6</w:t>
            </w:r>
          </w:p>
        </w:tc>
        <w:tc>
          <w:tcPr>
            <w:tcW w:w="1893"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缴纳税收的证明材料</w:t>
            </w:r>
          </w:p>
        </w:tc>
        <w:tc>
          <w:tcPr>
            <w:tcW w:w="59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投标人缴纳</w:t>
            </w:r>
            <w:r>
              <w:rPr>
                <w:color w:val="000000" w:themeColor="text1"/>
                <w:sz w:val="20"/>
                <w14:textFill>
                  <w14:solidFill>
                    <w14:schemeClr w14:val="tx1"/>
                  </w14:solidFill>
                </w14:textFill>
              </w:rPr>
              <w:t>20</w:t>
            </w:r>
            <w:r>
              <w:rPr>
                <w:rFonts w:hint="eastAsia"/>
                <w:color w:val="000000" w:themeColor="text1"/>
                <w:sz w:val="20"/>
                <w:lang w:val="en-US" w:eastAsia="zh-CN"/>
                <w14:textFill>
                  <w14:solidFill>
                    <w14:schemeClr w14:val="tx1"/>
                  </w14:solidFill>
                </w14:textFill>
              </w:rPr>
              <w:t>20</w:t>
            </w:r>
            <w:r>
              <w:rPr>
                <w:rFonts w:hint="eastAsia"/>
                <w:color w:val="000000" w:themeColor="text1"/>
                <w:sz w:val="20"/>
                <w14:textFill>
                  <w14:solidFill>
                    <w14:schemeClr w14:val="tx1"/>
                  </w14:solidFill>
                </w14:textFill>
              </w:rPr>
              <w:t>或</w:t>
            </w:r>
            <w:r>
              <w:rPr>
                <w:color w:val="000000" w:themeColor="text1"/>
                <w:sz w:val="20"/>
                <w14:textFill>
                  <w14:solidFill>
                    <w14:schemeClr w14:val="tx1"/>
                  </w14:solidFill>
                </w14:textFill>
              </w:rPr>
              <w:t>20</w:t>
            </w:r>
            <w:r>
              <w:rPr>
                <w:rFonts w:hint="eastAsia"/>
                <w:color w:val="000000" w:themeColor="text1"/>
                <w:sz w:val="20"/>
                <w:lang w:val="en-US" w:eastAsia="zh-CN"/>
                <w14:textFill>
                  <w14:solidFill>
                    <w14:schemeClr w14:val="tx1"/>
                  </w14:solidFill>
                </w14:textFill>
              </w:rPr>
              <w:t>21</w:t>
            </w:r>
            <w:r>
              <w:rPr>
                <w:rFonts w:hint="eastAsia"/>
                <w:color w:val="000000" w:themeColor="text1"/>
                <w:sz w:val="20"/>
                <w14:textFill>
                  <w14:solidFill>
                    <w14:schemeClr w14:val="tx1"/>
                  </w14:solidFill>
                </w14:textFill>
              </w:rPr>
              <w:t>年任意时段的税收的银行电子回单或者行政部门出具的纳税证明或完税证明的复印件。</w:t>
            </w:r>
          </w:p>
        </w:tc>
      </w:tr>
    </w:tbl>
    <w:p>
      <w:pPr>
        <w:tabs>
          <w:tab w:val="left" w:pos="851"/>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注：一、以上每一项结论均为“通过”的，则投标人的投标文件通过资格性审查；如有其中任意一项结论为“不通过”的，则投标人的投标文件按无效投标文件处理。如果资格审查小组认为投标人有任意一项不通过的，应在资格性审查报告中载明不通过的具体原因。</w:t>
      </w:r>
    </w:p>
    <w:p>
      <w:p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二、“信用中国”和“中国政府采购网”网站查询结果，将以纸质截图或将截图保存至电子介质的形式留存。</w:t>
      </w:r>
    </w:p>
    <w:p>
      <w:p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投标人的投标文件资格性审查时被判定为无效的，区公资交易中心将通知投标人（以短信、现场公示、电话、“政府采购云平台”等任一方式）。投标人如对资格审查结论有异议的，应及时向区公资交易中心反馈意见。区公资交易中心将及时告知资格审查小组。（说明：无论投标人是否收到通知或提供反馈意见，均不影响资格审查和评标工作，且区公资交易中心对此将不承担任何的责任。投标人对资格审查结论有异议的，其反馈意见仅限于资格审查小组对资格审查结论的正确性进行复核，避免出现审查错误。）</w:t>
      </w:r>
    </w:p>
    <w:p>
      <w:pPr>
        <w:ind w:firstLine="565" w:firstLineChars="202"/>
        <w:rPr>
          <w:color w:val="000000" w:themeColor="text1"/>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四、通过资格性审查的供应商＜3名，采购失败。</w:t>
      </w:r>
    </w:p>
    <w:p>
      <w:pPr>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3"/>
        <w:numPr>
          <w:ilvl w:val="0"/>
          <w:numId w:val="4"/>
        </w:numPr>
        <w:spacing w:before="0" w:after="0" w:line="360" w:lineRule="auto"/>
        <w:ind w:left="0" w:firstLine="0"/>
        <w:rPr>
          <w:color w:val="000000" w:themeColor="text1"/>
          <w14:textFill>
            <w14:solidFill>
              <w14:schemeClr w14:val="tx1"/>
            </w14:solidFill>
          </w14:textFill>
        </w:rPr>
      </w:pPr>
      <w:bookmarkStart w:id="274" w:name="_Toc9238"/>
      <w:bookmarkStart w:id="275" w:name="_Toc16118"/>
      <w:bookmarkStart w:id="276" w:name="_Toc29184"/>
      <w:bookmarkStart w:id="277" w:name="_Toc11596"/>
      <w:bookmarkStart w:id="278" w:name="_Toc18121"/>
      <w:r>
        <w:rPr>
          <w:rFonts w:hint="eastAsia"/>
          <w:color w:val="000000" w:themeColor="text1"/>
          <w14:textFill>
            <w14:solidFill>
              <w14:schemeClr w14:val="tx1"/>
            </w14:solidFill>
          </w14:textFill>
        </w:rPr>
        <w:t>评标办法</w:t>
      </w:r>
      <w:bookmarkEnd w:id="274"/>
      <w:bookmarkEnd w:id="275"/>
      <w:bookmarkEnd w:id="276"/>
      <w:bookmarkEnd w:id="277"/>
      <w:bookmarkEnd w:id="278"/>
      <w:bookmarkStart w:id="279" w:name="_Toc217446097"/>
      <w:bookmarkStart w:id="280" w:name="_Toc208849007"/>
      <w:bookmarkStart w:id="281" w:name="_Toc183682415"/>
      <w:bookmarkStart w:id="282" w:name="_Toc183582280"/>
    </w:p>
    <w:p>
      <w:pPr>
        <w:pStyle w:val="4"/>
        <w:numPr>
          <w:ilvl w:val="1"/>
          <w:numId w:val="4"/>
        </w:numPr>
        <w:spacing w:before="0" w:after="0" w:line="560" w:lineRule="exact"/>
        <w:ind w:left="2269" w:hanging="2269"/>
        <w:rPr>
          <w:color w:val="000000" w:themeColor="text1"/>
          <w14:textFill>
            <w14:solidFill>
              <w14:schemeClr w14:val="tx1"/>
            </w14:solidFill>
          </w14:textFill>
        </w:rPr>
      </w:pPr>
      <w:bookmarkStart w:id="283" w:name="_Toc316292248"/>
      <w:bookmarkStart w:id="284" w:name="_Toc22481"/>
      <w:bookmarkStart w:id="285" w:name="_Toc30790"/>
      <w:bookmarkStart w:id="286" w:name="_Toc12005"/>
      <w:bookmarkStart w:id="287" w:name="_Toc315871642"/>
      <w:bookmarkStart w:id="288" w:name="_Toc10788"/>
      <w:bookmarkStart w:id="289" w:name="_Toc13609"/>
      <w:r>
        <w:rPr>
          <w:rFonts w:hint="eastAsia"/>
          <w:color w:val="000000" w:themeColor="text1"/>
          <w14:textFill>
            <w14:solidFill>
              <w14:schemeClr w14:val="tx1"/>
            </w14:solidFill>
          </w14:textFill>
        </w:rPr>
        <w:t>总则</w:t>
      </w:r>
      <w:bookmarkEnd w:id="279"/>
      <w:bookmarkEnd w:id="280"/>
      <w:bookmarkEnd w:id="281"/>
      <w:bookmarkEnd w:id="282"/>
      <w:bookmarkEnd w:id="283"/>
      <w:bookmarkEnd w:id="284"/>
      <w:bookmarkEnd w:id="285"/>
      <w:bookmarkEnd w:id="286"/>
      <w:bookmarkEnd w:id="287"/>
      <w:bookmarkEnd w:id="288"/>
      <w:bookmarkEnd w:id="289"/>
    </w:p>
    <w:p>
      <w:pPr>
        <w:numPr>
          <w:ilvl w:val="0"/>
          <w:numId w:val="47"/>
        </w:numPr>
        <w:tabs>
          <w:tab w:val="left" w:pos="1134"/>
        </w:tabs>
        <w:spacing w:after="200" w:line="560" w:lineRule="exact"/>
        <w:ind w:left="0" w:firstLine="565" w:firstLineChars="202"/>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根据《中华人民共和国政府采购法》、《中华人民共和国政府采购法实施条例》和《政府采购货物和服务招标投标管理办法》等法律规章，结合采购项目特点制定本评标办法。</w:t>
      </w:r>
    </w:p>
    <w:p>
      <w:pPr>
        <w:numPr>
          <w:ilvl w:val="0"/>
          <w:numId w:val="47"/>
        </w:numPr>
        <w:tabs>
          <w:tab w:val="left" w:pos="1134"/>
        </w:tabs>
        <w:spacing w:after="200" w:line="560" w:lineRule="exact"/>
        <w:ind w:left="0" w:firstLine="565" w:firstLineChars="202"/>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评标工作由区公资交易中心负责组织，具体评标事务由采购人或区公资交易中心依法组建的评标委员会负责。评标委员会由采购人代表和评审专家组成。</w:t>
      </w:r>
    </w:p>
    <w:p>
      <w:pPr>
        <w:numPr>
          <w:ilvl w:val="0"/>
          <w:numId w:val="47"/>
        </w:numPr>
        <w:tabs>
          <w:tab w:val="left" w:pos="1134"/>
        </w:tabs>
        <w:spacing w:after="200" w:line="560" w:lineRule="exact"/>
        <w:ind w:left="0" w:firstLine="565" w:firstLineChars="202"/>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评标工作应遵循公平、公正、科学及择优的原则，并以相同的评标程序和标准对待所有的投标人。</w:t>
      </w:r>
    </w:p>
    <w:p>
      <w:pPr>
        <w:numPr>
          <w:ilvl w:val="0"/>
          <w:numId w:val="47"/>
        </w:numPr>
        <w:tabs>
          <w:tab w:val="left" w:pos="1134"/>
        </w:tabs>
        <w:spacing w:after="200" w:line="560" w:lineRule="exact"/>
        <w:ind w:left="0" w:firstLine="565" w:firstLineChars="202"/>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评标委员会按照招标文件规定的评标程序、评标方法和标准进行独立评审，并独立履行下列职责：</w:t>
      </w:r>
    </w:p>
    <w:p>
      <w:pPr>
        <w:numPr>
          <w:ilvl w:val="1"/>
          <w:numId w:val="48"/>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熟悉和理解招标文件；</w:t>
      </w:r>
    </w:p>
    <w:p>
      <w:pPr>
        <w:numPr>
          <w:ilvl w:val="1"/>
          <w:numId w:val="48"/>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审查、评价投标文件是否符合招标文件的商务、技术等实质性要求；</w:t>
      </w:r>
    </w:p>
    <w:p>
      <w:pPr>
        <w:numPr>
          <w:ilvl w:val="1"/>
          <w:numId w:val="48"/>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对投标文件进行比较和评价；</w:t>
      </w:r>
    </w:p>
    <w:p>
      <w:pPr>
        <w:numPr>
          <w:ilvl w:val="1"/>
          <w:numId w:val="48"/>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根据需要要求采购人对招标文件作出解释；根据需要要求投标人对投标文件有关事项作出解释或者澄清；</w:t>
      </w:r>
    </w:p>
    <w:p>
      <w:pPr>
        <w:numPr>
          <w:ilvl w:val="1"/>
          <w:numId w:val="48"/>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确定中标候选人名单，以及根据采购人委托直接确定中标人；</w:t>
      </w:r>
    </w:p>
    <w:p>
      <w:pPr>
        <w:numPr>
          <w:ilvl w:val="1"/>
          <w:numId w:val="48"/>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起草评标报告并进行签署；</w:t>
      </w:r>
    </w:p>
    <w:p>
      <w:pPr>
        <w:numPr>
          <w:ilvl w:val="1"/>
          <w:numId w:val="48"/>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向采购人、区公资交易中心构或者财政、监察等有关部门报告或举报非法干预评标工作的行为；</w:t>
      </w:r>
    </w:p>
    <w:p>
      <w:pPr>
        <w:numPr>
          <w:ilvl w:val="1"/>
          <w:numId w:val="48"/>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向采购人、</w:t>
      </w:r>
      <w:r>
        <w:rPr>
          <w:rFonts w:hint="eastAsia" w:cs="Arial"/>
          <w:color w:val="000000" w:themeColor="text1"/>
          <w:sz w:val="28"/>
          <w:szCs w:val="28"/>
          <w14:textFill>
            <w14:solidFill>
              <w14:schemeClr w14:val="tx1"/>
            </w14:solidFill>
          </w14:textFill>
        </w:rPr>
        <w:t>区公资交易中心</w:t>
      </w:r>
      <w:r>
        <w:rPr>
          <w:rFonts w:hint="eastAsia" w:ascii="宋体" w:hAnsi="宋体"/>
          <w:color w:val="000000" w:themeColor="text1"/>
          <w:sz w:val="28"/>
          <w:szCs w:val="28"/>
          <w14:textFill>
            <w14:solidFill>
              <w14:schemeClr w14:val="tx1"/>
            </w14:solidFill>
          </w14:textFill>
        </w:rPr>
        <w:t>或者有关部门报告评标中发现的违法行为。</w:t>
      </w:r>
    </w:p>
    <w:p>
      <w:pPr>
        <w:numPr>
          <w:ilvl w:val="1"/>
          <w:numId w:val="48"/>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法律、法规和规章规定的其他职责。</w:t>
      </w:r>
    </w:p>
    <w:p>
      <w:pPr>
        <w:numPr>
          <w:ilvl w:val="0"/>
          <w:numId w:val="47"/>
        </w:numPr>
        <w:tabs>
          <w:tab w:val="left" w:pos="1134"/>
        </w:tabs>
        <w:spacing w:after="200" w:line="560" w:lineRule="exact"/>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评标过程独立、保密。投标人非法干预评标过程的行为将导致其投标文件作为无效处理。</w:t>
      </w:r>
    </w:p>
    <w:p>
      <w:pPr>
        <w:numPr>
          <w:ilvl w:val="0"/>
          <w:numId w:val="47"/>
        </w:numPr>
        <w:tabs>
          <w:tab w:val="left" w:pos="1134"/>
        </w:tabs>
        <w:spacing w:after="200" w:line="560" w:lineRule="exact"/>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评标委员会决定投标文件的响应性依据投标文件本身的内容，而不寻求外部的证据，招标文件有明确约定的除外。</w:t>
      </w:r>
    </w:p>
    <w:p>
      <w:pPr>
        <w:tabs>
          <w:tab w:val="left" w:pos="1134"/>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七、评标委员会发现招标文件表述不明确或需要说明的事项，可提请采购人和区公资交易中心书面解释说明。</w:t>
      </w:r>
    </w:p>
    <w:p>
      <w:pPr>
        <w:pStyle w:val="4"/>
        <w:numPr>
          <w:ilvl w:val="1"/>
          <w:numId w:val="4"/>
        </w:numPr>
        <w:spacing w:before="0" w:after="0" w:line="560" w:lineRule="exact"/>
        <w:ind w:left="2269" w:hanging="2269"/>
        <w:rPr>
          <w:color w:val="000000" w:themeColor="text1"/>
          <w14:textFill>
            <w14:solidFill>
              <w14:schemeClr w14:val="tx1"/>
            </w14:solidFill>
          </w14:textFill>
        </w:rPr>
      </w:pPr>
      <w:bookmarkStart w:id="290" w:name="_Toc3818"/>
      <w:bookmarkStart w:id="291" w:name="_Toc7423"/>
      <w:bookmarkStart w:id="292" w:name="_Toc28274"/>
      <w:bookmarkStart w:id="293" w:name="_Toc29481"/>
      <w:bookmarkStart w:id="294" w:name="_Toc9549"/>
      <w:bookmarkStart w:id="295" w:name="_Toc217446098"/>
      <w:bookmarkStart w:id="296" w:name="_Toc316292250"/>
      <w:bookmarkStart w:id="297" w:name="_Toc315871644"/>
      <w:r>
        <w:rPr>
          <w:rFonts w:hint="eastAsia"/>
          <w:color w:val="000000" w:themeColor="text1"/>
          <w14:textFill>
            <w14:solidFill>
              <w14:schemeClr w14:val="tx1"/>
            </w14:solidFill>
          </w14:textFill>
        </w:rPr>
        <w:t>评标方法</w:t>
      </w:r>
      <w:bookmarkEnd w:id="290"/>
      <w:bookmarkEnd w:id="291"/>
      <w:bookmarkEnd w:id="292"/>
      <w:bookmarkEnd w:id="293"/>
      <w:bookmarkEnd w:id="294"/>
    </w:p>
    <w:p>
      <w:pPr>
        <w:spacing w:line="560" w:lineRule="exact"/>
        <w:rPr>
          <w:color w:val="000000" w:themeColor="text1"/>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  综合评分法。</w:t>
      </w:r>
    </w:p>
    <w:p>
      <w:pPr>
        <w:pStyle w:val="4"/>
        <w:numPr>
          <w:ilvl w:val="1"/>
          <w:numId w:val="4"/>
        </w:numPr>
        <w:spacing w:before="0" w:after="0" w:line="560" w:lineRule="exact"/>
        <w:ind w:left="2269" w:hanging="2269"/>
        <w:rPr>
          <w:color w:val="000000" w:themeColor="text1"/>
          <w14:textFill>
            <w14:solidFill>
              <w14:schemeClr w14:val="tx1"/>
            </w14:solidFill>
          </w14:textFill>
        </w:rPr>
      </w:pPr>
      <w:bookmarkStart w:id="298" w:name="_Toc3207"/>
      <w:bookmarkStart w:id="299" w:name="_Toc30741"/>
      <w:bookmarkStart w:id="300" w:name="_Toc10678"/>
      <w:bookmarkStart w:id="301" w:name="_Toc6803"/>
      <w:bookmarkStart w:id="302" w:name="_Toc17727"/>
      <w:r>
        <w:rPr>
          <w:rFonts w:hint="eastAsia"/>
          <w:color w:val="000000" w:themeColor="text1"/>
          <w14:textFill>
            <w14:solidFill>
              <w14:schemeClr w14:val="tx1"/>
            </w14:solidFill>
          </w14:textFill>
        </w:rPr>
        <w:t>评标程序</w:t>
      </w:r>
      <w:bookmarkEnd w:id="295"/>
      <w:bookmarkEnd w:id="296"/>
      <w:bookmarkEnd w:id="297"/>
      <w:bookmarkEnd w:id="298"/>
      <w:bookmarkEnd w:id="299"/>
      <w:bookmarkEnd w:id="300"/>
      <w:bookmarkEnd w:id="301"/>
      <w:bookmarkEnd w:id="302"/>
    </w:p>
    <w:p>
      <w:pPr>
        <w:pStyle w:val="5"/>
        <w:numPr>
          <w:ilvl w:val="2"/>
          <w:numId w:val="4"/>
        </w:numPr>
        <w:spacing w:after="200" w:line="560" w:lineRule="exact"/>
        <w:ind w:left="0" w:firstLine="0"/>
        <w:rPr>
          <w:color w:val="000000" w:themeColor="text1"/>
          <w14:textFill>
            <w14:solidFill>
              <w14:schemeClr w14:val="tx1"/>
            </w14:solidFill>
          </w14:textFill>
        </w:rPr>
      </w:pPr>
      <w:bookmarkStart w:id="303" w:name="_Toc316475650"/>
      <w:bookmarkEnd w:id="303"/>
      <w:bookmarkStart w:id="304" w:name="_Toc217446099"/>
      <w:r>
        <w:rPr>
          <w:rFonts w:hint="eastAsia"/>
          <w:color w:val="000000" w:themeColor="text1"/>
          <w14:textFill>
            <w14:solidFill>
              <w14:schemeClr w14:val="tx1"/>
            </w14:solidFill>
          </w14:textFill>
        </w:rPr>
        <w:t>符合性审查</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符合性审查由评标委员会依据招标文件的规定，从投标文件的有效性、完整性和对招标文件的响应程度进行审查，以确定是否对招标文件的实质性要求作出响应。在投标文件符合性审查过程中，如果出现评标委员会成员意见不一致的情况，按照少数服从多数的原则确定，但不得违背政府采购基本原则和招标文件规定。</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符合性审查标准见下表（按以下顺序审查）：</w:t>
      </w:r>
    </w:p>
    <w:tbl>
      <w:tblPr>
        <w:tblStyle w:val="48"/>
        <w:tblW w:w="8827"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0"/>
        <w:gridCol w:w="2051"/>
        <w:gridCol w:w="59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b/>
                <w:color w:val="000000" w:themeColor="text1"/>
                <w:sz w:val="24"/>
                <w:szCs w:val="28"/>
                <w14:textFill>
                  <w14:solidFill>
                    <w14:schemeClr w14:val="tx1"/>
                  </w14:solidFill>
                </w14:textFill>
              </w:rPr>
            </w:pPr>
            <w:r>
              <w:rPr>
                <w:rFonts w:hint="eastAsia" w:ascii="宋体" w:hAnsi="宋体"/>
                <w:b/>
                <w:color w:val="000000" w:themeColor="text1"/>
                <w:sz w:val="24"/>
                <w:szCs w:val="28"/>
                <w14:textFill>
                  <w14:solidFill>
                    <w14:schemeClr w14:val="tx1"/>
                  </w14:solidFill>
                </w14:textFill>
              </w:rPr>
              <w:t>序号</w:t>
            </w:r>
          </w:p>
        </w:tc>
        <w:tc>
          <w:tcPr>
            <w:tcW w:w="205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b/>
                <w:color w:val="000000" w:themeColor="text1"/>
                <w:sz w:val="24"/>
                <w:szCs w:val="28"/>
                <w14:textFill>
                  <w14:solidFill>
                    <w14:schemeClr w14:val="tx1"/>
                  </w14:solidFill>
                </w14:textFill>
              </w:rPr>
            </w:pPr>
            <w:r>
              <w:rPr>
                <w:rFonts w:hint="eastAsia" w:ascii="宋体" w:hAnsi="宋体"/>
                <w:b/>
                <w:color w:val="000000" w:themeColor="text1"/>
                <w:sz w:val="24"/>
                <w:szCs w:val="28"/>
                <w14:textFill>
                  <w14:solidFill>
                    <w14:schemeClr w14:val="tx1"/>
                  </w14:solidFill>
                </w14:textFill>
              </w:rPr>
              <w:t>符合性审查项</w:t>
            </w:r>
          </w:p>
        </w:tc>
        <w:tc>
          <w:tcPr>
            <w:tcW w:w="599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ind w:firstLine="487" w:firstLineChars="202"/>
              <w:rPr>
                <w:rFonts w:ascii="宋体" w:hAnsi="宋体"/>
                <w:color w:val="000000" w:themeColor="text1"/>
                <w:sz w:val="24"/>
                <w:szCs w:val="28"/>
                <w14:textFill>
                  <w14:solidFill>
                    <w14:schemeClr w14:val="tx1"/>
                  </w14:solidFill>
                </w14:textFill>
              </w:rPr>
            </w:pPr>
            <w:r>
              <w:rPr>
                <w:rFonts w:hint="eastAsia" w:ascii="宋体" w:hAnsi="宋体"/>
                <w:b/>
                <w:color w:val="000000" w:themeColor="text1"/>
                <w:sz w:val="24"/>
                <w:szCs w:val="28"/>
                <w14:textFill>
                  <w14:solidFill>
                    <w14:schemeClr w14:val="tx1"/>
                  </w14:solidFill>
                </w14:textFill>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1</w:t>
            </w:r>
          </w:p>
        </w:tc>
        <w:tc>
          <w:tcPr>
            <w:tcW w:w="205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投标文件服务、商务及其他要求响应部分组成</w:t>
            </w:r>
          </w:p>
        </w:tc>
        <w:tc>
          <w:tcPr>
            <w:tcW w:w="599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符合招标文件“2.4.6投标文件的组成”规定要求。【说明：无须提供证明材料，上传空白页即可，不对本项上传的材料作符合性审查】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2</w:t>
            </w:r>
          </w:p>
        </w:tc>
        <w:tc>
          <w:tcPr>
            <w:tcW w:w="205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投标文件服务、商务及其他要求响应部分签章</w:t>
            </w:r>
          </w:p>
        </w:tc>
        <w:tc>
          <w:tcPr>
            <w:tcW w:w="599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均按招标文件要求签章。【说明：无须提供证明材料，上传空白页即可，不对本项上传的材料作符合性审查】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3</w:t>
            </w:r>
          </w:p>
        </w:tc>
        <w:tc>
          <w:tcPr>
            <w:tcW w:w="205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投标文件服务、商务及其他要求响应部分的计量单位、语言、报价货币、投标有效期</w:t>
            </w:r>
          </w:p>
        </w:tc>
        <w:tc>
          <w:tcPr>
            <w:tcW w:w="599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计量单位、语言、报价货币、投标有效期均符合招标文件的要求。【说明：无须提供证明材料，上传空白页即可，不对本项上传的材料作符合性审查】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4</w:t>
            </w:r>
          </w:p>
        </w:tc>
        <w:tc>
          <w:tcPr>
            <w:tcW w:w="205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投标报价</w:t>
            </w:r>
          </w:p>
        </w:tc>
        <w:tc>
          <w:tcPr>
            <w:tcW w:w="599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开标记录、投标文件【注：（1）报价唯一（说明：投标报价出现下列情况的，按以下原则处理，并以修正后的价格作为投标人的投标报价：①投标文件中的大写金额和小写金额不一致的，以大写金额为准，但大写金额出现文字错误，导致金额无法判断的除外；</w:t>
            </w:r>
            <w:r>
              <w:rPr>
                <w:rFonts w:hint="eastAsia" w:ascii="宋体" w:hAnsi="宋体" w:cs="宋体"/>
                <w:color w:val="000000" w:themeColor="text1"/>
                <w:sz w:val="24"/>
                <w:szCs w:val="28"/>
                <w14:textFill>
                  <w14:solidFill>
                    <w14:schemeClr w14:val="tx1"/>
                  </w14:solidFill>
                </w14:textFill>
              </w:rPr>
              <w:t>②</w:t>
            </w:r>
            <w:r>
              <w:rPr>
                <w:rFonts w:hint="eastAsia" w:ascii="宋体" w:hAnsi="宋体"/>
                <w:color w:val="000000" w:themeColor="text1"/>
                <w:sz w:val="24"/>
                <w:szCs w:val="28"/>
                <w14:textFill>
                  <w14:solidFill>
                    <w14:schemeClr w14:val="tx1"/>
                  </w14:solidFill>
                </w14:textFill>
              </w:rPr>
              <w:t>单价金额小数点或者百分比有明显错位的，以总价为准，并修改单价；</w:t>
            </w:r>
            <w:r>
              <w:rPr>
                <w:rFonts w:hint="eastAsia" w:ascii="宋体" w:hAnsi="宋体" w:cs="宋体"/>
                <w:color w:val="000000" w:themeColor="text1"/>
                <w:sz w:val="24"/>
                <w:szCs w:val="28"/>
                <w14:textFill>
                  <w14:solidFill>
                    <w14:schemeClr w14:val="tx1"/>
                  </w14:solidFill>
                </w14:textFill>
              </w:rPr>
              <w:t>③</w:t>
            </w:r>
            <w:r>
              <w:rPr>
                <w:rFonts w:hint="eastAsia" w:ascii="宋体" w:hAnsi="宋体"/>
                <w:color w:val="000000" w:themeColor="text1"/>
                <w:sz w:val="24"/>
                <w:szCs w:val="28"/>
                <w14:textFill>
                  <w14:solidFill>
                    <w14:schemeClr w14:val="tx1"/>
                  </w14:solidFill>
                </w14:textFill>
              </w:rPr>
              <w:t>总价金额与按单价汇总金额不一致的，以单价金额计算结果为准；同时出现两种以上不一致的，按照前款规定的顺序修正。修正后的报价经投标人以书面形式通过政府采购云平台进行确认，并加盖投标人（法定名称）电子签章，投标人逾时确认的，其投标无效。（2）未超过招标文件规定的最高限价；（3）投标报价应包含本次招标要求的所有货物及服务的费用；（4）在评标过程中，评标委员会认为投标人投标报价明显低于其他通过符合性审查投标人的投标报价，有可能影响产品质量或者不能诚信履约的，评标委员会应当要求其在合理的时间内提供书面说明，必要时提交相关证明材料。（说明：①书面说明、相关证明材料（如涉及）加盖投标人（法定名称）章（电子签章），在评标委员会要求的时间内通过政府采购云平台进行递交；②投标人提供了书面说明、相关证明材料（如涉及），且能证明其投标报价合理性）。（</w:t>
            </w:r>
            <w:r>
              <w:rPr>
                <w:rFonts w:ascii="宋体" w:hAnsi="宋体"/>
                <w:color w:val="000000" w:themeColor="text1"/>
                <w:sz w:val="24"/>
                <w:szCs w:val="28"/>
                <w14:textFill>
                  <w14:solidFill>
                    <w14:schemeClr w14:val="tx1"/>
                  </w14:solidFill>
                </w14:textFill>
              </w:rPr>
              <w:t>5）如因断电、断网、系统故障或其他不可抗力等因素，导致系统无法使用的，由投标人按评标委员会的要求进行澄清或者说明</w:t>
            </w:r>
            <w:r>
              <w:rPr>
                <w:rFonts w:hint="eastAsia" w:ascii="宋体" w:hAnsi="宋体"/>
                <w:color w:val="000000" w:themeColor="text1"/>
                <w:sz w:val="24"/>
                <w:szCs w:val="28"/>
                <w14:textFill>
                  <w14:solidFill>
                    <w14:schemeClr w14:val="tx1"/>
                  </w14:solidFill>
                </w14:textFill>
              </w:rPr>
              <w:t>。（6）无须提供证明材料，上传空白页即可，不对本项上传的材料作符合性审查。】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ascii="宋体" w:hAnsi="宋体"/>
                <w:color w:val="000000" w:themeColor="text1"/>
                <w:sz w:val="24"/>
                <w:szCs w:val="28"/>
                <w14:textFill>
                  <w14:solidFill>
                    <w14:schemeClr w14:val="tx1"/>
                  </w14:solidFill>
                </w14:textFill>
              </w:rPr>
              <w:t>5</w:t>
            </w:r>
          </w:p>
        </w:tc>
        <w:tc>
          <w:tcPr>
            <w:tcW w:w="205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第4章打★号的服务、商务和其他要求</w:t>
            </w:r>
          </w:p>
        </w:tc>
        <w:tc>
          <w:tcPr>
            <w:tcW w:w="599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投标文件均实质性响应招标文件中加★号的服务、商务和其他要求。【说明：无须提供证明材料，上传空白页即可，不对本项上传的材料作符合性审查】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ascii="宋体" w:hAnsi="宋体"/>
                <w:color w:val="000000" w:themeColor="text1"/>
                <w:sz w:val="24"/>
                <w:szCs w:val="28"/>
                <w14:textFill>
                  <w14:solidFill>
                    <w14:schemeClr w14:val="tx1"/>
                  </w14:solidFill>
                </w14:textFill>
              </w:rPr>
              <w:t>6</w:t>
            </w:r>
          </w:p>
        </w:tc>
        <w:tc>
          <w:tcPr>
            <w:tcW w:w="205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进口产品</w:t>
            </w:r>
          </w:p>
        </w:tc>
        <w:tc>
          <w:tcPr>
            <w:tcW w:w="599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招标文件中未载明“允许采购进口产品”的产品，投标产品为国产产品。【说明：无须提供证明材料，上传空白页即可，不对本项上传的材料作符合性审查】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ascii="宋体" w:hAnsi="宋体"/>
                <w:color w:val="000000" w:themeColor="text1"/>
                <w:sz w:val="24"/>
                <w:szCs w:val="28"/>
                <w14:textFill>
                  <w14:solidFill>
                    <w14:schemeClr w14:val="tx1"/>
                  </w14:solidFill>
                </w14:textFill>
              </w:rPr>
              <w:t>7</w:t>
            </w:r>
          </w:p>
        </w:tc>
        <w:tc>
          <w:tcPr>
            <w:tcW w:w="205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不属于禁止参加投标或投标无效的供应商</w:t>
            </w:r>
          </w:p>
        </w:tc>
        <w:tc>
          <w:tcPr>
            <w:tcW w:w="599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（1）根据招标文件的要求不属于禁止参加投标或投标无效的供应商；</w:t>
            </w:r>
          </w:p>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（2）评标委员会未发现或者未知晓投标人存在属于国家相关法律法规规定的禁止参加投标或投标无效的供应商。</w:t>
            </w:r>
          </w:p>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ascii="宋体" w:hAnsi="宋体"/>
                <w:color w:val="000000" w:themeColor="text1"/>
                <w:sz w:val="24"/>
                <w:szCs w:val="28"/>
                <w14:textFill>
                  <w14:solidFill>
                    <w14:schemeClr w14:val="tx1"/>
                  </w14:solidFill>
                </w14:textFill>
              </w:rPr>
              <w:t>8</w:t>
            </w:r>
          </w:p>
        </w:tc>
        <w:tc>
          <w:tcPr>
            <w:tcW w:w="205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法定代表人身份证复印件或护照复印件</w:t>
            </w:r>
          </w:p>
        </w:tc>
        <w:tc>
          <w:tcPr>
            <w:tcW w:w="599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身份证复印件或护照复印件【注：法定代表人身份证复印件（身份证两面均应复印，在有效期内）或护照复印件（法定代表人为外籍人士的，按此提供）。】。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9</w:t>
            </w:r>
          </w:p>
        </w:tc>
        <w:tc>
          <w:tcPr>
            <w:tcW w:w="205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除资格性审查要求的证明材料外，招标文件要求提供的其他证明材料</w:t>
            </w:r>
          </w:p>
        </w:tc>
        <w:tc>
          <w:tcPr>
            <w:tcW w:w="599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cs="仿宋_GB2312" w:asciiTheme="minorEastAsia" w:hAnsiTheme="minorEastAsia" w:eastAsiaTheme="minorEastAsia"/>
                <w:color w:val="000000" w:themeColor="text1"/>
                <w:sz w:val="24"/>
                <w:szCs w:val="24"/>
                <w14:textFill>
                  <w14:solidFill>
                    <w14:schemeClr w14:val="tx1"/>
                  </w14:solidFill>
                </w14:textFill>
              </w:rPr>
              <w:t>无。</w:t>
            </w:r>
          </w:p>
        </w:tc>
      </w:tr>
    </w:tbl>
    <w:p>
      <w:pPr>
        <w:tabs>
          <w:tab w:val="left" w:pos="851"/>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以上每一项结论均为“通过”的，则投标人的投标文件通过符合性审查；如有任意一项结论为“不通过”的，则投标人的投标文件按无效投标文件处理。如果评标委员会认为投标人有任意一项不通过的，应在符合性审查报告中载明不通过的具体原因。</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投标人的投标文件符合性审查时被判定为无效投标文件的，区公资交易中心将通知投标人（以短信、现场公示、电话、“政府采购云平台”等任一方式）。投标人如对评审结论有异议的，应及时向区公资交易中心反馈意见。区公资交易中心在评审结束前将收到的反馈意见及时告知评标委员会。（说明：无论投标人是否收到通知或提供反馈意见，均不影响评标委员会的评标工作，且区公资交易中心对此将不承担任何的责任。投标人对评审结论有异议的，其反馈意见仅限于评标委员会对评审结论的正确性进行复核，避免出现评审错误。）</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三、通过符合性审查的供应商＜3名，本项目采购失败。</w:t>
      </w:r>
    </w:p>
    <w:p>
      <w:pPr>
        <w:pStyle w:val="5"/>
        <w:numPr>
          <w:ilvl w:val="2"/>
          <w:numId w:val="4"/>
        </w:numPr>
        <w:spacing w:after="200" w:line="560" w:lineRule="exact"/>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解释、澄清有关问题</w:t>
      </w:r>
    </w:p>
    <w:p>
      <w:pPr>
        <w:numPr>
          <w:ilvl w:val="0"/>
          <w:numId w:val="49"/>
        </w:numPr>
        <w:tabs>
          <w:tab w:val="left" w:pos="1134"/>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过程中，评标委员会认为招标文件有关事项表述不明确或需要说明的，可以提请区公资交易中心书面解释。区公资交易中心的解释不得改变招标文件的原义或者影响公平、公正，解释事项如果涉及投标人权益的以有利于投标人的原则进行解释。</w:t>
      </w:r>
    </w:p>
    <w:p>
      <w:pPr>
        <w:numPr>
          <w:ilvl w:val="0"/>
          <w:numId w:val="49"/>
        </w:numPr>
        <w:tabs>
          <w:tab w:val="left" w:pos="1134"/>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对投标文件中含义不明确、同类问题表述不一致或者有明显文字和计算错误的内容，评标委员会应当要求投标人作出必要的澄清、说明或补正，并给予投标人必要的反馈时间。投标人应当按评标委员会的要求进行澄清、说明或者补正。投标人的澄清、说明或者补正不得超出投标文件的范围或者改变投标文件的实质性内容。澄清不影响投标文件的效力，有效的澄清材料，是投标文件的组成部分。</w:t>
      </w:r>
    </w:p>
    <w:p>
      <w:pPr>
        <w:numPr>
          <w:ilvl w:val="0"/>
          <w:numId w:val="49"/>
        </w:numPr>
        <w:tabs>
          <w:tab w:val="left" w:pos="1134"/>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澄清应当不超出投标文件的范围、不实质性改变投标文件的内容、不影响投标人的公平竞争、不导致投标文件从不响应招标文件变为响应招标文件的条件。下列内容不得澄清：</w:t>
      </w:r>
    </w:p>
    <w:p>
      <w:pPr>
        <w:pStyle w:val="156"/>
        <w:numPr>
          <w:ilvl w:val="0"/>
          <w:numId w:val="50"/>
        </w:numPr>
        <w:tabs>
          <w:tab w:val="left" w:pos="1260"/>
        </w:tabs>
        <w:spacing w:after="200" w:line="560" w:lineRule="exact"/>
        <w:ind w:left="0" w:firstLine="525"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投标人投标文件中不响应招标文件规定的技术参数指标和商务应答；</w:t>
      </w:r>
    </w:p>
    <w:p>
      <w:pPr>
        <w:pStyle w:val="156"/>
        <w:numPr>
          <w:ilvl w:val="0"/>
          <w:numId w:val="50"/>
        </w:numPr>
        <w:tabs>
          <w:tab w:val="left" w:pos="1260"/>
        </w:tabs>
        <w:spacing w:after="200" w:line="560" w:lineRule="exact"/>
        <w:ind w:left="0" w:firstLine="525"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投标人投标文件中未提供的证明其是否符合招标文件资格性、符合性规定要求的相关材料。</w:t>
      </w:r>
    </w:p>
    <w:p>
      <w:pPr>
        <w:pStyle w:val="156"/>
        <w:numPr>
          <w:ilvl w:val="0"/>
          <w:numId w:val="50"/>
        </w:numPr>
        <w:tabs>
          <w:tab w:val="left" w:pos="1260"/>
        </w:tabs>
        <w:spacing w:after="200" w:line="560" w:lineRule="exact"/>
        <w:ind w:left="0" w:firstLine="525"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投标人投标文件中的材料因印刷、影印等不清晰而难以辨认的。</w:t>
      </w:r>
    </w:p>
    <w:p>
      <w:pPr>
        <w:numPr>
          <w:ilvl w:val="0"/>
          <w:numId w:val="49"/>
        </w:numPr>
        <w:tabs>
          <w:tab w:val="left" w:pos="1134"/>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投标文件报价出现下列情况的，不需要投标人澄清，按以下原则处理：</w:t>
      </w:r>
    </w:p>
    <w:p>
      <w:pPr>
        <w:pStyle w:val="156"/>
        <w:numPr>
          <w:ilvl w:val="0"/>
          <w:numId w:val="51"/>
        </w:numPr>
        <w:tabs>
          <w:tab w:val="left" w:pos="1050"/>
        </w:tabs>
        <w:spacing w:after="200" w:line="560" w:lineRule="exact"/>
        <w:ind w:left="0" w:firstLine="525"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大写金额和小写金额不一致的，以大写金额为准，但大写金额出现文字错误，导致金额无法判断的除外；</w:t>
      </w:r>
    </w:p>
    <w:p>
      <w:pPr>
        <w:pStyle w:val="156"/>
        <w:numPr>
          <w:ilvl w:val="0"/>
          <w:numId w:val="51"/>
        </w:numPr>
        <w:tabs>
          <w:tab w:val="left" w:pos="1050"/>
        </w:tabs>
        <w:spacing w:after="200" w:line="560" w:lineRule="exact"/>
        <w:ind w:left="0" w:firstLine="525"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单价金额小数点或者百分比有明显错位的，以总价为准，并修改单价；</w:t>
      </w:r>
    </w:p>
    <w:p>
      <w:pPr>
        <w:pStyle w:val="156"/>
        <w:numPr>
          <w:ilvl w:val="0"/>
          <w:numId w:val="51"/>
        </w:numPr>
        <w:tabs>
          <w:tab w:val="left" w:pos="1050"/>
        </w:tabs>
        <w:spacing w:after="200" w:line="560" w:lineRule="exact"/>
        <w:ind w:left="0" w:firstLine="525"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总价金额与按单价汇总金额不一致的，以单价金额计算结果为准。</w:t>
      </w:r>
    </w:p>
    <w:p>
      <w:pPr>
        <w:spacing w:line="560" w:lineRule="exact"/>
        <w:ind w:firstLine="56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同时出现两种以上不一致的，按照前款规定的顺序修正。修正后的报价经投标人确认后产生约束力，投标人不确认的，其投标无效。</w:t>
      </w:r>
    </w:p>
    <w:p>
      <w:pPr>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五、对不同语言文本投标文件的解释发生异议的，以中文文本为准。</w:t>
      </w:r>
    </w:p>
    <w:p>
      <w:pPr>
        <w:tabs>
          <w:tab w:val="left" w:pos="720"/>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六、评标结束之前，投标人应随时关注系统提示，及时通过“政府采购云平台”在线响应评标委员会发出的澄清、说明或补正要求，签章并确认提交成功。逾时回复将不能提交，视为投标人自行放弃，其损失由投标人承担。</w:t>
      </w:r>
    </w:p>
    <w:p>
      <w:pPr>
        <w:tabs>
          <w:tab w:val="left" w:pos="851"/>
        </w:tabs>
        <w:spacing w:line="560" w:lineRule="exact"/>
        <w:ind w:firstLine="551" w:firstLineChars="196"/>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评标委员会应当积极履行澄清、说明或者更正的职责，不得滥用权力。</w:t>
      </w:r>
    </w:p>
    <w:p>
      <w:pPr>
        <w:pStyle w:val="5"/>
        <w:numPr>
          <w:ilvl w:val="2"/>
          <w:numId w:val="4"/>
        </w:numPr>
        <w:spacing w:after="200" w:line="560" w:lineRule="exact"/>
        <w:ind w:left="851"/>
        <w:rPr>
          <w:color w:val="000000" w:themeColor="text1"/>
          <w14:textFill>
            <w14:solidFill>
              <w14:schemeClr w14:val="tx1"/>
            </w14:solidFill>
          </w14:textFill>
        </w:rPr>
      </w:pPr>
      <w:bookmarkStart w:id="305" w:name="_Toc315871650"/>
      <w:bookmarkEnd w:id="305"/>
      <w:bookmarkStart w:id="306" w:name="_Toc315871651"/>
      <w:bookmarkEnd w:id="306"/>
      <w:bookmarkStart w:id="307" w:name="_Toc315871652"/>
      <w:bookmarkEnd w:id="307"/>
      <w:bookmarkStart w:id="308" w:name="_Toc315871649"/>
      <w:bookmarkEnd w:id="308"/>
      <w:bookmarkStart w:id="309" w:name="_Toc315871647"/>
      <w:bookmarkStart w:id="310" w:name="_Toc316292253"/>
      <w:bookmarkStart w:id="311" w:name="_Toc315871653"/>
      <w:bookmarkStart w:id="312" w:name="_Toc316292255"/>
      <w:r>
        <w:rPr>
          <w:rFonts w:hint="eastAsia"/>
          <w:color w:val="000000" w:themeColor="text1"/>
          <w14:textFill>
            <w14:solidFill>
              <w14:schemeClr w14:val="tx1"/>
            </w14:solidFill>
          </w14:textFill>
        </w:rPr>
        <w:t>比较与评价</w:t>
      </w:r>
      <w:bookmarkEnd w:id="309"/>
      <w:bookmarkEnd w:id="310"/>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按招标文件中规定的评标细则及标准，对符合性检查合格的投标文件进行商务和服务评估，综合比较与评价。</w:t>
      </w:r>
    </w:p>
    <w:p>
      <w:pPr>
        <w:pStyle w:val="5"/>
        <w:numPr>
          <w:ilvl w:val="2"/>
          <w:numId w:val="4"/>
        </w:numPr>
        <w:spacing w:after="200" w:line="560" w:lineRule="exact"/>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复核</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评分汇总结束后，评标委员会应当进行复核，特别要对拟推荐为中标候选供应商的、报价最低的、投标文件被认定为无效的进行重点复核。</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评标结果汇总完成后，评标委员会拟出具评审报告前，</w:t>
      </w:r>
      <w:r>
        <w:rPr>
          <w:rFonts w:hint="eastAsia" w:cs="Arial"/>
          <w:color w:val="000000" w:themeColor="text1"/>
          <w:sz w:val="28"/>
          <w:szCs w:val="28"/>
          <w14:textFill>
            <w14:solidFill>
              <w14:schemeClr w14:val="tx1"/>
            </w14:solidFill>
          </w14:textFill>
        </w:rPr>
        <w:t>区公资交易中心</w:t>
      </w:r>
      <w:r>
        <w:rPr>
          <w:rFonts w:hint="eastAsia" w:ascii="宋体" w:hAnsi="宋体"/>
          <w:color w:val="000000" w:themeColor="text1"/>
          <w:sz w:val="28"/>
          <w:szCs w:val="28"/>
          <w14:textFill>
            <w14:solidFill>
              <w14:schemeClr w14:val="tx1"/>
            </w14:solidFill>
          </w14:textFill>
        </w:rPr>
        <w:t>应当组织2名以上的工作人员，在采购现场监督人员的监督之下，依据有关的法律制度和采购文件对评审结果进行复核，出具复核报告。</w:t>
      </w:r>
    </w:p>
    <w:p>
      <w:pPr>
        <w:tabs>
          <w:tab w:val="left" w:pos="851"/>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评标结果汇总完成后，除下列情形外，任何人不得修改评标结果：</w:t>
      </w:r>
    </w:p>
    <w:p>
      <w:pPr>
        <w:pStyle w:val="84"/>
        <w:numPr>
          <w:ilvl w:val="0"/>
          <w:numId w:val="52"/>
        </w:numPr>
        <w:tabs>
          <w:tab w:val="left" w:pos="851"/>
          <w:tab w:val="left" w:pos="1276"/>
        </w:tabs>
        <w:spacing w:after="200" w:line="560" w:lineRule="exact"/>
        <w:ind w:left="0" w:firstLine="424"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分值汇总计算错误的；</w:t>
      </w:r>
    </w:p>
    <w:p>
      <w:pPr>
        <w:pStyle w:val="84"/>
        <w:numPr>
          <w:ilvl w:val="0"/>
          <w:numId w:val="52"/>
        </w:numPr>
        <w:tabs>
          <w:tab w:val="left" w:pos="851"/>
          <w:tab w:val="left" w:pos="1276"/>
        </w:tabs>
        <w:spacing w:after="200" w:line="560" w:lineRule="exact"/>
        <w:ind w:left="0" w:firstLine="424"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分项评分超出评分标准范围的；</w:t>
      </w:r>
    </w:p>
    <w:p>
      <w:pPr>
        <w:pStyle w:val="84"/>
        <w:numPr>
          <w:ilvl w:val="0"/>
          <w:numId w:val="52"/>
        </w:numPr>
        <w:tabs>
          <w:tab w:val="left" w:pos="851"/>
          <w:tab w:val="left" w:pos="1276"/>
          <w:tab w:val="left" w:pos="1418"/>
        </w:tabs>
        <w:spacing w:after="200" w:line="560" w:lineRule="exact"/>
        <w:ind w:left="0" w:firstLine="424"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评标委员会成员对客观评审因素评分不一致的；</w:t>
      </w:r>
    </w:p>
    <w:p>
      <w:pPr>
        <w:pStyle w:val="84"/>
        <w:numPr>
          <w:ilvl w:val="0"/>
          <w:numId w:val="52"/>
        </w:numPr>
        <w:tabs>
          <w:tab w:val="left" w:pos="851"/>
          <w:tab w:val="left" w:pos="1276"/>
        </w:tabs>
        <w:spacing w:after="200" w:line="560" w:lineRule="exact"/>
        <w:ind w:left="0" w:firstLine="426"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经评标委员会认定评分畸高、畸低的。</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报告签署前，经复核发现存在以上情形之一的，评标委员会应当当场修改评标结果，并在评标报告中记载；评标报告签署后，采购人或者集中机构发现存在以上情形之一的，应当组织原评标委员会进行重新评审，重新评审改变评标结果的，书面报告本级财政部门。</w:t>
      </w:r>
    </w:p>
    <w:p>
      <w:pPr>
        <w:pStyle w:val="5"/>
        <w:numPr>
          <w:ilvl w:val="2"/>
          <w:numId w:val="4"/>
        </w:numPr>
        <w:spacing w:after="200" w:line="560" w:lineRule="exact"/>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确定中标候选人名单</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按投标人综合得分从高到低进行排序，确定3名中标候选人。综合得分相同的，按投标报价由低到高顺序排列，得分且投标报价相同的并列。</w:t>
      </w:r>
      <w:r>
        <w:rPr>
          <w:rFonts w:hint="eastAsia" w:ascii="Helvetica" w:hAnsi="Helvetica" w:cs="Helvetica"/>
          <w:color w:val="000000" w:themeColor="text1"/>
          <w:kern w:val="0"/>
          <w:sz w:val="28"/>
          <w:szCs w:val="28"/>
          <w14:textFill>
            <w14:solidFill>
              <w14:schemeClr w14:val="tx1"/>
            </w14:solidFill>
          </w14:textFill>
        </w:rPr>
        <w:t>投标文件满足招标文件全部实质性要求，且按照评审因素的量化指标评审得分最高的投标人为排名第一的中标候选人。</w:t>
      </w:r>
    </w:p>
    <w:p>
      <w:pPr>
        <w:pStyle w:val="5"/>
        <w:numPr>
          <w:ilvl w:val="2"/>
          <w:numId w:val="4"/>
        </w:numPr>
        <w:spacing w:after="200" w:line="560" w:lineRule="exact"/>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编写评标报告</w:t>
      </w:r>
      <w:bookmarkEnd w:id="311"/>
      <w:bookmarkEnd w:id="312"/>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评标报告是评标委员会根据全体评标成员签字的原始评标记录和评标结果编写的报告，其主要内容包括：</w:t>
      </w:r>
    </w:p>
    <w:p>
      <w:pPr>
        <w:numPr>
          <w:ilvl w:val="0"/>
          <w:numId w:val="53"/>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招标公告刊登的媒体名称、开标日期和地点；</w:t>
      </w:r>
    </w:p>
    <w:p>
      <w:pPr>
        <w:numPr>
          <w:ilvl w:val="0"/>
          <w:numId w:val="53"/>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投标人名单和评标委员会成员名单；</w:t>
      </w:r>
    </w:p>
    <w:p>
      <w:pPr>
        <w:numPr>
          <w:ilvl w:val="0"/>
          <w:numId w:val="53"/>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评标方法和标准；</w:t>
      </w:r>
    </w:p>
    <w:p>
      <w:pPr>
        <w:numPr>
          <w:ilvl w:val="0"/>
          <w:numId w:val="53"/>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开标记录和评标情况及说明，包括投标无效投标人名单及原因；</w:t>
      </w:r>
    </w:p>
    <w:p>
      <w:pPr>
        <w:numPr>
          <w:ilvl w:val="0"/>
          <w:numId w:val="53"/>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评标结果，确定的中标候选人名单或者经采购人委托直接确定的中标人；</w:t>
      </w:r>
    </w:p>
    <w:p>
      <w:pPr>
        <w:numPr>
          <w:ilvl w:val="0"/>
          <w:numId w:val="53"/>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其他需要说明的情况，包括评标过程中投标人根据评标委员会要求进行的澄清、说明或者补正，评标委员会成员的更换等； </w:t>
      </w:r>
    </w:p>
    <w:p>
      <w:pPr>
        <w:numPr>
          <w:ilvl w:val="0"/>
          <w:numId w:val="53"/>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报价最高的投标人为中标候选人的，评标委员会应当对其报价的合理性予以特别说明。</w:t>
      </w:r>
    </w:p>
    <w:p>
      <w:pPr>
        <w:tabs>
          <w:tab w:val="left" w:pos="1155"/>
        </w:tabs>
        <w:spacing w:line="560" w:lineRule="exact"/>
        <w:ind w:firstLine="523" w:firstLineChars="18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pPr>
        <w:pStyle w:val="4"/>
        <w:numPr>
          <w:ilvl w:val="1"/>
          <w:numId w:val="4"/>
        </w:numPr>
        <w:spacing w:line="560" w:lineRule="exact"/>
        <w:ind w:left="2269" w:hanging="2269"/>
        <w:rPr>
          <w:color w:val="000000" w:themeColor="text1"/>
          <w14:textFill>
            <w14:solidFill>
              <w14:schemeClr w14:val="tx1"/>
            </w14:solidFill>
          </w14:textFill>
        </w:rPr>
      </w:pPr>
      <w:bookmarkStart w:id="313" w:name="_Toc30340"/>
      <w:bookmarkStart w:id="314" w:name="_Toc11482"/>
      <w:bookmarkStart w:id="315" w:name="_Toc479753445"/>
      <w:bookmarkStart w:id="316" w:name="_Toc7609"/>
      <w:bookmarkStart w:id="317" w:name="_Toc27797"/>
      <w:bookmarkStart w:id="318" w:name="_Toc17638"/>
      <w:bookmarkStart w:id="319" w:name="_Toc217446103"/>
      <w:bookmarkStart w:id="320" w:name="_Toc315871654"/>
      <w:bookmarkStart w:id="321" w:name="_Toc316292256"/>
      <w:r>
        <w:rPr>
          <w:rFonts w:hint="eastAsia"/>
          <w:color w:val="000000" w:themeColor="text1"/>
          <w14:textFill>
            <w14:solidFill>
              <w14:schemeClr w14:val="tx1"/>
            </w14:solidFill>
          </w14:textFill>
        </w:rPr>
        <w:t>评标争议处理规则</w:t>
      </w:r>
      <w:bookmarkEnd w:id="313"/>
      <w:bookmarkEnd w:id="314"/>
      <w:bookmarkEnd w:id="315"/>
      <w:bookmarkEnd w:id="316"/>
      <w:bookmarkEnd w:id="317"/>
      <w:bookmarkEnd w:id="318"/>
    </w:p>
    <w:p>
      <w:pPr>
        <w:tabs>
          <w:tab w:val="left" w:pos="1155"/>
        </w:tabs>
        <w:spacing w:line="560" w:lineRule="exact"/>
        <w:ind w:firstLine="523" w:firstLineChars="18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评标委员会在评审过程中，对于符合性审查、对投标人文件做无效投标处理及其他需要共同认定的事项存在争议的，应当以少数服从多数的原则做出结论，但不得违背法律法规和招标文件规定。</w:t>
      </w:r>
      <w:r>
        <w:rPr>
          <w:rFonts w:hint="eastAsia" w:cs="Arial"/>
          <w:color w:val="000000" w:themeColor="text1"/>
          <w:sz w:val="28"/>
          <w:szCs w:val="28"/>
          <w14:textFill>
            <w14:solidFill>
              <w14:schemeClr w14:val="tx1"/>
            </w14:solidFill>
          </w14:textFill>
        </w:rPr>
        <w:t>持不同意见的评标委员会成员应当在评标报告上签署不同意见及理由，否则视为同意评标报告。</w:t>
      </w:r>
      <w:r>
        <w:rPr>
          <w:rFonts w:hint="eastAsia" w:ascii="宋体" w:hAnsi="宋体"/>
          <w:color w:val="000000" w:themeColor="text1"/>
          <w:sz w:val="28"/>
          <w:szCs w:val="28"/>
          <w14:textFill>
            <w14:solidFill>
              <w14:schemeClr w14:val="tx1"/>
            </w14:solidFill>
          </w14:textFill>
        </w:rPr>
        <w:t>持不同意见的评标委员会成员认为认定过程和结果不符合法律法规或者招标文件规定的，应当及时向采购人或</w:t>
      </w:r>
      <w:r>
        <w:rPr>
          <w:rFonts w:hint="eastAsia" w:cs="Arial"/>
          <w:color w:val="000000" w:themeColor="text1"/>
          <w:sz w:val="28"/>
          <w:szCs w:val="28"/>
          <w14:textFill>
            <w14:solidFill>
              <w14:schemeClr w14:val="tx1"/>
            </w14:solidFill>
          </w14:textFill>
        </w:rPr>
        <w:t>区公资交易中心</w:t>
      </w:r>
      <w:r>
        <w:rPr>
          <w:rFonts w:hint="eastAsia" w:ascii="宋体" w:hAnsi="宋体"/>
          <w:color w:val="000000" w:themeColor="text1"/>
          <w:sz w:val="28"/>
          <w:szCs w:val="28"/>
          <w14:textFill>
            <w14:solidFill>
              <w14:schemeClr w14:val="tx1"/>
            </w14:solidFill>
          </w14:textFill>
        </w:rPr>
        <w:t>书面反映。采购人或</w:t>
      </w:r>
      <w:r>
        <w:rPr>
          <w:rFonts w:hint="eastAsia" w:cs="Arial"/>
          <w:color w:val="000000" w:themeColor="text1"/>
          <w:sz w:val="28"/>
          <w:szCs w:val="28"/>
          <w14:textFill>
            <w14:solidFill>
              <w14:schemeClr w14:val="tx1"/>
            </w14:solidFill>
          </w14:textFill>
        </w:rPr>
        <w:t>区公资交易中心</w:t>
      </w:r>
      <w:r>
        <w:rPr>
          <w:rFonts w:hint="eastAsia" w:ascii="宋体" w:hAnsi="宋体"/>
          <w:color w:val="000000" w:themeColor="text1"/>
          <w:sz w:val="28"/>
          <w:szCs w:val="28"/>
          <w14:textFill>
            <w14:solidFill>
              <w14:schemeClr w14:val="tx1"/>
            </w14:solidFill>
          </w14:textFill>
        </w:rPr>
        <w:t>收到书面反映后，应当书面报告采购项目同级财政部门依法处理。</w:t>
      </w:r>
    </w:p>
    <w:p>
      <w:pPr>
        <w:pStyle w:val="4"/>
        <w:numPr>
          <w:ilvl w:val="1"/>
          <w:numId w:val="4"/>
        </w:numPr>
        <w:spacing w:before="0" w:after="0" w:line="560" w:lineRule="exact"/>
        <w:ind w:left="2269" w:hanging="2269"/>
        <w:rPr>
          <w:color w:val="000000" w:themeColor="text1"/>
          <w14:textFill>
            <w14:solidFill>
              <w14:schemeClr w14:val="tx1"/>
            </w14:solidFill>
          </w14:textFill>
        </w:rPr>
      </w:pPr>
      <w:bookmarkStart w:id="322" w:name="_Toc23552"/>
      <w:bookmarkStart w:id="323" w:name="_Toc18642"/>
      <w:bookmarkStart w:id="324" w:name="_Toc25222"/>
      <w:bookmarkStart w:id="325" w:name="_Toc6600"/>
      <w:bookmarkStart w:id="326" w:name="_Toc32107"/>
      <w:r>
        <w:rPr>
          <w:rFonts w:hint="eastAsia"/>
          <w:color w:val="000000" w:themeColor="text1"/>
          <w14:textFill>
            <w14:solidFill>
              <w14:schemeClr w14:val="tx1"/>
            </w14:solidFill>
          </w14:textFill>
        </w:rPr>
        <w:t>评标细则及标准</w:t>
      </w:r>
      <w:bookmarkEnd w:id="319"/>
      <w:bookmarkEnd w:id="320"/>
      <w:bookmarkEnd w:id="321"/>
      <w:bookmarkEnd w:id="322"/>
      <w:bookmarkEnd w:id="323"/>
      <w:bookmarkEnd w:id="324"/>
      <w:bookmarkEnd w:id="325"/>
      <w:bookmarkEnd w:id="326"/>
    </w:p>
    <w:p>
      <w:pPr>
        <w:numPr>
          <w:ilvl w:val="0"/>
          <w:numId w:val="54"/>
        </w:numPr>
        <w:tabs>
          <w:tab w:val="left" w:pos="1155"/>
        </w:tabs>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评标委员会只对通过初审的投标文件，根据招标文件的要求采用相同的评标程序、评分办法及标准进行评价和比较。</w:t>
      </w:r>
    </w:p>
    <w:p>
      <w:pPr>
        <w:numPr>
          <w:ilvl w:val="0"/>
          <w:numId w:val="54"/>
        </w:numPr>
        <w:tabs>
          <w:tab w:val="left" w:pos="1155"/>
        </w:tabs>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本次综合评分的因素是：价格、服务、商务等。</w:t>
      </w:r>
    </w:p>
    <w:p>
      <w:pPr>
        <w:numPr>
          <w:ilvl w:val="0"/>
          <w:numId w:val="54"/>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bookmarkStart w:id="327" w:name="_Toc217102344"/>
      <w:bookmarkStart w:id="328" w:name="_Toc218498587"/>
      <w:bookmarkStart w:id="329" w:name="_Toc310176995"/>
      <w:r>
        <w:rPr>
          <w:rFonts w:hint="eastAsia" w:ascii="宋体" w:hAnsi="宋体"/>
          <w:color w:val="000000" w:themeColor="text1"/>
          <w:sz w:val="28"/>
          <w:szCs w:val="28"/>
          <w14:textFill>
            <w14:solidFill>
              <w14:schemeClr w14:val="tx1"/>
            </w14:solidFill>
          </w14:textFill>
        </w:rPr>
        <w:t>评标委员会成员应依据招标文件规定的评分标准和方法独立打分。</w:t>
      </w:r>
    </w:p>
    <w:p>
      <w:pPr>
        <w:pStyle w:val="5"/>
        <w:numPr>
          <w:ilvl w:val="2"/>
          <w:numId w:val="4"/>
        </w:numPr>
        <w:spacing w:after="200" w:line="560" w:lineRule="exact"/>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评分办法</w:t>
      </w:r>
      <w:bookmarkEnd w:id="327"/>
      <w:bookmarkEnd w:id="328"/>
      <w:bookmarkEnd w:id="329"/>
    </w:p>
    <w:p>
      <w:pPr>
        <w:spacing w:line="560" w:lineRule="exact"/>
        <w:ind w:firstLine="630" w:firstLineChars="2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本次评标采用综合评分法，由评标委员会各成员独立对通过初审（资格检查和符合性检查）的投标人的投标文件进行评审和打分，    </w:t>
      </w:r>
    </w:p>
    <w:p>
      <w:pPr>
        <w:spacing w:line="560" w:lineRule="exact"/>
        <w:ind w:firstLine="630" w:firstLineChars="2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评标得分＝（A</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）/n</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 n</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 n</w:t>
      </w:r>
      <w:r>
        <w:rPr>
          <w:rFonts w:hint="eastAsia" w:ascii="宋体" w:hAnsi="宋体"/>
          <w:color w:val="000000" w:themeColor="text1"/>
          <w:sz w:val="28"/>
          <w:szCs w:val="28"/>
          <w:vertAlign w:val="subscript"/>
          <w14:textFill>
            <w14:solidFill>
              <w14:schemeClr w14:val="tx1"/>
            </w14:solidFill>
          </w14:textFill>
        </w:rPr>
        <w:t>3</w:t>
      </w:r>
    </w:p>
    <w:p>
      <w:pPr>
        <w:widowControl/>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分别为每个</w:t>
      </w:r>
      <w:r>
        <w:rPr>
          <w:rFonts w:hint="eastAsia" w:ascii="宋体" w:hAnsi="宋体" w:cs="宋体"/>
          <w:color w:val="000000" w:themeColor="text1"/>
          <w:kern w:val="0"/>
          <w:sz w:val="28"/>
          <w:szCs w:val="28"/>
          <w14:textFill>
            <w14:solidFill>
              <w14:schemeClr w14:val="tx1"/>
            </w14:solidFill>
          </w14:textFill>
        </w:rPr>
        <w:t>经济类</w:t>
      </w:r>
      <w:r>
        <w:rPr>
          <w:rFonts w:hint="eastAsia" w:ascii="宋体" w:hAnsi="宋体"/>
          <w:color w:val="000000" w:themeColor="text1"/>
          <w:sz w:val="28"/>
          <w:szCs w:val="28"/>
          <w14:textFill>
            <w14:solidFill>
              <w14:schemeClr w14:val="tx1"/>
            </w14:solidFill>
          </w14:textFill>
        </w:rPr>
        <w:t>评委的打分，n</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为</w:t>
      </w:r>
      <w:r>
        <w:rPr>
          <w:rFonts w:hint="eastAsia" w:ascii="宋体" w:hAnsi="宋体" w:cs="宋体"/>
          <w:color w:val="000000" w:themeColor="text1"/>
          <w:kern w:val="0"/>
          <w:sz w:val="28"/>
          <w:szCs w:val="28"/>
          <w14:textFill>
            <w14:solidFill>
              <w14:schemeClr w14:val="tx1"/>
            </w14:solidFill>
          </w14:textFill>
        </w:rPr>
        <w:t>经济类</w:t>
      </w:r>
      <w:r>
        <w:rPr>
          <w:rFonts w:hint="eastAsia" w:ascii="宋体" w:hAnsi="宋体"/>
          <w:color w:val="000000" w:themeColor="text1"/>
          <w:sz w:val="28"/>
          <w:szCs w:val="28"/>
          <w14:textFill>
            <w14:solidFill>
              <w14:schemeClr w14:val="tx1"/>
            </w14:solidFill>
          </w14:textFill>
        </w:rPr>
        <w:t>评委人数；B</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 xml:space="preserve"> 分别为每个技术类评委（含采购人代表）的打分，n</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为</w:t>
      </w:r>
      <w:r>
        <w:rPr>
          <w:rFonts w:hint="eastAsia" w:ascii="宋体" w:hAnsi="宋体" w:cs="宋体"/>
          <w:color w:val="000000" w:themeColor="text1"/>
          <w:kern w:val="0"/>
          <w:sz w:val="28"/>
          <w:szCs w:val="28"/>
          <w14:textFill>
            <w14:solidFill>
              <w14:schemeClr w14:val="tx1"/>
            </w14:solidFill>
          </w14:textFill>
        </w:rPr>
        <w:t>技术类</w:t>
      </w:r>
      <w:r>
        <w:rPr>
          <w:rFonts w:hint="eastAsia" w:ascii="宋体" w:hAnsi="宋体"/>
          <w:color w:val="000000" w:themeColor="text1"/>
          <w:sz w:val="28"/>
          <w:szCs w:val="28"/>
          <w14:textFill>
            <w14:solidFill>
              <w14:schemeClr w14:val="tx1"/>
            </w14:solidFill>
          </w14:textFill>
        </w:rPr>
        <w:t>评委（含采购人代表）人数；C</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 xml:space="preserve"> 分别为评审委员会每个成员的打分，n</w:t>
      </w:r>
      <w:r>
        <w:rPr>
          <w:rFonts w:hint="eastAsia" w:ascii="宋体" w:hAnsi="宋体"/>
          <w:color w:val="000000" w:themeColor="text1"/>
          <w:sz w:val="28"/>
          <w:szCs w:val="28"/>
          <w:vertAlign w:val="subscript"/>
          <w14:textFill>
            <w14:solidFill>
              <w14:schemeClr w14:val="tx1"/>
            </w14:solidFill>
          </w14:textFill>
        </w:rPr>
        <w:t>3</w:t>
      </w:r>
      <w:r>
        <w:rPr>
          <w:rFonts w:hint="eastAsia" w:ascii="宋体" w:hAnsi="宋体"/>
          <w:color w:val="000000" w:themeColor="text1"/>
          <w:sz w:val="28"/>
          <w:szCs w:val="28"/>
          <w14:textFill>
            <w14:solidFill>
              <w14:schemeClr w14:val="tx1"/>
            </w14:solidFill>
          </w14:textFill>
        </w:rPr>
        <w:t>为评委人数。</w:t>
      </w:r>
    </w:p>
    <w:p>
      <w:pPr>
        <w:pStyle w:val="5"/>
        <w:numPr>
          <w:ilvl w:val="2"/>
          <w:numId w:val="4"/>
        </w:numPr>
        <w:spacing w:after="200"/>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评分标准</w:t>
      </w:r>
    </w:p>
    <w:tbl>
      <w:tblPr>
        <w:tblStyle w:val="48"/>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
        <w:gridCol w:w="1176"/>
        <w:gridCol w:w="696"/>
        <w:gridCol w:w="4791"/>
        <w:gridCol w:w="11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457" w:type="dxa"/>
            <w:shd w:val="clear" w:color="auto" w:fill="auto"/>
            <w:vAlign w:val="center"/>
          </w:tcPr>
          <w:p>
            <w:pPr>
              <w:widowControl/>
              <w:spacing w:line="360" w:lineRule="auto"/>
              <w:jc w:val="center"/>
              <w:rPr>
                <w:rFonts w:ascii="宋体" w:hAnsi="宋体" w:cs="宋体"/>
                <w:b/>
                <w:sz w:val="24"/>
                <w:szCs w:val="24"/>
              </w:rPr>
            </w:pPr>
            <w:r>
              <w:rPr>
                <w:rFonts w:hint="eastAsia" w:ascii="宋体" w:hAnsi="宋体" w:cs="宋体"/>
                <w:b/>
                <w:sz w:val="24"/>
                <w:szCs w:val="24"/>
              </w:rPr>
              <w:t>序号</w:t>
            </w:r>
          </w:p>
        </w:tc>
        <w:tc>
          <w:tcPr>
            <w:tcW w:w="1176" w:type="dxa"/>
            <w:shd w:val="clear" w:color="auto" w:fill="auto"/>
            <w:vAlign w:val="center"/>
          </w:tcPr>
          <w:p>
            <w:pPr>
              <w:widowControl/>
              <w:spacing w:line="360" w:lineRule="auto"/>
              <w:jc w:val="center"/>
              <w:rPr>
                <w:rFonts w:ascii="宋体" w:hAnsi="宋体" w:cs="宋体"/>
                <w:b/>
                <w:sz w:val="24"/>
                <w:szCs w:val="24"/>
              </w:rPr>
            </w:pPr>
            <w:r>
              <w:rPr>
                <w:rFonts w:hint="eastAsia" w:ascii="宋体" w:hAnsi="宋体" w:cs="宋体"/>
                <w:b/>
                <w:sz w:val="24"/>
                <w:szCs w:val="24"/>
              </w:rPr>
              <w:t>评分因素及权重</w:t>
            </w:r>
          </w:p>
        </w:tc>
        <w:tc>
          <w:tcPr>
            <w:tcW w:w="696" w:type="dxa"/>
            <w:shd w:val="clear" w:color="auto" w:fill="auto"/>
            <w:vAlign w:val="center"/>
          </w:tcPr>
          <w:p>
            <w:pPr>
              <w:widowControl/>
              <w:spacing w:line="360" w:lineRule="auto"/>
              <w:jc w:val="center"/>
              <w:rPr>
                <w:rFonts w:ascii="宋体" w:hAnsi="宋体" w:cs="宋体"/>
                <w:b/>
                <w:sz w:val="24"/>
                <w:szCs w:val="24"/>
              </w:rPr>
            </w:pPr>
            <w:r>
              <w:rPr>
                <w:rFonts w:hint="eastAsia" w:ascii="宋体" w:hAnsi="宋体" w:cs="宋体"/>
                <w:b/>
                <w:sz w:val="24"/>
                <w:szCs w:val="24"/>
              </w:rPr>
              <w:t>分值</w:t>
            </w:r>
          </w:p>
        </w:tc>
        <w:tc>
          <w:tcPr>
            <w:tcW w:w="4791" w:type="dxa"/>
            <w:shd w:val="clear" w:color="auto" w:fill="auto"/>
            <w:vAlign w:val="center"/>
          </w:tcPr>
          <w:p>
            <w:pPr>
              <w:widowControl/>
              <w:spacing w:line="360" w:lineRule="auto"/>
              <w:jc w:val="center"/>
              <w:rPr>
                <w:rFonts w:ascii="宋体" w:hAnsi="宋体" w:cs="宋体"/>
                <w:b/>
                <w:sz w:val="24"/>
                <w:szCs w:val="24"/>
              </w:rPr>
            </w:pPr>
            <w:r>
              <w:rPr>
                <w:rFonts w:hint="eastAsia" w:ascii="宋体" w:hAnsi="宋体" w:cs="宋体"/>
                <w:b/>
                <w:sz w:val="24"/>
                <w:szCs w:val="24"/>
              </w:rPr>
              <w:t>评分标准</w:t>
            </w:r>
          </w:p>
        </w:tc>
        <w:tc>
          <w:tcPr>
            <w:tcW w:w="1176" w:type="dxa"/>
            <w:shd w:val="clear" w:color="auto" w:fill="auto"/>
            <w:vAlign w:val="center"/>
          </w:tcPr>
          <w:p>
            <w:pPr>
              <w:widowControl/>
              <w:spacing w:line="360" w:lineRule="auto"/>
              <w:jc w:val="center"/>
              <w:rPr>
                <w:rFonts w:ascii="宋体" w:hAnsi="宋体" w:cs="宋体"/>
                <w:b/>
                <w:sz w:val="24"/>
                <w:szCs w:val="24"/>
              </w:rPr>
            </w:pPr>
            <w:r>
              <w:rPr>
                <w:rFonts w:hint="eastAsia" w:ascii="宋体" w:hAnsi="宋体" w:cs="宋体"/>
                <w:b/>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1</w:t>
            </w:r>
          </w:p>
        </w:tc>
        <w:tc>
          <w:tcPr>
            <w:tcW w:w="117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报价15%</w:t>
            </w:r>
          </w:p>
        </w:tc>
        <w:tc>
          <w:tcPr>
            <w:tcW w:w="69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15分</w:t>
            </w:r>
          </w:p>
        </w:tc>
        <w:tc>
          <w:tcPr>
            <w:tcW w:w="4791" w:type="dxa"/>
            <w:vAlign w:val="center"/>
          </w:tcPr>
          <w:p>
            <w:pPr>
              <w:widowControl/>
              <w:spacing w:line="360" w:lineRule="auto"/>
              <w:rPr>
                <w:rFonts w:ascii="宋体" w:hAnsi="宋体" w:cs="宋体"/>
                <w:sz w:val="24"/>
                <w:szCs w:val="24"/>
              </w:rPr>
            </w:pPr>
            <w:r>
              <w:rPr>
                <w:rFonts w:hint="eastAsia" w:ascii="宋体" w:hAnsi="宋体" w:cs="宋体"/>
                <w:sz w:val="24"/>
                <w:szCs w:val="24"/>
              </w:rPr>
              <w:t>1.</w:t>
            </w:r>
            <w:r>
              <w:rPr>
                <w:rFonts w:ascii="宋体" w:hAnsi="宋体" w:cs="宋体"/>
                <w:sz w:val="24"/>
                <w:szCs w:val="24"/>
              </w:rPr>
              <w:t>投标人如为监狱企业、小型和微型企业、残疾人福利性企业的，则给予其投标报价10%的价格扣除，用扣除后的价格参与评审。[说明：投标人为监狱企业的，提供由省级以上监狱管理局、戒毒管理局（含新疆生产建设兵团）出具的投标人属于监狱企业的证明文件复印件。]</w:t>
            </w:r>
          </w:p>
          <w:p>
            <w:pPr>
              <w:widowControl/>
              <w:spacing w:line="360" w:lineRule="auto"/>
              <w:rPr>
                <w:rFonts w:ascii="宋体" w:hAnsi="宋体" w:cs="宋体"/>
                <w:sz w:val="24"/>
                <w:szCs w:val="24"/>
              </w:rPr>
            </w:pPr>
            <w:r>
              <w:rPr>
                <w:rFonts w:ascii="宋体" w:hAnsi="宋体" w:cs="宋体"/>
                <w:sz w:val="24"/>
                <w:szCs w:val="24"/>
              </w:rPr>
              <w:t>2.经评标委员会评审，通过资格审查和符合性审查，且投标报价最低的投标人的投标报价作为评标基准价。</w:t>
            </w:r>
          </w:p>
          <w:p>
            <w:pPr>
              <w:widowControl/>
              <w:spacing w:line="360" w:lineRule="auto"/>
              <w:rPr>
                <w:rFonts w:ascii="宋体" w:hAnsi="宋体" w:cs="宋体"/>
                <w:sz w:val="24"/>
                <w:szCs w:val="24"/>
              </w:rPr>
            </w:pPr>
            <w:r>
              <w:rPr>
                <w:rFonts w:ascii="宋体" w:hAnsi="宋体" w:cs="宋体"/>
                <w:sz w:val="24"/>
                <w:szCs w:val="24"/>
              </w:rPr>
              <w:t>3.投标报价得分=(评标基准价／投标报价)×15。</w:t>
            </w:r>
          </w:p>
        </w:tc>
        <w:tc>
          <w:tcPr>
            <w:tcW w:w="1176" w:type="dxa"/>
            <w:vAlign w:val="center"/>
          </w:tcPr>
          <w:p>
            <w:pPr>
              <w:widowControl/>
              <w:spacing w:line="360" w:lineRule="auto"/>
              <w:ind w:firstLine="480" w:firstLineChars="200"/>
              <w:jc w:val="left"/>
              <w:rPr>
                <w:rFonts w:ascii="宋体" w:hAnsi="宋体" w:cs="宋体"/>
                <w:sz w:val="24"/>
                <w:szCs w:val="24"/>
              </w:rPr>
            </w:pPr>
            <w:r>
              <w:rPr>
                <w:rFonts w:hint="eastAsia" w:ascii="宋体" w:hAnsi="宋体" w:cs="宋体"/>
                <w:sz w:val="24"/>
                <w:szCs w:val="24"/>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 w:type="dxa"/>
            <w:vMerge w:val="restart"/>
            <w:vAlign w:val="center"/>
          </w:tcPr>
          <w:p>
            <w:pPr>
              <w:widowControl/>
              <w:spacing w:line="360" w:lineRule="auto"/>
              <w:jc w:val="center"/>
              <w:rPr>
                <w:rFonts w:ascii="宋体" w:hAnsi="宋体" w:cs="宋体"/>
                <w:sz w:val="24"/>
                <w:szCs w:val="24"/>
              </w:rPr>
            </w:pPr>
            <w:r>
              <w:rPr>
                <w:rFonts w:hint="eastAsia" w:ascii="宋体" w:hAnsi="宋体" w:cs="宋体"/>
                <w:sz w:val="24"/>
                <w:szCs w:val="24"/>
              </w:rPr>
              <w:t>2</w:t>
            </w:r>
          </w:p>
        </w:tc>
        <w:tc>
          <w:tcPr>
            <w:tcW w:w="1176" w:type="dxa"/>
            <w:vMerge w:val="restart"/>
            <w:vAlign w:val="center"/>
          </w:tcPr>
          <w:p>
            <w:pPr>
              <w:widowControl/>
              <w:spacing w:line="360" w:lineRule="auto"/>
              <w:jc w:val="center"/>
              <w:rPr>
                <w:rFonts w:ascii="宋体" w:hAnsi="宋体" w:cs="宋体"/>
                <w:sz w:val="24"/>
                <w:szCs w:val="24"/>
              </w:rPr>
            </w:pPr>
            <w:r>
              <w:rPr>
                <w:rFonts w:hint="eastAsia" w:ascii="宋体" w:hAnsi="宋体" w:cs="宋体"/>
                <w:sz w:val="24"/>
                <w:szCs w:val="24"/>
                <w:lang w:eastAsia="zh-CN"/>
              </w:rPr>
              <w:t>服务</w:t>
            </w:r>
            <w:r>
              <w:rPr>
                <w:rFonts w:hint="eastAsia" w:ascii="宋体" w:hAnsi="宋体" w:cs="宋体"/>
                <w:sz w:val="24"/>
                <w:szCs w:val="24"/>
              </w:rPr>
              <w:t>方案6</w:t>
            </w:r>
            <w:r>
              <w:rPr>
                <w:rFonts w:hint="eastAsia" w:ascii="宋体" w:hAnsi="宋体" w:cs="宋体"/>
                <w:sz w:val="24"/>
                <w:szCs w:val="24"/>
                <w:lang w:val="en-US" w:eastAsia="zh-CN"/>
              </w:rPr>
              <w:t>5</w:t>
            </w:r>
            <w:r>
              <w:rPr>
                <w:rFonts w:hint="eastAsia" w:ascii="宋体" w:hAnsi="宋体" w:cs="宋体"/>
                <w:sz w:val="24"/>
                <w:szCs w:val="24"/>
              </w:rPr>
              <w:t>%</w:t>
            </w:r>
          </w:p>
        </w:tc>
        <w:tc>
          <w:tcPr>
            <w:tcW w:w="69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各项服务方案</w:t>
            </w:r>
            <w:r>
              <w:rPr>
                <w:rFonts w:hint="eastAsia" w:ascii="宋体" w:hAnsi="宋体" w:cs="宋体"/>
                <w:color w:val="auto"/>
                <w:sz w:val="24"/>
                <w:szCs w:val="24"/>
              </w:rPr>
              <w:t>（</w:t>
            </w:r>
            <w:r>
              <w:rPr>
                <w:rFonts w:hint="eastAsia" w:ascii="宋体" w:hAnsi="宋体" w:cs="宋体"/>
                <w:color w:val="auto"/>
                <w:sz w:val="24"/>
                <w:szCs w:val="24"/>
                <w:lang w:val="en-US" w:eastAsia="zh-CN"/>
              </w:rPr>
              <w:t>25</w:t>
            </w:r>
            <w:r>
              <w:rPr>
                <w:rFonts w:hint="eastAsia" w:ascii="宋体" w:hAnsi="宋体" w:cs="宋体"/>
                <w:color w:val="auto"/>
                <w:sz w:val="24"/>
                <w:szCs w:val="24"/>
              </w:rPr>
              <w:t>）</w:t>
            </w:r>
          </w:p>
        </w:tc>
        <w:tc>
          <w:tcPr>
            <w:tcW w:w="4791" w:type="dxa"/>
            <w:vAlign w:val="center"/>
          </w:tcPr>
          <w:p>
            <w:pPr>
              <w:widowControl/>
              <w:numPr>
                <w:ilvl w:val="0"/>
                <w:numId w:val="55"/>
              </w:numPr>
              <w:spacing w:line="360" w:lineRule="auto"/>
              <w:rPr>
                <w:rFonts w:ascii="宋体" w:hAnsi="宋体" w:cs="宋体"/>
                <w:sz w:val="24"/>
                <w:szCs w:val="24"/>
              </w:rPr>
            </w:pPr>
            <w:r>
              <w:rPr>
                <w:rFonts w:ascii="宋体" w:hAnsi="宋体" w:cs="宋体"/>
                <w:sz w:val="24"/>
                <w:szCs w:val="24"/>
              </w:rPr>
              <w:t>在满足招标文件要求的前提下，投标人根据采购需求提供物业管理服务整体实施方案的，得2分。</w:t>
            </w:r>
          </w:p>
          <w:p>
            <w:pPr>
              <w:widowControl/>
              <w:numPr>
                <w:ilvl w:val="0"/>
                <w:numId w:val="55"/>
              </w:numPr>
              <w:spacing w:line="360" w:lineRule="auto"/>
              <w:rPr>
                <w:rFonts w:ascii="宋体" w:hAnsi="宋体" w:cs="宋体"/>
                <w:sz w:val="24"/>
                <w:szCs w:val="24"/>
              </w:rPr>
            </w:pPr>
            <w:r>
              <w:rPr>
                <w:rFonts w:ascii="宋体" w:hAnsi="宋体" w:cs="宋体"/>
                <w:sz w:val="24"/>
                <w:szCs w:val="24"/>
              </w:rPr>
              <w:t>在此基础上，物业管理服务整体实施方案包括针对本项目提出的项目重难点分析及解决方案且符合本项目实际情况的，得2分。</w:t>
            </w:r>
          </w:p>
          <w:p>
            <w:pPr>
              <w:widowControl/>
              <w:spacing w:line="360" w:lineRule="auto"/>
              <w:rPr>
                <w:rFonts w:hint="eastAsia" w:ascii="宋体" w:hAnsi="宋体" w:cs="宋体"/>
                <w:sz w:val="24"/>
                <w:szCs w:val="24"/>
              </w:rPr>
            </w:pPr>
            <w:r>
              <w:rPr>
                <w:rFonts w:hint="eastAsia" w:ascii="宋体" w:hAnsi="宋体" w:cs="宋体"/>
                <w:sz w:val="24"/>
                <w:szCs w:val="24"/>
                <w:lang w:val="en-US" w:eastAsia="zh-CN"/>
              </w:rPr>
              <w:t>3</w:t>
            </w:r>
            <w:r>
              <w:rPr>
                <w:rFonts w:hint="eastAsia" w:ascii="宋体" w:hAnsi="宋体" w:cs="宋体"/>
                <w:sz w:val="24"/>
                <w:szCs w:val="24"/>
              </w:rPr>
              <w:t>.在满足招标文件要求的前提下，投标人根据采购需求、结合现场踏勘和投标人服务经验提供保洁服务方案，方案中至少包含人员配置方案(包括配置人员数量、服务时间、岗位职责)、保洁工作制度、保洁工作考核标准、人员培训制度等4个方面，每有1个方面且符合采购需求的，得1分，最多得4分。</w:t>
            </w:r>
          </w:p>
          <w:p>
            <w:pPr>
              <w:widowControl/>
              <w:spacing w:line="360" w:lineRule="auto"/>
              <w:rPr>
                <w:rFonts w:hint="eastAsia" w:ascii="宋体" w:hAnsi="宋体" w:cs="宋体"/>
                <w:sz w:val="24"/>
                <w:szCs w:val="24"/>
              </w:rPr>
            </w:pPr>
            <w:r>
              <w:rPr>
                <w:rFonts w:hint="eastAsia" w:ascii="宋体" w:hAnsi="宋体" w:cs="宋体"/>
                <w:sz w:val="24"/>
                <w:szCs w:val="24"/>
                <w:lang w:val="en-US" w:eastAsia="zh-CN"/>
              </w:rPr>
              <w:t>4</w:t>
            </w:r>
            <w:r>
              <w:rPr>
                <w:rFonts w:hint="eastAsia" w:ascii="宋体" w:hAnsi="宋体" w:cs="宋体"/>
                <w:sz w:val="24"/>
                <w:szCs w:val="24"/>
              </w:rPr>
              <w:t>.在满足招标文件要求的前提下，投标人根据采购需求、结合现场踏勘和投标人服务经验提供运送服务方案，方案中至少包含人员配置方案(包括配置人员数量、服务时间、岗位职责)、运送工作制度、运送工作考核标准</w:t>
            </w:r>
            <w:r>
              <w:rPr>
                <w:rFonts w:hint="eastAsia" w:ascii="宋体" w:hAnsi="宋体" w:cs="宋体"/>
                <w:sz w:val="24"/>
                <w:szCs w:val="24"/>
                <w:lang w:eastAsia="zh-CN"/>
              </w:rPr>
              <w:t>、人员培训制度等</w:t>
            </w:r>
            <w:r>
              <w:rPr>
                <w:rFonts w:hint="eastAsia" w:ascii="宋体" w:hAnsi="宋体" w:cs="宋体"/>
                <w:sz w:val="24"/>
                <w:szCs w:val="24"/>
              </w:rPr>
              <w:t>4个方面，每有1个方面且符合采购需求的，得1分，最多得4分。</w:t>
            </w:r>
          </w:p>
          <w:p>
            <w:pPr>
              <w:widowControl/>
              <w:spacing w:line="360" w:lineRule="auto"/>
              <w:rPr>
                <w:rFonts w:hint="eastAsia" w:ascii="宋体" w:hAnsi="宋体" w:cs="宋体"/>
                <w:sz w:val="24"/>
                <w:szCs w:val="24"/>
              </w:rPr>
            </w:pPr>
            <w:r>
              <w:rPr>
                <w:rFonts w:hint="eastAsia" w:ascii="宋体" w:hAnsi="宋体" w:cs="宋体"/>
                <w:sz w:val="24"/>
                <w:szCs w:val="24"/>
                <w:lang w:val="en-US" w:eastAsia="zh-CN"/>
              </w:rPr>
              <w:t>5</w:t>
            </w:r>
            <w:r>
              <w:rPr>
                <w:rFonts w:hint="eastAsia" w:ascii="宋体" w:hAnsi="宋体" w:cs="宋体"/>
                <w:sz w:val="24"/>
                <w:szCs w:val="24"/>
              </w:rPr>
              <w:t>.在提供了整体实施方案基础上，方案中体现了有害生物控制、垃圾管理、院感控制三个方面，每具备一个方面且符合采购需求的，得1分，最多得3分。</w:t>
            </w:r>
          </w:p>
          <w:p>
            <w:pPr>
              <w:widowControl/>
              <w:spacing w:line="360" w:lineRule="auto"/>
              <w:rPr>
                <w:rFonts w:ascii="宋体" w:hAnsi="宋体" w:cs="宋体"/>
                <w:sz w:val="24"/>
                <w:szCs w:val="24"/>
              </w:rPr>
            </w:pPr>
            <w:r>
              <w:rPr>
                <w:rFonts w:hint="eastAsia" w:ascii="宋体" w:hAnsi="宋体" w:cs="宋体"/>
                <w:sz w:val="24"/>
                <w:szCs w:val="24"/>
                <w:lang w:val="en-US" w:eastAsia="zh-CN"/>
              </w:rPr>
              <w:t>6</w:t>
            </w:r>
            <w:r>
              <w:rPr>
                <w:rFonts w:hint="eastAsia" w:ascii="宋体" w:hAnsi="宋体" w:cs="宋体"/>
                <w:sz w:val="24"/>
                <w:szCs w:val="24"/>
              </w:rPr>
              <w:t>.在提供了整体实施方案基础上，方案中体现了安全管理体系方案，包括安全管理组织架构、安全管理措施、安全管理实践案例、提升本项目安全管理水平措施等</w:t>
            </w:r>
            <w:r>
              <w:rPr>
                <w:rFonts w:hint="eastAsia" w:ascii="宋体" w:hAnsi="宋体" w:cs="宋体"/>
                <w:sz w:val="24"/>
                <w:szCs w:val="24"/>
                <w:lang w:val="en-US" w:eastAsia="zh-CN"/>
              </w:rPr>
              <w:t>4个方面</w:t>
            </w:r>
            <w:r>
              <w:rPr>
                <w:rFonts w:hint="eastAsia" w:ascii="宋体" w:hAnsi="宋体" w:cs="宋体"/>
                <w:sz w:val="24"/>
                <w:szCs w:val="24"/>
              </w:rPr>
              <w:t>，</w:t>
            </w:r>
            <w:r>
              <w:rPr>
                <w:rFonts w:hint="eastAsia" w:ascii="宋体" w:hAnsi="宋体" w:cs="宋体"/>
                <w:sz w:val="24"/>
                <w:szCs w:val="24"/>
                <w:lang w:eastAsia="zh-CN"/>
              </w:rPr>
              <w:t>每提供</w:t>
            </w:r>
            <w:r>
              <w:rPr>
                <w:rFonts w:hint="eastAsia" w:ascii="宋体" w:hAnsi="宋体" w:cs="宋体"/>
                <w:sz w:val="24"/>
                <w:szCs w:val="24"/>
                <w:lang w:val="en-US" w:eastAsia="zh-CN"/>
              </w:rPr>
              <w:t>1个方面且符合采购需求的，得1分，最多得4分</w:t>
            </w:r>
            <w:r>
              <w:rPr>
                <w:rFonts w:hint="eastAsia" w:ascii="宋体" w:hAnsi="宋体" w:cs="宋体"/>
                <w:sz w:val="24"/>
                <w:szCs w:val="24"/>
              </w:rPr>
              <w:t>。</w:t>
            </w:r>
          </w:p>
          <w:p>
            <w:pPr>
              <w:widowControl/>
              <w:spacing w:line="360" w:lineRule="auto"/>
              <w:rPr>
                <w:rFonts w:ascii="宋体" w:hAnsi="宋体" w:cs="宋体"/>
                <w:sz w:val="24"/>
                <w:szCs w:val="24"/>
              </w:rPr>
            </w:pPr>
            <w:r>
              <w:rPr>
                <w:rFonts w:hint="eastAsia" w:ascii="宋体" w:hAnsi="宋体" w:cs="宋体"/>
                <w:sz w:val="24"/>
                <w:szCs w:val="24"/>
                <w:lang w:val="en-US" w:eastAsia="zh-CN"/>
              </w:rPr>
              <w:t>7</w:t>
            </w:r>
            <w:r>
              <w:rPr>
                <w:rFonts w:hint="eastAsia" w:ascii="宋体" w:hAnsi="宋体" w:cs="宋体"/>
                <w:sz w:val="24"/>
                <w:szCs w:val="24"/>
              </w:rPr>
              <w:t>.</w:t>
            </w:r>
            <w:r>
              <w:rPr>
                <w:rFonts w:hint="eastAsia" w:ascii="宋体" w:hAnsi="宋体" w:cs="宋体"/>
                <w:color w:val="auto"/>
                <w:sz w:val="24"/>
                <w:szCs w:val="24"/>
              </w:rPr>
              <w:t>在提供了整体实施方案基础上，方案中体现了医疗垃圾清运方案，包括医疗废弃物暂存间</w:t>
            </w:r>
            <w:r>
              <w:rPr>
                <w:rFonts w:hint="eastAsia" w:ascii="宋体" w:hAnsi="宋体" w:cs="宋体"/>
                <w:color w:val="auto"/>
                <w:sz w:val="24"/>
                <w:szCs w:val="24"/>
                <w:lang w:eastAsia="zh-CN"/>
              </w:rPr>
              <w:t>管理</w:t>
            </w:r>
            <w:r>
              <w:rPr>
                <w:rFonts w:hint="eastAsia" w:ascii="宋体" w:hAnsi="宋体" w:cs="宋体"/>
                <w:color w:val="auto"/>
                <w:sz w:val="24"/>
                <w:szCs w:val="24"/>
              </w:rPr>
              <w:t>制度、医疗废弃物回收运送流程、医疗废弃物回收运送路线及时间等</w:t>
            </w:r>
            <w:r>
              <w:rPr>
                <w:rFonts w:hint="eastAsia" w:ascii="宋体" w:hAnsi="宋体" w:cs="宋体"/>
                <w:color w:val="auto"/>
                <w:sz w:val="24"/>
                <w:szCs w:val="24"/>
                <w:lang w:val="en-US" w:eastAsia="zh-CN"/>
              </w:rPr>
              <w:t>4个方面</w:t>
            </w:r>
            <w:r>
              <w:rPr>
                <w:rFonts w:hint="eastAsia" w:ascii="宋体" w:hAnsi="宋体" w:cs="宋体"/>
                <w:color w:val="auto"/>
                <w:sz w:val="24"/>
                <w:szCs w:val="24"/>
              </w:rPr>
              <w:t>，</w:t>
            </w:r>
            <w:r>
              <w:rPr>
                <w:rFonts w:hint="eastAsia" w:ascii="宋体" w:hAnsi="宋体" w:cs="宋体"/>
                <w:color w:val="auto"/>
                <w:sz w:val="24"/>
                <w:szCs w:val="24"/>
                <w:lang w:eastAsia="zh-CN"/>
              </w:rPr>
              <w:t>每提供</w:t>
            </w:r>
            <w:r>
              <w:rPr>
                <w:rFonts w:hint="eastAsia" w:ascii="宋体" w:hAnsi="宋体" w:cs="宋体"/>
                <w:color w:val="auto"/>
                <w:sz w:val="24"/>
                <w:szCs w:val="24"/>
                <w:lang w:val="en-US" w:eastAsia="zh-CN"/>
              </w:rPr>
              <w:t>1个方面且符合采购需求的，得1.5分，最多得6分</w:t>
            </w:r>
            <w:r>
              <w:rPr>
                <w:rFonts w:hint="eastAsia" w:ascii="宋体" w:hAnsi="宋体" w:cs="宋体"/>
                <w:color w:val="auto"/>
                <w:sz w:val="24"/>
                <w:szCs w:val="24"/>
              </w:rPr>
              <w:t>。</w:t>
            </w:r>
          </w:p>
        </w:tc>
        <w:tc>
          <w:tcPr>
            <w:tcW w:w="1176" w:type="dxa"/>
            <w:vMerge w:val="restart"/>
            <w:vAlign w:val="center"/>
          </w:tcPr>
          <w:p>
            <w:pPr>
              <w:pStyle w:val="2"/>
              <w:spacing w:line="360" w:lineRule="auto"/>
              <w:rPr>
                <w:rFonts w:cs="宋体"/>
                <w:sz w:val="24"/>
              </w:rPr>
            </w:pPr>
            <w:r>
              <w:rPr>
                <w:rFonts w:hint="eastAsia" w:cs="宋体"/>
                <w:sz w:val="24"/>
              </w:rPr>
              <w:t>针对本项目实际情况编写投标方案，以投标文件为准。（采购人代表和技术类专家评分因素）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 w:type="dxa"/>
            <w:vMerge w:val="continue"/>
            <w:vAlign w:val="center"/>
          </w:tcPr>
          <w:p>
            <w:pPr>
              <w:widowControl/>
              <w:spacing w:line="360" w:lineRule="auto"/>
              <w:jc w:val="left"/>
              <w:rPr>
                <w:rFonts w:ascii="宋体" w:hAnsi="宋体" w:cs="宋体"/>
                <w:sz w:val="24"/>
                <w:szCs w:val="24"/>
              </w:rPr>
            </w:pPr>
          </w:p>
        </w:tc>
        <w:tc>
          <w:tcPr>
            <w:tcW w:w="1176" w:type="dxa"/>
            <w:vMerge w:val="continue"/>
            <w:vAlign w:val="center"/>
          </w:tcPr>
          <w:p>
            <w:pPr>
              <w:widowControl/>
              <w:spacing w:line="360" w:lineRule="auto"/>
              <w:jc w:val="left"/>
              <w:rPr>
                <w:rFonts w:ascii="宋体" w:hAnsi="宋体" w:cs="宋体"/>
                <w:sz w:val="24"/>
                <w:szCs w:val="24"/>
              </w:rPr>
            </w:pPr>
          </w:p>
        </w:tc>
        <w:tc>
          <w:tcPr>
            <w:tcW w:w="69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人员培训方案</w:t>
            </w:r>
            <w:r>
              <w:rPr>
                <w:rFonts w:hint="eastAsia" w:ascii="宋体" w:hAnsi="宋体" w:cs="宋体"/>
                <w:sz w:val="24"/>
                <w:szCs w:val="24"/>
              </w:rPr>
              <w:br w:type="textWrapping"/>
            </w:r>
            <w:r>
              <w:rPr>
                <w:rFonts w:hint="eastAsia" w:ascii="宋体" w:hAnsi="宋体" w:cs="宋体"/>
                <w:sz w:val="24"/>
                <w:szCs w:val="24"/>
              </w:rPr>
              <w:t>（8分）</w:t>
            </w:r>
          </w:p>
        </w:tc>
        <w:tc>
          <w:tcPr>
            <w:tcW w:w="4791" w:type="dxa"/>
            <w:vAlign w:val="center"/>
          </w:tcPr>
          <w:p>
            <w:pPr>
              <w:pStyle w:val="84"/>
              <w:widowControl/>
              <w:numPr>
                <w:ilvl w:val="0"/>
                <w:numId w:val="56"/>
              </w:numPr>
              <w:spacing w:line="360" w:lineRule="auto"/>
              <w:ind w:left="0" w:firstLineChars="0"/>
              <w:rPr>
                <w:rFonts w:ascii="宋体" w:hAnsi="宋体" w:cs="宋体"/>
                <w:sz w:val="24"/>
                <w:szCs w:val="24"/>
              </w:rPr>
            </w:pPr>
            <w:r>
              <w:rPr>
                <w:rFonts w:hint="eastAsia" w:ascii="宋体" w:hAnsi="宋体" w:cs="宋体"/>
                <w:sz w:val="24"/>
                <w:szCs w:val="24"/>
              </w:rPr>
              <w:t>1</w:t>
            </w:r>
            <w:r>
              <w:rPr>
                <w:rFonts w:ascii="宋体" w:hAnsi="宋体" w:cs="宋体"/>
                <w:sz w:val="24"/>
                <w:szCs w:val="24"/>
              </w:rPr>
              <w:t>.</w:t>
            </w:r>
            <w:r>
              <w:rPr>
                <w:rFonts w:hint="eastAsia" w:ascii="宋体" w:hAnsi="宋体" w:cs="宋体"/>
                <w:sz w:val="24"/>
                <w:szCs w:val="24"/>
              </w:rPr>
              <w:t>投标人提供了人员培训方案且方案中包含内部培训机构的，得2分。</w:t>
            </w:r>
          </w:p>
          <w:p>
            <w:pPr>
              <w:pStyle w:val="84"/>
              <w:widowControl/>
              <w:numPr>
                <w:ilvl w:val="0"/>
                <w:numId w:val="56"/>
              </w:numPr>
              <w:spacing w:line="360" w:lineRule="auto"/>
              <w:ind w:left="0" w:firstLineChars="0"/>
              <w:rPr>
                <w:rFonts w:ascii="宋体" w:hAnsi="宋体" w:cs="宋体"/>
                <w:sz w:val="24"/>
                <w:szCs w:val="24"/>
              </w:rPr>
            </w:pPr>
            <w:r>
              <w:rPr>
                <w:rFonts w:hint="eastAsia" w:ascii="宋体" w:hAnsi="宋体" w:cs="宋体"/>
                <w:sz w:val="24"/>
                <w:szCs w:val="24"/>
              </w:rPr>
              <w:t>2</w:t>
            </w:r>
            <w:r>
              <w:rPr>
                <w:rFonts w:ascii="宋体" w:hAnsi="宋体" w:cs="宋体"/>
                <w:sz w:val="24"/>
                <w:szCs w:val="24"/>
              </w:rPr>
              <w:t>.</w:t>
            </w:r>
            <w:r>
              <w:rPr>
                <w:rFonts w:hint="eastAsia" w:ascii="宋体" w:hAnsi="宋体" w:cs="宋体"/>
                <w:sz w:val="24"/>
                <w:szCs w:val="24"/>
              </w:rPr>
              <w:t>在投标人提供了人员培训方案基础上：方案中包含专业技术培训、操作流程培训、仪容仪表培训、院感培训</w:t>
            </w:r>
            <w:r>
              <w:rPr>
                <w:rFonts w:hint="eastAsia" w:ascii="宋体" w:hAnsi="宋体" w:cs="宋体"/>
                <w:sz w:val="24"/>
                <w:szCs w:val="24"/>
                <w:lang w:eastAsia="zh-CN"/>
              </w:rPr>
              <w:t>等</w:t>
            </w:r>
            <w:r>
              <w:rPr>
                <w:rFonts w:hint="eastAsia" w:ascii="宋体" w:hAnsi="宋体" w:cs="宋体"/>
                <w:sz w:val="24"/>
                <w:szCs w:val="24"/>
                <w:lang w:val="en-US" w:eastAsia="zh-CN"/>
              </w:rPr>
              <w:t>4个方面</w:t>
            </w:r>
            <w:r>
              <w:rPr>
                <w:rFonts w:hint="eastAsia" w:ascii="宋体" w:hAnsi="宋体" w:cs="宋体"/>
                <w:sz w:val="24"/>
                <w:szCs w:val="24"/>
                <w:lang w:eastAsia="zh-CN"/>
              </w:rPr>
              <w:t>（其中每项培训方案包含</w:t>
            </w:r>
            <w:r>
              <w:rPr>
                <w:rFonts w:hint="eastAsia" w:ascii="宋体" w:hAnsi="宋体" w:cs="宋体"/>
                <w:sz w:val="24"/>
                <w:szCs w:val="24"/>
              </w:rPr>
              <w:t>培训时间计划、培训考核方案</w:t>
            </w:r>
            <w:r>
              <w:rPr>
                <w:rFonts w:hint="eastAsia" w:ascii="宋体" w:hAnsi="宋体" w:cs="宋体"/>
                <w:sz w:val="24"/>
                <w:szCs w:val="24"/>
                <w:lang w:eastAsia="zh-CN"/>
              </w:rPr>
              <w:t>）</w:t>
            </w:r>
            <w:r>
              <w:rPr>
                <w:rFonts w:hint="eastAsia" w:ascii="宋体" w:hAnsi="宋体" w:cs="宋体"/>
                <w:sz w:val="24"/>
                <w:szCs w:val="24"/>
              </w:rPr>
              <w:t>，</w:t>
            </w:r>
            <w:r>
              <w:rPr>
                <w:rFonts w:hint="eastAsia" w:ascii="宋体" w:hAnsi="宋体" w:cs="宋体"/>
                <w:sz w:val="24"/>
                <w:szCs w:val="24"/>
                <w:lang w:eastAsia="zh-CN"/>
              </w:rPr>
              <w:t>每提供</w:t>
            </w:r>
            <w:r>
              <w:rPr>
                <w:rFonts w:hint="eastAsia" w:ascii="宋体" w:hAnsi="宋体" w:cs="宋体"/>
                <w:sz w:val="24"/>
                <w:szCs w:val="24"/>
                <w:lang w:val="en-US" w:eastAsia="zh-CN"/>
              </w:rPr>
              <w:t>1个方面且符合采购需求的，得0.5分，最多得4分</w:t>
            </w:r>
            <w:r>
              <w:rPr>
                <w:rFonts w:hint="eastAsia" w:ascii="宋体" w:hAnsi="宋体" w:cs="宋体"/>
                <w:sz w:val="24"/>
                <w:szCs w:val="24"/>
              </w:rPr>
              <w:t>。</w:t>
            </w:r>
          </w:p>
          <w:p>
            <w:pPr>
              <w:pStyle w:val="84"/>
              <w:widowControl/>
              <w:numPr>
                <w:ilvl w:val="0"/>
                <w:numId w:val="56"/>
              </w:numPr>
              <w:spacing w:line="360" w:lineRule="auto"/>
              <w:ind w:left="0" w:firstLineChars="0"/>
              <w:rPr>
                <w:rFonts w:ascii="宋体" w:hAnsi="宋体" w:cs="宋体"/>
                <w:sz w:val="24"/>
                <w:szCs w:val="24"/>
              </w:rPr>
            </w:pPr>
            <w:r>
              <w:rPr>
                <w:rFonts w:hint="eastAsia" w:ascii="宋体" w:hAnsi="宋体" w:cs="宋体"/>
                <w:sz w:val="24"/>
                <w:szCs w:val="24"/>
              </w:rPr>
              <w:t>3</w:t>
            </w:r>
            <w:r>
              <w:rPr>
                <w:rFonts w:ascii="宋体" w:hAnsi="宋体" w:cs="宋体"/>
                <w:sz w:val="24"/>
                <w:szCs w:val="24"/>
              </w:rPr>
              <w:t>.</w:t>
            </w:r>
            <w:r>
              <w:rPr>
                <w:rFonts w:hint="eastAsia" w:ascii="宋体" w:hAnsi="宋体" w:cs="宋体"/>
                <w:sz w:val="24"/>
                <w:szCs w:val="24"/>
              </w:rPr>
              <w:t>投标人具有人员培训系统，能准确记录人员培训详细内容，做到培训时间、内容可追溯的，得2分，没有的不得分。</w:t>
            </w:r>
          </w:p>
          <w:p>
            <w:pPr>
              <w:widowControl/>
              <w:spacing w:line="360" w:lineRule="auto"/>
              <w:rPr>
                <w:rFonts w:ascii="宋体" w:hAnsi="宋体" w:cs="宋体"/>
                <w:sz w:val="24"/>
                <w:szCs w:val="24"/>
              </w:rPr>
            </w:pPr>
            <w:r>
              <w:rPr>
                <w:rFonts w:hint="eastAsia" w:ascii="宋体" w:hAnsi="宋体" w:cs="宋体"/>
                <w:sz w:val="24"/>
                <w:szCs w:val="24"/>
              </w:rPr>
              <w:t>（说明：人员培训系统需要提供相关截图，不提供不得分。）</w:t>
            </w:r>
          </w:p>
        </w:tc>
        <w:tc>
          <w:tcPr>
            <w:tcW w:w="1176" w:type="dxa"/>
            <w:vMerge w:val="continue"/>
            <w:vAlign w:val="center"/>
          </w:tcPr>
          <w:p>
            <w:pPr>
              <w:widowControl/>
              <w:spacing w:line="360" w:lineRule="auto"/>
              <w:rPr>
                <w:rFonts w:ascii="宋体" w:hAnsi="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 w:type="dxa"/>
            <w:vMerge w:val="continue"/>
            <w:vAlign w:val="center"/>
          </w:tcPr>
          <w:p>
            <w:pPr>
              <w:widowControl/>
              <w:spacing w:line="360" w:lineRule="auto"/>
              <w:jc w:val="left"/>
              <w:rPr>
                <w:rFonts w:ascii="宋体" w:hAnsi="宋体" w:cs="宋体"/>
                <w:sz w:val="24"/>
                <w:szCs w:val="24"/>
              </w:rPr>
            </w:pPr>
          </w:p>
        </w:tc>
        <w:tc>
          <w:tcPr>
            <w:tcW w:w="1176" w:type="dxa"/>
            <w:vMerge w:val="continue"/>
            <w:vAlign w:val="center"/>
          </w:tcPr>
          <w:p>
            <w:pPr>
              <w:widowControl/>
              <w:spacing w:line="360" w:lineRule="auto"/>
              <w:jc w:val="left"/>
              <w:rPr>
                <w:rFonts w:ascii="宋体" w:hAnsi="宋体" w:cs="宋体"/>
                <w:sz w:val="24"/>
                <w:szCs w:val="24"/>
              </w:rPr>
            </w:pPr>
          </w:p>
        </w:tc>
        <w:tc>
          <w:tcPr>
            <w:tcW w:w="69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信息化服务方案（16分）</w:t>
            </w:r>
          </w:p>
        </w:tc>
        <w:tc>
          <w:tcPr>
            <w:tcW w:w="4791" w:type="dxa"/>
            <w:vAlign w:val="center"/>
          </w:tcPr>
          <w:p>
            <w:pPr>
              <w:widowControl/>
              <w:spacing w:line="360" w:lineRule="auto"/>
              <w:rPr>
                <w:rFonts w:ascii="宋体" w:hAnsi="宋体" w:cs="宋体"/>
                <w:sz w:val="24"/>
                <w:szCs w:val="24"/>
              </w:rPr>
            </w:pPr>
            <w:r>
              <w:rPr>
                <w:rFonts w:hint="eastAsia" w:ascii="宋体" w:hAnsi="宋体" w:cs="宋体"/>
                <w:sz w:val="24"/>
                <w:szCs w:val="24"/>
              </w:rPr>
              <w:t>1.投标人提供的信息化管理系统应具备：中央运送、环境服务、医疗废弃物管理、人员管理等功能。每具备一个得1分，最多得4分。</w:t>
            </w:r>
          </w:p>
          <w:p>
            <w:pPr>
              <w:widowControl/>
              <w:spacing w:line="360" w:lineRule="auto"/>
              <w:rPr>
                <w:rFonts w:ascii="宋体" w:hAnsi="宋体" w:cs="宋体"/>
                <w:sz w:val="24"/>
                <w:szCs w:val="24"/>
              </w:rPr>
            </w:pPr>
            <w:r>
              <w:rPr>
                <w:rFonts w:hint="eastAsia" w:ascii="宋体" w:hAnsi="宋体" w:cs="宋体"/>
                <w:sz w:val="24"/>
                <w:szCs w:val="24"/>
              </w:rPr>
              <w:t>2.投标人提供的信息化管理系统应具备：接收任务、分配任务、任务追踪、数据管理、大屏看板、员工动态跟踪、数据分析等功能，每具备一个得1分，最多得7分。</w:t>
            </w:r>
          </w:p>
          <w:p>
            <w:pPr>
              <w:widowControl/>
              <w:spacing w:line="360" w:lineRule="auto"/>
              <w:rPr>
                <w:rFonts w:ascii="宋体" w:hAnsi="宋体" w:cs="宋体"/>
                <w:sz w:val="24"/>
                <w:szCs w:val="24"/>
              </w:rPr>
            </w:pPr>
            <w:r>
              <w:rPr>
                <w:rFonts w:hint="eastAsia" w:ascii="宋体" w:hAnsi="宋体" w:cs="宋体"/>
                <w:sz w:val="24"/>
                <w:szCs w:val="24"/>
              </w:rPr>
              <w:t>3.投标人提供业主单位使用该信息化服务系统的使用证明或评价证明，每提供一个得1分，最多得5分。</w:t>
            </w:r>
          </w:p>
          <w:p>
            <w:pPr>
              <w:widowControl/>
              <w:spacing w:line="360" w:lineRule="auto"/>
              <w:rPr>
                <w:rFonts w:ascii="宋体" w:hAnsi="宋体" w:cs="宋体"/>
                <w:sz w:val="24"/>
                <w:szCs w:val="24"/>
              </w:rPr>
            </w:pPr>
            <w:r>
              <w:rPr>
                <w:rFonts w:hint="eastAsia" w:ascii="宋体" w:hAnsi="宋体" w:cs="宋体"/>
                <w:sz w:val="24"/>
                <w:szCs w:val="24"/>
              </w:rPr>
              <w:t>（说明：1.以上要求的模块、功能需提供系统截图；2.提供业主单位使用信息化系统</w:t>
            </w:r>
            <w:r>
              <w:rPr>
                <w:rFonts w:hint="eastAsia" w:ascii="宋体" w:hAnsi="宋体" w:cs="宋体"/>
                <w:sz w:val="24"/>
                <w:szCs w:val="24"/>
                <w:lang w:eastAsia="zh-CN"/>
              </w:rPr>
              <w:t>的</w:t>
            </w:r>
            <w:r>
              <w:rPr>
                <w:rFonts w:hint="eastAsia" w:ascii="宋体" w:hAnsi="宋体" w:cs="宋体"/>
                <w:sz w:val="24"/>
                <w:szCs w:val="24"/>
              </w:rPr>
              <w:t>使用证明）</w:t>
            </w:r>
          </w:p>
        </w:tc>
        <w:tc>
          <w:tcPr>
            <w:tcW w:w="1176" w:type="dxa"/>
            <w:vMerge w:val="continue"/>
            <w:vAlign w:val="center"/>
          </w:tcPr>
          <w:p>
            <w:pPr>
              <w:spacing w:line="360" w:lineRule="auto"/>
              <w:rPr>
                <w:rFonts w:ascii="宋体" w:hAnsi="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 w:type="dxa"/>
            <w:vMerge w:val="continue"/>
            <w:vAlign w:val="center"/>
          </w:tcPr>
          <w:p>
            <w:pPr>
              <w:widowControl/>
              <w:spacing w:line="360" w:lineRule="auto"/>
              <w:jc w:val="left"/>
              <w:rPr>
                <w:rFonts w:ascii="宋体" w:hAnsi="宋体" w:cs="宋体"/>
                <w:sz w:val="24"/>
                <w:szCs w:val="24"/>
              </w:rPr>
            </w:pPr>
          </w:p>
        </w:tc>
        <w:tc>
          <w:tcPr>
            <w:tcW w:w="1176" w:type="dxa"/>
            <w:vMerge w:val="continue"/>
            <w:vAlign w:val="center"/>
          </w:tcPr>
          <w:p>
            <w:pPr>
              <w:widowControl/>
              <w:spacing w:line="360" w:lineRule="auto"/>
              <w:jc w:val="left"/>
              <w:rPr>
                <w:rFonts w:ascii="宋体" w:hAnsi="宋体" w:cs="宋体"/>
                <w:sz w:val="24"/>
                <w:szCs w:val="24"/>
              </w:rPr>
            </w:pPr>
          </w:p>
        </w:tc>
        <w:tc>
          <w:tcPr>
            <w:tcW w:w="69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设施设备方案（4分）</w:t>
            </w:r>
          </w:p>
        </w:tc>
        <w:tc>
          <w:tcPr>
            <w:tcW w:w="4791" w:type="dxa"/>
            <w:vAlign w:val="center"/>
          </w:tcPr>
          <w:p>
            <w:pPr>
              <w:widowControl/>
              <w:spacing w:line="360" w:lineRule="auto"/>
              <w:rPr>
                <w:rFonts w:ascii="宋体" w:hAnsi="宋体" w:cs="宋体"/>
                <w:sz w:val="24"/>
                <w:szCs w:val="24"/>
              </w:rPr>
            </w:pPr>
            <w:r>
              <w:rPr>
                <w:rFonts w:hint="eastAsia" w:ascii="宋体" w:hAnsi="宋体" w:cs="宋体"/>
                <w:sz w:val="24"/>
                <w:szCs w:val="24"/>
              </w:rPr>
              <w:t>根据投标人提供的设施设备方案进行评分。</w:t>
            </w:r>
          </w:p>
          <w:p>
            <w:pPr>
              <w:widowControl/>
              <w:spacing w:line="360" w:lineRule="auto"/>
              <w:rPr>
                <w:rFonts w:ascii="宋体" w:hAnsi="宋体" w:cs="宋体"/>
                <w:sz w:val="24"/>
                <w:szCs w:val="24"/>
              </w:rPr>
            </w:pPr>
            <w:r>
              <w:rPr>
                <w:rFonts w:hint="eastAsia" w:ascii="宋体" w:hAnsi="宋体" w:cs="宋体"/>
                <w:sz w:val="24"/>
                <w:szCs w:val="24"/>
              </w:rPr>
              <w:t>1.投标人针对本项目提供的设备、工具、耗材配置方案（包含设备、工具、耗材的种类明细、数量、品牌）内容清晰合理且描述科学、规范、切实可行、满足服务需求得2分；每缺一项或每有一项不符合该项目服务要求的扣1分，最多扣2分；</w:t>
            </w:r>
          </w:p>
          <w:p>
            <w:pPr>
              <w:widowControl/>
              <w:spacing w:line="360" w:lineRule="auto"/>
              <w:rPr>
                <w:rFonts w:ascii="宋体" w:hAnsi="宋体" w:cs="宋体"/>
                <w:sz w:val="24"/>
                <w:szCs w:val="24"/>
              </w:rPr>
            </w:pPr>
            <w:r>
              <w:rPr>
                <w:rFonts w:hint="eastAsia" w:ascii="宋体" w:hAnsi="宋体" w:cs="宋体"/>
                <w:sz w:val="24"/>
                <w:szCs w:val="24"/>
              </w:rPr>
              <w:t>2.投标人针对本项目所提供的药剂配置方案（包含①配置的药剂种类和品牌，②药剂的使用方案以及是否具有安全数据卡等），内容清晰合理且描述科学、规范、切实可行、满足服务需求得2分；每缺一项或每有一项不符合该项目服务要求的扣1分，最多扣2分；</w:t>
            </w:r>
          </w:p>
        </w:tc>
        <w:tc>
          <w:tcPr>
            <w:tcW w:w="1176" w:type="dxa"/>
            <w:vMerge w:val="continue"/>
            <w:vAlign w:val="center"/>
          </w:tcPr>
          <w:p>
            <w:pPr>
              <w:spacing w:line="360" w:lineRule="auto"/>
              <w:rPr>
                <w:rFonts w:ascii="宋体" w:hAnsi="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 w:type="dxa"/>
            <w:vMerge w:val="continue"/>
            <w:vAlign w:val="center"/>
          </w:tcPr>
          <w:p>
            <w:pPr>
              <w:widowControl/>
              <w:spacing w:line="360" w:lineRule="auto"/>
              <w:jc w:val="left"/>
              <w:rPr>
                <w:rFonts w:ascii="宋体" w:hAnsi="宋体" w:cs="宋体"/>
                <w:sz w:val="24"/>
                <w:szCs w:val="24"/>
              </w:rPr>
            </w:pPr>
          </w:p>
        </w:tc>
        <w:tc>
          <w:tcPr>
            <w:tcW w:w="1176" w:type="dxa"/>
            <w:vMerge w:val="continue"/>
            <w:vAlign w:val="center"/>
          </w:tcPr>
          <w:p>
            <w:pPr>
              <w:widowControl/>
              <w:spacing w:line="360" w:lineRule="auto"/>
              <w:jc w:val="left"/>
              <w:rPr>
                <w:rFonts w:ascii="宋体" w:hAnsi="宋体" w:cs="宋体"/>
                <w:sz w:val="24"/>
                <w:szCs w:val="24"/>
              </w:rPr>
            </w:pPr>
          </w:p>
        </w:tc>
        <w:tc>
          <w:tcPr>
            <w:tcW w:w="69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合理化建议方案（8分）</w:t>
            </w:r>
          </w:p>
        </w:tc>
        <w:tc>
          <w:tcPr>
            <w:tcW w:w="4791" w:type="dxa"/>
            <w:vAlign w:val="center"/>
          </w:tcPr>
          <w:p>
            <w:pPr>
              <w:widowControl/>
              <w:spacing w:line="360" w:lineRule="auto"/>
              <w:rPr>
                <w:rFonts w:ascii="宋体" w:hAnsi="宋体" w:cs="宋体"/>
                <w:sz w:val="24"/>
                <w:szCs w:val="24"/>
              </w:rPr>
            </w:pPr>
            <w:r>
              <w:rPr>
                <w:rFonts w:hint="eastAsia" w:ascii="宋体" w:hAnsi="宋体" w:cs="宋体"/>
                <w:sz w:val="24"/>
                <w:szCs w:val="24"/>
              </w:rPr>
              <w:t>根据投标人提出针对本项目的合理化建议方案进行评分。</w:t>
            </w:r>
          </w:p>
          <w:p>
            <w:pPr>
              <w:widowControl/>
              <w:spacing w:line="360" w:lineRule="auto"/>
              <w:rPr>
                <w:rFonts w:hint="eastAsia" w:ascii="宋体" w:hAnsi="宋体" w:eastAsia="宋体" w:cs="宋体"/>
                <w:sz w:val="24"/>
                <w:szCs w:val="24"/>
                <w:lang w:eastAsia="zh-CN"/>
              </w:rPr>
            </w:pPr>
            <w:r>
              <w:rPr>
                <w:rFonts w:hint="eastAsia" w:ascii="宋体" w:hAnsi="宋体" w:cs="宋体"/>
                <w:sz w:val="24"/>
                <w:szCs w:val="24"/>
              </w:rPr>
              <w:t>1.投标人针对本项目提出的合理化建议（包含①患者满意度提升、②职工满意度提升、③控烟管理</w:t>
            </w:r>
            <w:r>
              <w:rPr>
                <w:rFonts w:hint="eastAsia" w:ascii="宋体" w:hAnsi="宋体" w:cs="宋体"/>
                <w:sz w:val="24"/>
                <w:szCs w:val="24"/>
                <w:lang w:eastAsia="zh-CN"/>
              </w:rPr>
              <w:t>方面</w:t>
            </w:r>
            <w:r>
              <w:rPr>
                <w:rFonts w:hint="eastAsia" w:ascii="宋体" w:hAnsi="宋体" w:cs="宋体"/>
                <w:sz w:val="24"/>
                <w:szCs w:val="24"/>
              </w:rPr>
              <w:t>、④服务创新方面），内容齐全、清晰合理且具有针对性，经评标委员会认可的合理化建议，每有一条得2分，最多得8分</w:t>
            </w:r>
            <w:r>
              <w:rPr>
                <w:rFonts w:hint="eastAsia" w:ascii="宋体" w:hAnsi="宋体" w:cs="宋体"/>
                <w:sz w:val="24"/>
                <w:szCs w:val="24"/>
                <w:lang w:eastAsia="zh-CN"/>
              </w:rPr>
              <w:t>。</w:t>
            </w:r>
          </w:p>
        </w:tc>
        <w:tc>
          <w:tcPr>
            <w:tcW w:w="1176" w:type="dxa"/>
            <w:vMerge w:val="continue"/>
            <w:vAlign w:val="center"/>
          </w:tcPr>
          <w:p>
            <w:pPr>
              <w:spacing w:line="360" w:lineRule="auto"/>
              <w:rPr>
                <w:rFonts w:ascii="宋体" w:hAnsi="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 w:type="dxa"/>
            <w:vMerge w:val="continue"/>
            <w:vAlign w:val="center"/>
          </w:tcPr>
          <w:p>
            <w:pPr>
              <w:widowControl/>
              <w:spacing w:line="360" w:lineRule="auto"/>
              <w:jc w:val="left"/>
              <w:rPr>
                <w:rFonts w:ascii="宋体" w:hAnsi="宋体" w:cs="宋体"/>
                <w:sz w:val="24"/>
                <w:szCs w:val="24"/>
              </w:rPr>
            </w:pPr>
          </w:p>
        </w:tc>
        <w:tc>
          <w:tcPr>
            <w:tcW w:w="1176" w:type="dxa"/>
            <w:vMerge w:val="continue"/>
            <w:vAlign w:val="center"/>
          </w:tcPr>
          <w:p>
            <w:pPr>
              <w:widowControl/>
              <w:spacing w:line="360" w:lineRule="auto"/>
              <w:jc w:val="left"/>
              <w:rPr>
                <w:rFonts w:ascii="宋体" w:hAnsi="宋体" w:cs="宋体"/>
                <w:sz w:val="24"/>
                <w:szCs w:val="24"/>
              </w:rPr>
            </w:pPr>
          </w:p>
        </w:tc>
        <w:tc>
          <w:tcPr>
            <w:tcW w:w="69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应急处置  方案</w:t>
            </w:r>
            <w:r>
              <w:rPr>
                <w:rFonts w:hint="eastAsia" w:ascii="宋体" w:hAnsi="宋体" w:cs="宋体"/>
                <w:sz w:val="24"/>
                <w:szCs w:val="24"/>
              </w:rPr>
              <w:br w:type="textWrapping"/>
            </w:r>
            <w:r>
              <w:rPr>
                <w:rFonts w:hint="eastAsia" w:ascii="宋体" w:hAnsi="宋体" w:cs="宋体"/>
                <w:sz w:val="24"/>
                <w:szCs w:val="24"/>
              </w:rPr>
              <w:t>（4分）</w:t>
            </w:r>
          </w:p>
        </w:tc>
        <w:tc>
          <w:tcPr>
            <w:tcW w:w="4791" w:type="dxa"/>
            <w:vAlign w:val="center"/>
          </w:tcPr>
          <w:p>
            <w:pPr>
              <w:widowControl/>
              <w:spacing w:line="360" w:lineRule="auto"/>
              <w:jc w:val="left"/>
              <w:rPr>
                <w:rFonts w:ascii="宋体" w:hAnsi="宋体" w:cs="宋体"/>
                <w:sz w:val="24"/>
                <w:szCs w:val="24"/>
              </w:rPr>
            </w:pPr>
            <w:r>
              <w:rPr>
                <w:rFonts w:hint="eastAsia" w:ascii="宋体" w:hAnsi="宋体" w:cs="宋体"/>
                <w:sz w:val="24"/>
                <w:szCs w:val="24"/>
              </w:rPr>
              <w:t>1.投标人提供了应急预案的组织机构、人员储备、紧急联系方式、应急响应流程的，得1分。</w:t>
            </w:r>
          </w:p>
          <w:p>
            <w:pPr>
              <w:widowControl/>
              <w:spacing w:line="360" w:lineRule="auto"/>
              <w:jc w:val="left"/>
              <w:rPr>
                <w:rFonts w:ascii="宋体" w:hAnsi="宋体" w:cs="宋体"/>
                <w:sz w:val="24"/>
                <w:szCs w:val="24"/>
              </w:rPr>
            </w:pPr>
            <w:r>
              <w:rPr>
                <w:rFonts w:hint="eastAsia" w:ascii="宋体" w:hAnsi="宋体" w:cs="宋体"/>
                <w:sz w:val="24"/>
                <w:szCs w:val="24"/>
              </w:rPr>
              <w:t>2.应急方案中体现自然灾害应急方案、公共卫生事件应急方案、医疗废物泄漏（扩散）应急方案、 火灾应急方案、标本及药物运送途中丢失应急方案、设备故障应急方案6个方面，每具备一个方案且能够满足服务需求，具有全面性、可预见性、可操作性的，得0.5分，最多得3分。</w:t>
            </w:r>
          </w:p>
        </w:tc>
        <w:tc>
          <w:tcPr>
            <w:tcW w:w="1176" w:type="dxa"/>
            <w:vMerge w:val="continue"/>
            <w:vAlign w:val="center"/>
          </w:tcPr>
          <w:p>
            <w:pPr>
              <w:widowControl/>
              <w:spacing w:line="360" w:lineRule="auto"/>
              <w:jc w:val="left"/>
              <w:rPr>
                <w:rFonts w:ascii="宋体" w:hAnsi="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3</w:t>
            </w:r>
          </w:p>
        </w:tc>
        <w:tc>
          <w:tcPr>
            <w:tcW w:w="117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服务专业技术与能力</w:t>
            </w:r>
            <w:r>
              <w:rPr>
                <w:rFonts w:hint="eastAsia" w:ascii="宋体" w:hAnsi="宋体" w:cs="宋体"/>
                <w:sz w:val="24"/>
                <w:szCs w:val="24"/>
                <w:lang w:val="en-US" w:eastAsia="zh-CN"/>
              </w:rPr>
              <w:t>1</w:t>
            </w:r>
            <w:r>
              <w:rPr>
                <w:rFonts w:hint="eastAsia" w:ascii="宋体" w:hAnsi="宋体" w:cs="宋体"/>
                <w:sz w:val="24"/>
                <w:szCs w:val="24"/>
              </w:rPr>
              <w:t>%</w:t>
            </w:r>
          </w:p>
        </w:tc>
        <w:tc>
          <w:tcPr>
            <w:tcW w:w="696" w:type="dxa"/>
            <w:vAlign w:val="center"/>
          </w:tcPr>
          <w:p>
            <w:pPr>
              <w:widowControl/>
              <w:spacing w:line="360" w:lineRule="auto"/>
              <w:jc w:val="center"/>
              <w:rPr>
                <w:rFonts w:ascii="宋体" w:hAnsi="宋体" w:cs="宋体"/>
                <w:sz w:val="24"/>
                <w:szCs w:val="24"/>
              </w:rPr>
            </w:pPr>
            <w:r>
              <w:rPr>
                <w:rFonts w:hint="eastAsia" w:ascii="宋体" w:hAnsi="宋体" w:cs="宋体"/>
                <w:sz w:val="24"/>
                <w:szCs w:val="24"/>
                <w:lang w:val="en-US" w:eastAsia="zh-CN"/>
              </w:rPr>
              <w:t>1</w:t>
            </w:r>
            <w:r>
              <w:rPr>
                <w:rFonts w:hint="eastAsia" w:ascii="宋体" w:hAnsi="宋体" w:cs="宋体"/>
                <w:sz w:val="24"/>
                <w:szCs w:val="24"/>
              </w:rPr>
              <w:t>分</w:t>
            </w:r>
          </w:p>
        </w:tc>
        <w:tc>
          <w:tcPr>
            <w:tcW w:w="4791" w:type="dxa"/>
            <w:vAlign w:val="center"/>
          </w:tcPr>
          <w:p>
            <w:pPr>
              <w:widowControl/>
              <w:spacing w:line="360" w:lineRule="auto"/>
              <w:rPr>
                <w:rFonts w:ascii="宋体" w:hAnsi="宋体" w:cs="宋体"/>
                <w:sz w:val="24"/>
                <w:szCs w:val="24"/>
              </w:rPr>
            </w:pPr>
            <w:r>
              <w:rPr>
                <w:rFonts w:hint="eastAsia" w:ascii="宋体" w:hAnsi="宋体" w:cs="宋体"/>
                <w:sz w:val="24"/>
                <w:szCs w:val="24"/>
              </w:rPr>
              <w:t>投标人拟派本项目的管理服务团队中：</w:t>
            </w:r>
          </w:p>
          <w:p>
            <w:pPr>
              <w:widowControl/>
              <w:spacing w:line="360" w:lineRule="auto"/>
              <w:jc w:val="left"/>
              <w:rPr>
                <w:rFonts w:ascii="宋体" w:hAnsi="宋体" w:cs="宋体"/>
                <w:sz w:val="24"/>
                <w:szCs w:val="24"/>
              </w:rPr>
            </w:pPr>
            <w:r>
              <w:rPr>
                <w:rFonts w:hint="eastAsia" w:ascii="宋体" w:hAnsi="宋体" w:cs="宋体"/>
                <w:sz w:val="24"/>
                <w:szCs w:val="24"/>
              </w:rPr>
              <w:t>1、投标人拟派本项目的项目经理、保洁主管、运送主管具有大学专科及以上学历的，得1分。（说明：1.提供以上人员的学历证明；2. 提供以上人员为本单位正式员工的相关证明材料。）</w:t>
            </w:r>
          </w:p>
        </w:tc>
        <w:tc>
          <w:tcPr>
            <w:tcW w:w="1176" w:type="dxa"/>
            <w:vAlign w:val="center"/>
          </w:tcPr>
          <w:p>
            <w:pPr>
              <w:widowControl/>
              <w:spacing w:line="360" w:lineRule="auto"/>
              <w:jc w:val="left"/>
              <w:rPr>
                <w:rFonts w:ascii="宋体" w:hAnsi="宋体" w:cs="宋体"/>
                <w:sz w:val="24"/>
                <w:szCs w:val="24"/>
              </w:rPr>
            </w:pPr>
            <w:r>
              <w:rPr>
                <w:rFonts w:hint="eastAsia" w:ascii="宋体" w:hAnsi="宋体" w:cs="宋体"/>
                <w:sz w:val="24"/>
                <w:szCs w:val="24"/>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4</w:t>
            </w:r>
          </w:p>
        </w:tc>
        <w:tc>
          <w:tcPr>
            <w:tcW w:w="1176" w:type="dxa"/>
            <w:vAlign w:val="center"/>
          </w:tcPr>
          <w:p>
            <w:pPr>
              <w:widowControl/>
              <w:spacing w:line="360" w:lineRule="auto"/>
              <w:jc w:val="left"/>
              <w:rPr>
                <w:rFonts w:ascii="宋体" w:hAnsi="宋体" w:cs="宋体"/>
                <w:sz w:val="24"/>
                <w:szCs w:val="24"/>
              </w:rPr>
            </w:pPr>
            <w:r>
              <w:rPr>
                <w:rFonts w:hint="eastAsia" w:ascii="宋体" w:hAnsi="宋体" w:cs="宋体"/>
                <w:sz w:val="24"/>
                <w:szCs w:val="24"/>
              </w:rPr>
              <w:t>投标人业绩（10%）</w:t>
            </w:r>
          </w:p>
        </w:tc>
        <w:tc>
          <w:tcPr>
            <w:tcW w:w="69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10分</w:t>
            </w:r>
          </w:p>
        </w:tc>
        <w:tc>
          <w:tcPr>
            <w:tcW w:w="4791" w:type="dxa"/>
            <w:vAlign w:val="center"/>
          </w:tcPr>
          <w:p>
            <w:pPr>
              <w:widowControl/>
              <w:spacing w:line="360" w:lineRule="auto"/>
              <w:jc w:val="left"/>
              <w:rPr>
                <w:rFonts w:hint="eastAsia" w:ascii="宋体" w:hAnsi="宋体" w:cs="宋体"/>
                <w:sz w:val="24"/>
                <w:szCs w:val="24"/>
              </w:rPr>
            </w:pPr>
            <w:r>
              <w:rPr>
                <w:rFonts w:hint="eastAsia" w:ascii="宋体" w:hAnsi="宋体" w:cs="宋体"/>
                <w:sz w:val="24"/>
                <w:szCs w:val="24"/>
              </w:rPr>
              <w:t>投标人自2018年1月1日（含1日）以后，每具有1个</w:t>
            </w:r>
            <w:r>
              <w:rPr>
                <w:rFonts w:hint="eastAsia" w:ascii="宋体" w:hAnsi="宋体" w:cs="宋体"/>
                <w:sz w:val="24"/>
                <w:szCs w:val="24"/>
                <w:lang w:eastAsia="zh-CN"/>
              </w:rPr>
              <w:t>非住宅类物业管理服务项目业绩</w:t>
            </w:r>
            <w:r>
              <w:rPr>
                <w:rFonts w:hint="eastAsia" w:ascii="宋体" w:hAnsi="宋体" w:cs="宋体"/>
                <w:sz w:val="24"/>
                <w:szCs w:val="24"/>
              </w:rPr>
              <w:t>，服务内容包括保洁服务（清洁服务）和运送服务（中央运送服务、中央运输服务）的得</w:t>
            </w:r>
            <w:r>
              <w:rPr>
                <w:rFonts w:hint="eastAsia" w:ascii="宋体" w:hAnsi="宋体" w:cs="宋体"/>
                <w:sz w:val="24"/>
                <w:szCs w:val="24"/>
                <w:lang w:val="en-US" w:eastAsia="zh-CN"/>
              </w:rPr>
              <w:t>1</w:t>
            </w:r>
            <w:r>
              <w:rPr>
                <w:rFonts w:hint="eastAsia" w:ascii="宋体" w:hAnsi="宋体" w:cs="宋体"/>
                <w:sz w:val="24"/>
                <w:szCs w:val="24"/>
              </w:rPr>
              <w:t>分</w:t>
            </w:r>
            <w:r>
              <w:rPr>
                <w:rFonts w:hint="eastAsia" w:ascii="宋体" w:hAnsi="宋体" w:cs="宋体"/>
                <w:sz w:val="24"/>
                <w:szCs w:val="24"/>
                <w:lang w:eastAsia="zh-CN"/>
              </w:rPr>
              <w:t>，</w:t>
            </w:r>
            <w:r>
              <w:rPr>
                <w:rFonts w:hint="eastAsia" w:ascii="宋体" w:hAnsi="宋体" w:cs="宋体"/>
                <w:sz w:val="24"/>
                <w:szCs w:val="24"/>
              </w:rPr>
              <w:t>本项最多得10分。</w:t>
            </w:r>
          </w:p>
          <w:p>
            <w:pPr>
              <w:widowControl/>
              <w:spacing w:line="360" w:lineRule="auto"/>
              <w:jc w:val="left"/>
              <w:rPr>
                <w:rFonts w:ascii="宋体" w:hAnsi="宋体" w:cs="宋体"/>
                <w:sz w:val="24"/>
                <w:szCs w:val="24"/>
              </w:rPr>
            </w:pPr>
            <w:r>
              <w:rPr>
                <w:rFonts w:hint="eastAsia" w:ascii="宋体" w:hAnsi="宋体" w:cs="宋体"/>
                <w:sz w:val="24"/>
                <w:szCs w:val="24"/>
              </w:rPr>
              <w:t>（说明：1、提供合同复印件、业主单位评价证明复印件2、同一业主的多个合同，按一个业绩计算。）</w:t>
            </w:r>
          </w:p>
          <w:p>
            <w:pPr>
              <w:widowControl/>
              <w:spacing w:line="360" w:lineRule="auto"/>
              <w:jc w:val="left"/>
              <w:rPr>
                <w:rFonts w:ascii="宋体" w:hAnsi="宋体" w:cs="宋体"/>
                <w:sz w:val="24"/>
                <w:szCs w:val="24"/>
              </w:rPr>
            </w:pPr>
          </w:p>
        </w:tc>
        <w:tc>
          <w:tcPr>
            <w:tcW w:w="1176" w:type="dxa"/>
            <w:vAlign w:val="center"/>
          </w:tcPr>
          <w:p>
            <w:pPr>
              <w:widowControl/>
              <w:spacing w:line="360" w:lineRule="auto"/>
              <w:jc w:val="left"/>
              <w:rPr>
                <w:rFonts w:ascii="宋体" w:hAnsi="宋体" w:cs="宋体"/>
                <w:sz w:val="24"/>
                <w:szCs w:val="24"/>
              </w:rPr>
            </w:pPr>
            <w:r>
              <w:rPr>
                <w:rFonts w:hint="eastAsia" w:ascii="宋体" w:hAnsi="宋体" w:cs="宋体"/>
                <w:sz w:val="24"/>
                <w:szCs w:val="24"/>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5</w:t>
            </w:r>
          </w:p>
        </w:tc>
        <w:tc>
          <w:tcPr>
            <w:tcW w:w="1176" w:type="dxa"/>
            <w:vAlign w:val="center"/>
          </w:tcPr>
          <w:p>
            <w:pPr>
              <w:widowControl/>
              <w:spacing w:line="360" w:lineRule="auto"/>
              <w:jc w:val="left"/>
              <w:rPr>
                <w:rFonts w:ascii="宋体" w:hAnsi="宋体" w:cs="宋体"/>
                <w:sz w:val="24"/>
                <w:szCs w:val="24"/>
              </w:rPr>
            </w:pPr>
            <w:r>
              <w:rPr>
                <w:rFonts w:hint="eastAsia" w:ascii="宋体" w:hAnsi="宋体" w:cs="宋体"/>
                <w:sz w:val="24"/>
                <w:szCs w:val="24"/>
              </w:rPr>
              <w:t>投标人综合评价（5%）</w:t>
            </w:r>
          </w:p>
        </w:tc>
        <w:tc>
          <w:tcPr>
            <w:tcW w:w="69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5分</w:t>
            </w:r>
          </w:p>
        </w:tc>
        <w:tc>
          <w:tcPr>
            <w:tcW w:w="4791" w:type="dxa"/>
            <w:vAlign w:val="center"/>
          </w:tcPr>
          <w:p>
            <w:pPr>
              <w:widowControl/>
              <w:spacing w:line="360" w:lineRule="auto"/>
              <w:jc w:val="left"/>
              <w:rPr>
                <w:rFonts w:ascii="宋体" w:hAnsi="宋体" w:cs="宋体"/>
                <w:sz w:val="24"/>
                <w:szCs w:val="24"/>
              </w:rPr>
            </w:pPr>
            <w:r>
              <w:rPr>
                <w:rFonts w:hint="eastAsia" w:ascii="宋体" w:hAnsi="宋体" w:cs="宋体"/>
                <w:sz w:val="24"/>
                <w:szCs w:val="24"/>
              </w:rPr>
              <w:t>投标人自2018年1月1日（含1日）以后，每具有1个</w:t>
            </w:r>
            <w:r>
              <w:rPr>
                <w:rFonts w:hint="eastAsia" w:ascii="宋体" w:hAnsi="宋体" w:cs="宋体"/>
                <w:sz w:val="24"/>
                <w:szCs w:val="24"/>
                <w:lang w:eastAsia="zh-CN"/>
              </w:rPr>
              <w:t>类似中央运输、保洁</w:t>
            </w:r>
            <w:r>
              <w:rPr>
                <w:rFonts w:hint="eastAsia" w:ascii="宋体" w:hAnsi="宋体" w:cs="宋体"/>
                <w:sz w:val="24"/>
                <w:szCs w:val="24"/>
              </w:rPr>
              <w:t>服务业绩，服务内容包括保洁服务（清洁服务）和运送服务（中央运送服务、中央运输服务）的物业管理服务业绩且业主综合评价为满意或优秀或相同语意内容证明的，得1分，本项最多得5分。</w:t>
            </w:r>
          </w:p>
          <w:p>
            <w:pPr>
              <w:widowControl/>
              <w:spacing w:line="360" w:lineRule="auto"/>
              <w:jc w:val="left"/>
              <w:rPr>
                <w:rFonts w:ascii="宋体" w:hAnsi="宋体" w:cs="宋体"/>
                <w:sz w:val="24"/>
                <w:szCs w:val="24"/>
              </w:rPr>
            </w:pPr>
            <w:r>
              <w:rPr>
                <w:rFonts w:hint="eastAsia" w:ascii="宋体" w:hAnsi="宋体" w:cs="宋体"/>
                <w:sz w:val="24"/>
                <w:szCs w:val="24"/>
              </w:rPr>
              <w:t>（说明：1.提供物业服务合同复印件和加盖项目业主鲜章的书面评价证明材料复印件；2.以业主单位评价时间为准。3.同一业主只计算一次。）</w:t>
            </w:r>
          </w:p>
        </w:tc>
        <w:tc>
          <w:tcPr>
            <w:tcW w:w="1176" w:type="dxa"/>
            <w:vAlign w:val="center"/>
          </w:tcPr>
          <w:p>
            <w:pPr>
              <w:widowControl/>
              <w:spacing w:line="360" w:lineRule="auto"/>
              <w:jc w:val="left"/>
              <w:rPr>
                <w:rFonts w:ascii="宋体" w:hAnsi="宋体" w:cs="宋体"/>
                <w:sz w:val="24"/>
                <w:szCs w:val="24"/>
              </w:rPr>
            </w:pPr>
            <w:r>
              <w:rPr>
                <w:rFonts w:hint="eastAsia" w:ascii="宋体" w:hAnsi="宋体" w:cs="宋体"/>
                <w:sz w:val="24"/>
                <w:szCs w:val="24"/>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6</w:t>
            </w:r>
          </w:p>
        </w:tc>
        <w:tc>
          <w:tcPr>
            <w:tcW w:w="117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管理体系（3%）</w:t>
            </w:r>
          </w:p>
        </w:tc>
        <w:tc>
          <w:tcPr>
            <w:tcW w:w="69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3分</w:t>
            </w:r>
          </w:p>
        </w:tc>
        <w:tc>
          <w:tcPr>
            <w:tcW w:w="4791" w:type="dxa"/>
            <w:vAlign w:val="center"/>
          </w:tcPr>
          <w:p>
            <w:pPr>
              <w:widowControl/>
              <w:spacing w:line="360" w:lineRule="auto"/>
              <w:jc w:val="left"/>
              <w:rPr>
                <w:rFonts w:ascii="宋体" w:hAnsi="宋体" w:cs="宋体"/>
                <w:sz w:val="24"/>
                <w:szCs w:val="24"/>
              </w:rPr>
            </w:pPr>
            <w:r>
              <w:rPr>
                <w:rFonts w:hint="eastAsia" w:ascii="宋体" w:hAnsi="宋体" w:cs="宋体"/>
                <w:sz w:val="24"/>
                <w:szCs w:val="24"/>
              </w:rPr>
              <w:t>1、投标人具有ISO9001质量管理体系认证的，得1分；</w:t>
            </w:r>
          </w:p>
          <w:p>
            <w:pPr>
              <w:widowControl/>
              <w:spacing w:line="360" w:lineRule="auto"/>
              <w:jc w:val="left"/>
              <w:rPr>
                <w:rFonts w:ascii="宋体" w:hAnsi="宋体" w:cs="宋体"/>
                <w:sz w:val="24"/>
                <w:szCs w:val="24"/>
              </w:rPr>
            </w:pPr>
            <w:r>
              <w:rPr>
                <w:rFonts w:hint="eastAsia" w:ascii="宋体" w:hAnsi="宋体" w:cs="宋体"/>
                <w:sz w:val="24"/>
                <w:szCs w:val="24"/>
              </w:rPr>
              <w:t>2、投标人具有ISO14001环境管理体系认证的，得1分；</w:t>
            </w:r>
          </w:p>
          <w:p>
            <w:pPr>
              <w:widowControl/>
              <w:spacing w:line="360" w:lineRule="auto"/>
              <w:jc w:val="left"/>
              <w:rPr>
                <w:rFonts w:ascii="宋体" w:hAnsi="宋体" w:cs="宋体"/>
                <w:sz w:val="24"/>
                <w:szCs w:val="24"/>
              </w:rPr>
            </w:pPr>
            <w:r>
              <w:rPr>
                <w:rFonts w:hint="eastAsia" w:ascii="宋体" w:hAnsi="宋体" w:cs="宋体"/>
                <w:sz w:val="24"/>
                <w:szCs w:val="24"/>
              </w:rPr>
              <w:t>3、投标人具有ISO45001职业健康安全管理体系认证，得1分。</w:t>
            </w:r>
          </w:p>
          <w:p>
            <w:pPr>
              <w:widowControl/>
              <w:spacing w:line="360" w:lineRule="auto"/>
              <w:jc w:val="left"/>
              <w:rPr>
                <w:rFonts w:ascii="宋体" w:hAnsi="宋体" w:cs="宋体"/>
                <w:color w:val="FF0000"/>
                <w:sz w:val="24"/>
                <w:szCs w:val="24"/>
              </w:rPr>
            </w:pPr>
            <w:r>
              <w:rPr>
                <w:rFonts w:hint="eastAsia" w:ascii="宋体" w:hAnsi="宋体" w:cs="宋体"/>
                <w:sz w:val="24"/>
                <w:szCs w:val="24"/>
              </w:rPr>
              <w:t>（说明：提供有效证书扫描件并加盖投标人公章）</w:t>
            </w:r>
          </w:p>
        </w:tc>
        <w:tc>
          <w:tcPr>
            <w:tcW w:w="1176" w:type="dxa"/>
            <w:vAlign w:val="center"/>
          </w:tcPr>
          <w:p>
            <w:pPr>
              <w:widowControl/>
              <w:spacing w:line="360" w:lineRule="auto"/>
              <w:jc w:val="left"/>
              <w:rPr>
                <w:rFonts w:ascii="宋体" w:hAnsi="宋体" w:cs="宋体"/>
                <w:sz w:val="24"/>
                <w:szCs w:val="24"/>
              </w:rPr>
            </w:pPr>
            <w:r>
              <w:rPr>
                <w:rFonts w:hint="eastAsia" w:ascii="宋体" w:hAnsi="宋体" w:cs="宋体"/>
                <w:sz w:val="24"/>
                <w:szCs w:val="24"/>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7</w:t>
            </w:r>
          </w:p>
        </w:tc>
        <w:tc>
          <w:tcPr>
            <w:tcW w:w="117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扶持少数民族和欠发达地区（0.5%）</w:t>
            </w:r>
          </w:p>
        </w:tc>
        <w:tc>
          <w:tcPr>
            <w:tcW w:w="69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0.5分</w:t>
            </w:r>
          </w:p>
        </w:tc>
        <w:tc>
          <w:tcPr>
            <w:tcW w:w="4791" w:type="dxa"/>
            <w:vAlign w:val="center"/>
          </w:tcPr>
          <w:p>
            <w:pPr>
              <w:widowControl/>
              <w:spacing w:line="360" w:lineRule="auto"/>
              <w:ind w:firstLine="480" w:firstLineChars="200"/>
              <w:jc w:val="left"/>
              <w:rPr>
                <w:rFonts w:ascii="宋体" w:hAnsi="宋体" w:cs="宋体"/>
                <w:sz w:val="24"/>
                <w:szCs w:val="24"/>
              </w:rPr>
            </w:pPr>
            <w:r>
              <w:rPr>
                <w:rFonts w:hint="eastAsia" w:ascii="宋体" w:hAnsi="宋体" w:cs="宋体"/>
                <w:sz w:val="24"/>
                <w:szCs w:val="24"/>
              </w:rPr>
              <w:t>投标人注册地为国家认定的不发达和少数民族地区的，得</w:t>
            </w:r>
            <w:r>
              <w:rPr>
                <w:rFonts w:hint="eastAsia" w:ascii="宋体" w:hAnsi="宋体" w:cs="宋体"/>
                <w:color w:val="auto"/>
                <w:sz w:val="24"/>
                <w:szCs w:val="24"/>
                <w:lang w:val="en-US" w:eastAsia="zh-CN"/>
              </w:rPr>
              <w:t>0.5</w:t>
            </w:r>
            <w:r>
              <w:rPr>
                <w:rFonts w:hint="eastAsia" w:ascii="宋体" w:hAnsi="宋体" w:cs="宋体"/>
                <w:sz w:val="24"/>
                <w:szCs w:val="24"/>
              </w:rPr>
              <w:t>分。（提供相关证明材料）</w:t>
            </w:r>
          </w:p>
        </w:tc>
        <w:tc>
          <w:tcPr>
            <w:tcW w:w="1176" w:type="dxa"/>
            <w:vAlign w:val="center"/>
          </w:tcPr>
          <w:p>
            <w:pPr>
              <w:widowControl/>
              <w:spacing w:line="360" w:lineRule="auto"/>
              <w:ind w:firstLine="480" w:firstLineChars="200"/>
              <w:jc w:val="left"/>
              <w:rPr>
                <w:rFonts w:ascii="宋体" w:hAnsi="宋体" w:cs="宋体"/>
                <w:sz w:val="24"/>
                <w:szCs w:val="24"/>
              </w:rPr>
            </w:pPr>
            <w:r>
              <w:rPr>
                <w:rFonts w:hint="eastAsia" w:ascii="宋体" w:hAnsi="宋体" w:cs="宋体"/>
                <w:sz w:val="24"/>
                <w:szCs w:val="24"/>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8</w:t>
            </w:r>
          </w:p>
        </w:tc>
        <w:tc>
          <w:tcPr>
            <w:tcW w:w="117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扶持贫困县地区（0.5%）</w:t>
            </w:r>
          </w:p>
        </w:tc>
        <w:tc>
          <w:tcPr>
            <w:tcW w:w="696" w:type="dxa"/>
            <w:vAlign w:val="center"/>
          </w:tcPr>
          <w:p>
            <w:pPr>
              <w:widowControl/>
              <w:spacing w:line="360" w:lineRule="auto"/>
              <w:jc w:val="center"/>
              <w:rPr>
                <w:rFonts w:ascii="宋体" w:hAnsi="宋体" w:cs="宋体"/>
                <w:sz w:val="24"/>
                <w:szCs w:val="24"/>
              </w:rPr>
            </w:pPr>
            <w:r>
              <w:rPr>
                <w:rFonts w:hint="eastAsia" w:ascii="宋体" w:hAnsi="宋体" w:cs="宋体"/>
                <w:sz w:val="24"/>
                <w:szCs w:val="24"/>
              </w:rPr>
              <w:t>0.5分</w:t>
            </w:r>
          </w:p>
        </w:tc>
        <w:tc>
          <w:tcPr>
            <w:tcW w:w="4791" w:type="dxa"/>
            <w:vAlign w:val="center"/>
          </w:tcPr>
          <w:p>
            <w:pPr>
              <w:widowControl/>
              <w:spacing w:line="360" w:lineRule="auto"/>
              <w:ind w:firstLine="480" w:firstLineChars="200"/>
              <w:jc w:val="left"/>
              <w:rPr>
                <w:rFonts w:ascii="宋体" w:hAnsi="宋体" w:cs="宋体"/>
                <w:sz w:val="24"/>
                <w:szCs w:val="24"/>
              </w:rPr>
            </w:pPr>
            <w:r>
              <w:rPr>
                <w:rFonts w:hint="eastAsia" w:ascii="宋体" w:hAnsi="宋体" w:cs="宋体"/>
                <w:sz w:val="24"/>
                <w:szCs w:val="24"/>
              </w:rPr>
              <w:t>投标人注册地在原832个国家级贫困县域内，且投标人聘用建档立卡贫困人员的,得0.5分。（说明：1、提供营业执照复印件，且注册地在原832个国家级贫困县域内；2、提供注册所在县扶贫部门出具的聘用建档立卡贫困人员具体数量的证明材料复印件）</w:t>
            </w:r>
          </w:p>
        </w:tc>
        <w:tc>
          <w:tcPr>
            <w:tcW w:w="1176" w:type="dxa"/>
            <w:vAlign w:val="center"/>
          </w:tcPr>
          <w:p>
            <w:pPr>
              <w:widowControl/>
              <w:spacing w:line="360" w:lineRule="auto"/>
              <w:ind w:firstLine="480" w:firstLineChars="200"/>
              <w:jc w:val="left"/>
              <w:rPr>
                <w:rFonts w:ascii="宋体" w:hAnsi="宋体" w:cs="宋体"/>
                <w:sz w:val="24"/>
                <w:szCs w:val="24"/>
              </w:rPr>
            </w:pPr>
            <w:r>
              <w:rPr>
                <w:rFonts w:hint="eastAsia" w:ascii="宋体" w:hAnsi="宋体" w:cs="宋体"/>
                <w:sz w:val="24"/>
                <w:szCs w:val="24"/>
              </w:rPr>
              <w:t>（共同评分因素）</w:t>
            </w:r>
          </w:p>
        </w:tc>
      </w:tr>
    </w:tbl>
    <w:p/>
    <w:p>
      <w:pPr>
        <w:spacing w:line="560" w:lineRule="exact"/>
        <w:ind w:firstLine="560" w:firstLineChars="200"/>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说明：</w:t>
      </w:r>
    </w:p>
    <w:p>
      <w:pPr>
        <w:spacing w:line="560" w:lineRule="exact"/>
        <w:ind w:firstLine="560" w:firstLineChars="200"/>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1、评分的取值按四舍五入法，保留小数点后两位；</w:t>
      </w:r>
    </w:p>
    <w:p>
      <w:pPr>
        <w:spacing w:line="560" w:lineRule="exact"/>
        <w:ind w:firstLine="560" w:firstLineChars="200"/>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2、评分标准中要求提供复印件的证明材料须清晰可辨。</w:t>
      </w:r>
    </w:p>
    <w:p>
      <w:pPr>
        <w:pStyle w:val="4"/>
        <w:numPr>
          <w:ilvl w:val="1"/>
          <w:numId w:val="4"/>
        </w:numPr>
        <w:spacing w:before="0" w:after="0" w:line="560" w:lineRule="exact"/>
        <w:ind w:left="2269" w:hanging="2127"/>
        <w:rPr>
          <w:color w:val="000000" w:themeColor="text1"/>
          <w14:textFill>
            <w14:solidFill>
              <w14:schemeClr w14:val="tx1"/>
            </w14:solidFill>
          </w14:textFill>
        </w:rPr>
      </w:pPr>
      <w:bookmarkStart w:id="330" w:name="_Toc320624265"/>
      <w:bookmarkEnd w:id="330"/>
      <w:bookmarkStart w:id="331" w:name="_Toc318206701"/>
      <w:bookmarkEnd w:id="331"/>
      <w:bookmarkStart w:id="332" w:name="_Toc320624255"/>
      <w:bookmarkEnd w:id="332"/>
      <w:bookmarkStart w:id="333" w:name="_Toc315871725"/>
      <w:bookmarkEnd w:id="333"/>
      <w:bookmarkStart w:id="334" w:name="_Toc320624275"/>
      <w:bookmarkEnd w:id="334"/>
      <w:bookmarkStart w:id="335" w:name="_Toc315871658"/>
      <w:bookmarkEnd w:id="335"/>
      <w:bookmarkStart w:id="336" w:name="_Toc320624295"/>
      <w:bookmarkEnd w:id="336"/>
      <w:bookmarkStart w:id="337" w:name="_Toc320624285"/>
      <w:bookmarkEnd w:id="337"/>
      <w:bookmarkStart w:id="338" w:name="_Toc315871657"/>
      <w:bookmarkEnd w:id="338"/>
      <w:bookmarkStart w:id="339" w:name="_Toc320624260"/>
      <w:bookmarkEnd w:id="339"/>
      <w:bookmarkStart w:id="340" w:name="_Toc320624240"/>
      <w:bookmarkEnd w:id="340"/>
      <w:bookmarkStart w:id="341" w:name="_Toc320624280"/>
      <w:bookmarkEnd w:id="341"/>
      <w:bookmarkStart w:id="342" w:name="_Toc320624290"/>
      <w:bookmarkEnd w:id="342"/>
      <w:bookmarkStart w:id="343" w:name="_Toc315871656"/>
      <w:bookmarkEnd w:id="343"/>
      <w:bookmarkStart w:id="344" w:name="_Toc27552"/>
      <w:bookmarkStart w:id="345" w:name="_Toc316292258"/>
      <w:bookmarkStart w:id="346" w:name="_Toc15076"/>
      <w:bookmarkStart w:id="347" w:name="_Toc315871726"/>
      <w:bookmarkStart w:id="348" w:name="_Toc18803"/>
      <w:bookmarkStart w:id="349" w:name="_Toc23841"/>
      <w:bookmarkStart w:id="350" w:name="_Toc19565"/>
      <w:bookmarkStart w:id="351" w:name="_Toc217446060"/>
      <w:r>
        <w:rPr>
          <w:rFonts w:hint="eastAsia"/>
          <w:color w:val="000000" w:themeColor="text1"/>
          <w14:textFill>
            <w14:solidFill>
              <w14:schemeClr w14:val="tx1"/>
            </w14:solidFill>
          </w14:textFill>
        </w:rPr>
        <w:t>废标</w:t>
      </w:r>
      <w:bookmarkEnd w:id="344"/>
      <w:bookmarkEnd w:id="345"/>
      <w:bookmarkEnd w:id="346"/>
      <w:bookmarkEnd w:id="347"/>
      <w:bookmarkEnd w:id="348"/>
      <w:bookmarkEnd w:id="349"/>
      <w:bookmarkEnd w:id="350"/>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本次政府采购活动中，出现下列情形之一的，予以废标：</w:t>
      </w:r>
    </w:p>
    <w:p>
      <w:pPr>
        <w:numPr>
          <w:ilvl w:val="0"/>
          <w:numId w:val="57"/>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符合专业条件的投标人或者对招标文件作实质响应的投标人不足三家的；</w:t>
      </w:r>
    </w:p>
    <w:p>
      <w:pPr>
        <w:numPr>
          <w:ilvl w:val="0"/>
          <w:numId w:val="57"/>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出现影响采购公正的违法、违规行为的；</w:t>
      </w:r>
    </w:p>
    <w:p>
      <w:pPr>
        <w:numPr>
          <w:ilvl w:val="0"/>
          <w:numId w:val="57"/>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投标人的报价均超过了采购预算，采购人不能支付的；</w:t>
      </w:r>
    </w:p>
    <w:p>
      <w:pPr>
        <w:numPr>
          <w:ilvl w:val="0"/>
          <w:numId w:val="57"/>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因重大变故，采购任务取消的；</w:t>
      </w:r>
    </w:p>
    <w:p>
      <w:pPr>
        <w:numPr>
          <w:ilvl w:val="0"/>
          <w:numId w:val="57"/>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废标后，区公资交易中心将在“四川政府采购网”和“成都市公共资源交易服务中心”网站上公告。</w:t>
      </w:r>
    </w:p>
    <w:p>
      <w:pPr>
        <w:pStyle w:val="4"/>
        <w:numPr>
          <w:ilvl w:val="1"/>
          <w:numId w:val="4"/>
        </w:numPr>
        <w:spacing w:before="0" w:after="0" w:line="560" w:lineRule="exact"/>
        <w:ind w:left="2269" w:hanging="2127"/>
        <w:rPr>
          <w:color w:val="000000" w:themeColor="text1"/>
          <w14:textFill>
            <w14:solidFill>
              <w14:schemeClr w14:val="tx1"/>
            </w14:solidFill>
          </w14:textFill>
        </w:rPr>
      </w:pPr>
      <w:bookmarkStart w:id="352" w:name="_Toc8992"/>
      <w:bookmarkStart w:id="353" w:name="_Toc24360"/>
      <w:bookmarkStart w:id="354" w:name="_Toc315871727"/>
      <w:bookmarkStart w:id="355" w:name="_Toc27932"/>
      <w:bookmarkStart w:id="356" w:name="_Toc3782"/>
      <w:bookmarkStart w:id="357" w:name="_Toc316292259"/>
      <w:bookmarkStart w:id="358" w:name="_Toc19880"/>
      <w:r>
        <w:rPr>
          <w:rFonts w:hint="eastAsia"/>
          <w:color w:val="000000" w:themeColor="text1"/>
          <w14:textFill>
            <w14:solidFill>
              <w14:schemeClr w14:val="tx1"/>
            </w14:solidFill>
          </w14:textFill>
        </w:rPr>
        <w:t>定标</w:t>
      </w:r>
      <w:bookmarkEnd w:id="351"/>
      <w:bookmarkEnd w:id="352"/>
      <w:bookmarkEnd w:id="353"/>
      <w:bookmarkEnd w:id="354"/>
      <w:bookmarkEnd w:id="355"/>
      <w:bookmarkEnd w:id="356"/>
      <w:bookmarkEnd w:id="357"/>
      <w:bookmarkEnd w:id="358"/>
      <w:bookmarkStart w:id="359" w:name="_Toc217446061"/>
    </w:p>
    <w:p>
      <w:pPr>
        <w:pStyle w:val="5"/>
        <w:numPr>
          <w:ilvl w:val="2"/>
          <w:numId w:val="4"/>
        </w:numPr>
        <w:spacing w:after="200" w:line="560" w:lineRule="exact"/>
        <w:ind w:left="0" w:firstLine="0"/>
        <w:rPr>
          <w:color w:val="000000" w:themeColor="text1"/>
          <w14:textFill>
            <w14:solidFill>
              <w14:schemeClr w14:val="tx1"/>
            </w14:solidFill>
          </w14:textFill>
        </w:rPr>
      </w:pPr>
      <w:bookmarkStart w:id="360" w:name="_Toc315871728"/>
      <w:bookmarkStart w:id="361" w:name="_Toc316292260"/>
      <w:r>
        <w:rPr>
          <w:rFonts w:hint="eastAsia"/>
          <w:color w:val="000000" w:themeColor="text1"/>
          <w14:textFill>
            <w14:solidFill>
              <w14:schemeClr w14:val="tx1"/>
            </w14:solidFill>
          </w14:textFill>
        </w:rPr>
        <w:t>定标原则</w:t>
      </w:r>
      <w:bookmarkEnd w:id="359"/>
      <w:bookmarkEnd w:id="360"/>
      <w:bookmarkEnd w:id="361"/>
    </w:p>
    <w:p>
      <w:pPr>
        <w:spacing w:line="560" w:lineRule="exact"/>
        <w:ind w:firstLine="560" w:firstLineChars="200"/>
        <w:rPr>
          <w:rFonts w:ascii="宋体" w:hAnsi="宋体"/>
          <w:color w:val="000000" w:themeColor="text1"/>
          <w:sz w:val="28"/>
          <w:szCs w:val="28"/>
          <w14:textFill>
            <w14:solidFill>
              <w14:schemeClr w14:val="tx1"/>
            </w14:solidFill>
          </w14:textFill>
        </w:rPr>
      </w:pPr>
      <w:bookmarkStart w:id="362" w:name="_Toc316292261"/>
      <w:bookmarkStart w:id="363" w:name="_Toc217446062"/>
      <w:bookmarkStart w:id="364" w:name="_Toc315871729"/>
      <w:r>
        <w:rPr>
          <w:rFonts w:hint="eastAsia" w:ascii="宋体" w:hAnsi="宋体"/>
          <w:color w:val="000000" w:themeColor="text1"/>
          <w:sz w:val="28"/>
          <w:szCs w:val="28"/>
          <w14:textFill>
            <w14:solidFill>
              <w14:schemeClr w14:val="tx1"/>
            </w14:solidFill>
          </w14:textFill>
        </w:rPr>
        <w:t>本项目根据评标委员会确定的中标候选人名单，采购人按顺序确定1名中标人。中标候选供应商并列的，</w:t>
      </w:r>
      <w:r>
        <w:rPr>
          <w:rFonts w:hint="eastAsia" w:ascii="宋体"/>
          <w:color w:val="000000" w:themeColor="text1"/>
          <w:sz w:val="28"/>
          <w:szCs w:val="28"/>
          <w14:textFill>
            <w14:solidFill>
              <w14:schemeClr w14:val="tx1"/>
            </w14:solidFill>
          </w14:textFill>
        </w:rPr>
        <w:t>由采购人采取随机抽取的方式确定中标人</w:t>
      </w:r>
      <w:r>
        <w:rPr>
          <w:rFonts w:hint="eastAsia" w:ascii="宋体" w:hAnsi="宋体"/>
          <w:color w:val="000000" w:themeColor="text1"/>
          <w:sz w:val="28"/>
          <w:szCs w:val="28"/>
          <w14:textFill>
            <w14:solidFill>
              <w14:schemeClr w14:val="tx1"/>
            </w14:solidFill>
          </w14:textFill>
        </w:rPr>
        <w:t>。</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cs="Helvetica" w:asciiTheme="minorEastAsia" w:hAnsiTheme="minorEastAsia" w:eastAsiaTheme="minorEastAsia"/>
          <w:color w:val="000000" w:themeColor="text1"/>
          <w:kern w:val="0"/>
          <w:sz w:val="28"/>
          <w:szCs w:val="28"/>
          <w14:textFill>
            <w14:solidFill>
              <w14:schemeClr w14:val="tx1"/>
            </w14:solidFill>
          </w14:textFill>
        </w:rPr>
        <w:t>采购人在收到评标报告</w:t>
      </w:r>
      <w:r>
        <w:rPr>
          <w:rFonts w:hint="eastAsia" w:cs="宋体" w:asciiTheme="minorEastAsia" w:hAnsiTheme="minorEastAsia" w:eastAsiaTheme="minorEastAsia"/>
          <w:color w:val="000000" w:themeColor="text1"/>
          <w:kern w:val="0"/>
          <w:sz w:val="28"/>
          <w:szCs w:val="28"/>
          <w14:textFill>
            <w14:solidFill>
              <w14:schemeClr w14:val="tx1"/>
            </w14:solidFill>
          </w14:textFill>
        </w:rPr>
        <w:t>5</w:t>
      </w:r>
      <w:r>
        <w:rPr>
          <w:rFonts w:hint="eastAsia" w:cs="Helvetica" w:asciiTheme="minorEastAsia" w:hAnsiTheme="minorEastAsia" w:eastAsiaTheme="minorEastAsia"/>
          <w:color w:val="000000" w:themeColor="text1"/>
          <w:kern w:val="0"/>
          <w:sz w:val="28"/>
          <w:szCs w:val="28"/>
          <w14:textFill>
            <w14:solidFill>
              <w14:schemeClr w14:val="tx1"/>
            </w14:solidFill>
          </w14:textFill>
        </w:rPr>
        <w:t>个工作日内未按评标报告推荐的中标候选人顺序确定中标人，又不能说明合法理由的，视同按评标报告推荐的顺序确定排名第一的中标候选人为中标人。</w:t>
      </w:r>
    </w:p>
    <w:p>
      <w:pPr>
        <w:pStyle w:val="5"/>
        <w:numPr>
          <w:ilvl w:val="2"/>
          <w:numId w:val="4"/>
        </w:numPr>
        <w:spacing w:after="200" w:line="560" w:lineRule="exact"/>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定标程序</w:t>
      </w:r>
      <w:bookmarkEnd w:id="362"/>
      <w:bookmarkEnd w:id="363"/>
      <w:bookmarkEnd w:id="364"/>
    </w:p>
    <w:bookmarkEnd w:id="304"/>
    <w:p>
      <w:pPr>
        <w:spacing w:line="560" w:lineRule="exact"/>
        <w:ind w:firstLine="560" w:firstLineChars="200"/>
        <w:rPr>
          <w:rFonts w:ascii="宋体" w:hAnsi="宋体"/>
          <w:color w:val="000000" w:themeColor="text1"/>
          <w:kern w:val="0"/>
          <w:sz w:val="28"/>
          <w:szCs w:val="28"/>
          <w14:textFill>
            <w14:solidFill>
              <w14:schemeClr w14:val="tx1"/>
            </w14:solidFill>
          </w14:textFill>
        </w:rPr>
      </w:pPr>
      <w:bookmarkStart w:id="365" w:name="_Toc316292262"/>
      <w:bookmarkStart w:id="366" w:name="_Toc315871730"/>
      <w:r>
        <w:rPr>
          <w:rFonts w:hint="eastAsia" w:ascii="宋体" w:hAnsi="宋体"/>
          <w:color w:val="000000" w:themeColor="text1"/>
          <w:kern w:val="0"/>
          <w:sz w:val="28"/>
          <w:szCs w:val="28"/>
          <w14:textFill>
            <w14:solidFill>
              <w14:schemeClr w14:val="tx1"/>
            </w14:solidFill>
          </w14:textFill>
        </w:rPr>
        <w:t>一、评审委员会将评审情况写出书面报告。</w:t>
      </w:r>
    </w:p>
    <w:p>
      <w:pPr>
        <w:spacing w:line="560" w:lineRule="exact"/>
        <w:ind w:firstLine="560" w:firstLineChars="200"/>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二、区公资交易中心在评审结束之日起2个工作日内将评审报告送采购人。</w:t>
      </w:r>
    </w:p>
    <w:p>
      <w:pPr>
        <w:pStyle w:val="2"/>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采购人在收到评审报告后五个工作日内，按照评审报告中推荐的中标（成交）候选人顺序确定中标（成交）人。如果中标（成交）候选人及其现任法定代表人、主要负责人存在行贿犯罪记录，采购人将不确定其为中标（成交）人。采购人在确认成交供应商前，应到中国裁判文书网（https://wenshu.court.gov.cn）查询成交候选供应商及其现任法定代表人、主要负责人是否存在行贿犯罪记录。</w:t>
      </w:r>
    </w:p>
    <w:p>
      <w:pPr>
        <w:spacing w:line="560" w:lineRule="exact"/>
        <w:ind w:firstLine="560" w:firstLineChars="200"/>
        <w:jc w:val="left"/>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四、根据采购人确定的中标（成交）人，区公资交易中心在“四川政府采购网”和“成都市公共资源交易服务中心”网站上发布中标（成交）公告，同时向中标（成交）人发出中标（成交）通知书。</w:t>
      </w:r>
    </w:p>
    <w:p>
      <w:pPr>
        <w:tabs>
          <w:tab w:val="left" w:pos="1155"/>
        </w:tabs>
        <w:spacing w:line="560" w:lineRule="exact"/>
        <w:ind w:firstLine="565" w:firstLineChars="202"/>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五、采购人、区公资交易中心不解释中标（成交）或未中标（成交）原因，不退回投标文件和其他投标资料。</w:t>
      </w:r>
    </w:p>
    <w:p>
      <w:pPr>
        <w:pStyle w:val="4"/>
        <w:numPr>
          <w:ilvl w:val="1"/>
          <w:numId w:val="4"/>
        </w:numPr>
        <w:spacing w:before="0" w:after="0" w:line="560" w:lineRule="exact"/>
        <w:ind w:left="2269" w:hanging="2269"/>
        <w:rPr>
          <w:color w:val="000000" w:themeColor="text1"/>
          <w14:textFill>
            <w14:solidFill>
              <w14:schemeClr w14:val="tx1"/>
            </w14:solidFill>
          </w14:textFill>
        </w:rPr>
      </w:pPr>
      <w:bookmarkStart w:id="367" w:name="_Toc20789"/>
      <w:bookmarkStart w:id="368" w:name="_Toc31963"/>
      <w:bookmarkStart w:id="369" w:name="_Toc1482"/>
      <w:bookmarkStart w:id="370" w:name="_Toc24014"/>
      <w:bookmarkStart w:id="371" w:name="_Toc31174"/>
      <w:r>
        <w:rPr>
          <w:rFonts w:hint="eastAsia"/>
          <w:color w:val="000000" w:themeColor="text1"/>
          <w14:textFill>
            <w14:solidFill>
              <w14:schemeClr w14:val="tx1"/>
            </w14:solidFill>
          </w14:textFill>
        </w:rPr>
        <w:t>评标专家在政府采购活动中承担以下义务</w:t>
      </w:r>
      <w:bookmarkEnd w:id="365"/>
      <w:bookmarkEnd w:id="366"/>
      <w:bookmarkEnd w:id="367"/>
      <w:bookmarkEnd w:id="368"/>
      <w:bookmarkEnd w:id="369"/>
      <w:bookmarkEnd w:id="370"/>
      <w:bookmarkEnd w:id="371"/>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遵纪守法，客观、公正、廉洁地履行职责。</w:t>
      </w:r>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按照政府采购法律法规和采购文件的规定要求对投标人的资格条件和投标人提供的产品价格、技术、服务等方面严格进行独立评审，提供科学合理、公平公正的评审意见，参与起草评审报告，并予签字确认。</w:t>
      </w:r>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保守秘密。不得泄漏投标人的投标文件及知悉的商业秘密，不得向投标人透露评审情况。</w:t>
      </w:r>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发现投标人在政府采购活动中有不正当竞争或恶意串通等违规行为，及时向政府采购评审工作的组织者或财政部门报告并加以制止。</w:t>
      </w:r>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发现采购人、区公资交易中心及其工作人员在政府采购活动中有干预评审、发表倾向性和歧视性言论、受贿或者接受投标人的其他好处及其他违法违规行为，及时向财政部门报告。</w:t>
      </w:r>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解答有关方面对政府采购评审工作中有关问题的询问，配合采购人或者区公资交易中心答复投标人的询问、质疑，配合财政部门的投诉处理工作等事宜。</w:t>
      </w:r>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法律、法规和规章规定的其他义务。</w:t>
      </w:r>
    </w:p>
    <w:p>
      <w:pPr>
        <w:pStyle w:val="4"/>
        <w:numPr>
          <w:ilvl w:val="1"/>
          <w:numId w:val="4"/>
        </w:numPr>
        <w:spacing w:before="0" w:after="0" w:line="560" w:lineRule="exact"/>
        <w:ind w:left="2269" w:hanging="2269"/>
        <w:rPr>
          <w:color w:val="000000" w:themeColor="text1"/>
          <w14:textFill>
            <w14:solidFill>
              <w14:schemeClr w14:val="tx1"/>
            </w14:solidFill>
          </w14:textFill>
        </w:rPr>
      </w:pPr>
      <w:bookmarkStart w:id="372" w:name="_Toc3861"/>
      <w:bookmarkStart w:id="373" w:name="_Toc7637"/>
      <w:bookmarkStart w:id="374" w:name="_Toc31664"/>
      <w:bookmarkStart w:id="375" w:name="_Toc9396"/>
      <w:bookmarkStart w:id="376" w:name="_Toc31542"/>
      <w:r>
        <w:rPr>
          <w:rFonts w:hint="eastAsia"/>
          <w:color w:val="000000" w:themeColor="text1"/>
          <w14:textFill>
            <w14:solidFill>
              <w14:schemeClr w14:val="tx1"/>
            </w14:solidFill>
          </w14:textFill>
        </w:rPr>
        <w:t>评标委员会及其成员不得有下列行为：</w:t>
      </w:r>
      <w:bookmarkEnd w:id="372"/>
      <w:bookmarkEnd w:id="373"/>
      <w:bookmarkEnd w:id="374"/>
      <w:bookmarkEnd w:id="375"/>
      <w:bookmarkEnd w:id="376"/>
    </w:p>
    <w:p>
      <w:pPr>
        <w:tabs>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一、确定参与评标至评标结束前私自接触投标人；</w:t>
      </w:r>
    </w:p>
    <w:p>
      <w:pPr>
        <w:tabs>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二、接受投标人提出的与投标文件不一致的澄清或者说明，除招标文件明确可以澄清的除外；</w:t>
      </w:r>
    </w:p>
    <w:p>
      <w:pPr>
        <w:tabs>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三、违反评标纪律发表倾向性意见或者征询采购人的倾向性意见；</w:t>
      </w:r>
    </w:p>
    <w:p>
      <w:pPr>
        <w:tabs>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四、对需要专业判断的主观评审因素协商评分；</w:t>
      </w:r>
    </w:p>
    <w:p>
      <w:pPr>
        <w:tabs>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五、在评标过程中擅离职守，影响评标程序正常进行的；</w:t>
      </w:r>
    </w:p>
    <w:p>
      <w:pPr>
        <w:tabs>
          <w:tab w:val="left" w:pos="1276"/>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六、记录、复制或者带走任何评标资料；</w:t>
      </w:r>
    </w:p>
    <w:p>
      <w:pPr>
        <w:tabs>
          <w:tab w:val="left" w:pos="993"/>
          <w:tab w:val="left" w:pos="1276"/>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七、其他不遵守评标纪律的行为。</w:t>
      </w:r>
    </w:p>
    <w:p>
      <w:pPr>
        <w:tabs>
          <w:tab w:val="left" w:pos="1155"/>
        </w:tabs>
        <w:spacing w:line="560" w:lineRule="exact"/>
        <w:ind w:left="142" w:firstLine="565" w:firstLineChars="202"/>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评标委员会成员有前款第一至五项行为之一的，其评审意见无效，并不得获取评审劳务报酬和报销异地评审差旅费。</w:t>
      </w:r>
    </w:p>
    <w:p>
      <w:pPr>
        <w:pStyle w:val="4"/>
        <w:numPr>
          <w:ilvl w:val="1"/>
          <w:numId w:val="4"/>
        </w:numPr>
        <w:spacing w:before="0" w:after="0" w:line="560" w:lineRule="exact"/>
        <w:ind w:left="2269" w:hanging="2127"/>
        <w:rPr>
          <w:color w:val="000000" w:themeColor="text1"/>
          <w14:textFill>
            <w14:solidFill>
              <w14:schemeClr w14:val="tx1"/>
            </w14:solidFill>
          </w14:textFill>
        </w:rPr>
      </w:pPr>
      <w:bookmarkStart w:id="377" w:name="_Toc22920"/>
      <w:bookmarkStart w:id="378" w:name="_Toc6837"/>
      <w:bookmarkStart w:id="379" w:name="_Toc15267"/>
      <w:bookmarkStart w:id="380" w:name="_Toc16147"/>
      <w:bookmarkStart w:id="381" w:name="_Toc494464930"/>
      <w:bookmarkStart w:id="382" w:name="_Toc12345"/>
      <w:r>
        <w:rPr>
          <w:rFonts w:hint="eastAsia"/>
          <w:color w:val="000000" w:themeColor="text1"/>
          <w14:textFill>
            <w14:solidFill>
              <w14:schemeClr w14:val="tx1"/>
            </w14:solidFill>
          </w14:textFill>
        </w:rPr>
        <w:t>评审专家在政府采购活动中应当遵守以下工作纪律</w:t>
      </w:r>
      <w:bookmarkEnd w:id="377"/>
      <w:bookmarkEnd w:id="378"/>
      <w:bookmarkEnd w:id="379"/>
      <w:bookmarkEnd w:id="380"/>
      <w:bookmarkEnd w:id="381"/>
      <w:bookmarkEnd w:id="382"/>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遵行《</w:t>
      </w:r>
      <w:r>
        <w:rPr>
          <w:rFonts w:hint="eastAsia" w:ascii="宋体" w:hAnsi="宋体"/>
          <w:color w:val="000000" w:themeColor="text1"/>
          <w:sz w:val="28"/>
          <w:szCs w:val="28"/>
          <w:lang w:eastAsia="zh-CN"/>
          <w14:textFill>
            <w14:solidFill>
              <w14:schemeClr w14:val="tx1"/>
            </w14:solidFill>
          </w14:textFill>
        </w:rPr>
        <w:t>中华人民共和国</w:t>
      </w:r>
      <w:r>
        <w:rPr>
          <w:rFonts w:hint="eastAsia" w:ascii="宋体" w:hAnsi="宋体"/>
          <w:color w:val="000000" w:themeColor="text1"/>
          <w:sz w:val="28"/>
          <w:szCs w:val="28"/>
          <w14:textFill>
            <w14:solidFill>
              <w14:schemeClr w14:val="tx1"/>
            </w14:solidFill>
          </w14:textFill>
        </w:rPr>
        <w:t>政府采购法》第十二条和《</w:t>
      </w:r>
      <w:r>
        <w:rPr>
          <w:rFonts w:hint="eastAsia" w:ascii="宋体" w:hAnsi="宋体"/>
          <w:color w:val="000000" w:themeColor="text1"/>
          <w:sz w:val="28"/>
          <w:szCs w:val="28"/>
          <w:lang w:eastAsia="zh-CN"/>
          <w14:textFill>
            <w14:solidFill>
              <w14:schemeClr w14:val="tx1"/>
            </w14:solidFill>
          </w14:textFill>
        </w:rPr>
        <w:t>中华人民共和国</w:t>
      </w:r>
      <w:r>
        <w:rPr>
          <w:rFonts w:hint="eastAsia" w:ascii="宋体" w:hAnsi="宋体"/>
          <w:color w:val="000000" w:themeColor="text1"/>
          <w:sz w:val="28"/>
          <w:szCs w:val="28"/>
          <w14:textFill>
            <w14:solidFill>
              <w14:schemeClr w14:val="tx1"/>
            </w14:solidFill>
          </w14:textFill>
        </w:rPr>
        <w:t>政府采购法实施条例》第九条及政府采购相关法律法规关于回避的规定。</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应邀按时参加评审和咨询活动，遵守评标区管理规定。</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进入评标区之前应将所有的通信设备存入公资交易中心指定的存放处。评标专家不得以任何方式将通信设备带入评标区，否则将被取消其当次项目的评标资格。遇特殊情况不能出席或途中遇阻不能按时参加评审或咨询的，应及时告知财政部门或者采购人或者</w:t>
      </w:r>
      <w:r>
        <w:rPr>
          <w:rFonts w:hint="eastAsia" w:cs="Arial"/>
          <w:color w:val="000000" w:themeColor="text1"/>
          <w:sz w:val="28"/>
          <w:szCs w:val="28"/>
          <w14:textFill>
            <w14:solidFill>
              <w14:schemeClr w14:val="tx1"/>
            </w14:solidFill>
          </w14:textFill>
        </w:rPr>
        <w:t>区公资交易中心</w:t>
      </w:r>
      <w:r>
        <w:rPr>
          <w:rFonts w:hint="eastAsia" w:ascii="宋体" w:hAnsi="宋体"/>
          <w:color w:val="000000" w:themeColor="text1"/>
          <w:sz w:val="28"/>
          <w:szCs w:val="28"/>
          <w14:textFill>
            <w14:solidFill>
              <w14:schemeClr w14:val="tx1"/>
            </w14:solidFill>
          </w14:textFill>
        </w:rPr>
        <w:t>，不得私自转托他人。</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不得参加与自己有利害关系的政府采购项目的评审活动。对与自己有利害关系的评审项目，如受到邀请，应主动提出回避。财政部门、采购人或</w:t>
      </w:r>
      <w:r>
        <w:rPr>
          <w:rFonts w:hint="eastAsia" w:cs="Arial"/>
          <w:color w:val="000000" w:themeColor="text1"/>
          <w:sz w:val="28"/>
          <w:szCs w:val="28"/>
          <w14:textFill>
            <w14:solidFill>
              <w14:schemeClr w14:val="tx1"/>
            </w14:solidFill>
          </w14:textFill>
        </w:rPr>
        <w:t>区公资交易中心</w:t>
      </w:r>
      <w:r>
        <w:rPr>
          <w:rFonts w:hint="eastAsia" w:ascii="宋体" w:hAnsi="宋体"/>
          <w:color w:val="000000" w:themeColor="text1"/>
          <w:sz w:val="28"/>
          <w:szCs w:val="28"/>
          <w14:textFill>
            <w14:solidFill>
              <w14:schemeClr w14:val="tx1"/>
            </w14:solidFill>
          </w14:textFill>
        </w:rPr>
        <w:t>也可要求该评审专家回避。</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评审过程中关闭通讯设备，不得与外界联系。因发生不可预见情况，确实需要与外界联系的，应告知评标区值守人员，使用评标区内由公资交易中心提供的通信设备，在监督人员监督之下办理。</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审过程中，不得发表影响评审公正的倾向性、歧视性言论；不得征询或者接受采购人的倾向性意见；不得修改或细化招标文件确定的评标程序、评标方法、评标因素和评标标准；不得接受投标人主动提出的澄清和解释；不得协商评分；不得以任何明示或暗示的方式要求参加该采购项目的投标人以澄清、说明或补正为借口，表达与其原投标文件原意不同的新意见；不得以采购文件没有规定的方法和标准作为评审的依据；不得违反规定的评审格式评分和撰写评审意见；不得拒绝对自己的评审意见签字确认。</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在评标过程中和评标结束后，不得记录、复制或带走任何评标资料，除因规定的义务外，不得向外界透露评标内容。</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服从评标现场</w:t>
      </w:r>
      <w:r>
        <w:rPr>
          <w:rFonts w:hint="eastAsia" w:cs="Arial"/>
          <w:color w:val="000000" w:themeColor="text1"/>
          <w:sz w:val="28"/>
          <w:szCs w:val="28"/>
          <w14:textFill>
            <w14:solidFill>
              <w14:schemeClr w14:val="tx1"/>
            </w14:solidFill>
          </w14:textFill>
        </w:rPr>
        <w:t>区公资交易中心</w:t>
      </w:r>
      <w:r>
        <w:rPr>
          <w:rFonts w:hint="eastAsia" w:ascii="宋体" w:hAnsi="宋体"/>
          <w:color w:val="000000" w:themeColor="text1"/>
          <w:sz w:val="28"/>
          <w:szCs w:val="28"/>
          <w14:textFill>
            <w14:solidFill>
              <w14:schemeClr w14:val="tx1"/>
            </w14:solidFill>
          </w14:textFill>
        </w:rPr>
        <w:t>的现场秩序管理，接受评标现场监督人员的合法监督。</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遵守有关廉洁自律规定，不得私下接触投标人，不得收受投标人及有关业务单位和个人的财物或好处，不得接受采购组织单位的请托。</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在咨询工作中，严格执行国家产业政策和产品标准，认真听取咨询方的合理要求，提出科学合理的、无倾向性和歧视性的咨询方案，并对所提出的意见和建议承担个人责任。</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有关部门（机构）制定的其他评审工作纪律。</w:t>
      </w:r>
      <w:bookmarkEnd w:id="0"/>
      <w:bookmarkEnd w:id="1"/>
      <w:bookmarkEnd w:id="2"/>
      <w:bookmarkEnd w:id="3"/>
      <w:bookmarkStart w:id="383" w:name="_Toc19415"/>
      <w:r>
        <w:rPr>
          <w:color w:val="000000" w:themeColor="text1"/>
          <w14:textFill>
            <w14:solidFill>
              <w14:schemeClr w14:val="tx1"/>
            </w14:solidFill>
          </w14:textFill>
        </w:rPr>
        <w:br w:type="page"/>
      </w:r>
    </w:p>
    <w:p>
      <w:pPr>
        <w:pStyle w:val="3"/>
        <w:numPr>
          <w:ilvl w:val="0"/>
          <w:numId w:val="4"/>
        </w:numPr>
        <w:spacing w:before="0" w:after="0" w:line="360" w:lineRule="auto"/>
        <w:rPr>
          <w:color w:val="000000" w:themeColor="text1"/>
          <w:sz w:val="24"/>
          <w14:textFill>
            <w14:solidFill>
              <w14:schemeClr w14:val="tx1"/>
            </w14:solidFill>
          </w14:textFill>
        </w:rPr>
      </w:pPr>
      <w:bookmarkStart w:id="384" w:name="_Toc20535"/>
      <w:bookmarkStart w:id="385" w:name="_Toc27722"/>
      <w:bookmarkStart w:id="386" w:name="_Toc1640"/>
      <w:bookmarkStart w:id="387" w:name="_Toc7590"/>
      <w:r>
        <w:rPr>
          <w:rFonts w:hint="eastAsia"/>
          <w:color w:val="000000" w:themeColor="text1"/>
          <w14:textFill>
            <w14:solidFill>
              <w14:schemeClr w14:val="tx1"/>
            </w14:solidFill>
          </w14:textFill>
        </w:rPr>
        <w:t>拟签订合同文本</w:t>
      </w:r>
      <w:bookmarkEnd w:id="383"/>
      <w:bookmarkEnd w:id="384"/>
      <w:bookmarkEnd w:id="385"/>
      <w:bookmarkEnd w:id="386"/>
      <w:bookmarkEnd w:id="387"/>
    </w:p>
    <w:p>
      <w:pPr>
        <w:spacing w:line="400" w:lineRule="exact"/>
        <w:jc w:val="center"/>
        <w:rPr>
          <w:b/>
          <w:color w:val="000000" w:themeColor="text1"/>
          <w:sz w:val="32"/>
          <w14:textFill>
            <w14:solidFill>
              <w14:schemeClr w14:val="tx1"/>
            </w14:solidFill>
          </w14:textFill>
        </w:rPr>
      </w:pPr>
      <w:bookmarkStart w:id="388" w:name="_Toc316475764"/>
      <w:bookmarkEnd w:id="388"/>
      <w:bookmarkStart w:id="389" w:name="_Toc316475672"/>
      <w:bookmarkEnd w:id="389"/>
      <w:bookmarkStart w:id="390" w:name="_Toc316475761"/>
      <w:bookmarkEnd w:id="390"/>
      <w:bookmarkStart w:id="391" w:name="_Toc316475759"/>
      <w:bookmarkEnd w:id="391"/>
      <w:bookmarkStart w:id="392" w:name="_Toc316475763"/>
      <w:bookmarkEnd w:id="392"/>
      <w:bookmarkStart w:id="393" w:name="_Toc316475671"/>
      <w:bookmarkEnd w:id="393"/>
      <w:bookmarkStart w:id="394" w:name="_Toc316475665"/>
      <w:bookmarkEnd w:id="394"/>
      <w:bookmarkStart w:id="395" w:name="_Toc316475751"/>
      <w:bookmarkEnd w:id="395"/>
      <w:bookmarkStart w:id="396" w:name="_Toc316475754"/>
      <w:bookmarkEnd w:id="396"/>
      <w:bookmarkStart w:id="397" w:name="_Toc316475755"/>
      <w:bookmarkEnd w:id="397"/>
      <w:bookmarkStart w:id="398" w:name="_Toc316475676"/>
      <w:bookmarkEnd w:id="398"/>
      <w:bookmarkStart w:id="399" w:name="_Toc316475664"/>
      <w:bookmarkEnd w:id="399"/>
      <w:bookmarkStart w:id="400" w:name="_Toc316475756"/>
      <w:bookmarkEnd w:id="400"/>
      <w:bookmarkStart w:id="401" w:name="_Toc316475677"/>
      <w:bookmarkEnd w:id="401"/>
      <w:bookmarkStart w:id="402" w:name="_Toc316475758"/>
      <w:bookmarkEnd w:id="402"/>
      <w:bookmarkStart w:id="403" w:name="_Toc316475762"/>
      <w:bookmarkEnd w:id="403"/>
      <w:bookmarkStart w:id="404" w:name="_Toc316475673"/>
      <w:bookmarkEnd w:id="404"/>
      <w:bookmarkStart w:id="405" w:name="_Toc316475667"/>
      <w:bookmarkEnd w:id="405"/>
      <w:bookmarkStart w:id="406" w:name="_Toc316475666"/>
      <w:bookmarkEnd w:id="406"/>
      <w:bookmarkStart w:id="407" w:name="_Toc316475760"/>
      <w:bookmarkEnd w:id="407"/>
      <w:bookmarkStart w:id="408" w:name="_Toc316475670"/>
      <w:bookmarkEnd w:id="408"/>
      <w:bookmarkStart w:id="409" w:name="_Toc316475675"/>
      <w:bookmarkEnd w:id="409"/>
      <w:bookmarkStart w:id="410" w:name="_Toc316475669"/>
      <w:bookmarkEnd w:id="410"/>
      <w:bookmarkStart w:id="411" w:name="_Toc316475752"/>
      <w:bookmarkEnd w:id="411"/>
      <w:bookmarkStart w:id="412" w:name="_Toc316475753"/>
      <w:bookmarkEnd w:id="412"/>
      <w:bookmarkStart w:id="413" w:name="_Toc316475674"/>
      <w:bookmarkEnd w:id="413"/>
      <w:bookmarkStart w:id="414" w:name="_Toc316475757"/>
      <w:bookmarkEnd w:id="414"/>
      <w:bookmarkStart w:id="415" w:name="_Toc316475668"/>
      <w:bookmarkEnd w:id="415"/>
      <w:bookmarkStart w:id="416" w:name="_Toc3546"/>
      <w:bookmarkStart w:id="417" w:name="_Toc11710"/>
    </w:p>
    <w:p>
      <w:pPr>
        <w:spacing w:line="360" w:lineRule="auto"/>
        <w:rPr>
          <w:rFonts w:ascii="宋体" w:hAnsi="宋体" w:cs="宋体"/>
          <w:sz w:val="24"/>
          <w:szCs w:val="24"/>
        </w:rPr>
      </w:pPr>
      <w:r>
        <w:rPr>
          <w:rFonts w:hint="eastAsia" w:ascii="宋体" w:hAnsi="宋体" w:cs="宋体"/>
          <w:sz w:val="24"/>
          <w:szCs w:val="24"/>
        </w:rPr>
        <w:t>合同应至少包含以下内容（仅供参考）</w:t>
      </w:r>
    </w:p>
    <w:p>
      <w:pPr>
        <w:spacing w:line="360" w:lineRule="auto"/>
        <w:ind w:firstLine="480" w:firstLineChars="200"/>
        <w:rPr>
          <w:rFonts w:ascii="宋体" w:hAnsi="宋体" w:cs="宋体"/>
          <w:sz w:val="24"/>
          <w:szCs w:val="24"/>
        </w:rPr>
      </w:pPr>
      <w:r>
        <w:rPr>
          <w:rFonts w:hint="eastAsia" w:ascii="宋体" w:hAnsi="宋体" w:cs="宋体"/>
          <w:sz w:val="24"/>
          <w:szCs w:val="24"/>
        </w:rPr>
        <w:t>合同编号：XXX</w:t>
      </w:r>
    </w:p>
    <w:p>
      <w:pPr>
        <w:spacing w:line="360" w:lineRule="auto"/>
        <w:ind w:firstLine="480" w:firstLineChars="200"/>
        <w:rPr>
          <w:rFonts w:ascii="宋体" w:hAnsi="宋体" w:cs="宋体"/>
          <w:sz w:val="24"/>
          <w:szCs w:val="24"/>
        </w:rPr>
      </w:pPr>
      <w:r>
        <w:rPr>
          <w:rFonts w:hint="eastAsia" w:ascii="宋体" w:hAnsi="宋体" w:cs="宋体"/>
          <w:sz w:val="24"/>
          <w:szCs w:val="24"/>
        </w:rPr>
        <w:t>签订地点：XXX</w:t>
      </w:r>
    </w:p>
    <w:p>
      <w:pPr>
        <w:spacing w:line="360" w:lineRule="auto"/>
        <w:ind w:firstLine="480" w:firstLineChars="200"/>
        <w:rPr>
          <w:rFonts w:ascii="宋体" w:hAnsi="宋体" w:cs="宋体"/>
          <w:sz w:val="24"/>
          <w:szCs w:val="24"/>
        </w:rPr>
      </w:pPr>
      <w:r>
        <w:rPr>
          <w:rFonts w:hint="eastAsia" w:ascii="宋体" w:hAnsi="宋体" w:cs="宋体"/>
          <w:sz w:val="24"/>
          <w:szCs w:val="24"/>
        </w:rPr>
        <w:t>签订时间：XX年XX月XX日</w:t>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采购人（甲方）：                    </w:t>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供应商（乙方）：                                             </w:t>
      </w:r>
    </w:p>
    <w:p>
      <w:pPr>
        <w:spacing w:line="360" w:lineRule="auto"/>
        <w:ind w:firstLine="480" w:firstLineChars="200"/>
        <w:rPr>
          <w:rFonts w:ascii="宋体" w:hAnsi="宋体" w:cs="宋体"/>
          <w:sz w:val="24"/>
          <w:szCs w:val="24"/>
        </w:rPr>
      </w:pP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根据《中华人民共和国民法典》、《中华人民共和国政府采购法》与项目行业有关的法律法规，以及成都市新津区人民医院中央运输、保洁服务外包项目（项目编号：xxx号）的《招标文件》，乙方的《投标文件》及《中标通知书》，甲、乙双方同意签订本合同。详细技术说明及其他有关合同项目的特定信息由合同附件予以说明，合同附件及本项目的《招标文件》、《投标文件》、《中标通知书》等均为本合同的组成部分。 </w:t>
      </w:r>
    </w:p>
    <w:p>
      <w:pPr>
        <w:numPr>
          <w:ilvl w:val="0"/>
          <w:numId w:val="60"/>
        </w:numPr>
        <w:spacing w:line="360" w:lineRule="auto"/>
        <w:rPr>
          <w:rFonts w:ascii="宋体" w:hAnsi="宋体" w:cs="宋体"/>
          <w:b/>
          <w:sz w:val="24"/>
          <w:szCs w:val="24"/>
        </w:rPr>
      </w:pPr>
      <w:r>
        <w:rPr>
          <w:rFonts w:hint="eastAsia" w:ascii="宋体" w:hAnsi="宋体" w:cs="宋体"/>
          <w:b/>
          <w:sz w:val="24"/>
          <w:szCs w:val="24"/>
        </w:rPr>
        <w:t>项目基本情况</w:t>
      </w:r>
    </w:p>
    <w:p>
      <w:pPr>
        <w:spacing w:line="360" w:lineRule="auto"/>
        <w:ind w:firstLine="484" w:firstLineChars="202"/>
        <w:rPr>
          <w:rFonts w:ascii="宋体" w:hAnsi="宋体" w:cs="宋体"/>
          <w:sz w:val="24"/>
          <w:szCs w:val="24"/>
        </w:rPr>
      </w:pPr>
      <w:r>
        <w:rPr>
          <w:rFonts w:hint="eastAsia" w:ascii="宋体" w:hAnsi="宋体" w:cs="宋体"/>
          <w:sz w:val="24"/>
          <w:szCs w:val="24"/>
        </w:rPr>
        <w:t>本项目为成都市新津区人民医院中央运输、保洁服务外包项目，服务内容含全院环境保洁，中央运输服务。</w:t>
      </w:r>
    </w:p>
    <w:p>
      <w:pPr>
        <w:numPr>
          <w:ilvl w:val="0"/>
          <w:numId w:val="60"/>
        </w:numPr>
        <w:spacing w:line="360" w:lineRule="auto"/>
        <w:rPr>
          <w:rFonts w:ascii="宋体" w:hAnsi="宋体" w:cs="宋体"/>
          <w:b/>
          <w:sz w:val="24"/>
          <w:szCs w:val="24"/>
        </w:rPr>
      </w:pPr>
      <w:r>
        <w:rPr>
          <w:rFonts w:hint="eastAsia" w:ascii="宋体" w:hAnsi="宋体" w:cs="宋体"/>
          <w:b/>
          <w:sz w:val="24"/>
          <w:szCs w:val="24"/>
        </w:rPr>
        <w:t>合同期限</w:t>
      </w:r>
    </w:p>
    <w:p>
      <w:pPr>
        <w:spacing w:line="360" w:lineRule="auto"/>
        <w:ind w:firstLine="480" w:firstLineChars="200"/>
        <w:rPr>
          <w:rFonts w:ascii="宋体" w:hAnsi="宋体" w:cs="宋体"/>
          <w:sz w:val="24"/>
          <w:szCs w:val="24"/>
        </w:rPr>
      </w:pPr>
      <w:r>
        <w:rPr>
          <w:rFonts w:hint="eastAsia" w:ascii="宋体" w:hAnsi="宋体" w:cs="宋体"/>
          <w:sz w:val="24"/>
          <w:szCs w:val="24"/>
        </w:rPr>
        <w:t>合同有效期3年；合同一年一签；每年经采购人考核合格后签订下一年的采购合同。</w:t>
      </w:r>
    </w:p>
    <w:p>
      <w:pPr>
        <w:numPr>
          <w:ilvl w:val="0"/>
          <w:numId w:val="60"/>
        </w:numPr>
        <w:spacing w:line="360" w:lineRule="auto"/>
        <w:rPr>
          <w:rFonts w:ascii="宋体" w:hAnsi="宋体" w:cs="宋体"/>
          <w:b/>
          <w:sz w:val="24"/>
          <w:szCs w:val="24"/>
        </w:rPr>
      </w:pPr>
      <w:bookmarkStart w:id="418" w:name="_Toc282696226"/>
      <w:bookmarkStart w:id="419" w:name="_Toc225244852"/>
      <w:bookmarkStart w:id="420" w:name="_Toc239568418"/>
      <w:bookmarkStart w:id="421" w:name="_Toc237145406"/>
      <w:bookmarkStart w:id="422" w:name="_Toc225670751"/>
      <w:bookmarkStart w:id="423" w:name="_Toc211854449"/>
      <w:bookmarkStart w:id="424" w:name="_Toc238984975"/>
      <w:bookmarkStart w:id="425" w:name="_Toc247334841"/>
      <w:bookmarkStart w:id="426" w:name="_Toc239233914"/>
      <w:bookmarkStart w:id="427" w:name="_Toc185395249"/>
      <w:bookmarkStart w:id="428" w:name="_Toc286993786"/>
      <w:bookmarkStart w:id="429" w:name="_Toc211911348"/>
      <w:bookmarkStart w:id="430" w:name="_Toc212019594"/>
      <w:bookmarkStart w:id="431" w:name="_Toc283019214"/>
      <w:bookmarkStart w:id="432" w:name="_Toc232492928"/>
      <w:bookmarkStart w:id="433" w:name="_Toc251768862"/>
      <w:bookmarkStart w:id="434" w:name="_Toc241833903"/>
      <w:bookmarkStart w:id="435" w:name="_Toc225654644"/>
      <w:r>
        <w:rPr>
          <w:rFonts w:hint="eastAsia" w:ascii="宋体" w:hAnsi="宋体" w:cs="宋体"/>
          <w:b/>
          <w:sz w:val="24"/>
          <w:szCs w:val="24"/>
        </w:rPr>
        <w:t>服务内容与质量标准</w:t>
      </w:r>
    </w:p>
    <w:p>
      <w:pPr>
        <w:spacing w:line="360" w:lineRule="auto"/>
        <w:ind w:left="567"/>
        <w:rPr>
          <w:rFonts w:ascii="宋体" w:hAnsi="宋体" w:cs="宋体"/>
          <w:sz w:val="20"/>
          <w:szCs w:val="20"/>
        </w:rPr>
      </w:pPr>
      <w:r>
        <w:rPr>
          <w:rFonts w:hint="eastAsia" w:ascii="宋体" w:hAnsi="宋体" w:cs="宋体"/>
          <w:sz w:val="20"/>
          <w:szCs w:val="20"/>
        </w:rPr>
        <w:t>1、XXXX；</w:t>
      </w:r>
    </w:p>
    <w:p>
      <w:pPr>
        <w:spacing w:line="360" w:lineRule="auto"/>
        <w:ind w:left="567"/>
        <w:rPr>
          <w:rFonts w:ascii="宋体" w:hAnsi="宋体" w:cs="宋体"/>
          <w:sz w:val="20"/>
          <w:szCs w:val="20"/>
        </w:rPr>
      </w:pPr>
      <w:r>
        <w:rPr>
          <w:rFonts w:hint="eastAsia" w:ascii="宋体" w:hAnsi="宋体" w:cs="宋体"/>
          <w:sz w:val="20"/>
          <w:szCs w:val="20"/>
        </w:rPr>
        <w:t>2、XXXX；</w:t>
      </w:r>
    </w:p>
    <w:p>
      <w:pPr>
        <w:spacing w:line="360" w:lineRule="auto"/>
        <w:ind w:left="567"/>
        <w:rPr>
          <w:rFonts w:ascii="宋体" w:hAnsi="宋体" w:cs="宋体"/>
          <w:sz w:val="20"/>
          <w:szCs w:val="20"/>
        </w:rPr>
      </w:pPr>
      <w:r>
        <w:rPr>
          <w:rFonts w:hint="eastAsia" w:ascii="宋体" w:hAnsi="宋体" w:cs="宋体"/>
          <w:sz w:val="20"/>
          <w:szCs w:val="20"/>
        </w:rPr>
        <w:t>3、XXXX．</w:t>
      </w:r>
    </w:p>
    <w:p>
      <w:pPr>
        <w:spacing w:line="360" w:lineRule="auto"/>
        <w:ind w:firstLine="630"/>
        <w:rPr>
          <w:rFonts w:ascii="宋体" w:hAnsi="宋体" w:cs="宋体"/>
          <w:sz w:val="20"/>
          <w:szCs w:val="20"/>
        </w:rPr>
      </w:pPr>
      <w:r>
        <w:rPr>
          <w:rFonts w:hint="eastAsia" w:ascii="宋体" w:hAnsi="宋体" w:cs="宋体"/>
          <w:sz w:val="20"/>
          <w:szCs w:val="20"/>
        </w:rPr>
        <w:t>…</w:t>
      </w:r>
    </w:p>
    <w:p>
      <w:pPr>
        <w:numPr>
          <w:ilvl w:val="0"/>
          <w:numId w:val="60"/>
        </w:numPr>
        <w:spacing w:line="360" w:lineRule="auto"/>
        <w:rPr>
          <w:rFonts w:ascii="宋体" w:hAnsi="宋体" w:cs="宋体"/>
          <w:b/>
          <w:sz w:val="24"/>
          <w:szCs w:val="24"/>
        </w:rPr>
      </w:pPr>
      <w:r>
        <w:rPr>
          <w:rFonts w:hint="eastAsia" w:ascii="宋体" w:hAnsi="宋体" w:cs="宋体"/>
          <w:b/>
          <w:sz w:val="24"/>
          <w:szCs w:val="24"/>
        </w:rPr>
        <w:t>服务费支付方式</w:t>
      </w:r>
    </w:p>
    <w:p>
      <w:pPr>
        <w:tabs>
          <w:tab w:val="left" w:pos="780"/>
        </w:tabs>
        <w:spacing w:line="360" w:lineRule="auto"/>
        <w:ind w:firstLine="480" w:firstLineChars="200"/>
        <w:rPr>
          <w:rFonts w:ascii="宋体" w:hAnsi="宋体" w:cs="宋体"/>
          <w:sz w:val="24"/>
          <w:szCs w:val="24"/>
        </w:rPr>
      </w:pPr>
      <w:r>
        <w:rPr>
          <w:rFonts w:hint="eastAsia" w:ascii="宋体" w:hAnsi="宋体" w:cs="宋体"/>
          <w:sz w:val="24"/>
          <w:szCs w:val="24"/>
        </w:rPr>
        <w:t>物业服务费按月结算，服务费用于第二月收到中标方发票之日起30日内支付。如乙方提供服务不足一个月，则按中标金额（年度）除以365天乘以当月实际提供物业服务的天数计算费用。</w:t>
      </w:r>
    </w:p>
    <w:p>
      <w:pPr>
        <w:numPr>
          <w:ilvl w:val="0"/>
          <w:numId w:val="60"/>
        </w:numPr>
        <w:spacing w:line="360" w:lineRule="auto"/>
        <w:rPr>
          <w:rFonts w:ascii="宋体" w:hAnsi="宋体" w:cs="宋体"/>
          <w:b/>
          <w:sz w:val="24"/>
          <w:szCs w:val="24"/>
        </w:rPr>
      </w:pPr>
      <w:r>
        <w:rPr>
          <w:rFonts w:hint="eastAsia" w:ascii="宋体" w:hAnsi="宋体" w:cs="宋体"/>
          <w:b/>
          <w:sz w:val="24"/>
          <w:szCs w:val="24"/>
        </w:rPr>
        <w:t>知识产权</w:t>
      </w:r>
    </w:p>
    <w:p>
      <w:pPr>
        <w:tabs>
          <w:tab w:val="left" w:pos="1440"/>
        </w:tabs>
        <w:spacing w:line="360" w:lineRule="auto"/>
        <w:ind w:firstLine="480" w:firstLineChars="200"/>
        <w:rPr>
          <w:rFonts w:ascii="宋体" w:hAnsi="宋体" w:cs="宋体"/>
          <w:sz w:val="24"/>
          <w:szCs w:val="24"/>
        </w:rPr>
      </w:pPr>
      <w:r>
        <w:rPr>
          <w:rFonts w:hint="eastAsia" w:ascii="宋体" w:hAnsi="宋体" w:cs="宋体"/>
          <w:sz w:val="24"/>
          <w:szCs w:val="24"/>
        </w:rPr>
        <w:t>乙方应保证所提供的服务或其任何一部分均不会侵犯任何第三方的专利权、商标权或著作权。</w:t>
      </w:r>
    </w:p>
    <w:p>
      <w:pPr>
        <w:numPr>
          <w:ilvl w:val="0"/>
          <w:numId w:val="60"/>
        </w:numPr>
        <w:spacing w:line="360" w:lineRule="auto"/>
        <w:rPr>
          <w:rFonts w:ascii="宋体" w:hAnsi="宋体" w:cs="宋体"/>
          <w:b/>
          <w:sz w:val="24"/>
          <w:szCs w:val="24"/>
        </w:rPr>
      </w:pPr>
      <w:r>
        <w:rPr>
          <w:rFonts w:hint="eastAsia" w:ascii="宋体" w:hAnsi="宋体" w:cs="宋体"/>
          <w:b/>
          <w:sz w:val="24"/>
          <w:szCs w:val="24"/>
        </w:rPr>
        <w:t>甲方的权利和义务</w:t>
      </w:r>
    </w:p>
    <w:p>
      <w:pPr>
        <w:spacing w:line="360" w:lineRule="auto"/>
        <w:ind w:firstLine="480" w:firstLineChars="200"/>
        <w:textAlignment w:val="baseline"/>
        <w:rPr>
          <w:rFonts w:ascii="宋体" w:hAnsi="宋体" w:cs="宋体"/>
          <w:sz w:val="24"/>
          <w:szCs w:val="24"/>
        </w:rPr>
      </w:pPr>
      <w:r>
        <w:rPr>
          <w:rFonts w:hint="eastAsia" w:ascii="宋体" w:hAnsi="宋体" w:cs="宋体"/>
          <w:sz w:val="24"/>
          <w:szCs w:val="24"/>
        </w:rPr>
        <w:t>1、甲方有权对合同规定范围内乙方的服务行为进行监督和检查，拥有监管权。有权定期核对乙方提供服务所配备的人员数量。对甲方认为不合理的部分有权下达整改通知书，并要求乙方限期整改。</w:t>
      </w:r>
    </w:p>
    <w:p>
      <w:pPr>
        <w:spacing w:line="360" w:lineRule="auto"/>
        <w:ind w:firstLine="480" w:firstLineChars="200"/>
        <w:textAlignment w:val="baseline"/>
        <w:rPr>
          <w:rFonts w:ascii="宋体" w:hAnsi="宋体" w:cs="宋体"/>
          <w:sz w:val="24"/>
          <w:szCs w:val="24"/>
        </w:rPr>
      </w:pPr>
      <w:r>
        <w:rPr>
          <w:rFonts w:hint="eastAsia" w:ascii="宋体" w:hAnsi="宋体" w:cs="宋体"/>
          <w:sz w:val="24"/>
          <w:szCs w:val="24"/>
        </w:rPr>
        <w:t>2、负责检查监督乙方管理工作的实施及制度的执行情况。</w:t>
      </w:r>
    </w:p>
    <w:p>
      <w:pPr>
        <w:spacing w:line="360" w:lineRule="auto"/>
        <w:ind w:firstLine="480" w:firstLineChars="200"/>
        <w:textAlignment w:val="baseline"/>
        <w:rPr>
          <w:rFonts w:ascii="宋体" w:hAnsi="宋体" w:cs="宋体"/>
          <w:sz w:val="24"/>
          <w:szCs w:val="24"/>
        </w:rPr>
      </w:pPr>
      <w:r>
        <w:rPr>
          <w:rFonts w:hint="eastAsia" w:ascii="宋体" w:hAnsi="宋体" w:cs="宋体"/>
          <w:sz w:val="24"/>
          <w:szCs w:val="24"/>
        </w:rPr>
        <w:t>3、根据本合同规定，按时向乙方支付应付服务费用。</w:t>
      </w:r>
    </w:p>
    <w:p>
      <w:pPr>
        <w:spacing w:line="360" w:lineRule="auto"/>
        <w:ind w:firstLine="480" w:firstLineChars="200"/>
        <w:textAlignment w:val="baseline"/>
        <w:rPr>
          <w:rFonts w:ascii="宋体" w:hAnsi="宋体" w:cs="宋体"/>
          <w:sz w:val="24"/>
          <w:szCs w:val="24"/>
        </w:rPr>
      </w:pPr>
      <w:r>
        <w:rPr>
          <w:rFonts w:hint="eastAsia" w:ascii="宋体" w:hAnsi="宋体" w:cs="宋体"/>
          <w:sz w:val="24"/>
          <w:szCs w:val="24"/>
        </w:rPr>
        <w:t>4、国家法律、法规所规定由甲方承担的其它责任。</w:t>
      </w:r>
    </w:p>
    <w:p>
      <w:pPr>
        <w:numPr>
          <w:ilvl w:val="0"/>
          <w:numId w:val="60"/>
        </w:numPr>
        <w:spacing w:line="360" w:lineRule="auto"/>
        <w:rPr>
          <w:rFonts w:ascii="宋体" w:hAnsi="宋体" w:cs="宋体"/>
          <w:b/>
          <w:sz w:val="24"/>
          <w:szCs w:val="24"/>
        </w:rPr>
      </w:pPr>
      <w:r>
        <w:rPr>
          <w:rFonts w:hint="eastAsia" w:ascii="宋体" w:hAnsi="宋体" w:cs="宋体"/>
          <w:b/>
          <w:sz w:val="24"/>
          <w:szCs w:val="24"/>
        </w:rPr>
        <w:t>乙方的权利和义务</w:t>
      </w:r>
    </w:p>
    <w:p>
      <w:pPr>
        <w:spacing w:line="360" w:lineRule="auto"/>
        <w:ind w:firstLine="480" w:firstLineChars="200"/>
        <w:textAlignment w:val="baseline"/>
        <w:rPr>
          <w:rFonts w:ascii="宋体" w:hAnsi="宋体" w:cs="宋体"/>
          <w:sz w:val="24"/>
          <w:szCs w:val="24"/>
        </w:rPr>
      </w:pPr>
      <w:r>
        <w:rPr>
          <w:rFonts w:hint="eastAsia" w:ascii="宋体" w:hAnsi="宋体" w:cs="宋体"/>
          <w:sz w:val="24"/>
          <w:szCs w:val="24"/>
        </w:rPr>
        <w:t>1、对本合同规定的委托服务范围内的项目享有管理权及服务义务。</w:t>
      </w:r>
    </w:p>
    <w:p>
      <w:pPr>
        <w:spacing w:line="360" w:lineRule="auto"/>
        <w:ind w:firstLine="480" w:firstLineChars="200"/>
        <w:textAlignment w:val="baseline"/>
        <w:rPr>
          <w:rFonts w:ascii="宋体" w:hAnsi="宋体" w:cs="宋体"/>
          <w:sz w:val="24"/>
          <w:szCs w:val="24"/>
        </w:rPr>
      </w:pPr>
      <w:r>
        <w:rPr>
          <w:rFonts w:hint="eastAsia" w:ascii="宋体" w:hAnsi="宋体" w:cs="宋体"/>
          <w:sz w:val="24"/>
          <w:szCs w:val="24"/>
        </w:rPr>
        <w:t>2、根据本合同的规定向甲方收取相关服务费用，并有权在本项目管理范围内管理及合理使用。</w:t>
      </w:r>
    </w:p>
    <w:p>
      <w:pPr>
        <w:spacing w:line="360" w:lineRule="auto"/>
        <w:ind w:firstLine="480" w:firstLineChars="200"/>
        <w:textAlignment w:val="baseline"/>
        <w:rPr>
          <w:rFonts w:ascii="宋体" w:hAnsi="宋体" w:cs="宋体"/>
          <w:sz w:val="24"/>
          <w:szCs w:val="24"/>
        </w:rPr>
      </w:pPr>
      <w:r>
        <w:rPr>
          <w:rFonts w:hint="eastAsia" w:ascii="宋体" w:hAnsi="宋体" w:cs="宋体"/>
          <w:sz w:val="24"/>
          <w:szCs w:val="24"/>
        </w:rPr>
        <w:t>3、及时向甲方通告本项目服务范围内有关服务的重大事项，及时配合处理投诉。</w:t>
      </w:r>
    </w:p>
    <w:p>
      <w:pPr>
        <w:spacing w:line="360" w:lineRule="auto"/>
        <w:ind w:firstLine="480" w:firstLineChars="200"/>
        <w:textAlignment w:val="baseline"/>
        <w:rPr>
          <w:rFonts w:ascii="宋体" w:hAnsi="宋体" w:cs="宋体"/>
          <w:sz w:val="24"/>
          <w:szCs w:val="24"/>
        </w:rPr>
      </w:pPr>
      <w:r>
        <w:rPr>
          <w:rFonts w:hint="eastAsia" w:ascii="宋体" w:hAnsi="宋体" w:cs="宋体"/>
          <w:sz w:val="24"/>
          <w:szCs w:val="24"/>
        </w:rPr>
        <w:t>4、接受项目行业管理部门及政府有关部门的指导，接受甲方的监督。</w:t>
      </w:r>
    </w:p>
    <w:p>
      <w:pPr>
        <w:spacing w:line="360" w:lineRule="auto"/>
        <w:ind w:firstLine="480" w:firstLineChars="200"/>
        <w:textAlignment w:val="baseline"/>
        <w:rPr>
          <w:rFonts w:ascii="宋体" w:hAnsi="宋体" w:cs="宋体"/>
          <w:sz w:val="24"/>
          <w:szCs w:val="24"/>
        </w:rPr>
      </w:pPr>
      <w:r>
        <w:rPr>
          <w:rFonts w:hint="eastAsia" w:ascii="宋体" w:hAnsi="宋体" w:cs="宋体"/>
          <w:sz w:val="24"/>
          <w:szCs w:val="24"/>
        </w:rPr>
        <w:t>5、国家法律、法规所规定由乙方承担的其它责任。</w:t>
      </w:r>
    </w:p>
    <w:p>
      <w:pPr>
        <w:numPr>
          <w:ilvl w:val="0"/>
          <w:numId w:val="60"/>
        </w:numPr>
        <w:spacing w:line="360" w:lineRule="auto"/>
        <w:rPr>
          <w:rFonts w:ascii="宋体" w:hAnsi="宋体" w:cs="宋体"/>
          <w:b/>
          <w:sz w:val="24"/>
          <w:szCs w:val="24"/>
        </w:rPr>
      </w:pPr>
      <w:r>
        <w:rPr>
          <w:rFonts w:hint="eastAsia" w:ascii="宋体" w:hAnsi="宋体" w:cs="宋体"/>
          <w:b/>
          <w:sz w:val="24"/>
          <w:szCs w:val="24"/>
        </w:rPr>
        <w:t>违约责任</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1、由于乙方原因造成签订合同、甲方通知后5个日内未入场，乙方应当承担违约责任。每逾期1日，乙方按照中标总金额的1%支付违约金，由此给甲方造成损失的，乙方还应当负责向甲方赔偿损失。</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2、合同双方任一方违反本合同约定提前终止合同的，应向对方支付合同金额1％的违约金，给对方造成的经济损失超过违约金的，还应给予赔偿。</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3、乙方违反本合同约定，擅自提高收费标准的，或在管理和服务中有徇私舞弊、渎职行为、擅自收费行为的，甲方有权督促和要求中标方清退所收费用，并向乙方按发生费用和造成的经济损失进行双倍处罚和索赔，亦有权终止本合同。</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4、若因甲方原因逾期支付乙方物业服务费，除应及时支付，还应向乙方支付逾期金额1％/天的违约金。</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5、因甲方原因导致变更、中止政府采购合同的，甲方应当依照合同约定对乙方受到的损失予以赔偿或者补偿。</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6、本合同双方协商一致可予以解除，但应提前三个月以书面形式通知对方，双方协商一致后在二十日内办理完交接，双方均需配合做好接收工作。</w:t>
      </w:r>
    </w:p>
    <w:p>
      <w:pPr>
        <w:numPr>
          <w:ilvl w:val="0"/>
          <w:numId w:val="60"/>
        </w:numPr>
        <w:spacing w:line="360" w:lineRule="auto"/>
        <w:rPr>
          <w:rFonts w:ascii="宋体" w:hAnsi="宋体" w:cs="宋体"/>
          <w:b/>
          <w:sz w:val="24"/>
          <w:szCs w:val="24"/>
        </w:rPr>
      </w:pPr>
      <w:r>
        <w:rPr>
          <w:rFonts w:hint="eastAsia" w:ascii="宋体" w:hAnsi="宋体" w:cs="宋体"/>
          <w:b/>
          <w:sz w:val="24"/>
          <w:szCs w:val="24"/>
        </w:rPr>
        <w:t>不可抗力事件处理</w:t>
      </w:r>
    </w:p>
    <w:p>
      <w:pPr>
        <w:tabs>
          <w:tab w:val="left" w:pos="0"/>
        </w:tabs>
        <w:spacing w:line="360" w:lineRule="auto"/>
        <w:ind w:firstLine="480" w:firstLineChars="200"/>
        <w:rPr>
          <w:rFonts w:ascii="宋体" w:hAnsi="宋体" w:cs="宋体"/>
          <w:sz w:val="24"/>
          <w:szCs w:val="24"/>
        </w:rPr>
      </w:pPr>
      <w:r>
        <w:rPr>
          <w:rFonts w:hint="eastAsia" w:ascii="宋体" w:hAnsi="宋体" w:cs="宋体"/>
          <w:sz w:val="24"/>
          <w:szCs w:val="24"/>
        </w:rPr>
        <w:t>1、在合同有效期内，任何一方因不可抗力事件导致不能履行合同，则合同履行期可延长，其延长期与不可抗力影响期相同。</w:t>
      </w:r>
    </w:p>
    <w:p>
      <w:pPr>
        <w:tabs>
          <w:tab w:val="left" w:pos="0"/>
        </w:tabs>
        <w:spacing w:line="360" w:lineRule="auto"/>
        <w:ind w:firstLine="480" w:firstLineChars="200"/>
        <w:rPr>
          <w:rFonts w:ascii="宋体" w:hAnsi="宋体" w:cs="宋体"/>
          <w:sz w:val="24"/>
          <w:szCs w:val="24"/>
        </w:rPr>
      </w:pPr>
      <w:r>
        <w:rPr>
          <w:rFonts w:hint="eastAsia" w:ascii="宋体" w:hAnsi="宋体" w:cs="宋体"/>
          <w:sz w:val="24"/>
          <w:szCs w:val="24"/>
        </w:rPr>
        <w:t>2、不可抗力事件发生后，应立即通知对方，并寄送有关权威机构出具的证明。</w:t>
      </w:r>
    </w:p>
    <w:p>
      <w:pPr>
        <w:tabs>
          <w:tab w:val="left" w:pos="0"/>
        </w:tabs>
        <w:spacing w:line="360" w:lineRule="auto"/>
        <w:ind w:firstLine="480" w:firstLineChars="200"/>
        <w:rPr>
          <w:rFonts w:ascii="宋体" w:hAnsi="宋体" w:cs="宋体"/>
          <w:sz w:val="24"/>
          <w:szCs w:val="24"/>
        </w:rPr>
      </w:pPr>
      <w:r>
        <w:rPr>
          <w:rFonts w:hint="eastAsia" w:ascii="宋体" w:hAnsi="宋体" w:cs="宋体"/>
          <w:sz w:val="24"/>
          <w:szCs w:val="24"/>
        </w:rPr>
        <w:t>3、不可抗力事件延续XX天以上，双方应通过友好协商，确定是否继续履行合同。</w:t>
      </w:r>
    </w:p>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p>
      <w:pPr>
        <w:numPr>
          <w:ilvl w:val="0"/>
          <w:numId w:val="60"/>
        </w:numPr>
        <w:spacing w:line="360" w:lineRule="auto"/>
        <w:rPr>
          <w:rFonts w:ascii="宋体" w:hAnsi="宋体" w:cs="宋体"/>
          <w:b/>
          <w:sz w:val="24"/>
          <w:szCs w:val="24"/>
        </w:rPr>
      </w:pPr>
      <w:bookmarkStart w:id="436" w:name="_Toc239568423"/>
      <w:bookmarkStart w:id="437" w:name="_Toc232492933"/>
      <w:bookmarkStart w:id="438" w:name="_Toc239233919"/>
      <w:bookmarkStart w:id="439" w:name="_Toc212019599"/>
      <w:bookmarkStart w:id="440" w:name="_Toc185395254"/>
      <w:bookmarkStart w:id="441" w:name="_Toc247334846"/>
      <w:bookmarkStart w:id="442" w:name="_Toc225244857"/>
      <w:bookmarkStart w:id="443" w:name="_Toc225654649"/>
      <w:bookmarkStart w:id="444" w:name="_Toc211911353"/>
      <w:bookmarkStart w:id="445" w:name="_Toc211854454"/>
      <w:bookmarkStart w:id="446" w:name="_Toc238984980"/>
      <w:bookmarkStart w:id="447" w:name="_Toc237145411"/>
      <w:bookmarkStart w:id="448" w:name="_Toc225670756"/>
      <w:bookmarkStart w:id="449" w:name="_Toc241833908"/>
      <w:bookmarkStart w:id="450" w:name="_Toc286993792"/>
      <w:bookmarkStart w:id="451" w:name="_Toc251768867"/>
      <w:r>
        <w:rPr>
          <w:rFonts w:hint="eastAsia" w:ascii="宋体" w:hAnsi="宋体" w:cs="宋体"/>
          <w:b/>
          <w:sz w:val="24"/>
          <w:szCs w:val="24"/>
        </w:rPr>
        <w:t>解决合同纠纷的方式</w:t>
      </w:r>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p>
    <w:p>
      <w:pPr>
        <w:tabs>
          <w:tab w:val="left" w:pos="0"/>
        </w:tabs>
        <w:spacing w:line="360" w:lineRule="auto"/>
        <w:ind w:firstLine="480" w:firstLineChars="200"/>
        <w:rPr>
          <w:rFonts w:ascii="宋体" w:hAnsi="宋体" w:cs="宋体"/>
          <w:sz w:val="24"/>
          <w:szCs w:val="24"/>
        </w:rPr>
      </w:pPr>
      <w:r>
        <w:rPr>
          <w:rFonts w:hint="eastAsia" w:ascii="宋体" w:hAnsi="宋体" w:cs="宋体"/>
          <w:sz w:val="24"/>
          <w:szCs w:val="24"/>
        </w:rPr>
        <w:t>在执行本合同中发生的或与本合同有关的争端，双方应通过友好协商解决，经协商在XX天内不能达成协议时，向甲方所在地人民法院提起诉讼。</w:t>
      </w:r>
    </w:p>
    <w:p>
      <w:pPr>
        <w:numPr>
          <w:ilvl w:val="0"/>
          <w:numId w:val="60"/>
        </w:numPr>
        <w:spacing w:line="360" w:lineRule="auto"/>
        <w:rPr>
          <w:rFonts w:ascii="宋体" w:hAnsi="宋体" w:cs="宋体"/>
          <w:b/>
          <w:sz w:val="24"/>
          <w:szCs w:val="24"/>
        </w:rPr>
      </w:pPr>
      <w:bookmarkStart w:id="452" w:name="_Toc212019600"/>
      <w:bookmarkStart w:id="453" w:name="_Toc225654650"/>
      <w:bookmarkStart w:id="454" w:name="_Toc225244858"/>
      <w:bookmarkStart w:id="455" w:name="_Toc232492934"/>
      <w:bookmarkStart w:id="456" w:name="_Toc237145412"/>
      <w:bookmarkStart w:id="457" w:name="_Toc225670757"/>
      <w:bookmarkStart w:id="458" w:name="_Toc238984981"/>
      <w:bookmarkStart w:id="459" w:name="_Toc239233920"/>
      <w:bookmarkStart w:id="460" w:name="_Toc239568424"/>
      <w:bookmarkStart w:id="461" w:name="_Toc185395255"/>
      <w:bookmarkStart w:id="462" w:name="_Toc211854455"/>
      <w:bookmarkStart w:id="463" w:name="_Toc211911354"/>
      <w:bookmarkStart w:id="464" w:name="_Toc251768868"/>
      <w:bookmarkStart w:id="465" w:name="_Toc282696231"/>
      <w:bookmarkStart w:id="466" w:name="_Toc283019219"/>
      <w:bookmarkStart w:id="467" w:name="_Toc286993793"/>
      <w:bookmarkStart w:id="468" w:name="_Toc241833909"/>
      <w:bookmarkStart w:id="469" w:name="_Toc247334847"/>
      <w:r>
        <w:rPr>
          <w:rFonts w:hint="eastAsia" w:ascii="宋体" w:hAnsi="宋体" w:cs="宋体"/>
          <w:b/>
          <w:sz w:val="24"/>
          <w:szCs w:val="24"/>
        </w:rPr>
        <w:t>合同</w:t>
      </w:r>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r>
        <w:rPr>
          <w:rFonts w:hint="eastAsia" w:ascii="宋体" w:hAnsi="宋体" w:cs="宋体"/>
          <w:b/>
          <w:sz w:val="24"/>
          <w:szCs w:val="24"/>
        </w:rPr>
        <w:t>生效及其他</w:t>
      </w:r>
    </w:p>
    <w:p>
      <w:pPr>
        <w:spacing w:line="360" w:lineRule="auto"/>
        <w:ind w:firstLine="480"/>
        <w:rPr>
          <w:rFonts w:ascii="宋体" w:hAnsi="宋体" w:cs="宋体"/>
          <w:sz w:val="24"/>
          <w:szCs w:val="24"/>
        </w:rPr>
      </w:pPr>
      <w:r>
        <w:rPr>
          <w:rFonts w:hint="eastAsia" w:ascii="宋体" w:hAnsi="宋体" w:cs="宋体"/>
          <w:sz w:val="24"/>
          <w:szCs w:val="24"/>
        </w:rPr>
        <w:t>1、合同经双方法定代表人或授权委托代理人签字并加盖单位公章后生效。</w:t>
      </w:r>
    </w:p>
    <w:p>
      <w:pPr>
        <w:spacing w:line="360" w:lineRule="auto"/>
        <w:ind w:firstLine="480"/>
        <w:rPr>
          <w:rFonts w:ascii="宋体" w:hAnsi="宋体" w:cs="宋体"/>
          <w:sz w:val="24"/>
          <w:szCs w:val="24"/>
        </w:rPr>
      </w:pPr>
      <w:r>
        <w:rPr>
          <w:rFonts w:hint="eastAsia" w:ascii="宋体" w:hAnsi="宋体" w:cs="宋体"/>
          <w:sz w:val="24"/>
          <w:szCs w:val="24"/>
        </w:rPr>
        <w:t>2、合同执行中涉及采购资金和采购内容修改或补充的，须经政府采购监管部门审批，并签书面补充协议报政府采购监督管理部门备案，方可作为主合同不可分割的一部分。</w:t>
      </w:r>
    </w:p>
    <w:p>
      <w:pPr>
        <w:spacing w:line="360" w:lineRule="auto"/>
        <w:ind w:firstLine="480"/>
        <w:rPr>
          <w:rFonts w:ascii="宋体" w:hAnsi="宋体" w:cs="宋体"/>
          <w:sz w:val="24"/>
          <w:szCs w:val="24"/>
        </w:rPr>
      </w:pPr>
      <w:r>
        <w:rPr>
          <w:rFonts w:hint="eastAsia" w:ascii="宋体" w:hAnsi="宋体" w:cs="宋体"/>
          <w:sz w:val="24"/>
          <w:szCs w:val="24"/>
        </w:rPr>
        <w:t>3、本合同一式XX份，自双方签章之日起起效。甲方XX份，乙方XX份，同级财政部门备案XX份，具有同等法律效力。</w:t>
      </w:r>
    </w:p>
    <w:p>
      <w:pPr>
        <w:numPr>
          <w:ilvl w:val="0"/>
          <w:numId w:val="60"/>
        </w:numPr>
        <w:spacing w:line="360" w:lineRule="auto"/>
        <w:rPr>
          <w:rFonts w:ascii="宋体" w:hAnsi="宋体" w:cs="宋体"/>
          <w:b/>
          <w:sz w:val="24"/>
          <w:szCs w:val="24"/>
        </w:rPr>
      </w:pPr>
      <w:r>
        <w:rPr>
          <w:rFonts w:hint="eastAsia" w:ascii="宋体" w:hAnsi="宋体" w:cs="宋体"/>
          <w:b/>
          <w:sz w:val="24"/>
          <w:szCs w:val="24"/>
        </w:rPr>
        <w:t>附件</w:t>
      </w:r>
    </w:p>
    <w:p>
      <w:pPr>
        <w:spacing w:line="360" w:lineRule="auto"/>
        <w:ind w:firstLine="480" w:firstLineChars="200"/>
        <w:rPr>
          <w:rFonts w:ascii="宋体" w:hAnsi="宋体" w:cs="宋体"/>
          <w:sz w:val="24"/>
          <w:szCs w:val="24"/>
        </w:rPr>
      </w:pPr>
      <w:r>
        <w:rPr>
          <w:rFonts w:hint="eastAsia" w:ascii="宋体" w:hAnsi="宋体" w:cs="宋体"/>
          <w:sz w:val="24"/>
          <w:szCs w:val="24"/>
        </w:rPr>
        <w:t>1、项目招标文件</w:t>
      </w:r>
    </w:p>
    <w:p>
      <w:pPr>
        <w:spacing w:line="360" w:lineRule="auto"/>
        <w:ind w:firstLine="480" w:firstLineChars="200"/>
        <w:rPr>
          <w:rFonts w:ascii="宋体" w:hAnsi="宋体" w:cs="宋体"/>
          <w:sz w:val="24"/>
          <w:szCs w:val="24"/>
        </w:rPr>
      </w:pPr>
      <w:r>
        <w:rPr>
          <w:rFonts w:hint="eastAsia" w:ascii="宋体" w:hAnsi="宋体" w:cs="宋体"/>
          <w:sz w:val="24"/>
          <w:szCs w:val="24"/>
        </w:rPr>
        <w:t>2、项目修改澄清文件</w:t>
      </w:r>
    </w:p>
    <w:p>
      <w:pPr>
        <w:spacing w:line="360" w:lineRule="auto"/>
        <w:ind w:firstLine="480" w:firstLineChars="200"/>
        <w:rPr>
          <w:rFonts w:ascii="宋体" w:hAnsi="宋体" w:cs="宋体"/>
          <w:sz w:val="24"/>
          <w:szCs w:val="24"/>
        </w:rPr>
      </w:pPr>
      <w:r>
        <w:rPr>
          <w:rFonts w:hint="eastAsia" w:ascii="宋体" w:hAnsi="宋体" w:cs="宋体"/>
          <w:sz w:val="24"/>
          <w:szCs w:val="24"/>
        </w:rPr>
        <w:t>3、项目投标文件</w:t>
      </w:r>
    </w:p>
    <w:p>
      <w:pPr>
        <w:spacing w:line="360" w:lineRule="auto"/>
        <w:ind w:firstLine="480" w:firstLineChars="200"/>
        <w:rPr>
          <w:rFonts w:ascii="宋体" w:hAnsi="宋体" w:cs="宋体"/>
          <w:sz w:val="24"/>
          <w:szCs w:val="24"/>
        </w:rPr>
      </w:pPr>
      <w:r>
        <w:rPr>
          <w:rFonts w:hint="eastAsia" w:ascii="宋体" w:hAnsi="宋体" w:cs="宋体"/>
          <w:sz w:val="24"/>
          <w:szCs w:val="24"/>
        </w:rPr>
        <w:t>4、中标通知书</w:t>
      </w:r>
    </w:p>
    <w:p>
      <w:pPr>
        <w:spacing w:line="360" w:lineRule="auto"/>
        <w:ind w:firstLine="480" w:firstLineChars="200"/>
        <w:rPr>
          <w:rFonts w:ascii="宋体" w:hAnsi="宋体" w:cs="宋体"/>
          <w:sz w:val="24"/>
          <w:szCs w:val="24"/>
        </w:rPr>
      </w:pPr>
      <w:r>
        <w:rPr>
          <w:rFonts w:hint="eastAsia" w:ascii="宋体" w:hAnsi="宋体" w:cs="宋体"/>
          <w:sz w:val="24"/>
          <w:szCs w:val="24"/>
        </w:rPr>
        <w:t>5、考核（验收）标准和办法</w:t>
      </w:r>
    </w:p>
    <w:p>
      <w:pPr>
        <w:spacing w:line="360" w:lineRule="auto"/>
        <w:ind w:firstLine="480" w:firstLineChars="200"/>
        <w:rPr>
          <w:rFonts w:ascii="宋体" w:hAnsi="宋体" w:cs="宋体"/>
          <w:sz w:val="24"/>
          <w:szCs w:val="24"/>
        </w:rPr>
      </w:pPr>
      <w:r>
        <w:rPr>
          <w:rFonts w:hint="eastAsia" w:ascii="宋体" w:hAnsi="宋体" w:cs="宋体"/>
          <w:sz w:val="24"/>
          <w:szCs w:val="24"/>
        </w:rPr>
        <w:t>6、其他</w:t>
      </w:r>
    </w:p>
    <w:p>
      <w:pPr>
        <w:pStyle w:val="2"/>
        <w:spacing w:line="360" w:lineRule="auto"/>
        <w:rPr>
          <w:rFonts w:cs="宋体"/>
          <w:kern w:val="2"/>
          <w:sz w:val="24"/>
          <w:szCs w:val="24"/>
        </w:rPr>
      </w:pP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甲方：   （盖章）   </w:t>
      </w:r>
      <w:r>
        <w:rPr>
          <w:rFonts w:hint="eastAsia" w:ascii="宋体" w:hAnsi="宋体" w:cs="宋体"/>
          <w:sz w:val="24"/>
          <w:szCs w:val="24"/>
        </w:rPr>
        <w:tab/>
      </w:r>
      <w:r>
        <w:rPr>
          <w:rFonts w:hint="eastAsia" w:ascii="宋体" w:hAnsi="宋体" w:cs="宋体"/>
          <w:sz w:val="24"/>
          <w:szCs w:val="24"/>
        </w:rPr>
        <w:tab/>
      </w:r>
      <w:r>
        <w:rPr>
          <w:rFonts w:hint="eastAsia" w:ascii="宋体" w:hAnsi="宋体" w:cs="宋体"/>
          <w:sz w:val="24"/>
          <w:szCs w:val="24"/>
        </w:rPr>
        <w:tab/>
      </w:r>
      <w:r>
        <w:rPr>
          <w:rFonts w:hint="eastAsia" w:ascii="宋体" w:hAnsi="宋体" w:cs="宋体"/>
          <w:sz w:val="24"/>
          <w:szCs w:val="24"/>
        </w:rPr>
        <w:t xml:space="preserve">        乙方：   （盖章）</w:t>
      </w:r>
    </w:p>
    <w:p>
      <w:pPr>
        <w:spacing w:line="360" w:lineRule="auto"/>
        <w:ind w:firstLine="480" w:firstLineChars="200"/>
        <w:rPr>
          <w:rFonts w:ascii="宋体" w:hAnsi="宋体" w:cs="宋体"/>
          <w:sz w:val="24"/>
          <w:szCs w:val="24"/>
        </w:rPr>
      </w:pPr>
      <w:r>
        <w:rPr>
          <w:rFonts w:hint="eastAsia" w:ascii="宋体" w:hAnsi="宋体" w:cs="宋体"/>
          <w:sz w:val="24"/>
          <w:szCs w:val="24"/>
        </w:rPr>
        <w:t>法定代表人（授权代表）：           法定代表人（授权代表）：</w:t>
      </w:r>
    </w:p>
    <w:p>
      <w:pPr>
        <w:spacing w:line="360" w:lineRule="auto"/>
        <w:ind w:firstLine="480" w:firstLineChars="200"/>
        <w:rPr>
          <w:rFonts w:ascii="宋体" w:hAnsi="宋体" w:cs="宋体"/>
          <w:sz w:val="24"/>
          <w:szCs w:val="24"/>
        </w:rPr>
      </w:pPr>
      <w:r>
        <w:rPr>
          <w:rFonts w:hint="eastAsia" w:ascii="宋体" w:hAnsi="宋体" w:cs="宋体"/>
          <w:sz w:val="24"/>
          <w:szCs w:val="24"/>
        </w:rPr>
        <w:t>地    址：                         地    址：</w:t>
      </w:r>
    </w:p>
    <w:p>
      <w:pPr>
        <w:spacing w:line="360" w:lineRule="auto"/>
        <w:ind w:firstLine="480" w:firstLineChars="200"/>
        <w:rPr>
          <w:rFonts w:ascii="宋体" w:hAnsi="宋体" w:cs="宋体"/>
          <w:sz w:val="24"/>
          <w:szCs w:val="24"/>
        </w:rPr>
      </w:pPr>
      <w:r>
        <w:rPr>
          <w:rFonts w:hint="eastAsia" w:ascii="宋体" w:hAnsi="宋体" w:cs="宋体"/>
          <w:sz w:val="24"/>
          <w:szCs w:val="24"/>
        </w:rPr>
        <w:t>开户银行：                         开户银行：</w:t>
      </w:r>
    </w:p>
    <w:p>
      <w:pPr>
        <w:spacing w:line="360" w:lineRule="auto"/>
        <w:ind w:firstLine="480" w:firstLineChars="200"/>
        <w:rPr>
          <w:rFonts w:ascii="宋体" w:hAnsi="宋体" w:cs="宋体"/>
          <w:sz w:val="24"/>
          <w:szCs w:val="24"/>
        </w:rPr>
      </w:pPr>
      <w:r>
        <w:rPr>
          <w:rFonts w:hint="eastAsia" w:ascii="宋体" w:hAnsi="宋体" w:cs="宋体"/>
          <w:sz w:val="24"/>
          <w:szCs w:val="24"/>
        </w:rPr>
        <w:t>账号：                             账号：</w:t>
      </w:r>
    </w:p>
    <w:p>
      <w:pPr>
        <w:spacing w:line="360" w:lineRule="auto"/>
        <w:ind w:firstLine="480" w:firstLineChars="200"/>
        <w:rPr>
          <w:rFonts w:ascii="宋体" w:hAnsi="宋体" w:cs="宋体"/>
          <w:sz w:val="24"/>
          <w:szCs w:val="24"/>
        </w:rPr>
      </w:pPr>
      <w:r>
        <w:rPr>
          <w:rFonts w:hint="eastAsia" w:ascii="宋体" w:hAnsi="宋体" w:cs="宋体"/>
          <w:sz w:val="24"/>
          <w:szCs w:val="24"/>
        </w:rPr>
        <w:t>电    话：                         电    话：</w:t>
      </w:r>
    </w:p>
    <w:p>
      <w:pPr>
        <w:pStyle w:val="2"/>
        <w:ind w:firstLine="404" w:firstLineChars="20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bookmarkEnd w:id="416"/>
    <w:bookmarkEnd w:id="417"/>
    <w:p>
      <w:pPr>
        <w:pStyle w:val="2"/>
        <w:rPr>
          <w:rFonts w:hint="eastAsia" w:asciiTheme="minorEastAsia" w:hAnsiTheme="minorEastAsia" w:eastAsiaTheme="minorEastAsia" w:cstheme="minorEastAsia"/>
          <w:b/>
          <w:bCs/>
          <w:kern w:val="0"/>
          <w:sz w:val="28"/>
          <w:szCs w:val="28"/>
          <w:lang w:val="en-US" w:eastAsia="zh-CN" w:bidi="ar-SA"/>
        </w:rPr>
      </w:pPr>
      <w:r>
        <w:rPr>
          <w:rFonts w:hint="eastAsia" w:asciiTheme="minorEastAsia" w:hAnsiTheme="minorEastAsia" w:eastAsiaTheme="minorEastAsia" w:cstheme="minorEastAsia"/>
          <w:b/>
          <w:bCs/>
          <w:kern w:val="0"/>
          <w:sz w:val="28"/>
          <w:szCs w:val="28"/>
          <w:lang w:val="en-US" w:eastAsia="zh-CN" w:bidi="ar-SA"/>
        </w:rPr>
        <w:t>附件1</w:t>
      </w:r>
    </w:p>
    <w:p>
      <w:r>
        <w:drawing>
          <wp:inline distT="0" distB="0" distL="0" distR="0">
            <wp:extent cx="5276850" cy="7458075"/>
            <wp:effectExtent l="0" t="0" r="0"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0"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0"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pPr>
        <w:jc w:val="center"/>
      </w:pPr>
      <w:r>
        <w:drawing>
          <wp:inline distT="0" distB="0" distL="0" distR="0">
            <wp:extent cx="5276850" cy="745807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Pr>
        <w:jc w:val="center"/>
      </w:pPr>
    </w:p>
    <w:p>
      <w:pPr>
        <w:pStyle w:val="2"/>
      </w:pPr>
    </w:p>
    <w:p/>
    <w:p>
      <w:pPr>
        <w:pStyle w:val="2"/>
      </w:pPr>
    </w:p>
    <w:p/>
    <w:p>
      <w:pPr>
        <w:pStyle w:val="2"/>
        <w:rPr>
          <w:rFonts w:ascii="黑体" w:hAnsi="黑体" w:eastAsia="黑体" w:cs="黑体"/>
          <w:sz w:val="28"/>
          <w:szCs w:val="28"/>
        </w:rPr>
      </w:pPr>
      <w:r>
        <w:rPr>
          <w:rFonts w:hint="eastAsia" w:ascii="黑体" w:hAnsi="黑体" w:eastAsia="黑体" w:cs="黑体"/>
          <w:sz w:val="28"/>
          <w:szCs w:val="28"/>
        </w:rPr>
        <w:t>附件2</w:t>
      </w:r>
    </w:p>
    <w:p>
      <w:pPr>
        <w:jc w:val="center"/>
      </w:pPr>
      <w:r>
        <w:rPr>
          <w:rFonts w:hint="eastAsia"/>
        </w:rPr>
        <w:t>、</w:t>
      </w:r>
      <w:r>
        <w:drawing>
          <wp:inline distT="0" distB="0" distL="0" distR="0">
            <wp:extent cx="4907280" cy="6797040"/>
            <wp:effectExtent l="0" t="0" r="7620" b="38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2" cstate="print"/>
                    <a:stretch>
                      <a:fillRect/>
                    </a:stretch>
                  </pic:blipFill>
                  <pic:spPr>
                    <a:xfrm>
                      <a:off x="0" y="0"/>
                      <a:ext cx="4907705" cy="6797629"/>
                    </a:xfrm>
                    <a:prstGeom prst="rect">
                      <a:avLst/>
                    </a:prstGeom>
                  </pic:spPr>
                </pic:pic>
              </a:graphicData>
            </a:graphic>
          </wp:inline>
        </w:drawing>
      </w:r>
    </w:p>
    <w:p>
      <w:pPr>
        <w:jc w:val="center"/>
      </w:pPr>
      <w:r>
        <w:drawing>
          <wp:inline distT="0" distB="0" distL="0" distR="0">
            <wp:extent cx="4991100" cy="6675120"/>
            <wp:effectExtent l="0" t="0" r="0" b="1143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3" cstate="print"/>
                    <a:stretch>
                      <a:fillRect/>
                    </a:stretch>
                  </pic:blipFill>
                  <pic:spPr>
                    <a:xfrm>
                      <a:off x="0" y="0"/>
                      <a:ext cx="4991533" cy="6675698"/>
                    </a:xfrm>
                    <a:prstGeom prst="rect">
                      <a:avLst/>
                    </a:prstGeom>
                  </pic:spPr>
                </pic:pic>
              </a:graphicData>
            </a:graphic>
          </wp:inline>
        </w:drawing>
      </w:r>
    </w:p>
    <w:p/>
    <w:p/>
    <w:p>
      <w:pPr>
        <w:jc w:val="center"/>
        <w:sectPr>
          <w:headerReference r:id="rId3" w:type="default"/>
          <w:footerReference r:id="rId4" w:type="default"/>
          <w:pgSz w:w="11906" w:h="16838"/>
          <w:pgMar w:top="1440" w:right="1701" w:bottom="1440" w:left="1701" w:header="851" w:footer="992" w:gutter="0"/>
          <w:cols w:space="425" w:num="1"/>
          <w:docGrid w:type="lines" w:linePitch="312" w:charSpace="0"/>
        </w:sectPr>
      </w:pPr>
    </w:p>
    <w:p>
      <w:pPr>
        <w:jc w:val="center"/>
        <w:sectPr>
          <w:pgSz w:w="16838" w:h="11906" w:orient="landscape"/>
          <w:pgMar w:top="1800" w:right="1440" w:bottom="1800" w:left="1440" w:header="851" w:footer="992" w:gutter="0"/>
          <w:cols w:space="425" w:num="1"/>
          <w:docGrid w:type="lines" w:linePitch="312" w:charSpace="0"/>
        </w:sectPr>
      </w:pPr>
      <w:r>
        <w:drawing>
          <wp:inline distT="0" distB="0" distL="0" distR="0">
            <wp:extent cx="7559675" cy="4876800"/>
            <wp:effectExtent l="0" t="0" r="317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4" cstate="print"/>
                    <a:stretch>
                      <a:fillRect/>
                    </a:stretch>
                  </pic:blipFill>
                  <pic:spPr>
                    <a:xfrm>
                      <a:off x="0" y="0"/>
                      <a:ext cx="7559695" cy="4877223"/>
                    </a:xfrm>
                    <a:prstGeom prst="rect">
                      <a:avLst/>
                    </a:prstGeom>
                  </pic:spPr>
                </pic:pic>
              </a:graphicData>
            </a:graphic>
          </wp:inline>
        </w:drawing>
      </w:r>
    </w:p>
    <w:p>
      <w:r>
        <w:drawing>
          <wp:inline distT="0" distB="0" distL="0" distR="0">
            <wp:extent cx="5105400" cy="6530340"/>
            <wp:effectExtent l="0" t="0" r="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5" cstate="print"/>
                    <a:stretch>
                      <a:fillRect/>
                    </a:stretch>
                  </pic:blipFill>
                  <pic:spPr>
                    <a:xfrm>
                      <a:off x="0" y="0"/>
                      <a:ext cx="5105842" cy="6530906"/>
                    </a:xfrm>
                    <a:prstGeom prst="rect">
                      <a:avLst/>
                    </a:prstGeom>
                  </pic:spPr>
                </pic:pic>
              </a:graphicData>
            </a:graphic>
          </wp:inline>
        </w:drawing>
      </w:r>
    </w:p>
    <w:p>
      <w:pPr>
        <w:tabs>
          <w:tab w:val="left" w:pos="937"/>
        </w:tabs>
        <w:adjustRightInd w:val="0"/>
        <w:snapToGrid w:val="0"/>
        <w:spacing w:line="560" w:lineRule="exact"/>
      </w:pPr>
    </w:p>
    <w:p/>
    <w:p/>
    <w:p/>
    <w:p/>
    <w:p>
      <w:pPr>
        <w:pStyle w:val="2"/>
      </w:pPr>
    </w:p>
    <w:p/>
    <w:p>
      <w:pPr>
        <w:pStyle w:val="2"/>
      </w:pPr>
    </w:p>
    <w:p/>
    <w:p>
      <w:pPr>
        <w:pStyle w:val="2"/>
        <w:rPr>
          <w:rFonts w:ascii="黑体" w:hAnsi="黑体" w:eastAsia="黑体" w:cs="黑体"/>
          <w:sz w:val="28"/>
          <w:szCs w:val="28"/>
        </w:rPr>
      </w:pPr>
      <w:r>
        <w:rPr>
          <w:rFonts w:hint="eastAsia" w:ascii="黑体" w:hAnsi="黑体" w:eastAsia="黑体" w:cs="黑体"/>
          <w:sz w:val="28"/>
          <w:szCs w:val="28"/>
        </w:rPr>
        <w:t>附件3</w:t>
      </w:r>
    </w:p>
    <w:p>
      <w:r>
        <w:drawing>
          <wp:inline distT="0" distB="0" distL="0" distR="0">
            <wp:extent cx="5180330" cy="8003540"/>
            <wp:effectExtent l="0" t="0" r="1270" b="16510"/>
            <wp:docPr id="15" name="图片 15" descr="QQ截图2020042417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QQ截图20200424174415"/>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80330" cy="8003540"/>
                    </a:xfrm>
                    <a:prstGeom prst="rect">
                      <a:avLst/>
                    </a:prstGeom>
                    <a:noFill/>
                    <a:ln>
                      <a:noFill/>
                    </a:ln>
                  </pic:spPr>
                </pic:pic>
              </a:graphicData>
            </a:graphic>
          </wp:inline>
        </w:drawing>
      </w:r>
    </w:p>
    <w:p>
      <w:r>
        <w:drawing>
          <wp:inline distT="0" distB="0" distL="0" distR="0">
            <wp:extent cx="5273040" cy="8199120"/>
            <wp:effectExtent l="0" t="0" r="3810" b="11430"/>
            <wp:docPr id="20" name="图片 20" descr="QQ截图2020042417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QQ截图20200424174424"/>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3040" cy="8199120"/>
                    </a:xfrm>
                    <a:prstGeom prst="rect">
                      <a:avLst/>
                    </a:prstGeom>
                    <a:noFill/>
                    <a:ln>
                      <a:noFill/>
                    </a:ln>
                  </pic:spPr>
                </pic:pic>
              </a:graphicData>
            </a:graphic>
          </wp:inline>
        </w:drawing>
      </w:r>
    </w:p>
    <w:p>
      <w:r>
        <w:drawing>
          <wp:inline distT="0" distB="0" distL="0" distR="0">
            <wp:extent cx="5273040" cy="8016240"/>
            <wp:effectExtent l="0" t="0" r="3810" b="3810"/>
            <wp:docPr id="21" name="图片 21" descr="QQ截图2020042417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QQ截图2020042417443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3040" cy="8016240"/>
                    </a:xfrm>
                    <a:prstGeom prst="rect">
                      <a:avLst/>
                    </a:prstGeom>
                    <a:noFill/>
                    <a:ln>
                      <a:noFill/>
                    </a:ln>
                  </pic:spPr>
                </pic:pic>
              </a:graphicData>
            </a:graphic>
          </wp:inline>
        </w:drawing>
      </w:r>
    </w:p>
    <w:p>
      <w:r>
        <w:drawing>
          <wp:inline distT="0" distB="0" distL="0" distR="0">
            <wp:extent cx="5273040" cy="7901940"/>
            <wp:effectExtent l="0" t="0" r="3810" b="3810"/>
            <wp:docPr id="22" name="图片 22" descr="QQ截图2020042417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QQ截图20200424174438"/>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3040" cy="7901940"/>
                    </a:xfrm>
                    <a:prstGeom prst="rect">
                      <a:avLst/>
                    </a:prstGeom>
                    <a:noFill/>
                    <a:ln>
                      <a:noFill/>
                    </a:ln>
                  </pic:spPr>
                </pic:pic>
              </a:graphicData>
            </a:graphic>
          </wp:inline>
        </w:drawing>
      </w:r>
    </w:p>
    <w:p/>
    <w:p/>
    <w:p>
      <w:pPr>
        <w:pStyle w:val="2"/>
      </w:pPr>
    </w:p>
    <w:p/>
    <w:p>
      <w:pPr>
        <w:pStyle w:val="2"/>
        <w:rPr>
          <w:rFonts w:ascii="黑体" w:hAnsi="黑体" w:eastAsia="黑体" w:cs="黑体"/>
          <w:sz w:val="28"/>
          <w:szCs w:val="28"/>
        </w:rPr>
      </w:pPr>
      <w:r>
        <w:rPr>
          <w:rFonts w:hint="eastAsia" w:ascii="黑体" w:hAnsi="黑体" w:eastAsia="黑体" w:cs="黑体"/>
          <w:sz w:val="28"/>
          <w:szCs w:val="28"/>
        </w:rPr>
        <w:t>附件4</w:t>
      </w:r>
    </w:p>
    <w:p/>
    <w:p>
      <w:pPr>
        <w:pStyle w:val="2"/>
      </w:pPr>
      <w:r>
        <w:rPr>
          <w:rFonts w:hint="eastAsia"/>
        </w:rPr>
        <w:t>f</w:t>
      </w:r>
      <w:r>
        <w:drawing>
          <wp:inline distT="0" distB="0" distL="114300" distR="114300">
            <wp:extent cx="5724525" cy="6715125"/>
            <wp:effectExtent l="0" t="0" r="9525" b="952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30" cstate="print"/>
                    <a:stretch>
                      <a:fillRect/>
                    </a:stretch>
                  </pic:blipFill>
                  <pic:spPr>
                    <a:xfrm>
                      <a:off x="0" y="0"/>
                      <a:ext cx="5724525" cy="6715125"/>
                    </a:xfrm>
                    <a:prstGeom prst="rect">
                      <a:avLst/>
                    </a:prstGeom>
                    <a:noFill/>
                    <a:ln>
                      <a:noFill/>
                    </a:ln>
                  </pic:spPr>
                </pic:pic>
              </a:graphicData>
            </a:graphic>
          </wp:inline>
        </w:drawing>
      </w:r>
    </w:p>
    <w:p>
      <w:pPr>
        <w:pStyle w:val="2"/>
      </w:pPr>
    </w:p>
    <w:p>
      <w:pPr>
        <w:pStyle w:val="2"/>
      </w:pPr>
    </w:p>
    <w:p>
      <w:pPr>
        <w:pStyle w:val="2"/>
      </w:pPr>
    </w:p>
    <w:p>
      <w:pPr>
        <w:pStyle w:val="2"/>
      </w:pPr>
    </w:p>
    <w:p>
      <w:pPr>
        <w:pStyle w:val="2"/>
      </w:pPr>
      <w:r>
        <w:drawing>
          <wp:inline distT="0" distB="0" distL="114300" distR="114300">
            <wp:extent cx="5724525" cy="6638925"/>
            <wp:effectExtent l="0" t="0" r="9525" b="9525"/>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31" cstate="print"/>
                    <a:stretch>
                      <a:fillRect/>
                    </a:stretch>
                  </pic:blipFill>
                  <pic:spPr>
                    <a:xfrm>
                      <a:off x="0" y="0"/>
                      <a:ext cx="5724525" cy="6638925"/>
                    </a:xfrm>
                    <a:prstGeom prst="rect">
                      <a:avLst/>
                    </a:prstGeom>
                    <a:noFill/>
                    <a:ln>
                      <a:noFill/>
                    </a:ln>
                  </pic:spPr>
                </pic:pic>
              </a:graphicData>
            </a:graphic>
          </wp:inline>
        </w:drawing>
      </w:r>
    </w:p>
    <w:p>
      <w:pPr>
        <w:pStyle w:val="2"/>
      </w:pPr>
    </w:p>
    <w:p>
      <w:pPr>
        <w:pStyle w:val="2"/>
      </w:pPr>
    </w:p>
    <w:p>
      <w:pPr>
        <w:pStyle w:val="2"/>
      </w:pPr>
    </w:p>
    <w:p>
      <w:pPr>
        <w:pStyle w:val="2"/>
      </w:pPr>
    </w:p>
    <w:p>
      <w:pPr>
        <w:pStyle w:val="2"/>
      </w:pPr>
    </w:p>
    <w:p>
      <w:pPr>
        <w:pStyle w:val="2"/>
      </w:pPr>
    </w:p>
    <w:p>
      <w:pPr>
        <w:pStyle w:val="2"/>
      </w:pPr>
    </w:p>
    <w:p>
      <w:pPr>
        <w:pStyle w:val="2"/>
      </w:pPr>
      <w:r>
        <w:drawing>
          <wp:inline distT="0" distB="0" distL="114300" distR="114300">
            <wp:extent cx="5724525" cy="6800850"/>
            <wp:effectExtent l="0" t="0" r="9525" b="0"/>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32" cstate="print"/>
                    <a:stretch>
                      <a:fillRect/>
                    </a:stretch>
                  </pic:blipFill>
                  <pic:spPr>
                    <a:xfrm>
                      <a:off x="0" y="0"/>
                      <a:ext cx="5724525" cy="6800850"/>
                    </a:xfrm>
                    <a:prstGeom prst="rect">
                      <a:avLst/>
                    </a:prstGeom>
                    <a:noFill/>
                    <a:ln>
                      <a:noFill/>
                    </a:ln>
                  </pic:spPr>
                </pic:pic>
              </a:graphicData>
            </a:graphic>
          </wp:inline>
        </w:drawing>
      </w:r>
    </w:p>
    <w:p>
      <w:pPr>
        <w:pStyle w:val="2"/>
      </w:pPr>
    </w:p>
    <w:p>
      <w:pPr>
        <w:pStyle w:val="2"/>
      </w:pPr>
    </w:p>
    <w:p>
      <w:pPr>
        <w:pStyle w:val="2"/>
      </w:pPr>
    </w:p>
    <w:p>
      <w:pPr>
        <w:pStyle w:val="2"/>
      </w:pPr>
    </w:p>
    <w:p>
      <w:pPr>
        <w:pStyle w:val="2"/>
      </w:pPr>
    </w:p>
    <w:p>
      <w:pPr>
        <w:pStyle w:val="2"/>
      </w:pPr>
    </w:p>
    <w:p>
      <w:pPr>
        <w:pStyle w:val="2"/>
      </w:pPr>
    </w:p>
    <w:p>
      <w:pPr>
        <w:pStyle w:val="2"/>
      </w:pPr>
      <w:r>
        <w:drawing>
          <wp:inline distT="0" distB="0" distL="114300" distR="114300">
            <wp:extent cx="5724525" cy="6629400"/>
            <wp:effectExtent l="0" t="0" r="9525" b="0"/>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33" cstate="print"/>
                    <a:stretch>
                      <a:fillRect/>
                    </a:stretch>
                  </pic:blipFill>
                  <pic:spPr>
                    <a:xfrm>
                      <a:off x="0" y="0"/>
                      <a:ext cx="5724525" cy="6629400"/>
                    </a:xfrm>
                    <a:prstGeom prst="rect">
                      <a:avLst/>
                    </a:prstGeom>
                    <a:noFill/>
                    <a:ln>
                      <a:noFill/>
                    </a:ln>
                  </pic:spPr>
                </pic:pic>
              </a:graphicData>
            </a:graphic>
          </wp:inline>
        </w:drawing>
      </w:r>
    </w:p>
    <w:p>
      <w:pPr>
        <w:pStyle w:val="2"/>
      </w:pPr>
    </w:p>
    <w:p>
      <w:pPr>
        <w:pStyle w:val="2"/>
      </w:pPr>
    </w:p>
    <w:p>
      <w:pPr>
        <w:pStyle w:val="2"/>
      </w:pPr>
    </w:p>
    <w:p>
      <w:pPr>
        <w:pStyle w:val="2"/>
      </w:pPr>
    </w:p>
    <w:p>
      <w:pPr>
        <w:pStyle w:val="2"/>
      </w:pPr>
    </w:p>
    <w:p>
      <w:pPr>
        <w:pStyle w:val="2"/>
      </w:pPr>
    </w:p>
    <w:p>
      <w:pPr>
        <w:pStyle w:val="2"/>
      </w:pPr>
    </w:p>
    <w:p>
      <w:pPr>
        <w:pStyle w:val="2"/>
      </w:pPr>
      <w:r>
        <w:drawing>
          <wp:inline distT="0" distB="0" distL="114300" distR="114300">
            <wp:extent cx="5724525" cy="6619875"/>
            <wp:effectExtent l="0" t="0" r="9525" b="9525"/>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34" cstate="print"/>
                    <a:stretch>
                      <a:fillRect/>
                    </a:stretch>
                  </pic:blipFill>
                  <pic:spPr>
                    <a:xfrm>
                      <a:off x="0" y="0"/>
                      <a:ext cx="5724525" cy="6619875"/>
                    </a:xfrm>
                    <a:prstGeom prst="rect">
                      <a:avLst/>
                    </a:prstGeom>
                    <a:noFill/>
                    <a:ln>
                      <a:noFill/>
                    </a:ln>
                  </pic:spPr>
                </pic:pic>
              </a:graphicData>
            </a:graphic>
          </wp:inline>
        </w:drawing>
      </w:r>
    </w:p>
    <w:p>
      <w:pPr>
        <w:pStyle w:val="2"/>
      </w:pPr>
    </w:p>
    <w:p>
      <w:pPr>
        <w:pStyle w:val="2"/>
      </w:pPr>
    </w:p>
    <w:p>
      <w:pPr>
        <w:pStyle w:val="2"/>
      </w:pPr>
    </w:p>
    <w:p>
      <w:pPr>
        <w:pStyle w:val="2"/>
      </w:pPr>
    </w:p>
    <w:p>
      <w:pPr>
        <w:pStyle w:val="2"/>
      </w:pPr>
    </w:p>
    <w:p>
      <w:pPr>
        <w:pStyle w:val="2"/>
      </w:pPr>
    </w:p>
    <w:p>
      <w:pPr>
        <w:pStyle w:val="2"/>
      </w:pPr>
    </w:p>
    <w:p>
      <w:pPr>
        <w:pStyle w:val="2"/>
      </w:pPr>
      <w:r>
        <w:drawing>
          <wp:inline distT="0" distB="0" distL="114300" distR="114300">
            <wp:extent cx="5724525" cy="6734175"/>
            <wp:effectExtent l="0" t="0" r="9525" b="9525"/>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35" cstate="print"/>
                    <a:stretch>
                      <a:fillRect/>
                    </a:stretch>
                  </pic:blipFill>
                  <pic:spPr>
                    <a:xfrm>
                      <a:off x="0" y="0"/>
                      <a:ext cx="5724525" cy="6734175"/>
                    </a:xfrm>
                    <a:prstGeom prst="rect">
                      <a:avLst/>
                    </a:prstGeom>
                    <a:noFill/>
                    <a:ln>
                      <a:noFill/>
                    </a:ln>
                  </pic:spPr>
                </pic:pic>
              </a:graphicData>
            </a:graphic>
          </wp:inline>
        </w:drawing>
      </w:r>
    </w:p>
    <w:p>
      <w:pPr>
        <w:pStyle w:val="2"/>
      </w:pPr>
    </w:p>
    <w:p>
      <w:pPr>
        <w:pStyle w:val="2"/>
      </w:pPr>
    </w:p>
    <w:p>
      <w:pPr>
        <w:pStyle w:val="2"/>
      </w:pPr>
    </w:p>
    <w:p>
      <w:pPr>
        <w:pStyle w:val="2"/>
      </w:pPr>
    </w:p>
    <w:p>
      <w:pPr>
        <w:pStyle w:val="2"/>
      </w:pPr>
    </w:p>
    <w:p>
      <w:pPr>
        <w:pStyle w:val="2"/>
      </w:pPr>
    </w:p>
    <w:p>
      <w:pPr>
        <w:pStyle w:val="2"/>
      </w:pPr>
    </w:p>
    <w:p>
      <w:pPr>
        <w:pStyle w:val="2"/>
      </w:pPr>
      <w:r>
        <w:drawing>
          <wp:inline distT="0" distB="0" distL="114300" distR="114300">
            <wp:extent cx="5905500" cy="6953250"/>
            <wp:effectExtent l="0" t="0" r="0" b="0"/>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36" cstate="print"/>
                    <a:stretch>
                      <a:fillRect/>
                    </a:stretch>
                  </pic:blipFill>
                  <pic:spPr>
                    <a:xfrm>
                      <a:off x="0" y="0"/>
                      <a:ext cx="5905500" cy="6953250"/>
                    </a:xfrm>
                    <a:prstGeom prst="rect">
                      <a:avLst/>
                    </a:prstGeom>
                    <a:noFill/>
                    <a:ln>
                      <a:noFill/>
                    </a:ln>
                  </pic:spPr>
                </pic:pic>
              </a:graphicData>
            </a:graphic>
          </wp:inline>
        </w:drawing>
      </w:r>
    </w:p>
    <w:p/>
    <w:p>
      <w:pPr>
        <w:pStyle w:val="2"/>
        <w:rPr>
          <w:color w:val="000000" w:themeColor="text1"/>
          <w14:textFill>
            <w14:solidFill>
              <w14:schemeClr w14:val="tx1"/>
            </w14:solidFill>
          </w14:textFill>
        </w:rPr>
      </w:pPr>
    </w:p>
    <w:sectPr>
      <w:headerReference r:id="rId5" w:type="default"/>
      <w:footerReference r:id="rId6"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Narrow">
    <w:altName w:val="Arial"/>
    <w:panose1 w:val="020B0606020202030204"/>
    <w:charset w:val="00"/>
    <w:family w:val="swiss"/>
    <w:pitch w:val="default"/>
    <w:sig w:usb0="00000000" w:usb1="00000000" w:usb2="00000000" w:usb3="00000000" w:csb0="2000009F" w:csb1="DFD70000"/>
  </w:font>
  <w:font w:name="楷体_GB2312">
    <w:panose1 w:val="02010609030101010101"/>
    <w:charset w:val="86"/>
    <w:family w:val="modern"/>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Cambria">
    <w:panose1 w:val="02040503050406030204"/>
    <w:charset w:val="00"/>
    <w:family w:val="roman"/>
    <w:pitch w:val="default"/>
    <w:sig w:usb0="E00002FF" w:usb1="400004FF"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10006FF" w:usb1="4000205B" w:usb2="00000010" w:usb3="00000000" w:csb0="2000019F" w:csb1="00000000"/>
  </w:font>
  <w:font w:name="Times New (W1)">
    <w:altName w:val="Times New Roman"/>
    <w:panose1 w:val="00000000000000000000"/>
    <w:charset w:val="00"/>
    <w:family w:val="roman"/>
    <w:pitch w:val="default"/>
    <w:sig w:usb0="00000000" w:usb1="00000000" w:usb2="00000000" w:usb3="00000000" w:csb0="00000000" w:csb1="00000000"/>
  </w:font>
  <w:font w:name="Arial (W1)">
    <w:altName w:val="Arial"/>
    <w:panose1 w:val="00000000000000000000"/>
    <w:charset w:val="00"/>
    <w:family w:val="swiss"/>
    <w:pitch w:val="default"/>
    <w:sig w:usb0="00000000" w:usb1="00000000" w:usb2="00000008" w:usb3="00000000" w:csb0="000001FF" w:csb1="00000000"/>
  </w:font>
  <w:font w:name="隶书">
    <w:altName w:val="微软雅黑"/>
    <w:panose1 w:val="02010509060101010101"/>
    <w:charset w:val="86"/>
    <w:family w:val="modern"/>
    <w:pitch w:val="default"/>
    <w:sig w:usb0="00000000" w:usb1="00000000" w:usb2="00000000" w:usb3="00000000" w:csb0="00040000" w:csb1="00000000"/>
  </w:font>
  <w:font w:name="Helvetica">
    <w:panose1 w:val="020B0604020202020204"/>
    <w:charset w:val="00"/>
    <w:family w:val="swiss"/>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640"/>
      <w:jc w:val="center"/>
    </w:pPr>
    <w:r>
      <w:fldChar w:fldCharType="begin"/>
    </w:r>
    <w:r>
      <w:instrText xml:space="preserve">PAGE   \* MERGEFORMAT</w:instrText>
    </w:r>
    <w:r>
      <w:fldChar w:fldCharType="separate"/>
    </w:r>
    <w:r>
      <w:rPr>
        <w:lang w:val="zh-CN"/>
      </w:rPr>
      <w:t>132</w:t>
    </w:r>
    <w:r>
      <w:rPr>
        <w:lang w:val="zh-CN"/>
      </w:rPr>
      <w:fldChar w:fldCharType="end"/>
    </w:r>
  </w:p>
  <w:p>
    <w:pPr>
      <w:pStyle w:val="29"/>
      <w:ind w:firstLine="6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lETlDRECAAAJBAAADgAAAAAAAAABACAA&#10;AAAfAQAAZHJzL2Uyb0RvYy54bWxQSwUGAAAAAAYABgBZAQAAogUAAAAA&#10;">
              <v:fill on="f" focussize="0,0"/>
              <v:stroke on="f" weight="0.5pt"/>
              <v:imagedata o:title=""/>
              <o:lock v:ext="edit" aspectratio="f"/>
              <v:textbox inset="0mm,0mm,0mm,0mm" style="mso-fit-shape-to-text:t;">
                <w:txbxContent>
                  <w:p>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w:t>
                    </w:r>
                    <w:r>
                      <w:rPr>
                        <w:rFonts w:hint="eastAsia"/>
                        <w:sz w:val="1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1"/>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9"/>
    <w:multiLevelType w:val="multilevel"/>
    <w:tmpl w:val="00000009"/>
    <w:lvl w:ilvl="0" w:tentative="0">
      <w:start w:val="1"/>
      <w:numFmt w:val="chineseCountingThousand"/>
      <w:lvlText w:val="%1、"/>
      <w:lvlJc w:val="left"/>
      <w:pPr>
        <w:ind w:left="1271" w:hanging="420"/>
      </w:pPr>
    </w:lvl>
    <w:lvl w:ilvl="1" w:tentative="0">
      <w:start w:val="1"/>
      <w:numFmt w:val="japaneseCounting"/>
      <w:lvlText w:val="（%2）"/>
      <w:lvlJc w:val="left"/>
      <w:pPr>
        <w:ind w:left="1830" w:hanging="885"/>
      </w:pPr>
      <w:rPr>
        <w:lang w:val="en-US"/>
      </w:rPr>
    </w:lvl>
    <w:lvl w:ilvl="2" w:tentative="0">
      <w:start w:val="1"/>
      <w:numFmt w:val="lowerRoman"/>
      <w:lvlText w:val="%3."/>
      <w:lvlJc w:val="right"/>
      <w:pPr>
        <w:ind w:left="1785" w:hanging="420"/>
      </w:pPr>
    </w:lvl>
    <w:lvl w:ilvl="3" w:tentative="0">
      <w:start w:val="1"/>
      <w:numFmt w:val="decimal"/>
      <w:lvlText w:val="%4."/>
      <w:lvlJc w:val="left"/>
      <w:pPr>
        <w:ind w:left="2205" w:hanging="420"/>
      </w:pPr>
    </w:lvl>
    <w:lvl w:ilvl="4" w:tentative="0">
      <w:start w:val="1"/>
      <w:numFmt w:val="lowerLetter"/>
      <w:lvlText w:val="%5)"/>
      <w:lvlJc w:val="left"/>
      <w:pPr>
        <w:ind w:left="2625" w:hanging="420"/>
      </w:pPr>
    </w:lvl>
    <w:lvl w:ilvl="5" w:tentative="0">
      <w:start w:val="1"/>
      <w:numFmt w:val="lowerRoman"/>
      <w:lvlText w:val="%6."/>
      <w:lvlJc w:val="right"/>
      <w:pPr>
        <w:ind w:left="3045" w:hanging="420"/>
      </w:pPr>
    </w:lvl>
    <w:lvl w:ilvl="6" w:tentative="0">
      <w:start w:val="1"/>
      <w:numFmt w:val="decimal"/>
      <w:lvlText w:val="%7."/>
      <w:lvlJc w:val="left"/>
      <w:pPr>
        <w:ind w:left="3465" w:hanging="420"/>
      </w:pPr>
    </w:lvl>
    <w:lvl w:ilvl="7" w:tentative="0">
      <w:start w:val="1"/>
      <w:numFmt w:val="lowerLetter"/>
      <w:lvlText w:val="%8)"/>
      <w:lvlJc w:val="left"/>
      <w:pPr>
        <w:ind w:left="3885" w:hanging="420"/>
      </w:pPr>
    </w:lvl>
    <w:lvl w:ilvl="8" w:tentative="0">
      <w:start w:val="1"/>
      <w:numFmt w:val="lowerRoman"/>
      <w:lvlText w:val="%9."/>
      <w:lvlJc w:val="right"/>
      <w:pPr>
        <w:ind w:left="4305" w:hanging="420"/>
      </w:pPr>
    </w:lvl>
  </w:abstractNum>
  <w:abstractNum w:abstractNumId="1">
    <w:nsid w:val="00000012"/>
    <w:multiLevelType w:val="multilevel"/>
    <w:tmpl w:val="00000012"/>
    <w:lvl w:ilvl="0" w:tentative="0">
      <w:start w:val="1"/>
      <w:numFmt w:val="chineseCountingThousand"/>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
    <w:nsid w:val="00000013"/>
    <w:multiLevelType w:val="multilevel"/>
    <w:tmpl w:val="00000013"/>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15"/>
    <w:multiLevelType w:val="multilevel"/>
    <w:tmpl w:val="00000015"/>
    <w:lvl w:ilvl="0" w:tentative="0">
      <w:start w:val="1"/>
      <w:numFmt w:val="chineseCountingThousand"/>
      <w:lvlText w:val="%1、"/>
      <w:lvlJc w:val="left"/>
      <w:pPr>
        <w:ind w:left="1271"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0000016"/>
    <w:multiLevelType w:val="multilevel"/>
    <w:tmpl w:val="00000016"/>
    <w:lvl w:ilvl="0" w:tentative="0">
      <w:start w:val="1"/>
      <w:numFmt w:val="decimal"/>
      <w:lvlText w:val="%1."/>
      <w:lvlJc w:val="left"/>
      <w:pPr>
        <w:tabs>
          <w:tab w:val="left" w:pos="704"/>
        </w:tabs>
        <w:ind w:left="704" w:hanging="420"/>
      </w:pPr>
    </w:lvl>
    <w:lvl w:ilvl="1" w:tentative="0">
      <w:start w:val="1"/>
      <w:numFmt w:val="lowerLetter"/>
      <w:pStyle w:val="92"/>
      <w:lvlText w:val="%2)"/>
      <w:lvlJc w:val="left"/>
      <w:pPr>
        <w:tabs>
          <w:tab w:val="left" w:pos="1124"/>
        </w:tabs>
        <w:ind w:left="1124" w:hanging="420"/>
      </w:pPr>
    </w:lvl>
    <w:lvl w:ilvl="2" w:tentative="0">
      <w:start w:val="1"/>
      <w:numFmt w:val="lowerRoman"/>
      <w:lvlText w:val="%3."/>
      <w:lvlJc w:val="right"/>
      <w:pPr>
        <w:tabs>
          <w:tab w:val="left" w:pos="1544"/>
        </w:tabs>
        <w:ind w:left="1544" w:hanging="420"/>
      </w:pPr>
    </w:lvl>
    <w:lvl w:ilvl="3" w:tentative="0">
      <w:start w:val="1"/>
      <w:numFmt w:val="decimal"/>
      <w:lvlText w:val="%4."/>
      <w:lvlJc w:val="left"/>
      <w:pPr>
        <w:tabs>
          <w:tab w:val="left" w:pos="1964"/>
        </w:tabs>
        <w:ind w:left="1964" w:hanging="420"/>
      </w:pPr>
    </w:lvl>
    <w:lvl w:ilvl="4" w:tentative="0">
      <w:start w:val="1"/>
      <w:numFmt w:val="lowerLetter"/>
      <w:lvlText w:val="%5)"/>
      <w:lvlJc w:val="left"/>
      <w:pPr>
        <w:tabs>
          <w:tab w:val="left" w:pos="2384"/>
        </w:tabs>
        <w:ind w:left="2384" w:hanging="420"/>
      </w:pPr>
    </w:lvl>
    <w:lvl w:ilvl="5" w:tentative="0">
      <w:start w:val="1"/>
      <w:numFmt w:val="lowerRoman"/>
      <w:lvlText w:val="%6."/>
      <w:lvlJc w:val="right"/>
      <w:pPr>
        <w:tabs>
          <w:tab w:val="left" w:pos="2804"/>
        </w:tabs>
        <w:ind w:left="2804" w:hanging="420"/>
      </w:pPr>
    </w:lvl>
    <w:lvl w:ilvl="6" w:tentative="0">
      <w:start w:val="1"/>
      <w:numFmt w:val="decimal"/>
      <w:lvlText w:val="%7."/>
      <w:lvlJc w:val="left"/>
      <w:pPr>
        <w:tabs>
          <w:tab w:val="left" w:pos="3224"/>
        </w:tabs>
        <w:ind w:left="3224" w:hanging="420"/>
      </w:pPr>
    </w:lvl>
    <w:lvl w:ilvl="7" w:tentative="0">
      <w:start w:val="1"/>
      <w:numFmt w:val="lowerLetter"/>
      <w:lvlText w:val="%8)"/>
      <w:lvlJc w:val="left"/>
      <w:pPr>
        <w:tabs>
          <w:tab w:val="left" w:pos="3644"/>
        </w:tabs>
        <w:ind w:left="3644" w:hanging="420"/>
      </w:pPr>
    </w:lvl>
    <w:lvl w:ilvl="8" w:tentative="0">
      <w:start w:val="1"/>
      <w:numFmt w:val="lowerRoman"/>
      <w:lvlText w:val="%9."/>
      <w:lvlJc w:val="right"/>
      <w:pPr>
        <w:tabs>
          <w:tab w:val="left" w:pos="4064"/>
        </w:tabs>
        <w:ind w:left="4064" w:hanging="420"/>
      </w:pPr>
    </w:lvl>
  </w:abstractNum>
  <w:abstractNum w:abstractNumId="5">
    <w:nsid w:val="00000018"/>
    <w:multiLevelType w:val="multilevel"/>
    <w:tmpl w:val="00000018"/>
    <w:lvl w:ilvl="0" w:tentative="0">
      <w:start w:val="1"/>
      <w:numFmt w:val="chineseCountingThousand"/>
      <w:lvlText w:val="%1、"/>
      <w:lvlJc w:val="left"/>
      <w:pPr>
        <w:ind w:left="966" w:hanging="420"/>
      </w:p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6">
    <w:nsid w:val="0000001F"/>
    <w:multiLevelType w:val="multilevel"/>
    <w:tmpl w:val="0000001F"/>
    <w:lvl w:ilvl="0" w:tentative="0">
      <w:start w:val="1"/>
      <w:numFmt w:val="chineseCountingThousand"/>
      <w:lvlText w:val="%1、"/>
      <w:lvlJc w:val="left"/>
      <w:pPr>
        <w:ind w:left="980" w:hanging="420"/>
      </w:pPr>
    </w:lvl>
    <w:lvl w:ilvl="1" w:tentative="0">
      <w:start w:val="1"/>
      <w:numFmt w:val="decimal"/>
      <w:lvlText w:val="（%2）"/>
      <w:lvlJc w:val="left"/>
      <w:pPr>
        <w:ind w:left="1700" w:hanging="7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7">
    <w:nsid w:val="00000021"/>
    <w:multiLevelType w:val="multilevel"/>
    <w:tmpl w:val="00000021"/>
    <w:lvl w:ilvl="0" w:tentative="0">
      <w:start w:val="1"/>
      <w:numFmt w:val="chineseCountingThousand"/>
      <w:lvlText w:val="(%1)"/>
      <w:lvlJc w:val="left"/>
      <w:pPr>
        <w:ind w:left="980" w:hanging="420"/>
      </w:pPr>
    </w:lvl>
    <w:lvl w:ilvl="1" w:tentative="0">
      <w:start w:val="1"/>
      <w:numFmt w:val="chineseCountingThousand"/>
      <w:lvlText w:val="(%2)"/>
      <w:lvlJc w:val="left"/>
      <w:pPr>
        <w:ind w:left="42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8">
    <w:nsid w:val="00000022"/>
    <w:multiLevelType w:val="multilevel"/>
    <w:tmpl w:val="00000022"/>
    <w:lvl w:ilvl="0" w:tentative="0">
      <w:start w:val="1"/>
      <w:numFmt w:val="decimal"/>
      <w:lvlText w:val="第%1章"/>
      <w:lvlJc w:val="left"/>
      <w:pPr>
        <w:tabs>
          <w:tab w:val="left" w:pos="2630"/>
        </w:tabs>
        <w:ind w:left="2630" w:hanging="425"/>
      </w:pPr>
      <w:rPr>
        <w:rFonts w:hint="eastAsia" w:ascii="宋体" w:hAnsi="宋体" w:eastAsia="宋体"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1" w:tentative="0">
      <w:start w:val="1"/>
      <w:numFmt w:val="decimal"/>
      <w:suff w:val="space"/>
      <w:lvlText w:val="%1.%2."/>
      <w:lvlJc w:val="left"/>
      <w:pPr>
        <w:ind w:left="4538" w:hanging="567"/>
      </w:pPr>
      <w:rPr>
        <w:rFonts w:hint="default" w:ascii="Times New Roman" w:hAnsi="Times New Roman" w:eastAsia="宋体" w:cs="Times New Roman"/>
        <w:b/>
        <w:i w:val="0"/>
        <w:sz w:val="28"/>
        <w:szCs w:val="28"/>
      </w:rPr>
    </w:lvl>
    <w:lvl w:ilvl="2" w:tentative="0">
      <w:start w:val="1"/>
      <w:numFmt w:val="decimal"/>
      <w:lvlText w:val="%1.%2.%3."/>
      <w:lvlJc w:val="left"/>
      <w:pPr>
        <w:tabs>
          <w:tab w:val="left" w:pos="709"/>
        </w:tabs>
        <w:ind w:left="709" w:hanging="709"/>
      </w:pPr>
      <w:rPr>
        <w:rFonts w:hint="default" w:ascii="Times New Roman" w:hAnsi="Times New Roman" w:cs="Times New Roman"/>
      </w:rPr>
    </w:lvl>
    <w:lvl w:ilvl="3" w:tentative="0">
      <w:start w:val="1"/>
      <w:numFmt w:val="decimal"/>
      <w:lvlText w:val="%1.%2.%3.%4."/>
      <w:lvlJc w:val="left"/>
      <w:pPr>
        <w:tabs>
          <w:tab w:val="left" w:pos="1779"/>
        </w:tabs>
        <w:ind w:left="1779" w:hanging="851"/>
      </w:pPr>
      <w:rPr>
        <w:rFonts w:hint="default" w:ascii="Times New Roman" w:hAnsi="Times New Roman"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4" w:tentative="0">
      <w:start w:val="1"/>
      <w:numFmt w:val="decimal"/>
      <w:pStyle w:val="7"/>
      <w:lvlText w:val="%1.%2.%3.%4.%5."/>
      <w:lvlJc w:val="left"/>
      <w:pPr>
        <w:tabs>
          <w:tab w:val="left" w:pos="1560"/>
        </w:tabs>
        <w:ind w:left="1560" w:hanging="992"/>
      </w:pPr>
      <w:rPr>
        <w:rFonts w:hint="default" w:ascii="Times New Roman" w:hAnsi="Times New Roman" w:eastAsia="宋体" w:cs="Times New Roman"/>
        <w:b/>
        <w:i w:val="0"/>
        <w:sz w:val="28"/>
        <w:szCs w:val="28"/>
      </w:rPr>
    </w:lvl>
    <w:lvl w:ilvl="5" w:tentative="0">
      <w:start w:val="1"/>
      <w:numFmt w:val="decimal"/>
      <w:pStyle w:val="8"/>
      <w:lvlText w:val="%1.%2.%3.%4.%5.%6."/>
      <w:lvlJc w:val="left"/>
      <w:pPr>
        <w:tabs>
          <w:tab w:val="left" w:pos="1702"/>
        </w:tabs>
        <w:ind w:left="1702" w:hanging="1134"/>
      </w:pPr>
      <w:rPr>
        <w:rFonts w:hint="default" w:ascii="Times New Roman" w:hAnsi="Times New Roman"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6" w:tentative="0">
      <w:start w:val="1"/>
      <w:numFmt w:val="decimal"/>
      <w:lvlText w:val="%1.%2.%3.%4.%5.%6.%7."/>
      <w:lvlJc w:val="left"/>
      <w:pPr>
        <w:tabs>
          <w:tab w:val="left" w:pos="1844"/>
        </w:tabs>
        <w:ind w:left="1844" w:hanging="1276"/>
      </w:pPr>
    </w:lvl>
    <w:lvl w:ilvl="7" w:tentative="0">
      <w:start w:val="1"/>
      <w:numFmt w:val="decimal"/>
      <w:lvlText w:val="%1.%2.%3.%4.%5.%6.%7.%8."/>
      <w:lvlJc w:val="left"/>
      <w:pPr>
        <w:tabs>
          <w:tab w:val="left" w:pos="1986"/>
        </w:tabs>
        <w:ind w:left="1986" w:hanging="1418"/>
      </w:pPr>
    </w:lvl>
    <w:lvl w:ilvl="8" w:tentative="0">
      <w:start w:val="1"/>
      <w:numFmt w:val="decimal"/>
      <w:lvlText w:val="%1.%2.%3.%4.%5.%6.%7.%8.%9."/>
      <w:lvlJc w:val="left"/>
      <w:pPr>
        <w:tabs>
          <w:tab w:val="left" w:pos="2127"/>
        </w:tabs>
        <w:ind w:left="2127" w:hanging="1559"/>
      </w:pPr>
    </w:lvl>
  </w:abstractNum>
  <w:abstractNum w:abstractNumId="9">
    <w:nsid w:val="00000024"/>
    <w:multiLevelType w:val="multilevel"/>
    <w:tmpl w:val="00000024"/>
    <w:lvl w:ilvl="0" w:tentative="0">
      <w:start w:val="1"/>
      <w:numFmt w:val="decimal"/>
      <w:lvlText w:val="%1."/>
      <w:lvlJc w:val="left"/>
      <w:pPr>
        <w:ind w:left="958" w:hanging="420"/>
      </w:pPr>
    </w:lvl>
    <w:lvl w:ilvl="1" w:tentative="0">
      <w:start w:val="1"/>
      <w:numFmt w:val="chineseCountingThousand"/>
      <w:lvlText w:val="%2、"/>
      <w:lvlJc w:val="left"/>
      <w:pPr>
        <w:ind w:left="1413" w:hanging="420"/>
      </w:p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10">
    <w:nsid w:val="00000027"/>
    <w:multiLevelType w:val="multilevel"/>
    <w:tmpl w:val="00000027"/>
    <w:lvl w:ilvl="0" w:tentative="0">
      <w:start w:val="1"/>
      <w:numFmt w:val="decimal"/>
      <w:lvlText w:val="%1."/>
      <w:lvlJc w:val="left"/>
      <w:pPr>
        <w:ind w:left="980" w:hanging="420"/>
      </w:pPr>
    </w:lvl>
    <w:lvl w:ilvl="1" w:tentative="0">
      <w:start w:val="1"/>
      <w:numFmt w:val="chineseCountingThousand"/>
      <w:lvlText w:val="%2、"/>
      <w:lvlJc w:val="left"/>
      <w:pPr>
        <w:ind w:left="988" w:hanging="420"/>
      </w:pPr>
      <w:rPr>
        <w:lang w:val="en-US"/>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1">
    <w:nsid w:val="00000029"/>
    <w:multiLevelType w:val="multilevel"/>
    <w:tmpl w:val="00000029"/>
    <w:lvl w:ilvl="0" w:tentative="0">
      <w:start w:val="1"/>
      <w:numFmt w:val="decimal"/>
      <w:lvlText w:val="%1."/>
      <w:lvlJc w:val="left"/>
      <w:pPr>
        <w:ind w:left="562" w:hanging="420"/>
      </w:pPr>
      <w:rPr>
        <w:b w:val="0"/>
        <w:sz w:val="24"/>
        <w:szCs w:val="24"/>
      </w:rPr>
    </w:lvl>
    <w:lvl w:ilvl="1" w:tentative="0">
      <w:start w:val="1"/>
      <w:numFmt w:val="decimal"/>
      <w:lvlText w:val="%2、"/>
      <w:lvlJc w:val="left"/>
      <w:pPr>
        <w:ind w:left="360" w:hanging="360"/>
      </w:pPr>
      <w:rPr>
        <w:rFonts w:ascii="Times New Roman" w:hAnsi="Times New Roman" w:eastAsia="Times New Roman" w:cs="Times New Roman"/>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0000002B"/>
    <w:multiLevelType w:val="multilevel"/>
    <w:tmpl w:val="0000002B"/>
    <w:lvl w:ilvl="0" w:tentative="0">
      <w:start w:val="1"/>
      <w:numFmt w:val="chineseCountingThousand"/>
      <w:lvlText w:val="%1、"/>
      <w:lvlJc w:val="left"/>
      <w:pPr>
        <w:ind w:left="988" w:hanging="420"/>
      </w:p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13">
    <w:nsid w:val="0000002E"/>
    <w:multiLevelType w:val="multilevel"/>
    <w:tmpl w:val="0000002E"/>
    <w:lvl w:ilvl="0" w:tentative="0">
      <w:start w:val="1"/>
      <w:numFmt w:val="decimal"/>
      <w:pStyle w:val="3"/>
      <w:lvlText w:val="第%1章"/>
      <w:lvlJc w:val="left"/>
      <w:pPr>
        <w:ind w:left="283" w:hanging="425"/>
      </w:pPr>
      <w:rPr>
        <w:rFonts w:hint="default" w:ascii="Times New Roman" w:hAnsi="Times New Roman" w:eastAsia="宋体" w:cs="Times New Roman"/>
        <w:b/>
        <w:i w:val="0"/>
        <w:sz w:val="32"/>
        <w:szCs w:val="32"/>
      </w:rPr>
    </w:lvl>
    <w:lvl w:ilvl="1" w:tentative="0">
      <w:start w:val="1"/>
      <w:numFmt w:val="decimal"/>
      <w:pStyle w:val="4"/>
      <w:suff w:val="nothing"/>
      <w:lvlText w:val="%1.%2"/>
      <w:lvlJc w:val="left"/>
      <w:pPr>
        <w:ind w:left="567" w:hanging="567"/>
      </w:pPr>
      <w:rPr>
        <w:rFonts w:hint="default" w:ascii="Times New Roman" w:hAnsi="Times New Roman" w:eastAsia="宋体" w:cs="Times New Roman"/>
        <w:b/>
        <w:i w:val="0"/>
        <w:color w:val="auto"/>
        <w:sz w:val="28"/>
        <w:szCs w:val="28"/>
      </w:rPr>
    </w:lvl>
    <w:lvl w:ilvl="2" w:tentative="0">
      <w:start w:val="1"/>
      <w:numFmt w:val="decimal"/>
      <w:pStyle w:val="5"/>
      <w:suff w:val="space"/>
      <w:lvlText w:val="%1.%2.%3"/>
      <w:lvlJc w:val="left"/>
      <w:pPr>
        <w:ind w:left="567" w:hanging="567"/>
      </w:pPr>
      <w:rPr>
        <w:rFonts w:hint="default" w:ascii="Times New Roman" w:hAnsi="Times New Roman" w:eastAsia="宋体" w:cs="Times New Roman"/>
        <w:b/>
        <w:i w:val="0"/>
        <w:sz w:val="28"/>
      </w:rPr>
    </w:lvl>
    <w:lvl w:ilvl="3" w:tentative="0">
      <w:start w:val="1"/>
      <w:numFmt w:val="decimal"/>
      <w:pStyle w:val="6"/>
      <w:suff w:val="nothing"/>
      <w:lvlText w:val="%1.%2.%3.%4"/>
      <w:lvlJc w:val="left"/>
      <w:pPr>
        <w:ind w:left="708" w:hanging="708"/>
      </w:pPr>
      <w:rPr>
        <w:rFonts w:hint="default" w:ascii="Times New Roman" w:hAnsi="Times New Roman" w:eastAsia="宋体" w:cs="Times New Roman"/>
        <w:b/>
        <w:i w:val="0"/>
        <w:sz w:val="28"/>
      </w:rPr>
    </w:lvl>
    <w:lvl w:ilvl="4" w:tentative="0">
      <w:start w:val="1"/>
      <w:numFmt w:val="decimal"/>
      <w:lvlText w:val="%1.%2.%3.%4.%5"/>
      <w:lvlJc w:val="left"/>
      <w:pPr>
        <w:ind w:left="2409" w:hanging="850"/>
      </w:pPr>
      <w:rPr>
        <w:rFonts w:hint="default" w:ascii="Times New Roman" w:hAnsi="Times New Roman" w:cs="Times New Roman"/>
      </w:rPr>
    </w:lvl>
    <w:lvl w:ilvl="5" w:tentative="0">
      <w:start w:val="1"/>
      <w:numFmt w:val="decimal"/>
      <w:lvlText w:val="%1.%2.%3.%4.%5.%6"/>
      <w:lvlJc w:val="left"/>
      <w:pPr>
        <w:ind w:left="3118" w:hanging="1134"/>
      </w:pPr>
    </w:lvl>
    <w:lvl w:ilvl="6" w:tentative="0">
      <w:start w:val="1"/>
      <w:numFmt w:val="decimal"/>
      <w:lvlText w:val="%1.%2.%3.%4.%5.%6.%7"/>
      <w:lvlJc w:val="left"/>
      <w:pPr>
        <w:ind w:left="3685" w:hanging="1276"/>
      </w:pPr>
    </w:lvl>
    <w:lvl w:ilvl="7" w:tentative="0">
      <w:start w:val="1"/>
      <w:numFmt w:val="decimal"/>
      <w:lvlText w:val="%1.%2.%3.%4.%5.%6.%7.%8"/>
      <w:lvlJc w:val="left"/>
      <w:pPr>
        <w:ind w:left="4252" w:hanging="1418"/>
      </w:pPr>
    </w:lvl>
    <w:lvl w:ilvl="8" w:tentative="0">
      <w:start w:val="1"/>
      <w:numFmt w:val="decimal"/>
      <w:lvlText w:val="%1.%2.%3.%4.%5.%6.%7.%8.%9"/>
      <w:lvlJc w:val="left"/>
      <w:pPr>
        <w:ind w:left="4960" w:hanging="1700"/>
      </w:pPr>
    </w:lvl>
  </w:abstractNum>
  <w:abstractNum w:abstractNumId="14">
    <w:nsid w:val="00000031"/>
    <w:multiLevelType w:val="multilevel"/>
    <w:tmpl w:val="00000031"/>
    <w:lvl w:ilvl="0" w:tentative="0">
      <w:start w:val="1"/>
      <w:numFmt w:val="chineseCountingThousand"/>
      <w:lvlText w:val="%1、"/>
      <w:lvlJc w:val="left"/>
      <w:pPr>
        <w:ind w:left="966"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5">
    <w:nsid w:val="0000003A"/>
    <w:multiLevelType w:val="multilevel"/>
    <w:tmpl w:val="0000003A"/>
    <w:lvl w:ilvl="0" w:tentative="0">
      <w:start w:val="1"/>
      <w:numFmt w:val="chineseCountingThousand"/>
      <w:lvlText w:val="%1、"/>
      <w:lvlJc w:val="left"/>
      <w:pPr>
        <w:ind w:left="1554" w:hanging="420"/>
      </w:pPr>
    </w:lvl>
    <w:lvl w:ilvl="1" w:tentative="0">
      <w:start w:val="1"/>
      <w:numFmt w:val="lowerLetter"/>
      <w:lvlText w:val="%2)"/>
      <w:lvlJc w:val="left"/>
      <w:pPr>
        <w:ind w:left="1974" w:hanging="420"/>
      </w:pPr>
    </w:lvl>
    <w:lvl w:ilvl="2" w:tentative="0">
      <w:start w:val="1"/>
      <w:numFmt w:val="lowerRoman"/>
      <w:lvlText w:val="%3."/>
      <w:lvlJc w:val="right"/>
      <w:pPr>
        <w:ind w:left="2394" w:hanging="420"/>
      </w:pPr>
    </w:lvl>
    <w:lvl w:ilvl="3" w:tentative="0">
      <w:start w:val="1"/>
      <w:numFmt w:val="decimal"/>
      <w:lvlText w:val="%4."/>
      <w:lvlJc w:val="left"/>
      <w:pPr>
        <w:ind w:left="2814" w:hanging="420"/>
      </w:pPr>
    </w:lvl>
    <w:lvl w:ilvl="4" w:tentative="0">
      <w:start w:val="1"/>
      <w:numFmt w:val="lowerLetter"/>
      <w:lvlText w:val="%5)"/>
      <w:lvlJc w:val="left"/>
      <w:pPr>
        <w:ind w:left="3234" w:hanging="420"/>
      </w:pPr>
    </w:lvl>
    <w:lvl w:ilvl="5" w:tentative="0">
      <w:start w:val="1"/>
      <w:numFmt w:val="lowerRoman"/>
      <w:lvlText w:val="%6."/>
      <w:lvlJc w:val="right"/>
      <w:pPr>
        <w:ind w:left="3654" w:hanging="420"/>
      </w:pPr>
    </w:lvl>
    <w:lvl w:ilvl="6" w:tentative="0">
      <w:start w:val="1"/>
      <w:numFmt w:val="decimal"/>
      <w:lvlText w:val="%7."/>
      <w:lvlJc w:val="left"/>
      <w:pPr>
        <w:ind w:left="4074" w:hanging="420"/>
      </w:pPr>
    </w:lvl>
    <w:lvl w:ilvl="7" w:tentative="0">
      <w:start w:val="1"/>
      <w:numFmt w:val="lowerLetter"/>
      <w:lvlText w:val="%8)"/>
      <w:lvlJc w:val="left"/>
      <w:pPr>
        <w:ind w:left="4494" w:hanging="420"/>
      </w:pPr>
    </w:lvl>
    <w:lvl w:ilvl="8" w:tentative="0">
      <w:start w:val="1"/>
      <w:numFmt w:val="lowerRoman"/>
      <w:lvlText w:val="%9."/>
      <w:lvlJc w:val="right"/>
      <w:pPr>
        <w:ind w:left="4914" w:hanging="420"/>
      </w:pPr>
    </w:lvl>
  </w:abstractNum>
  <w:abstractNum w:abstractNumId="16">
    <w:nsid w:val="0000003B"/>
    <w:multiLevelType w:val="multilevel"/>
    <w:tmpl w:val="0000003B"/>
    <w:lvl w:ilvl="0" w:tentative="0">
      <w:start w:val="1"/>
      <w:numFmt w:val="chineseCountingThousand"/>
      <w:lvlText w:val="%1、"/>
      <w:lvlJc w:val="left"/>
      <w:pPr>
        <w:ind w:left="720" w:hanging="720"/>
      </w:pPr>
      <w:rPr>
        <w:strike w:val="0"/>
        <w:dstrike w:val="0"/>
        <w:color w:val="000000"/>
        <w:u w:val="no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0000003E"/>
    <w:multiLevelType w:val="multilevel"/>
    <w:tmpl w:val="0000003E"/>
    <w:lvl w:ilvl="0" w:tentative="0">
      <w:start w:val="1"/>
      <w:numFmt w:val="chineseCountingThousand"/>
      <w:suff w:val="nothing"/>
      <w:lvlText w:val="%1、"/>
      <w:lvlJc w:val="left"/>
      <w:pPr>
        <w:ind w:left="1272" w:hanging="420"/>
      </w:pPr>
      <w:rPr>
        <w:b/>
        <w:lang w:val="en-US"/>
      </w:rPr>
    </w:lvl>
    <w:lvl w:ilvl="1" w:tentative="0">
      <w:start w:val="1"/>
      <w:numFmt w:val="decimal"/>
      <w:lvlText w:val="%2、"/>
      <w:lvlJc w:val="left"/>
      <w:pPr>
        <w:ind w:left="1693" w:hanging="1125"/>
      </w:pPr>
    </w:lvl>
    <w:lvl w:ilvl="2" w:tentative="0">
      <w:start w:val="1"/>
      <w:numFmt w:val="lowerRoman"/>
      <w:lvlText w:val="%3."/>
      <w:lvlJc w:val="right"/>
      <w:pPr>
        <w:ind w:left="1971" w:hanging="420"/>
      </w:pPr>
    </w:lvl>
    <w:lvl w:ilvl="3" w:tentative="0">
      <w:start w:val="1"/>
      <w:numFmt w:val="decimal"/>
      <w:lvlText w:val="%4."/>
      <w:lvlJc w:val="left"/>
      <w:pPr>
        <w:ind w:left="2391" w:hanging="420"/>
      </w:pPr>
    </w:lvl>
    <w:lvl w:ilvl="4" w:tentative="0">
      <w:start w:val="1"/>
      <w:numFmt w:val="lowerLetter"/>
      <w:lvlText w:val="%5)"/>
      <w:lvlJc w:val="left"/>
      <w:pPr>
        <w:ind w:left="2811" w:hanging="420"/>
      </w:pPr>
    </w:lvl>
    <w:lvl w:ilvl="5" w:tentative="0">
      <w:start w:val="1"/>
      <w:numFmt w:val="lowerRoman"/>
      <w:lvlText w:val="%6."/>
      <w:lvlJc w:val="right"/>
      <w:pPr>
        <w:ind w:left="3231" w:hanging="420"/>
      </w:pPr>
    </w:lvl>
    <w:lvl w:ilvl="6" w:tentative="0">
      <w:start w:val="1"/>
      <w:numFmt w:val="decimal"/>
      <w:lvlText w:val="%7."/>
      <w:lvlJc w:val="left"/>
      <w:pPr>
        <w:ind w:left="3651" w:hanging="420"/>
      </w:pPr>
    </w:lvl>
    <w:lvl w:ilvl="7" w:tentative="0">
      <w:start w:val="1"/>
      <w:numFmt w:val="lowerLetter"/>
      <w:lvlText w:val="%8)"/>
      <w:lvlJc w:val="left"/>
      <w:pPr>
        <w:ind w:left="4071" w:hanging="420"/>
      </w:pPr>
    </w:lvl>
    <w:lvl w:ilvl="8" w:tentative="0">
      <w:start w:val="1"/>
      <w:numFmt w:val="lowerRoman"/>
      <w:lvlText w:val="%9."/>
      <w:lvlJc w:val="right"/>
      <w:pPr>
        <w:ind w:left="4491" w:hanging="420"/>
      </w:pPr>
    </w:lvl>
  </w:abstractNum>
  <w:abstractNum w:abstractNumId="18">
    <w:nsid w:val="00000041"/>
    <w:multiLevelType w:val="multilevel"/>
    <w:tmpl w:val="00000041"/>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00000043"/>
    <w:multiLevelType w:val="multilevel"/>
    <w:tmpl w:val="00000043"/>
    <w:lvl w:ilvl="0" w:tentative="0">
      <w:start w:val="1"/>
      <w:numFmt w:val="chineseCountingThousand"/>
      <w:lvlText w:val="%1、"/>
      <w:lvlJc w:val="left"/>
      <w:pPr>
        <w:ind w:left="1413" w:hanging="420"/>
      </w:pPr>
      <w:rPr>
        <w:sz w:val="28"/>
        <w:szCs w:val="28"/>
      </w:rPr>
    </w:lvl>
    <w:lvl w:ilvl="1" w:tentative="0">
      <w:start w:val="1"/>
      <w:numFmt w:val="decimal"/>
      <w:isLgl/>
      <w:lvlText w:val="%1.%2"/>
      <w:lvlJc w:val="left"/>
      <w:pPr>
        <w:ind w:left="1669" w:hanging="960"/>
      </w:pPr>
    </w:lvl>
    <w:lvl w:ilvl="2" w:tentative="0">
      <w:start w:val="1"/>
      <w:numFmt w:val="decimal"/>
      <w:isLgl/>
      <w:lvlText w:val="%1.%2.%3"/>
      <w:lvlJc w:val="left"/>
      <w:pPr>
        <w:ind w:left="1669" w:hanging="960"/>
      </w:pPr>
    </w:lvl>
    <w:lvl w:ilvl="3" w:tentative="0">
      <w:start w:val="1"/>
      <w:numFmt w:val="decimal"/>
      <w:isLgl/>
      <w:lvlText w:val="%1.%2.%3.%4"/>
      <w:lvlJc w:val="left"/>
      <w:pPr>
        <w:ind w:left="1789" w:hanging="1080"/>
      </w:pPr>
    </w:lvl>
    <w:lvl w:ilvl="4" w:tentative="0">
      <w:start w:val="1"/>
      <w:numFmt w:val="decimal"/>
      <w:isLgl/>
      <w:lvlText w:val="%1.%2.%3.%4.%5"/>
      <w:lvlJc w:val="left"/>
      <w:pPr>
        <w:ind w:left="1789" w:hanging="1080"/>
      </w:pPr>
    </w:lvl>
    <w:lvl w:ilvl="5" w:tentative="0">
      <w:start w:val="1"/>
      <w:numFmt w:val="decimal"/>
      <w:isLgl/>
      <w:lvlText w:val="%1.%2.%3.%4.%5.%6"/>
      <w:lvlJc w:val="left"/>
      <w:pPr>
        <w:ind w:left="2149" w:hanging="1440"/>
      </w:pPr>
    </w:lvl>
    <w:lvl w:ilvl="6" w:tentative="0">
      <w:start w:val="1"/>
      <w:numFmt w:val="decimal"/>
      <w:isLgl/>
      <w:lvlText w:val="%1.%2.%3.%4.%5.%6.%7"/>
      <w:lvlJc w:val="left"/>
      <w:pPr>
        <w:ind w:left="2509" w:hanging="1800"/>
      </w:pPr>
    </w:lvl>
    <w:lvl w:ilvl="7" w:tentative="0">
      <w:start w:val="1"/>
      <w:numFmt w:val="decimal"/>
      <w:isLgl/>
      <w:lvlText w:val="%1.%2.%3.%4.%5.%6.%7.%8"/>
      <w:lvlJc w:val="left"/>
      <w:pPr>
        <w:ind w:left="2509" w:hanging="1800"/>
      </w:pPr>
    </w:lvl>
    <w:lvl w:ilvl="8" w:tentative="0">
      <w:start w:val="1"/>
      <w:numFmt w:val="decimal"/>
      <w:isLgl/>
      <w:lvlText w:val="%1.%2.%3.%4.%5.%6.%7.%8.%9"/>
      <w:lvlJc w:val="left"/>
      <w:pPr>
        <w:ind w:left="2869" w:hanging="2160"/>
      </w:pPr>
    </w:lvl>
  </w:abstractNum>
  <w:abstractNum w:abstractNumId="20">
    <w:nsid w:val="05B17FE5"/>
    <w:multiLevelType w:val="multilevel"/>
    <w:tmpl w:val="05B17FE5"/>
    <w:lvl w:ilvl="0" w:tentative="0">
      <w:start w:val="1"/>
      <w:numFmt w:val="decimal"/>
      <w:lvlText w:val="%1."/>
      <w:lvlJc w:val="left"/>
      <w:pPr>
        <w:ind w:left="640" w:hanging="360"/>
      </w:pPr>
      <w:rPr>
        <w:rFonts w:hint="default"/>
      </w:rPr>
    </w:lvl>
    <w:lvl w:ilvl="1" w:tentative="0">
      <w:start w:val="1"/>
      <w:numFmt w:val="lowerLetter"/>
      <w:lvlText w:val="%2)"/>
      <w:lvlJc w:val="left"/>
      <w:pPr>
        <w:ind w:left="1120" w:hanging="420"/>
      </w:pPr>
    </w:lvl>
    <w:lvl w:ilvl="2" w:tentative="0">
      <w:start w:val="1"/>
      <w:numFmt w:val="lowerRoman"/>
      <w:lvlText w:val="%3."/>
      <w:lvlJc w:val="right"/>
      <w:pPr>
        <w:ind w:left="1540" w:hanging="420"/>
      </w:pPr>
    </w:lvl>
    <w:lvl w:ilvl="3" w:tentative="0">
      <w:start w:val="1"/>
      <w:numFmt w:val="decimal"/>
      <w:lvlText w:val="%4."/>
      <w:lvlJc w:val="left"/>
      <w:pPr>
        <w:ind w:left="1960" w:hanging="420"/>
      </w:pPr>
    </w:lvl>
    <w:lvl w:ilvl="4" w:tentative="0">
      <w:start w:val="1"/>
      <w:numFmt w:val="lowerLetter"/>
      <w:lvlText w:val="%5)"/>
      <w:lvlJc w:val="left"/>
      <w:pPr>
        <w:ind w:left="2380" w:hanging="420"/>
      </w:pPr>
    </w:lvl>
    <w:lvl w:ilvl="5" w:tentative="0">
      <w:start w:val="1"/>
      <w:numFmt w:val="lowerRoman"/>
      <w:lvlText w:val="%6."/>
      <w:lvlJc w:val="right"/>
      <w:pPr>
        <w:ind w:left="2800" w:hanging="420"/>
      </w:pPr>
    </w:lvl>
    <w:lvl w:ilvl="6" w:tentative="0">
      <w:start w:val="1"/>
      <w:numFmt w:val="decimal"/>
      <w:lvlText w:val="%7."/>
      <w:lvlJc w:val="left"/>
      <w:pPr>
        <w:ind w:left="3220" w:hanging="420"/>
      </w:pPr>
    </w:lvl>
    <w:lvl w:ilvl="7" w:tentative="0">
      <w:start w:val="1"/>
      <w:numFmt w:val="lowerLetter"/>
      <w:lvlText w:val="%8)"/>
      <w:lvlJc w:val="left"/>
      <w:pPr>
        <w:ind w:left="3640" w:hanging="420"/>
      </w:pPr>
    </w:lvl>
    <w:lvl w:ilvl="8" w:tentative="0">
      <w:start w:val="1"/>
      <w:numFmt w:val="lowerRoman"/>
      <w:lvlText w:val="%9."/>
      <w:lvlJc w:val="right"/>
      <w:pPr>
        <w:ind w:left="4060" w:hanging="420"/>
      </w:pPr>
    </w:lvl>
  </w:abstractNum>
  <w:abstractNum w:abstractNumId="21">
    <w:nsid w:val="06AF180E"/>
    <w:multiLevelType w:val="multilevel"/>
    <w:tmpl w:val="06AF180E"/>
    <w:lvl w:ilvl="0" w:tentative="0">
      <w:start w:val="1"/>
      <w:numFmt w:val="japaneseCounting"/>
      <w:lvlText w:val="（%1）"/>
      <w:lvlJc w:val="left"/>
      <w:pPr>
        <w:ind w:left="1421" w:hanging="855"/>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22">
    <w:nsid w:val="06C3165F"/>
    <w:multiLevelType w:val="multilevel"/>
    <w:tmpl w:val="06C3165F"/>
    <w:lvl w:ilvl="0" w:tentative="0">
      <w:start w:val="5"/>
      <w:numFmt w:val="japaneseCounting"/>
      <w:lvlText w:val="（%1）"/>
      <w:lvlJc w:val="left"/>
      <w:pPr>
        <w:ind w:left="1179" w:hanging="855"/>
      </w:pPr>
      <w:rPr>
        <w:rFonts w:cs="Helvetica"/>
        <w:color w:val="FF0000"/>
      </w:rPr>
    </w:lvl>
    <w:lvl w:ilvl="1" w:tentative="0">
      <w:start w:val="1"/>
      <w:numFmt w:val="chineseCountingThousand"/>
      <w:lvlText w:val="(%2)"/>
      <w:lvlJc w:val="left"/>
      <w:pPr>
        <w:ind w:left="1164" w:hanging="420"/>
      </w:pPr>
    </w:lvl>
    <w:lvl w:ilvl="2" w:tentative="0">
      <w:start w:val="2"/>
      <w:numFmt w:val="japaneseCounting"/>
      <w:lvlText w:val="（%3）"/>
      <w:lvlJc w:val="left"/>
      <w:pPr>
        <w:ind w:left="2019" w:hanging="855"/>
      </w:pPr>
      <w:rPr>
        <w:lang w:val="en-US"/>
      </w:rPr>
    </w:lvl>
    <w:lvl w:ilvl="3" w:tentative="0">
      <w:start w:val="3"/>
      <w:numFmt w:val="japaneseCounting"/>
      <w:lvlText w:val="%4、"/>
      <w:lvlJc w:val="left"/>
      <w:pPr>
        <w:ind w:left="2304" w:hanging="720"/>
      </w:pPr>
      <w:rPr>
        <w:sz w:val="24"/>
        <w:szCs w:val="28"/>
      </w:rPr>
    </w:lvl>
    <w:lvl w:ilvl="4" w:tentative="0">
      <w:start w:val="1"/>
      <w:numFmt w:val="lowerLetter"/>
      <w:lvlText w:val="%5)"/>
      <w:lvlJc w:val="left"/>
      <w:pPr>
        <w:ind w:left="2424" w:hanging="420"/>
      </w:pPr>
    </w:lvl>
    <w:lvl w:ilvl="5" w:tentative="0">
      <w:start w:val="1"/>
      <w:numFmt w:val="lowerRoman"/>
      <w:lvlText w:val="%6."/>
      <w:lvlJc w:val="right"/>
      <w:pPr>
        <w:ind w:left="2844" w:hanging="420"/>
      </w:pPr>
    </w:lvl>
    <w:lvl w:ilvl="6" w:tentative="0">
      <w:start w:val="1"/>
      <w:numFmt w:val="decimal"/>
      <w:lvlText w:val="%7."/>
      <w:lvlJc w:val="left"/>
      <w:pPr>
        <w:ind w:left="3264" w:hanging="420"/>
      </w:pPr>
    </w:lvl>
    <w:lvl w:ilvl="7" w:tentative="0">
      <w:start w:val="1"/>
      <w:numFmt w:val="lowerLetter"/>
      <w:lvlText w:val="%8)"/>
      <w:lvlJc w:val="left"/>
      <w:pPr>
        <w:ind w:left="3684" w:hanging="420"/>
      </w:pPr>
    </w:lvl>
    <w:lvl w:ilvl="8" w:tentative="0">
      <w:start w:val="1"/>
      <w:numFmt w:val="lowerRoman"/>
      <w:lvlText w:val="%9."/>
      <w:lvlJc w:val="right"/>
      <w:pPr>
        <w:ind w:left="4104" w:hanging="420"/>
      </w:pPr>
    </w:lvl>
  </w:abstractNum>
  <w:abstractNum w:abstractNumId="23">
    <w:nsid w:val="0D437E61"/>
    <w:multiLevelType w:val="multilevel"/>
    <w:tmpl w:val="0D437E61"/>
    <w:lvl w:ilvl="0" w:tentative="0">
      <w:start w:val="1"/>
      <w:numFmt w:val="chineseCountingThousand"/>
      <w:lvlText w:val="(%1)"/>
      <w:lvlJc w:val="left"/>
      <w:pPr>
        <w:ind w:left="420" w:hanging="420"/>
      </w:pPr>
    </w:lvl>
    <w:lvl w:ilvl="1" w:tentative="0">
      <w:start w:val="10"/>
      <w:numFmt w:val="japaneseCounting"/>
      <w:lvlText w:val="%2、"/>
      <w:lvlJc w:val="left"/>
      <w:pPr>
        <w:ind w:left="720" w:hanging="7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0D6B6379"/>
    <w:multiLevelType w:val="multilevel"/>
    <w:tmpl w:val="0D6B6379"/>
    <w:lvl w:ilvl="0" w:tentative="0">
      <w:start w:val="1"/>
      <w:numFmt w:val="chineseCountingThousand"/>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25">
    <w:nsid w:val="14467690"/>
    <w:multiLevelType w:val="multilevel"/>
    <w:tmpl w:val="1446769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144C623B"/>
    <w:multiLevelType w:val="multilevel"/>
    <w:tmpl w:val="144C623B"/>
    <w:lvl w:ilvl="0" w:tentative="0">
      <w:start w:val="1"/>
      <w:numFmt w:val="chineseCountingThousand"/>
      <w:lvlText w:val="%1、"/>
      <w:lvlJc w:val="left"/>
      <w:pPr>
        <w:ind w:left="966" w:hanging="420"/>
      </w:pPr>
      <w:rPr>
        <w:b w:val="0"/>
        <w:sz w:val="28"/>
        <w:szCs w:val="28"/>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7">
    <w:nsid w:val="163F29DE"/>
    <w:multiLevelType w:val="multilevel"/>
    <w:tmpl w:val="163F29DE"/>
    <w:lvl w:ilvl="0" w:tentative="0">
      <w:start w:val="1"/>
      <w:numFmt w:val="chineseCountingThousand"/>
      <w:lvlText w:val="%1、"/>
      <w:lvlJc w:val="left"/>
      <w:pPr>
        <w:ind w:left="1413" w:hanging="420"/>
      </w:pPr>
      <w:rPr>
        <w:rFonts w:ascii="宋体" w:hAnsi="宋体" w:eastAsia="宋体"/>
        <w:sz w:val="28"/>
        <w:szCs w:val="28"/>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8">
    <w:nsid w:val="1A032D52"/>
    <w:multiLevelType w:val="multilevel"/>
    <w:tmpl w:val="1A032D52"/>
    <w:lvl w:ilvl="0" w:tentative="0">
      <w:start w:val="1"/>
      <w:numFmt w:val="chineseCountingThousand"/>
      <w:lvlText w:val="%1、"/>
      <w:lvlJc w:val="left"/>
      <w:pPr>
        <w:ind w:left="1413" w:hanging="420"/>
      </w:pPr>
    </w:lvl>
    <w:lvl w:ilvl="1" w:tentative="0">
      <w:start w:val="1"/>
      <w:numFmt w:val="lowerLetter"/>
      <w:lvlText w:val="%2)"/>
      <w:lvlJc w:val="left"/>
      <w:pPr>
        <w:tabs>
          <w:tab w:val="left" w:pos="847"/>
        </w:tabs>
        <w:ind w:left="847" w:hanging="420"/>
      </w:pPr>
    </w:lvl>
    <w:lvl w:ilvl="2" w:tentative="0">
      <w:start w:val="1"/>
      <w:numFmt w:val="lowerRoman"/>
      <w:lvlText w:val="%3."/>
      <w:lvlJc w:val="right"/>
      <w:pPr>
        <w:tabs>
          <w:tab w:val="left" w:pos="1267"/>
        </w:tabs>
        <w:ind w:left="1267" w:hanging="420"/>
      </w:pPr>
    </w:lvl>
    <w:lvl w:ilvl="3" w:tentative="0">
      <w:start w:val="1"/>
      <w:numFmt w:val="decimal"/>
      <w:lvlText w:val="%4."/>
      <w:lvlJc w:val="left"/>
      <w:pPr>
        <w:tabs>
          <w:tab w:val="left" w:pos="1687"/>
        </w:tabs>
        <w:ind w:left="1687" w:hanging="420"/>
      </w:pPr>
    </w:lvl>
    <w:lvl w:ilvl="4" w:tentative="0">
      <w:start w:val="1"/>
      <w:numFmt w:val="lowerLetter"/>
      <w:lvlText w:val="%5)"/>
      <w:lvlJc w:val="left"/>
      <w:pPr>
        <w:tabs>
          <w:tab w:val="left" w:pos="2107"/>
        </w:tabs>
        <w:ind w:left="2107" w:hanging="420"/>
      </w:pPr>
    </w:lvl>
    <w:lvl w:ilvl="5" w:tentative="0">
      <w:start w:val="1"/>
      <w:numFmt w:val="lowerRoman"/>
      <w:lvlText w:val="%6."/>
      <w:lvlJc w:val="right"/>
      <w:pPr>
        <w:tabs>
          <w:tab w:val="left" w:pos="2527"/>
        </w:tabs>
        <w:ind w:left="2527" w:hanging="420"/>
      </w:pPr>
    </w:lvl>
    <w:lvl w:ilvl="6" w:tentative="0">
      <w:start w:val="1"/>
      <w:numFmt w:val="decimal"/>
      <w:lvlText w:val="%7."/>
      <w:lvlJc w:val="left"/>
      <w:pPr>
        <w:tabs>
          <w:tab w:val="left" w:pos="2947"/>
        </w:tabs>
        <w:ind w:left="2947" w:hanging="420"/>
      </w:pPr>
    </w:lvl>
    <w:lvl w:ilvl="7" w:tentative="0">
      <w:start w:val="1"/>
      <w:numFmt w:val="lowerLetter"/>
      <w:lvlText w:val="%8)"/>
      <w:lvlJc w:val="left"/>
      <w:pPr>
        <w:tabs>
          <w:tab w:val="left" w:pos="3367"/>
        </w:tabs>
        <w:ind w:left="3367" w:hanging="420"/>
      </w:pPr>
    </w:lvl>
    <w:lvl w:ilvl="8" w:tentative="0">
      <w:start w:val="1"/>
      <w:numFmt w:val="lowerRoman"/>
      <w:lvlText w:val="%9."/>
      <w:lvlJc w:val="right"/>
      <w:pPr>
        <w:tabs>
          <w:tab w:val="left" w:pos="3787"/>
        </w:tabs>
        <w:ind w:left="3787" w:hanging="420"/>
      </w:pPr>
    </w:lvl>
  </w:abstractNum>
  <w:abstractNum w:abstractNumId="29">
    <w:nsid w:val="1A9E5222"/>
    <w:multiLevelType w:val="multilevel"/>
    <w:tmpl w:val="1A9E5222"/>
    <w:lvl w:ilvl="0" w:tentative="0">
      <w:start w:val="1"/>
      <w:numFmt w:val="japaneseCounting"/>
      <w:lvlText w:val="%1、"/>
      <w:lvlJc w:val="left"/>
      <w:pPr>
        <w:ind w:left="580" w:hanging="58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1C6A4393"/>
    <w:multiLevelType w:val="multilevel"/>
    <w:tmpl w:val="1C6A4393"/>
    <w:lvl w:ilvl="0" w:tentative="0">
      <w:start w:val="1"/>
      <w:numFmt w:val="decimal"/>
      <w:lvlText w:val="%1."/>
      <w:lvlJc w:val="left"/>
      <w:pPr>
        <w:ind w:left="920" w:hanging="36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1">
    <w:nsid w:val="1F2A386E"/>
    <w:multiLevelType w:val="multilevel"/>
    <w:tmpl w:val="1F2A386E"/>
    <w:lvl w:ilvl="0" w:tentative="0">
      <w:start w:val="1"/>
      <w:numFmt w:val="chineseCountingThousand"/>
      <w:lvlText w:val="%1、"/>
      <w:lvlJc w:val="left"/>
      <w:pPr>
        <w:ind w:left="988"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32">
    <w:nsid w:val="28267C73"/>
    <w:multiLevelType w:val="multilevel"/>
    <w:tmpl w:val="28267C73"/>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33">
    <w:nsid w:val="2C2C4B8D"/>
    <w:multiLevelType w:val="singleLevel"/>
    <w:tmpl w:val="2C2C4B8D"/>
    <w:lvl w:ilvl="0" w:tentative="0">
      <w:start w:val="1"/>
      <w:numFmt w:val="japaneseCounting"/>
      <w:lvlText w:val="第%1条"/>
      <w:lvlJc w:val="left"/>
      <w:pPr>
        <w:tabs>
          <w:tab w:val="left" w:pos="1521"/>
        </w:tabs>
        <w:ind w:left="1521" w:hanging="1095"/>
      </w:pPr>
      <w:rPr>
        <w:rFonts w:hint="eastAsia"/>
      </w:rPr>
    </w:lvl>
  </w:abstractNum>
  <w:abstractNum w:abstractNumId="34">
    <w:nsid w:val="316418D8"/>
    <w:multiLevelType w:val="multilevel"/>
    <w:tmpl w:val="316418D8"/>
    <w:lvl w:ilvl="0" w:tentative="0">
      <w:start w:val="1"/>
      <w:numFmt w:val="chineseCountingThousand"/>
      <w:lvlText w:val="%1、"/>
      <w:lvlJc w:val="left"/>
      <w:pPr>
        <w:ind w:left="846" w:hanging="420"/>
      </w:p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35">
    <w:nsid w:val="32732520"/>
    <w:multiLevelType w:val="multilevel"/>
    <w:tmpl w:val="32732520"/>
    <w:lvl w:ilvl="0" w:tentative="0">
      <w:start w:val="1"/>
      <w:numFmt w:val="chineseCountingThousand"/>
      <w:lvlText w:val="(%1)"/>
      <w:lvlJc w:val="left"/>
      <w:pPr>
        <w:ind w:left="966"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3424055C"/>
    <w:multiLevelType w:val="multilevel"/>
    <w:tmpl w:val="3424055C"/>
    <w:lvl w:ilvl="0" w:tentative="0">
      <w:start w:val="1"/>
      <w:numFmt w:val="chineseCountingThousand"/>
      <w:lvlText w:val="%1、"/>
      <w:lvlJc w:val="left"/>
      <w:pPr>
        <w:ind w:left="1413" w:hanging="420"/>
      </w:pPr>
      <w:rPr>
        <w:rFonts w:ascii="宋体" w:hAnsi="宋体" w:eastAsia="宋体"/>
        <w:sz w:val="28"/>
        <w:szCs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34D50379"/>
    <w:multiLevelType w:val="multilevel"/>
    <w:tmpl w:val="34D50379"/>
    <w:lvl w:ilvl="0" w:tentative="0">
      <w:start w:val="1"/>
      <w:numFmt w:val="decimal"/>
      <w:lvlText w:val="%1."/>
      <w:lvlJc w:val="left"/>
      <w:pPr>
        <w:ind w:left="840" w:hanging="420"/>
      </w:pPr>
    </w:lvl>
    <w:lvl w:ilvl="1" w:tentative="0">
      <w:start w:val="1"/>
      <w:numFmt w:val="decimal"/>
      <w:lvlText w:val="%2）"/>
      <w:lvlJc w:val="left"/>
      <w:pPr>
        <w:ind w:left="1560" w:hanging="720"/>
      </w:pPr>
      <w:rPr>
        <w:b w:val="0"/>
        <w:color w:val="000000"/>
      </w:rPr>
    </w:lvl>
    <w:lvl w:ilvl="2" w:tentative="0">
      <w:start w:val="1"/>
      <w:numFmt w:val="chineseCountingThousand"/>
      <w:lvlText w:val="%3、"/>
      <w:lvlJc w:val="left"/>
      <w:pPr>
        <w:ind w:left="60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8">
    <w:nsid w:val="361F7C4C"/>
    <w:multiLevelType w:val="multilevel"/>
    <w:tmpl w:val="361F7C4C"/>
    <w:lvl w:ilvl="0" w:tentative="0">
      <w:start w:val="1"/>
      <w:numFmt w:val="decimal"/>
      <w:lvlText w:val="%1."/>
      <w:lvlJc w:val="left"/>
      <w:pPr>
        <w:ind w:left="138" w:hanging="420"/>
      </w:pPr>
    </w:lvl>
    <w:lvl w:ilvl="1" w:tentative="0">
      <w:start w:val="1"/>
      <w:numFmt w:val="lowerLetter"/>
      <w:lvlText w:val="%2)"/>
      <w:lvlJc w:val="left"/>
      <w:pPr>
        <w:ind w:left="558" w:hanging="420"/>
      </w:pPr>
    </w:lvl>
    <w:lvl w:ilvl="2" w:tentative="0">
      <w:start w:val="1"/>
      <w:numFmt w:val="chineseCountingThousand"/>
      <w:lvlText w:val="%3、"/>
      <w:lvlJc w:val="left"/>
      <w:pPr>
        <w:ind w:left="848" w:hanging="420"/>
      </w:pPr>
      <w:rPr>
        <w:b w:val="0"/>
        <w:sz w:val="28"/>
        <w:szCs w:val="28"/>
      </w:rPr>
    </w:lvl>
    <w:lvl w:ilvl="3" w:tentative="0">
      <w:start w:val="1"/>
      <w:numFmt w:val="decimal"/>
      <w:lvlText w:val="%4."/>
      <w:lvlJc w:val="left"/>
      <w:pPr>
        <w:ind w:left="1398" w:hanging="420"/>
      </w:pPr>
    </w:lvl>
    <w:lvl w:ilvl="4" w:tentative="0">
      <w:start w:val="1"/>
      <w:numFmt w:val="lowerLetter"/>
      <w:lvlText w:val="%5)"/>
      <w:lvlJc w:val="left"/>
      <w:pPr>
        <w:ind w:left="1818" w:hanging="420"/>
      </w:pPr>
    </w:lvl>
    <w:lvl w:ilvl="5" w:tentative="0">
      <w:start w:val="1"/>
      <w:numFmt w:val="lowerRoman"/>
      <w:lvlText w:val="%6."/>
      <w:lvlJc w:val="right"/>
      <w:pPr>
        <w:ind w:left="2238" w:hanging="420"/>
      </w:pPr>
    </w:lvl>
    <w:lvl w:ilvl="6" w:tentative="0">
      <w:start w:val="1"/>
      <w:numFmt w:val="decimal"/>
      <w:lvlText w:val="%7."/>
      <w:lvlJc w:val="left"/>
      <w:pPr>
        <w:ind w:left="2658" w:hanging="420"/>
      </w:pPr>
    </w:lvl>
    <w:lvl w:ilvl="7" w:tentative="0">
      <w:start w:val="1"/>
      <w:numFmt w:val="lowerLetter"/>
      <w:lvlText w:val="%8)"/>
      <w:lvlJc w:val="left"/>
      <w:pPr>
        <w:ind w:left="3078" w:hanging="420"/>
      </w:pPr>
    </w:lvl>
    <w:lvl w:ilvl="8" w:tentative="0">
      <w:start w:val="1"/>
      <w:numFmt w:val="lowerRoman"/>
      <w:lvlText w:val="%9."/>
      <w:lvlJc w:val="right"/>
      <w:pPr>
        <w:ind w:left="3498" w:hanging="420"/>
      </w:pPr>
    </w:lvl>
  </w:abstractNum>
  <w:abstractNum w:abstractNumId="39">
    <w:nsid w:val="42CC5153"/>
    <w:multiLevelType w:val="multilevel"/>
    <w:tmpl w:val="42CC5153"/>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43391F60"/>
    <w:multiLevelType w:val="multilevel"/>
    <w:tmpl w:val="43391F60"/>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1">
    <w:nsid w:val="4C1635C4"/>
    <w:multiLevelType w:val="multilevel"/>
    <w:tmpl w:val="4C1635C4"/>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2">
    <w:nsid w:val="4CC31705"/>
    <w:multiLevelType w:val="multilevel"/>
    <w:tmpl w:val="4CC31705"/>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3">
    <w:nsid w:val="4D3C4E8D"/>
    <w:multiLevelType w:val="multilevel"/>
    <w:tmpl w:val="4D3C4E8D"/>
    <w:lvl w:ilvl="0" w:tentative="0">
      <w:start w:val="1"/>
      <w:numFmt w:val="chineseCountingThousand"/>
      <w:lvlText w:val="(%1)"/>
      <w:lvlJc w:val="left"/>
      <w:pPr>
        <w:tabs>
          <w:tab w:val="left" w:pos="846"/>
        </w:tabs>
        <w:ind w:left="846" w:hanging="420"/>
      </w:pPr>
    </w:lvl>
    <w:lvl w:ilvl="1" w:tentative="0">
      <w:start w:val="1"/>
      <w:numFmt w:val="lowerLetter"/>
      <w:lvlText w:val="%2)"/>
      <w:lvlJc w:val="left"/>
      <w:pPr>
        <w:tabs>
          <w:tab w:val="left" w:pos="1266"/>
        </w:tabs>
        <w:ind w:left="1266" w:hanging="420"/>
      </w:pPr>
    </w:lvl>
    <w:lvl w:ilvl="2" w:tentative="0">
      <w:start w:val="1"/>
      <w:numFmt w:val="lowerRoman"/>
      <w:lvlText w:val="%3."/>
      <w:lvlJc w:val="right"/>
      <w:pPr>
        <w:tabs>
          <w:tab w:val="left" w:pos="1686"/>
        </w:tabs>
        <w:ind w:left="1686" w:hanging="420"/>
      </w:pPr>
    </w:lvl>
    <w:lvl w:ilvl="3" w:tentative="0">
      <w:start w:val="1"/>
      <w:numFmt w:val="decimal"/>
      <w:lvlText w:val="%4."/>
      <w:lvlJc w:val="left"/>
      <w:pPr>
        <w:tabs>
          <w:tab w:val="left" w:pos="2106"/>
        </w:tabs>
        <w:ind w:left="2106" w:hanging="420"/>
      </w:pPr>
    </w:lvl>
    <w:lvl w:ilvl="4" w:tentative="0">
      <w:start w:val="1"/>
      <w:numFmt w:val="lowerLetter"/>
      <w:lvlText w:val="%5)"/>
      <w:lvlJc w:val="left"/>
      <w:pPr>
        <w:tabs>
          <w:tab w:val="left" w:pos="2526"/>
        </w:tabs>
        <w:ind w:left="2526" w:hanging="420"/>
      </w:pPr>
    </w:lvl>
    <w:lvl w:ilvl="5" w:tentative="0">
      <w:start w:val="1"/>
      <w:numFmt w:val="lowerRoman"/>
      <w:lvlText w:val="%6."/>
      <w:lvlJc w:val="right"/>
      <w:pPr>
        <w:tabs>
          <w:tab w:val="left" w:pos="2946"/>
        </w:tabs>
        <w:ind w:left="2946" w:hanging="420"/>
      </w:pPr>
    </w:lvl>
    <w:lvl w:ilvl="6" w:tentative="0">
      <w:start w:val="1"/>
      <w:numFmt w:val="decimal"/>
      <w:lvlText w:val="%7."/>
      <w:lvlJc w:val="left"/>
      <w:pPr>
        <w:tabs>
          <w:tab w:val="left" w:pos="3366"/>
        </w:tabs>
        <w:ind w:left="3366" w:hanging="420"/>
      </w:pPr>
    </w:lvl>
    <w:lvl w:ilvl="7" w:tentative="0">
      <w:start w:val="1"/>
      <w:numFmt w:val="lowerLetter"/>
      <w:lvlText w:val="%8)"/>
      <w:lvlJc w:val="left"/>
      <w:pPr>
        <w:tabs>
          <w:tab w:val="left" w:pos="3786"/>
        </w:tabs>
        <w:ind w:left="3786" w:hanging="420"/>
      </w:pPr>
    </w:lvl>
    <w:lvl w:ilvl="8" w:tentative="0">
      <w:start w:val="1"/>
      <w:numFmt w:val="lowerRoman"/>
      <w:lvlText w:val="%9."/>
      <w:lvlJc w:val="right"/>
      <w:pPr>
        <w:tabs>
          <w:tab w:val="left" w:pos="4206"/>
        </w:tabs>
        <w:ind w:left="4206" w:hanging="420"/>
      </w:pPr>
    </w:lvl>
  </w:abstractNum>
  <w:abstractNum w:abstractNumId="44">
    <w:nsid w:val="51F311B1"/>
    <w:multiLevelType w:val="multilevel"/>
    <w:tmpl w:val="51F311B1"/>
    <w:lvl w:ilvl="0" w:tentative="0">
      <w:start w:val="1"/>
      <w:numFmt w:val="chineseCountingThousand"/>
      <w:lvlText w:val="%1、"/>
      <w:lvlJc w:val="left"/>
      <w:pPr>
        <w:ind w:left="966" w:hanging="420"/>
      </w:pPr>
    </w:lvl>
    <w:lvl w:ilvl="1" w:tentative="0">
      <w:start w:val="1"/>
      <w:numFmt w:val="lowerLetter"/>
      <w:lvlText w:val="%2)"/>
      <w:lvlJc w:val="left"/>
      <w:pPr>
        <w:ind w:left="1386" w:hanging="420"/>
      </w:pPr>
    </w:lvl>
    <w:lvl w:ilvl="2" w:tentative="0">
      <w:start w:val="1"/>
      <w:numFmt w:val="lowerRoman"/>
      <w:lvlText w:val="%3."/>
      <w:lvlJc w:val="right"/>
      <w:pPr>
        <w:ind w:left="1806" w:hanging="420"/>
      </w:pPr>
    </w:lvl>
    <w:lvl w:ilvl="3" w:tentative="0">
      <w:start w:val="1"/>
      <w:numFmt w:val="decimal"/>
      <w:lvlText w:val="%4."/>
      <w:lvlJc w:val="left"/>
      <w:pPr>
        <w:ind w:left="2226" w:hanging="420"/>
      </w:pPr>
    </w:lvl>
    <w:lvl w:ilvl="4" w:tentative="0">
      <w:start w:val="1"/>
      <w:numFmt w:val="lowerLetter"/>
      <w:lvlText w:val="%5)"/>
      <w:lvlJc w:val="left"/>
      <w:pPr>
        <w:ind w:left="2646" w:hanging="420"/>
      </w:pPr>
    </w:lvl>
    <w:lvl w:ilvl="5" w:tentative="0">
      <w:start w:val="1"/>
      <w:numFmt w:val="lowerRoman"/>
      <w:lvlText w:val="%6."/>
      <w:lvlJc w:val="right"/>
      <w:pPr>
        <w:ind w:left="3066" w:hanging="420"/>
      </w:pPr>
    </w:lvl>
    <w:lvl w:ilvl="6" w:tentative="0">
      <w:start w:val="1"/>
      <w:numFmt w:val="decimal"/>
      <w:lvlText w:val="%7."/>
      <w:lvlJc w:val="left"/>
      <w:pPr>
        <w:ind w:left="3486" w:hanging="420"/>
      </w:pPr>
    </w:lvl>
    <w:lvl w:ilvl="7" w:tentative="0">
      <w:start w:val="1"/>
      <w:numFmt w:val="lowerLetter"/>
      <w:lvlText w:val="%8)"/>
      <w:lvlJc w:val="left"/>
      <w:pPr>
        <w:ind w:left="3906" w:hanging="420"/>
      </w:pPr>
    </w:lvl>
    <w:lvl w:ilvl="8" w:tentative="0">
      <w:start w:val="1"/>
      <w:numFmt w:val="lowerRoman"/>
      <w:lvlText w:val="%9."/>
      <w:lvlJc w:val="right"/>
      <w:pPr>
        <w:ind w:left="4326" w:hanging="420"/>
      </w:pPr>
    </w:lvl>
  </w:abstractNum>
  <w:abstractNum w:abstractNumId="45">
    <w:nsid w:val="53F22A82"/>
    <w:multiLevelType w:val="multilevel"/>
    <w:tmpl w:val="53F22A82"/>
    <w:lvl w:ilvl="0" w:tentative="0">
      <w:start w:val="1"/>
      <w:numFmt w:val="chineseCountingThousand"/>
      <w:lvlText w:val="(%1)"/>
      <w:lvlJc w:val="left"/>
      <w:pPr>
        <w:ind w:left="900" w:hanging="420"/>
      </w:pPr>
      <w:rPr>
        <w:sz w:val="28"/>
        <w:szCs w:val="28"/>
      </w:rPr>
    </w:lvl>
    <w:lvl w:ilvl="1" w:tentative="0">
      <w:start w:val="1"/>
      <w:numFmt w:val="chineseCountingThousand"/>
      <w:lvlText w:val="(%2)"/>
      <w:lvlJc w:val="left"/>
      <w:pPr>
        <w:ind w:left="1320" w:hanging="420"/>
      </w:pPr>
      <w:rPr>
        <w:sz w:val="28"/>
        <w:szCs w:val="28"/>
      </w:rPr>
    </w:lvl>
    <w:lvl w:ilvl="2" w:tentative="0">
      <w:start w:val="1"/>
      <w:numFmt w:val="decimalEnclosedCircle"/>
      <w:lvlText w:val="%3"/>
      <w:lvlJc w:val="left"/>
      <w:pPr>
        <w:ind w:left="1680" w:hanging="360"/>
      </w:pPr>
      <w:rPr>
        <w:rFonts w:hint="eastAsia" w:ascii="宋体" w:hAnsi="Times New Roman" w:eastAsia="宋体" w:cs="Times New Roman"/>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6">
    <w:nsid w:val="5660DFE8"/>
    <w:multiLevelType w:val="singleLevel"/>
    <w:tmpl w:val="5660DFE8"/>
    <w:lvl w:ilvl="0" w:tentative="0">
      <w:start w:val="1"/>
      <w:numFmt w:val="decimal"/>
      <w:lvlText w:val="%1."/>
      <w:lvlJc w:val="left"/>
      <w:pPr>
        <w:tabs>
          <w:tab w:val="left" w:pos="312"/>
        </w:tabs>
      </w:pPr>
    </w:lvl>
  </w:abstractNum>
  <w:abstractNum w:abstractNumId="47">
    <w:nsid w:val="569A25C4"/>
    <w:multiLevelType w:val="multilevel"/>
    <w:tmpl w:val="569A25C4"/>
    <w:lvl w:ilvl="0" w:tentative="0">
      <w:start w:val="1"/>
      <w:numFmt w:val="japaneseCounting"/>
      <w:lvlText w:val="%1、"/>
      <w:lvlJc w:val="left"/>
      <w:pPr>
        <w:ind w:left="720" w:hanging="720"/>
      </w:pPr>
      <w:rPr>
        <w:rFonts w:hint="default" w:ascii="Calibri" w:hAnsi="Calibri" w:cs="Times New Roman"/>
        <w:sz w:val="28"/>
        <w:szCs w:val="4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8">
    <w:nsid w:val="56ED1289"/>
    <w:multiLevelType w:val="multilevel"/>
    <w:tmpl w:val="56ED1289"/>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9">
    <w:nsid w:val="5F447DED"/>
    <w:multiLevelType w:val="multilevel"/>
    <w:tmpl w:val="5F447DED"/>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0">
    <w:nsid w:val="60642B38"/>
    <w:multiLevelType w:val="multilevel"/>
    <w:tmpl w:val="60642B38"/>
    <w:lvl w:ilvl="0" w:tentative="0">
      <w:start w:val="1"/>
      <w:numFmt w:val="chineseCountingThousand"/>
      <w:lvlText w:val="%1、"/>
      <w:lvlJc w:val="left"/>
      <w:pPr>
        <w:ind w:left="840" w:hanging="420"/>
      </w:pPr>
      <w:rPr>
        <w:rFonts w:asciiTheme="minorEastAsia" w:hAnsiTheme="minorEastAsia" w:eastAsiaTheme="minorEastAsia"/>
        <w:b w:val="0"/>
        <w:sz w:val="28"/>
        <w:szCs w:val="28"/>
      </w:r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51">
    <w:nsid w:val="61FA781F"/>
    <w:multiLevelType w:val="multilevel"/>
    <w:tmpl w:val="61FA781F"/>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52">
    <w:nsid w:val="638064AA"/>
    <w:multiLevelType w:val="multilevel"/>
    <w:tmpl w:val="638064AA"/>
    <w:lvl w:ilvl="0" w:tentative="0">
      <w:start w:val="1"/>
      <w:numFmt w:val="japaneseCounting"/>
      <w:lvlText w:val="%1、"/>
      <w:lvlJc w:val="left"/>
      <w:pPr>
        <w:ind w:left="1998"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3">
    <w:nsid w:val="6AA876ED"/>
    <w:multiLevelType w:val="multilevel"/>
    <w:tmpl w:val="6AA876ED"/>
    <w:lvl w:ilvl="0" w:tentative="0">
      <w:start w:val="1"/>
      <w:numFmt w:val="chineseCountingThousand"/>
      <w:lvlText w:val="(%1)"/>
      <w:lvlJc w:val="left"/>
      <w:pPr>
        <w:ind w:left="420" w:hanging="420"/>
      </w:pPr>
    </w:lvl>
    <w:lvl w:ilvl="1" w:tentative="0">
      <w:start w:val="10"/>
      <w:numFmt w:val="japaneseCounting"/>
      <w:lvlText w:val="%2、"/>
      <w:lvlJc w:val="left"/>
      <w:pPr>
        <w:ind w:left="720" w:hanging="7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4">
    <w:nsid w:val="716F767A"/>
    <w:multiLevelType w:val="multilevel"/>
    <w:tmpl w:val="716F767A"/>
    <w:lvl w:ilvl="0" w:tentative="0">
      <w:start w:val="1"/>
      <w:numFmt w:val="chineseCountingThousand"/>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55">
    <w:nsid w:val="74257A44"/>
    <w:multiLevelType w:val="multilevel"/>
    <w:tmpl w:val="74257A44"/>
    <w:lvl w:ilvl="0" w:tentative="0">
      <w:start w:val="1"/>
      <w:numFmt w:val="chineseCountingThousand"/>
      <w:lvlText w:val="%1、"/>
      <w:lvlJc w:val="left"/>
      <w:pPr>
        <w:ind w:left="700" w:hanging="420"/>
      </w:pPr>
    </w:lvl>
    <w:lvl w:ilvl="1" w:tentative="0">
      <w:start w:val="1"/>
      <w:numFmt w:val="lowerLetter"/>
      <w:lvlText w:val="%2)"/>
      <w:lvlJc w:val="left"/>
      <w:pPr>
        <w:ind w:left="1120" w:hanging="420"/>
      </w:pPr>
    </w:lvl>
    <w:lvl w:ilvl="2" w:tentative="0">
      <w:start w:val="1"/>
      <w:numFmt w:val="lowerRoman"/>
      <w:lvlText w:val="%3."/>
      <w:lvlJc w:val="right"/>
      <w:pPr>
        <w:ind w:left="1540" w:hanging="420"/>
      </w:pPr>
    </w:lvl>
    <w:lvl w:ilvl="3" w:tentative="0">
      <w:start w:val="1"/>
      <w:numFmt w:val="decimal"/>
      <w:lvlText w:val="%4."/>
      <w:lvlJc w:val="left"/>
      <w:pPr>
        <w:ind w:left="1960" w:hanging="420"/>
      </w:pPr>
    </w:lvl>
    <w:lvl w:ilvl="4" w:tentative="0">
      <w:start w:val="1"/>
      <w:numFmt w:val="lowerLetter"/>
      <w:lvlText w:val="%5)"/>
      <w:lvlJc w:val="left"/>
      <w:pPr>
        <w:ind w:left="2380" w:hanging="420"/>
      </w:pPr>
    </w:lvl>
    <w:lvl w:ilvl="5" w:tentative="0">
      <w:start w:val="1"/>
      <w:numFmt w:val="lowerRoman"/>
      <w:lvlText w:val="%6."/>
      <w:lvlJc w:val="right"/>
      <w:pPr>
        <w:ind w:left="2800" w:hanging="420"/>
      </w:pPr>
    </w:lvl>
    <w:lvl w:ilvl="6" w:tentative="0">
      <w:start w:val="1"/>
      <w:numFmt w:val="decimal"/>
      <w:lvlText w:val="%7."/>
      <w:lvlJc w:val="left"/>
      <w:pPr>
        <w:ind w:left="3220" w:hanging="420"/>
      </w:pPr>
    </w:lvl>
    <w:lvl w:ilvl="7" w:tentative="0">
      <w:start w:val="1"/>
      <w:numFmt w:val="lowerLetter"/>
      <w:lvlText w:val="%8)"/>
      <w:lvlJc w:val="left"/>
      <w:pPr>
        <w:ind w:left="3640" w:hanging="420"/>
      </w:pPr>
    </w:lvl>
    <w:lvl w:ilvl="8" w:tentative="0">
      <w:start w:val="1"/>
      <w:numFmt w:val="lowerRoman"/>
      <w:lvlText w:val="%9."/>
      <w:lvlJc w:val="right"/>
      <w:pPr>
        <w:ind w:left="4060" w:hanging="420"/>
      </w:pPr>
    </w:lvl>
  </w:abstractNum>
  <w:abstractNum w:abstractNumId="56">
    <w:nsid w:val="75656F13"/>
    <w:multiLevelType w:val="multilevel"/>
    <w:tmpl w:val="75656F13"/>
    <w:lvl w:ilvl="0" w:tentative="0">
      <w:start w:val="1"/>
      <w:numFmt w:val="chineseCountingThousand"/>
      <w:lvlText w:val="(%1)"/>
      <w:lvlJc w:val="left"/>
      <w:pPr>
        <w:tabs>
          <w:tab w:val="left" w:pos="846"/>
        </w:tabs>
        <w:ind w:left="846" w:hanging="420"/>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7">
    <w:nsid w:val="789D00AF"/>
    <w:multiLevelType w:val="multilevel"/>
    <w:tmpl w:val="789D00AF"/>
    <w:lvl w:ilvl="0" w:tentative="0">
      <w:start w:val="1"/>
      <w:numFmt w:val="chineseCountingThousand"/>
      <w:lvlText w:val="(%1)"/>
      <w:lvlJc w:val="left"/>
      <w:pPr>
        <w:ind w:left="972" w:hanging="420"/>
      </w:pPr>
      <w:rPr>
        <w:b w:val="0"/>
      </w:rPr>
    </w:lvl>
    <w:lvl w:ilvl="1" w:tentative="0">
      <w:start w:val="1"/>
      <w:numFmt w:val="lowerLetter"/>
      <w:lvlText w:val="%2)"/>
      <w:lvlJc w:val="left"/>
      <w:pPr>
        <w:ind w:left="1392" w:hanging="420"/>
      </w:pPr>
    </w:lvl>
    <w:lvl w:ilvl="2" w:tentative="0">
      <w:start w:val="1"/>
      <w:numFmt w:val="lowerRoman"/>
      <w:lvlText w:val="%3."/>
      <w:lvlJc w:val="right"/>
      <w:pPr>
        <w:ind w:left="1812" w:hanging="420"/>
      </w:pPr>
    </w:lvl>
    <w:lvl w:ilvl="3" w:tentative="0">
      <w:start w:val="1"/>
      <w:numFmt w:val="decimal"/>
      <w:lvlText w:val="%4."/>
      <w:lvlJc w:val="left"/>
      <w:pPr>
        <w:ind w:left="2232" w:hanging="420"/>
      </w:pPr>
    </w:lvl>
    <w:lvl w:ilvl="4" w:tentative="0">
      <w:start w:val="1"/>
      <w:numFmt w:val="lowerLetter"/>
      <w:lvlText w:val="%5)"/>
      <w:lvlJc w:val="left"/>
      <w:pPr>
        <w:ind w:left="2652" w:hanging="420"/>
      </w:pPr>
    </w:lvl>
    <w:lvl w:ilvl="5" w:tentative="0">
      <w:start w:val="1"/>
      <w:numFmt w:val="lowerRoman"/>
      <w:lvlText w:val="%6."/>
      <w:lvlJc w:val="right"/>
      <w:pPr>
        <w:ind w:left="3072" w:hanging="420"/>
      </w:pPr>
    </w:lvl>
    <w:lvl w:ilvl="6" w:tentative="0">
      <w:start w:val="1"/>
      <w:numFmt w:val="decimal"/>
      <w:lvlText w:val="%7."/>
      <w:lvlJc w:val="left"/>
      <w:pPr>
        <w:ind w:left="3492" w:hanging="420"/>
      </w:pPr>
    </w:lvl>
    <w:lvl w:ilvl="7" w:tentative="0">
      <w:start w:val="1"/>
      <w:numFmt w:val="lowerLetter"/>
      <w:lvlText w:val="%8)"/>
      <w:lvlJc w:val="left"/>
      <w:pPr>
        <w:ind w:left="3912" w:hanging="420"/>
      </w:pPr>
    </w:lvl>
    <w:lvl w:ilvl="8" w:tentative="0">
      <w:start w:val="1"/>
      <w:numFmt w:val="lowerRoman"/>
      <w:lvlText w:val="%9."/>
      <w:lvlJc w:val="right"/>
      <w:pPr>
        <w:ind w:left="4332" w:hanging="420"/>
      </w:pPr>
    </w:lvl>
  </w:abstractNum>
  <w:abstractNum w:abstractNumId="58">
    <w:nsid w:val="7F511D7D"/>
    <w:multiLevelType w:val="multilevel"/>
    <w:tmpl w:val="7F511D7D"/>
    <w:lvl w:ilvl="0" w:tentative="0">
      <w:start w:val="1"/>
      <w:numFmt w:val="chineseCountingThousand"/>
      <w:lvlText w:val="%1、"/>
      <w:lvlJc w:val="left"/>
      <w:pPr>
        <w:ind w:left="988" w:hanging="420"/>
      </w:pPr>
      <w:rPr>
        <w:sz w:val="28"/>
        <w:szCs w:val="28"/>
      </w:rPr>
    </w:lvl>
    <w:lvl w:ilvl="1" w:tentative="0">
      <w:start w:val="1"/>
      <w:numFmt w:val="decimal"/>
      <w:isLgl/>
      <w:lvlText w:val="%1.%2"/>
      <w:lvlJc w:val="left"/>
      <w:pPr>
        <w:ind w:left="1528" w:hanging="960"/>
      </w:pPr>
    </w:lvl>
    <w:lvl w:ilvl="2" w:tentative="0">
      <w:start w:val="1"/>
      <w:numFmt w:val="decimal"/>
      <w:isLgl/>
      <w:lvlText w:val="%1.%2.%3"/>
      <w:lvlJc w:val="left"/>
      <w:pPr>
        <w:ind w:left="1528" w:hanging="960"/>
      </w:pPr>
    </w:lvl>
    <w:lvl w:ilvl="3" w:tentative="0">
      <w:start w:val="1"/>
      <w:numFmt w:val="decimal"/>
      <w:isLgl/>
      <w:lvlText w:val="%1.%2.%3.%4"/>
      <w:lvlJc w:val="left"/>
      <w:pPr>
        <w:ind w:left="1648" w:hanging="1080"/>
      </w:pPr>
    </w:lvl>
    <w:lvl w:ilvl="4" w:tentative="0">
      <w:start w:val="1"/>
      <w:numFmt w:val="decimal"/>
      <w:isLgl/>
      <w:lvlText w:val="%1.%2.%3.%4.%5"/>
      <w:lvlJc w:val="left"/>
      <w:pPr>
        <w:ind w:left="1648" w:hanging="1080"/>
      </w:pPr>
    </w:lvl>
    <w:lvl w:ilvl="5" w:tentative="0">
      <w:start w:val="1"/>
      <w:numFmt w:val="decimal"/>
      <w:isLgl/>
      <w:lvlText w:val="%1.%2.%3.%4.%5.%6"/>
      <w:lvlJc w:val="left"/>
      <w:pPr>
        <w:ind w:left="2008" w:hanging="1440"/>
      </w:pPr>
    </w:lvl>
    <w:lvl w:ilvl="6" w:tentative="0">
      <w:start w:val="1"/>
      <w:numFmt w:val="decimal"/>
      <w:isLgl/>
      <w:lvlText w:val="%1.%2.%3.%4.%5.%6.%7"/>
      <w:lvlJc w:val="left"/>
      <w:pPr>
        <w:ind w:left="2368" w:hanging="1800"/>
      </w:pPr>
    </w:lvl>
    <w:lvl w:ilvl="7" w:tentative="0">
      <w:start w:val="1"/>
      <w:numFmt w:val="decimal"/>
      <w:isLgl/>
      <w:lvlText w:val="%1.%2.%3.%4.%5.%6.%7.%8"/>
      <w:lvlJc w:val="left"/>
      <w:pPr>
        <w:ind w:left="2368" w:hanging="1800"/>
      </w:pPr>
    </w:lvl>
    <w:lvl w:ilvl="8" w:tentative="0">
      <w:start w:val="1"/>
      <w:numFmt w:val="decimal"/>
      <w:isLgl/>
      <w:lvlText w:val="%1.%2.%3.%4.%5.%6.%7.%8.%9"/>
      <w:lvlJc w:val="left"/>
      <w:pPr>
        <w:ind w:left="2728" w:hanging="2160"/>
      </w:pPr>
    </w:lvl>
  </w:abstractNum>
  <w:num w:numId="1">
    <w:abstractNumId w:val="13"/>
  </w:num>
  <w:num w:numId="2">
    <w:abstractNumId w:val="8"/>
  </w:num>
  <w:num w:numId="3">
    <w:abstractNumId w:val="4"/>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2"/>
  </w:num>
  <w:num w:numId="3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9"/>
  </w:num>
  <w:num w:numId="37">
    <w:abstractNumId w:val="40"/>
  </w:num>
  <w:num w:numId="38">
    <w:abstractNumId w:val="47"/>
  </w:num>
  <w:num w:numId="39">
    <w:abstractNumId w:val="29"/>
  </w:num>
  <w:num w:numId="40">
    <w:abstractNumId w:val="20"/>
  </w:num>
  <w:num w:numId="41">
    <w:abstractNumId w:val="30"/>
  </w:num>
  <w:num w:numId="42">
    <w:abstractNumId w:val="39"/>
  </w:num>
  <w:num w:numId="43">
    <w:abstractNumId w:val="48"/>
  </w:num>
  <w:num w:numId="44">
    <w:abstractNumId w:val="23"/>
  </w:num>
  <w:num w:numId="45">
    <w:abstractNumId w:val="53"/>
  </w:num>
  <w:num w:numId="46">
    <w:abstractNumId w:val="55"/>
  </w:num>
  <w:num w:numId="4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6"/>
  </w:num>
  <w:num w:numId="56">
    <w:abstractNumId w:val="25"/>
  </w:num>
  <w:num w:numId="5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hideSpellingErrors/>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KGWebUrl" w:val="https://portal.cdggzy.com/iWebOffice2015/OfficeHandler.ashx?directory=/CgProject/BidFile/File/%e6%88%90%e9%83%bd%e5%b8%82%e6%94%bf%e9%87%87%e6%8b%9b%e3%80%942020%e3%80%95235%e5%8f%b7/"/>
  </w:docVars>
  <w:rsids>
    <w:rsidRoot w:val="0092431B"/>
    <w:rsid w:val="0000664B"/>
    <w:rsid w:val="00011E2C"/>
    <w:rsid w:val="00013160"/>
    <w:rsid w:val="00017C65"/>
    <w:rsid w:val="00041E00"/>
    <w:rsid w:val="00042EEA"/>
    <w:rsid w:val="00046547"/>
    <w:rsid w:val="00070D3F"/>
    <w:rsid w:val="00071BA9"/>
    <w:rsid w:val="00074CCC"/>
    <w:rsid w:val="0008193D"/>
    <w:rsid w:val="00086C1B"/>
    <w:rsid w:val="000A2FD9"/>
    <w:rsid w:val="000A50E7"/>
    <w:rsid w:val="000B6607"/>
    <w:rsid w:val="000E01D4"/>
    <w:rsid w:val="000F0BF5"/>
    <w:rsid w:val="000F1F4F"/>
    <w:rsid w:val="000F5214"/>
    <w:rsid w:val="00102EC7"/>
    <w:rsid w:val="00110977"/>
    <w:rsid w:val="00123F07"/>
    <w:rsid w:val="00130037"/>
    <w:rsid w:val="001340B1"/>
    <w:rsid w:val="00142C44"/>
    <w:rsid w:val="00147768"/>
    <w:rsid w:val="0015151D"/>
    <w:rsid w:val="00171DDA"/>
    <w:rsid w:val="0017364F"/>
    <w:rsid w:val="00175DA2"/>
    <w:rsid w:val="001922D3"/>
    <w:rsid w:val="001B34A4"/>
    <w:rsid w:val="001C2698"/>
    <w:rsid w:val="001C4FFA"/>
    <w:rsid w:val="001D392C"/>
    <w:rsid w:val="001D3A38"/>
    <w:rsid w:val="001D53CF"/>
    <w:rsid w:val="001D6478"/>
    <w:rsid w:val="001E13EE"/>
    <w:rsid w:val="001E6DA4"/>
    <w:rsid w:val="00214F93"/>
    <w:rsid w:val="002303BC"/>
    <w:rsid w:val="002304CC"/>
    <w:rsid w:val="00236028"/>
    <w:rsid w:val="00236C36"/>
    <w:rsid w:val="002441B7"/>
    <w:rsid w:val="00257EE4"/>
    <w:rsid w:val="0026015E"/>
    <w:rsid w:val="00266EFB"/>
    <w:rsid w:val="00284D80"/>
    <w:rsid w:val="00285456"/>
    <w:rsid w:val="002933F7"/>
    <w:rsid w:val="00296E6F"/>
    <w:rsid w:val="002A45C2"/>
    <w:rsid w:val="002A5802"/>
    <w:rsid w:val="002F213A"/>
    <w:rsid w:val="00302422"/>
    <w:rsid w:val="003061CB"/>
    <w:rsid w:val="003074A8"/>
    <w:rsid w:val="00334224"/>
    <w:rsid w:val="00337C35"/>
    <w:rsid w:val="00340E82"/>
    <w:rsid w:val="00354C2E"/>
    <w:rsid w:val="00373947"/>
    <w:rsid w:val="00394287"/>
    <w:rsid w:val="003A0F3D"/>
    <w:rsid w:val="003A29C7"/>
    <w:rsid w:val="003F007F"/>
    <w:rsid w:val="003F3F72"/>
    <w:rsid w:val="003F5CC5"/>
    <w:rsid w:val="003F649F"/>
    <w:rsid w:val="00410F3C"/>
    <w:rsid w:val="0042015A"/>
    <w:rsid w:val="004215D4"/>
    <w:rsid w:val="0042346B"/>
    <w:rsid w:val="00445432"/>
    <w:rsid w:val="0045547F"/>
    <w:rsid w:val="00461CB5"/>
    <w:rsid w:val="00474CD7"/>
    <w:rsid w:val="004870EE"/>
    <w:rsid w:val="004A610A"/>
    <w:rsid w:val="004C1B1A"/>
    <w:rsid w:val="004C3093"/>
    <w:rsid w:val="004D49CB"/>
    <w:rsid w:val="004E1C00"/>
    <w:rsid w:val="004E603E"/>
    <w:rsid w:val="004F58AE"/>
    <w:rsid w:val="00500F25"/>
    <w:rsid w:val="00506303"/>
    <w:rsid w:val="00507027"/>
    <w:rsid w:val="00507298"/>
    <w:rsid w:val="00520BDE"/>
    <w:rsid w:val="00545144"/>
    <w:rsid w:val="00550695"/>
    <w:rsid w:val="00553DE4"/>
    <w:rsid w:val="00563198"/>
    <w:rsid w:val="0057488F"/>
    <w:rsid w:val="005816DE"/>
    <w:rsid w:val="00592A25"/>
    <w:rsid w:val="005A6C7A"/>
    <w:rsid w:val="005E4485"/>
    <w:rsid w:val="005F4744"/>
    <w:rsid w:val="00606AFB"/>
    <w:rsid w:val="00610A61"/>
    <w:rsid w:val="006216DE"/>
    <w:rsid w:val="00634D91"/>
    <w:rsid w:val="00652875"/>
    <w:rsid w:val="00652F59"/>
    <w:rsid w:val="006623DB"/>
    <w:rsid w:val="00693682"/>
    <w:rsid w:val="006A43ED"/>
    <w:rsid w:val="006A4D20"/>
    <w:rsid w:val="006B1930"/>
    <w:rsid w:val="006B1CEA"/>
    <w:rsid w:val="006D0D2A"/>
    <w:rsid w:val="006D5C68"/>
    <w:rsid w:val="006F0FCF"/>
    <w:rsid w:val="0070048F"/>
    <w:rsid w:val="00702324"/>
    <w:rsid w:val="0073282C"/>
    <w:rsid w:val="00752731"/>
    <w:rsid w:val="00764541"/>
    <w:rsid w:val="007672B0"/>
    <w:rsid w:val="00794228"/>
    <w:rsid w:val="007C3748"/>
    <w:rsid w:val="007C4260"/>
    <w:rsid w:val="007D62B3"/>
    <w:rsid w:val="007E1B96"/>
    <w:rsid w:val="007F19FF"/>
    <w:rsid w:val="007F6DFD"/>
    <w:rsid w:val="00804CED"/>
    <w:rsid w:val="0081056F"/>
    <w:rsid w:val="00812642"/>
    <w:rsid w:val="00824DA8"/>
    <w:rsid w:val="008253BA"/>
    <w:rsid w:val="00826151"/>
    <w:rsid w:val="008410FC"/>
    <w:rsid w:val="00855B46"/>
    <w:rsid w:val="0086125A"/>
    <w:rsid w:val="00862CEA"/>
    <w:rsid w:val="00862D3A"/>
    <w:rsid w:val="0087024B"/>
    <w:rsid w:val="00873952"/>
    <w:rsid w:val="00876051"/>
    <w:rsid w:val="008907C8"/>
    <w:rsid w:val="00891F19"/>
    <w:rsid w:val="008A145C"/>
    <w:rsid w:val="008B6817"/>
    <w:rsid w:val="008E5A61"/>
    <w:rsid w:val="008E5E8F"/>
    <w:rsid w:val="00912D40"/>
    <w:rsid w:val="00915E87"/>
    <w:rsid w:val="0092431B"/>
    <w:rsid w:val="00926004"/>
    <w:rsid w:val="00941F87"/>
    <w:rsid w:val="00950315"/>
    <w:rsid w:val="00955F71"/>
    <w:rsid w:val="00963021"/>
    <w:rsid w:val="00970330"/>
    <w:rsid w:val="00976A7C"/>
    <w:rsid w:val="00994D15"/>
    <w:rsid w:val="009A253C"/>
    <w:rsid w:val="009B36BE"/>
    <w:rsid w:val="009B3C13"/>
    <w:rsid w:val="009C52DB"/>
    <w:rsid w:val="009C71A7"/>
    <w:rsid w:val="009E237A"/>
    <w:rsid w:val="009F2ECD"/>
    <w:rsid w:val="00A00871"/>
    <w:rsid w:val="00A03833"/>
    <w:rsid w:val="00A068BA"/>
    <w:rsid w:val="00A1692C"/>
    <w:rsid w:val="00A36BBE"/>
    <w:rsid w:val="00A40840"/>
    <w:rsid w:val="00A41BDF"/>
    <w:rsid w:val="00A46FE5"/>
    <w:rsid w:val="00A5235E"/>
    <w:rsid w:val="00A531AE"/>
    <w:rsid w:val="00A650CA"/>
    <w:rsid w:val="00A7160C"/>
    <w:rsid w:val="00A739BA"/>
    <w:rsid w:val="00A93C9B"/>
    <w:rsid w:val="00AA3745"/>
    <w:rsid w:val="00AA7E66"/>
    <w:rsid w:val="00AB44A5"/>
    <w:rsid w:val="00AB7617"/>
    <w:rsid w:val="00AD025E"/>
    <w:rsid w:val="00AD5E60"/>
    <w:rsid w:val="00AF1BFC"/>
    <w:rsid w:val="00AF35A3"/>
    <w:rsid w:val="00AF3933"/>
    <w:rsid w:val="00B11843"/>
    <w:rsid w:val="00B14668"/>
    <w:rsid w:val="00B2194B"/>
    <w:rsid w:val="00B25275"/>
    <w:rsid w:val="00B50798"/>
    <w:rsid w:val="00B50CEA"/>
    <w:rsid w:val="00B547D5"/>
    <w:rsid w:val="00B6257E"/>
    <w:rsid w:val="00B74664"/>
    <w:rsid w:val="00B859A1"/>
    <w:rsid w:val="00B9794F"/>
    <w:rsid w:val="00BC59BF"/>
    <w:rsid w:val="00BD6746"/>
    <w:rsid w:val="00BE1211"/>
    <w:rsid w:val="00BF0B3E"/>
    <w:rsid w:val="00BF6991"/>
    <w:rsid w:val="00C16572"/>
    <w:rsid w:val="00C402A7"/>
    <w:rsid w:val="00C5371B"/>
    <w:rsid w:val="00C54D07"/>
    <w:rsid w:val="00C56E01"/>
    <w:rsid w:val="00C62347"/>
    <w:rsid w:val="00C62AD4"/>
    <w:rsid w:val="00C675B8"/>
    <w:rsid w:val="00C832DD"/>
    <w:rsid w:val="00CC02F5"/>
    <w:rsid w:val="00CD0154"/>
    <w:rsid w:val="00CD0E71"/>
    <w:rsid w:val="00CF56C7"/>
    <w:rsid w:val="00D50B2B"/>
    <w:rsid w:val="00D51C67"/>
    <w:rsid w:val="00D577B6"/>
    <w:rsid w:val="00D57D2A"/>
    <w:rsid w:val="00D623BF"/>
    <w:rsid w:val="00D640EF"/>
    <w:rsid w:val="00D65731"/>
    <w:rsid w:val="00D8071E"/>
    <w:rsid w:val="00DA547E"/>
    <w:rsid w:val="00DB22F1"/>
    <w:rsid w:val="00DB490A"/>
    <w:rsid w:val="00DB7A87"/>
    <w:rsid w:val="00DC3D2D"/>
    <w:rsid w:val="00DD16AF"/>
    <w:rsid w:val="00DD19A0"/>
    <w:rsid w:val="00DE762C"/>
    <w:rsid w:val="00DE7F5C"/>
    <w:rsid w:val="00DF3323"/>
    <w:rsid w:val="00E02908"/>
    <w:rsid w:val="00E029F6"/>
    <w:rsid w:val="00E17E77"/>
    <w:rsid w:val="00E23EC4"/>
    <w:rsid w:val="00E32509"/>
    <w:rsid w:val="00E42AA9"/>
    <w:rsid w:val="00E473C0"/>
    <w:rsid w:val="00E547E7"/>
    <w:rsid w:val="00E5519E"/>
    <w:rsid w:val="00E6792F"/>
    <w:rsid w:val="00E71B5E"/>
    <w:rsid w:val="00E76DCA"/>
    <w:rsid w:val="00E87AE5"/>
    <w:rsid w:val="00E87C88"/>
    <w:rsid w:val="00E922B6"/>
    <w:rsid w:val="00E93BF2"/>
    <w:rsid w:val="00EA45D0"/>
    <w:rsid w:val="00ED1A4F"/>
    <w:rsid w:val="00ED3935"/>
    <w:rsid w:val="00F00D97"/>
    <w:rsid w:val="00F24CB6"/>
    <w:rsid w:val="00F26EBF"/>
    <w:rsid w:val="00F525FC"/>
    <w:rsid w:val="00F67D54"/>
    <w:rsid w:val="00F72EEB"/>
    <w:rsid w:val="00F74495"/>
    <w:rsid w:val="00F77F4A"/>
    <w:rsid w:val="00F8165B"/>
    <w:rsid w:val="00F939A1"/>
    <w:rsid w:val="00FD0C41"/>
    <w:rsid w:val="00FD4E47"/>
    <w:rsid w:val="00FE04E4"/>
    <w:rsid w:val="00FE39D8"/>
    <w:rsid w:val="014057E2"/>
    <w:rsid w:val="0278489E"/>
    <w:rsid w:val="056621B9"/>
    <w:rsid w:val="05BB3B47"/>
    <w:rsid w:val="05BC2443"/>
    <w:rsid w:val="06B865C6"/>
    <w:rsid w:val="07FE66FC"/>
    <w:rsid w:val="0B0745E7"/>
    <w:rsid w:val="0DCB086A"/>
    <w:rsid w:val="0DDB7E20"/>
    <w:rsid w:val="14D86EE6"/>
    <w:rsid w:val="18E411FE"/>
    <w:rsid w:val="19002F27"/>
    <w:rsid w:val="19FC3906"/>
    <w:rsid w:val="1AC030B0"/>
    <w:rsid w:val="1B136AB9"/>
    <w:rsid w:val="1B1C7B55"/>
    <w:rsid w:val="1C0454FA"/>
    <w:rsid w:val="1E3736D1"/>
    <w:rsid w:val="1EDA2C8F"/>
    <w:rsid w:val="238D076A"/>
    <w:rsid w:val="23B457E6"/>
    <w:rsid w:val="2420585E"/>
    <w:rsid w:val="251B071B"/>
    <w:rsid w:val="25955753"/>
    <w:rsid w:val="27736EAD"/>
    <w:rsid w:val="28525E28"/>
    <w:rsid w:val="30222D78"/>
    <w:rsid w:val="30EB5067"/>
    <w:rsid w:val="30F22B23"/>
    <w:rsid w:val="319C2F6F"/>
    <w:rsid w:val="336C0DCC"/>
    <w:rsid w:val="385B29E7"/>
    <w:rsid w:val="3B191751"/>
    <w:rsid w:val="3B30732F"/>
    <w:rsid w:val="3B6209E9"/>
    <w:rsid w:val="3BBF2CA8"/>
    <w:rsid w:val="3CF13254"/>
    <w:rsid w:val="3DAD2EB0"/>
    <w:rsid w:val="3F7F4589"/>
    <w:rsid w:val="408B15E7"/>
    <w:rsid w:val="4110413B"/>
    <w:rsid w:val="41282A1B"/>
    <w:rsid w:val="41FC2BB3"/>
    <w:rsid w:val="44E86D9B"/>
    <w:rsid w:val="4556562F"/>
    <w:rsid w:val="458938E2"/>
    <w:rsid w:val="46A66A48"/>
    <w:rsid w:val="47001D00"/>
    <w:rsid w:val="4A177250"/>
    <w:rsid w:val="4B925C18"/>
    <w:rsid w:val="4D54585C"/>
    <w:rsid w:val="4D82687A"/>
    <w:rsid w:val="4EFF2FBC"/>
    <w:rsid w:val="50EF7677"/>
    <w:rsid w:val="511B2FC4"/>
    <w:rsid w:val="544C73F3"/>
    <w:rsid w:val="559B05DD"/>
    <w:rsid w:val="56C06B6E"/>
    <w:rsid w:val="5D6F75C3"/>
    <w:rsid w:val="5D84732D"/>
    <w:rsid w:val="5E967279"/>
    <w:rsid w:val="639605F4"/>
    <w:rsid w:val="67290169"/>
    <w:rsid w:val="68050837"/>
    <w:rsid w:val="684F4E06"/>
    <w:rsid w:val="6A9F220E"/>
    <w:rsid w:val="6B6F3171"/>
    <w:rsid w:val="6C2951DB"/>
    <w:rsid w:val="6C541EE3"/>
    <w:rsid w:val="6CDB1464"/>
    <w:rsid w:val="6E7D5848"/>
    <w:rsid w:val="718D2201"/>
    <w:rsid w:val="730F676D"/>
    <w:rsid w:val="74104D8C"/>
    <w:rsid w:val="75DE0E1C"/>
    <w:rsid w:val="7685364B"/>
    <w:rsid w:val="77D9653F"/>
    <w:rsid w:val="7AF90F72"/>
    <w:rsid w:val="7C4B3183"/>
    <w:rsid w:val="7E043C96"/>
    <w:rsid w:val="7F223B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9" w:semiHidden="0" w:name="heading 2"/>
    <w:lsdException w:qFormat="1" w:uiPriority="99" w:semiHidden="0" w:name="heading 3"/>
    <w:lsdException w:qFormat="1" w:uiPriority="9" w:semiHidden="0" w:name="heading 4"/>
    <w:lsdException w:qFormat="1" w:uiPriority="0" w:semiHidden="0" w:name="heading 5"/>
    <w:lsdException w:qFormat="1" w:uiPriority="0" w:semiHidden="0" w:name="heading 6"/>
    <w:lsdException w:qFormat="1" w:uiPriority="0" w:semiHidden="0" w:name="heading 7"/>
    <w:lsdException w:qFormat="1" w:uiPriority="0" w:name="heading 8"/>
    <w:lsdException w:qFormat="1" w:uiPriority="0" w:name="heading 9"/>
    <w:lsdException w:qFormat="1" w:uiPriority="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0" w:name="toc 3"/>
    <w:lsdException w:qFormat="1" w:uiPriority="0" w:name="toc 4"/>
    <w:lsdException w:qFormat="1" w:uiPriority="0" w:name="toc 5"/>
    <w:lsdException w:qFormat="1" w:uiPriority="0" w:name="toc 6"/>
    <w:lsdException w:qFormat="1" w:uiPriority="0" w:name="toc 7"/>
    <w:lsdException w:qFormat="1" w:uiPriority="0" w:name="toc 8"/>
    <w:lsdException w:qFormat="1" w:uiPriority="0" w:name="toc 9"/>
    <w:lsdException w:qFormat="1" w:uiPriority="0" w:semiHidden="0" w:name="Normal Indent"/>
    <w:lsdException w:qFormat="1" w:uiPriority="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qFormat="1" w:uiPriority="0"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0" w:semiHidden="0" w:name="Body Text"/>
    <w:lsdException w:qFormat="1" w:uiPriority="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99" w:semiHidden="0" w:name="Date"/>
    <w:lsdException w:qFormat="1" w:uiPriority="0" w:name="Body Text First Indent"/>
    <w:lsdException w:uiPriority="99" w:name="Body Text First Indent 2"/>
    <w:lsdException w:unhideWhenUsed="0" w:uiPriority="99" w:semiHidden="0" w:name="Note Heading"/>
    <w:lsdException w:qFormat="1" w:uiPriority="0" w:name="Body Text 2"/>
    <w:lsdException w:qFormat="1" w:uiPriority="0" w:name="Body Text 3"/>
    <w:lsdException w:qFormat="1" w:uiPriority="0" w:name="Body Text Indent 2"/>
    <w:lsdException w:qFormat="1" w:uiPriority="0" w:name="Body Text Indent 3"/>
    <w:lsdException w:qFormat="1" w:uiPriority="0"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link w:val="50"/>
    <w:qFormat/>
    <w:uiPriority w:val="99"/>
    <w:pPr>
      <w:keepNext/>
      <w:keepLines/>
      <w:numPr>
        <w:ilvl w:val="0"/>
        <w:numId w:val="1"/>
      </w:numPr>
      <w:spacing w:before="340" w:after="330" w:line="400" w:lineRule="exact"/>
      <w:jc w:val="center"/>
      <w:outlineLvl w:val="0"/>
    </w:pPr>
    <w:rPr>
      <w:rFonts w:ascii="宋体" w:hAnsi="宋体" w:cs="宋体"/>
      <w:b/>
      <w:bCs/>
      <w:spacing w:val="-20"/>
      <w:kern w:val="44"/>
      <w:sz w:val="32"/>
      <w:szCs w:val="32"/>
    </w:rPr>
  </w:style>
  <w:style w:type="paragraph" w:styleId="4">
    <w:name w:val="heading 2"/>
    <w:basedOn w:val="1"/>
    <w:next w:val="1"/>
    <w:link w:val="51"/>
    <w:unhideWhenUsed/>
    <w:qFormat/>
    <w:uiPriority w:val="99"/>
    <w:pPr>
      <w:keepNext/>
      <w:keepLines/>
      <w:numPr>
        <w:ilvl w:val="1"/>
        <w:numId w:val="1"/>
      </w:numPr>
      <w:spacing w:before="260" w:after="260" w:line="360" w:lineRule="auto"/>
      <w:jc w:val="left"/>
      <w:outlineLvl w:val="1"/>
    </w:pPr>
    <w:rPr>
      <w:rFonts w:ascii="宋体" w:hAnsi="宋体" w:cs="宋体"/>
      <w:b/>
      <w:bCs/>
      <w:sz w:val="28"/>
      <w:szCs w:val="28"/>
    </w:rPr>
  </w:style>
  <w:style w:type="paragraph" w:styleId="5">
    <w:name w:val="heading 3"/>
    <w:basedOn w:val="1"/>
    <w:next w:val="1"/>
    <w:link w:val="52"/>
    <w:unhideWhenUsed/>
    <w:qFormat/>
    <w:uiPriority w:val="99"/>
    <w:pPr>
      <w:keepNext/>
      <w:keepLines/>
      <w:numPr>
        <w:ilvl w:val="2"/>
        <w:numId w:val="1"/>
      </w:numPr>
      <w:spacing w:line="360" w:lineRule="auto"/>
      <w:outlineLvl w:val="2"/>
    </w:pPr>
    <w:rPr>
      <w:rFonts w:ascii="宋体" w:hAnsi="宋体" w:cs="宋体"/>
      <w:b/>
      <w:bCs/>
      <w:color w:val="000000"/>
      <w:kern w:val="0"/>
      <w:sz w:val="28"/>
      <w:szCs w:val="28"/>
    </w:rPr>
  </w:style>
  <w:style w:type="paragraph" w:styleId="6">
    <w:name w:val="heading 4"/>
    <w:basedOn w:val="1"/>
    <w:next w:val="1"/>
    <w:link w:val="53"/>
    <w:unhideWhenUsed/>
    <w:qFormat/>
    <w:uiPriority w:val="9"/>
    <w:pPr>
      <w:keepNext/>
      <w:keepLines/>
      <w:numPr>
        <w:ilvl w:val="3"/>
        <w:numId w:val="1"/>
      </w:numPr>
      <w:spacing w:before="120" w:after="120" w:line="360" w:lineRule="auto"/>
      <w:jc w:val="left"/>
      <w:outlineLvl w:val="3"/>
    </w:pPr>
    <w:rPr>
      <w:rFonts w:ascii="Arial" w:hAnsi="Arial"/>
      <w:b/>
      <w:bCs/>
      <w:kern w:val="0"/>
      <w:sz w:val="28"/>
      <w:szCs w:val="28"/>
    </w:rPr>
  </w:style>
  <w:style w:type="paragraph" w:styleId="7">
    <w:name w:val="heading 5"/>
    <w:basedOn w:val="1"/>
    <w:next w:val="1"/>
    <w:link w:val="54"/>
    <w:unhideWhenUsed/>
    <w:qFormat/>
    <w:uiPriority w:val="0"/>
    <w:pPr>
      <w:numPr>
        <w:ilvl w:val="4"/>
        <w:numId w:val="2"/>
      </w:numPr>
      <w:tabs>
        <w:tab w:val="left" w:pos="1134"/>
      </w:tabs>
      <w:spacing w:before="280" w:after="290" w:line="360" w:lineRule="auto"/>
      <w:outlineLvl w:val="4"/>
    </w:pPr>
    <w:rPr>
      <w:b/>
      <w:bCs/>
      <w:kern w:val="0"/>
      <w:sz w:val="28"/>
      <w:szCs w:val="28"/>
    </w:rPr>
  </w:style>
  <w:style w:type="paragraph" w:styleId="8">
    <w:name w:val="heading 6"/>
    <w:basedOn w:val="1"/>
    <w:next w:val="1"/>
    <w:link w:val="55"/>
    <w:unhideWhenUsed/>
    <w:qFormat/>
    <w:uiPriority w:val="0"/>
    <w:pPr>
      <w:keepNext/>
      <w:keepLines/>
      <w:numPr>
        <w:ilvl w:val="5"/>
        <w:numId w:val="2"/>
      </w:numPr>
      <w:spacing w:before="240" w:after="64" w:line="314" w:lineRule="auto"/>
      <w:outlineLvl w:val="5"/>
    </w:pPr>
    <w:rPr>
      <w:rFonts w:ascii="Arial" w:hAnsi="Arial"/>
      <w:b/>
      <w:bCs/>
      <w:kern w:val="0"/>
      <w:sz w:val="28"/>
      <w:szCs w:val="18"/>
    </w:rPr>
  </w:style>
  <w:style w:type="paragraph" w:styleId="9">
    <w:name w:val="heading 7"/>
    <w:basedOn w:val="1"/>
    <w:next w:val="1"/>
    <w:link w:val="56"/>
    <w:unhideWhenUsed/>
    <w:qFormat/>
    <w:uiPriority w:val="0"/>
    <w:pPr>
      <w:keepNext/>
      <w:widowControl/>
      <w:tabs>
        <w:tab w:val="left" w:pos="3600"/>
      </w:tabs>
      <w:spacing w:after="120"/>
      <w:jc w:val="left"/>
      <w:outlineLvl w:val="6"/>
    </w:pPr>
    <w:rPr>
      <w:rFonts w:ascii="Arial Narrow" w:hAnsi="Arial Narrow"/>
      <w:b/>
      <w:bCs/>
      <w:iCs/>
      <w:kern w:val="0"/>
      <w:sz w:val="20"/>
      <w:szCs w:val="24"/>
      <w:lang w:eastAsia="en-US"/>
    </w:rPr>
  </w:style>
  <w:style w:type="paragraph" w:styleId="10">
    <w:name w:val="heading 8"/>
    <w:basedOn w:val="1"/>
    <w:next w:val="1"/>
    <w:link w:val="57"/>
    <w:semiHidden/>
    <w:unhideWhenUsed/>
    <w:qFormat/>
    <w:uiPriority w:val="0"/>
    <w:pPr>
      <w:keepNext/>
      <w:keepLines/>
      <w:spacing w:before="240" w:after="64" w:line="314" w:lineRule="auto"/>
      <w:outlineLvl w:val="7"/>
    </w:pPr>
    <w:rPr>
      <w:rFonts w:ascii="Arial" w:hAnsi="Arial" w:eastAsia="黑体"/>
      <w:kern w:val="0"/>
      <w:sz w:val="24"/>
      <w:szCs w:val="24"/>
    </w:rPr>
  </w:style>
  <w:style w:type="paragraph" w:styleId="11">
    <w:name w:val="heading 9"/>
    <w:basedOn w:val="1"/>
    <w:next w:val="1"/>
    <w:link w:val="58"/>
    <w:semiHidden/>
    <w:unhideWhenUsed/>
    <w:qFormat/>
    <w:uiPriority w:val="0"/>
    <w:pPr>
      <w:keepNext/>
      <w:keepLines/>
      <w:spacing w:before="240" w:after="64" w:line="314" w:lineRule="auto"/>
      <w:outlineLvl w:val="8"/>
    </w:pPr>
    <w:rPr>
      <w:rFonts w:ascii="Arial" w:hAnsi="Arial" w:eastAsia="黑体"/>
      <w:kern w:val="0"/>
      <w:sz w:val="20"/>
      <w:szCs w:val="21"/>
    </w:rPr>
  </w:style>
  <w:style w:type="character" w:default="1" w:styleId="43">
    <w:name w:val="Default Paragraph Font"/>
    <w:unhideWhenUsed/>
    <w:qFormat/>
    <w:uiPriority w:val="1"/>
  </w:style>
  <w:style w:type="table" w:default="1" w:styleId="48">
    <w:name w:val="Normal Table"/>
    <w:semiHidden/>
    <w:unhideWhenUsed/>
    <w:qFormat/>
    <w:uiPriority w:val="99"/>
    <w:tblPr>
      <w:tblLayout w:type="fixed"/>
      <w:tblCellMar>
        <w:top w:w="0" w:type="dxa"/>
        <w:left w:w="108" w:type="dxa"/>
        <w:bottom w:w="0" w:type="dxa"/>
        <w:right w:w="108" w:type="dxa"/>
      </w:tblCellMar>
    </w:tblPr>
  </w:style>
  <w:style w:type="paragraph" w:styleId="2">
    <w:name w:val="Body Text"/>
    <w:basedOn w:val="1"/>
    <w:next w:val="1"/>
    <w:link w:val="183"/>
    <w:unhideWhenUsed/>
    <w:qFormat/>
    <w:uiPriority w:val="0"/>
    <w:pPr>
      <w:spacing w:after="120"/>
    </w:pPr>
    <w:rPr>
      <w:rFonts w:ascii="Times New Roman" w:hAnsi="Times New Roman"/>
      <w:kern w:val="0"/>
      <w:sz w:val="20"/>
      <w:szCs w:val="20"/>
    </w:rPr>
  </w:style>
  <w:style w:type="paragraph" w:styleId="12">
    <w:name w:val="annotation subject"/>
    <w:basedOn w:val="13"/>
    <w:next w:val="13"/>
    <w:link w:val="79"/>
    <w:unhideWhenUsed/>
    <w:qFormat/>
    <w:uiPriority w:val="99"/>
    <w:rPr>
      <w:b/>
      <w:bCs/>
    </w:rPr>
  </w:style>
  <w:style w:type="paragraph" w:styleId="13">
    <w:name w:val="annotation text"/>
    <w:basedOn w:val="1"/>
    <w:link w:val="196"/>
    <w:unhideWhenUsed/>
    <w:qFormat/>
    <w:uiPriority w:val="99"/>
    <w:pPr>
      <w:jc w:val="left"/>
    </w:pPr>
  </w:style>
  <w:style w:type="paragraph" w:styleId="14">
    <w:name w:val="toc 7"/>
    <w:basedOn w:val="1"/>
    <w:next w:val="1"/>
    <w:semiHidden/>
    <w:unhideWhenUsed/>
    <w:qFormat/>
    <w:uiPriority w:val="0"/>
    <w:pPr>
      <w:ind w:left="2520" w:leftChars="1200"/>
    </w:pPr>
    <w:rPr>
      <w:rFonts w:ascii="Times New Roman" w:hAnsi="Times New Roman"/>
      <w:szCs w:val="24"/>
    </w:rPr>
  </w:style>
  <w:style w:type="paragraph" w:styleId="15">
    <w:name w:val="Body Text First Indent"/>
    <w:basedOn w:val="2"/>
    <w:link w:val="72"/>
    <w:semiHidden/>
    <w:unhideWhenUsed/>
    <w:qFormat/>
    <w:uiPriority w:val="0"/>
    <w:pPr>
      <w:ind w:firstLine="420" w:firstLineChars="100"/>
    </w:pPr>
    <w:rPr>
      <w:sz w:val="18"/>
      <w:szCs w:val="18"/>
    </w:rPr>
  </w:style>
  <w:style w:type="paragraph" w:styleId="16">
    <w:name w:val="Normal Indent"/>
    <w:basedOn w:val="1"/>
    <w:link w:val="63"/>
    <w:unhideWhenUsed/>
    <w:qFormat/>
    <w:uiPriority w:val="0"/>
    <w:pPr>
      <w:spacing w:after="180" w:line="307" w:lineRule="auto"/>
      <w:ind w:firstLine="420"/>
    </w:pPr>
    <w:rPr>
      <w:rFonts w:asciiTheme="minorHAnsi" w:hAnsiTheme="minorHAnsi" w:eastAsiaTheme="minorEastAsia" w:cstheme="minorBidi"/>
    </w:rPr>
  </w:style>
  <w:style w:type="paragraph" w:styleId="17">
    <w:name w:val="caption"/>
    <w:basedOn w:val="1"/>
    <w:next w:val="1"/>
    <w:semiHidden/>
    <w:unhideWhenUsed/>
    <w:qFormat/>
    <w:uiPriority w:val="0"/>
    <w:pPr>
      <w:spacing w:before="152" w:after="160" w:line="360" w:lineRule="auto"/>
    </w:pPr>
    <w:rPr>
      <w:rFonts w:ascii="Arial" w:hAnsi="Arial" w:eastAsia="黑体" w:cs="Arial"/>
      <w:sz w:val="20"/>
      <w:szCs w:val="20"/>
    </w:rPr>
  </w:style>
  <w:style w:type="paragraph" w:styleId="18">
    <w:name w:val="Document Map"/>
    <w:basedOn w:val="1"/>
    <w:link w:val="77"/>
    <w:unhideWhenUsed/>
    <w:qFormat/>
    <w:uiPriority w:val="99"/>
    <w:pPr>
      <w:shd w:val="clear" w:color="auto" w:fill="000080"/>
    </w:pPr>
    <w:rPr>
      <w:rFonts w:ascii="Times New Roman" w:hAnsi="Times New Roman"/>
      <w:kern w:val="0"/>
      <w:sz w:val="18"/>
      <w:szCs w:val="18"/>
    </w:rPr>
  </w:style>
  <w:style w:type="paragraph" w:styleId="19">
    <w:name w:val="Body Text 3"/>
    <w:basedOn w:val="1"/>
    <w:link w:val="74"/>
    <w:semiHidden/>
    <w:unhideWhenUsed/>
    <w:qFormat/>
    <w:uiPriority w:val="0"/>
    <w:pPr>
      <w:jc w:val="center"/>
    </w:pPr>
    <w:rPr>
      <w:rFonts w:ascii="Times New Roman" w:hAnsi="Times New Roman" w:eastAsia="黑体"/>
      <w:sz w:val="44"/>
      <w:szCs w:val="24"/>
    </w:rPr>
  </w:style>
  <w:style w:type="paragraph" w:styleId="20">
    <w:name w:val="Body Text Indent"/>
    <w:basedOn w:val="1"/>
    <w:link w:val="69"/>
    <w:semiHidden/>
    <w:unhideWhenUsed/>
    <w:qFormat/>
    <w:uiPriority w:val="0"/>
    <w:pPr>
      <w:spacing w:after="120"/>
      <w:ind w:left="420" w:leftChars="200"/>
    </w:pPr>
    <w:rPr>
      <w:rFonts w:ascii="Times New Roman" w:hAnsi="Times New Roman"/>
      <w:kern w:val="0"/>
      <w:sz w:val="20"/>
      <w:szCs w:val="24"/>
    </w:rPr>
  </w:style>
  <w:style w:type="paragraph" w:styleId="21">
    <w:name w:val="Block Text"/>
    <w:basedOn w:val="1"/>
    <w:semiHidden/>
    <w:unhideWhenUsed/>
    <w:qFormat/>
    <w:uiPriority w:val="0"/>
    <w:pPr>
      <w:ind w:left="-540" w:leftChars="-257" w:right="-334" w:rightChars="-159" w:firstLine="540" w:firstLineChars="180"/>
    </w:pPr>
    <w:rPr>
      <w:rFonts w:ascii="Times New Roman" w:hAnsi="Times New Roman"/>
      <w:sz w:val="30"/>
      <w:szCs w:val="24"/>
    </w:rPr>
  </w:style>
  <w:style w:type="paragraph" w:styleId="22">
    <w:name w:val="toc 5"/>
    <w:basedOn w:val="1"/>
    <w:next w:val="1"/>
    <w:semiHidden/>
    <w:unhideWhenUsed/>
    <w:qFormat/>
    <w:uiPriority w:val="0"/>
    <w:pPr>
      <w:ind w:left="1680" w:leftChars="800"/>
    </w:pPr>
    <w:rPr>
      <w:rFonts w:ascii="Times New Roman" w:hAnsi="Times New Roman"/>
      <w:sz w:val="18"/>
      <w:szCs w:val="18"/>
    </w:rPr>
  </w:style>
  <w:style w:type="paragraph" w:styleId="23">
    <w:name w:val="toc 3"/>
    <w:basedOn w:val="1"/>
    <w:next w:val="1"/>
    <w:semiHidden/>
    <w:unhideWhenUsed/>
    <w:qFormat/>
    <w:uiPriority w:val="0"/>
    <w:pPr>
      <w:tabs>
        <w:tab w:val="left" w:pos="709"/>
        <w:tab w:val="left" w:pos="993"/>
        <w:tab w:val="right" w:leader="dot" w:pos="8364"/>
      </w:tabs>
      <w:ind w:left="360"/>
      <w:jc w:val="left"/>
    </w:pPr>
    <w:rPr>
      <w:rFonts w:ascii="Times New Roman" w:hAnsi="Times New Roman" w:eastAsia="楷体_GB2312"/>
      <w:iCs/>
      <w:sz w:val="20"/>
      <w:szCs w:val="20"/>
    </w:rPr>
  </w:style>
  <w:style w:type="paragraph" w:styleId="24">
    <w:name w:val="Plain Text"/>
    <w:basedOn w:val="1"/>
    <w:link w:val="187"/>
    <w:unhideWhenUsed/>
    <w:qFormat/>
    <w:uiPriority w:val="99"/>
    <w:rPr>
      <w:rFonts w:ascii="宋体" w:hAnsi="Courier New"/>
      <w:kern w:val="0"/>
      <w:sz w:val="20"/>
      <w:szCs w:val="18"/>
    </w:rPr>
  </w:style>
  <w:style w:type="paragraph" w:styleId="25">
    <w:name w:val="toc 8"/>
    <w:basedOn w:val="1"/>
    <w:next w:val="1"/>
    <w:semiHidden/>
    <w:unhideWhenUsed/>
    <w:qFormat/>
    <w:uiPriority w:val="0"/>
    <w:pPr>
      <w:ind w:left="2940" w:leftChars="1400"/>
    </w:pPr>
    <w:rPr>
      <w:rFonts w:ascii="Times New Roman" w:hAnsi="Times New Roman"/>
      <w:szCs w:val="24"/>
    </w:rPr>
  </w:style>
  <w:style w:type="paragraph" w:styleId="26">
    <w:name w:val="Date"/>
    <w:basedOn w:val="1"/>
    <w:next w:val="1"/>
    <w:link w:val="71"/>
    <w:unhideWhenUsed/>
    <w:qFormat/>
    <w:uiPriority w:val="99"/>
    <w:pPr>
      <w:ind w:left="100" w:leftChars="2500"/>
    </w:pPr>
    <w:rPr>
      <w:rFonts w:ascii="Times New Roman" w:hAnsi="Times New Roman"/>
      <w:kern w:val="0"/>
      <w:sz w:val="24"/>
      <w:szCs w:val="24"/>
    </w:rPr>
  </w:style>
  <w:style w:type="paragraph" w:styleId="27">
    <w:name w:val="Body Text Indent 2"/>
    <w:basedOn w:val="1"/>
    <w:link w:val="75"/>
    <w:semiHidden/>
    <w:unhideWhenUsed/>
    <w:qFormat/>
    <w:uiPriority w:val="0"/>
    <w:pPr>
      <w:spacing w:after="120" w:line="480" w:lineRule="auto"/>
      <w:ind w:left="420" w:leftChars="200"/>
    </w:pPr>
    <w:rPr>
      <w:rFonts w:ascii="Times New Roman" w:hAnsi="Times New Roman"/>
      <w:kern w:val="0"/>
      <w:sz w:val="20"/>
      <w:szCs w:val="20"/>
    </w:rPr>
  </w:style>
  <w:style w:type="paragraph" w:styleId="28">
    <w:name w:val="Balloon Text"/>
    <w:basedOn w:val="1"/>
    <w:link w:val="80"/>
    <w:unhideWhenUsed/>
    <w:qFormat/>
    <w:uiPriority w:val="99"/>
    <w:rPr>
      <w:rFonts w:ascii="Times New Roman" w:hAnsi="Times New Roman"/>
      <w:kern w:val="0"/>
      <w:sz w:val="18"/>
      <w:szCs w:val="18"/>
    </w:rPr>
  </w:style>
  <w:style w:type="paragraph" w:styleId="29">
    <w:name w:val="footer"/>
    <w:basedOn w:val="1"/>
    <w:link w:val="67"/>
    <w:unhideWhenUsed/>
    <w:qFormat/>
    <w:uiPriority w:val="99"/>
    <w:pPr>
      <w:tabs>
        <w:tab w:val="center" w:pos="4153"/>
        <w:tab w:val="right" w:pos="8306"/>
      </w:tabs>
      <w:snapToGrid w:val="0"/>
      <w:jc w:val="left"/>
    </w:pPr>
    <w:rPr>
      <w:kern w:val="0"/>
      <w:sz w:val="18"/>
      <w:szCs w:val="18"/>
    </w:rPr>
  </w:style>
  <w:style w:type="paragraph" w:styleId="30">
    <w:name w:val="header"/>
    <w:basedOn w:val="1"/>
    <w:link w:val="66"/>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31">
    <w:name w:val="toc 1"/>
    <w:basedOn w:val="1"/>
    <w:next w:val="1"/>
    <w:unhideWhenUsed/>
    <w:qFormat/>
    <w:uiPriority w:val="39"/>
    <w:pPr>
      <w:tabs>
        <w:tab w:val="left" w:pos="709"/>
        <w:tab w:val="right" w:leader="dot" w:pos="8364"/>
      </w:tabs>
      <w:spacing w:before="120" w:after="120"/>
      <w:jc w:val="left"/>
    </w:pPr>
    <w:rPr>
      <w:rFonts w:ascii="华文中宋" w:hAnsi="华文中宋" w:eastAsia="华文中宋"/>
      <w:bCs/>
      <w:caps/>
      <w:sz w:val="20"/>
      <w:szCs w:val="20"/>
    </w:rPr>
  </w:style>
  <w:style w:type="paragraph" w:styleId="32">
    <w:name w:val="toc 4"/>
    <w:basedOn w:val="1"/>
    <w:next w:val="1"/>
    <w:semiHidden/>
    <w:unhideWhenUsed/>
    <w:qFormat/>
    <w:uiPriority w:val="0"/>
    <w:pPr>
      <w:ind w:left="1260" w:leftChars="600"/>
    </w:pPr>
    <w:rPr>
      <w:rFonts w:ascii="Times New Roman" w:hAnsi="Times New Roman"/>
      <w:sz w:val="18"/>
      <w:szCs w:val="18"/>
    </w:rPr>
  </w:style>
  <w:style w:type="paragraph" w:styleId="33">
    <w:name w:val="Subtitle"/>
    <w:basedOn w:val="1"/>
    <w:next w:val="1"/>
    <w:link w:val="70"/>
    <w:qFormat/>
    <w:uiPriority w:val="0"/>
    <w:pPr>
      <w:spacing w:before="240" w:after="60" w:line="312" w:lineRule="auto"/>
      <w:jc w:val="center"/>
      <w:outlineLvl w:val="1"/>
    </w:pPr>
    <w:rPr>
      <w:rFonts w:ascii="Cambria" w:hAnsi="Cambria"/>
      <w:b/>
      <w:bCs/>
      <w:kern w:val="28"/>
      <w:sz w:val="32"/>
      <w:szCs w:val="32"/>
    </w:rPr>
  </w:style>
  <w:style w:type="paragraph" w:styleId="34">
    <w:name w:val="footnote text"/>
    <w:basedOn w:val="1"/>
    <w:link w:val="64"/>
    <w:semiHidden/>
    <w:unhideWhenUsed/>
    <w:qFormat/>
    <w:uiPriority w:val="0"/>
    <w:pPr>
      <w:snapToGrid w:val="0"/>
      <w:jc w:val="left"/>
    </w:pPr>
    <w:rPr>
      <w:sz w:val="18"/>
      <w:szCs w:val="18"/>
    </w:rPr>
  </w:style>
  <w:style w:type="paragraph" w:styleId="35">
    <w:name w:val="toc 6"/>
    <w:basedOn w:val="1"/>
    <w:next w:val="1"/>
    <w:semiHidden/>
    <w:unhideWhenUsed/>
    <w:qFormat/>
    <w:uiPriority w:val="0"/>
    <w:pPr>
      <w:ind w:left="2100" w:leftChars="1000"/>
    </w:pPr>
    <w:rPr>
      <w:rFonts w:ascii="Times New Roman" w:hAnsi="Times New Roman"/>
      <w:szCs w:val="24"/>
    </w:rPr>
  </w:style>
  <w:style w:type="paragraph" w:styleId="36">
    <w:name w:val="Body Text Indent 3"/>
    <w:basedOn w:val="1"/>
    <w:link w:val="76"/>
    <w:semiHidden/>
    <w:unhideWhenUsed/>
    <w:qFormat/>
    <w:uiPriority w:val="0"/>
    <w:pPr>
      <w:spacing w:line="360" w:lineRule="auto"/>
      <w:ind w:left="153" w:leftChars="85" w:firstLine="560" w:firstLineChars="200"/>
    </w:pPr>
    <w:rPr>
      <w:rFonts w:ascii="宋体" w:hAnsi="宋体"/>
      <w:kern w:val="0"/>
      <w:sz w:val="28"/>
      <w:szCs w:val="28"/>
    </w:rPr>
  </w:style>
  <w:style w:type="paragraph" w:styleId="37">
    <w:name w:val="toc 2"/>
    <w:basedOn w:val="1"/>
    <w:next w:val="1"/>
    <w:unhideWhenUsed/>
    <w:qFormat/>
    <w:uiPriority w:val="39"/>
    <w:pPr>
      <w:tabs>
        <w:tab w:val="left" w:pos="620"/>
        <w:tab w:val="right" w:leader="dot" w:pos="8364"/>
      </w:tabs>
      <w:ind w:left="180"/>
      <w:jc w:val="left"/>
    </w:pPr>
    <w:rPr>
      <w:rFonts w:ascii="华文中宋" w:hAnsi="华文中宋" w:eastAsia="华文中宋"/>
      <w:smallCaps/>
      <w:sz w:val="20"/>
      <w:szCs w:val="20"/>
    </w:rPr>
  </w:style>
  <w:style w:type="paragraph" w:styleId="38">
    <w:name w:val="toc 9"/>
    <w:basedOn w:val="1"/>
    <w:next w:val="1"/>
    <w:semiHidden/>
    <w:unhideWhenUsed/>
    <w:qFormat/>
    <w:uiPriority w:val="0"/>
    <w:pPr>
      <w:ind w:left="3360" w:leftChars="1600"/>
    </w:pPr>
    <w:rPr>
      <w:rFonts w:ascii="Times New Roman" w:hAnsi="Times New Roman"/>
      <w:szCs w:val="24"/>
    </w:rPr>
  </w:style>
  <w:style w:type="paragraph" w:styleId="39">
    <w:name w:val="Body Text 2"/>
    <w:basedOn w:val="1"/>
    <w:link w:val="73"/>
    <w:semiHidden/>
    <w:unhideWhenUsed/>
    <w:qFormat/>
    <w:uiPriority w:val="0"/>
    <w:pPr>
      <w:spacing w:after="120" w:line="480" w:lineRule="auto"/>
    </w:pPr>
    <w:rPr>
      <w:rFonts w:ascii="Times New Roman" w:hAnsi="Times New Roman"/>
      <w:kern w:val="0"/>
      <w:sz w:val="18"/>
      <w:szCs w:val="18"/>
    </w:rPr>
  </w:style>
  <w:style w:type="paragraph" w:styleId="40">
    <w:name w:val="HTML Preformatted"/>
    <w:basedOn w:val="1"/>
    <w:link w:val="209"/>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0" w:firstLineChars="200"/>
      <w:jc w:val="left"/>
    </w:pPr>
    <w:rPr>
      <w:rFonts w:ascii="Arial" w:hAnsi="Arial" w:cs="Arial"/>
      <w:kern w:val="0"/>
      <w:sz w:val="24"/>
      <w:szCs w:val="28"/>
    </w:rPr>
  </w:style>
  <w:style w:type="paragraph" w:styleId="41">
    <w:name w:val="Normal (Web)"/>
    <w:basedOn w:val="1"/>
    <w:unhideWhenUsed/>
    <w:qFormat/>
    <w:uiPriority w:val="99"/>
    <w:pPr>
      <w:widowControl/>
      <w:spacing w:before="100" w:beforeAutospacing="1" w:after="100" w:afterAutospacing="1"/>
      <w:jc w:val="left"/>
    </w:pPr>
    <w:rPr>
      <w:rFonts w:ascii="宋体" w:hAnsi="宋体"/>
      <w:color w:val="000000"/>
      <w:kern w:val="0"/>
      <w:sz w:val="24"/>
      <w:szCs w:val="24"/>
    </w:rPr>
  </w:style>
  <w:style w:type="paragraph" w:styleId="42">
    <w:name w:val="index 1"/>
    <w:basedOn w:val="1"/>
    <w:next w:val="1"/>
    <w:semiHidden/>
    <w:unhideWhenUsed/>
    <w:qFormat/>
    <w:uiPriority w:val="0"/>
    <w:pPr>
      <w:ind w:firstLine="560" w:firstLineChars="200"/>
    </w:pPr>
    <w:rPr>
      <w:rFonts w:ascii="宋体" w:hAnsi="宋体" w:cs="宋体"/>
      <w:sz w:val="28"/>
      <w:szCs w:val="28"/>
    </w:rPr>
  </w:style>
  <w:style w:type="character" w:styleId="44">
    <w:name w:val="FollowedHyperlink"/>
    <w:basedOn w:val="43"/>
    <w:semiHidden/>
    <w:unhideWhenUsed/>
    <w:qFormat/>
    <w:uiPriority w:val="99"/>
    <w:rPr>
      <w:color w:val="800080" w:themeColor="followedHyperlink"/>
      <w:u w:val="single"/>
      <w14:textFill>
        <w14:solidFill>
          <w14:schemeClr w14:val="folHlink"/>
        </w14:solidFill>
      </w14:textFill>
    </w:rPr>
  </w:style>
  <w:style w:type="character" w:styleId="45">
    <w:name w:val="Hyperlink"/>
    <w:unhideWhenUsed/>
    <w:qFormat/>
    <w:uiPriority w:val="99"/>
    <w:rPr>
      <w:color w:val="0000FF"/>
      <w:u w:val="single"/>
    </w:rPr>
  </w:style>
  <w:style w:type="character" w:styleId="46">
    <w:name w:val="annotation reference"/>
    <w:unhideWhenUsed/>
    <w:qFormat/>
    <w:uiPriority w:val="99"/>
    <w:rPr>
      <w:sz w:val="21"/>
      <w:szCs w:val="21"/>
    </w:rPr>
  </w:style>
  <w:style w:type="character" w:styleId="47">
    <w:name w:val="footnote reference"/>
    <w:semiHidden/>
    <w:unhideWhenUsed/>
    <w:qFormat/>
    <w:uiPriority w:val="0"/>
    <w:rPr>
      <w:vertAlign w:val="superscript"/>
    </w:rPr>
  </w:style>
  <w:style w:type="table" w:styleId="49">
    <w:name w:val="Table Grid"/>
    <w:basedOn w:val="48"/>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50">
    <w:name w:val="标题 1 字符"/>
    <w:basedOn w:val="43"/>
    <w:link w:val="3"/>
    <w:qFormat/>
    <w:uiPriority w:val="99"/>
    <w:rPr>
      <w:rFonts w:ascii="宋体" w:hAnsi="宋体" w:eastAsia="宋体" w:cs="宋体"/>
      <w:b/>
      <w:bCs/>
      <w:spacing w:val="-20"/>
      <w:kern w:val="44"/>
      <w:sz w:val="32"/>
      <w:szCs w:val="32"/>
    </w:rPr>
  </w:style>
  <w:style w:type="character" w:customStyle="1" w:styleId="51">
    <w:name w:val="标题 2 字符"/>
    <w:basedOn w:val="43"/>
    <w:link w:val="4"/>
    <w:qFormat/>
    <w:uiPriority w:val="99"/>
    <w:rPr>
      <w:rFonts w:ascii="宋体" w:hAnsi="宋体" w:eastAsia="宋体" w:cs="宋体"/>
      <w:b/>
      <w:bCs/>
      <w:kern w:val="2"/>
      <w:sz w:val="28"/>
      <w:szCs w:val="28"/>
    </w:rPr>
  </w:style>
  <w:style w:type="character" w:customStyle="1" w:styleId="52">
    <w:name w:val="标题 3 字符"/>
    <w:basedOn w:val="43"/>
    <w:link w:val="5"/>
    <w:qFormat/>
    <w:uiPriority w:val="99"/>
    <w:rPr>
      <w:rFonts w:ascii="宋体" w:hAnsi="宋体" w:eastAsia="宋体" w:cs="宋体"/>
      <w:b/>
      <w:bCs/>
      <w:color w:val="000000"/>
      <w:sz w:val="28"/>
      <w:szCs w:val="28"/>
    </w:rPr>
  </w:style>
  <w:style w:type="character" w:customStyle="1" w:styleId="53">
    <w:name w:val="标题 4 字符"/>
    <w:basedOn w:val="43"/>
    <w:link w:val="6"/>
    <w:qFormat/>
    <w:uiPriority w:val="9"/>
    <w:rPr>
      <w:rFonts w:ascii="Arial" w:hAnsi="Arial" w:eastAsia="宋体" w:cs="Times New Roman"/>
      <w:b/>
      <w:bCs/>
      <w:sz w:val="28"/>
      <w:szCs w:val="28"/>
    </w:rPr>
  </w:style>
  <w:style w:type="character" w:customStyle="1" w:styleId="54">
    <w:name w:val="标题 5 字符"/>
    <w:basedOn w:val="43"/>
    <w:link w:val="7"/>
    <w:qFormat/>
    <w:uiPriority w:val="0"/>
    <w:rPr>
      <w:rFonts w:ascii="Calibri" w:hAnsi="Calibri" w:eastAsia="宋体" w:cs="Times New Roman"/>
      <w:b/>
      <w:bCs/>
      <w:sz w:val="28"/>
      <w:szCs w:val="28"/>
    </w:rPr>
  </w:style>
  <w:style w:type="character" w:customStyle="1" w:styleId="55">
    <w:name w:val="标题 6 字符"/>
    <w:basedOn w:val="43"/>
    <w:link w:val="8"/>
    <w:qFormat/>
    <w:uiPriority w:val="0"/>
    <w:rPr>
      <w:rFonts w:ascii="Arial" w:hAnsi="Arial" w:eastAsia="宋体" w:cs="Times New Roman"/>
      <w:b/>
      <w:bCs/>
      <w:sz w:val="28"/>
      <w:szCs w:val="18"/>
    </w:rPr>
  </w:style>
  <w:style w:type="character" w:customStyle="1" w:styleId="56">
    <w:name w:val="标题 7 字符"/>
    <w:basedOn w:val="43"/>
    <w:link w:val="9"/>
    <w:qFormat/>
    <w:uiPriority w:val="0"/>
    <w:rPr>
      <w:rFonts w:ascii="Arial Narrow" w:hAnsi="Arial Narrow" w:eastAsia="宋体" w:cs="Times New Roman"/>
      <w:b/>
      <w:bCs/>
      <w:iCs/>
      <w:kern w:val="0"/>
      <w:sz w:val="20"/>
      <w:szCs w:val="24"/>
      <w:lang w:eastAsia="en-US"/>
    </w:rPr>
  </w:style>
  <w:style w:type="character" w:customStyle="1" w:styleId="57">
    <w:name w:val="标题 8 字符"/>
    <w:basedOn w:val="43"/>
    <w:link w:val="10"/>
    <w:semiHidden/>
    <w:qFormat/>
    <w:uiPriority w:val="0"/>
    <w:rPr>
      <w:rFonts w:ascii="Arial" w:hAnsi="Arial" w:eastAsia="黑体" w:cs="Times New Roman"/>
      <w:kern w:val="0"/>
      <w:sz w:val="24"/>
      <w:szCs w:val="24"/>
    </w:rPr>
  </w:style>
  <w:style w:type="character" w:customStyle="1" w:styleId="58">
    <w:name w:val="标题 9 字符"/>
    <w:basedOn w:val="43"/>
    <w:link w:val="11"/>
    <w:semiHidden/>
    <w:qFormat/>
    <w:uiPriority w:val="0"/>
    <w:rPr>
      <w:rFonts w:ascii="Arial" w:hAnsi="Arial" w:eastAsia="黑体" w:cs="Times New Roman"/>
      <w:kern w:val="0"/>
      <w:sz w:val="20"/>
      <w:szCs w:val="21"/>
    </w:rPr>
  </w:style>
  <w:style w:type="character" w:customStyle="1" w:styleId="59">
    <w:name w:val="标题 1 Char1"/>
    <w:qFormat/>
    <w:uiPriority w:val="0"/>
    <w:rPr>
      <w:b/>
      <w:bCs/>
      <w:kern w:val="44"/>
      <w:sz w:val="44"/>
      <w:szCs w:val="44"/>
    </w:rPr>
  </w:style>
  <w:style w:type="character" w:customStyle="1" w:styleId="60">
    <w:name w:val="标题 2 Char1"/>
    <w:basedOn w:val="43"/>
    <w:semiHidden/>
    <w:qFormat/>
    <w:uiPriority w:val="99"/>
    <w:rPr>
      <w:rFonts w:asciiTheme="majorHAnsi" w:hAnsiTheme="majorHAnsi" w:eastAsiaTheme="majorEastAsia" w:cstheme="majorBidi"/>
      <w:b/>
      <w:bCs/>
      <w:kern w:val="2"/>
      <w:sz w:val="32"/>
      <w:szCs w:val="32"/>
    </w:rPr>
  </w:style>
  <w:style w:type="character" w:customStyle="1" w:styleId="61">
    <w:name w:val="标题 3 Char1"/>
    <w:basedOn w:val="43"/>
    <w:semiHidden/>
    <w:qFormat/>
    <w:uiPriority w:val="99"/>
    <w:rPr>
      <w:rFonts w:ascii="Calibri" w:hAnsi="Calibri"/>
      <w:b/>
      <w:bCs/>
      <w:kern w:val="2"/>
      <w:sz w:val="32"/>
      <w:szCs w:val="32"/>
    </w:rPr>
  </w:style>
  <w:style w:type="character" w:customStyle="1" w:styleId="62">
    <w:name w:val="标题 4 Char1"/>
    <w:basedOn w:val="43"/>
    <w:semiHidden/>
    <w:qFormat/>
    <w:uiPriority w:val="9"/>
    <w:rPr>
      <w:rFonts w:asciiTheme="majorHAnsi" w:hAnsiTheme="majorHAnsi" w:eastAsiaTheme="majorEastAsia" w:cstheme="majorBidi"/>
      <w:b/>
      <w:bCs/>
      <w:kern w:val="2"/>
      <w:sz w:val="28"/>
      <w:szCs w:val="28"/>
    </w:rPr>
  </w:style>
  <w:style w:type="character" w:customStyle="1" w:styleId="63">
    <w:name w:val="正文缩进 字符"/>
    <w:link w:val="16"/>
    <w:qFormat/>
    <w:locked/>
    <w:uiPriority w:val="0"/>
  </w:style>
  <w:style w:type="character" w:customStyle="1" w:styleId="64">
    <w:name w:val="脚注文本 字符"/>
    <w:basedOn w:val="43"/>
    <w:link w:val="34"/>
    <w:semiHidden/>
    <w:qFormat/>
    <w:uiPriority w:val="0"/>
    <w:rPr>
      <w:rFonts w:ascii="Calibri" w:hAnsi="Calibri" w:eastAsia="宋体" w:cs="Times New Roman"/>
      <w:sz w:val="18"/>
      <w:szCs w:val="18"/>
    </w:rPr>
  </w:style>
  <w:style w:type="character" w:customStyle="1" w:styleId="65">
    <w:name w:val="批注文字 Char"/>
    <w:basedOn w:val="43"/>
    <w:semiHidden/>
    <w:qFormat/>
    <w:uiPriority w:val="99"/>
    <w:rPr>
      <w:rFonts w:ascii="Calibri" w:hAnsi="Calibri" w:eastAsia="宋体" w:cs="Times New Roman"/>
    </w:rPr>
  </w:style>
  <w:style w:type="character" w:customStyle="1" w:styleId="66">
    <w:name w:val="页眉 字符"/>
    <w:basedOn w:val="43"/>
    <w:link w:val="30"/>
    <w:qFormat/>
    <w:uiPriority w:val="99"/>
    <w:rPr>
      <w:rFonts w:ascii="Calibri" w:hAnsi="Calibri" w:eastAsia="宋体" w:cs="Times New Roman"/>
      <w:kern w:val="0"/>
      <w:sz w:val="18"/>
      <w:szCs w:val="18"/>
    </w:rPr>
  </w:style>
  <w:style w:type="character" w:customStyle="1" w:styleId="67">
    <w:name w:val="页脚 字符"/>
    <w:basedOn w:val="43"/>
    <w:link w:val="29"/>
    <w:qFormat/>
    <w:uiPriority w:val="99"/>
    <w:rPr>
      <w:rFonts w:ascii="Calibri" w:hAnsi="Calibri" w:eastAsia="宋体" w:cs="Times New Roman"/>
      <w:kern w:val="0"/>
      <w:sz w:val="18"/>
      <w:szCs w:val="18"/>
    </w:rPr>
  </w:style>
  <w:style w:type="character" w:customStyle="1" w:styleId="68">
    <w:name w:val="正文文本 Char"/>
    <w:basedOn w:val="43"/>
    <w:qFormat/>
    <w:uiPriority w:val="99"/>
    <w:rPr>
      <w:rFonts w:ascii="Calibri" w:hAnsi="Calibri" w:eastAsia="宋体" w:cs="Times New Roman"/>
    </w:rPr>
  </w:style>
  <w:style w:type="character" w:customStyle="1" w:styleId="69">
    <w:name w:val="正文文本缩进 字符"/>
    <w:basedOn w:val="43"/>
    <w:link w:val="20"/>
    <w:semiHidden/>
    <w:qFormat/>
    <w:uiPriority w:val="0"/>
    <w:rPr>
      <w:rFonts w:ascii="Times New Roman" w:hAnsi="Times New Roman" w:eastAsia="宋体" w:cs="Times New Roman"/>
      <w:kern w:val="0"/>
      <w:sz w:val="20"/>
      <w:szCs w:val="24"/>
    </w:rPr>
  </w:style>
  <w:style w:type="character" w:customStyle="1" w:styleId="70">
    <w:name w:val="副标题 字符"/>
    <w:basedOn w:val="43"/>
    <w:link w:val="33"/>
    <w:qFormat/>
    <w:uiPriority w:val="0"/>
    <w:rPr>
      <w:rFonts w:ascii="Cambria" w:hAnsi="Cambria" w:eastAsia="宋体" w:cs="Times New Roman"/>
      <w:b/>
      <w:bCs/>
      <w:kern w:val="28"/>
      <w:sz w:val="32"/>
      <w:szCs w:val="32"/>
    </w:rPr>
  </w:style>
  <w:style w:type="character" w:customStyle="1" w:styleId="71">
    <w:name w:val="日期 字符"/>
    <w:basedOn w:val="43"/>
    <w:link w:val="26"/>
    <w:qFormat/>
    <w:uiPriority w:val="99"/>
    <w:rPr>
      <w:rFonts w:ascii="Times New Roman" w:hAnsi="Times New Roman" w:eastAsia="宋体" w:cs="Times New Roman"/>
      <w:kern w:val="0"/>
      <w:sz w:val="24"/>
      <w:szCs w:val="24"/>
    </w:rPr>
  </w:style>
  <w:style w:type="character" w:customStyle="1" w:styleId="72">
    <w:name w:val="正文文本首行缩进 字符"/>
    <w:basedOn w:val="68"/>
    <w:link w:val="15"/>
    <w:semiHidden/>
    <w:qFormat/>
    <w:uiPriority w:val="0"/>
    <w:rPr>
      <w:rFonts w:ascii="Times New Roman" w:hAnsi="Times New Roman" w:eastAsia="宋体" w:cs="Times New Roman"/>
      <w:kern w:val="0"/>
      <w:sz w:val="18"/>
      <w:szCs w:val="18"/>
    </w:rPr>
  </w:style>
  <w:style w:type="character" w:customStyle="1" w:styleId="73">
    <w:name w:val="正文文本 2 字符"/>
    <w:basedOn w:val="43"/>
    <w:link w:val="39"/>
    <w:semiHidden/>
    <w:qFormat/>
    <w:uiPriority w:val="0"/>
    <w:rPr>
      <w:rFonts w:ascii="Times New Roman" w:hAnsi="Times New Roman" w:eastAsia="宋体" w:cs="Times New Roman"/>
      <w:kern w:val="0"/>
      <w:sz w:val="18"/>
      <w:szCs w:val="18"/>
    </w:rPr>
  </w:style>
  <w:style w:type="character" w:customStyle="1" w:styleId="74">
    <w:name w:val="正文文本 3 字符"/>
    <w:basedOn w:val="43"/>
    <w:link w:val="19"/>
    <w:semiHidden/>
    <w:qFormat/>
    <w:uiPriority w:val="0"/>
    <w:rPr>
      <w:rFonts w:ascii="Times New Roman" w:hAnsi="Times New Roman" w:eastAsia="黑体" w:cs="Times New Roman"/>
      <w:sz w:val="44"/>
      <w:szCs w:val="24"/>
    </w:rPr>
  </w:style>
  <w:style w:type="character" w:customStyle="1" w:styleId="75">
    <w:name w:val="正文文本缩进 2 字符"/>
    <w:basedOn w:val="43"/>
    <w:link w:val="27"/>
    <w:semiHidden/>
    <w:qFormat/>
    <w:uiPriority w:val="0"/>
    <w:rPr>
      <w:rFonts w:ascii="Times New Roman" w:hAnsi="Times New Roman" w:eastAsia="宋体" w:cs="Times New Roman"/>
      <w:kern w:val="0"/>
      <w:sz w:val="20"/>
      <w:szCs w:val="20"/>
    </w:rPr>
  </w:style>
  <w:style w:type="character" w:customStyle="1" w:styleId="76">
    <w:name w:val="正文文本缩进 3 字符"/>
    <w:basedOn w:val="43"/>
    <w:link w:val="36"/>
    <w:semiHidden/>
    <w:qFormat/>
    <w:uiPriority w:val="0"/>
    <w:rPr>
      <w:rFonts w:ascii="宋体" w:hAnsi="宋体" w:eastAsia="宋体" w:cs="Times New Roman"/>
      <w:kern w:val="0"/>
      <w:sz w:val="28"/>
      <w:szCs w:val="28"/>
    </w:rPr>
  </w:style>
  <w:style w:type="character" w:customStyle="1" w:styleId="77">
    <w:name w:val="文档结构图 字符"/>
    <w:basedOn w:val="43"/>
    <w:link w:val="18"/>
    <w:qFormat/>
    <w:uiPriority w:val="99"/>
    <w:rPr>
      <w:rFonts w:ascii="Times New Roman" w:hAnsi="Times New Roman" w:eastAsia="宋体" w:cs="Times New Roman"/>
      <w:kern w:val="0"/>
      <w:sz w:val="18"/>
      <w:szCs w:val="18"/>
      <w:shd w:val="clear" w:color="auto" w:fill="000080"/>
    </w:rPr>
  </w:style>
  <w:style w:type="character" w:customStyle="1" w:styleId="78">
    <w:name w:val="纯文本 Char"/>
    <w:basedOn w:val="43"/>
    <w:semiHidden/>
    <w:qFormat/>
    <w:uiPriority w:val="99"/>
    <w:rPr>
      <w:rFonts w:ascii="宋体" w:hAnsi="Courier New" w:eastAsia="宋体" w:cs="Courier New"/>
      <w:szCs w:val="21"/>
    </w:rPr>
  </w:style>
  <w:style w:type="character" w:customStyle="1" w:styleId="79">
    <w:name w:val="批注主题 字符"/>
    <w:basedOn w:val="65"/>
    <w:link w:val="12"/>
    <w:qFormat/>
    <w:uiPriority w:val="99"/>
    <w:rPr>
      <w:rFonts w:ascii="Calibri" w:hAnsi="Calibri" w:eastAsia="宋体" w:cs="Times New Roman"/>
      <w:b/>
      <w:bCs/>
    </w:rPr>
  </w:style>
  <w:style w:type="character" w:customStyle="1" w:styleId="80">
    <w:name w:val="批注框文本 字符"/>
    <w:basedOn w:val="43"/>
    <w:link w:val="28"/>
    <w:qFormat/>
    <w:uiPriority w:val="99"/>
    <w:rPr>
      <w:rFonts w:ascii="Times New Roman" w:hAnsi="Times New Roman" w:eastAsia="宋体" w:cs="Times New Roman"/>
      <w:kern w:val="0"/>
      <w:sz w:val="18"/>
      <w:szCs w:val="18"/>
    </w:rPr>
  </w:style>
  <w:style w:type="paragraph" w:styleId="81">
    <w:name w:val="No Spacing"/>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82">
    <w:name w:val="修订1"/>
    <w:semiHidden/>
    <w:qFormat/>
    <w:uiPriority w:val="99"/>
    <w:rPr>
      <w:rFonts w:ascii="Calibri" w:hAnsi="Calibri" w:eastAsia="宋体" w:cs="Times New Roman"/>
      <w:kern w:val="2"/>
      <w:sz w:val="21"/>
      <w:szCs w:val="22"/>
      <w:lang w:val="en-US" w:eastAsia="zh-CN" w:bidi="ar-SA"/>
    </w:rPr>
  </w:style>
  <w:style w:type="character" w:customStyle="1" w:styleId="83">
    <w:name w:val="列表段落 字符"/>
    <w:link w:val="84"/>
    <w:qFormat/>
    <w:locked/>
    <w:uiPriority w:val="99"/>
    <w:rPr>
      <w:rFonts w:ascii="Calibri" w:hAnsi="Calibri" w:cs="Calibri"/>
    </w:rPr>
  </w:style>
  <w:style w:type="paragraph" w:styleId="84">
    <w:name w:val="List Paragraph"/>
    <w:basedOn w:val="1"/>
    <w:link w:val="83"/>
    <w:qFormat/>
    <w:uiPriority w:val="99"/>
    <w:pPr>
      <w:ind w:firstLine="420" w:firstLineChars="200"/>
    </w:pPr>
    <w:rPr>
      <w:rFonts w:cs="Calibri" w:eastAsiaTheme="minorEastAsia"/>
    </w:rPr>
  </w:style>
  <w:style w:type="paragraph" w:customStyle="1" w:styleId="85">
    <w:name w:val="样式 右侧:  1 字符1"/>
    <w:basedOn w:val="1"/>
    <w:qFormat/>
    <w:uiPriority w:val="0"/>
    <w:pPr>
      <w:ind w:left="240" w:leftChars="100" w:right="240" w:rightChars="100"/>
    </w:pPr>
    <w:rPr>
      <w:rFonts w:ascii="Times New Roman" w:hAnsi="Times New Roman" w:eastAsia="仿宋_GB2312" w:cs="宋体"/>
      <w:sz w:val="28"/>
      <w:szCs w:val="20"/>
    </w:rPr>
  </w:style>
  <w:style w:type="paragraph" w:customStyle="1" w:styleId="86">
    <w:name w:val="MM Title"/>
    <w:basedOn w:val="1"/>
    <w:qFormat/>
    <w:uiPriority w:val="0"/>
    <w:pPr>
      <w:spacing w:before="240" w:after="60"/>
      <w:jc w:val="center"/>
      <w:outlineLvl w:val="0"/>
    </w:pPr>
    <w:rPr>
      <w:rFonts w:ascii="Arial" w:hAnsi="Arial" w:cs="Arial"/>
      <w:b/>
      <w:bCs/>
      <w:sz w:val="32"/>
      <w:szCs w:val="32"/>
    </w:rPr>
  </w:style>
  <w:style w:type="paragraph" w:customStyle="1" w:styleId="87">
    <w:name w:val="默认段落字体 Para Char Char Char1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88">
    <w:name w:val="gb_master正文"/>
    <w:basedOn w:val="1"/>
    <w:qFormat/>
    <w:uiPriority w:val="0"/>
    <w:pPr>
      <w:ind w:firstLine="200" w:firstLineChars="200"/>
    </w:pPr>
    <w:rPr>
      <w:rFonts w:ascii="Times New Roman" w:hAnsi="Times New Roman"/>
      <w:szCs w:val="24"/>
    </w:rPr>
  </w:style>
  <w:style w:type="paragraph" w:customStyle="1" w:styleId="89">
    <w:name w:val="p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90">
    <w:name w:val="无间隔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91">
    <w:name w:val="Char2 Char Char Char"/>
    <w:basedOn w:val="1"/>
    <w:qFormat/>
    <w:uiPriority w:val="0"/>
    <w:rPr>
      <w:rFonts w:ascii="仿宋_GB2312" w:hAnsi="Times New Roman"/>
      <w:b/>
      <w:sz w:val="30"/>
      <w:szCs w:val="32"/>
    </w:rPr>
  </w:style>
  <w:style w:type="paragraph" w:customStyle="1" w:styleId="92">
    <w:name w:val="样式 样式 样式 标题 2 + 宋体 五号 非加粗 黑色 + 段前: 6 磅 段后: 0 磅 行距: 单倍行距 + 段前: 12..."/>
    <w:basedOn w:val="1"/>
    <w:qFormat/>
    <w:uiPriority w:val="0"/>
    <w:pPr>
      <w:keepNext/>
      <w:keepLines/>
      <w:numPr>
        <w:ilvl w:val="1"/>
        <w:numId w:val="3"/>
      </w:numPr>
      <w:adjustRightInd w:val="0"/>
      <w:spacing w:before="240"/>
      <w:jc w:val="left"/>
      <w:outlineLvl w:val="1"/>
    </w:pPr>
    <w:rPr>
      <w:rFonts w:ascii="宋体" w:hAnsi="宋体" w:cs="宋体"/>
      <w:color w:val="000000"/>
      <w:kern w:val="0"/>
      <w:szCs w:val="20"/>
    </w:rPr>
  </w:style>
  <w:style w:type="paragraph" w:customStyle="1" w:styleId="93">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4"/>
    </w:rPr>
  </w:style>
  <w:style w:type="paragraph" w:customStyle="1" w:styleId="94">
    <w:name w:val="默认段落字体 Para Char"/>
    <w:basedOn w:val="1"/>
    <w:qFormat/>
    <w:uiPriority w:val="0"/>
    <w:rPr>
      <w:rFonts w:ascii="Tahoma" w:hAnsi="Tahoma"/>
      <w:sz w:val="24"/>
      <w:szCs w:val="20"/>
    </w:rPr>
  </w:style>
  <w:style w:type="paragraph" w:customStyle="1" w:styleId="95">
    <w:name w:val="Char Char Char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96">
    <w:name w:val="样式 行距: 1.5 倍行距 左  3.42 字符"/>
    <w:basedOn w:val="1"/>
    <w:qFormat/>
    <w:uiPriority w:val="0"/>
    <w:pPr>
      <w:spacing w:line="360" w:lineRule="auto"/>
      <w:ind w:left="200" w:leftChars="200" w:firstLine="200" w:firstLineChars="200"/>
    </w:pPr>
    <w:rPr>
      <w:rFonts w:ascii="Times New Roman" w:hAnsi="Times New Roman" w:cs="宋体"/>
      <w:szCs w:val="20"/>
    </w:rPr>
  </w:style>
  <w:style w:type="paragraph" w:customStyle="1" w:styleId="97">
    <w:name w:val="样式 正文缩进 + (中文) 仿宋_GB2312 小四 Char"/>
    <w:basedOn w:val="16"/>
    <w:qFormat/>
    <w:uiPriority w:val="0"/>
    <w:pPr>
      <w:spacing w:after="0" w:line="360" w:lineRule="auto"/>
      <w:ind w:firstLine="480" w:firstLineChars="200"/>
    </w:pPr>
    <w:rPr>
      <w:rFonts w:ascii="宋体" w:hAnsi="宋体"/>
      <w:sz w:val="24"/>
      <w:szCs w:val="24"/>
    </w:rPr>
  </w:style>
  <w:style w:type="paragraph" w:customStyle="1" w:styleId="98">
    <w:name w:val="表格文字"/>
    <w:basedOn w:val="1"/>
    <w:qFormat/>
    <w:uiPriority w:val="0"/>
    <w:pPr>
      <w:spacing w:beforeLines="25"/>
    </w:pPr>
    <w:rPr>
      <w:rFonts w:ascii="Times New (W1)" w:hAnsi="Times New (W1)"/>
      <w:spacing w:val="10"/>
      <w:szCs w:val="24"/>
    </w:rPr>
  </w:style>
  <w:style w:type="paragraph" w:customStyle="1" w:styleId="99">
    <w:name w:val="标书正文:  0.74 厘米"/>
    <w:basedOn w:val="1"/>
    <w:qFormat/>
    <w:uiPriority w:val="0"/>
    <w:pPr>
      <w:snapToGrid w:val="0"/>
      <w:spacing w:line="360" w:lineRule="auto"/>
      <w:ind w:firstLine="420"/>
    </w:pPr>
    <w:rPr>
      <w:rFonts w:ascii="Times New Roman" w:hAnsi="Times New Roman"/>
      <w:sz w:val="24"/>
      <w:szCs w:val="18"/>
    </w:rPr>
  </w:style>
  <w:style w:type="paragraph" w:customStyle="1" w:styleId="100">
    <w:name w:val="默认段落字体 Para Char Char"/>
    <w:basedOn w:val="1"/>
    <w:qFormat/>
    <w:uiPriority w:val="0"/>
    <w:rPr>
      <w:rFonts w:ascii="Times New Roman" w:hAnsi="Times New Roman"/>
      <w:szCs w:val="24"/>
    </w:rPr>
  </w:style>
  <w:style w:type="paragraph" w:customStyle="1" w:styleId="101">
    <w:name w:val="MM Topic 6"/>
    <w:basedOn w:val="8"/>
    <w:qFormat/>
    <w:uiPriority w:val="0"/>
    <w:pPr>
      <w:tabs>
        <w:tab w:val="left" w:pos="3260"/>
        <w:tab w:val="clear" w:pos="1702"/>
      </w:tabs>
    </w:pPr>
    <w:rPr>
      <w:rFonts w:eastAsia="黑体"/>
    </w:rPr>
  </w:style>
  <w:style w:type="paragraph" w:customStyle="1" w:styleId="102">
    <w:name w:val="Char1 Char Char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3">
    <w:name w:val="样式 首行缩进:  2 字符"/>
    <w:basedOn w:val="1"/>
    <w:qFormat/>
    <w:uiPriority w:val="0"/>
    <w:pPr>
      <w:spacing w:line="400" w:lineRule="exact"/>
      <w:ind w:firstLine="200" w:firstLineChars="200"/>
    </w:pPr>
    <w:rPr>
      <w:rFonts w:ascii="Times New Roman" w:hAnsi="Times New Roman" w:cs="宋体"/>
      <w:sz w:val="24"/>
      <w:szCs w:val="24"/>
    </w:rPr>
  </w:style>
  <w:style w:type="paragraph" w:customStyle="1" w:styleId="104">
    <w:name w:val="Char1"/>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5">
    <w:name w:val="标题 5 + 首行缩进:  2 字符"/>
    <w:basedOn w:val="7"/>
    <w:next w:val="20"/>
    <w:qFormat/>
    <w:uiPriority w:val="0"/>
    <w:pPr>
      <w:tabs>
        <w:tab w:val="left" w:pos="992"/>
        <w:tab w:val="clear" w:pos="1134"/>
      </w:tabs>
      <w:snapToGrid w:val="0"/>
      <w:spacing w:before="0" w:beforeLines="50" w:after="0" w:afterLines="50"/>
      <w:ind w:left="3570" w:firstLine="482" w:firstLineChars="200"/>
    </w:pPr>
    <w:rPr>
      <w:color w:val="000000"/>
      <w:szCs w:val="20"/>
    </w:rPr>
  </w:style>
  <w:style w:type="paragraph" w:customStyle="1" w:styleId="106">
    <w:name w:val="Char2 Char Char Char Char Char Char"/>
    <w:basedOn w:val="1"/>
    <w:qFormat/>
    <w:uiPriority w:val="0"/>
    <w:rPr>
      <w:rFonts w:ascii="仿宋_GB2312" w:hAnsi="Times New Roman"/>
      <w:b/>
      <w:sz w:val="30"/>
      <w:szCs w:val="32"/>
    </w:rPr>
  </w:style>
  <w:style w:type="paragraph" w:customStyle="1" w:styleId="107">
    <w:name w:val="MM Topic 2"/>
    <w:basedOn w:val="4"/>
    <w:qFormat/>
    <w:uiPriority w:val="0"/>
    <w:pPr>
      <w:numPr>
        <w:ilvl w:val="0"/>
        <w:numId w:val="0"/>
      </w:numPr>
      <w:tabs>
        <w:tab w:val="left" w:pos="992"/>
      </w:tabs>
    </w:pPr>
    <w:rPr>
      <w:rFonts w:cs="Times New Roman"/>
    </w:rPr>
  </w:style>
  <w:style w:type="paragraph" w:customStyle="1" w:styleId="108">
    <w:name w:val="Style Style4 + First line:  2 ch Before:  0.5 line After:  0.5 li..."/>
    <w:basedOn w:val="1"/>
    <w:qFormat/>
    <w:uiPriority w:val="0"/>
    <w:pPr>
      <w:spacing w:beforeLines="50" w:line="276" w:lineRule="auto"/>
      <w:ind w:firstLine="480" w:firstLineChars="200"/>
    </w:pPr>
    <w:rPr>
      <w:rFonts w:ascii="Arial" w:hAnsi="Arial"/>
      <w:sz w:val="24"/>
      <w:szCs w:val="20"/>
    </w:rPr>
  </w:style>
  <w:style w:type="paragraph" w:customStyle="1" w:styleId="109">
    <w:name w:val="正文 首行缩进:  2 字符 Char Char"/>
    <w:basedOn w:val="1"/>
    <w:qFormat/>
    <w:uiPriority w:val="0"/>
    <w:pPr>
      <w:spacing w:line="360" w:lineRule="auto"/>
      <w:ind w:firstLine="480"/>
    </w:pPr>
    <w:rPr>
      <w:rFonts w:ascii="Times New Roman" w:hAnsi="Times New Roman" w:cs="宋体"/>
      <w:sz w:val="24"/>
      <w:szCs w:val="20"/>
    </w:rPr>
  </w:style>
  <w:style w:type="paragraph" w:customStyle="1" w:styleId="110">
    <w:name w:val="MM Topic 8"/>
    <w:basedOn w:val="10"/>
    <w:qFormat/>
    <w:uiPriority w:val="0"/>
    <w:pPr>
      <w:tabs>
        <w:tab w:val="left" w:pos="4394"/>
      </w:tabs>
    </w:pPr>
  </w:style>
  <w:style w:type="paragraph" w:customStyle="1" w:styleId="111">
    <w:name w:val="Char1 Char Char Char Char Char Char"/>
    <w:basedOn w:val="1"/>
    <w:qFormat/>
    <w:uiPriority w:val="0"/>
    <w:rPr>
      <w:rFonts w:ascii="Tahoma" w:hAnsi="Tahoma"/>
      <w:sz w:val="24"/>
      <w:szCs w:val="20"/>
    </w:rPr>
  </w:style>
  <w:style w:type="paragraph" w:customStyle="1" w:styleId="112">
    <w:name w:val="RFI Heading 3rd Level"/>
    <w:basedOn w:val="1"/>
    <w:qFormat/>
    <w:uiPriority w:val="0"/>
    <w:pPr>
      <w:widowControl/>
      <w:tabs>
        <w:tab w:val="left" w:pos="720"/>
      </w:tabs>
      <w:ind w:left="720" w:hanging="720"/>
      <w:jc w:val="left"/>
    </w:pPr>
    <w:rPr>
      <w:rFonts w:ascii="Arial (W1)" w:hAnsi="Arial (W1)"/>
      <w:color w:val="000000"/>
      <w:kern w:val="0"/>
      <w:sz w:val="24"/>
      <w:szCs w:val="24"/>
      <w:lang w:val="en-GB" w:eastAsia="en-US"/>
    </w:rPr>
  </w:style>
  <w:style w:type="paragraph" w:customStyle="1" w:styleId="113">
    <w:name w:val="样式 小四2"/>
    <w:basedOn w:val="1"/>
    <w:qFormat/>
    <w:uiPriority w:val="0"/>
    <w:rPr>
      <w:rFonts w:ascii="宋体" w:hAnsi="宋体"/>
      <w:sz w:val="24"/>
      <w:szCs w:val="24"/>
    </w:rPr>
  </w:style>
  <w:style w:type="paragraph" w:customStyle="1" w:styleId="114">
    <w:name w:val="正文1"/>
    <w:qFormat/>
    <w:uiPriority w:val="0"/>
    <w:pPr>
      <w:widowControl w:val="0"/>
      <w:adjustRightInd w:val="0"/>
      <w:spacing w:line="312" w:lineRule="atLeast"/>
      <w:jc w:val="both"/>
    </w:pPr>
    <w:rPr>
      <w:rFonts w:ascii="宋体" w:hAnsi="Times New Roman" w:eastAsia="宋体" w:cs="Times New Roman"/>
      <w:sz w:val="34"/>
      <w:lang w:val="en-US" w:eastAsia="zh-CN" w:bidi="ar-SA"/>
    </w:rPr>
  </w:style>
  <w:style w:type="paragraph" w:customStyle="1" w:styleId="115">
    <w:name w:val="Char Char1"/>
    <w:basedOn w:val="1"/>
    <w:next w:val="1"/>
    <w:qFormat/>
    <w:uiPriority w:val="0"/>
    <w:pPr>
      <w:spacing w:line="240" w:lineRule="atLeast"/>
      <w:ind w:left="420" w:firstLine="420"/>
      <w:jc w:val="left"/>
    </w:pPr>
    <w:rPr>
      <w:rFonts w:ascii="楷体_GB2312" w:hAnsi="宋体" w:eastAsia="楷体_GB2312"/>
      <w:bCs/>
      <w:color w:val="000000"/>
      <w:kern w:val="0"/>
      <w:sz w:val="28"/>
      <w:szCs w:val="28"/>
    </w:rPr>
  </w:style>
  <w:style w:type="paragraph" w:customStyle="1" w:styleId="116">
    <w:name w:val="1 Char"/>
    <w:basedOn w:val="1"/>
    <w:qFormat/>
    <w:uiPriority w:val="0"/>
    <w:pPr>
      <w:widowControl/>
      <w:spacing w:after="160" w:line="240" w:lineRule="exact"/>
      <w:jc w:val="left"/>
    </w:pPr>
    <w:rPr>
      <w:rFonts w:ascii="Tahoma" w:hAnsi="Tahoma" w:eastAsia="Times New Roman"/>
      <w:kern w:val="0"/>
      <w:sz w:val="24"/>
      <w:szCs w:val="24"/>
      <w:lang w:eastAsia="en-US"/>
    </w:rPr>
  </w:style>
  <w:style w:type="paragraph" w:customStyle="1" w:styleId="117">
    <w:name w:val="文章正文"/>
    <w:basedOn w:val="1"/>
    <w:qFormat/>
    <w:uiPriority w:val="0"/>
    <w:pPr>
      <w:spacing w:line="360" w:lineRule="auto"/>
      <w:ind w:firstLine="420"/>
    </w:pPr>
    <w:rPr>
      <w:rFonts w:ascii="Times New Roman" w:hAnsi="Times New Roman"/>
      <w:sz w:val="24"/>
      <w:szCs w:val="24"/>
    </w:rPr>
  </w:style>
  <w:style w:type="paragraph" w:customStyle="1" w:styleId="118">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19">
    <w:name w:val="文章正文 Char Char1"/>
    <w:basedOn w:val="1"/>
    <w:qFormat/>
    <w:uiPriority w:val="0"/>
    <w:pPr>
      <w:spacing w:line="360" w:lineRule="auto"/>
      <w:ind w:firstLine="420"/>
    </w:pPr>
    <w:rPr>
      <w:rFonts w:ascii="Times New Roman" w:hAnsi="Times New Roman"/>
      <w:sz w:val="24"/>
      <w:szCs w:val="24"/>
    </w:rPr>
  </w:style>
  <w:style w:type="paragraph" w:customStyle="1" w:styleId="120">
    <w:name w:val="标题2-1"/>
    <w:basedOn w:val="1"/>
    <w:qFormat/>
    <w:uiPriority w:val="0"/>
    <w:pPr>
      <w:tabs>
        <w:tab w:val="left" w:pos="0"/>
      </w:tabs>
      <w:autoSpaceDE w:val="0"/>
      <w:autoSpaceDN w:val="0"/>
      <w:adjustRightInd w:val="0"/>
      <w:spacing w:beforeLines="50"/>
      <w:jc w:val="left"/>
      <w:outlineLvl w:val="1"/>
    </w:pPr>
    <w:rPr>
      <w:rFonts w:ascii="Arial" w:hAnsi="宋体" w:cs="Arial"/>
      <w:b/>
      <w:bCs/>
      <w:color w:val="292929"/>
      <w:kern w:val="0"/>
      <w:sz w:val="28"/>
      <w:szCs w:val="28"/>
    </w:rPr>
  </w:style>
  <w:style w:type="paragraph" w:customStyle="1" w:styleId="121">
    <w:name w:val="样式"/>
    <w:link w:val="228"/>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122">
    <w:name w:val="图"/>
    <w:basedOn w:val="1"/>
    <w:qFormat/>
    <w:uiPriority w:val="0"/>
    <w:pPr>
      <w:widowControl/>
      <w:adjustRightInd w:val="0"/>
      <w:snapToGrid w:val="0"/>
      <w:jc w:val="center"/>
    </w:pPr>
    <w:rPr>
      <w:rFonts w:ascii="宋体" w:hAnsi="宋体"/>
      <w:bCs/>
      <w:szCs w:val="24"/>
    </w:rPr>
  </w:style>
  <w:style w:type="paragraph" w:customStyle="1" w:styleId="123">
    <w:name w:val="zw1"/>
    <w:basedOn w:val="1"/>
    <w:qFormat/>
    <w:uiPriority w:val="0"/>
    <w:pPr>
      <w:widowControl/>
      <w:spacing w:line="360" w:lineRule="auto"/>
      <w:ind w:firstLine="480" w:firstLineChars="200"/>
    </w:pPr>
    <w:rPr>
      <w:rFonts w:ascii="Times New Roman" w:hAnsi="Times New Roman"/>
      <w:kern w:val="0"/>
      <w:sz w:val="24"/>
      <w:szCs w:val="20"/>
    </w:rPr>
  </w:style>
  <w:style w:type="paragraph" w:customStyle="1" w:styleId="124">
    <w:name w:val="Char Char Char Char Char Char Char"/>
    <w:basedOn w:val="1"/>
    <w:qFormat/>
    <w:uiPriority w:val="0"/>
    <w:pPr>
      <w:widowControl/>
      <w:snapToGrid w:val="0"/>
      <w:spacing w:line="240" w:lineRule="exact"/>
      <w:jc w:val="left"/>
    </w:pPr>
    <w:rPr>
      <w:rFonts w:ascii="Verdana" w:hAnsi="Verdana"/>
      <w:kern w:val="0"/>
      <w:sz w:val="20"/>
      <w:szCs w:val="20"/>
      <w:lang w:eastAsia="en-US"/>
    </w:rPr>
  </w:style>
  <w:style w:type="paragraph" w:customStyle="1" w:styleId="125">
    <w:name w:val="MM Topic 1"/>
    <w:basedOn w:val="3"/>
    <w:qFormat/>
    <w:uiPriority w:val="0"/>
    <w:pPr>
      <w:tabs>
        <w:tab w:val="left" w:pos="425"/>
      </w:tabs>
    </w:pPr>
    <w:rPr>
      <w:rFonts w:cs="Times New Roman"/>
      <w:sz w:val="44"/>
    </w:rPr>
  </w:style>
  <w:style w:type="paragraph" w:customStyle="1" w:styleId="126">
    <w:name w:val="正文格式"/>
    <w:basedOn w:val="1"/>
    <w:qFormat/>
    <w:uiPriority w:val="0"/>
    <w:pPr>
      <w:widowControl/>
      <w:adjustRightInd w:val="0"/>
      <w:snapToGrid w:val="0"/>
      <w:spacing w:beforeLines="25" w:line="360" w:lineRule="auto"/>
      <w:ind w:firstLine="480" w:firstLineChars="200"/>
    </w:pPr>
    <w:rPr>
      <w:rFonts w:ascii="宋体" w:hAnsi="宋体"/>
      <w:bCs/>
      <w:color w:val="000000"/>
      <w:kern w:val="0"/>
      <w:sz w:val="24"/>
      <w:szCs w:val="24"/>
    </w:rPr>
  </w:style>
  <w:style w:type="paragraph" w:customStyle="1" w:styleId="127">
    <w:name w:val="样式 标题 5 + 倾斜"/>
    <w:basedOn w:val="7"/>
    <w:qFormat/>
    <w:uiPriority w:val="0"/>
    <w:pPr>
      <w:widowControl/>
      <w:tabs>
        <w:tab w:val="left" w:pos="992"/>
        <w:tab w:val="clear" w:pos="1134"/>
      </w:tabs>
      <w:overflowPunct w:val="0"/>
      <w:autoSpaceDE w:val="0"/>
      <w:autoSpaceDN w:val="0"/>
      <w:adjustRightInd w:val="0"/>
      <w:snapToGrid w:val="0"/>
      <w:spacing w:before="100" w:beforeAutospacing="1" w:after="100" w:afterAutospacing="1" w:line="288" w:lineRule="auto"/>
      <w:ind w:left="0" w:firstLine="0"/>
      <w:jc w:val="left"/>
    </w:pPr>
    <w:rPr>
      <w:rFonts w:ascii="Arial" w:hAnsi="Arial"/>
      <w:bCs w:val="0"/>
      <w:iCs/>
      <w:color w:val="000000"/>
    </w:rPr>
  </w:style>
  <w:style w:type="character" w:customStyle="1" w:styleId="128">
    <w:name w:val="彩色列表 - 强调文字颜色 1 Char"/>
    <w:link w:val="129"/>
    <w:qFormat/>
    <w:locked/>
    <w:uiPriority w:val="0"/>
    <w:rPr>
      <w:rFonts w:ascii="Calibri" w:hAnsi="Calibri" w:cs="Calibri"/>
    </w:rPr>
  </w:style>
  <w:style w:type="paragraph" w:customStyle="1" w:styleId="129">
    <w:name w:val="彩色列表 - 强调文字颜色 11"/>
    <w:basedOn w:val="1"/>
    <w:link w:val="128"/>
    <w:qFormat/>
    <w:uiPriority w:val="0"/>
    <w:pPr>
      <w:ind w:firstLine="420" w:firstLineChars="200"/>
    </w:pPr>
    <w:rPr>
      <w:rFonts w:cs="Calibri" w:eastAsiaTheme="minorEastAsia"/>
    </w:rPr>
  </w:style>
  <w:style w:type="paragraph" w:customStyle="1" w:styleId="130">
    <w:name w:val="我的正文"/>
    <w:basedOn w:val="1"/>
    <w:qFormat/>
    <w:uiPriority w:val="0"/>
    <w:pPr>
      <w:spacing w:line="360" w:lineRule="auto"/>
      <w:ind w:firstLine="420" w:firstLineChars="200"/>
    </w:pPr>
    <w:rPr>
      <w:rFonts w:ascii="宋体" w:hAnsi="宋体"/>
      <w:szCs w:val="24"/>
    </w:rPr>
  </w:style>
  <w:style w:type="paragraph" w:customStyle="1" w:styleId="131">
    <w:name w:val="MM Topic 7"/>
    <w:basedOn w:val="9"/>
    <w:qFormat/>
    <w:uiPriority w:val="0"/>
    <w:pPr>
      <w:keepLines/>
      <w:widowControl w:val="0"/>
      <w:tabs>
        <w:tab w:val="left" w:pos="3827"/>
        <w:tab w:val="clear" w:pos="3600"/>
      </w:tabs>
      <w:spacing w:before="240" w:after="64" w:line="314" w:lineRule="auto"/>
      <w:jc w:val="both"/>
    </w:pPr>
    <w:rPr>
      <w:rFonts w:ascii="Times New Roman" w:hAnsi="Times New Roman"/>
      <w:iCs w:val="0"/>
      <w:kern w:val="2"/>
      <w:sz w:val="24"/>
      <w:lang w:eastAsia="zh-CN"/>
    </w:rPr>
  </w:style>
  <w:style w:type="paragraph" w:customStyle="1" w:styleId="132">
    <w:name w:val="标书（正文）"/>
    <w:basedOn w:val="1"/>
    <w:qFormat/>
    <w:uiPriority w:val="0"/>
    <w:pPr>
      <w:spacing w:line="360" w:lineRule="auto"/>
      <w:ind w:firstLine="560" w:firstLineChars="200"/>
    </w:pPr>
    <w:rPr>
      <w:rFonts w:ascii="宋体" w:hAnsi="宋体"/>
      <w:kern w:val="10"/>
      <w:sz w:val="28"/>
      <w:szCs w:val="28"/>
    </w:rPr>
  </w:style>
  <w:style w:type="paragraph" w:customStyle="1" w:styleId="133">
    <w:name w:val="样式 标题 3 + (西文) 仿宋_GB2312 (中文) 仿宋_GB2312 四号"/>
    <w:basedOn w:val="5"/>
    <w:qFormat/>
    <w:uiPriority w:val="0"/>
    <w:pPr>
      <w:numPr>
        <w:ilvl w:val="0"/>
        <w:numId w:val="0"/>
      </w:numPr>
      <w:tabs>
        <w:tab w:val="left" w:pos="-1991"/>
      </w:tabs>
      <w:snapToGrid w:val="0"/>
      <w:spacing w:beforeLines="50" w:line="410" w:lineRule="auto"/>
      <w:ind w:right="180" w:rightChars="100"/>
    </w:pPr>
    <w:rPr>
      <w:rFonts w:ascii="仿宋_GB2312" w:hAnsi="仿宋_GB2312" w:eastAsia="仿宋_GB2312" w:cs="Times New Roman"/>
      <w:color w:val="auto"/>
    </w:rPr>
  </w:style>
  <w:style w:type="paragraph" w:customStyle="1" w:styleId="134">
    <w:name w:val="论文正文"/>
    <w:basedOn w:val="1"/>
    <w:qFormat/>
    <w:uiPriority w:val="0"/>
    <w:pPr>
      <w:spacing w:line="360" w:lineRule="auto"/>
      <w:ind w:firstLine="700" w:firstLineChars="250"/>
    </w:pPr>
    <w:rPr>
      <w:rFonts w:ascii="宋体" w:hAnsi="宋体"/>
      <w:bCs/>
      <w:sz w:val="28"/>
      <w:szCs w:val="28"/>
    </w:rPr>
  </w:style>
  <w:style w:type="paragraph" w:customStyle="1" w:styleId="135">
    <w:name w:val="样式1"/>
    <w:basedOn w:val="1"/>
    <w:qFormat/>
    <w:uiPriority w:val="0"/>
    <w:rPr>
      <w:rFonts w:ascii="Times New Roman" w:hAnsi="Times New Roman" w:eastAsia="隶书"/>
      <w:i/>
      <w:dstrike/>
      <w:sz w:val="28"/>
      <w:szCs w:val="18"/>
    </w:rPr>
  </w:style>
  <w:style w:type="paragraph" w:customStyle="1" w:styleId="136">
    <w:name w:val="表格"/>
    <w:basedOn w:val="1"/>
    <w:qFormat/>
    <w:uiPriority w:val="0"/>
    <w:pPr>
      <w:spacing w:line="400" w:lineRule="exact"/>
    </w:pPr>
    <w:rPr>
      <w:rFonts w:ascii="Times New Roman" w:hAnsi="Times New Roman"/>
      <w:sz w:val="24"/>
      <w:szCs w:val="24"/>
    </w:rPr>
  </w:style>
  <w:style w:type="paragraph" w:customStyle="1" w:styleId="137">
    <w:name w:val="彩色底纹 - 强调文字颜色 11"/>
    <w:qFormat/>
    <w:uiPriority w:val="0"/>
    <w:rPr>
      <w:rFonts w:ascii="Calibri" w:hAnsi="Calibri" w:eastAsia="宋体" w:cs="Times New Roman"/>
      <w:kern w:val="2"/>
      <w:sz w:val="21"/>
      <w:szCs w:val="22"/>
      <w:lang w:val="en-US" w:eastAsia="zh-CN" w:bidi="ar-SA"/>
    </w:rPr>
  </w:style>
  <w:style w:type="paragraph" w:customStyle="1" w:styleId="138">
    <w:name w:val="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39">
    <w:name w:val="Char Char Char Char Char Char Char Char Char Char Char Char Char"/>
    <w:basedOn w:val="18"/>
    <w:qFormat/>
    <w:uiPriority w:val="0"/>
    <w:rPr>
      <w:rFonts w:ascii="Tahoma" w:hAnsi="Tahoma"/>
      <w:sz w:val="24"/>
      <w:szCs w:val="24"/>
    </w:rPr>
  </w:style>
  <w:style w:type="paragraph" w:customStyle="1" w:styleId="140">
    <w:name w:val="MM Topic 3"/>
    <w:basedOn w:val="5"/>
    <w:qFormat/>
    <w:uiPriority w:val="0"/>
    <w:pPr>
      <w:numPr>
        <w:ilvl w:val="0"/>
        <w:numId w:val="0"/>
      </w:numPr>
      <w:tabs>
        <w:tab w:val="left" w:pos="1418"/>
      </w:tabs>
    </w:pPr>
    <w:rPr>
      <w:rFonts w:cs="Times New Roman"/>
    </w:rPr>
  </w:style>
  <w:style w:type="paragraph" w:customStyle="1" w:styleId="141">
    <w:name w:val="样式 仿宋_GB2312 小四 左侧:  0.63 厘米"/>
    <w:basedOn w:val="1"/>
    <w:qFormat/>
    <w:uiPriority w:val="0"/>
    <w:pPr>
      <w:spacing w:before="120" w:after="120" w:line="360" w:lineRule="auto"/>
      <w:ind w:left="357" w:firstLine="200" w:firstLineChars="200"/>
    </w:pPr>
    <w:rPr>
      <w:rFonts w:ascii="仿宋_GB2312" w:hAnsi="仿宋_GB2312" w:eastAsia="仿宋_GB2312" w:cs="宋体"/>
      <w:sz w:val="24"/>
      <w:szCs w:val="20"/>
    </w:rPr>
  </w:style>
  <w:style w:type="paragraph" w:customStyle="1" w:styleId="142">
    <w:name w:val="样式 宋体 小四 行距: 1.5 倍行距"/>
    <w:basedOn w:val="1"/>
    <w:qFormat/>
    <w:uiPriority w:val="0"/>
    <w:pPr>
      <w:tabs>
        <w:tab w:val="left" w:pos="5190"/>
      </w:tabs>
      <w:spacing w:before="100" w:beforeAutospacing="1" w:after="100" w:afterAutospacing="1" w:line="288" w:lineRule="auto"/>
      <w:ind w:firstLine="480"/>
    </w:pPr>
    <w:rPr>
      <w:rFonts w:ascii="宋体" w:hAnsi="宋体"/>
      <w:bCs/>
      <w:sz w:val="24"/>
      <w:szCs w:val="24"/>
    </w:rPr>
  </w:style>
  <w:style w:type="paragraph" w:customStyle="1" w:styleId="143">
    <w:name w:val="Char Char Char Char"/>
    <w:basedOn w:val="1"/>
    <w:qFormat/>
    <w:uiPriority w:val="0"/>
    <w:rPr>
      <w:rFonts w:ascii="Tahoma" w:hAnsi="Tahoma"/>
      <w:sz w:val="24"/>
      <w:szCs w:val="20"/>
    </w:rPr>
  </w:style>
  <w:style w:type="paragraph" w:customStyle="1" w:styleId="144">
    <w:name w:val="Style8"/>
    <w:basedOn w:val="1"/>
    <w:qFormat/>
    <w:uiPriority w:val="0"/>
    <w:pPr>
      <w:tabs>
        <w:tab w:val="left" w:pos="1304"/>
      </w:tabs>
      <w:spacing w:beforeLines="50" w:line="276" w:lineRule="auto"/>
      <w:ind w:left="1304" w:hanging="397"/>
    </w:pPr>
    <w:rPr>
      <w:rFonts w:ascii="Arial" w:hAnsi="Arial"/>
      <w:sz w:val="24"/>
      <w:szCs w:val="24"/>
    </w:rPr>
  </w:style>
  <w:style w:type="paragraph" w:customStyle="1" w:styleId="145">
    <w:name w:val="MM Topic 9"/>
    <w:basedOn w:val="11"/>
    <w:qFormat/>
    <w:uiPriority w:val="0"/>
    <w:pPr>
      <w:tabs>
        <w:tab w:val="left" w:pos="5102"/>
      </w:tabs>
    </w:pPr>
  </w:style>
  <w:style w:type="paragraph" w:customStyle="1" w:styleId="146">
    <w:name w:val="MM Topic 5"/>
    <w:basedOn w:val="7"/>
    <w:qFormat/>
    <w:uiPriority w:val="0"/>
    <w:pPr>
      <w:tabs>
        <w:tab w:val="left" w:pos="2551"/>
        <w:tab w:val="clear" w:pos="1134"/>
        <w:tab w:val="clear" w:pos="1560"/>
      </w:tabs>
      <w:ind w:left="0" w:firstLine="0"/>
    </w:pPr>
  </w:style>
  <w:style w:type="paragraph" w:customStyle="1" w:styleId="147">
    <w:name w:val="大纲正文"/>
    <w:basedOn w:val="1"/>
    <w:qFormat/>
    <w:uiPriority w:val="0"/>
    <w:pPr>
      <w:spacing w:line="360" w:lineRule="auto"/>
      <w:ind w:firstLine="480" w:firstLineChars="200"/>
    </w:pPr>
    <w:rPr>
      <w:rFonts w:ascii="Times New Roman" w:hAnsi="Times New Roman"/>
      <w:sz w:val="24"/>
      <w:szCs w:val="20"/>
    </w:rPr>
  </w:style>
  <w:style w:type="paragraph" w:customStyle="1" w:styleId="148">
    <w:name w:val="MM Topic 4"/>
    <w:basedOn w:val="6"/>
    <w:qFormat/>
    <w:uiPriority w:val="0"/>
    <w:pPr>
      <w:tabs>
        <w:tab w:val="left" w:pos="1984"/>
      </w:tabs>
      <w:ind w:left="0" w:firstLine="0"/>
    </w:pPr>
  </w:style>
  <w:style w:type="paragraph" w:customStyle="1" w:styleId="149">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50">
    <w:name w:val="样式 小四 首行缩进:  0.74 厘米"/>
    <w:basedOn w:val="1"/>
    <w:qFormat/>
    <w:uiPriority w:val="0"/>
    <w:pPr>
      <w:spacing w:before="100" w:beforeAutospacing="1" w:after="100" w:afterAutospacing="1" w:line="300" w:lineRule="auto"/>
      <w:ind w:firstLine="420" w:firstLineChars="175"/>
    </w:pPr>
    <w:rPr>
      <w:rFonts w:ascii="宋体" w:hAnsi="宋体"/>
      <w:sz w:val="24"/>
      <w:szCs w:val="24"/>
    </w:rPr>
  </w:style>
  <w:style w:type="paragraph" w:customStyle="1" w:styleId="151">
    <w:name w:val="样式 标题 2H2第一章 标题 2Heading 2 HiddenHeading 2 CCBSheading 2h2..."/>
    <w:basedOn w:val="4"/>
    <w:qFormat/>
    <w:uiPriority w:val="0"/>
    <w:pPr>
      <w:tabs>
        <w:tab w:val="left" w:pos="-2493"/>
      </w:tabs>
    </w:pPr>
    <w:rPr>
      <w:rFonts w:cs="Times New Roman"/>
      <w:szCs w:val="20"/>
    </w:rPr>
  </w:style>
  <w:style w:type="paragraph" w:customStyle="1" w:styleId="152">
    <w:name w:val="正文首行缩进两字符"/>
    <w:basedOn w:val="1"/>
    <w:qFormat/>
    <w:uiPriority w:val="0"/>
    <w:pPr>
      <w:spacing w:line="360" w:lineRule="auto"/>
      <w:ind w:firstLine="200" w:firstLineChars="200"/>
    </w:pPr>
    <w:rPr>
      <w:rFonts w:ascii="Times New Roman" w:hAnsi="Times New Roman"/>
      <w:szCs w:val="24"/>
    </w:rPr>
  </w:style>
  <w:style w:type="paragraph" w:customStyle="1" w:styleId="153">
    <w:name w:val="列出段落2"/>
    <w:basedOn w:val="1"/>
    <w:qFormat/>
    <w:uiPriority w:val="0"/>
    <w:pPr>
      <w:ind w:firstLine="420" w:firstLineChars="200"/>
    </w:pPr>
  </w:style>
  <w:style w:type="paragraph" w:customStyle="1" w:styleId="154">
    <w:name w:val="列出段落4"/>
    <w:basedOn w:val="1"/>
    <w:qFormat/>
    <w:uiPriority w:val="0"/>
    <w:pPr>
      <w:ind w:firstLine="420" w:firstLineChars="200"/>
    </w:pPr>
    <w:rPr>
      <w:rFonts w:ascii="Times New Roman" w:hAnsi="Times New Roman"/>
      <w:szCs w:val="24"/>
    </w:rPr>
  </w:style>
  <w:style w:type="paragraph" w:customStyle="1" w:styleId="155">
    <w:name w:val="列出段落1"/>
    <w:basedOn w:val="1"/>
    <w:qFormat/>
    <w:uiPriority w:val="0"/>
    <w:pPr>
      <w:ind w:firstLine="420" w:firstLineChars="200"/>
    </w:pPr>
  </w:style>
  <w:style w:type="paragraph" w:customStyle="1" w:styleId="156">
    <w:name w:val="彩色列表 - 强调文字颜色 12"/>
    <w:basedOn w:val="1"/>
    <w:qFormat/>
    <w:uiPriority w:val="0"/>
    <w:pPr>
      <w:ind w:firstLine="420" w:firstLineChars="200"/>
    </w:pPr>
  </w:style>
  <w:style w:type="character" w:customStyle="1" w:styleId="157">
    <w:name w:val="Char Char8"/>
    <w:qFormat/>
    <w:uiPriority w:val="0"/>
    <w:rPr>
      <w:rFonts w:hint="eastAsia" w:ascii="宋体" w:hAnsi="宋体" w:eastAsia="宋体"/>
      <w:kern w:val="2"/>
      <w:sz w:val="28"/>
      <w:szCs w:val="28"/>
    </w:rPr>
  </w:style>
  <w:style w:type="character" w:customStyle="1" w:styleId="158">
    <w:name w:val="Char Char5"/>
    <w:qFormat/>
    <w:uiPriority w:val="0"/>
    <w:rPr>
      <w:kern w:val="2"/>
      <w:sz w:val="21"/>
      <w:szCs w:val="24"/>
    </w:rPr>
  </w:style>
  <w:style w:type="character" w:customStyle="1" w:styleId="159">
    <w:name w:val="列出段落 Char Char"/>
    <w:qFormat/>
    <w:uiPriority w:val="0"/>
    <w:rPr>
      <w:rFonts w:hint="default" w:ascii="Calibri" w:hAnsi="Calibri" w:cs="Calibri"/>
      <w:kern w:val="2"/>
      <w:sz w:val="21"/>
      <w:szCs w:val="22"/>
    </w:rPr>
  </w:style>
  <w:style w:type="character" w:customStyle="1" w:styleId="160">
    <w:name w:val="正文文本 Char Char"/>
    <w:qFormat/>
    <w:uiPriority w:val="0"/>
    <w:rPr>
      <w:kern w:val="2"/>
      <w:sz w:val="21"/>
      <w:szCs w:val="24"/>
    </w:rPr>
  </w:style>
  <w:style w:type="character" w:customStyle="1" w:styleId="161">
    <w:name w:val="Char Char11"/>
    <w:qFormat/>
    <w:uiPriority w:val="0"/>
    <w:rPr>
      <w:rFonts w:hint="default" w:ascii="Arial Narrow" w:hAnsi="Arial Narrow"/>
      <w:b/>
      <w:bCs/>
      <w:iCs/>
      <w:szCs w:val="24"/>
      <w:lang w:eastAsia="en-US"/>
    </w:rPr>
  </w:style>
  <w:style w:type="character" w:customStyle="1" w:styleId="162">
    <w:name w:val="标书（正文） Char Char"/>
    <w:qFormat/>
    <w:uiPriority w:val="0"/>
    <w:rPr>
      <w:rFonts w:hint="eastAsia" w:ascii="宋体" w:hAnsi="宋体" w:eastAsia="宋体"/>
      <w:b/>
      <w:kern w:val="10"/>
      <w:sz w:val="21"/>
      <w:szCs w:val="21"/>
      <w:lang w:val="en-US" w:eastAsia="zh-CN" w:bidi="ar-SA"/>
    </w:rPr>
  </w:style>
  <w:style w:type="character" w:customStyle="1" w:styleId="163">
    <w:name w:val="line2"/>
    <w:basedOn w:val="43"/>
    <w:qFormat/>
    <w:uiPriority w:val="0"/>
  </w:style>
  <w:style w:type="character" w:customStyle="1" w:styleId="164">
    <w:name w:val="Char Char10"/>
    <w:qFormat/>
    <w:uiPriority w:val="0"/>
    <w:rPr>
      <w:kern w:val="2"/>
      <w:sz w:val="24"/>
      <w:szCs w:val="24"/>
    </w:rPr>
  </w:style>
  <w:style w:type="character" w:customStyle="1" w:styleId="165">
    <w:name w:val="MM Topic 4 Char Char"/>
    <w:qFormat/>
    <w:uiPriority w:val="0"/>
    <w:rPr>
      <w:rFonts w:hint="default" w:ascii="Arial" w:hAnsi="Arial" w:cs="Arial"/>
      <w:b/>
      <w:bCs/>
      <w:kern w:val="2"/>
      <w:sz w:val="28"/>
      <w:szCs w:val="28"/>
    </w:rPr>
  </w:style>
  <w:style w:type="character" w:customStyle="1" w:styleId="166">
    <w:name w:val="标书正文:  0.74 厘米 Char Char"/>
    <w:qFormat/>
    <w:uiPriority w:val="0"/>
    <w:rPr>
      <w:kern w:val="2"/>
      <w:sz w:val="24"/>
    </w:rPr>
  </w:style>
  <w:style w:type="character" w:customStyle="1" w:styleId="167">
    <w:name w:val="访问过的超链接1"/>
    <w:qFormat/>
    <w:uiPriority w:val="99"/>
    <w:rPr>
      <w:color w:val="800080"/>
      <w:u w:val="single"/>
    </w:rPr>
  </w:style>
  <w:style w:type="character" w:customStyle="1" w:styleId="168">
    <w:name w:val="标题 3 Char Char Char"/>
    <w:qFormat/>
    <w:uiPriority w:val="0"/>
    <w:rPr>
      <w:rFonts w:hint="eastAsia" w:ascii="宋体" w:hAnsi="宋体" w:eastAsia="宋体"/>
      <w:b/>
      <w:kern w:val="2"/>
      <w:sz w:val="32"/>
      <w:lang w:val="en-US" w:eastAsia="zh-CN" w:bidi="ar-SA"/>
    </w:rPr>
  </w:style>
  <w:style w:type="character" w:customStyle="1" w:styleId="169">
    <w:name w:val="（符号）邀请函中一、"/>
    <w:qFormat/>
    <w:uiPriority w:val="0"/>
    <w:rPr>
      <w:rFonts w:hint="eastAsia" w:ascii="黑体" w:hAnsi="黑体" w:eastAsia="黑体"/>
      <w:b/>
      <w:bCs/>
      <w:sz w:val="24"/>
    </w:rPr>
  </w:style>
  <w:style w:type="character" w:customStyle="1" w:styleId="170">
    <w:name w:val="tt Char"/>
    <w:qFormat/>
    <w:uiPriority w:val="0"/>
    <w:rPr>
      <w:rFonts w:hint="default" w:ascii="Arial" w:hAnsi="Arial" w:eastAsia="黑体" w:cs="Arial"/>
      <w:kern w:val="2"/>
      <w:sz w:val="21"/>
      <w:szCs w:val="21"/>
    </w:rPr>
  </w:style>
  <w:style w:type="character" w:customStyle="1" w:styleId="171">
    <w:name w:val="Char Char9"/>
    <w:qFormat/>
    <w:uiPriority w:val="0"/>
    <w:rPr>
      <w:kern w:val="2"/>
      <w:sz w:val="18"/>
      <w:szCs w:val="18"/>
    </w:rPr>
  </w:style>
  <w:style w:type="character" w:customStyle="1" w:styleId="172">
    <w:name w:val="MM Topic 3 Char Char"/>
    <w:qFormat/>
    <w:uiPriority w:val="0"/>
    <w:rPr>
      <w:rFonts w:hint="eastAsia" w:ascii="宋体" w:hAnsi="宋体" w:eastAsia="宋体"/>
      <w:b/>
      <w:bCs/>
      <w:color w:val="000000"/>
      <w:kern w:val="2"/>
      <w:sz w:val="28"/>
      <w:szCs w:val="28"/>
    </w:rPr>
  </w:style>
  <w:style w:type="character" w:customStyle="1" w:styleId="173">
    <w:name w:val="样式 小四2 Char Char"/>
    <w:qFormat/>
    <w:uiPriority w:val="0"/>
    <w:rPr>
      <w:rFonts w:hint="eastAsia" w:ascii="宋体" w:hAnsi="宋体" w:eastAsia="宋体"/>
      <w:kern w:val="2"/>
      <w:sz w:val="24"/>
      <w:szCs w:val="24"/>
    </w:rPr>
  </w:style>
  <w:style w:type="character" w:customStyle="1" w:styleId="174">
    <w:name w:val="Char Char7"/>
    <w:qFormat/>
    <w:uiPriority w:val="0"/>
    <w:rPr>
      <w:kern w:val="2"/>
      <w:sz w:val="18"/>
      <w:szCs w:val="18"/>
    </w:rPr>
  </w:style>
  <w:style w:type="character" w:customStyle="1" w:styleId="175">
    <w:name w:val="Char Char3"/>
    <w:qFormat/>
    <w:uiPriority w:val="0"/>
    <w:rPr>
      <w:b/>
      <w:bCs/>
      <w:kern w:val="2"/>
      <w:sz w:val="18"/>
      <w:szCs w:val="18"/>
    </w:rPr>
  </w:style>
  <w:style w:type="character" w:customStyle="1" w:styleId="176">
    <w:name w:val="apple-style-span"/>
    <w:basedOn w:val="43"/>
    <w:qFormat/>
    <w:uiPriority w:val="0"/>
  </w:style>
  <w:style w:type="character" w:customStyle="1" w:styleId="177">
    <w:name w:val="Char Char4"/>
    <w:qFormat/>
    <w:uiPriority w:val="0"/>
    <w:rPr>
      <w:kern w:val="2"/>
      <w:sz w:val="18"/>
      <w:szCs w:val="18"/>
    </w:rPr>
  </w:style>
  <w:style w:type="character" w:customStyle="1" w:styleId="178">
    <w:name w:val="副标题 Char1"/>
    <w:qFormat/>
    <w:uiPriority w:val="11"/>
    <w:rPr>
      <w:rFonts w:hint="default" w:ascii="Cambria" w:hAnsi="Cambria" w:cs="Times New Roman"/>
      <w:b/>
      <w:bCs/>
      <w:kern w:val="28"/>
      <w:sz w:val="32"/>
      <w:szCs w:val="32"/>
    </w:rPr>
  </w:style>
  <w:style w:type="character" w:customStyle="1" w:styleId="179">
    <w:name w:val="small"/>
    <w:basedOn w:val="43"/>
    <w:qFormat/>
    <w:uiPriority w:val="0"/>
  </w:style>
  <w:style w:type="character" w:customStyle="1" w:styleId="180">
    <w:name w:val="Legal Level 1.1.1. Char"/>
    <w:qFormat/>
    <w:uiPriority w:val="0"/>
    <w:rPr>
      <w:rFonts w:hint="default" w:ascii="Arial" w:hAnsi="Arial" w:eastAsia="黑体" w:cs="Arial"/>
      <w:kern w:val="2"/>
      <w:sz w:val="24"/>
      <w:szCs w:val="24"/>
    </w:rPr>
  </w:style>
  <w:style w:type="character" w:customStyle="1" w:styleId="181">
    <w:name w:val="文章正文 Char Char"/>
    <w:qFormat/>
    <w:uiPriority w:val="0"/>
    <w:rPr>
      <w:rFonts w:hint="eastAsia" w:ascii="宋体" w:hAnsi="宋体" w:eastAsia="宋体"/>
      <w:kern w:val="2"/>
      <w:sz w:val="24"/>
      <w:szCs w:val="24"/>
      <w:lang w:val="en-US" w:eastAsia="zh-CN" w:bidi="ar-SA"/>
    </w:rPr>
  </w:style>
  <w:style w:type="character" w:customStyle="1" w:styleId="182">
    <w:name w:val="正文文本 Char1"/>
    <w:qFormat/>
    <w:uiPriority w:val="0"/>
    <w:rPr>
      <w:rFonts w:hint="default" w:ascii="Times New Roman" w:hAnsi="Times New Roman" w:eastAsia="宋体" w:cs="Times New Roman"/>
      <w:kern w:val="0"/>
      <w:sz w:val="18"/>
      <w:szCs w:val="18"/>
    </w:rPr>
  </w:style>
  <w:style w:type="character" w:customStyle="1" w:styleId="183">
    <w:name w:val="正文文本 字符"/>
    <w:basedOn w:val="43"/>
    <w:link w:val="2"/>
    <w:qFormat/>
    <w:locked/>
    <w:uiPriority w:val="0"/>
    <w:rPr>
      <w:rFonts w:ascii="Times New Roman" w:hAnsi="Times New Roman" w:eastAsia="宋体" w:cs="Times New Roman"/>
      <w:kern w:val="0"/>
      <w:sz w:val="20"/>
      <w:szCs w:val="20"/>
    </w:rPr>
  </w:style>
  <w:style w:type="character" w:customStyle="1" w:styleId="184">
    <w:name w:val="CD正文 Char Char"/>
    <w:qFormat/>
    <w:uiPriority w:val="0"/>
    <w:rPr>
      <w:rFonts w:hint="eastAsia" w:ascii="宋体" w:hAnsi="宋体" w:eastAsia="宋体"/>
      <w:kern w:val="2"/>
      <w:sz w:val="30"/>
      <w:szCs w:val="28"/>
      <w:lang w:val="en-US" w:eastAsia="zh-CN" w:bidi="ar-SA"/>
    </w:rPr>
  </w:style>
  <w:style w:type="character" w:customStyle="1" w:styleId="185">
    <w:name w:val="Char Char2"/>
    <w:qFormat/>
    <w:uiPriority w:val="0"/>
    <w:rPr>
      <w:kern w:val="2"/>
      <w:sz w:val="18"/>
      <w:szCs w:val="18"/>
    </w:rPr>
  </w:style>
  <w:style w:type="character" w:customStyle="1" w:styleId="186">
    <w:name w:val="表正文 Char1"/>
    <w:qFormat/>
    <w:uiPriority w:val="0"/>
    <w:rPr>
      <w:rFonts w:hint="eastAsia" w:ascii="宋体" w:hAnsi="宋体" w:eastAsia="宋体"/>
      <w:kern w:val="2"/>
      <w:sz w:val="21"/>
      <w:lang w:val="en-US" w:eastAsia="zh-CN" w:bidi="ar-SA"/>
    </w:rPr>
  </w:style>
  <w:style w:type="character" w:customStyle="1" w:styleId="187">
    <w:name w:val="纯文本 字符"/>
    <w:link w:val="24"/>
    <w:qFormat/>
    <w:locked/>
    <w:uiPriority w:val="99"/>
    <w:rPr>
      <w:rFonts w:ascii="宋体" w:hAnsi="Courier New" w:eastAsia="宋体" w:cs="Times New Roman"/>
      <w:kern w:val="0"/>
      <w:sz w:val="20"/>
      <w:szCs w:val="18"/>
    </w:rPr>
  </w:style>
  <w:style w:type="character" w:customStyle="1" w:styleId="188">
    <w:name w:val="Char Char Char"/>
    <w:qFormat/>
    <w:uiPriority w:val="0"/>
    <w:rPr>
      <w:rFonts w:hint="eastAsia" w:ascii="宋体" w:hAnsi="宋体" w:eastAsia="宋体"/>
      <w:kern w:val="2"/>
      <w:sz w:val="18"/>
      <w:szCs w:val="18"/>
      <w:lang w:val="en-US" w:eastAsia="zh-CN" w:bidi="ar-SA"/>
    </w:rPr>
  </w:style>
  <w:style w:type="character" w:customStyle="1" w:styleId="189">
    <w:name w:val="Char Char6"/>
    <w:qFormat/>
    <w:uiPriority w:val="0"/>
    <w:rPr>
      <w:kern w:val="2"/>
      <w:sz w:val="21"/>
      <w:szCs w:val="24"/>
    </w:rPr>
  </w:style>
  <w:style w:type="character" w:customStyle="1" w:styleId="190">
    <w:name w:val="正文文本缩进 2 Char1"/>
    <w:basedOn w:val="43"/>
    <w:semiHidden/>
    <w:qFormat/>
    <w:uiPriority w:val="99"/>
    <w:rPr>
      <w:rFonts w:hint="default" w:ascii="Calibri" w:hAnsi="Calibri" w:cs="Calibri"/>
      <w:kern w:val="2"/>
      <w:sz w:val="21"/>
      <w:szCs w:val="22"/>
    </w:rPr>
  </w:style>
  <w:style w:type="character" w:customStyle="1" w:styleId="191">
    <w:name w:val="正文文本缩进 Char1"/>
    <w:basedOn w:val="43"/>
    <w:semiHidden/>
    <w:qFormat/>
    <w:uiPriority w:val="99"/>
    <w:rPr>
      <w:rFonts w:hint="default" w:ascii="Calibri" w:hAnsi="Calibri" w:cs="Calibri"/>
      <w:kern w:val="2"/>
      <w:sz w:val="21"/>
      <w:szCs w:val="22"/>
    </w:rPr>
  </w:style>
  <w:style w:type="character" w:customStyle="1" w:styleId="192">
    <w:name w:val="页脚 Char1"/>
    <w:basedOn w:val="43"/>
    <w:semiHidden/>
    <w:qFormat/>
    <w:uiPriority w:val="99"/>
    <w:rPr>
      <w:rFonts w:hint="default" w:ascii="Calibri" w:hAnsi="Calibri" w:cs="Calibri"/>
      <w:kern w:val="2"/>
      <w:sz w:val="18"/>
      <w:szCs w:val="18"/>
    </w:rPr>
  </w:style>
  <w:style w:type="character" w:customStyle="1" w:styleId="193">
    <w:name w:val="正文文本 3 Char1"/>
    <w:basedOn w:val="43"/>
    <w:semiHidden/>
    <w:qFormat/>
    <w:uiPriority w:val="99"/>
    <w:rPr>
      <w:rFonts w:hint="default" w:ascii="Calibri" w:hAnsi="Calibri" w:cs="Calibri"/>
      <w:kern w:val="2"/>
      <w:sz w:val="16"/>
      <w:szCs w:val="16"/>
    </w:rPr>
  </w:style>
  <w:style w:type="character" w:customStyle="1" w:styleId="194">
    <w:name w:val="正文文本缩进 3 Char1"/>
    <w:basedOn w:val="43"/>
    <w:semiHidden/>
    <w:qFormat/>
    <w:uiPriority w:val="99"/>
    <w:rPr>
      <w:rFonts w:hint="default" w:ascii="Calibri" w:hAnsi="Calibri" w:cs="Calibri"/>
      <w:kern w:val="2"/>
      <w:sz w:val="16"/>
      <w:szCs w:val="16"/>
    </w:rPr>
  </w:style>
  <w:style w:type="character" w:customStyle="1" w:styleId="195">
    <w:name w:val="批注框文本 Char1"/>
    <w:basedOn w:val="43"/>
    <w:semiHidden/>
    <w:qFormat/>
    <w:uiPriority w:val="99"/>
    <w:rPr>
      <w:rFonts w:hint="default" w:ascii="Calibri" w:hAnsi="Calibri" w:cs="Calibri"/>
      <w:kern w:val="2"/>
      <w:sz w:val="18"/>
      <w:szCs w:val="18"/>
    </w:rPr>
  </w:style>
  <w:style w:type="character" w:customStyle="1" w:styleId="196">
    <w:name w:val="批注文字 字符"/>
    <w:basedOn w:val="43"/>
    <w:link w:val="13"/>
    <w:qFormat/>
    <w:locked/>
    <w:uiPriority w:val="99"/>
    <w:rPr>
      <w:rFonts w:ascii="Calibri" w:hAnsi="Calibri" w:eastAsia="宋体" w:cs="Times New Roman"/>
    </w:rPr>
  </w:style>
  <w:style w:type="character" w:customStyle="1" w:styleId="197">
    <w:name w:val="文档结构图 Char1"/>
    <w:basedOn w:val="43"/>
    <w:semiHidden/>
    <w:qFormat/>
    <w:uiPriority w:val="99"/>
    <w:rPr>
      <w:rFonts w:hint="eastAsia" w:ascii="宋体" w:hAnsi="Calibri" w:eastAsia="宋体"/>
      <w:kern w:val="2"/>
      <w:sz w:val="18"/>
      <w:szCs w:val="18"/>
    </w:rPr>
  </w:style>
  <w:style w:type="character" w:customStyle="1" w:styleId="198">
    <w:name w:val="页眉 Char1"/>
    <w:basedOn w:val="43"/>
    <w:semiHidden/>
    <w:qFormat/>
    <w:uiPriority w:val="99"/>
    <w:rPr>
      <w:rFonts w:hint="default" w:ascii="Calibri" w:hAnsi="Calibri" w:cs="Calibri"/>
      <w:kern w:val="2"/>
      <w:sz w:val="18"/>
      <w:szCs w:val="18"/>
    </w:rPr>
  </w:style>
  <w:style w:type="character" w:customStyle="1" w:styleId="199">
    <w:name w:val="日期 Char1"/>
    <w:basedOn w:val="43"/>
    <w:semiHidden/>
    <w:qFormat/>
    <w:uiPriority w:val="99"/>
    <w:rPr>
      <w:rFonts w:hint="default" w:ascii="Calibri" w:hAnsi="Calibri" w:cs="Calibri"/>
      <w:kern w:val="2"/>
      <w:sz w:val="21"/>
      <w:szCs w:val="22"/>
    </w:rPr>
  </w:style>
  <w:style w:type="character" w:customStyle="1" w:styleId="200">
    <w:name w:val="正文文本 Char3"/>
    <w:basedOn w:val="43"/>
    <w:semiHidden/>
    <w:qFormat/>
    <w:uiPriority w:val="99"/>
    <w:rPr>
      <w:rFonts w:hint="default" w:ascii="Calibri" w:hAnsi="Calibri" w:cs="Calibri"/>
      <w:kern w:val="2"/>
      <w:sz w:val="21"/>
      <w:szCs w:val="22"/>
    </w:rPr>
  </w:style>
  <w:style w:type="character" w:customStyle="1" w:styleId="201">
    <w:name w:val="纯文本 Char2"/>
    <w:basedOn w:val="43"/>
    <w:semiHidden/>
    <w:qFormat/>
    <w:uiPriority w:val="99"/>
    <w:rPr>
      <w:rFonts w:hint="eastAsia" w:ascii="宋体" w:hAnsi="Courier New" w:eastAsia="宋体" w:cs="Courier New"/>
      <w:kern w:val="2"/>
      <w:sz w:val="21"/>
      <w:szCs w:val="21"/>
    </w:rPr>
  </w:style>
  <w:style w:type="character" w:customStyle="1" w:styleId="202">
    <w:name w:val="正文首行缩进 Char1"/>
    <w:basedOn w:val="200"/>
    <w:semiHidden/>
    <w:qFormat/>
    <w:uiPriority w:val="99"/>
    <w:rPr>
      <w:rFonts w:hint="default" w:ascii="Calibri" w:hAnsi="Calibri" w:cs="Calibri"/>
      <w:kern w:val="2"/>
      <w:sz w:val="21"/>
      <w:szCs w:val="22"/>
    </w:rPr>
  </w:style>
  <w:style w:type="character" w:customStyle="1" w:styleId="203">
    <w:name w:val="正文文本 2 Char1"/>
    <w:basedOn w:val="43"/>
    <w:semiHidden/>
    <w:qFormat/>
    <w:uiPriority w:val="99"/>
    <w:rPr>
      <w:rFonts w:hint="default" w:ascii="Calibri" w:hAnsi="Calibri" w:cs="Calibri"/>
      <w:kern w:val="2"/>
      <w:sz w:val="21"/>
      <w:szCs w:val="22"/>
    </w:rPr>
  </w:style>
  <w:style w:type="character" w:customStyle="1" w:styleId="204">
    <w:name w:val="副标题 Char2"/>
    <w:basedOn w:val="43"/>
    <w:qFormat/>
    <w:uiPriority w:val="11"/>
    <w:rPr>
      <w:rFonts w:hint="default" w:asciiTheme="majorHAnsi" w:hAnsiTheme="majorHAnsi" w:cstheme="majorBidi"/>
      <w:b/>
      <w:bCs/>
      <w:kern w:val="28"/>
      <w:sz w:val="32"/>
      <w:szCs w:val="32"/>
    </w:rPr>
  </w:style>
  <w:style w:type="character" w:customStyle="1" w:styleId="205">
    <w:name w:val="正文缩进 Char"/>
    <w:qFormat/>
    <w:uiPriority w:val="0"/>
    <w:rPr>
      <w:kern w:val="2"/>
      <w:sz w:val="21"/>
    </w:rPr>
  </w:style>
  <w:style w:type="paragraph" w:customStyle="1" w:styleId="206">
    <w:name w:val="CD正文"/>
    <w:basedOn w:val="117"/>
    <w:qFormat/>
    <w:uiPriority w:val="0"/>
  </w:style>
  <w:style w:type="paragraph" w:customStyle="1" w:styleId="207">
    <w:name w:val="项目符号：一级"/>
    <w:basedOn w:val="126"/>
    <w:next w:val="126"/>
    <w:qFormat/>
    <w:uiPriority w:val="0"/>
  </w:style>
  <w:style w:type="paragraph" w:customStyle="1" w:styleId="208">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character" w:customStyle="1" w:styleId="209">
    <w:name w:val="HTML 预设格式 字符"/>
    <w:basedOn w:val="43"/>
    <w:link w:val="40"/>
    <w:qFormat/>
    <w:uiPriority w:val="0"/>
    <w:rPr>
      <w:rFonts w:ascii="Arial" w:hAnsi="Arial" w:eastAsia="宋体" w:cs="Arial"/>
      <w:kern w:val="0"/>
      <w:sz w:val="24"/>
      <w:szCs w:val="28"/>
    </w:rPr>
  </w:style>
  <w:style w:type="paragraph" w:customStyle="1" w:styleId="210">
    <w:name w:val="修订111"/>
    <w:semiHidden/>
    <w:qFormat/>
    <w:uiPriority w:val="99"/>
    <w:pPr>
      <w:spacing w:after="200" w:line="276" w:lineRule="auto"/>
    </w:pPr>
    <w:rPr>
      <w:rFonts w:ascii="Calibri" w:hAnsi="Calibri" w:eastAsia="宋体" w:cs="Times New Roman"/>
      <w:kern w:val="2"/>
      <w:sz w:val="21"/>
      <w:szCs w:val="22"/>
      <w:lang w:val="en-US" w:eastAsia="zh-CN" w:bidi="ar-SA"/>
    </w:rPr>
  </w:style>
  <w:style w:type="paragraph" w:customStyle="1" w:styleId="211">
    <w:name w:val="1 Char2"/>
    <w:basedOn w:val="1"/>
    <w:semiHidden/>
    <w:qFormat/>
    <w:uiPriority w:val="0"/>
    <w:pPr>
      <w:widowControl/>
      <w:spacing w:after="160" w:line="240" w:lineRule="exact"/>
      <w:jc w:val="left"/>
    </w:pPr>
    <w:rPr>
      <w:rFonts w:ascii="Tahoma" w:hAnsi="Tahoma" w:eastAsia="Times New Roman"/>
      <w:kern w:val="0"/>
      <w:sz w:val="24"/>
      <w:szCs w:val="24"/>
      <w:lang w:eastAsia="en-US"/>
    </w:rPr>
  </w:style>
  <w:style w:type="paragraph" w:customStyle="1" w:styleId="212">
    <w:name w:val="Normal_59"/>
    <w:qFormat/>
    <w:uiPriority w:val="0"/>
    <w:pPr>
      <w:spacing w:before="120" w:after="240" w:line="276" w:lineRule="auto"/>
      <w:jc w:val="both"/>
    </w:pPr>
    <w:rPr>
      <w:rFonts w:ascii="Times New Roman" w:hAnsi="Times New Roman" w:eastAsia="Calibri" w:cs="Times New Roman"/>
      <w:sz w:val="22"/>
      <w:szCs w:val="22"/>
      <w:lang w:val="ru-RU" w:eastAsia="en-US" w:bidi="ar-SA"/>
    </w:rPr>
  </w:style>
  <w:style w:type="paragraph" w:customStyle="1" w:styleId="213">
    <w:name w:val="Char1 Char Char Char Char Char Char_0"/>
    <w:basedOn w:val="1"/>
    <w:qFormat/>
    <w:uiPriority w:val="0"/>
    <w:rPr>
      <w:rFonts w:ascii="Tahoma" w:hAnsi="Tahoma"/>
      <w:sz w:val="24"/>
      <w:szCs w:val="20"/>
    </w:rPr>
  </w:style>
  <w:style w:type="paragraph" w:customStyle="1" w:styleId="214">
    <w:name w:val="列出段落11"/>
    <w:basedOn w:val="1"/>
    <w:qFormat/>
    <w:uiPriority w:val="99"/>
    <w:pPr>
      <w:ind w:firstLine="420" w:firstLineChars="200"/>
    </w:pPr>
    <w:rPr>
      <w:rFonts w:ascii="Times New Roman" w:hAnsi="Times New Roman"/>
    </w:rPr>
  </w:style>
  <w:style w:type="paragraph" w:customStyle="1" w:styleId="215">
    <w:name w:val="样式 标题 2 + Times New Roman 四号 非加粗 段前: 5 磅 段后: 0 磅 行距: 固定值 20..."/>
    <w:basedOn w:val="4"/>
    <w:semiHidden/>
    <w:qFormat/>
    <w:uiPriority w:val="0"/>
    <w:pPr>
      <w:numPr>
        <w:ilvl w:val="0"/>
        <w:numId w:val="0"/>
      </w:numPr>
      <w:spacing w:before="100" w:line="400" w:lineRule="exact"/>
      <w:jc w:val="both"/>
    </w:pPr>
    <w:rPr>
      <w:rFonts w:ascii="Times New Roman" w:hAnsi="Times New Roman" w:eastAsia="黑体"/>
      <w:b w:val="0"/>
      <w:szCs w:val="32"/>
    </w:rPr>
  </w:style>
  <w:style w:type="paragraph" w:customStyle="1" w:styleId="216">
    <w:name w:val="列出段落111"/>
    <w:basedOn w:val="1"/>
    <w:semiHidden/>
    <w:qFormat/>
    <w:uiPriority w:val="99"/>
    <w:pPr>
      <w:ind w:firstLine="420" w:firstLineChars="200"/>
    </w:pPr>
    <w:rPr>
      <w:rFonts w:ascii="Times New Roman" w:hAnsi="Times New Roman"/>
    </w:rPr>
  </w:style>
  <w:style w:type="character" w:customStyle="1" w:styleId="217">
    <w:name w:val="正文文本 Char2"/>
    <w:basedOn w:val="43"/>
    <w:qFormat/>
    <w:locked/>
    <w:uiPriority w:val="99"/>
    <w:rPr>
      <w:rFonts w:hint="default" w:ascii="Times New Roman" w:hAnsi="Times New Roman" w:eastAsia="宋体" w:cs="Times New Roman"/>
      <w:kern w:val="0"/>
      <w:sz w:val="20"/>
      <w:szCs w:val="20"/>
    </w:rPr>
  </w:style>
  <w:style w:type="character" w:customStyle="1" w:styleId="218">
    <w:name w:val="p121"/>
    <w:qFormat/>
    <w:uiPriority w:val="0"/>
    <w:rPr>
      <w:sz w:val="24"/>
    </w:rPr>
  </w:style>
  <w:style w:type="character" w:customStyle="1" w:styleId="219">
    <w:name w:val="列出段落 Char1"/>
    <w:qFormat/>
    <w:locked/>
    <w:uiPriority w:val="0"/>
    <w:rPr>
      <w:rFonts w:hint="default" w:ascii="Calibri" w:hAnsi="Calibri" w:cs="Calibri"/>
    </w:rPr>
  </w:style>
  <w:style w:type="paragraph" w:customStyle="1" w:styleId="220">
    <w:name w:val="修订11"/>
    <w:qFormat/>
    <w:uiPriority w:val="99"/>
    <w:pPr>
      <w:spacing w:after="200" w:line="276" w:lineRule="auto"/>
    </w:pPr>
    <w:rPr>
      <w:rFonts w:ascii="Calibri" w:hAnsi="Calibri" w:eastAsia="宋体" w:cs="Times New Roman"/>
      <w:kern w:val="2"/>
      <w:sz w:val="21"/>
      <w:szCs w:val="22"/>
      <w:lang w:val="en-US" w:eastAsia="zh-CN" w:bidi="ar-SA"/>
    </w:rPr>
  </w:style>
  <w:style w:type="paragraph" w:customStyle="1" w:styleId="221">
    <w:name w:val="列表段落1"/>
    <w:basedOn w:val="1"/>
    <w:qFormat/>
    <w:uiPriority w:val="99"/>
    <w:pPr>
      <w:ind w:firstLine="420" w:firstLineChars="200"/>
    </w:pPr>
    <w:rPr>
      <w:rFonts w:ascii="宋体" w:hAnsi="宋体" w:cs="宋体"/>
      <w:sz w:val="28"/>
      <w:szCs w:val="28"/>
    </w:rPr>
  </w:style>
  <w:style w:type="character" w:customStyle="1" w:styleId="222">
    <w:name w:val="NormalCharacter"/>
    <w:qFormat/>
    <w:uiPriority w:val="0"/>
  </w:style>
  <w:style w:type="paragraph" w:customStyle="1" w:styleId="223">
    <w:name w:val="BodyText"/>
    <w:basedOn w:val="1"/>
    <w:qFormat/>
    <w:uiPriority w:val="0"/>
    <w:pPr>
      <w:widowControl/>
      <w:spacing w:after="120"/>
      <w:ind w:firstLine="560" w:firstLineChars="200"/>
      <w:textAlignment w:val="baseline"/>
    </w:pPr>
    <w:rPr>
      <w:rFonts w:ascii="宋体" w:hAnsi="宋体" w:cstheme="minorBidi"/>
      <w:sz w:val="28"/>
      <w:szCs w:val="28"/>
    </w:rPr>
  </w:style>
  <w:style w:type="character" w:customStyle="1" w:styleId="224">
    <w:name w:val="AnnotationReference"/>
    <w:qFormat/>
    <w:uiPriority w:val="0"/>
    <w:rPr>
      <w:sz w:val="21"/>
      <w:szCs w:val="21"/>
    </w:rPr>
  </w:style>
  <w:style w:type="paragraph" w:customStyle="1" w:styleId="225">
    <w:name w:val="179"/>
    <w:basedOn w:val="1"/>
    <w:qFormat/>
    <w:uiPriority w:val="0"/>
    <w:pPr>
      <w:widowControl/>
      <w:ind w:firstLine="420" w:firstLineChars="200"/>
      <w:textAlignment w:val="baseline"/>
    </w:pPr>
    <w:rPr>
      <w:rFonts w:ascii="宋体" w:hAnsi="宋体" w:cstheme="minorBidi"/>
      <w:sz w:val="28"/>
      <w:szCs w:val="28"/>
    </w:rPr>
  </w:style>
  <w:style w:type="paragraph" w:customStyle="1" w:styleId="226">
    <w:name w:val="Heading3"/>
    <w:basedOn w:val="1"/>
    <w:next w:val="1"/>
    <w:link w:val="227"/>
    <w:qFormat/>
    <w:uiPriority w:val="0"/>
    <w:pPr>
      <w:widowControl/>
      <w:spacing w:before="100" w:beforeAutospacing="1" w:after="100" w:afterAutospacing="1"/>
      <w:ind w:firstLine="560" w:firstLineChars="200"/>
      <w:jc w:val="left"/>
      <w:textAlignment w:val="baseline"/>
    </w:pPr>
    <w:rPr>
      <w:rFonts w:ascii="宋体" w:hAnsi="宋体" w:cs="宋体"/>
      <w:b/>
      <w:bCs/>
      <w:kern w:val="0"/>
      <w:sz w:val="27"/>
      <w:szCs w:val="27"/>
    </w:rPr>
  </w:style>
  <w:style w:type="character" w:customStyle="1" w:styleId="227">
    <w:name w:val="UserStyle_4"/>
    <w:link w:val="226"/>
    <w:qFormat/>
    <w:uiPriority w:val="0"/>
    <w:rPr>
      <w:rFonts w:ascii="宋体" w:hAnsi="宋体" w:eastAsia="宋体" w:cs="宋体"/>
      <w:b/>
      <w:bCs/>
      <w:kern w:val="0"/>
      <w:sz w:val="27"/>
      <w:szCs w:val="27"/>
    </w:rPr>
  </w:style>
  <w:style w:type="character" w:customStyle="1" w:styleId="228">
    <w:name w:val="样式 Char Char"/>
    <w:link w:val="121"/>
    <w:qFormat/>
    <w:locked/>
    <w:uiPriority w:val="0"/>
    <w:rPr>
      <w:rFonts w:ascii="宋体" w:hAnsi="宋体" w:eastAsia="宋体" w:cs="宋体"/>
      <w:kern w:val="0"/>
      <w:sz w:val="24"/>
      <w:szCs w:val="24"/>
    </w:rPr>
  </w:style>
  <w:style w:type="paragraph" w:customStyle="1" w:styleId="229">
    <w:name w:val="_Style 48"/>
    <w:basedOn w:val="1"/>
    <w:qFormat/>
    <w:uiPriority w:val="0"/>
    <w:pPr>
      <w:ind w:firstLine="420" w:firstLineChars="200"/>
    </w:pPr>
    <w:rPr>
      <w:rFonts w:ascii="宋体" w:hAnsi="宋体" w:cs="宋体"/>
      <w:sz w:val="28"/>
      <w:szCs w:val="28"/>
    </w:rPr>
  </w:style>
  <w:style w:type="character" w:customStyle="1" w:styleId="230">
    <w:name w:val="font61"/>
    <w:basedOn w:val="43"/>
    <w:qFormat/>
    <w:uiPriority w:val="0"/>
    <w:rPr>
      <w:rFonts w:hint="eastAsia" w:ascii="宋体" w:hAnsi="宋体" w:eastAsia="宋体" w:cs="宋体"/>
      <w:color w:val="000000"/>
      <w:sz w:val="18"/>
      <w:szCs w:val="18"/>
      <w:u w:val="none"/>
    </w:rPr>
  </w:style>
  <w:style w:type="character" w:customStyle="1" w:styleId="231">
    <w:name w:val="font91"/>
    <w:basedOn w:val="43"/>
    <w:qFormat/>
    <w:uiPriority w:val="0"/>
    <w:rPr>
      <w:rFonts w:hint="eastAsia" w:ascii="宋体" w:hAnsi="宋体" w:eastAsia="宋体" w:cs="宋体"/>
      <w:color w:val="000000"/>
      <w:sz w:val="18"/>
      <w:szCs w:val="18"/>
      <w:u w:val="none"/>
    </w:rPr>
  </w:style>
  <w:style w:type="character" w:customStyle="1" w:styleId="232">
    <w:name w:val="font41"/>
    <w:basedOn w:val="43"/>
    <w:qFormat/>
    <w:uiPriority w:val="0"/>
    <w:rPr>
      <w:rFonts w:hint="eastAsia" w:ascii="宋体" w:hAnsi="宋体" w:eastAsia="宋体" w:cs="宋体"/>
      <w:color w:val="000000"/>
      <w:sz w:val="21"/>
      <w:szCs w:val="21"/>
      <w:u w:val="none"/>
    </w:rPr>
  </w:style>
  <w:style w:type="character" w:customStyle="1" w:styleId="233">
    <w:name w:val="font31"/>
    <w:basedOn w:val="43"/>
    <w:qFormat/>
    <w:uiPriority w:val="0"/>
    <w:rPr>
      <w:rFonts w:hint="eastAsia" w:ascii="宋体" w:hAnsi="宋体" w:eastAsia="宋体" w:cs="宋体"/>
      <w:b/>
      <w:color w:val="000000"/>
      <w:sz w:val="18"/>
      <w:szCs w:val="18"/>
      <w:u w:val="none"/>
    </w:rPr>
  </w:style>
  <w:style w:type="character" w:customStyle="1" w:styleId="234">
    <w:name w:val="font101"/>
    <w:basedOn w:val="43"/>
    <w:qFormat/>
    <w:uiPriority w:val="0"/>
    <w:rPr>
      <w:rFonts w:hint="eastAsia" w:ascii="宋体" w:hAnsi="宋体" w:eastAsia="宋体" w:cs="宋体"/>
      <w:color w:val="FF0000"/>
      <w:sz w:val="18"/>
      <w:szCs w:val="18"/>
      <w:u w:val="none"/>
    </w:rPr>
  </w:style>
  <w:style w:type="character" w:customStyle="1" w:styleId="235">
    <w:name w:val="font51"/>
    <w:basedOn w:val="43"/>
    <w:qFormat/>
    <w:uiPriority w:val="0"/>
    <w:rPr>
      <w:rFonts w:ascii="Calibri" w:hAnsi="Calibri" w:cs="Calibri"/>
      <w:color w:val="000000"/>
      <w:sz w:val="21"/>
      <w:szCs w:val="21"/>
      <w:u w:val="none"/>
    </w:rPr>
  </w:style>
  <w:style w:type="paragraph" w:customStyle="1" w:styleId="236">
    <w:name w:val="Table Paragraph"/>
    <w:basedOn w:val="1"/>
    <w:qFormat/>
    <w:uiPriority w:val="1"/>
    <w:pPr>
      <w:ind w:firstLine="560" w:firstLineChars="200"/>
    </w:pPr>
    <w:rPr>
      <w:rFonts w:ascii="宋体" w:hAnsi="宋体" w:cs="宋体"/>
      <w:sz w:val="28"/>
      <w:szCs w:val="28"/>
      <w:lang w:val="zh-CN" w:bidi="zh-CN"/>
    </w:rPr>
  </w:style>
  <w:style w:type="table" w:customStyle="1" w:styleId="237">
    <w:name w:val="Table Normal"/>
    <w:semiHidden/>
    <w:unhideWhenUsed/>
    <w:qFormat/>
    <w:uiPriority w:val="2"/>
    <w:pPr>
      <w:widowControl w:val="0"/>
      <w:autoSpaceDE w:val="0"/>
      <w:autoSpaceDN w:val="0"/>
    </w:pPr>
    <w:rPr>
      <w:sz w:val="22"/>
      <w:lang w:eastAsia="en-US"/>
    </w:rPr>
    <w:tblPr>
      <w:tblLayout w:type="fixed"/>
      <w:tblCellMar>
        <w:top w:w="0" w:type="dxa"/>
        <w:left w:w="0" w:type="dxa"/>
        <w:bottom w:w="0" w:type="dxa"/>
        <w:right w:w="0" w:type="dxa"/>
      </w:tblCellMar>
    </w:tblPr>
  </w:style>
  <w:style w:type="character" w:customStyle="1" w:styleId="238">
    <w:name w:val="font21"/>
    <w:qFormat/>
    <w:uiPriority w:val="0"/>
    <w:rPr>
      <w:rFonts w:hint="eastAsia" w:ascii="宋体" w:hAnsi="宋体" w:eastAsia="宋体" w:cs="宋体"/>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0" Type="http://schemas.openxmlformats.org/officeDocument/2006/relationships/fontTable" Target="fontTable.xml"/><Relationship Id="rId4" Type="http://schemas.openxmlformats.org/officeDocument/2006/relationships/footer" Target="footer1.xml"/><Relationship Id="rId39" Type="http://schemas.openxmlformats.org/officeDocument/2006/relationships/customXml" Target="../customXml/item2.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53CBF1F-743E-425B-B379-3BBBDAC60C8B}">
  <ds:schemaRefs/>
</ds:datastoreItem>
</file>

<file path=docProps/app.xml><?xml version="1.0" encoding="utf-8"?>
<Properties xmlns="http://schemas.openxmlformats.org/officeDocument/2006/extended-properties" xmlns:vt="http://schemas.openxmlformats.org/officeDocument/2006/docPropsVTypes">
  <Template>Normal.dotm</Template>
  <Pages>145</Pages>
  <Words>9244</Words>
  <Characters>52692</Characters>
  <Lines>439</Lines>
  <Paragraphs>123</Paragraphs>
  <TotalTime>60</TotalTime>
  <ScaleCrop>false</ScaleCrop>
  <LinksUpToDate>false</LinksUpToDate>
  <CharactersWithSpaces>61813</CharactersWithSpaces>
  <Application>WPS Office_10.8.2.6837_F1E327BC-269C-435d-A152-05C5408002CA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2021-04-30T05:13:00Z</dcterms:created>
  <dc:creator>罗川</dc:creator>
  <cp:lastModifiedBy>刘欢</cp:lastModifiedBy>
  <cp:lastPrinted>2021-04-30T05:13:00Z</cp:lastPrinted>
  <dcterms:modified xsi:type="dcterms:W3CDTF">2021-06-07T08:54:43Z</dcterms:modified>
  <cp:revision>90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2052-10.8.2.6837</vt:lpwstr>
  </property>
</Properties>
</file>