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120"/>
          <w:szCs w:val="120"/>
        </w:rPr>
      </w:pPr>
      <w:r>
        <w:rPr>
          <w:rFonts w:hint="eastAsia" w:ascii="华文中宋" w:hAnsi="华文中宋" w:eastAsia="华文中宋"/>
          <w:spacing w:val="-20"/>
          <w:sz w:val="120"/>
          <w:szCs w:val="120"/>
        </w:rPr>
        <w:t>询价通知书</w:t>
      </w:r>
    </w:p>
    <w:p>
      <w:pPr>
        <w:spacing w:line="1000" w:lineRule="exact"/>
        <w:ind w:left="2630" w:leftChars="1" w:hanging="2628" w:hangingChars="657"/>
        <w:jc w:val="center"/>
        <w:rPr>
          <w:rFonts w:ascii="华文中宋" w:hAnsi="华文中宋" w:eastAsia="华文中宋"/>
          <w:spacing w:val="20"/>
          <w:sz w:val="36"/>
          <w:szCs w:val="30"/>
        </w:rPr>
      </w:pPr>
    </w:p>
    <w:p>
      <w:pPr>
        <w:spacing w:line="360" w:lineRule="auto"/>
        <w:ind w:left="2235" w:leftChars="223" w:hanging="1700" w:hangingChars="500"/>
        <w:rPr>
          <w:rFonts w:ascii="华文中宋" w:hAnsi="华文中宋" w:eastAsia="华文中宋"/>
          <w:spacing w:val="20"/>
          <w:sz w:val="30"/>
          <w:szCs w:val="30"/>
        </w:rPr>
      </w:pPr>
    </w:p>
    <w:p>
      <w:pPr>
        <w:spacing w:line="360" w:lineRule="auto"/>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rPr>
      </w:pPr>
      <w:r>
        <w:rPr>
          <w:rFonts w:hint="eastAsia" w:ascii="华文中宋" w:hAnsi="华文中宋" w:eastAsia="华文中宋"/>
          <w:sz w:val="32"/>
          <w:szCs w:val="32"/>
        </w:rPr>
        <w:t>项目名称：蒲江县气象局大气负氧离子自动监测系统</w:t>
      </w:r>
    </w:p>
    <w:p>
      <w:pPr>
        <w:spacing w:line="360" w:lineRule="auto"/>
        <w:ind w:firstLine="2560" w:firstLineChars="800"/>
        <w:rPr>
          <w:rFonts w:hint="eastAsia" w:ascii="华文中宋" w:hAnsi="华文中宋" w:eastAsia="华文中宋"/>
          <w:sz w:val="32"/>
          <w:szCs w:val="32"/>
        </w:rPr>
      </w:pPr>
      <w:r>
        <w:rPr>
          <w:rFonts w:hint="eastAsia" w:ascii="华文中宋" w:hAnsi="华文中宋" w:eastAsia="华文中宋"/>
          <w:sz w:val="32"/>
          <w:szCs w:val="32"/>
        </w:rPr>
        <w:t>采购项目（第二次）</w:t>
      </w:r>
    </w:p>
    <w:p>
      <w:pPr>
        <w:spacing w:line="360" w:lineRule="auto"/>
        <w:ind w:left="2223" w:leftChars="336" w:hanging="1417" w:hangingChars="443"/>
        <w:rPr>
          <w:rFonts w:hint="eastAsia" w:ascii="华文中宋" w:hAnsi="华文中宋" w:eastAsia="华文中宋"/>
          <w:sz w:val="32"/>
          <w:szCs w:val="32"/>
        </w:rPr>
      </w:pPr>
      <w:r>
        <w:rPr>
          <w:rFonts w:hint="eastAsia" w:ascii="华文中宋" w:hAnsi="华文中宋" w:eastAsia="华文中宋"/>
          <w:sz w:val="32"/>
          <w:szCs w:val="32"/>
        </w:rPr>
        <w:t>项目编号: 510131202100026</w:t>
      </w:r>
    </w:p>
    <w:p>
      <w:pPr>
        <w:spacing w:line="360" w:lineRule="auto"/>
        <w:ind w:left="2223" w:leftChars="336" w:hanging="1417" w:hangingChars="443"/>
        <w:rPr>
          <w:rFonts w:ascii="华文中宋" w:hAnsi="华文中宋" w:eastAsia="华文中宋"/>
          <w:sz w:val="32"/>
          <w:szCs w:val="32"/>
        </w:rPr>
      </w:pP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ind w:firstLine="3520" w:firstLineChars="1100"/>
        <w:jc w:val="both"/>
        <w:rPr>
          <w:rFonts w:ascii="华文中宋" w:hAnsi="华文中宋" w:eastAsia="华文中宋"/>
          <w:sz w:val="32"/>
          <w:szCs w:val="32"/>
        </w:rPr>
      </w:pPr>
      <w:r>
        <w:rPr>
          <w:rFonts w:hint="eastAsia" w:ascii="华文中宋" w:hAnsi="华文中宋" w:eastAsia="华文中宋"/>
          <w:sz w:val="32"/>
          <w:szCs w:val="32"/>
        </w:rPr>
        <w:t>蒲江县气象局</w:t>
      </w:r>
    </w:p>
    <w:p>
      <w:pPr>
        <w:spacing w:line="360" w:lineRule="auto"/>
        <w:jc w:val="center"/>
        <w:rPr>
          <w:rFonts w:ascii="华文中宋" w:hAnsi="华文中宋" w:eastAsia="华文中宋"/>
          <w:sz w:val="32"/>
          <w:szCs w:val="32"/>
        </w:rPr>
      </w:pPr>
      <w:r>
        <w:rPr>
          <w:rFonts w:hint="eastAsia" w:ascii="华文中宋" w:hAnsi="华文中宋" w:eastAsia="华文中宋"/>
          <w:color w:val="000000"/>
          <w:sz w:val="32"/>
          <w:szCs w:val="32"/>
        </w:rPr>
        <w:t>蒲江县公共资源交易服务中心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华文中宋" w:hAnsi="华文中宋" w:eastAsia="华文中宋"/>
          <w:bCs/>
          <w:sz w:val="36"/>
          <w:szCs w:val="36"/>
        </w:rPr>
      </w:pPr>
      <w:r>
        <w:rPr>
          <w:rFonts w:hint="eastAsia" w:ascii="华文中宋" w:hAnsi="华文中宋" w:eastAsia="华文中宋"/>
          <w:bCs/>
          <w:sz w:val="36"/>
          <w:szCs w:val="36"/>
        </w:rPr>
        <w:t>二○二一年</w:t>
      </w:r>
      <w:r>
        <w:rPr>
          <w:rFonts w:hint="eastAsia" w:ascii="华文中宋" w:hAnsi="华文中宋" w:eastAsia="华文中宋"/>
          <w:bCs/>
          <w:sz w:val="36"/>
          <w:szCs w:val="36"/>
          <w:lang w:eastAsia="zh-CN"/>
        </w:rPr>
        <w:t>六</w:t>
      </w:r>
      <w:r>
        <w:rPr>
          <w:rFonts w:hint="eastAsia" w:ascii="华文中宋" w:hAnsi="华文中宋" w:eastAsia="华文中宋"/>
          <w:bCs/>
          <w:sz w:val="36"/>
          <w:szCs w:val="36"/>
        </w:rPr>
        <w:t>月</w:t>
      </w:r>
    </w:p>
    <w:p>
      <w:pPr>
        <w:tabs>
          <w:tab w:val="center" w:pos="4153"/>
          <w:tab w:val="right" w:pos="8306"/>
        </w:tabs>
        <w:spacing w:line="360" w:lineRule="auto"/>
        <w:jc w:val="center"/>
        <w:rPr>
          <w:rFonts w:ascii="宋体" w:hAnsi="宋体"/>
          <w:b/>
          <w:bCs/>
          <w:sz w:val="36"/>
          <w:szCs w:val="36"/>
        </w:rPr>
      </w:pPr>
      <w:r>
        <w:rPr>
          <w:rFonts w:ascii="华文中宋" w:hAnsi="华文中宋" w:eastAsia="华文中宋"/>
          <w:bCs/>
          <w:sz w:val="36"/>
          <w:szCs w:val="36"/>
        </w:rPr>
        <w:br w:type="page"/>
      </w:r>
      <w:r>
        <w:rPr>
          <w:rFonts w:hint="eastAsia" w:ascii="宋体" w:hAnsi="宋体"/>
          <w:b/>
          <w:bCs/>
          <w:sz w:val="36"/>
          <w:szCs w:val="36"/>
        </w:rPr>
        <w:t>目 录</w:t>
      </w:r>
    </w:p>
    <w:p>
      <w:pPr>
        <w:pStyle w:val="31"/>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"_Toc75159539" </w:instrText>
      </w:r>
      <w:r>
        <w:fldChar w:fldCharType="separate"/>
      </w:r>
      <w:r>
        <w:rPr>
          <w:rStyle w:val="55"/>
        </w:rPr>
        <w:t>第1章</w:t>
      </w:r>
      <w:r>
        <w:rPr>
          <w:rFonts w:asciiTheme="minorHAnsi" w:hAnsiTheme="minorHAnsi" w:eastAsiaTheme="minorEastAsia" w:cstheme="minorBidi"/>
          <w:b w:val="0"/>
          <w:bCs w:val="0"/>
          <w:caps w:val="0"/>
          <w:kern w:val="2"/>
          <w:sz w:val="21"/>
          <w:szCs w:val="22"/>
        </w:rPr>
        <w:tab/>
      </w:r>
      <w:r>
        <w:rPr>
          <w:rStyle w:val="55"/>
        </w:rPr>
        <w:t>询价邀请</w:t>
      </w:r>
      <w:r>
        <w:tab/>
      </w:r>
      <w:r>
        <w:fldChar w:fldCharType="begin"/>
      </w:r>
      <w:r>
        <w:instrText xml:space="preserve"> PAGEREF _Toc75159539 \h </w:instrText>
      </w:r>
      <w:r>
        <w:fldChar w:fldCharType="separate"/>
      </w:r>
      <w:r>
        <w:t>4</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"_Toc75159540" </w:instrText>
      </w:r>
      <w:r>
        <w:fldChar w:fldCharType="separate"/>
      </w:r>
      <w:r>
        <w:rPr>
          <w:rStyle w:val="55"/>
        </w:rPr>
        <w:t>第2章</w:t>
      </w:r>
      <w:r>
        <w:rPr>
          <w:rFonts w:asciiTheme="minorHAnsi" w:hAnsiTheme="minorHAnsi" w:eastAsiaTheme="minorEastAsia" w:cstheme="minorBidi"/>
          <w:b w:val="0"/>
          <w:bCs w:val="0"/>
          <w:caps w:val="0"/>
          <w:kern w:val="2"/>
          <w:sz w:val="21"/>
          <w:szCs w:val="22"/>
        </w:rPr>
        <w:tab/>
      </w:r>
      <w:r>
        <w:rPr>
          <w:rStyle w:val="55"/>
        </w:rPr>
        <w:t>供应商须知</w:t>
      </w:r>
      <w:r>
        <w:tab/>
      </w:r>
      <w:r>
        <w:fldChar w:fldCharType="begin"/>
      </w:r>
      <w:r>
        <w:instrText xml:space="preserve"> PAGEREF _Toc75159540 \h </w:instrText>
      </w:r>
      <w:r>
        <w:fldChar w:fldCharType="separate"/>
      </w:r>
      <w:r>
        <w:t>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"_Toc75159541" </w:instrText>
      </w:r>
      <w:r>
        <w:fldChar w:fldCharType="separate"/>
      </w:r>
      <w:r>
        <w:rPr>
          <w:rStyle w:val="55"/>
        </w:rPr>
        <w:t>2.1 供应商须知前附表</w:t>
      </w:r>
      <w:r>
        <w:tab/>
      </w:r>
      <w:r>
        <w:fldChar w:fldCharType="begin"/>
      </w:r>
      <w:r>
        <w:instrText xml:space="preserve"> PAGEREF _Toc75159541 \h </w:instrText>
      </w:r>
      <w:r>
        <w:fldChar w:fldCharType="separate"/>
      </w:r>
      <w:r>
        <w:t>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"_Toc75159542" </w:instrText>
      </w:r>
      <w:r>
        <w:fldChar w:fldCharType="separate"/>
      </w:r>
      <w:r>
        <w:rPr>
          <w:rStyle w:val="55"/>
        </w:rPr>
        <w:t>2.2 总则</w:t>
      </w:r>
      <w:r>
        <w:tab/>
      </w:r>
      <w:r>
        <w:fldChar w:fldCharType="begin"/>
      </w:r>
      <w:r>
        <w:instrText xml:space="preserve"> PAGEREF _Toc75159542 \h </w:instrText>
      </w:r>
      <w:r>
        <w:fldChar w:fldCharType="separate"/>
      </w:r>
      <w:r>
        <w:t>11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"_Toc75159543" </w:instrText>
      </w:r>
      <w:r>
        <w:fldChar w:fldCharType="separate"/>
      </w:r>
      <w:r>
        <w:rPr>
          <w:rStyle w:val="55"/>
        </w:rPr>
        <w:t>2.3 询价通知书</w:t>
      </w:r>
      <w:r>
        <w:tab/>
      </w:r>
      <w:r>
        <w:fldChar w:fldCharType="begin"/>
      </w:r>
      <w:r>
        <w:instrText xml:space="preserve"> PAGEREF _Toc75159543 \h </w:instrText>
      </w:r>
      <w:r>
        <w:fldChar w:fldCharType="separate"/>
      </w:r>
      <w:r>
        <w:t>13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"_Toc75159544" </w:instrText>
      </w:r>
      <w:r>
        <w:fldChar w:fldCharType="separate"/>
      </w:r>
      <w:r>
        <w:rPr>
          <w:rStyle w:val="55"/>
        </w:rPr>
        <w:t>2.4 响应文件</w:t>
      </w:r>
      <w:r>
        <w:tab/>
      </w:r>
      <w:r>
        <w:fldChar w:fldCharType="begin"/>
      </w:r>
      <w:r>
        <w:instrText xml:space="preserve"> PAGEREF _Toc75159544 \h </w:instrText>
      </w:r>
      <w:r>
        <w:fldChar w:fldCharType="separate"/>
      </w:r>
      <w:r>
        <w:t>14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"_Toc75159545" </w:instrText>
      </w:r>
      <w:r>
        <w:fldChar w:fldCharType="separate"/>
      </w:r>
      <w:r>
        <w:rPr>
          <w:rStyle w:val="55"/>
        </w:rPr>
        <w:t>2.5 开标及开标程序</w:t>
      </w:r>
      <w:r>
        <w:tab/>
      </w:r>
      <w:r>
        <w:fldChar w:fldCharType="begin"/>
      </w:r>
      <w:r>
        <w:instrText xml:space="preserve"> PAGEREF _Toc75159545 \h </w:instrText>
      </w:r>
      <w:r>
        <w:fldChar w:fldCharType="separate"/>
      </w:r>
      <w:r>
        <w:t>20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"_Toc75159546" </w:instrText>
      </w:r>
      <w:r>
        <w:fldChar w:fldCharType="separate"/>
      </w:r>
      <w:r>
        <w:rPr>
          <w:rStyle w:val="55"/>
        </w:rPr>
        <w:t>2.6 成交通知书</w:t>
      </w:r>
      <w:r>
        <w:tab/>
      </w:r>
      <w:r>
        <w:fldChar w:fldCharType="begin"/>
      </w:r>
      <w:r>
        <w:instrText xml:space="preserve"> PAGEREF _Toc75159546 \h </w:instrText>
      </w:r>
      <w:r>
        <w:fldChar w:fldCharType="separate"/>
      </w:r>
      <w:r>
        <w:t>21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"_Toc75159547" </w:instrText>
      </w:r>
      <w:r>
        <w:fldChar w:fldCharType="separate"/>
      </w:r>
      <w:r>
        <w:rPr>
          <w:rStyle w:val="55"/>
        </w:rPr>
        <w:t>2.7 签订及履行合同和验收</w:t>
      </w:r>
      <w:r>
        <w:tab/>
      </w:r>
      <w:r>
        <w:fldChar w:fldCharType="begin"/>
      </w:r>
      <w:r>
        <w:instrText xml:space="preserve"> PAGEREF _Toc75159547 \h </w:instrText>
      </w:r>
      <w:r>
        <w:fldChar w:fldCharType="separate"/>
      </w:r>
      <w:r>
        <w:t>22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"_Toc75159548" </w:instrText>
      </w:r>
      <w:r>
        <w:fldChar w:fldCharType="separate"/>
      </w:r>
      <w:r>
        <w:rPr>
          <w:rStyle w:val="55"/>
        </w:rPr>
        <w:t>2.8 询价采购工作纪律及要求</w:t>
      </w:r>
      <w:r>
        <w:tab/>
      </w:r>
      <w:r>
        <w:fldChar w:fldCharType="begin"/>
      </w:r>
      <w:r>
        <w:instrText xml:space="preserve"> PAGEREF _Toc75159548 \h </w:instrText>
      </w:r>
      <w:r>
        <w:fldChar w:fldCharType="separate"/>
      </w:r>
      <w:r>
        <w:t>24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"_Toc75159549" </w:instrText>
      </w:r>
      <w:r>
        <w:fldChar w:fldCharType="separate"/>
      </w:r>
      <w:r>
        <w:rPr>
          <w:rStyle w:val="55"/>
        </w:rPr>
        <w:t>2.9 询问、质疑和投诉</w:t>
      </w:r>
      <w:r>
        <w:tab/>
      </w:r>
      <w:r>
        <w:fldChar w:fldCharType="begin"/>
      </w:r>
      <w:r>
        <w:instrText xml:space="preserve"> PAGEREF _Toc75159549 \h </w:instrText>
      </w:r>
      <w:r>
        <w:fldChar w:fldCharType="separate"/>
      </w:r>
      <w:r>
        <w:t>26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"_Toc75159550" </w:instrText>
      </w:r>
      <w:r>
        <w:fldChar w:fldCharType="separate"/>
      </w:r>
      <w:r>
        <w:rPr>
          <w:rStyle w:val="55"/>
        </w:rPr>
        <w:t>2.10 中小企业政府采购信用融资</w:t>
      </w:r>
      <w:r>
        <w:tab/>
      </w:r>
      <w:r>
        <w:fldChar w:fldCharType="begin"/>
      </w:r>
      <w:r>
        <w:instrText xml:space="preserve"> PAGEREF _Toc75159550 \h </w:instrText>
      </w:r>
      <w:r>
        <w:fldChar w:fldCharType="separate"/>
      </w:r>
      <w:r>
        <w:t>28</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"_Toc75159551" </w:instrText>
      </w:r>
      <w:r>
        <w:fldChar w:fldCharType="separate"/>
      </w:r>
      <w:r>
        <w:rPr>
          <w:rStyle w:val="55"/>
        </w:rPr>
        <w:t>第3章</w:t>
      </w:r>
      <w:r>
        <w:rPr>
          <w:rFonts w:asciiTheme="minorHAnsi" w:hAnsiTheme="minorHAnsi" w:eastAsiaTheme="minorEastAsia" w:cstheme="minorBidi"/>
          <w:b w:val="0"/>
          <w:bCs w:val="0"/>
          <w:caps w:val="0"/>
          <w:kern w:val="2"/>
          <w:sz w:val="21"/>
          <w:szCs w:val="22"/>
        </w:rPr>
        <w:tab/>
      </w:r>
      <w:r>
        <w:rPr>
          <w:rStyle w:val="55"/>
        </w:rPr>
        <w:t>响应文件格式</w:t>
      </w:r>
      <w:r>
        <w:tab/>
      </w:r>
      <w:r>
        <w:fldChar w:fldCharType="begin"/>
      </w:r>
      <w:r>
        <w:instrText xml:space="preserve"> PAGEREF _Toc75159551 \h </w:instrText>
      </w:r>
      <w:r>
        <w:fldChar w:fldCharType="separate"/>
      </w:r>
      <w:r>
        <w:t>29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"_Toc75159552" </w:instrText>
      </w:r>
      <w:r>
        <w:fldChar w:fldCharType="separate"/>
      </w:r>
      <w:r>
        <w:rPr>
          <w:rStyle w:val="55"/>
        </w:rPr>
        <w:t>3.1 响应文件格式</w:t>
      </w:r>
      <w:r>
        <w:tab/>
      </w:r>
      <w:r>
        <w:fldChar w:fldCharType="begin"/>
      </w:r>
      <w:r>
        <w:instrText xml:space="preserve"> PAGEREF _Toc75159552 \h </w:instrText>
      </w:r>
      <w:r>
        <w:fldChar w:fldCharType="separate"/>
      </w:r>
      <w:r>
        <w:t>29</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"_Toc75159553" </w:instrText>
      </w:r>
      <w:r>
        <w:fldChar w:fldCharType="separate"/>
      </w:r>
      <w:r>
        <w:rPr>
          <w:rStyle w:val="55"/>
          <w:rFonts w:ascii="宋体" w:hAnsi="宋体" w:cs="宋体"/>
        </w:rPr>
        <w:t>监狱企业生产的产品</w:t>
      </w:r>
      <w:r>
        <w:rPr>
          <w:rStyle w:val="55"/>
          <w:rFonts w:ascii="宋体" w:hAnsi="宋体"/>
        </w:rPr>
        <w:t>总价合计：XXXXXXXXXXXXX元</w:t>
      </w:r>
      <w:r>
        <w:tab/>
      </w:r>
      <w:r>
        <w:fldChar w:fldCharType="begin"/>
      </w:r>
      <w:r>
        <w:instrText xml:space="preserve"> PAGEREF _Toc75159553 \h </w:instrText>
      </w:r>
      <w:r>
        <w:fldChar w:fldCharType="separate"/>
      </w:r>
      <w:r>
        <w:rPr>
          <w:b/>
        </w:rPr>
        <w:t>错误！未定义书签。</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"_Toc75159554" </w:instrText>
      </w:r>
      <w:r>
        <w:fldChar w:fldCharType="separate"/>
      </w:r>
      <w:r>
        <w:rPr>
          <w:rStyle w:val="55"/>
          <w:rFonts w:ascii="宋体" w:hAnsi="宋体" w:cs="宋体"/>
        </w:rPr>
        <w:t>残疾人福利性单位生产的产品总价合计</w:t>
      </w:r>
      <w:r>
        <w:rPr>
          <w:rStyle w:val="55"/>
          <w:rFonts w:ascii="宋体" w:hAnsi="宋体"/>
        </w:rPr>
        <w:t>：XXXXXXXXXXXXX元</w:t>
      </w:r>
      <w:r>
        <w:tab/>
      </w:r>
      <w:r>
        <w:fldChar w:fldCharType="begin"/>
      </w:r>
      <w:r>
        <w:instrText xml:space="preserve"> PAGEREF _Toc75159554 \h </w:instrText>
      </w:r>
      <w:r>
        <w:fldChar w:fldCharType="separate"/>
      </w:r>
      <w:r>
        <w:rPr>
          <w:b/>
        </w:rPr>
        <w:t>错误！未定义书签。</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"_Toc75159555" </w:instrText>
      </w:r>
      <w:r>
        <w:fldChar w:fldCharType="separate"/>
      </w:r>
      <w:r>
        <w:rPr>
          <w:rStyle w:val="55"/>
        </w:rPr>
        <w:t>第4章</w:t>
      </w:r>
      <w:r>
        <w:rPr>
          <w:rFonts w:asciiTheme="minorHAnsi" w:hAnsiTheme="minorHAnsi" w:eastAsiaTheme="minorEastAsia" w:cstheme="minorBidi"/>
          <w:b w:val="0"/>
          <w:bCs w:val="0"/>
          <w:caps w:val="0"/>
          <w:kern w:val="2"/>
          <w:sz w:val="21"/>
          <w:szCs w:val="22"/>
        </w:rPr>
        <w:tab/>
      </w:r>
      <w:r>
        <w:rPr>
          <w:rStyle w:val="55"/>
        </w:rPr>
        <w:t>技术、服务、商务及其他要求</w:t>
      </w:r>
      <w:r>
        <w:tab/>
      </w:r>
      <w:r>
        <w:fldChar w:fldCharType="begin"/>
      </w:r>
      <w:r>
        <w:instrText xml:space="preserve"> PAGEREF _Toc75159555 \h </w:instrText>
      </w:r>
      <w:r>
        <w:fldChar w:fldCharType="separate"/>
      </w:r>
      <w:r>
        <w:t>43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"_Toc75159556" </w:instrText>
      </w:r>
      <w:r>
        <w:fldChar w:fldCharType="separate"/>
      </w:r>
      <w:r>
        <w:rPr>
          <w:rStyle w:val="55"/>
        </w:rPr>
        <w:t>4.1 项目概况</w:t>
      </w:r>
      <w:r>
        <w:tab/>
      </w:r>
      <w:r>
        <w:fldChar w:fldCharType="begin"/>
      </w:r>
      <w:r>
        <w:instrText xml:space="preserve"> PAGEREF _Toc75159556 \h </w:instrText>
      </w:r>
      <w:r>
        <w:fldChar w:fldCharType="separate"/>
      </w:r>
      <w:r>
        <w:t>43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"_Toc75159557" </w:instrText>
      </w:r>
      <w:r>
        <w:fldChar w:fldCharType="separate"/>
      </w:r>
      <w:r>
        <w:rPr>
          <w:rStyle w:val="55"/>
        </w:rPr>
        <w:t>4.2 技术参数及要求</w:t>
      </w:r>
      <w:r>
        <w:tab/>
      </w:r>
      <w:r>
        <w:fldChar w:fldCharType="begin"/>
      </w:r>
      <w:r>
        <w:instrText xml:space="preserve"> PAGEREF _Toc75159557 \h </w:instrText>
      </w:r>
      <w:r>
        <w:fldChar w:fldCharType="separate"/>
      </w:r>
      <w:r>
        <w:t>43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"_Toc75159558" </w:instrText>
      </w:r>
      <w:r>
        <w:fldChar w:fldCharType="separate"/>
      </w:r>
      <w:r>
        <w:rPr>
          <w:rStyle w:val="55"/>
        </w:rPr>
        <w:t>4.3 核心产品</w:t>
      </w:r>
      <w:r>
        <w:tab/>
      </w:r>
      <w:r>
        <w:fldChar w:fldCharType="begin"/>
      </w:r>
      <w:r>
        <w:instrText xml:space="preserve"> PAGEREF _Toc75159558 \h </w:instrText>
      </w:r>
      <w:r>
        <w:fldChar w:fldCharType="separate"/>
      </w:r>
      <w:r>
        <w:t>48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"_Toc75159568" </w:instrText>
      </w:r>
      <w:r>
        <w:fldChar w:fldCharType="separate"/>
      </w:r>
      <w:r>
        <w:rPr>
          <w:rStyle w:val="55"/>
        </w:rPr>
        <w:t>4.</w:t>
      </w:r>
      <w:r>
        <w:rPr>
          <w:rStyle w:val="55"/>
          <w:rFonts w:hint="eastAsia"/>
          <w:lang w:val="en-US" w:eastAsia="zh-CN"/>
        </w:rPr>
        <w:t>4</w:t>
      </w:r>
      <w:r>
        <w:rPr>
          <w:rStyle w:val="55"/>
        </w:rPr>
        <w:t xml:space="preserve"> 报价要求</w:t>
      </w:r>
      <w:r>
        <w:tab/>
      </w:r>
      <w:r>
        <w:fldChar w:fldCharType="begin"/>
      </w:r>
      <w:r>
        <w:instrText xml:space="preserve"> PAGEREF _Toc75159568 \h </w:instrText>
      </w:r>
      <w:r>
        <w:fldChar w:fldCharType="separate"/>
      </w:r>
      <w:r>
        <w:t>51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"_Toc75159569" </w:instrText>
      </w:r>
      <w:r>
        <w:fldChar w:fldCharType="separate"/>
      </w:r>
      <w:r>
        <w:rPr>
          <w:rStyle w:val="55"/>
        </w:rPr>
        <w:t>4.</w:t>
      </w:r>
      <w:r>
        <w:rPr>
          <w:rStyle w:val="55"/>
          <w:rFonts w:hint="eastAsia"/>
          <w:lang w:val="en-US" w:eastAsia="zh-CN"/>
        </w:rPr>
        <w:t>5</w:t>
      </w:r>
      <w:r>
        <w:rPr>
          <w:rStyle w:val="55"/>
        </w:rPr>
        <w:t>满足采购需求的最低要求</w:t>
      </w:r>
      <w:r>
        <w:tab/>
      </w:r>
      <w:r>
        <w:fldChar w:fldCharType="begin"/>
      </w:r>
      <w:r>
        <w:instrText xml:space="preserve"> PAGEREF _Toc75159569 \h </w:instrText>
      </w:r>
      <w:r>
        <w:fldChar w:fldCharType="separate"/>
      </w:r>
      <w:r>
        <w:t>53</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"_Toc75159570" </w:instrText>
      </w:r>
      <w:r>
        <w:fldChar w:fldCharType="separate"/>
      </w:r>
      <w:r>
        <w:rPr>
          <w:rStyle w:val="55"/>
        </w:rPr>
        <w:t>第5章</w:t>
      </w:r>
      <w:r>
        <w:rPr>
          <w:rFonts w:asciiTheme="minorHAnsi" w:hAnsiTheme="minorHAnsi" w:eastAsiaTheme="minorEastAsia" w:cstheme="minorBidi"/>
          <w:b w:val="0"/>
          <w:bCs w:val="0"/>
          <w:caps w:val="0"/>
          <w:kern w:val="2"/>
          <w:sz w:val="21"/>
          <w:szCs w:val="22"/>
        </w:rPr>
        <w:tab/>
      </w:r>
      <w:r>
        <w:rPr>
          <w:rStyle w:val="55"/>
        </w:rPr>
        <w:t>询价办法</w:t>
      </w:r>
      <w:r>
        <w:tab/>
      </w:r>
      <w:r>
        <w:fldChar w:fldCharType="begin"/>
      </w:r>
      <w:r>
        <w:instrText xml:space="preserve"> PAGEREF _Toc75159570 \h </w:instrText>
      </w:r>
      <w:r>
        <w:fldChar w:fldCharType="separate"/>
      </w:r>
      <w:r>
        <w:t>54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"_Toc75159571" </w:instrText>
      </w:r>
      <w:r>
        <w:fldChar w:fldCharType="separate"/>
      </w:r>
      <w:r>
        <w:rPr>
          <w:rStyle w:val="55"/>
        </w:rPr>
        <w:t>5.1 总则</w:t>
      </w:r>
      <w:r>
        <w:tab/>
      </w:r>
      <w:r>
        <w:fldChar w:fldCharType="begin"/>
      </w:r>
      <w:r>
        <w:instrText xml:space="preserve"> PAGEREF _Toc75159571 \h </w:instrText>
      </w:r>
      <w:r>
        <w:fldChar w:fldCharType="separate"/>
      </w:r>
      <w:r>
        <w:t>54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"_Toc75159572" </w:instrText>
      </w:r>
      <w:r>
        <w:fldChar w:fldCharType="separate"/>
      </w:r>
      <w:r>
        <w:rPr>
          <w:rStyle w:val="55"/>
        </w:rPr>
        <w:t>5.2 询价采购活动程序</w:t>
      </w:r>
      <w:r>
        <w:tab/>
      </w:r>
      <w:r>
        <w:fldChar w:fldCharType="begin"/>
      </w:r>
      <w:r>
        <w:instrText xml:space="preserve"> PAGEREF _Toc75159572 \h </w:instrText>
      </w:r>
      <w:r>
        <w:fldChar w:fldCharType="separate"/>
      </w:r>
      <w:r>
        <w:t>55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"_Toc75159573" </w:instrText>
      </w:r>
      <w:r>
        <w:fldChar w:fldCharType="separate"/>
      </w:r>
      <w:r>
        <w:rPr>
          <w:rStyle w:val="55"/>
        </w:rPr>
        <w:t>5.2.1 递交响应文件</w:t>
      </w:r>
      <w:r>
        <w:tab/>
      </w:r>
      <w:r>
        <w:fldChar w:fldCharType="begin"/>
      </w:r>
      <w:r>
        <w:instrText xml:space="preserve"> PAGEREF _Toc75159573 \h </w:instrText>
      </w:r>
      <w:r>
        <w:fldChar w:fldCharType="separate"/>
      </w:r>
      <w:r>
        <w:t>55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"_Toc75159574" </w:instrText>
      </w:r>
      <w:r>
        <w:fldChar w:fldCharType="separate"/>
      </w:r>
      <w:r>
        <w:rPr>
          <w:rStyle w:val="55"/>
        </w:rPr>
        <w:t>5.2.2 确定邀请参加询价采购活动的供应商数量</w:t>
      </w:r>
      <w:r>
        <w:tab/>
      </w:r>
      <w:r>
        <w:fldChar w:fldCharType="begin"/>
      </w:r>
      <w:r>
        <w:instrText xml:space="preserve"> PAGEREF _Toc75159574 \h </w:instrText>
      </w:r>
      <w:r>
        <w:fldChar w:fldCharType="separate"/>
      </w:r>
      <w:r>
        <w:t>55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"_Toc75159575" </w:instrText>
      </w:r>
      <w:r>
        <w:fldChar w:fldCharType="separate"/>
      </w:r>
      <w:r>
        <w:rPr>
          <w:rStyle w:val="55"/>
        </w:rPr>
        <w:t>5.2.3 成立询价小组</w:t>
      </w:r>
      <w:r>
        <w:tab/>
      </w:r>
      <w:r>
        <w:fldChar w:fldCharType="begin"/>
      </w:r>
      <w:r>
        <w:instrText xml:space="preserve"> PAGEREF _Toc75159575 \h </w:instrText>
      </w:r>
      <w:r>
        <w:fldChar w:fldCharType="separate"/>
      </w:r>
      <w:r>
        <w:t>56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"_Toc75159576" </w:instrText>
      </w:r>
      <w:r>
        <w:fldChar w:fldCharType="separate"/>
      </w:r>
      <w:r>
        <w:rPr>
          <w:rStyle w:val="55"/>
        </w:rPr>
        <w:t>5.2.4 资格审查</w:t>
      </w:r>
      <w:r>
        <w:tab/>
      </w:r>
      <w:r>
        <w:fldChar w:fldCharType="begin"/>
      </w:r>
      <w:r>
        <w:instrText xml:space="preserve"> PAGEREF _Toc75159576 \h </w:instrText>
      </w:r>
      <w:r>
        <w:fldChar w:fldCharType="separate"/>
      </w:r>
      <w:r>
        <w:t>56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"_Toc75159577" </w:instrText>
      </w:r>
      <w:r>
        <w:fldChar w:fldCharType="separate"/>
      </w:r>
      <w:r>
        <w:rPr>
          <w:rStyle w:val="55"/>
        </w:rPr>
        <w:t>5.2.5 符合性审查</w:t>
      </w:r>
      <w:r>
        <w:tab/>
      </w:r>
      <w:r>
        <w:fldChar w:fldCharType="begin"/>
      </w:r>
      <w:r>
        <w:instrText xml:space="preserve"> PAGEREF _Toc75159577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"_Toc75159578" </w:instrText>
      </w:r>
      <w:r>
        <w:fldChar w:fldCharType="separate"/>
      </w:r>
      <w:r>
        <w:rPr>
          <w:rStyle w:val="55"/>
        </w:rPr>
        <w:t>5.2.6 报价及报价审查</w:t>
      </w:r>
      <w:r>
        <w:tab/>
      </w:r>
      <w:r>
        <w:fldChar w:fldCharType="begin"/>
      </w:r>
      <w:r>
        <w:instrText xml:space="preserve"> PAGEREF _Toc75159578 \h </w:instrText>
      </w:r>
      <w:r>
        <w:fldChar w:fldCharType="separate"/>
      </w:r>
      <w:r>
        <w:t>62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"_Toc75159579" </w:instrText>
      </w:r>
      <w:r>
        <w:fldChar w:fldCharType="separate"/>
      </w:r>
      <w:r>
        <w:rPr>
          <w:rStyle w:val="55"/>
        </w:rPr>
        <w:t>5.2.7 解释、澄清、说明的有关问题</w:t>
      </w:r>
      <w:r>
        <w:tab/>
      </w:r>
      <w:r>
        <w:fldChar w:fldCharType="begin"/>
      </w:r>
      <w:r>
        <w:instrText xml:space="preserve"> PAGEREF _Toc75159579 \h </w:instrText>
      </w:r>
      <w:r>
        <w:fldChar w:fldCharType="separate"/>
      </w:r>
      <w:r>
        <w:t>63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"_Toc75159580" </w:instrText>
      </w:r>
      <w:r>
        <w:fldChar w:fldCharType="separate"/>
      </w:r>
      <w:r>
        <w:rPr>
          <w:rStyle w:val="55"/>
        </w:rPr>
        <w:t>5.2.8 比较与评价</w:t>
      </w:r>
      <w:r>
        <w:tab/>
      </w:r>
      <w:r>
        <w:fldChar w:fldCharType="begin"/>
      </w:r>
      <w:r>
        <w:instrText xml:space="preserve"> PAGEREF _Toc75159580 \h </w:instrText>
      </w:r>
      <w:r>
        <w:fldChar w:fldCharType="separate"/>
      </w:r>
      <w:r>
        <w:t>64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"_Toc75159581" </w:instrText>
      </w:r>
      <w:r>
        <w:fldChar w:fldCharType="separate"/>
      </w:r>
      <w:r>
        <w:rPr>
          <w:rStyle w:val="55"/>
        </w:rPr>
        <w:t>5.2.9 询价小组复核</w:t>
      </w:r>
      <w:r>
        <w:tab/>
      </w:r>
      <w:r>
        <w:fldChar w:fldCharType="begin"/>
      </w:r>
      <w:r>
        <w:instrText xml:space="preserve"> PAGEREF _Toc75159581 \h </w:instrText>
      </w:r>
      <w:r>
        <w:fldChar w:fldCharType="separate"/>
      </w:r>
      <w:r>
        <w:t>64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"_Toc75159582" </w:instrText>
      </w:r>
      <w:r>
        <w:fldChar w:fldCharType="separate"/>
      </w:r>
      <w:r>
        <w:rPr>
          <w:rStyle w:val="55"/>
        </w:rPr>
        <w:t>5.2.10 推荐成交候选供应商</w:t>
      </w:r>
      <w:r>
        <w:tab/>
      </w:r>
      <w:r>
        <w:fldChar w:fldCharType="begin"/>
      </w:r>
      <w:r>
        <w:instrText xml:space="preserve"> PAGEREF _Toc75159582 \h </w:instrText>
      </w:r>
      <w:r>
        <w:fldChar w:fldCharType="separate"/>
      </w:r>
      <w:r>
        <w:t>65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"_Toc75159583" </w:instrText>
      </w:r>
      <w:r>
        <w:fldChar w:fldCharType="separate"/>
      </w:r>
      <w:r>
        <w:rPr>
          <w:rStyle w:val="55"/>
        </w:rPr>
        <w:t>5.2.11 编写评审报告</w:t>
      </w:r>
      <w:r>
        <w:tab/>
      </w:r>
      <w:r>
        <w:fldChar w:fldCharType="begin"/>
      </w:r>
      <w:r>
        <w:instrText xml:space="preserve"> PAGEREF _Toc75159583 \h </w:instrText>
      </w:r>
      <w:r>
        <w:fldChar w:fldCharType="separate"/>
      </w:r>
      <w:r>
        <w:t>65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"_Toc75159584" </w:instrText>
      </w:r>
      <w:r>
        <w:fldChar w:fldCharType="separate"/>
      </w:r>
      <w:r>
        <w:rPr>
          <w:rStyle w:val="55"/>
        </w:rPr>
        <w:t>5.3 争议处理规则</w:t>
      </w:r>
      <w:r>
        <w:tab/>
      </w:r>
      <w:r>
        <w:fldChar w:fldCharType="begin"/>
      </w:r>
      <w:r>
        <w:instrText xml:space="preserve"> PAGEREF _Toc75159584 \h </w:instrText>
      </w:r>
      <w:r>
        <w:fldChar w:fldCharType="separate"/>
      </w:r>
      <w:r>
        <w:t>66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"_Toc75159585" </w:instrText>
      </w:r>
      <w:r>
        <w:fldChar w:fldCharType="separate"/>
      </w:r>
      <w:r>
        <w:rPr>
          <w:rStyle w:val="55"/>
        </w:rPr>
        <w:t>5.4 采购失败情形</w:t>
      </w:r>
      <w:r>
        <w:tab/>
      </w:r>
      <w:r>
        <w:fldChar w:fldCharType="begin"/>
      </w:r>
      <w:r>
        <w:instrText xml:space="preserve"> PAGEREF _Toc75159585 \h </w:instrText>
      </w:r>
      <w:r>
        <w:fldChar w:fldCharType="separate"/>
      </w:r>
      <w:r>
        <w:t>66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"_Toc75159586" </w:instrText>
      </w:r>
      <w:r>
        <w:fldChar w:fldCharType="separate"/>
      </w:r>
      <w:r>
        <w:rPr>
          <w:rStyle w:val="55"/>
        </w:rPr>
        <w:t>5.5 确定成交供应商</w:t>
      </w:r>
      <w:r>
        <w:tab/>
      </w:r>
      <w:r>
        <w:fldChar w:fldCharType="begin"/>
      </w:r>
      <w:r>
        <w:instrText xml:space="preserve"> PAGEREF _Toc75159586 \h </w:instrText>
      </w:r>
      <w:r>
        <w:fldChar w:fldCharType="separate"/>
      </w:r>
      <w:r>
        <w:t>67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"_Toc75159587" </w:instrText>
      </w:r>
      <w:r>
        <w:fldChar w:fldCharType="separate"/>
      </w:r>
      <w:r>
        <w:rPr>
          <w:rStyle w:val="55"/>
        </w:rPr>
        <w:t>5.6 询价小组成员义务</w:t>
      </w:r>
      <w:r>
        <w:tab/>
      </w:r>
      <w:r>
        <w:fldChar w:fldCharType="begin"/>
      </w:r>
      <w:r>
        <w:instrText xml:space="preserve"> PAGEREF _Toc75159587 \h </w:instrText>
      </w:r>
      <w:r>
        <w:fldChar w:fldCharType="separate"/>
      </w:r>
      <w:r>
        <w:t>68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"_Toc75159588" </w:instrText>
      </w:r>
      <w:r>
        <w:fldChar w:fldCharType="separate"/>
      </w:r>
      <w:r>
        <w:rPr>
          <w:rStyle w:val="55"/>
        </w:rPr>
        <w:t>5.7 询价采购活动纪律</w:t>
      </w:r>
      <w:r>
        <w:tab/>
      </w:r>
      <w:r>
        <w:fldChar w:fldCharType="begin"/>
      </w:r>
      <w:r>
        <w:instrText xml:space="preserve"> PAGEREF _Toc75159588 \h </w:instrText>
      </w:r>
      <w:r>
        <w:fldChar w:fldCharType="separate"/>
      </w:r>
      <w:r>
        <w:t>69</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"_Toc75159589" </w:instrText>
      </w:r>
      <w:r>
        <w:fldChar w:fldCharType="separate"/>
      </w:r>
      <w:r>
        <w:rPr>
          <w:rStyle w:val="55"/>
        </w:rPr>
        <w:t>第6章</w:t>
      </w:r>
      <w:r>
        <w:rPr>
          <w:rFonts w:asciiTheme="minorHAnsi" w:hAnsiTheme="minorHAnsi" w:eastAsiaTheme="minorEastAsia" w:cstheme="minorBidi"/>
          <w:b w:val="0"/>
          <w:bCs w:val="0"/>
          <w:caps w:val="0"/>
          <w:kern w:val="2"/>
          <w:sz w:val="21"/>
          <w:szCs w:val="22"/>
        </w:rPr>
        <w:tab/>
      </w:r>
      <w:r>
        <w:rPr>
          <w:rStyle w:val="55"/>
        </w:rPr>
        <w:t>政府采购合同草案</w:t>
      </w:r>
      <w:r>
        <w:tab/>
      </w:r>
      <w:r>
        <w:fldChar w:fldCharType="begin"/>
      </w:r>
      <w:r>
        <w:instrText xml:space="preserve"> PAGEREF _Toc75159589 \h </w:instrText>
      </w:r>
      <w:r>
        <w:fldChar w:fldCharType="separate"/>
      </w:r>
      <w:r>
        <w:t>71</w:t>
      </w:r>
      <w:r>
        <w:fldChar w:fldCharType="end"/>
      </w:r>
      <w: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5159539"/>
      <w:r>
        <w:rPr>
          <w:rFonts w:hint="eastAsia"/>
        </w:rPr>
        <w:t>询价邀请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eastAsia="zh-CN"/>
        </w:rPr>
        <w:t>蒲江县</w:t>
      </w:r>
      <w:r>
        <w:rPr>
          <w:rFonts w:hint="eastAsia" w:ascii="宋体" w:hAnsi="宋体"/>
          <w:b/>
          <w:sz w:val="28"/>
          <w:szCs w:val="28"/>
        </w:rPr>
        <w:t>公共资源交易服务中心</w:t>
      </w:r>
      <w:r>
        <w:rPr>
          <w:rFonts w:hint="eastAsia" w:ascii="宋体" w:hAnsi="宋体"/>
          <w:sz w:val="28"/>
          <w:szCs w:val="28"/>
        </w:rPr>
        <w:t>(以下简称“</w:t>
      </w:r>
      <w:r>
        <w:rPr>
          <w:rFonts w:hint="eastAsia" w:ascii="宋体" w:hAnsi="宋体"/>
          <w:sz w:val="28"/>
          <w:szCs w:val="28"/>
          <w:lang w:eastAsia="zh-CN"/>
        </w:rPr>
        <w:t>县</w:t>
      </w:r>
      <w:r>
        <w:rPr>
          <w:rFonts w:hint="eastAsia" w:ascii="宋体" w:hAnsi="宋体"/>
          <w:sz w:val="28"/>
          <w:szCs w:val="28"/>
        </w:rPr>
        <w:t>公资交易中心”)受</w:t>
      </w:r>
      <w:r>
        <w:rPr>
          <w:rFonts w:hint="eastAsia" w:ascii="宋体" w:hAnsi="宋体"/>
          <w:b/>
          <w:bCs/>
          <w:color w:val="000000"/>
          <w:sz w:val="28"/>
          <w:szCs w:val="28"/>
        </w:rPr>
        <w:t>蒲江县气象局</w:t>
      </w:r>
      <w:r>
        <w:rPr>
          <w:rFonts w:hint="eastAsia" w:ascii="宋体" w:hAnsi="宋体"/>
          <w:sz w:val="28"/>
          <w:szCs w:val="28"/>
        </w:rPr>
        <w:t>委托,拟对</w:t>
      </w:r>
      <w:r>
        <w:rPr>
          <w:rFonts w:hint="eastAsia" w:ascii="宋体" w:hAnsi="宋体"/>
          <w:b/>
          <w:bCs/>
          <w:color w:val="000000"/>
          <w:sz w:val="28"/>
          <w:szCs w:val="28"/>
        </w:rPr>
        <w:t>蒲江县气象局大气负氧离子自动监测系统采购项目（第二次）</w:t>
      </w:r>
      <w:r>
        <w:rPr>
          <w:rFonts w:hint="eastAsia" w:ascii="宋体" w:hAnsi="宋体"/>
          <w:sz w:val="28"/>
          <w:szCs w:val="28"/>
        </w:rPr>
        <w:t>采用询价采购方式进行采购，欢迎供应商参加该项目的询价采购活动。</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b/>
          <w:sz w:val="28"/>
          <w:szCs w:val="28"/>
          <w:lang w:val="en-US" w:eastAsia="zh-CN"/>
        </w:rPr>
        <w:t xml:space="preserve">510131202100026 </w:t>
      </w:r>
      <w:r>
        <w:rPr>
          <w:rFonts w:hint="eastAsia" w:ascii="宋体" w:hAnsi="宋体"/>
          <w:sz w:val="28"/>
          <w:szCs w:val="28"/>
          <w:lang w:val="en-US" w:eastAsia="zh-CN"/>
        </w:rPr>
        <w:t xml:space="preserve">             </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bCs/>
          <w:color w:val="000000"/>
          <w:sz w:val="28"/>
          <w:szCs w:val="28"/>
        </w:rPr>
        <w:t>蒲江县气象局大气负氧离子自动监测系统采购项目</w:t>
      </w:r>
    </w:p>
    <w:p>
      <w:pPr>
        <w:numPr>
          <w:ilvl w:val="0"/>
          <w:numId w:val="0"/>
        </w:numPr>
        <w:spacing w:line="600" w:lineRule="exact"/>
        <w:ind w:left="567" w:leftChars="0" w:firstLine="1687" w:firstLineChars="600"/>
        <w:jc w:val="both"/>
        <w:rPr>
          <w:rFonts w:ascii="宋体" w:hAnsi="宋体"/>
          <w:sz w:val="28"/>
          <w:szCs w:val="28"/>
        </w:rPr>
      </w:pPr>
      <w:r>
        <w:rPr>
          <w:rFonts w:hint="eastAsia" w:ascii="宋体" w:hAnsi="宋体"/>
          <w:b/>
          <w:bCs/>
          <w:color w:val="000000"/>
          <w:sz w:val="28"/>
          <w:szCs w:val="28"/>
        </w:rPr>
        <w:t>（第二次）</w:t>
      </w:r>
    </w:p>
    <w:p>
      <w:pPr>
        <w:numPr>
          <w:ilvl w:val="0"/>
          <w:numId w:val="2"/>
        </w:numPr>
        <w:snapToGrid w:val="0"/>
        <w:spacing w:line="640" w:lineRule="exact"/>
        <w:ind w:left="0" w:firstLine="567"/>
        <w:jc w:val="both"/>
        <w:rPr>
          <w:rFonts w:ascii="宋体" w:hAnsi="宋体"/>
          <w:b/>
          <w:sz w:val="28"/>
          <w:szCs w:val="28"/>
        </w:rPr>
      </w:pPr>
      <w:r>
        <w:rPr>
          <w:rFonts w:hint="eastAsia" w:ascii="宋体" w:hAnsi="宋体"/>
          <w:b/>
          <w:sz w:val="28"/>
          <w:szCs w:val="28"/>
        </w:rPr>
        <w:t>资金来源、预算金额及最高限价：</w:t>
      </w:r>
      <w:r>
        <w:rPr>
          <w:rFonts w:hint="eastAsia" w:ascii="宋体" w:hAnsi="宋体"/>
          <w:color w:val="000000"/>
          <w:sz w:val="28"/>
          <w:szCs w:val="28"/>
        </w:rPr>
        <w:t>财政性资金，政府采购实施计划备案表号：0002563。预算金额：40万元,最高限价：40万元。所属行业：见下表。</w:t>
      </w:r>
      <w:r>
        <w:rPr>
          <w:rFonts w:hint="eastAsia" w:ascii="宋体" w:hAnsi="宋体"/>
          <w:sz w:val="28"/>
          <w:szCs w:val="28"/>
        </w:rPr>
        <w:t>采购蒲江县气象局大气负氧离子自动监测系统采购项目供应商一名。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tbl>
      <w:tblPr>
        <w:tblStyle w:val="46"/>
        <w:tblW w:w="0" w:type="auto"/>
        <w:tblInd w:w="8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3830"/>
        <w:gridCol w:w="906"/>
        <w:gridCol w:w="1056"/>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序号</w:t>
            </w:r>
          </w:p>
        </w:tc>
        <w:tc>
          <w:tcPr>
            <w:tcW w:w="3830"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产品名称（标的名称）</w:t>
            </w:r>
          </w:p>
        </w:tc>
        <w:tc>
          <w:tcPr>
            <w:tcW w:w="906"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单位</w:t>
            </w:r>
          </w:p>
        </w:tc>
        <w:tc>
          <w:tcPr>
            <w:tcW w:w="1056"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数量</w:t>
            </w:r>
          </w:p>
          <w:p>
            <w:pPr>
              <w:pStyle w:val="80"/>
              <w:ind w:firstLine="0" w:firstLineChars="0"/>
              <w:jc w:val="center"/>
              <w:rPr>
                <w:color w:val="000000" w:themeColor="text1"/>
                <w:sz w:val="28"/>
                <w:szCs w:val="32"/>
                <w14:textFill>
                  <w14:solidFill>
                    <w14:schemeClr w14:val="tx1"/>
                  </w14:solidFill>
                </w14:textFill>
              </w:rPr>
            </w:pPr>
          </w:p>
        </w:tc>
        <w:tc>
          <w:tcPr>
            <w:tcW w:w="1717"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35" w:type="dxa"/>
          </w:tcPr>
          <w:p>
            <w:pPr>
              <w:pStyle w:val="80"/>
              <w:ind w:firstLine="280" w:firstLineChars="100"/>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1</w:t>
            </w:r>
          </w:p>
        </w:tc>
        <w:tc>
          <w:tcPr>
            <w:tcW w:w="3830" w:type="dxa"/>
            <w:vAlign w:val="center"/>
          </w:tcPr>
          <w:p>
            <w:pPr>
              <w:jc w:val="center"/>
              <w:rPr>
                <w:rFonts w:ascii="仿宋" w:hAnsi="仿宋" w:eastAsia="仿宋"/>
                <w:color w:val="000000" w:themeColor="text1"/>
                <w:sz w:val="28"/>
                <w:szCs w:val="28"/>
                <w14:textFill>
                  <w14:solidFill>
                    <w14:schemeClr w14:val="tx1"/>
                  </w14:solidFill>
                </w14:textFill>
              </w:rPr>
            </w:pPr>
            <w:r>
              <w:rPr>
                <w:rFonts w:hint="eastAsia" w:ascii="宋体" w:hAnsi="宋体" w:cs="宋体"/>
                <w:color w:val="000000"/>
                <w:sz w:val="28"/>
                <w:szCs w:val="28"/>
              </w:rPr>
              <w:t>大气负氧离子自动监测系统</w:t>
            </w:r>
          </w:p>
        </w:tc>
        <w:tc>
          <w:tcPr>
            <w:tcW w:w="906" w:type="dxa"/>
            <w:vAlign w:val="center"/>
          </w:tcPr>
          <w:p>
            <w:pPr>
              <w:jc w:val="center"/>
              <w:rPr>
                <w:rFonts w:ascii="仿宋" w:hAnsi="仿宋" w:eastAsia="仿宋"/>
                <w:color w:val="000000" w:themeColor="text1"/>
                <w:sz w:val="28"/>
                <w:szCs w:val="28"/>
                <w14:textFill>
                  <w14:solidFill>
                    <w14:schemeClr w14:val="tx1"/>
                  </w14:solidFill>
                </w14:textFill>
              </w:rPr>
            </w:pPr>
            <w:r>
              <w:rPr>
                <w:rFonts w:hint="eastAsia" w:ascii="宋体" w:hAnsi="宋体" w:cs="宋体"/>
                <w:color w:val="000000"/>
              </w:rPr>
              <w:t>套</w:t>
            </w:r>
          </w:p>
        </w:tc>
        <w:tc>
          <w:tcPr>
            <w:tcW w:w="105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2</w:t>
            </w:r>
          </w:p>
        </w:tc>
        <w:tc>
          <w:tcPr>
            <w:tcW w:w="1717"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5" w:type="dxa"/>
          </w:tcPr>
          <w:p>
            <w:pPr>
              <w:pStyle w:val="80"/>
              <w:ind w:firstLine="280" w:firstLineChars="100"/>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w:t>
            </w:r>
          </w:p>
        </w:tc>
        <w:tc>
          <w:tcPr>
            <w:tcW w:w="3830" w:type="dxa"/>
            <w:vAlign w:val="center"/>
          </w:tcPr>
          <w:p>
            <w:pPr>
              <w:jc w:val="center"/>
              <w:rPr>
                <w:color w:val="000000" w:themeColor="text1"/>
                <w:sz w:val="28"/>
                <w:szCs w:val="32"/>
                <w14:textFill>
                  <w14:solidFill>
                    <w14:schemeClr w14:val="tx1"/>
                  </w14:solidFill>
                </w14:textFill>
              </w:rPr>
            </w:pPr>
            <w:r>
              <w:rPr>
                <w:rFonts w:hint="eastAsia" w:ascii="宋体" w:hAnsi="宋体"/>
                <w:color w:val="000000"/>
                <w:sz w:val="28"/>
                <w:szCs w:val="28"/>
              </w:rPr>
              <w:t>LED显示屏</w:t>
            </w:r>
          </w:p>
        </w:tc>
        <w:tc>
          <w:tcPr>
            <w:tcW w:w="90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个</w:t>
            </w:r>
          </w:p>
        </w:tc>
        <w:tc>
          <w:tcPr>
            <w:tcW w:w="105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2</w:t>
            </w:r>
          </w:p>
        </w:tc>
        <w:tc>
          <w:tcPr>
            <w:tcW w:w="1717"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5" w:type="dxa"/>
          </w:tcPr>
          <w:p>
            <w:pPr>
              <w:pStyle w:val="80"/>
              <w:ind w:firstLine="280" w:firstLineChars="100"/>
              <w:rPr>
                <w:rFonts w:hint="eastAsia" w:eastAsiaTheme="minorEastAsia"/>
                <w:color w:val="000000" w:themeColor="text1"/>
                <w:sz w:val="28"/>
                <w:szCs w:val="32"/>
                <w:lang w:eastAsia="zh-CN"/>
                <w14:textFill>
                  <w14:solidFill>
                    <w14:schemeClr w14:val="tx1"/>
                  </w14:solidFill>
                </w14:textFill>
              </w:rPr>
            </w:pPr>
            <w:r>
              <w:rPr>
                <w:rFonts w:hint="eastAsia"/>
                <w:color w:val="000000" w:themeColor="text1"/>
                <w:sz w:val="28"/>
                <w:szCs w:val="32"/>
                <w:lang w:val="en-US" w:eastAsia="zh-CN"/>
                <w14:textFill>
                  <w14:solidFill>
                    <w14:schemeClr w14:val="tx1"/>
                  </w14:solidFill>
                </w14:textFill>
              </w:rPr>
              <w:t>3</w:t>
            </w:r>
          </w:p>
        </w:tc>
        <w:tc>
          <w:tcPr>
            <w:tcW w:w="3830" w:type="dxa"/>
            <w:vAlign w:val="center"/>
          </w:tcPr>
          <w:p>
            <w:pPr>
              <w:jc w:val="center"/>
              <w:rPr>
                <w:color w:val="000000" w:themeColor="text1"/>
                <w:sz w:val="28"/>
                <w:szCs w:val="32"/>
                <w14:textFill>
                  <w14:solidFill>
                    <w14:schemeClr w14:val="tx1"/>
                  </w14:solidFill>
                </w14:textFill>
              </w:rPr>
            </w:pPr>
            <w:r>
              <w:rPr>
                <w:rFonts w:hint="eastAsia" w:ascii="宋体" w:hAnsi="宋体"/>
                <w:color w:val="000000"/>
                <w:sz w:val="28"/>
                <w:szCs w:val="28"/>
              </w:rPr>
              <w:t>太阳能供电系统</w:t>
            </w:r>
          </w:p>
        </w:tc>
        <w:tc>
          <w:tcPr>
            <w:tcW w:w="90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套</w:t>
            </w:r>
          </w:p>
        </w:tc>
        <w:tc>
          <w:tcPr>
            <w:tcW w:w="105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2</w:t>
            </w:r>
          </w:p>
        </w:tc>
        <w:tc>
          <w:tcPr>
            <w:tcW w:w="1717"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5" w:type="dxa"/>
          </w:tcPr>
          <w:p>
            <w:pPr>
              <w:pStyle w:val="80"/>
              <w:ind w:firstLine="280" w:firstLineChars="100"/>
              <w:rPr>
                <w:rFonts w:hint="eastAsia" w:eastAsiaTheme="minorEastAsia"/>
                <w:color w:val="000000" w:themeColor="text1"/>
                <w:sz w:val="28"/>
                <w:szCs w:val="32"/>
                <w:lang w:val="en-US" w:eastAsia="zh-CN"/>
                <w14:textFill>
                  <w14:solidFill>
                    <w14:schemeClr w14:val="tx1"/>
                  </w14:solidFill>
                </w14:textFill>
              </w:rPr>
            </w:pPr>
            <w:r>
              <w:rPr>
                <w:rFonts w:hint="eastAsia"/>
                <w:color w:val="000000" w:themeColor="text1"/>
                <w:sz w:val="28"/>
                <w:szCs w:val="32"/>
                <w:lang w:val="en-US" w:eastAsia="zh-CN"/>
                <w14:textFill>
                  <w14:solidFill>
                    <w14:schemeClr w14:val="tx1"/>
                  </w14:solidFill>
                </w14:textFill>
              </w:rPr>
              <w:t>4</w:t>
            </w:r>
          </w:p>
        </w:tc>
        <w:tc>
          <w:tcPr>
            <w:tcW w:w="3830" w:type="dxa"/>
            <w:vAlign w:val="center"/>
          </w:tcPr>
          <w:p>
            <w:pPr>
              <w:jc w:val="center"/>
              <w:rPr>
                <w:rFonts w:hint="eastAsia"/>
                <w:color w:val="000000" w:themeColor="text1"/>
                <w:sz w:val="28"/>
                <w:szCs w:val="32"/>
                <w14:textFill>
                  <w14:solidFill>
                    <w14:schemeClr w14:val="tx1"/>
                  </w14:solidFill>
                </w14:textFill>
              </w:rPr>
            </w:pPr>
            <w:r>
              <w:rPr>
                <w:rFonts w:hint="eastAsia" w:ascii="宋体" w:hAnsi="宋体"/>
                <w:color w:val="000000"/>
                <w:sz w:val="28"/>
                <w:szCs w:val="28"/>
              </w:rPr>
              <w:t>防护栅栏</w:t>
            </w:r>
          </w:p>
        </w:tc>
        <w:tc>
          <w:tcPr>
            <w:tcW w:w="906" w:type="dxa"/>
            <w:vAlign w:val="center"/>
          </w:tcPr>
          <w:p>
            <w:pPr>
              <w:jc w:val="center"/>
              <w:rPr>
                <w:rFonts w:hint="eastAsia"/>
                <w:color w:val="000000" w:themeColor="text1"/>
                <w:sz w:val="28"/>
                <w:szCs w:val="32"/>
                <w14:textFill>
                  <w14:solidFill>
                    <w14:schemeClr w14:val="tx1"/>
                  </w14:solidFill>
                </w14:textFill>
              </w:rPr>
            </w:pPr>
            <w:r>
              <w:rPr>
                <w:rFonts w:hint="eastAsia" w:ascii="宋体" w:hAnsi="宋体" w:cs="宋体"/>
                <w:color w:val="000000"/>
                <w:sz w:val="28"/>
                <w:szCs w:val="28"/>
              </w:rPr>
              <w:t>套</w:t>
            </w:r>
          </w:p>
        </w:tc>
        <w:tc>
          <w:tcPr>
            <w:tcW w:w="1056" w:type="dxa"/>
            <w:vAlign w:val="center"/>
          </w:tcPr>
          <w:p>
            <w:pPr>
              <w:jc w:val="center"/>
              <w:rPr>
                <w:rFonts w:hint="eastAsia"/>
                <w:color w:val="000000" w:themeColor="text1"/>
                <w:sz w:val="28"/>
                <w:szCs w:val="32"/>
                <w14:textFill>
                  <w14:solidFill>
                    <w14:schemeClr w14:val="tx1"/>
                  </w14:solidFill>
                </w14:textFill>
              </w:rPr>
            </w:pPr>
            <w:r>
              <w:rPr>
                <w:rFonts w:hint="eastAsia" w:ascii="宋体" w:hAnsi="宋体" w:cs="宋体"/>
                <w:color w:val="000000"/>
                <w:sz w:val="28"/>
                <w:szCs w:val="28"/>
              </w:rPr>
              <w:t>2</w:t>
            </w:r>
          </w:p>
        </w:tc>
        <w:tc>
          <w:tcPr>
            <w:tcW w:w="1717" w:type="dxa"/>
            <w:vAlign w:val="center"/>
          </w:tcPr>
          <w:p>
            <w:pPr>
              <w:jc w:val="center"/>
              <w:rPr>
                <w:rFonts w:hint="eastAsia"/>
                <w:color w:val="000000" w:themeColor="text1"/>
                <w:sz w:val="28"/>
                <w:szCs w:val="32"/>
                <w14:textFill>
                  <w14:solidFill>
                    <w14:schemeClr w14:val="tx1"/>
                  </w14:solidFill>
                </w14:textFill>
              </w:rPr>
            </w:pPr>
            <w:r>
              <w:rPr>
                <w:rFonts w:hint="eastAsia" w:ascii="宋体" w:hAnsi="宋体" w:cs="宋体"/>
                <w:color w:val="000000"/>
                <w:sz w:val="28"/>
                <w:szCs w:val="28"/>
              </w:rPr>
              <w:t>其他未列明的行业</w:t>
            </w:r>
          </w:p>
        </w:tc>
      </w:tr>
    </w:tbl>
    <w:p>
      <w:pPr>
        <w:tabs>
          <w:tab w:val="left" w:pos="851"/>
        </w:tabs>
        <w:snapToGrid w:val="0"/>
        <w:spacing w:line="640" w:lineRule="exact"/>
        <w:ind w:firstLine="560" w:firstLineChars="200"/>
        <w:rPr>
          <w:rFonts w:ascii="宋体" w:hAnsi="宋体"/>
          <w:sz w:val="28"/>
          <w:szCs w:val="28"/>
        </w:rPr>
      </w:pPr>
      <w:r>
        <w:rPr>
          <w:rFonts w:hint="eastAsia" w:ascii="宋体" w:hAnsi="宋体"/>
          <w:sz w:val="28"/>
          <w:szCs w:val="28"/>
        </w:rPr>
        <w:t>供应商必须对所有货物及服务内容进行报价，并响应询价通知书的要求，详细的技术、服务、商务及其他要求见第4章。</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禁止参加询价的供应商；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本次政府采购活动不接受供应商以联合体的形式参加询价采购</w:t>
      </w:r>
      <w:r>
        <w:rPr>
          <w:rFonts w:ascii="宋体" w:hAnsi="宋体"/>
          <w:sz w:val="28"/>
          <w:szCs w:val="28"/>
        </w:rPr>
        <w:t>活动</w:t>
      </w:r>
      <w:r>
        <w:rPr>
          <w:rFonts w:hint="eastAsia" w:ascii="宋体" w:hAnsi="宋体"/>
          <w:sz w:val="28"/>
          <w:szCs w:val="28"/>
        </w:rPr>
        <w:t>。</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询价通知书获取时间</w:t>
      </w:r>
    </w:p>
    <w:p>
      <w:pPr>
        <w:spacing w:line="600" w:lineRule="exact"/>
        <w:ind w:firstLine="560" w:firstLineChars="200"/>
        <w:rPr>
          <w:rFonts w:ascii="宋体" w:hAnsi="宋体"/>
          <w:sz w:val="28"/>
          <w:szCs w:val="28"/>
        </w:rPr>
      </w:pPr>
      <w:r>
        <w:rPr>
          <w:rFonts w:hint="eastAsia" w:ascii="宋体" w:hAnsi="宋体"/>
          <w:sz w:val="28"/>
          <w:szCs w:val="28"/>
        </w:rPr>
        <w:t>（一）询价</w:t>
      </w:r>
      <w:r>
        <w:rPr>
          <w:rFonts w:ascii="宋体" w:hAnsi="宋体"/>
          <w:sz w:val="28"/>
          <w:szCs w:val="28"/>
        </w:rPr>
        <w:t>通知书</w:t>
      </w:r>
      <w:r>
        <w:rPr>
          <w:rFonts w:hint="eastAsia" w:ascii="宋体" w:hAnsi="宋体"/>
          <w:sz w:val="28"/>
          <w:szCs w:val="28"/>
        </w:rPr>
        <w:t>获取时间：2021年</w:t>
      </w:r>
      <w:r>
        <w:rPr>
          <w:rFonts w:hint="eastAsia" w:ascii="宋体" w:hAnsi="宋体"/>
          <w:sz w:val="28"/>
          <w:szCs w:val="28"/>
          <w:lang w:val="en-US" w:eastAsia="zh-CN"/>
        </w:rPr>
        <w:t>7</w:t>
      </w:r>
      <w:r>
        <w:rPr>
          <w:rFonts w:hint="eastAsia" w:ascii="宋体" w:hAnsi="宋体"/>
          <w:sz w:val="28"/>
          <w:szCs w:val="28"/>
        </w:rPr>
        <w:t>月</w:t>
      </w:r>
      <w:r>
        <w:rPr>
          <w:rFonts w:hint="eastAsia" w:ascii="宋体" w:hAnsi="宋体"/>
          <w:sz w:val="28"/>
          <w:szCs w:val="28"/>
          <w:lang w:val="en-US" w:eastAsia="zh-CN"/>
        </w:rPr>
        <w:t>8</w:t>
      </w:r>
      <w:r>
        <w:rPr>
          <w:rFonts w:hint="eastAsia" w:ascii="宋体" w:hAnsi="宋体"/>
          <w:sz w:val="28"/>
          <w:szCs w:val="28"/>
        </w:rPr>
        <w:t>日至</w:t>
      </w:r>
      <w:r>
        <w:rPr>
          <w:rFonts w:hint="eastAsia" w:ascii="宋体" w:hAnsi="宋体"/>
          <w:sz w:val="28"/>
          <w:szCs w:val="28"/>
          <w:lang w:val="en-US" w:eastAsia="zh-CN"/>
        </w:rPr>
        <w:t>7</w:t>
      </w:r>
      <w:r>
        <w:rPr>
          <w:rFonts w:hint="eastAsia" w:ascii="宋体" w:hAnsi="宋体"/>
          <w:sz w:val="28"/>
          <w:szCs w:val="28"/>
        </w:rPr>
        <w:t>月</w:t>
      </w:r>
      <w:r>
        <w:rPr>
          <w:rFonts w:hint="eastAsia" w:ascii="宋体" w:hAnsi="宋体"/>
          <w:sz w:val="28"/>
          <w:szCs w:val="28"/>
          <w:lang w:val="en-US" w:eastAsia="zh-CN"/>
        </w:rPr>
        <w:t>12</w:t>
      </w:r>
      <w:r>
        <w:rPr>
          <w:rFonts w:hint="eastAsia" w:ascii="宋体" w:hAnsi="宋体"/>
          <w:sz w:val="28"/>
          <w:szCs w:val="28"/>
        </w:rPr>
        <w:t>日。</w:t>
      </w:r>
    </w:p>
    <w:p>
      <w:pPr>
        <w:spacing w:line="600" w:lineRule="exact"/>
        <w:ind w:firstLine="560" w:firstLineChars="200"/>
        <w:rPr>
          <w:rFonts w:hint="eastAsia"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7</w:t>
      </w:r>
      <w:r>
        <w:rPr>
          <w:rFonts w:hint="eastAsia" w:ascii="宋体" w:hAnsi="宋体"/>
          <w:sz w:val="28"/>
          <w:szCs w:val="28"/>
        </w:rPr>
        <w:t>月</w:t>
      </w:r>
      <w:r>
        <w:rPr>
          <w:rFonts w:hint="eastAsia" w:ascii="宋体" w:hAnsi="宋体"/>
          <w:sz w:val="28"/>
          <w:szCs w:val="28"/>
          <w:lang w:val="en-US" w:eastAsia="zh-CN"/>
        </w:rPr>
        <w:t>8</w:t>
      </w:r>
      <w:r>
        <w:rPr>
          <w:rFonts w:hint="eastAsia" w:ascii="宋体" w:hAnsi="宋体"/>
          <w:sz w:val="28"/>
          <w:szCs w:val="28"/>
        </w:rPr>
        <w:t>日至</w:t>
      </w:r>
      <w:r>
        <w:rPr>
          <w:rFonts w:hint="eastAsia" w:ascii="宋体" w:hAnsi="宋体"/>
          <w:sz w:val="28"/>
          <w:szCs w:val="28"/>
          <w:lang w:val="en-US" w:eastAsia="zh-CN"/>
        </w:rPr>
        <w:t>7</w:t>
      </w:r>
      <w:r>
        <w:rPr>
          <w:rFonts w:hint="eastAsia" w:ascii="宋体" w:hAnsi="宋体"/>
          <w:sz w:val="28"/>
          <w:szCs w:val="28"/>
        </w:rPr>
        <w:t>月</w:t>
      </w:r>
      <w:r>
        <w:rPr>
          <w:rFonts w:hint="eastAsia" w:ascii="宋体" w:hAnsi="宋体"/>
          <w:sz w:val="28"/>
          <w:szCs w:val="28"/>
          <w:lang w:val="en-US" w:eastAsia="zh-CN"/>
        </w:rPr>
        <w:t>12</w:t>
      </w:r>
      <w:r>
        <w:rPr>
          <w:rFonts w:hint="eastAsia" w:ascii="宋体" w:hAnsi="宋体"/>
          <w:sz w:val="28"/>
          <w:szCs w:val="28"/>
        </w:rPr>
        <w:t>日。</w:t>
      </w:r>
    </w:p>
    <w:p>
      <w:pPr>
        <w:pStyle w:val="44"/>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（三）供应商如对磋商文件有质疑的，应于自磋商文件公告期限届满之日起七个工作日内以书面形式提出。</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询价通知书</w:t>
      </w:r>
      <w:r>
        <w:rPr>
          <w:rFonts w:hint="eastAsia" w:ascii="宋体" w:hAnsi="宋体"/>
          <w:b/>
          <w:sz w:val="28"/>
        </w:rPr>
        <w:t>获取方式</w:t>
      </w:r>
    </w:p>
    <w:p>
      <w:pPr>
        <w:spacing w:line="360" w:lineRule="auto"/>
        <w:ind w:firstLine="560" w:firstLineChars="200"/>
        <w:rPr>
          <w:rFonts w:ascii="宋体" w:hAnsi="宋体"/>
          <w:sz w:val="28"/>
          <w:szCs w:val="28"/>
        </w:rPr>
      </w:pPr>
      <w:r>
        <w:rPr>
          <w:rFonts w:hint="eastAsia" w:ascii="宋体" w:hAnsi="宋体"/>
          <w:sz w:val="28"/>
          <w:szCs w:val="28"/>
        </w:rPr>
        <w:t>供应商要参加询价，应在成都市公共资源交易服务中心“政府采购云平台”获取询价通知书。登录成都市公共资源交易服务中心门户网站（https://www.cdggzy.com/）—用户中心—政府采购云平台—项目采购—获取询价通知书—申请获取询价通知书。</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（1）本项目询价通知书免费获取。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响应文件递交截止时间及开启时间（北京时间）、地点、方式</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响应文件递交截止时间及开启时间：2021</w:t>
      </w:r>
      <w:r>
        <w:rPr>
          <w:rFonts w:ascii="宋体" w:hAnsi="宋体" w:eastAsia="宋体"/>
          <w:b/>
          <w:sz w:val="28"/>
          <w:szCs w:val="28"/>
        </w:rPr>
        <w:t>年</w:t>
      </w:r>
      <w:r>
        <w:rPr>
          <w:rFonts w:hint="eastAsia" w:ascii="宋体" w:hAnsi="宋体" w:eastAsia="宋体"/>
          <w:sz w:val="28"/>
          <w:szCs w:val="28"/>
          <w:lang w:val="en-US" w:eastAsia="zh-CN"/>
        </w:rPr>
        <w:t>7</w:t>
      </w:r>
      <w:r>
        <w:rPr>
          <w:rFonts w:ascii="宋体" w:hAnsi="宋体" w:eastAsia="宋体"/>
          <w:b/>
          <w:sz w:val="28"/>
          <w:szCs w:val="28"/>
        </w:rPr>
        <w:t>月</w:t>
      </w:r>
      <w:r>
        <w:rPr>
          <w:rFonts w:hint="eastAsia" w:ascii="宋体" w:hAnsi="宋体" w:eastAsia="宋体"/>
          <w:sz w:val="28"/>
          <w:szCs w:val="28"/>
          <w:lang w:val="en-US" w:eastAsia="zh-CN"/>
        </w:rPr>
        <w:t>14</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询价地点</w:t>
      </w:r>
    </w:p>
    <w:p>
      <w:pPr>
        <w:spacing w:line="360" w:lineRule="auto"/>
        <w:ind w:firstLine="580" w:firstLineChars="200"/>
        <w:rPr>
          <w:sz w:val="29"/>
          <w:szCs w:val="29"/>
        </w:rPr>
      </w:pPr>
      <w:r>
        <w:rPr>
          <w:rFonts w:hint="eastAsia"/>
          <w:sz w:val="29"/>
          <w:szCs w:val="29"/>
        </w:rPr>
        <w:t>本项目询价为不见面开标。</w:t>
      </w:r>
    </w:p>
    <w:p>
      <w:pPr>
        <w:spacing w:line="360" w:lineRule="auto"/>
        <w:ind w:firstLine="582" w:firstLineChars="200"/>
        <w:rPr>
          <w:b/>
          <w:sz w:val="29"/>
          <w:szCs w:val="29"/>
        </w:rPr>
      </w:pPr>
      <w:r>
        <w:rPr>
          <w:rFonts w:hint="eastAsia"/>
          <w:b/>
          <w:sz w:val="29"/>
          <w:szCs w:val="29"/>
        </w:rPr>
        <w:t>询价地点：政府采购云平台开标大厅。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的中小企业供应商无需提供财产抵押或第三方担保，凭借政府采购合同可向融资机构申请融资。具体内容详见询价通知书附件《蒲江县支持中小企业政府采购信用融资实施方案》（蒲财发〔2019〕4号）、《蒲江县财政局关于公布蒲江县开展政府采购信用融资业务银行名单的通知》（蒲财采[2019]6号）。</w:t>
      </w:r>
    </w:p>
    <w:p>
      <w:pPr>
        <w:snapToGrid w:val="0"/>
        <w:spacing w:line="640" w:lineRule="exact"/>
        <w:ind w:firstLine="562" w:firstLineChars="200"/>
        <w:rPr>
          <w:rFonts w:ascii="宋体" w:hAnsi="宋体"/>
          <w:b/>
          <w:bCs/>
          <w:sz w:val="28"/>
          <w:szCs w:val="28"/>
        </w:rPr>
      </w:pPr>
      <w:r>
        <w:rPr>
          <w:rFonts w:hint="eastAsia" w:ascii="宋体" w:hAnsi="宋体"/>
          <w:b/>
          <w:sz w:val="28"/>
          <w:szCs w:val="28"/>
        </w:rPr>
        <w:t>十</w:t>
      </w:r>
      <w:r>
        <w:rPr>
          <w:rFonts w:hint="eastAsia" w:ascii="宋体" w:hAnsi="宋体"/>
          <w:b/>
          <w:sz w:val="28"/>
          <w:szCs w:val="28"/>
          <w:lang w:eastAsia="zh-CN"/>
        </w:rPr>
        <w:t>二</w:t>
      </w:r>
      <w:r>
        <w:rPr>
          <w:rFonts w:hint="eastAsia" w:ascii="宋体" w:hAnsi="宋体"/>
          <w:b/>
          <w:sz w:val="28"/>
          <w:szCs w:val="28"/>
        </w:rPr>
        <w:t>、</w:t>
      </w:r>
      <w:r>
        <w:rPr>
          <w:rFonts w:hint="eastAsia" w:ascii="宋体" w:hAnsi="宋体"/>
          <w:b/>
          <w:bCs/>
          <w:sz w:val="28"/>
          <w:szCs w:val="28"/>
        </w:rPr>
        <w:t>本询价邀请在“四川政府采购网”和“成都市公共资源交易服务中心”网站上以公告形式发布</w:t>
      </w:r>
    </w:p>
    <w:p>
      <w:pPr>
        <w:snapToGrid w:val="0"/>
        <w:spacing w:line="640" w:lineRule="exact"/>
        <w:ind w:firstLine="562" w:firstLineChars="200"/>
        <w:rPr>
          <w:rFonts w:ascii="宋体" w:hAnsi="宋体"/>
          <w:sz w:val="28"/>
          <w:szCs w:val="28"/>
        </w:rPr>
      </w:pPr>
      <w:r>
        <w:rPr>
          <w:rFonts w:hint="eastAsia" w:ascii="宋体" w:hAnsi="宋体"/>
          <w:b/>
          <w:sz w:val="28"/>
          <w:szCs w:val="28"/>
        </w:rPr>
        <w:t>十</w:t>
      </w:r>
      <w:r>
        <w:rPr>
          <w:rFonts w:hint="eastAsia" w:ascii="宋体" w:hAnsi="宋体"/>
          <w:b/>
          <w:sz w:val="28"/>
          <w:szCs w:val="28"/>
          <w:lang w:eastAsia="zh-CN"/>
        </w:rPr>
        <w:t>三</w:t>
      </w:r>
      <w:r>
        <w:rPr>
          <w:rFonts w:ascii="宋体" w:hAnsi="宋体"/>
          <w:b/>
          <w:sz w:val="28"/>
          <w:szCs w:val="28"/>
        </w:rPr>
        <w:t>、</w:t>
      </w:r>
      <w:r>
        <w:rPr>
          <w:rFonts w:hint="eastAsia" w:ascii="宋体" w:hAnsi="宋体"/>
          <w:b/>
          <w:sz w:val="28"/>
          <w:szCs w:val="28"/>
        </w:rPr>
        <w:t>联系人及联系电话</w:t>
      </w:r>
    </w:p>
    <w:p>
      <w:pPr>
        <w:spacing w:line="360" w:lineRule="auto"/>
        <w:ind w:firstLine="562" w:firstLineChars="200"/>
        <w:jc w:val="both"/>
        <w:rPr>
          <w:rFonts w:ascii="宋体" w:hAnsi="宋体"/>
          <w:b/>
          <w:color w:val="000000"/>
          <w:sz w:val="28"/>
          <w:szCs w:val="28"/>
        </w:rPr>
      </w:pPr>
      <w:r>
        <w:rPr>
          <w:rFonts w:hint="eastAsia" w:ascii="宋体" w:hAnsi="宋体"/>
          <w:b/>
          <w:sz w:val="28"/>
          <w:szCs w:val="28"/>
        </w:rPr>
        <w:t>采购人：</w:t>
      </w:r>
      <w:r>
        <w:rPr>
          <w:rFonts w:hint="eastAsia" w:ascii="宋体" w:hAnsi="宋体"/>
          <w:b/>
          <w:color w:val="000000"/>
          <w:sz w:val="28"/>
          <w:szCs w:val="28"/>
        </w:rPr>
        <w:t xml:space="preserve">蒲江县蒲江县气象局 </w:t>
      </w:r>
    </w:p>
    <w:p>
      <w:pPr>
        <w:spacing w:line="360" w:lineRule="auto"/>
        <w:ind w:firstLine="705" w:firstLineChars="252"/>
        <w:jc w:val="both"/>
        <w:rPr>
          <w:rFonts w:ascii="宋体" w:hAnsi="宋体"/>
          <w:color w:val="000000"/>
          <w:sz w:val="28"/>
          <w:szCs w:val="28"/>
        </w:rPr>
      </w:pPr>
      <w:r>
        <w:rPr>
          <w:rFonts w:hint="eastAsia" w:ascii="宋体" w:hAnsi="宋体"/>
          <w:color w:val="000000"/>
          <w:sz w:val="28"/>
          <w:szCs w:val="28"/>
        </w:rPr>
        <w:t>通讯地址：蒲江县鹤山街道蒲阳路55号。</w:t>
      </w:r>
    </w:p>
    <w:p>
      <w:pPr>
        <w:spacing w:line="360" w:lineRule="auto"/>
        <w:ind w:firstLine="705" w:firstLineChars="252"/>
        <w:jc w:val="both"/>
        <w:rPr>
          <w:rFonts w:ascii="宋体" w:hAnsi="宋体"/>
          <w:color w:val="000000"/>
          <w:sz w:val="28"/>
          <w:szCs w:val="28"/>
        </w:rPr>
      </w:pPr>
      <w:r>
        <w:rPr>
          <w:rFonts w:hint="eastAsia" w:ascii="宋体" w:hAnsi="宋体"/>
          <w:color w:val="000000"/>
          <w:sz w:val="28"/>
          <w:szCs w:val="28"/>
        </w:rPr>
        <w:t>邮    编： 611630</w:t>
      </w:r>
    </w:p>
    <w:p>
      <w:pPr>
        <w:spacing w:line="360" w:lineRule="auto"/>
        <w:ind w:firstLine="705" w:firstLineChars="252"/>
        <w:jc w:val="both"/>
        <w:rPr>
          <w:rFonts w:ascii="宋体" w:hAnsi="宋体"/>
          <w:color w:val="000000"/>
          <w:sz w:val="28"/>
          <w:szCs w:val="28"/>
        </w:rPr>
      </w:pPr>
      <w:r>
        <w:rPr>
          <w:rFonts w:hint="eastAsia" w:ascii="宋体" w:hAnsi="宋体"/>
          <w:color w:val="000000"/>
          <w:sz w:val="28"/>
          <w:szCs w:val="28"/>
        </w:rPr>
        <w:t>联 系 人：王玲</w:t>
      </w:r>
    </w:p>
    <w:p>
      <w:pPr>
        <w:spacing w:line="360" w:lineRule="auto"/>
        <w:ind w:firstLine="705" w:firstLineChars="252"/>
        <w:jc w:val="both"/>
        <w:rPr>
          <w:rFonts w:ascii="宋体" w:hAnsi="宋体"/>
          <w:color w:val="000000"/>
          <w:sz w:val="28"/>
          <w:szCs w:val="28"/>
        </w:rPr>
      </w:pPr>
      <w:r>
        <w:rPr>
          <w:rFonts w:hint="eastAsia" w:ascii="宋体" w:hAnsi="宋体"/>
          <w:color w:val="000000"/>
          <w:sz w:val="28"/>
          <w:szCs w:val="28"/>
        </w:rPr>
        <w:t>联系电话：028-88522868</w:t>
      </w:r>
    </w:p>
    <w:p>
      <w:pPr>
        <w:spacing w:line="360" w:lineRule="auto"/>
        <w:ind w:firstLine="562" w:firstLineChars="200"/>
        <w:jc w:val="both"/>
        <w:rPr>
          <w:rFonts w:ascii="宋体" w:hAnsi="宋体"/>
          <w:b/>
          <w:color w:val="000000"/>
          <w:sz w:val="28"/>
          <w:szCs w:val="28"/>
        </w:rPr>
      </w:pPr>
      <w:r>
        <w:rPr>
          <w:rFonts w:hint="eastAsia" w:ascii="宋体" w:hAnsi="宋体"/>
          <w:b/>
          <w:color w:val="000000"/>
          <w:sz w:val="28"/>
          <w:szCs w:val="28"/>
        </w:rPr>
        <w:t>代理机构：蒲江县公共资源交易服务中心</w:t>
      </w:r>
    </w:p>
    <w:p>
      <w:pPr>
        <w:spacing w:line="360" w:lineRule="auto"/>
        <w:ind w:firstLine="705" w:firstLineChars="252"/>
        <w:jc w:val="both"/>
        <w:rPr>
          <w:rFonts w:ascii="宋体" w:hAnsi="宋体"/>
          <w:color w:val="000000"/>
          <w:sz w:val="28"/>
          <w:szCs w:val="28"/>
        </w:rPr>
      </w:pPr>
      <w:r>
        <w:rPr>
          <w:rFonts w:hint="eastAsia" w:ascii="宋体" w:hAnsi="宋体"/>
          <w:color w:val="000000"/>
          <w:sz w:val="28"/>
          <w:szCs w:val="28"/>
        </w:rPr>
        <w:t>地址：蒲江县鹤山街道工业南路16号</w:t>
      </w:r>
    </w:p>
    <w:p>
      <w:pPr>
        <w:spacing w:line="360" w:lineRule="auto"/>
        <w:ind w:firstLine="705" w:firstLineChars="252"/>
        <w:jc w:val="both"/>
        <w:rPr>
          <w:rFonts w:ascii="宋体" w:hAnsi="宋体"/>
          <w:color w:val="000000"/>
          <w:sz w:val="28"/>
          <w:szCs w:val="28"/>
        </w:rPr>
      </w:pPr>
      <w:r>
        <w:rPr>
          <w:rFonts w:hint="eastAsia" w:ascii="宋体" w:hAnsi="宋体"/>
          <w:color w:val="000000"/>
          <w:sz w:val="28"/>
          <w:szCs w:val="28"/>
        </w:rPr>
        <w:t>邮编：</w:t>
      </w:r>
      <w:r>
        <w:rPr>
          <w:rFonts w:ascii="宋体" w:hAnsi="宋体"/>
          <w:color w:val="000000"/>
          <w:sz w:val="28"/>
          <w:szCs w:val="28"/>
        </w:rPr>
        <w:t>61</w:t>
      </w:r>
      <w:r>
        <w:rPr>
          <w:rFonts w:hint="eastAsia" w:ascii="宋体" w:hAnsi="宋体"/>
          <w:color w:val="000000"/>
          <w:sz w:val="28"/>
          <w:szCs w:val="28"/>
        </w:rPr>
        <w:t>1630</w:t>
      </w:r>
    </w:p>
    <w:p>
      <w:pPr>
        <w:spacing w:line="360" w:lineRule="auto"/>
        <w:ind w:firstLine="705" w:firstLineChars="252"/>
        <w:jc w:val="both"/>
        <w:rPr>
          <w:rFonts w:ascii="宋体" w:hAnsi="宋体"/>
          <w:color w:val="000000"/>
          <w:sz w:val="28"/>
          <w:szCs w:val="28"/>
        </w:rPr>
      </w:pPr>
      <w:r>
        <w:rPr>
          <w:rFonts w:hint="eastAsia" w:ascii="宋体" w:hAnsi="宋体"/>
          <w:color w:val="000000"/>
          <w:sz w:val="28"/>
          <w:szCs w:val="28"/>
        </w:rPr>
        <w:t>联系人：胡婷</w:t>
      </w:r>
      <w:r>
        <w:rPr>
          <w:rFonts w:ascii="宋体" w:hAnsi="宋体"/>
          <w:color w:val="000000"/>
          <w:sz w:val="28"/>
          <w:szCs w:val="28"/>
        </w:rPr>
        <w:tab/>
      </w:r>
    </w:p>
    <w:p>
      <w:pPr>
        <w:spacing w:line="360" w:lineRule="auto"/>
        <w:ind w:firstLine="705" w:firstLineChars="252"/>
        <w:jc w:val="both"/>
        <w:rPr>
          <w:rFonts w:ascii="宋体" w:hAnsi="宋体" w:cs="宋体"/>
          <w:color w:val="000000"/>
        </w:rPr>
      </w:pPr>
      <w:r>
        <w:rPr>
          <w:rFonts w:hint="eastAsia" w:ascii="宋体" w:hAnsi="宋体"/>
          <w:color w:val="000000"/>
          <w:sz w:val="28"/>
          <w:szCs w:val="28"/>
        </w:rPr>
        <w:t>联系电话：</w:t>
      </w:r>
      <w:r>
        <w:rPr>
          <w:rFonts w:ascii="宋体" w:hAnsi="宋体"/>
          <w:color w:val="000000"/>
          <w:sz w:val="28"/>
          <w:szCs w:val="28"/>
        </w:rPr>
        <w:t>028-8</w:t>
      </w:r>
      <w:r>
        <w:rPr>
          <w:rFonts w:hint="eastAsia" w:ascii="宋体" w:hAnsi="宋体"/>
          <w:color w:val="000000"/>
          <w:sz w:val="28"/>
          <w:szCs w:val="28"/>
        </w:rPr>
        <w:t>8606008</w:t>
      </w:r>
    </w:p>
    <w:p>
      <w:pPr>
        <w:snapToGrid w:val="0"/>
        <w:spacing w:line="640" w:lineRule="exact"/>
        <w:ind w:firstLine="562" w:firstLineChars="200"/>
        <w:jc w:val="both"/>
        <w:rPr>
          <w:rFonts w:ascii="宋体" w:hAnsi="宋体"/>
          <w:b/>
          <w:color w:val="000000"/>
          <w:sz w:val="28"/>
          <w:szCs w:val="28"/>
        </w:rPr>
      </w:pPr>
      <w:r>
        <w:rPr>
          <w:rFonts w:hint="eastAsia" w:ascii="宋体" w:hAnsi="宋体"/>
          <w:b/>
          <w:sz w:val="28"/>
          <w:szCs w:val="28"/>
        </w:rPr>
        <w:t>政府采购监督机构：</w:t>
      </w:r>
      <w:r>
        <w:rPr>
          <w:rFonts w:hint="eastAsia" w:ascii="宋体" w:hAnsi="宋体"/>
          <w:b/>
          <w:color w:val="000000"/>
          <w:sz w:val="28"/>
          <w:szCs w:val="28"/>
        </w:rPr>
        <w:t>蒲江县财政局</w:t>
      </w:r>
    </w:p>
    <w:p>
      <w:pPr>
        <w:snapToGrid w:val="0"/>
        <w:spacing w:line="640" w:lineRule="exact"/>
        <w:ind w:firstLine="705" w:firstLineChars="252"/>
        <w:jc w:val="both"/>
        <w:rPr>
          <w:rFonts w:ascii="宋体" w:hAnsi="宋体"/>
          <w:color w:val="000000"/>
          <w:sz w:val="28"/>
          <w:szCs w:val="28"/>
        </w:rPr>
      </w:pPr>
      <w:r>
        <w:rPr>
          <w:rFonts w:hint="eastAsia" w:ascii="宋体" w:hAnsi="宋体"/>
          <w:color w:val="000000"/>
          <w:sz w:val="28"/>
          <w:szCs w:val="28"/>
        </w:rPr>
        <w:t>地</w:t>
      </w:r>
      <w:r>
        <w:rPr>
          <w:rFonts w:ascii="宋体" w:hAnsi="宋体"/>
          <w:color w:val="000000"/>
          <w:sz w:val="28"/>
          <w:szCs w:val="28"/>
        </w:rPr>
        <w:t xml:space="preserve"> </w:t>
      </w:r>
      <w:r>
        <w:rPr>
          <w:rFonts w:hint="eastAsia" w:ascii="宋体" w:hAnsi="宋体"/>
          <w:color w:val="000000"/>
          <w:sz w:val="28"/>
          <w:szCs w:val="28"/>
        </w:rPr>
        <w:t>址：蒲江县鹤山街道桫椤路73号</w:t>
      </w:r>
    </w:p>
    <w:p>
      <w:pPr>
        <w:snapToGrid w:val="0"/>
        <w:spacing w:line="640" w:lineRule="exact"/>
        <w:ind w:firstLine="705" w:firstLineChars="252"/>
        <w:jc w:val="both"/>
        <w:rPr>
          <w:rFonts w:ascii="宋体" w:hAnsi="宋体"/>
          <w:color w:val="000000"/>
          <w:sz w:val="28"/>
          <w:szCs w:val="22"/>
        </w:rPr>
      </w:pPr>
      <w:r>
        <w:rPr>
          <w:rFonts w:hint="eastAsia" w:ascii="宋体" w:hAnsi="宋体"/>
          <w:color w:val="000000"/>
          <w:sz w:val="28"/>
          <w:szCs w:val="28"/>
        </w:rPr>
        <w:t>联系人：</w:t>
      </w:r>
      <w:r>
        <w:rPr>
          <w:rFonts w:hint="eastAsia" w:ascii="宋体" w:hAnsi="宋体"/>
          <w:color w:val="000000"/>
          <w:sz w:val="28"/>
          <w:szCs w:val="22"/>
        </w:rPr>
        <w:t>袁星祥</w:t>
      </w:r>
    </w:p>
    <w:p>
      <w:pPr>
        <w:snapToGrid w:val="0"/>
        <w:spacing w:line="640" w:lineRule="exact"/>
        <w:ind w:firstLine="705" w:firstLineChars="252"/>
        <w:jc w:val="both"/>
        <w:rPr>
          <w:rFonts w:ascii="宋体" w:hAnsi="宋体"/>
          <w:color w:val="000000"/>
          <w:sz w:val="28"/>
          <w:szCs w:val="28"/>
        </w:rPr>
      </w:pPr>
      <w:r>
        <w:rPr>
          <w:rFonts w:hint="eastAsia" w:ascii="宋体" w:hAnsi="宋体"/>
          <w:color w:val="000000"/>
          <w:sz w:val="28"/>
          <w:szCs w:val="28"/>
        </w:rPr>
        <w:t>联系电话：</w:t>
      </w:r>
      <w:r>
        <w:rPr>
          <w:rFonts w:ascii="宋体" w:hAnsi="宋体"/>
          <w:color w:val="000000"/>
          <w:sz w:val="28"/>
          <w:szCs w:val="28"/>
        </w:rPr>
        <w:t>028-</w:t>
      </w:r>
      <w:r>
        <w:rPr>
          <w:rFonts w:hint="eastAsia" w:ascii="宋体" w:hAnsi="宋体"/>
          <w:color w:val="000000"/>
          <w:sz w:val="28"/>
          <w:szCs w:val="28"/>
        </w:rPr>
        <w:t>88555192</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p>
    <w:p>
      <w:pPr>
        <w:pStyle w:val="3"/>
        <w:numPr>
          <w:ilvl w:val="0"/>
          <w:numId w:val="1"/>
        </w:numPr>
        <w:spacing w:before="0" w:after="0"/>
        <w:ind w:left="0" w:firstLine="0"/>
      </w:pPr>
      <w:bookmarkStart w:id="1" w:name="_Toc75159540"/>
      <w:bookmarkStart w:id="2" w:name="_Toc391885334"/>
      <w:bookmarkStart w:id="3" w:name="_Toc381263230"/>
      <w:bookmarkStart w:id="4" w:name="_Toc287623638"/>
      <w:r>
        <w:rPr>
          <w:rFonts w:hint="eastAsia"/>
        </w:rPr>
        <w:t>供应商须知</w:t>
      </w:r>
      <w:bookmarkEnd w:id="1"/>
      <w:bookmarkEnd w:id="2"/>
    </w:p>
    <w:p>
      <w:pPr>
        <w:pStyle w:val="4"/>
        <w:ind w:left="1091" w:leftChars="0" w:hanging="851" w:firstLineChars="0"/>
      </w:pPr>
      <w:bookmarkStart w:id="5" w:name="_Toc75159541"/>
      <w:r>
        <w:rPr>
          <w:rFonts w:hint="eastAsia"/>
        </w:rPr>
        <w:t>供应商须知前附表</w:t>
      </w:r>
      <w:bookmarkEnd w:id="5"/>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sz w:val="28"/>
                <w:szCs w:val="28"/>
                <w:lang w:val="en-US" w:eastAsia="zh-CN"/>
              </w:rPr>
              <w:t>40</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p>
        </w:tc>
        <w:tc>
          <w:tcPr>
            <w:tcW w:w="6383" w:type="dxa"/>
            <w:vAlign w:val="center"/>
          </w:tcPr>
          <w:p>
            <w:pPr>
              <w:pStyle w:val="148"/>
              <w:spacing w:line="360" w:lineRule="auto"/>
              <w:ind w:left="38" w:hanging="24"/>
              <w:rPr>
                <w:b/>
                <w:lang w:val="zh-CN"/>
              </w:rPr>
            </w:pPr>
            <w:r>
              <w:rPr>
                <w:rFonts w:hint="eastAsia" w:cs="Times New Roman"/>
                <w:b/>
                <w:kern w:val="2"/>
              </w:rPr>
              <w:t>本项目最高限价为人民币</w:t>
            </w:r>
            <w:r>
              <w:rPr>
                <w:rFonts w:hint="eastAsia"/>
                <w:b/>
                <w:sz w:val="28"/>
                <w:szCs w:val="28"/>
                <w:lang w:val="en-US" w:eastAsia="zh-CN"/>
              </w:rPr>
              <w:t>40</w:t>
            </w:r>
            <w:r>
              <w:rPr>
                <w:rFonts w:hint="eastAsia" w:cs="Times New Roman"/>
                <w:b/>
                <w:kern w:val="2"/>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p>
        </w:tc>
        <w:tc>
          <w:tcPr>
            <w:tcW w:w="6383" w:type="dxa"/>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adjustRightInd w:val="0"/>
              <w:snapToGrid w:val="0"/>
              <w:spacing w:line="400" w:lineRule="exact"/>
              <w:ind w:firstLine="480" w:firstLineChars="200"/>
              <w:rPr>
                <w:rFonts w:ascii="宋体" w:hAnsi="宋体"/>
                <w:b/>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1、根据财政部 工业和信息化部《关于印发&lt;政府采购促进中小企业发展管理办法&gt;的通知》（财库[2020]46号）的规定，对小微企业制造的货物的价格给予10%的价格扣除，用扣除后的价格参加评审。供应商提供的货物既有中小企业制造货物，也有大型企业制造货物的，不享受价格扣除。</w:t>
            </w:r>
          </w:p>
          <w:p>
            <w:pPr>
              <w:adjustRightInd w:val="0"/>
              <w:snapToGrid w:val="0"/>
              <w:spacing w:line="400" w:lineRule="exact"/>
              <w:ind w:firstLine="240" w:firstLineChars="100"/>
              <w:rPr>
                <w:rFonts w:ascii="宋体" w:hAnsi="宋体" w:cs="宋体"/>
              </w:rPr>
            </w:pPr>
            <w:r>
              <w:rPr>
                <w:rFonts w:hint="eastAsia" w:ascii="宋体" w:hAnsi="宋体" w:cs="宋体"/>
              </w:rPr>
              <w:t xml:space="preserve"> 2、供应商应提供《中小企业声明函》原件。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监狱企业价格扣除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１、根据《关于政府采购支持监狱企业发展有关问题的通知》（财库[2014]68号）的规定，监狱企业视同小型和微型企业，对监狱企业制造的货物的价格给予10%的价格扣除，用扣除后的价格参与评审。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２、产品中为监狱企业生产的产品应提供由省级以上监狱管理局、戒毒管理局（含新疆生产建设兵团）出具的供应商属于监狱企业的证明文件复印件。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p>
          <w:p>
            <w:pPr>
              <w:pStyle w:val="148"/>
              <w:spacing w:line="360" w:lineRule="auto"/>
              <w:rPr>
                <w:lang w:val="zh-CN"/>
              </w:rPr>
            </w:pPr>
            <w:r>
              <w:rPr>
                <w:rFonts w:hint="eastAsia"/>
                <w:lang w:val="zh-CN"/>
              </w:rPr>
              <w:t>残疾人福利性单位价格扣除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三部门联合发布关于促进残疾人就业政府采购政策的通知》（财库[2017]141号）的规定，残疾人福利性单位视同小型和微型企业，对残疾人福利性单位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2、供应商应提供《残疾人福利性单位声明函》原件。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询价保证金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本项目不收取询价保证金。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rPr>
              <w:t>详见供应商须知2.7.4。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响应文件的签章和加密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对询价通知书中供应商参加本次政府采购活动应当具备的条件、项目技术、服务、商务及其他要求，评分细则及标准的询问、质疑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对询价通知书中的其他内容、采购过程及成交结果的询问、质疑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县</w:t>
            </w:r>
            <w:r>
              <w:rPr>
                <w:rFonts w:hint="eastAsia" w:ascii="宋体" w:hAnsi="宋体"/>
              </w:rPr>
              <w:t>公资交易中心提出，并由</w:t>
            </w:r>
            <w:r>
              <w:rPr>
                <w:rFonts w:hint="eastAsia" w:ascii="宋体" w:hAnsi="宋体"/>
                <w:lang w:eastAsia="zh-CN"/>
              </w:rPr>
              <w:t>县</w:t>
            </w:r>
            <w:r>
              <w:rPr>
                <w:rFonts w:hint="eastAsia" w:ascii="宋体" w:hAnsi="宋体"/>
              </w:rPr>
              <w:t>公资交易中心按相关规定作出答复（详见供应商须知2.9）。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6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投诉受理单位：本项目同级财政部门，即蒲江县财政局。</w:t>
            </w:r>
          </w:p>
          <w:p>
            <w:pPr>
              <w:tabs>
                <w:tab w:val="left" w:pos="7665"/>
              </w:tabs>
              <w:snapToGrid w:val="0"/>
              <w:spacing w:line="360" w:lineRule="auto"/>
              <w:rPr>
                <w:rFonts w:ascii="宋体" w:hAnsi="宋体"/>
              </w:rPr>
            </w:pPr>
            <w:r>
              <w:rPr>
                <w:rFonts w:hint="eastAsia" w:ascii="宋体" w:hAnsi="宋体"/>
              </w:rPr>
              <w:t>联系电话：</w:t>
            </w:r>
            <w:r>
              <w:rPr>
                <w:rFonts w:ascii="宋体" w:hAnsi="宋体"/>
              </w:rPr>
              <w:t>028-</w:t>
            </w:r>
            <w:r>
              <w:rPr>
                <w:rFonts w:hint="eastAsia" w:ascii="宋体" w:hAnsi="宋体"/>
              </w:rPr>
              <w:t>88555192。</w:t>
            </w:r>
          </w:p>
          <w:p>
            <w:pPr>
              <w:tabs>
                <w:tab w:val="left" w:pos="7665"/>
              </w:tabs>
              <w:snapToGrid w:val="0"/>
              <w:spacing w:line="360" w:lineRule="auto"/>
              <w:rPr>
                <w:rFonts w:hint="eastAsia" w:ascii="宋体" w:hAnsi="宋体"/>
                <w:lang w:eastAsia="zh-CN"/>
              </w:rPr>
            </w:pPr>
            <w:r>
              <w:rPr>
                <w:rFonts w:hint="eastAsia" w:ascii="宋体" w:hAnsi="宋体"/>
              </w:rPr>
              <w:t>联系人：袁</w:t>
            </w:r>
            <w:r>
              <w:rPr>
                <w:rFonts w:hint="eastAsia" w:ascii="宋体" w:hAnsi="宋体"/>
                <w:lang w:eastAsia="zh-CN"/>
              </w:rPr>
              <w:t>星祥</w:t>
            </w:r>
          </w:p>
          <w:p>
            <w:pPr>
              <w:tabs>
                <w:tab w:val="left" w:pos="7665"/>
              </w:tabs>
              <w:snapToGrid w:val="0"/>
              <w:spacing w:line="360" w:lineRule="auto"/>
              <w:rPr>
                <w:rFonts w:ascii="宋体" w:hAnsi="宋体"/>
              </w:rPr>
            </w:pPr>
            <w:r>
              <w:rPr>
                <w:rFonts w:hint="eastAsia" w:ascii="宋体" w:hAnsi="宋体"/>
              </w:rPr>
              <w:t>地址：蒲江县鹤山街道桫椤路73号。</w:t>
            </w:r>
          </w:p>
          <w:p>
            <w:pPr>
              <w:tabs>
                <w:tab w:val="left" w:pos="7665"/>
              </w:tabs>
              <w:snapToGrid w:val="0"/>
              <w:spacing w:line="360" w:lineRule="auto"/>
              <w:rPr>
                <w:rFonts w:ascii="宋体" w:hAnsi="宋体"/>
              </w:rPr>
            </w:pPr>
            <w:r>
              <w:rPr>
                <w:rFonts w:hint="eastAsia" w:ascii="宋体" w:hAnsi="宋体"/>
              </w:rPr>
              <w:t>邮编：</w:t>
            </w:r>
            <w:r>
              <w:rPr>
                <w:rFonts w:ascii="宋体" w:hAnsi="宋体"/>
              </w:rPr>
              <w:t>61</w:t>
            </w:r>
            <w:r>
              <w:rPr>
                <w:rFonts w:hint="eastAsia" w:ascii="宋体" w:hAnsi="宋体"/>
              </w:rPr>
              <w:t>1630</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资格性检查情况、响应文件符合性检查情况、评审结果等将在“成都市公共资源交易服务中心网”、“四川政府采购网”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w:t>
            </w:r>
            <w:r>
              <w:rPr>
                <w:rFonts w:hint="eastAsia" w:ascii="宋体" w:hAnsi="宋体"/>
                <w:lang w:eastAsia="zh-CN"/>
              </w:rPr>
              <w:t>蒲江县</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及向本采购项目同级财政部门，即成都市财政局备案政府采购合同。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的中小企业供应商无需提供财产抵押或第三方担保，凭借政府采购合同可向融资机构申请融资。具体内容详见询价通知书附件《蒲江县支持中小企业政府采购信用融资实施方案》（蒲财发〔2019〕4号）、《蒲江县财政局关于公布蒲江县开展政府采购信用融资业务银行名单的通知》（蒲财采[2019]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ascii="宋体" w:hAnsi="宋体"/>
                <w:color w:val="000000"/>
              </w:rPr>
            </w:pPr>
          </w:p>
          <w:p>
            <w:pPr>
              <w:tabs>
                <w:tab w:val="left" w:pos="7665"/>
              </w:tabs>
              <w:snapToGrid w:val="0"/>
              <w:spacing w:line="360" w:lineRule="auto"/>
              <w:rPr>
                <w:rFonts w:hint="eastAsia" w:ascii="宋体" w:hAnsi="宋体"/>
              </w:rPr>
            </w:pPr>
            <w:r>
              <w:rPr>
                <w:rFonts w:ascii="宋体" w:hAnsi="宋体"/>
                <w:color w:val="000000"/>
              </w:rPr>
              <w:t>项目编号</w:t>
            </w:r>
          </w:p>
        </w:tc>
        <w:tc>
          <w:tcPr>
            <w:tcW w:w="6383" w:type="dxa"/>
            <w:tcBorders>
              <w:top w:val="single" w:color="auto" w:sz="4" w:space="0"/>
              <w:left w:val="single" w:color="auto" w:sz="8" w:space="0"/>
              <w:bottom w:val="single" w:color="auto" w:sz="4" w:space="0"/>
              <w:right w:val="single" w:color="auto" w:sz="18" w:space="0"/>
            </w:tcBorders>
            <w:vAlign w:val="top"/>
          </w:tcPr>
          <w:p>
            <w:pPr>
              <w:tabs>
                <w:tab w:val="left" w:pos="7665"/>
              </w:tabs>
              <w:snapToGrid w:val="0"/>
              <w:spacing w:line="360" w:lineRule="auto"/>
              <w:jc w:val="center"/>
              <w:rPr>
                <w:rFonts w:hint="eastAsia" w:ascii="宋体" w:hAnsi="宋体"/>
                <w:color w:val="000000"/>
                <w:lang w:val="zh-CN"/>
              </w:rPr>
            </w:pPr>
          </w:p>
          <w:p>
            <w:pPr>
              <w:tabs>
                <w:tab w:val="left" w:pos="7665"/>
              </w:tabs>
              <w:snapToGrid w:val="0"/>
              <w:spacing w:line="360" w:lineRule="auto"/>
              <w:jc w:val="center"/>
              <w:rPr>
                <w:rFonts w:hint="eastAsia" w:ascii="宋体" w:hAnsi="宋体"/>
              </w:rPr>
            </w:pPr>
            <w:r>
              <w:rPr>
                <w:rFonts w:hint="eastAsia" w:ascii="宋体" w:hAnsi="宋体"/>
                <w:color w:val="000000"/>
                <w:lang w:val="zh-CN"/>
              </w:rPr>
              <w:t>本项目项目编号以询价通知书编号为准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ind w:left="807" w:leftChars="0" w:firstLineChars="0"/>
      </w:pPr>
      <w:bookmarkStart w:id="6" w:name="_Toc494095619"/>
      <w:bookmarkEnd w:id="6"/>
      <w:bookmarkStart w:id="7" w:name="_Toc494356973"/>
      <w:bookmarkEnd w:id="7"/>
      <w:bookmarkStart w:id="8" w:name="_Toc75159542"/>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本询价通知书仅适用于本询价邀请中所叙述项目的采购。</w:t>
      </w:r>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本询价通知书的最终解释权由采购人或</w:t>
      </w:r>
      <w:r>
        <w:rPr>
          <w:rFonts w:hint="eastAsia" w:ascii="宋体" w:hAnsi="宋体"/>
          <w:sz w:val="28"/>
          <w:szCs w:val="28"/>
          <w:lang w:eastAsia="zh-CN"/>
        </w:rPr>
        <w:t>县</w:t>
      </w:r>
      <w:r>
        <w:rPr>
          <w:rFonts w:hint="eastAsia" w:ascii="宋体" w:hAnsi="宋体"/>
          <w:sz w:val="28"/>
          <w:szCs w:val="28"/>
        </w:rPr>
        <w:t>公资交易中心享有。询价通知书中供应商参加本次政府采购活动应当具备的条件、技术、服务及其他要求、评分标准由采购人负责解释。除上述询价通知书内容，其他内容由</w:t>
      </w:r>
      <w:r>
        <w:rPr>
          <w:rFonts w:hint="eastAsia" w:ascii="宋体" w:hAnsi="宋体"/>
          <w:sz w:val="28"/>
          <w:szCs w:val="28"/>
          <w:lang w:eastAsia="zh-CN"/>
        </w:rPr>
        <w:t>县</w:t>
      </w:r>
      <w:r>
        <w:rPr>
          <w:rFonts w:hint="eastAsia" w:ascii="宋体" w:hAnsi="宋体"/>
          <w:sz w:val="28"/>
          <w:szCs w:val="28"/>
        </w:rPr>
        <w:t>公资交易中心负责解释。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7"/>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eastAsia="zh-CN"/>
        </w:rPr>
        <w:t>蒲江县</w:t>
      </w:r>
      <w:r>
        <w:rPr>
          <w:rFonts w:hint="eastAsia" w:ascii="宋体" w:hAnsi="宋体"/>
          <w:sz w:val="28"/>
          <w:szCs w:val="28"/>
        </w:rPr>
        <w:t>级机关、事业单位、团体组织。本次询价采购项目的采购人是</w:t>
      </w:r>
      <w:r>
        <w:rPr>
          <w:rFonts w:hint="eastAsia" w:ascii="宋体" w:hAnsi="宋体"/>
          <w:b/>
          <w:bCs/>
          <w:color w:val="000000"/>
          <w:sz w:val="28"/>
          <w:szCs w:val="28"/>
        </w:rPr>
        <w:t>蒲江县气象局</w:t>
      </w:r>
      <w:r>
        <w:rPr>
          <w:rFonts w:hint="eastAsia" w:ascii="宋体" w:hAnsi="宋体"/>
          <w:sz w:val="28"/>
          <w:szCs w:val="28"/>
        </w:rPr>
        <w:t>。</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“供应商”系指拟参加询价采购和向采购人提供工程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询价通知书</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询价通知书中所称的“以上”、“以下”、“内”、“以内”，包括本数；所称的“不足”，不包括本数。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不见面开标是指，县公资交易中心依托政府采购云平台组织询价采购活动，供应商在线参与询价</w:t>
      </w:r>
      <w:r>
        <w:rPr>
          <w:rFonts w:ascii="宋体" w:hAnsi="宋体"/>
          <w:sz w:val="28"/>
          <w:szCs w:val="28"/>
        </w:rPr>
        <w:t>采购活动</w:t>
      </w:r>
      <w:r>
        <w:rPr>
          <w:rFonts w:hint="eastAsia" w:ascii="宋体" w:hAnsi="宋体"/>
          <w:sz w:val="28"/>
          <w:szCs w:val="28"/>
        </w:rPr>
        <w:t>的一种组织形式。</w:t>
      </w:r>
    </w:p>
    <w:p>
      <w:pPr>
        <w:pStyle w:val="5"/>
        <w:spacing w:line="600" w:lineRule="exact"/>
        <w:rPr>
          <w:color w:val="auto"/>
        </w:rPr>
      </w:pPr>
      <w:r>
        <w:rPr>
          <w:rFonts w:hint="eastAsia"/>
          <w:color w:val="auto"/>
        </w:rPr>
        <w:t>合格的供应商</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合格的供应商应具备以下条件：符合询价邀请第五条规定的条件</w:t>
      </w:r>
      <w:r>
        <w:rPr>
          <w:rFonts w:hint="eastAsia" w:ascii="宋体" w:hAnsi="宋体"/>
          <w:spacing w:val="-4"/>
          <w:sz w:val="28"/>
          <w:szCs w:val="28"/>
        </w:rPr>
        <w:t>。</w:t>
      </w:r>
    </w:p>
    <w:p>
      <w:pPr>
        <w:pStyle w:val="5"/>
        <w:spacing w:line="600" w:lineRule="exact"/>
        <w:rPr>
          <w:color w:val="auto"/>
        </w:rPr>
      </w:pPr>
      <w:bookmarkStart w:id="10" w:name="_Toc287623640"/>
      <w:bookmarkStart w:id="11" w:name="_Toc320698717"/>
      <w:r>
        <w:rPr>
          <w:rFonts w:hint="eastAsia"/>
          <w:color w:val="auto"/>
        </w:rPr>
        <w:t>参加询价采购的费用</w:t>
      </w:r>
      <w:bookmarkEnd w:id="10"/>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供应商应自行承担参加询价采购活动的全部费用。</w:t>
      </w:r>
    </w:p>
    <w:p>
      <w:pPr>
        <w:pStyle w:val="5"/>
        <w:spacing w:line="600" w:lineRule="exact"/>
        <w:rPr>
          <w:color w:val="auto"/>
        </w:rPr>
      </w:pPr>
      <w:r>
        <w:rPr>
          <w:rFonts w:hint="eastAsia"/>
          <w:color w:val="auto"/>
        </w:rPr>
        <w:t>充分、公平竞争保障措施</w:t>
      </w:r>
    </w:p>
    <w:p>
      <w:pPr>
        <w:pStyle w:val="163"/>
        <w:tabs>
          <w:tab w:val="left" w:pos="851"/>
        </w:tabs>
        <w:snapToGrid w:val="0"/>
        <w:spacing w:line="640" w:lineRule="exact"/>
        <w:ind w:firstLine="565" w:firstLineChars="202"/>
        <w:rPr>
          <w:rFonts w:hAnsi="宋体"/>
          <w:sz w:val="28"/>
          <w:szCs w:val="28"/>
        </w:rPr>
      </w:pPr>
      <w:r>
        <w:rPr>
          <w:rFonts w:hint="eastAsia" w:hAnsi="宋体"/>
          <w:sz w:val="28"/>
          <w:szCs w:val="28"/>
        </w:rPr>
        <w:t>一、单位负责人为同一人或者存在直接控股、管理关系的不同供应商，不得参加同一项目的询价采购活动。</w:t>
      </w:r>
    </w:p>
    <w:p>
      <w:pPr>
        <w:widowControl w:val="0"/>
        <w:tabs>
          <w:tab w:val="left" w:pos="1134"/>
        </w:tabs>
        <w:snapToGrid w:val="0"/>
        <w:spacing w:line="640" w:lineRule="exact"/>
        <w:ind w:firstLine="560" w:firstLineChars="200"/>
        <w:jc w:val="both"/>
        <w:rPr>
          <w:rFonts w:hint="eastAsia" w:hAnsi="宋体"/>
          <w:b/>
          <w:sz w:val="28"/>
          <w:szCs w:val="28"/>
        </w:rPr>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cs="Arial"/>
          <w:sz w:val="28"/>
          <w:szCs w:val="28"/>
        </w:rPr>
        <w:t>市公资交易中心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sz w:val="28"/>
          <w:szCs w:val="28"/>
        </w:rPr>
        <w:t>评审因素和标准、</w:t>
      </w:r>
      <w:r>
        <w:rPr>
          <w:rFonts w:hAnsi="宋体"/>
          <w:sz w:val="28"/>
          <w:szCs w:val="28"/>
        </w:rPr>
        <w:t>政府采购合同等实质性内容条款的，视同为采购项目提供规范编制。</w:t>
      </w:r>
      <w:r>
        <w:rPr>
          <w:rFonts w:hint="eastAsia" w:hAnsi="宋体"/>
          <w:b/>
          <w:sz w:val="28"/>
          <w:szCs w:val="28"/>
        </w:rPr>
        <w:t>（说明：无供应商为本项目提供整体设计、规范编制或者项目管理、监理、检测等服务）。</w:t>
      </w:r>
    </w:p>
    <w:p>
      <w:pPr>
        <w:pStyle w:val="163"/>
        <w:tabs>
          <w:tab w:val="left" w:pos="851"/>
        </w:tabs>
        <w:snapToGrid w:val="0"/>
        <w:spacing w:line="640" w:lineRule="exact"/>
        <w:ind w:firstLine="565" w:firstLineChars="202"/>
        <w:rPr>
          <w:rFonts w:hAnsi="宋体" w:cs="宋体"/>
          <w:b/>
          <w:bCs/>
          <w:color w:val="000000"/>
          <w:sz w:val="28"/>
          <w:szCs w:val="28"/>
        </w:rPr>
      </w:pPr>
      <w:r>
        <w:rPr>
          <w:rFonts w:hint="eastAsia" w:hAnsi="宋体" w:cs="宋体"/>
          <w:color w:val="000000"/>
          <w:sz w:val="28"/>
          <w:szCs w:val="28"/>
          <w:lang w:eastAsia="zh-CN"/>
        </w:rPr>
        <w:t>三、</w:t>
      </w:r>
      <w:r>
        <w:rPr>
          <w:rFonts w:hAnsi="宋体" w:cs="宋体"/>
          <w:color w:val="000000"/>
          <w:sz w:val="28"/>
          <w:szCs w:val="28"/>
        </w:rPr>
        <w:t>提供相同品牌产品处理。提供相同品牌产品的不同供应商参加同一合同项下的采购项目，以其中通过资格审查</w:t>
      </w:r>
      <w:r>
        <w:rPr>
          <w:rFonts w:hint="eastAsia" w:hAnsi="宋体" w:cs="宋体"/>
          <w:color w:val="000000"/>
          <w:sz w:val="28"/>
          <w:szCs w:val="28"/>
        </w:rPr>
        <w:t>和符合性审查</w:t>
      </w:r>
      <w:r>
        <w:rPr>
          <w:rFonts w:hAnsi="宋体" w:cs="宋体"/>
          <w:color w:val="000000"/>
          <w:sz w:val="28"/>
          <w:szCs w:val="28"/>
        </w:rPr>
        <w:t>且报价最低的供应商参加询价，报价相同的，由</w:t>
      </w:r>
      <w:r>
        <w:rPr>
          <w:rFonts w:hint="eastAsia" w:hAnsi="宋体" w:cs="宋体"/>
          <w:color w:val="000000"/>
          <w:sz w:val="28"/>
          <w:szCs w:val="28"/>
        </w:rPr>
        <w:t>评审小组采取随机抽取的方式确定一个供应商获得成交候选人的推荐资格。</w:t>
      </w:r>
      <w:r>
        <w:rPr>
          <w:rFonts w:hAnsi="宋体" w:cs="宋体"/>
          <w:color w:val="000000"/>
          <w:sz w:val="28"/>
          <w:szCs w:val="28"/>
        </w:rPr>
        <w:t>非单一产品采购项目中，多家供应商提供的部分或所有核心产品品牌相同的，视为提供相同</w:t>
      </w:r>
      <w:r>
        <w:rPr>
          <w:rFonts w:hint="eastAsia" w:hAnsi="宋体" w:cs="宋体"/>
          <w:color w:val="000000"/>
          <w:sz w:val="28"/>
          <w:szCs w:val="28"/>
        </w:rPr>
        <w:t>品牌产品。</w:t>
      </w:r>
      <w:r>
        <w:rPr>
          <w:rFonts w:hint="eastAsia" w:hAnsi="宋体" w:cs="宋体"/>
          <w:b/>
          <w:bCs/>
          <w:color w:val="000000"/>
          <w:sz w:val="28"/>
          <w:szCs w:val="28"/>
        </w:rPr>
        <w:t>本项目核心产品为：大气负氧离子自动监测系统。</w:t>
      </w:r>
    </w:p>
    <w:p>
      <w:pPr>
        <w:pStyle w:val="44"/>
      </w:pPr>
    </w:p>
    <w:p>
      <w:pPr>
        <w:pStyle w:val="4"/>
        <w:spacing w:line="600" w:lineRule="exact"/>
        <w:ind w:left="807" w:leftChars="0" w:firstLineChars="0"/>
      </w:pPr>
      <w:bookmarkStart w:id="12" w:name="_Toc75159543"/>
      <w:r>
        <w:rPr>
          <w:rFonts w:hint="eastAsia"/>
        </w:rPr>
        <w:t>询价通知书</w:t>
      </w:r>
      <w:bookmarkEnd w:id="12"/>
    </w:p>
    <w:p>
      <w:pPr>
        <w:pStyle w:val="5"/>
        <w:spacing w:line="600" w:lineRule="exact"/>
        <w:rPr>
          <w:color w:val="auto"/>
        </w:rPr>
      </w:pPr>
      <w:r>
        <w:rPr>
          <w:rFonts w:hint="eastAsia"/>
          <w:color w:val="auto"/>
        </w:rPr>
        <w:t>询价通知书的构成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一、询价通知书是供应商准备响应文件和参加询价采购</w:t>
      </w:r>
      <w:r>
        <w:rPr>
          <w:rFonts w:ascii="宋体" w:hAnsi="宋体"/>
          <w:sz w:val="28"/>
          <w:szCs w:val="28"/>
        </w:rPr>
        <w:t>活动</w:t>
      </w:r>
      <w:r>
        <w:rPr>
          <w:rFonts w:hint="eastAsia" w:ascii="宋体" w:hAnsi="宋体"/>
          <w:sz w:val="28"/>
          <w:szCs w:val="28"/>
        </w:rPr>
        <w:t>的依据，同时也是评审的重要依据。询价通知书用以阐明采购项目所需的资质、技术、服务及报价等要求、询价采购</w:t>
      </w:r>
      <w:r>
        <w:rPr>
          <w:rFonts w:ascii="宋体" w:hAnsi="宋体"/>
          <w:sz w:val="28"/>
          <w:szCs w:val="28"/>
        </w:rPr>
        <w:t>活动</w:t>
      </w:r>
      <w:r>
        <w:rPr>
          <w:rFonts w:hint="eastAsia" w:ascii="宋体" w:hAnsi="宋体"/>
          <w:sz w:val="28"/>
          <w:szCs w:val="28"/>
        </w:rPr>
        <w:t>程序、有关规定和注意事项以及合同草案条款等。本询价通知书包括以下内容：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（五）询价办法；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二、供应商应认真阅读和充分理解询价通知书中所有的事项、格式条款和规范要求。按照询价通知书的要求提供响应文件，并保证所提供的全部资料的真实性和有效性，一经发现有虚假行为的，将取消其参加询价</w:t>
      </w:r>
      <w:r>
        <w:rPr>
          <w:rFonts w:ascii="宋体" w:hAnsi="宋体"/>
          <w:sz w:val="28"/>
          <w:szCs w:val="28"/>
        </w:rPr>
        <w:t>采购活动</w:t>
      </w:r>
      <w:r>
        <w:rPr>
          <w:rFonts w:hint="eastAsia" w:ascii="宋体" w:hAnsi="宋体"/>
          <w:sz w:val="28"/>
          <w:szCs w:val="28"/>
        </w:rPr>
        <w:t>或成交资格，并承担相应的法律责任。供应商没有对询价通知书全面做出实质性响应所产生的风险由供应商承担。</w:t>
      </w:r>
      <w:bookmarkEnd w:id="11"/>
    </w:p>
    <w:p>
      <w:pPr>
        <w:pStyle w:val="5"/>
        <w:spacing w:line="600" w:lineRule="exact"/>
        <w:rPr>
          <w:color w:val="auto"/>
        </w:rPr>
      </w:pPr>
      <w:bookmarkStart w:id="13" w:name="_Toc183582211"/>
      <w:bookmarkStart w:id="14" w:name="_Toc183682348"/>
      <w:bookmarkStart w:id="15" w:name="_Toc217446040"/>
      <w:r>
        <w:rPr>
          <w:rFonts w:hint="eastAsia"/>
          <w:color w:val="auto"/>
        </w:rPr>
        <w:t>询价</w:t>
      </w:r>
      <w:r>
        <w:rPr>
          <w:color w:val="auto"/>
        </w:rPr>
        <w:t>通知书</w:t>
      </w:r>
      <w:r>
        <w:rPr>
          <w:rFonts w:hint="eastAsia"/>
          <w:color w:val="auto"/>
        </w:rPr>
        <w:t>的澄清</w:t>
      </w:r>
      <w:bookmarkEnd w:id="13"/>
      <w:bookmarkEnd w:id="14"/>
      <w:r>
        <w:rPr>
          <w:rFonts w:hint="eastAsia"/>
          <w:color w:val="auto"/>
        </w:rPr>
        <w:t>和修改</w:t>
      </w:r>
      <w:bookmarkEnd w:id="15"/>
    </w:p>
    <w:p>
      <w:pPr>
        <w:widowControl w:val="0"/>
        <w:numPr>
          <w:ilvl w:val="0"/>
          <w:numId w:val="8"/>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lang w:eastAsia="zh-CN"/>
        </w:rPr>
        <w:t>县</w:t>
      </w:r>
      <w:r>
        <w:rPr>
          <w:rFonts w:hint="eastAsia" w:cs="Arial"/>
          <w:sz w:val="28"/>
          <w:szCs w:val="28"/>
        </w:rPr>
        <w:t>公资交易中心</w:t>
      </w:r>
      <w:r>
        <w:rPr>
          <w:rFonts w:hint="eastAsia" w:ascii="宋体" w:hAnsi="宋体"/>
          <w:sz w:val="28"/>
          <w:szCs w:val="28"/>
        </w:rPr>
        <w:t>可以对已发出的询价通知书进行必要的澄清或者修改。</w:t>
      </w:r>
    </w:p>
    <w:p>
      <w:pPr>
        <w:widowControl w:val="0"/>
        <w:numPr>
          <w:ilvl w:val="0"/>
          <w:numId w:val="8"/>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cs="Arial"/>
          <w:sz w:val="28"/>
          <w:szCs w:val="28"/>
          <w:lang w:eastAsia="zh-CN"/>
        </w:rPr>
        <w:t>县</w:t>
      </w:r>
      <w:r>
        <w:rPr>
          <w:rFonts w:hint="eastAsia" w:ascii="宋体" w:hAnsi="宋体"/>
          <w:sz w:val="28"/>
          <w:szCs w:val="28"/>
        </w:rPr>
        <w:t>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证书登录云平台查看），该澄清或者修改的内容为询价通知书的组成部分。</w:t>
      </w:r>
    </w:p>
    <w:p>
      <w:pPr>
        <w:widowControl w:val="0"/>
        <w:numPr>
          <w:ilvl w:val="0"/>
          <w:numId w:val="8"/>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cs="Arial"/>
          <w:sz w:val="28"/>
          <w:szCs w:val="28"/>
          <w:lang w:eastAsia="zh-CN"/>
        </w:rPr>
        <w:t>县</w:t>
      </w:r>
      <w:r>
        <w:rPr>
          <w:rFonts w:hint="eastAsia" w:ascii="宋体" w:hAnsi="宋体"/>
          <w:sz w:val="28"/>
          <w:szCs w:val="28"/>
        </w:rPr>
        <w:t>公资交易中心</w:t>
      </w:r>
      <w:r>
        <w:rPr>
          <w:rFonts w:ascii="宋体" w:hAnsi="宋体"/>
          <w:sz w:val="28"/>
          <w:szCs w:val="28"/>
        </w:rPr>
        <w:t>应当在提交首次响应文件截止时间至少3</w:t>
      </w:r>
      <w:r>
        <w:rPr>
          <w:rFonts w:hint="eastAsia" w:ascii="宋体" w:hAnsi="宋体"/>
          <w:sz w:val="28"/>
          <w:szCs w:val="28"/>
        </w:rPr>
        <w:t>个</w:t>
      </w:r>
      <w:r>
        <w:rPr>
          <w:rFonts w:ascii="宋体" w:hAnsi="宋体"/>
          <w:sz w:val="28"/>
          <w:szCs w:val="28"/>
        </w:rPr>
        <w:t>工作日前，</w:t>
      </w:r>
      <w:r>
        <w:rPr>
          <w:rFonts w:hint="eastAsia" w:ascii="宋体" w:hAnsi="宋体"/>
          <w:sz w:val="28"/>
          <w:szCs w:val="28"/>
        </w:rPr>
        <w:t>通过政府采购云平台通知所有获取询价通知书的潜在供应商</w:t>
      </w:r>
      <w:r>
        <w:rPr>
          <w:rFonts w:ascii="宋体" w:hAnsi="宋体"/>
          <w:sz w:val="28"/>
          <w:szCs w:val="28"/>
        </w:rPr>
        <w:t>；不足3</w:t>
      </w:r>
      <w:r>
        <w:rPr>
          <w:rFonts w:hint="eastAsia" w:ascii="宋体" w:hAnsi="宋体"/>
          <w:sz w:val="28"/>
          <w:szCs w:val="28"/>
        </w:rPr>
        <w:t>个</w:t>
      </w:r>
      <w:r>
        <w:rPr>
          <w:rFonts w:ascii="宋体" w:hAnsi="宋体"/>
          <w:sz w:val="28"/>
          <w:szCs w:val="28"/>
        </w:rPr>
        <w:t>工作日的，</w:t>
      </w:r>
      <w:r>
        <w:rPr>
          <w:rFonts w:hint="eastAsia" w:ascii="宋体" w:hAnsi="宋体"/>
          <w:sz w:val="28"/>
          <w:szCs w:val="28"/>
        </w:rPr>
        <w:t>采购人或</w:t>
      </w:r>
      <w:r>
        <w:rPr>
          <w:rFonts w:hint="eastAsia" w:cs="Arial"/>
          <w:sz w:val="28"/>
          <w:szCs w:val="28"/>
          <w:lang w:eastAsia="zh-CN"/>
        </w:rPr>
        <w:t>县</w:t>
      </w:r>
      <w:r>
        <w:rPr>
          <w:rFonts w:hint="eastAsia" w:ascii="宋体" w:hAnsi="宋体"/>
          <w:sz w:val="28"/>
          <w:szCs w:val="28"/>
        </w:rPr>
        <w:t>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ind w:left="807" w:leftChars="0" w:firstLineChars="0"/>
      </w:pPr>
      <w:bookmarkStart w:id="16" w:name="_Toc320698720"/>
      <w:bookmarkStart w:id="17" w:name="_Toc75159544"/>
      <w:r>
        <w:rPr>
          <w:rFonts w:hint="eastAsia"/>
        </w:rPr>
        <w:t>响应文件</w:t>
      </w:r>
      <w:bookmarkEnd w:id="16"/>
      <w:bookmarkEnd w:id="17"/>
    </w:p>
    <w:p>
      <w:pPr>
        <w:pStyle w:val="5"/>
        <w:spacing w:line="600" w:lineRule="exact"/>
        <w:rPr>
          <w:color w:val="auto"/>
        </w:rPr>
      </w:pPr>
      <w:bookmarkStart w:id="18" w:name="_Toc320698721"/>
      <w:r>
        <w:rPr>
          <w:rFonts w:hint="eastAsia"/>
          <w:color w:val="auto"/>
        </w:rPr>
        <w:t>响应文件的语言</w:t>
      </w:r>
      <w:bookmarkEnd w:id="18"/>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供应商提交的响应文件以及供应商与采购人或市公资交易中心就有关询价采购活动的所有来往书面文件均须使用中文，响应文件中所附或引用的外文资料，应翻译成中文附在相关外文资料后面（说明：供应商的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0"/>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0"/>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0" w:firstLine="0"/>
        <w:rPr>
          <w:color w:val="auto"/>
        </w:rPr>
      </w:pPr>
      <w:bookmarkStart w:id="21" w:name="_Toc217446047"/>
      <w:r>
        <w:rPr>
          <w:rFonts w:hint="eastAsia"/>
          <w:color w:val="auto"/>
        </w:rPr>
        <w:t>知识产权</w:t>
      </w:r>
      <w:bookmarkEnd w:id="21"/>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响应文件的</w:t>
      </w:r>
      <w:bookmarkEnd w:id="22"/>
      <w:r>
        <w:rPr>
          <w:rFonts w:hint="eastAsia"/>
          <w:color w:val="auto"/>
        </w:rPr>
        <w:t>组成</w:t>
      </w:r>
    </w:p>
    <w:p>
      <w:pPr>
        <w:pStyle w:val="154"/>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：用于报价审查，供应商应在询价小组规定的时间内按询价通知的规定一次报出不得更改的价格。</w:t>
      </w:r>
    </w:p>
    <w:bookmarkEnd w:id="23"/>
    <w:p>
      <w:pPr>
        <w:pStyle w:val="5"/>
        <w:numPr>
          <w:ilvl w:val="3"/>
          <w:numId w:val="1"/>
        </w:numPr>
        <w:spacing w:line="600" w:lineRule="exact"/>
        <w:ind w:left="1843" w:hanging="1843"/>
        <w:rPr>
          <w:color w:val="auto"/>
        </w:rPr>
      </w:pPr>
      <w:bookmarkStart w:id="24" w:name="_Toc320698726"/>
      <w:r>
        <w:rPr>
          <w:rFonts w:hint="eastAsia"/>
          <w:color w:val="auto"/>
        </w:rPr>
        <w:t>响应文件</w:t>
      </w:r>
      <w:bookmarkEnd w:id="24"/>
    </w:p>
    <w:p>
      <w:pPr>
        <w:pStyle w:val="5"/>
        <w:numPr>
          <w:ilvl w:val="4"/>
          <w:numId w:val="1"/>
        </w:numPr>
        <w:spacing w:line="600" w:lineRule="exact"/>
        <w:ind w:left="993" w:hanging="993"/>
      </w:pPr>
      <w:r>
        <w:rPr>
          <w:rFonts w:hint="eastAsia"/>
        </w:rPr>
        <w:t>资格响应文件</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5"/>
        <w:numPr>
          <w:ilvl w:val="4"/>
          <w:numId w:val="1"/>
        </w:numPr>
        <w:spacing w:line="600" w:lineRule="exact"/>
        <w:ind w:left="993" w:hanging="993"/>
        <w:rPr>
          <w:color w:val="auto"/>
        </w:rPr>
      </w:pPr>
      <w:r>
        <w:rPr>
          <w:rFonts w:hint="eastAsia"/>
          <w:color w:val="auto"/>
        </w:rPr>
        <w:t>商务技术响应文件</w:t>
      </w:r>
    </w:p>
    <w:p>
      <w:pPr>
        <w:pStyle w:val="80"/>
        <w:numPr>
          <w:ilvl w:val="0"/>
          <w:numId w:val="14"/>
        </w:numPr>
        <w:ind w:firstLineChars="0"/>
        <w:rPr>
          <w:rFonts w:ascii="宋体" w:hAnsi="宋体"/>
          <w:sz w:val="28"/>
          <w:szCs w:val="28"/>
        </w:rPr>
      </w:pPr>
      <w:r>
        <w:rPr>
          <w:rFonts w:hint="eastAsia" w:ascii="宋体" w:hAnsi="宋体"/>
          <w:sz w:val="28"/>
          <w:szCs w:val="28"/>
        </w:rPr>
        <w:t>报价书；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供应商</w:t>
      </w:r>
      <w:r>
        <w:rPr>
          <w:rFonts w:ascii="宋体" w:hAnsi="宋体"/>
          <w:sz w:val="28"/>
          <w:szCs w:val="28"/>
        </w:rPr>
        <w:t>基本情况表；</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服务</w:t>
      </w:r>
      <w:r>
        <w:rPr>
          <w:rFonts w:ascii="宋体" w:hAnsi="宋体"/>
          <w:sz w:val="28"/>
          <w:szCs w:val="28"/>
        </w:rPr>
        <w:t>方案及服务承诺；</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承诺函；</w:t>
      </w:r>
    </w:p>
    <w:p>
      <w:pPr>
        <w:pStyle w:val="154"/>
        <w:widowControl w:val="0"/>
        <w:numPr>
          <w:ilvl w:val="0"/>
          <w:numId w:val="0"/>
        </w:numPr>
        <w:tabs>
          <w:tab w:val="left" w:pos="1134"/>
        </w:tabs>
        <w:spacing w:line="600" w:lineRule="exact"/>
        <w:ind w:left="567" w:leftChars="0"/>
        <w:jc w:val="both"/>
        <w:rPr>
          <w:rFonts w:ascii="宋体" w:hAnsi="宋体"/>
          <w:sz w:val="28"/>
          <w:szCs w:val="28"/>
        </w:rPr>
      </w:pPr>
      <w:r>
        <w:rPr>
          <w:rFonts w:hint="eastAsia" w:ascii="宋体" w:hAnsi="宋体"/>
          <w:sz w:val="28"/>
          <w:szCs w:val="28"/>
          <w:lang w:eastAsia="zh-CN"/>
        </w:rPr>
        <w:t>六、</w:t>
      </w:r>
      <w:r>
        <w:rPr>
          <w:rFonts w:hint="eastAsia" w:ascii="宋体" w:hAnsi="宋体"/>
          <w:sz w:val="28"/>
          <w:szCs w:val="28"/>
        </w:rPr>
        <w:t>中小企业声明函（说明</w:t>
      </w:r>
      <w:r>
        <w:rPr>
          <w:rFonts w:ascii="宋体" w:hAnsi="宋体"/>
          <w:sz w:val="28"/>
          <w:szCs w:val="28"/>
        </w:rPr>
        <w:t>：</w:t>
      </w:r>
      <w:r>
        <w:rPr>
          <w:rFonts w:hint="eastAsia" w:ascii="宋体" w:hAnsi="宋体"/>
          <w:sz w:val="28"/>
          <w:szCs w:val="28"/>
        </w:rPr>
        <w:t>如未提供中小企业声明函，则不能享受询价通知书规定的价格扣除，但不影响供应商响应文件的有效性）；</w:t>
      </w:r>
    </w:p>
    <w:p>
      <w:pPr>
        <w:pStyle w:val="154"/>
        <w:widowControl w:val="0"/>
        <w:numPr>
          <w:ilvl w:val="0"/>
          <w:numId w:val="0"/>
        </w:numPr>
        <w:tabs>
          <w:tab w:val="left" w:pos="1134"/>
        </w:tabs>
        <w:spacing w:line="600" w:lineRule="exact"/>
        <w:ind w:left="567" w:leftChars="0"/>
        <w:jc w:val="both"/>
        <w:rPr>
          <w:rFonts w:ascii="宋体" w:hAnsi="宋体"/>
          <w:sz w:val="28"/>
          <w:szCs w:val="28"/>
        </w:rPr>
      </w:pPr>
      <w:r>
        <w:rPr>
          <w:rFonts w:hint="eastAsia" w:ascii="宋体" w:hAnsi="宋体"/>
          <w:sz w:val="28"/>
          <w:szCs w:val="28"/>
          <w:lang w:eastAsia="zh-CN"/>
        </w:rPr>
        <w:t>七、</w:t>
      </w:r>
      <w:r>
        <w:rPr>
          <w:rFonts w:hint="eastAsia" w:ascii="宋体" w:hAnsi="宋体"/>
          <w:sz w:val="28"/>
          <w:szCs w:val="28"/>
        </w:rPr>
        <w:t>残疾人福利性单位声明函（说明</w:t>
      </w:r>
      <w:r>
        <w:rPr>
          <w:rFonts w:ascii="宋体" w:hAnsi="宋体"/>
          <w:sz w:val="28"/>
          <w:szCs w:val="28"/>
        </w:rPr>
        <w:t>：</w:t>
      </w:r>
      <w:r>
        <w:rPr>
          <w:rFonts w:hint="eastAsia" w:ascii="宋体" w:hAnsi="宋体"/>
          <w:sz w:val="28"/>
          <w:szCs w:val="28"/>
        </w:rPr>
        <w:t>如未提供残疾人福利性单位声明函，则不能享受询价通知书规定的价格扣除，但不影响供应商响应文件的有效性）。</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hint="eastAsia"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5"/>
        <w:spacing w:line="600" w:lineRule="exact"/>
        <w:rPr>
          <w:color w:val="auto"/>
        </w:rPr>
      </w:pPr>
      <w:bookmarkStart w:id="25" w:name="_Toc320698727"/>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p>
      <w:pPr>
        <w:pStyle w:val="2"/>
        <w:rPr>
          <w:rFonts w:hint="eastAsia" w:eastAsiaTheme="minorEastAsia"/>
          <w:color w:val="FF0000"/>
          <w:lang w:eastAsia="zh-CN"/>
        </w:rPr>
      </w:pPr>
      <w:r>
        <w:rPr>
          <w:rFonts w:hint="eastAsia" w:ascii="宋体" w:hAnsi="宋体"/>
          <w:color w:val="FF0000"/>
          <w:sz w:val="28"/>
          <w:szCs w:val="28"/>
          <w:lang w:eastAsia="zh-CN"/>
        </w:rPr>
        <w:t>注：参加询价的供应商在响应文件里做出“一次性不可更改”的报价</w:t>
      </w:r>
    </w:p>
    <w:p>
      <w:pPr>
        <w:pStyle w:val="2"/>
      </w:pPr>
    </w:p>
    <w:bookmarkEnd w:id="25"/>
    <w:p>
      <w:pPr>
        <w:pStyle w:val="5"/>
        <w:spacing w:line="600" w:lineRule="exact"/>
        <w:rPr>
          <w:color w:val="auto"/>
        </w:rPr>
      </w:pPr>
      <w:bookmarkStart w:id="26"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rPr>
          <w:color w:val="auto"/>
        </w:rPr>
      </w:pPr>
      <w:r>
        <w:rPr>
          <w:rFonts w:hint="eastAsia"/>
          <w:color w:val="auto"/>
        </w:rPr>
        <w:t>响应文件有效期</w:t>
      </w:r>
      <w:bookmarkEnd w:id="26"/>
    </w:p>
    <w:p>
      <w:pPr>
        <w:pStyle w:val="80"/>
        <w:numPr>
          <w:ilvl w:val="0"/>
          <w:numId w:val="16"/>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0"/>
        <w:numPr>
          <w:ilvl w:val="0"/>
          <w:numId w:val="16"/>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询价保证金不被没收。同意延长响应文件有效期的供应商不能修改其响应文件，关于询价保证金的有关规定在延长的响应文件有效期内继续有效。</w:t>
      </w:r>
    </w:p>
    <w:p>
      <w:pPr>
        <w:pStyle w:val="5"/>
        <w:spacing w:line="600" w:lineRule="exact"/>
        <w:rPr>
          <w:color w:val="auto"/>
        </w:rPr>
      </w:pPr>
      <w:bookmarkStart w:id="27" w:name="_Toc320698729"/>
      <w:bookmarkStart w:id="28" w:name="_Toc320698730"/>
      <w:r>
        <w:rPr>
          <w:rFonts w:hint="eastAsia"/>
          <w:color w:val="auto"/>
        </w:rPr>
        <w:t>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资格响应文件、</w:t>
      </w:r>
      <w:r>
        <w:rPr>
          <w:rFonts w:ascii="宋体" w:hAnsi="宋体"/>
          <w:b/>
          <w:sz w:val="28"/>
          <w:szCs w:val="28"/>
        </w:rPr>
        <w:t>商务技术响应文件和报价要求响应文件</w:t>
      </w:r>
      <w:r>
        <w:rPr>
          <w:rFonts w:hint="eastAsia" w:ascii="宋体" w:hAnsi="宋体"/>
          <w:b/>
          <w:sz w:val="28"/>
          <w:szCs w:val="28"/>
        </w:rPr>
        <w:t>应分别加盖有供应商（法定名称）电子签章，不得使用供应商专用章（如经济合同章、投标专用章等）或下属单位印章代替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pPr>
        <w:pStyle w:val="5"/>
        <w:spacing w:line="600" w:lineRule="exact"/>
        <w:rPr>
          <w:color w:val="auto"/>
        </w:rPr>
      </w:pPr>
      <w:bookmarkStart w:id="29" w:name="_Toc320698731"/>
      <w:r>
        <w:rPr>
          <w:rFonts w:hint="eastAsia"/>
          <w:color w:val="auto"/>
        </w:rPr>
        <w:t>响应文件的递交</w:t>
      </w:r>
      <w:bookmarkEnd w:id="29"/>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w:t>
      </w:r>
      <w:r>
        <w:rPr>
          <w:rFonts w:hint="eastAsia" w:cs="Arial"/>
          <w:sz w:val="28"/>
          <w:szCs w:val="28"/>
          <w:lang w:eastAsia="zh-CN"/>
        </w:rPr>
        <w:t>县</w:t>
      </w:r>
      <w:r>
        <w:rPr>
          <w:rFonts w:hint="eastAsia" w:ascii="宋体" w:hAnsi="宋体"/>
          <w:bCs/>
          <w:sz w:val="28"/>
          <w:szCs w:val="28"/>
        </w:rPr>
        <w:t>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响应文件的补充、修改和撤回</w:t>
      </w:r>
      <w:bookmarkEnd w:id="30"/>
    </w:p>
    <w:p>
      <w:pPr>
        <w:widowControl w:val="0"/>
        <w:numPr>
          <w:ilvl w:val="0"/>
          <w:numId w:val="18"/>
        </w:numPr>
        <w:tabs>
          <w:tab w:val="left" w:pos="1134"/>
        </w:tabs>
        <w:spacing w:line="360" w:lineRule="auto"/>
        <w:ind w:left="0" w:firstLine="567"/>
        <w:jc w:val="both"/>
        <w:rPr>
          <w:rFonts w:ascii="宋体" w:hAnsi="宋体"/>
          <w:sz w:val="28"/>
          <w:szCs w:val="28"/>
        </w:rPr>
      </w:pPr>
      <w:bookmarkStart w:id="31" w:name="_Toc494095623"/>
      <w:bookmarkEnd w:id="31"/>
      <w:bookmarkStart w:id="32" w:name="_Toc494356977"/>
      <w:bookmarkEnd w:id="32"/>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cs="Arial"/>
          <w:sz w:val="28"/>
          <w:szCs w:val="28"/>
          <w:lang w:eastAsia="zh-CN"/>
        </w:rPr>
        <w:t>县</w:t>
      </w:r>
      <w:r>
        <w:rPr>
          <w:rFonts w:hint="eastAsia" w:ascii="宋体" w:hAnsi="宋体"/>
          <w:sz w:val="28"/>
          <w:szCs w:val="28"/>
        </w:rPr>
        <w:t>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cs="Arial"/>
          <w:sz w:val="28"/>
          <w:szCs w:val="28"/>
          <w:lang w:eastAsia="zh-CN"/>
        </w:rPr>
        <w:t>县</w:t>
      </w:r>
      <w:r>
        <w:rPr>
          <w:rFonts w:hint="eastAsia" w:ascii="宋体" w:hAnsi="宋体"/>
          <w:sz w:val="28"/>
          <w:szCs w:val="28"/>
        </w:rPr>
        <w:t>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240" w:leftChars="0" w:firstLine="0" w:firstLineChars="0"/>
      </w:pPr>
      <w:bookmarkStart w:id="33" w:name="_Toc183582232"/>
      <w:bookmarkStart w:id="34" w:name="_Toc183682369"/>
      <w:bookmarkStart w:id="35" w:name="_Toc217446057"/>
      <w:bookmarkStart w:id="36" w:name="_Toc75159545"/>
      <w:r>
        <w:rPr>
          <w:rFonts w:hint="eastAsia"/>
        </w:rPr>
        <w:t>开标</w:t>
      </w:r>
      <w:bookmarkEnd w:id="33"/>
      <w:bookmarkEnd w:id="34"/>
      <w:bookmarkEnd w:id="35"/>
      <w:r>
        <w:rPr>
          <w:rFonts w:hint="eastAsia"/>
        </w:rPr>
        <w:t>及开标程序</w:t>
      </w:r>
      <w:bookmarkEnd w:id="36"/>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公资交易中心开启解密后，供应商进行线上解密。除因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公资交易中心断电、断网、系统故障或其他不可抗力等因素，导致系统无法使用外，供应商在规定的解密时间内，未成功解密的响应文件将视为无效响应文件。</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公资交易中心相关工作人员有需要回避的情形的，及时向工作人员提出询问或者回避申请。采购人、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公资交易中心对供应商供应商提出的询问或者回避申请应当及时处理。</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公资交易中心断电、断网、系统故障或其他不可抗力等因素导致不见面开标系统无法正常运行的，开标活动中止或延迟，待系统恢复正常后继续进行开标活动。</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spacing w:line="600" w:lineRule="exact"/>
        <w:ind w:left="807" w:leftChars="0" w:firstLineChars="0"/>
      </w:pPr>
      <w:bookmarkStart w:id="37" w:name="_Toc75159546"/>
      <w:r>
        <w:t>成交通知书</w:t>
      </w:r>
      <w:bookmarkEnd w:id="37"/>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ind w:left="807" w:leftChars="0" w:firstLineChars="0"/>
      </w:pPr>
      <w:bookmarkStart w:id="38" w:name="_Toc75159547"/>
      <w:bookmarkStart w:id="39" w:name="_Toc287623650"/>
      <w:r>
        <w:rPr>
          <w:rFonts w:hint="eastAsia"/>
        </w:rPr>
        <w:t>签订及履行合同和验收</w:t>
      </w:r>
      <w:bookmarkEnd w:id="38"/>
    </w:p>
    <w:p>
      <w:pPr>
        <w:pStyle w:val="5"/>
        <w:spacing w:line="600" w:lineRule="exact"/>
        <w:rPr>
          <w:color w:val="auto"/>
        </w:rPr>
      </w:pPr>
      <w:r>
        <w:rPr>
          <w:rFonts w:hint="eastAsia"/>
          <w:color w:val="auto"/>
        </w:rPr>
        <w:t>签订合同</w:t>
      </w:r>
      <w:bookmarkEnd w:id="39"/>
    </w:p>
    <w:p>
      <w:pPr>
        <w:widowControl w:val="0"/>
        <w:numPr>
          <w:ilvl w:val="0"/>
          <w:numId w:val="21"/>
        </w:numPr>
        <w:tabs>
          <w:tab w:val="left" w:pos="1134"/>
        </w:tabs>
        <w:spacing w:line="360" w:lineRule="auto"/>
        <w:ind w:left="0" w:firstLine="565" w:firstLineChars="202"/>
        <w:jc w:val="both"/>
        <w:rPr>
          <w:rFonts w:ascii="宋体" w:hAnsi="宋体"/>
          <w:sz w:val="28"/>
          <w:szCs w:val="28"/>
        </w:rPr>
      </w:pPr>
      <w:bookmarkStart w:id="40"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1" w:name="_Toc217446066"/>
      <w:r>
        <w:rPr>
          <w:rFonts w:hint="eastAsia"/>
          <w:color w:val="auto"/>
        </w:rPr>
        <w:t>合同分包</w:t>
      </w:r>
      <w:bookmarkEnd w:id="41"/>
      <w:r>
        <w:rPr>
          <w:rFonts w:hint="eastAsia"/>
          <w:color w:val="auto"/>
        </w:rPr>
        <w:t>和转包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2" w:name="_Toc217446067"/>
      <w:r>
        <w:rPr>
          <w:rFonts w:hint="eastAsia"/>
          <w:color w:val="auto"/>
        </w:rPr>
        <w:t>采购人增加合同标的的权</w:t>
      </w:r>
      <w:bookmarkEnd w:id="42"/>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3" w:name="_Toc217446068"/>
      <w:r>
        <w:rPr>
          <w:rFonts w:hint="eastAsia"/>
          <w:color w:val="auto"/>
        </w:rPr>
        <w:t>履约保证金</w:t>
      </w:r>
      <w:bookmarkEnd w:id="43"/>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及按成都市财政局的要求完成合同备案工作。</w:t>
      </w:r>
    </w:p>
    <w:bookmarkEnd w:id="40"/>
    <w:p>
      <w:pPr>
        <w:pStyle w:val="5"/>
        <w:spacing w:line="600" w:lineRule="exact"/>
        <w:rPr>
          <w:color w:val="auto"/>
        </w:rPr>
      </w:pPr>
      <w:bookmarkStart w:id="44" w:name="_Toc217446070"/>
      <w:r>
        <w:rPr>
          <w:rFonts w:hint="eastAsia" w:cs="宋体"/>
          <w:color w:val="auto"/>
        </w:rPr>
        <w:t>履行</w:t>
      </w:r>
      <w:r>
        <w:rPr>
          <w:rFonts w:hint="eastAsia"/>
          <w:color w:val="auto"/>
        </w:rPr>
        <w:t>合同</w:t>
      </w:r>
    </w:p>
    <w:p>
      <w:pPr>
        <w:widowControl w:val="0"/>
        <w:numPr>
          <w:ilvl w:val="0"/>
          <w:numId w:val="24"/>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4"/>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4"/>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ind w:left="807" w:leftChars="0" w:firstLineChars="0"/>
      </w:pPr>
      <w:bookmarkStart w:id="45" w:name="_Toc75159548"/>
      <w:r>
        <w:rPr>
          <w:rFonts w:hint="eastAsia"/>
        </w:rPr>
        <w:t>询价</w:t>
      </w:r>
      <w:r>
        <w:t>采购</w:t>
      </w:r>
      <w:r>
        <w:rPr>
          <w:rFonts w:hint="eastAsia"/>
        </w:rPr>
        <w:t>工作纪律及要求</w:t>
      </w:r>
      <w:bookmarkEnd w:id="45"/>
    </w:p>
    <w:p>
      <w:pPr>
        <w:pStyle w:val="5"/>
        <w:spacing w:line="600" w:lineRule="exact"/>
        <w:ind w:left="0" w:firstLine="0"/>
        <w:rPr>
          <w:color w:val="auto"/>
        </w:rPr>
      </w:pPr>
      <w:bookmarkStart w:id="46" w:name="_Toc217446075"/>
      <w:r>
        <w:rPr>
          <w:rFonts w:hint="eastAsia"/>
          <w:color w:val="auto"/>
        </w:rPr>
        <w:t>供应商不得具有的情形</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cs="Arial"/>
          <w:sz w:val="28"/>
          <w:szCs w:val="28"/>
          <w:lang w:eastAsia="zh-CN"/>
        </w:rPr>
        <w:t>县</w:t>
      </w:r>
      <w:r>
        <w:rPr>
          <w:rFonts w:hint="eastAsia" w:ascii="宋体" w:hAnsi="宋体"/>
          <w:sz w:val="28"/>
          <w:szCs w:val="28"/>
        </w:rPr>
        <w:t>公资交易中心、其他供应商恶意串通；</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cs="Arial"/>
          <w:sz w:val="28"/>
          <w:szCs w:val="28"/>
          <w:lang w:eastAsia="zh-CN"/>
        </w:rPr>
        <w:t>县</w:t>
      </w:r>
      <w:r>
        <w:rPr>
          <w:rFonts w:hint="eastAsia" w:ascii="宋体" w:hAnsi="宋体"/>
          <w:sz w:val="28"/>
          <w:szCs w:val="28"/>
        </w:rPr>
        <w:t>公资交易中心、询价小组成员行贿或者提供其他不正当利益；</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5"/>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color w:val="auto"/>
        </w:rPr>
      </w:pPr>
      <w:bookmarkStart w:id="47" w:name="_Toc314574786"/>
      <w:r>
        <w:rPr>
          <w:rFonts w:hint="eastAsia"/>
          <w:color w:val="auto"/>
        </w:rPr>
        <w:t>保密</w:t>
      </w:r>
      <w:bookmarkEnd w:id="47"/>
    </w:p>
    <w:p>
      <w:pPr>
        <w:pStyle w:val="13"/>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ind w:left="807" w:leftChars="0" w:firstLineChars="0"/>
      </w:pPr>
      <w:bookmarkStart w:id="48" w:name="_Toc405886181"/>
      <w:bookmarkStart w:id="49" w:name="_Toc75159549"/>
      <w:r>
        <w:rPr>
          <w:rFonts w:hint="eastAsia"/>
        </w:rPr>
        <w:t>询问、质疑</w:t>
      </w:r>
      <w:bookmarkEnd w:id="48"/>
      <w:r>
        <w:rPr>
          <w:rFonts w:hint="eastAsia"/>
        </w:rPr>
        <w:t>和投诉</w:t>
      </w:r>
      <w:bookmarkEnd w:id="49"/>
    </w:p>
    <w:p>
      <w:pPr>
        <w:pStyle w:val="27"/>
        <w:numPr>
          <w:ilvl w:val="0"/>
          <w:numId w:val="27"/>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0"/>
        <w:numPr>
          <w:ilvl w:val="0"/>
          <w:numId w:val="27"/>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供应商对询价通知书中供应商参加本次政府采购活动应当具备的条件、项目技术、服务、商务及其他要求，评分细则及标准提出询问或质疑的，应通过</w:t>
      </w:r>
      <w:r>
        <w:rPr>
          <w:rFonts w:ascii="宋体" w:hAnsi="宋体"/>
          <w:sz w:val="28"/>
          <w:szCs w:val="28"/>
        </w:rPr>
        <w:t>政府采购云平台</w:t>
      </w:r>
      <w:r>
        <w:rPr>
          <w:rFonts w:hint="eastAsia" w:ascii="宋体" w:hAnsi="宋体"/>
          <w:sz w:val="28"/>
          <w:szCs w:val="28"/>
        </w:rPr>
        <w:t>向采购人提出；</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w:t>
      </w:r>
      <w:r>
        <w:rPr>
          <w:rFonts w:hint="eastAsia" w:ascii="宋体" w:hAnsi="宋体"/>
          <w:sz w:val="28"/>
          <w:szCs w:val="28"/>
          <w:lang w:eastAsia="zh-CN"/>
        </w:rPr>
        <w:t>县</w:t>
      </w:r>
      <w:r>
        <w:rPr>
          <w:rFonts w:hint="eastAsia" w:ascii="宋体" w:hAnsi="宋体"/>
          <w:sz w:val="28"/>
          <w:szCs w:val="28"/>
        </w:rPr>
        <w:t>公资交易中心提出。</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ind w:left="807" w:leftChars="0" w:firstLineChars="0"/>
      </w:pPr>
      <w:bookmarkStart w:id="50" w:name="_Toc376425021"/>
      <w:bookmarkEnd w:id="50"/>
      <w:bookmarkStart w:id="51" w:name="_Toc3363724"/>
      <w:bookmarkStart w:id="52" w:name="_Toc75159550"/>
      <w:r>
        <w:rPr>
          <w:rFonts w:hint="eastAsia"/>
        </w:rPr>
        <w:t>中小企业政府采购信用融资</w:t>
      </w:r>
      <w:bookmarkEnd w:id="51"/>
      <w:bookmarkEnd w:id="52"/>
    </w:p>
    <w:p>
      <w:pPr>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一、参与本次招标活动的中小企业投标人无需提供财产抵押或第三方担保，凭借政府采购合同可向融资机构申请融资。</w:t>
      </w:r>
    </w:p>
    <w:p>
      <w:pPr>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二、《蒲江县支持中小企业政府采购信用融资实施方案》（蒲财发〔2019〕4号）、《蒲江县财政局关于公布蒲江县开展政府采购信用融资业务银行名单的通知》（蒲财采[2019]6号）。</w:t>
      </w:r>
    </w:p>
    <w:p>
      <w:pPr>
        <w:rPr>
          <w:rFonts w:hint="eastAsia" w:ascii="宋体" w:hAnsi="宋体" w:eastAsiaTheme="minorEastAsia" w:cstheme="minorBidi"/>
          <w:kern w:val="2"/>
          <w:sz w:val="28"/>
          <w:szCs w:val="28"/>
          <w:lang w:val="en-US" w:eastAsia="zh-CN" w:bidi="ar-SA"/>
        </w:rPr>
      </w:pPr>
    </w:p>
    <w:p>
      <w:pPr>
        <w:pStyle w:val="2"/>
      </w:pPr>
    </w:p>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3" w:name="_Toc75159551"/>
      <w:r>
        <w:rPr>
          <w:rFonts w:hint="eastAsia"/>
        </w:rPr>
        <w:t>响应文件格式</w:t>
      </w:r>
      <w:bookmarkEnd w:id="53"/>
    </w:p>
    <w:p>
      <w:pPr>
        <w:pStyle w:val="4"/>
        <w:ind w:left="807" w:leftChars="0" w:firstLineChars="0"/>
      </w:pPr>
      <w:bookmarkStart w:id="54" w:name="_Toc75159552"/>
      <w:bookmarkStart w:id="55" w:name="_Toc448403805"/>
      <w:bookmarkStart w:id="56" w:name="_Toc320698765"/>
      <w:r>
        <w:rPr>
          <w:rFonts w:hint="eastAsia"/>
        </w:rPr>
        <w:t>响应文件格式</w:t>
      </w:r>
      <w:bookmarkEnd w:id="54"/>
    </w:p>
    <w:p>
      <w:pPr>
        <w:pStyle w:val="5"/>
        <w:tabs>
          <w:tab w:val="left" w:pos="709"/>
        </w:tabs>
        <w:ind w:left="1135" w:hanging="1135"/>
        <w:jc w:val="left"/>
        <w:rPr>
          <w:color w:val="auto"/>
        </w:rPr>
      </w:pPr>
      <w:r>
        <w:rPr>
          <w:rFonts w:hint="eastAsia"/>
          <w:color w:val="auto"/>
        </w:rPr>
        <w:t>响应文件封面格式</w:t>
      </w:r>
      <w:bookmarkEnd w:id="55"/>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p>
    <w:p>
      <w:pPr>
        <w:spacing w:line="360" w:lineRule="auto"/>
        <w:rPr>
          <w:rFonts w:ascii="宋体" w:hAnsi="宋体"/>
          <w:b/>
          <w:bCs/>
          <w:sz w:val="32"/>
          <w:szCs w:val="32"/>
        </w:rPr>
      </w:pPr>
      <w:r>
        <w:rPr>
          <w:rFonts w:hint="eastAsia" w:ascii="宋体" w:hAnsi="宋体"/>
          <w:b/>
          <w:bCs/>
          <w:sz w:val="32"/>
          <w:szCs w:val="32"/>
        </w:rPr>
        <w:t>项目编号：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资格响应文件</w:t>
      </w:r>
    </w:p>
    <w:p>
      <w:pPr>
        <w:pStyle w:val="5"/>
        <w:numPr>
          <w:ilvl w:val="3"/>
          <w:numId w:val="1"/>
        </w:numPr>
        <w:tabs>
          <w:tab w:val="left" w:pos="709"/>
        </w:tabs>
        <w:jc w:val="left"/>
        <w:rPr>
          <w:color w:val="auto"/>
        </w:rPr>
      </w:pPr>
      <w:r>
        <w:rPr>
          <w:rFonts w:hint="eastAsia"/>
          <w:color w:val="auto"/>
        </w:rPr>
        <w:t>供应商资格</w:t>
      </w:r>
      <w:r>
        <w:rPr>
          <w:color w:val="auto"/>
        </w:rPr>
        <w:t>申明的函</w:t>
      </w:r>
    </w:p>
    <w:p>
      <w:pPr>
        <w:snapToGrid w:val="0"/>
        <w:spacing w:line="620" w:lineRule="exact"/>
        <w:rPr>
          <w:rFonts w:ascii="宋体" w:hAnsi="宋体"/>
          <w:sz w:val="28"/>
          <w:szCs w:val="28"/>
        </w:rPr>
      </w:pPr>
      <w:bookmarkStart w:id="57" w:name="_Toc238581782"/>
      <w:bookmarkStart w:id="58" w:name="_Toc52184753"/>
      <w:bookmarkStart w:id="59" w:name="_Toc119203988"/>
      <w:bookmarkStart w:id="60" w:name="_Toc119295087"/>
      <w:bookmarkStart w:id="61" w:name="_Toc119296788"/>
      <w:bookmarkStart w:id="62" w:name="_Toc146903609"/>
      <w:r>
        <w:rPr>
          <w:rFonts w:hint="eastAsia" w:ascii="宋体" w:hAnsi="宋体"/>
          <w:sz w:val="28"/>
          <w:szCs w:val="28"/>
          <w:lang w:eastAsia="zh-CN"/>
        </w:rPr>
        <w:t>蒲江县</w:t>
      </w:r>
      <w:r>
        <w:rPr>
          <w:rFonts w:hint="eastAsia" w:ascii="宋体" w:hAnsi="宋体"/>
          <w:sz w:val="28"/>
          <w:szCs w:val="28"/>
        </w:rPr>
        <w:t>公共资源交易服务中心</w:t>
      </w:r>
      <w:bookmarkEnd w:id="57"/>
      <w:r>
        <w:rPr>
          <w:rFonts w:hint="eastAsia" w:ascii="宋体" w:hAnsi="宋体"/>
          <w:sz w:val="28"/>
          <w:szCs w:val="28"/>
        </w:rPr>
        <w:t>：</w:t>
      </w:r>
    </w:p>
    <w:p>
      <w:pPr>
        <w:spacing w:line="360" w:lineRule="auto"/>
        <w:ind w:firstLine="560" w:firstLineChars="200"/>
        <w:rPr>
          <w:rFonts w:ascii="宋体" w:hAnsi="宋体"/>
          <w:b/>
          <w:sz w:val="28"/>
          <w:szCs w:val="28"/>
          <w:u w:val="single"/>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rPr>
        <w:t>XXXXXXXXXX采购项目</w:t>
      </w:r>
      <w:r>
        <w:rPr>
          <w:rFonts w:hint="eastAsia" w:ascii="宋体" w:hAnsi="宋体"/>
          <w:b/>
          <w:bCs/>
          <w:sz w:val="28"/>
          <w:szCs w:val="28"/>
          <w:u w:val="single"/>
        </w:rPr>
        <w:t>”（项目编号：</w:t>
      </w:r>
      <w:r>
        <w:rPr>
          <w:rFonts w:hint="eastAsia" w:ascii="宋体" w:hAnsi="宋体"/>
          <w:b/>
          <w:bCs/>
          <w:sz w:val="28"/>
          <w:szCs w:val="28"/>
          <w:u w:val="single"/>
          <w:lang w:val="en-US" w:eastAsia="zh-CN"/>
        </w:rPr>
        <w:t xml:space="preserve">      </w:t>
      </w:r>
      <w:r>
        <w:rPr>
          <w:rFonts w:hint="eastAsia" w:ascii="宋体" w:hAnsi="宋体"/>
          <w:b/>
          <w:bCs/>
          <w:sz w:val="28"/>
          <w:szCs w:val="28"/>
          <w:u w:val="single"/>
        </w:rPr>
        <w:t>）</w:t>
      </w:r>
      <w:r>
        <w:rPr>
          <w:rFonts w:hint="eastAsia" w:ascii="宋体" w:hAnsi="宋体"/>
          <w:bCs/>
          <w:sz w:val="28"/>
          <w:szCs w:val="28"/>
        </w:rPr>
        <w:t>的询价通知书，决定参加贵单位组织的本项目的询价采购活动。</w:t>
      </w:r>
      <w:r>
        <w:rPr>
          <w:rFonts w:hint="eastAsia" w:ascii="宋体" w:hAnsi="宋体"/>
          <w:sz w:val="28"/>
          <w:szCs w:val="28"/>
        </w:rPr>
        <w:t>提交的下列文件和说明是准确的和真实的。</w:t>
      </w:r>
    </w:p>
    <w:p>
      <w:pPr>
        <w:widowControl w:val="0"/>
        <w:numPr>
          <w:ilvl w:val="0"/>
          <w:numId w:val="30"/>
        </w:numPr>
        <w:tabs>
          <w:tab w:val="left" w:pos="1134"/>
        </w:tabs>
        <w:spacing w:line="360" w:lineRule="auto"/>
        <w:jc w:val="both"/>
        <w:rPr>
          <w:rFonts w:ascii="宋体" w:hAnsi="宋体"/>
          <w:sz w:val="28"/>
          <w:szCs w:val="28"/>
          <w:u w:val="single"/>
        </w:rPr>
      </w:pPr>
      <w:r>
        <w:rPr>
          <w:rFonts w:hint="eastAsia" w:ascii="宋体" w:hAnsi="宋体"/>
          <w:sz w:val="28"/>
          <w:szCs w:val="28"/>
        </w:rPr>
        <w:t>供应商名称及概况：</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地址：</w:t>
      </w:r>
      <w:r>
        <w:rPr>
          <w:rFonts w:ascii="宋体" w:hAnsi="宋体"/>
          <w:sz w:val="28"/>
          <w:szCs w:val="28"/>
        </w:rPr>
        <w:t xml:space="preserve">XX           </w:t>
      </w:r>
      <w:r>
        <w:rPr>
          <w:rFonts w:hint="eastAsia" w:ascii="宋体" w:hAnsi="宋体"/>
          <w:sz w:val="28"/>
          <w:szCs w:val="28"/>
        </w:rPr>
        <w:t>邮编：</w:t>
      </w:r>
      <w:r>
        <w:rPr>
          <w:rFonts w:ascii="宋体" w:hAnsi="宋体"/>
          <w:sz w:val="28"/>
          <w:szCs w:val="28"/>
        </w:rPr>
        <w:t>XX</w:t>
      </w:r>
    </w:p>
    <w:p>
      <w:pPr>
        <w:spacing w:line="500" w:lineRule="exact"/>
        <w:ind w:left="641" w:leftChars="267" w:firstLine="700" w:firstLineChars="250"/>
        <w:rPr>
          <w:rFonts w:ascii="宋体" w:hAnsi="宋体"/>
          <w:sz w:val="28"/>
          <w:szCs w:val="28"/>
          <w:u w:val="single"/>
        </w:rPr>
      </w:pPr>
      <w:r>
        <w:rPr>
          <w:rFonts w:hint="eastAsia" w:ascii="宋体" w:hAnsi="宋体"/>
          <w:sz w:val="28"/>
          <w:szCs w:val="28"/>
        </w:rPr>
        <w:t>传真</w:t>
      </w:r>
      <w:r>
        <w:rPr>
          <w:rFonts w:ascii="宋体" w:hAnsi="宋体"/>
          <w:sz w:val="28"/>
          <w:szCs w:val="28"/>
        </w:rPr>
        <w:t>/电话：XX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成立日期或注册日期：</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u w:val="single"/>
        </w:rPr>
      </w:pPr>
      <w:r>
        <w:rPr>
          <w:rFonts w:hint="eastAsia" w:ascii="宋体" w:hAnsi="宋体"/>
          <w:sz w:val="28"/>
          <w:szCs w:val="28"/>
        </w:rPr>
        <w:t>法定代表人姓名：</w:t>
      </w:r>
      <w:r>
        <w:rPr>
          <w:rFonts w:ascii="宋体" w:hAnsi="宋体"/>
          <w:sz w:val="28"/>
          <w:szCs w:val="28"/>
        </w:rPr>
        <w:t>XX</w:t>
      </w:r>
    </w:p>
    <w:p>
      <w:pPr>
        <w:widowControl w:val="0"/>
        <w:numPr>
          <w:ilvl w:val="0"/>
          <w:numId w:val="30"/>
        </w:numPr>
        <w:tabs>
          <w:tab w:val="left" w:pos="1134"/>
        </w:tabs>
        <w:spacing w:line="360" w:lineRule="auto"/>
        <w:jc w:val="both"/>
        <w:rPr>
          <w:rFonts w:ascii="宋体" w:hAnsi="宋体"/>
          <w:sz w:val="28"/>
          <w:szCs w:val="28"/>
        </w:rPr>
      </w:pPr>
      <w:r>
        <w:rPr>
          <w:rFonts w:hint="eastAsia" w:ascii="宋体" w:hAnsi="宋体"/>
          <w:sz w:val="28"/>
          <w:szCs w:val="28"/>
        </w:rPr>
        <w:t>开户银行名称：</w:t>
      </w:r>
      <w:r>
        <w:rPr>
          <w:rFonts w:ascii="宋体" w:hAnsi="宋体"/>
          <w:sz w:val="28"/>
          <w:szCs w:val="28"/>
        </w:rPr>
        <w:t>XX</w:t>
      </w:r>
    </w:p>
    <w:p>
      <w:pPr>
        <w:spacing w:line="500" w:lineRule="exact"/>
        <w:ind w:firstLine="1260" w:firstLineChars="450"/>
        <w:rPr>
          <w:rFonts w:ascii="宋体" w:hAnsi="宋体"/>
          <w:sz w:val="28"/>
          <w:szCs w:val="28"/>
          <w:u w:val="single"/>
        </w:rPr>
      </w:pPr>
      <w:r>
        <w:rPr>
          <w:rFonts w:hint="eastAsia" w:ascii="宋体" w:hAnsi="宋体"/>
          <w:sz w:val="28"/>
          <w:szCs w:val="28"/>
        </w:rPr>
        <w:t>地址：</w:t>
      </w:r>
      <w:r>
        <w:rPr>
          <w:rFonts w:ascii="宋体" w:hAnsi="宋体"/>
          <w:sz w:val="28"/>
          <w:szCs w:val="28"/>
        </w:rPr>
        <w:t>XX</w:t>
      </w:r>
    </w:p>
    <w:p>
      <w:pPr>
        <w:spacing w:line="500" w:lineRule="exact"/>
        <w:ind w:firstLine="1260" w:firstLineChars="450"/>
        <w:rPr>
          <w:rFonts w:ascii="宋体" w:hAnsi="宋体"/>
          <w:sz w:val="28"/>
          <w:szCs w:val="28"/>
        </w:rPr>
      </w:pPr>
      <w:r>
        <w:rPr>
          <w:rFonts w:hint="eastAsia" w:ascii="宋体" w:hAnsi="宋体"/>
          <w:sz w:val="28"/>
          <w:szCs w:val="28"/>
        </w:rPr>
        <w:t>账号：</w:t>
      </w:r>
      <w:r>
        <w:rPr>
          <w:rFonts w:ascii="宋体" w:hAnsi="宋体"/>
          <w:sz w:val="28"/>
          <w:szCs w:val="28"/>
        </w:rPr>
        <w:t>XX</w:t>
      </w: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r>
        <w:rPr>
          <w:rFonts w:hint="eastAsia" w:ascii="宋体" w:hAnsi="宋体"/>
          <w:bCs/>
          <w:sz w:val="28"/>
          <w:szCs w:val="28"/>
        </w:rPr>
        <w:t>供应商名称：</w:t>
      </w:r>
      <w:r>
        <w:rPr>
          <w:rFonts w:ascii="宋体" w:hAnsi="宋体"/>
          <w:sz w:val="28"/>
          <w:szCs w:val="28"/>
          <w:u w:val="single"/>
        </w:rPr>
        <w:t>XXXXXX</w:t>
      </w:r>
    </w:p>
    <w:p>
      <w:pPr>
        <w:pStyle w:val="27"/>
        <w:snapToGrid w:val="0"/>
        <w:spacing w:line="620" w:lineRule="exact"/>
        <w:ind w:firstLine="560" w:firstLineChars="200"/>
        <w:rPr>
          <w:rFonts w:ascii="宋体" w:hAnsi="宋体"/>
          <w:sz w:val="28"/>
          <w:szCs w:val="28"/>
          <w:u w:val="single"/>
        </w:rPr>
      </w:pPr>
      <w:r>
        <w:rPr>
          <w:rFonts w:hint="eastAsia" w:ascii="宋体" w:hAnsi="宋体"/>
          <w:sz w:val="28"/>
          <w:szCs w:val="28"/>
        </w:rPr>
        <w:t>日期：</w:t>
      </w:r>
      <w:r>
        <w:rPr>
          <w:rFonts w:ascii="宋体" w:hAnsi="宋体"/>
          <w:sz w:val="28"/>
          <w:szCs w:val="28"/>
          <w:u w:val="single"/>
        </w:rPr>
        <w:t>202X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bookmarkEnd w:id="58"/>
    <w:bookmarkEnd w:id="59"/>
    <w:bookmarkEnd w:id="60"/>
    <w:bookmarkEnd w:id="61"/>
    <w:bookmarkEnd w:id="62"/>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声明</w:t>
      </w:r>
    </w:p>
    <w:p>
      <w:pPr>
        <w:snapToGrid w:val="0"/>
        <w:spacing w:line="360" w:lineRule="auto"/>
        <w:ind w:left="1276" w:right="-65" w:rightChars="-27" w:hanging="1276" w:hangingChars="454"/>
        <w:rPr>
          <w:rFonts w:hint="eastAsia" w:ascii="宋体" w:hAnsi="宋体"/>
          <w:b/>
          <w:sz w:val="28"/>
        </w:rPr>
      </w:pPr>
      <w:r>
        <w:rPr>
          <w:rFonts w:hint="eastAsia" w:ascii="宋体" w:hAnsi="宋体"/>
          <w:b/>
          <w:sz w:val="28"/>
        </w:rPr>
        <w:t>项目名称：</w:t>
      </w:r>
    </w:p>
    <w:p>
      <w:pPr>
        <w:snapToGrid w:val="0"/>
        <w:spacing w:line="360" w:lineRule="auto"/>
        <w:ind w:left="1276" w:right="-65" w:rightChars="-27" w:hanging="1276" w:hangingChars="454"/>
      </w:pPr>
      <w:r>
        <w:rPr>
          <w:rFonts w:hint="eastAsia" w:ascii="宋体" w:hAnsi="宋体"/>
          <w:b/>
          <w:sz w:val="28"/>
        </w:rPr>
        <w:t>项目编号：</w:t>
      </w:r>
    </w:p>
    <w:p>
      <w:pPr>
        <w:spacing w:line="360" w:lineRule="auto"/>
        <w:rPr>
          <w:rFonts w:ascii="宋体" w:hAnsi="宋体"/>
          <w:b/>
          <w:sz w:val="28"/>
          <w:szCs w:val="28"/>
        </w:rPr>
      </w:pPr>
      <w:r>
        <w:rPr>
          <w:rFonts w:hint="eastAsia" w:ascii="宋体" w:hAnsi="宋体"/>
          <w:b/>
          <w:sz w:val="28"/>
          <w:szCs w:val="28"/>
        </w:rPr>
        <w:t>致：</w:t>
      </w:r>
      <w:r>
        <w:rPr>
          <w:rFonts w:hint="eastAsia" w:ascii="宋体" w:hAnsi="宋体"/>
          <w:b/>
          <w:sz w:val="28"/>
          <w:szCs w:val="28"/>
          <w:lang w:eastAsia="zh-CN"/>
        </w:rPr>
        <w:t>蒲江县</w:t>
      </w:r>
      <w:r>
        <w:rPr>
          <w:rFonts w:hint="eastAsia" w:ascii="宋体" w:hAnsi="宋体"/>
          <w:b/>
          <w:sz w:val="28"/>
          <w:szCs w:val="28"/>
        </w:rPr>
        <w:t>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b/>
          <w:sz w:val="28"/>
          <w:szCs w:val="28"/>
        </w:rPr>
        <w:t>XXXXXXXXXX采购项目</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5.对声明中第六条的说明：如供应商处于被行政部门禁止参加政府采购活动期限内的，该声明填“处于”，供应商将被认定响应无效或被取消成交资格。</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rPr>
          <w:lang w:val="zh-CN"/>
        </w:rPr>
      </w:pPr>
    </w:p>
    <w:p/>
    <w:p/>
    <w:p/>
    <w:p>
      <w:pPr>
        <w:pStyle w:val="5"/>
        <w:numPr>
          <w:ilvl w:val="3"/>
          <w:numId w:val="1"/>
        </w:numPr>
        <w:tabs>
          <w:tab w:val="left" w:pos="709"/>
        </w:tabs>
        <w:jc w:val="left"/>
        <w:rPr>
          <w:lang w:val="zh-CN"/>
        </w:rPr>
      </w:pPr>
      <w:r>
        <w:rPr>
          <w:rFonts w:hint="eastAsia"/>
          <w:color w:val="auto"/>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报价书</w:t>
      </w:r>
    </w:p>
    <w:p>
      <w:pPr>
        <w:spacing w:line="560" w:lineRule="exact"/>
        <w:rPr>
          <w:rFonts w:ascii="宋体" w:hAnsi="宋体"/>
          <w:bCs/>
          <w:sz w:val="28"/>
          <w:szCs w:val="28"/>
        </w:rPr>
      </w:pPr>
      <w:r>
        <w:rPr>
          <w:rFonts w:hint="eastAsia" w:ascii="宋体" w:hAnsi="宋体"/>
          <w:bCs/>
          <w:sz w:val="28"/>
          <w:szCs w:val="28"/>
          <w:lang w:eastAsia="zh-CN"/>
        </w:rPr>
        <w:t>蒲江县</w:t>
      </w:r>
      <w:r>
        <w:rPr>
          <w:rFonts w:hint="eastAsia" w:ascii="宋体" w:hAnsi="宋体"/>
          <w:bCs/>
          <w:sz w:val="28"/>
          <w:szCs w:val="28"/>
        </w:rPr>
        <w:t>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rPr>
        <w:t>XXXXXXXXXX采购项目</w:t>
      </w:r>
      <w:r>
        <w:rPr>
          <w:rFonts w:hint="eastAsia" w:ascii="宋体" w:hAnsi="宋体"/>
          <w:b/>
          <w:bCs/>
          <w:sz w:val="28"/>
          <w:szCs w:val="28"/>
          <w:u w:val="single"/>
        </w:rPr>
        <w:t>”（项目编号：</w:t>
      </w:r>
      <w:r>
        <w:rPr>
          <w:rFonts w:hint="eastAsia" w:ascii="宋体" w:hAnsi="宋体"/>
          <w:b/>
          <w:bCs/>
          <w:sz w:val="28"/>
          <w:szCs w:val="28"/>
          <w:u w:val="single"/>
          <w:lang w:val="en-US" w:eastAsia="zh-CN"/>
        </w:rPr>
        <w:t xml:space="preserve">    </w:t>
      </w:r>
      <w:r>
        <w:rPr>
          <w:rFonts w:hint="eastAsia" w:ascii="宋体" w:hAnsi="宋体"/>
          <w:b/>
          <w:bCs/>
          <w:sz w:val="28"/>
          <w:szCs w:val="28"/>
          <w:u w:val="single"/>
        </w:rPr>
        <w:t>）</w:t>
      </w:r>
      <w:r>
        <w:rPr>
          <w:rFonts w:hint="eastAsia" w:ascii="宋体" w:hAnsi="宋体"/>
          <w:bCs/>
          <w:sz w:val="28"/>
          <w:szCs w:val="28"/>
        </w:rPr>
        <w:t>询价通知书，决定参加贵单位组织的本项目采购</w:t>
      </w:r>
      <w:r>
        <w:rPr>
          <w:rFonts w:ascii="宋体" w:hAnsi="宋体"/>
          <w:bCs/>
          <w:sz w:val="28"/>
          <w:szCs w:val="28"/>
        </w:rPr>
        <w:t>活动</w:t>
      </w:r>
      <w:r>
        <w:rPr>
          <w:rFonts w:hint="eastAsia" w:ascii="宋体" w:hAnsi="宋体"/>
          <w:bCs/>
          <w:sz w:val="28"/>
          <w:szCs w:val="28"/>
        </w:rPr>
        <w:t>。我方授权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XXXX（供应商名称）</w:t>
      </w:r>
      <w:r>
        <w:rPr>
          <w:rFonts w:hint="eastAsia" w:ascii="宋体" w:hAnsi="宋体"/>
          <w:bCs/>
          <w:sz w:val="28"/>
          <w:szCs w:val="28"/>
        </w:rPr>
        <w:t>全权处理本项目询价采购</w:t>
      </w:r>
      <w:r>
        <w:rPr>
          <w:rFonts w:ascii="宋体" w:hAnsi="宋体"/>
          <w:bCs/>
          <w:sz w:val="28"/>
          <w:szCs w:val="28"/>
        </w:rPr>
        <w:t>活动</w:t>
      </w:r>
      <w:r>
        <w:rPr>
          <w:rFonts w:hint="eastAsia" w:ascii="宋体" w:hAnsi="宋体"/>
          <w:bCs/>
          <w:sz w:val="28"/>
          <w:szCs w:val="28"/>
        </w:rPr>
        <w:t>的有关事宜。</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我方自愿按照询价通知书规定的各项要求向采购人提供所需货物及服务，</w:t>
      </w:r>
      <w:r>
        <w:rPr>
          <w:rFonts w:hint="eastAsia" w:ascii="宋体" w:hAnsi="宋体"/>
          <w:b/>
          <w:sz w:val="28"/>
          <w:szCs w:val="28"/>
        </w:rPr>
        <w:t>报价以《开标一览表》为准</w:t>
      </w:r>
      <w:r>
        <w:rPr>
          <w:rFonts w:hint="eastAsia" w:ascii="宋体" w:hAnsi="宋体"/>
          <w:sz w:val="28"/>
          <w:szCs w:val="28"/>
        </w:rPr>
        <w:t>。</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如果我方成交，我方将严格履行合同规定的责任和义务，否则将承担由此产生的一切责任。</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我方已知晓全部询价通知书的内容，包括修改文件（如有）以及全部相关资料和有关附件，并对上述文件均无异议。</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本</w:t>
      </w:r>
      <w:r>
        <w:rPr>
          <w:rFonts w:ascii="宋体" w:hAnsi="宋体"/>
          <w:sz w:val="28"/>
          <w:szCs w:val="28"/>
        </w:rPr>
        <w:t>响应文件</w:t>
      </w:r>
      <w:r>
        <w:rPr>
          <w:rFonts w:hint="eastAsia" w:ascii="宋体" w:hAnsi="宋体"/>
          <w:sz w:val="28"/>
          <w:szCs w:val="28"/>
        </w:rPr>
        <w:t>有效期为从</w:t>
      </w:r>
      <w:r>
        <w:rPr>
          <w:rFonts w:hint="eastAsia" w:ascii="宋体" w:hAnsi="宋体" w:cs="宋体"/>
          <w:bCs/>
          <w:kern w:val="2"/>
          <w:sz w:val="28"/>
          <w:szCs w:val="28"/>
        </w:rPr>
        <w:t>递交响应文件</w:t>
      </w:r>
      <w:r>
        <w:rPr>
          <w:rFonts w:hint="eastAsia" w:ascii="宋体" w:hAnsi="宋体"/>
          <w:sz w:val="28"/>
          <w:szCs w:val="28"/>
        </w:rPr>
        <w:t>截止之日起120天。</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我方愿意提供贵中心可能另外要求的，与询价</w:t>
      </w:r>
      <w:r>
        <w:rPr>
          <w:rFonts w:ascii="宋体" w:hAnsi="宋体"/>
          <w:sz w:val="28"/>
          <w:szCs w:val="28"/>
        </w:rPr>
        <w:t>采购活动</w:t>
      </w:r>
      <w:r>
        <w:rPr>
          <w:rFonts w:hint="eastAsia" w:ascii="宋体" w:hAnsi="宋体"/>
          <w:sz w:val="28"/>
          <w:szCs w:val="28"/>
        </w:rPr>
        <w:t>有关的文件资料，并保证我方已提供和将要提供的文件资料是真实、准确的，并对此承担一切法律后果。</w:t>
      </w:r>
    </w:p>
    <w:p>
      <w:pPr>
        <w:widowControl w:val="0"/>
        <w:numPr>
          <w:ilvl w:val="1"/>
          <w:numId w:val="32"/>
        </w:numPr>
        <w:tabs>
          <w:tab w:val="left" w:pos="1134"/>
        </w:tabs>
        <w:spacing w:line="360" w:lineRule="auto"/>
        <w:ind w:left="0" w:firstLine="567"/>
        <w:jc w:val="both"/>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80" w:leftChars="200"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spacing w:line="360" w:lineRule="auto"/>
        <w:ind w:left="324"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供应商基本情况表</w:t>
      </w:r>
    </w:p>
    <w:tbl>
      <w:tblPr>
        <w:tblStyle w:val="4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供应商名称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80" w:leftChars="200" w:firstLine="288" w:firstLineChars="103"/>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63" w:name="_Toc263753619"/>
      <w:bookmarkStart w:id="64" w:name="_Toc263768877"/>
      <w:bookmarkStart w:id="65" w:name="_Toc302997928"/>
    </w:p>
    <w:p>
      <w:pPr>
        <w:adjustRightInd w:val="0"/>
        <w:spacing w:line="400" w:lineRule="exact"/>
        <w:rPr>
          <w:rFonts w:ascii="宋体" w:hAnsi="宋体"/>
          <w:bCs/>
          <w:sz w:val="28"/>
          <w:u w:val="single"/>
        </w:rPr>
      </w:pPr>
    </w:p>
    <w:bookmarkEnd w:id="63"/>
    <w:bookmarkEnd w:id="64"/>
    <w:bookmarkEnd w:id="65"/>
    <w:p>
      <w:pPr>
        <w:pStyle w:val="5"/>
        <w:numPr>
          <w:ilvl w:val="3"/>
          <w:numId w:val="1"/>
        </w:numPr>
        <w:tabs>
          <w:tab w:val="left" w:pos="709"/>
        </w:tabs>
        <w:jc w:val="left"/>
        <w:rPr>
          <w:color w:val="auto"/>
        </w:rPr>
      </w:pPr>
      <w:r>
        <w:rPr>
          <w:rFonts w:hint="eastAsia"/>
          <w:color w:val="auto"/>
        </w:rPr>
        <w:t>服务方案及服务承诺</w:t>
      </w:r>
    </w:p>
    <w:p>
      <w:pPr>
        <w:snapToGrid w:val="0"/>
        <w:spacing w:line="360" w:lineRule="auto"/>
        <w:ind w:left="1276" w:right="-65" w:rightChars="-27" w:hanging="1276" w:hangingChars="454"/>
        <w:rPr>
          <w:rFonts w:hint="eastAsia" w:ascii="宋体" w:hAnsi="宋体"/>
          <w:b/>
          <w:sz w:val="28"/>
        </w:rPr>
      </w:pPr>
      <w:r>
        <w:rPr>
          <w:rFonts w:hint="eastAsia" w:ascii="宋体" w:hAnsi="宋体"/>
          <w:b/>
          <w:sz w:val="28"/>
        </w:rPr>
        <w:t>项目名称：</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项目编号：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b/>
          <w:spacing w:val="-20"/>
          <w:sz w:val="28"/>
          <w:szCs w:val="28"/>
        </w:rPr>
      </w:pPr>
      <w:r>
        <w:rPr>
          <w:rFonts w:hint="eastAsia" w:ascii="宋体" w:hAnsi="宋体"/>
          <w:b/>
          <w:spacing w:val="-20"/>
          <w:sz w:val="28"/>
          <w:szCs w:val="28"/>
        </w:rPr>
        <w:t>项目名称：</w:t>
      </w:r>
    </w:p>
    <w:p>
      <w:pPr>
        <w:snapToGrid w:val="0"/>
        <w:spacing w:line="360" w:lineRule="auto"/>
        <w:rPr>
          <w:rFonts w:ascii="宋体" w:hAnsi="宋体"/>
          <w:b/>
          <w:sz w:val="28"/>
          <w:szCs w:val="28"/>
          <w:u w:val="single"/>
        </w:rPr>
      </w:pPr>
      <w:r>
        <w:rPr>
          <w:rFonts w:hint="eastAsia" w:ascii="宋体" w:hAnsi="宋体"/>
          <w:b/>
          <w:sz w:val="28"/>
          <w:szCs w:val="28"/>
        </w:rPr>
        <w:t>项目编号：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rPr>
        <w:t>XXXXXXXXXX采购项目</w:t>
      </w:r>
      <w:r>
        <w:rPr>
          <w:rFonts w:hint="eastAsia" w:ascii="宋体" w:hAnsi="宋体"/>
          <w:sz w:val="28"/>
        </w:rPr>
        <w:t>的供应商，在此郑重承诺：</w:t>
      </w:r>
    </w:p>
    <w:p>
      <w:pPr>
        <w:pStyle w:val="80"/>
        <w:numPr>
          <w:ilvl w:val="0"/>
          <w:numId w:val="33"/>
        </w:numPr>
        <w:tabs>
          <w:tab w:val="left" w:pos="1134"/>
        </w:tabs>
        <w:snapToGrid w:val="0"/>
        <w:spacing w:after="200" w:line="360" w:lineRule="auto"/>
        <w:ind w:left="561" w:firstLine="562"/>
        <w:rPr>
          <w:rFonts w:ascii="宋体" w:hAnsi="宋体"/>
          <w:b/>
          <w:color w:val="000000"/>
          <w:sz w:val="28"/>
          <w:szCs w:val="28"/>
          <w:lang w:val="zh-CN"/>
        </w:rPr>
      </w:pPr>
      <w:r>
        <w:rPr>
          <w:rFonts w:hint="eastAsia" w:ascii="宋体" w:hAnsi="宋体"/>
          <w:b/>
          <w:color w:val="000000"/>
          <w:sz w:val="28"/>
          <w:szCs w:val="28"/>
          <w:lang w:val="zh-CN"/>
        </w:rPr>
        <w:t>我方承诺为本项目提供的所有产品、辅材中属于《国家强制性产品认证目录》范围内产品的，均通过国家强制性产品认证并取得认证证书。</w:t>
      </w:r>
    </w:p>
    <w:p>
      <w:pPr>
        <w:pStyle w:val="80"/>
        <w:tabs>
          <w:tab w:val="left" w:pos="1134"/>
        </w:tabs>
        <w:snapToGrid w:val="0"/>
        <w:spacing w:after="200" w:line="360" w:lineRule="auto"/>
        <w:ind w:left="480" w:leftChars="200" w:firstLine="562"/>
        <w:rPr>
          <w:rFonts w:ascii="宋体" w:hAnsi="宋体"/>
          <w:b/>
          <w:color w:val="000000"/>
          <w:sz w:val="28"/>
          <w:szCs w:val="28"/>
          <w:lang w:val="zh-CN"/>
        </w:rPr>
      </w:pPr>
      <w:r>
        <w:rPr>
          <w:rFonts w:hint="eastAsia" w:ascii="宋体" w:hAnsi="宋体"/>
          <w:b/>
          <w:color w:val="000000"/>
          <w:sz w:val="28"/>
          <w:szCs w:val="28"/>
          <w:lang w:val="zh-CN"/>
        </w:rPr>
        <w:t>二、我方承诺为本项目提供的所有产品、辅材符合现行的强制性国家相关标准、行业标准。</w:t>
      </w:r>
    </w:p>
    <w:p>
      <w:pPr>
        <w:pStyle w:val="80"/>
        <w:tabs>
          <w:tab w:val="left" w:pos="1134"/>
        </w:tabs>
        <w:snapToGrid w:val="0"/>
        <w:spacing w:after="200" w:line="360" w:lineRule="auto"/>
        <w:ind w:left="480" w:leftChars="200" w:firstLine="562"/>
        <w:rPr>
          <w:rFonts w:ascii="宋体" w:hAnsi="宋体"/>
          <w:b/>
          <w:color w:val="000000"/>
          <w:sz w:val="28"/>
          <w:szCs w:val="28"/>
          <w:lang w:val="zh-CN"/>
        </w:rPr>
      </w:pPr>
      <w:r>
        <w:rPr>
          <w:rFonts w:hint="eastAsia" w:ascii="宋体" w:hAnsi="宋体"/>
          <w:b/>
          <w:color w:val="000000"/>
          <w:sz w:val="28"/>
          <w:szCs w:val="28"/>
          <w:lang w:val="zh-CN"/>
        </w:rPr>
        <w:t>三、我方承诺为本项目提供的所有产品中属于节能产品政府采购品目清单中的政府强制采购产品的，均应具有国家确定的认证机构出具的有效期内的节能产品认证证书。</w:t>
      </w:r>
    </w:p>
    <w:p>
      <w:pPr>
        <w:pStyle w:val="148"/>
        <w:tabs>
          <w:tab w:val="center" w:pos="1134"/>
        </w:tabs>
        <w:spacing w:line="360" w:lineRule="auto"/>
        <w:ind w:firstLine="1120" w:firstLineChars="400"/>
        <w:rPr>
          <w:b/>
          <w:color w:val="000000"/>
          <w:sz w:val="28"/>
          <w:szCs w:val="28"/>
          <w:lang w:val="zh-CN"/>
        </w:rPr>
      </w:pPr>
      <w:r>
        <w:rPr>
          <w:rFonts w:hint="eastAsia" w:cs="Times New Roman"/>
          <w:color w:val="000000"/>
          <w:kern w:val="2"/>
          <w:sz w:val="28"/>
          <w:szCs w:val="28"/>
        </w:rPr>
        <w:t>四、</w:t>
      </w:r>
      <w:r>
        <w:rPr>
          <w:rFonts w:hint="eastAsia"/>
          <w:b/>
          <w:color w:val="000000"/>
          <w:sz w:val="28"/>
          <w:szCs w:val="28"/>
          <w:lang w:val="zh-CN"/>
        </w:rPr>
        <w:t>我方承诺产品的设计标准符合中国气象局综合观测司《大气负离子自动观测仪功能规格需求书（第2版）》要求，数据可以接入成都市气象探测与信息中心</w:t>
      </w:r>
    </w:p>
    <w:p>
      <w:pPr>
        <w:pStyle w:val="148"/>
        <w:tabs>
          <w:tab w:val="center" w:pos="1134"/>
        </w:tabs>
        <w:spacing w:line="360" w:lineRule="auto"/>
        <w:ind w:firstLine="1124" w:firstLineChars="400"/>
        <w:rPr>
          <w:b/>
          <w:color w:val="000000"/>
          <w:sz w:val="28"/>
          <w:szCs w:val="28"/>
        </w:rPr>
      </w:pPr>
      <w:r>
        <w:rPr>
          <w:rFonts w:hint="eastAsia"/>
          <w:b/>
          <w:color w:val="000000"/>
          <w:sz w:val="28"/>
          <w:szCs w:val="28"/>
          <w:lang w:val="zh-CN"/>
        </w:rPr>
        <w:t>五、我方承诺数据能接入成都市气象探测与信息中心</w:t>
      </w:r>
      <w:r>
        <w:rPr>
          <w:rFonts w:hint="eastAsia"/>
          <w:b/>
          <w:color w:val="000000"/>
          <w:sz w:val="28"/>
          <w:szCs w:val="28"/>
        </w:rPr>
        <w:t>。</w:t>
      </w:r>
    </w:p>
    <w:p>
      <w:pPr>
        <w:snapToGrid w:val="0"/>
        <w:spacing w:line="360" w:lineRule="auto"/>
        <w:ind w:firstLine="1124" w:firstLineChars="400"/>
        <w:rPr>
          <w:rFonts w:ascii="宋体" w:hAnsi="宋体"/>
          <w:sz w:val="28"/>
        </w:rPr>
      </w:pPr>
      <w:r>
        <w:rPr>
          <w:rFonts w:hint="eastAsia"/>
          <w:b/>
          <w:color w:val="000000"/>
          <w:sz w:val="28"/>
          <w:szCs w:val="28"/>
        </w:rPr>
        <w:t>六、</w:t>
      </w:r>
      <w:r>
        <w:rPr>
          <w:rFonts w:hint="eastAsia"/>
          <w:b/>
          <w:color w:val="000000"/>
          <w:sz w:val="28"/>
          <w:szCs w:val="28"/>
          <w:lang w:val="zh-CN"/>
        </w:rPr>
        <w:t>我方承诺完全响应询价通知书4.</w:t>
      </w:r>
      <w:r>
        <w:rPr>
          <w:rFonts w:hint="eastAsia"/>
          <w:b/>
          <w:color w:val="000000"/>
          <w:sz w:val="28"/>
          <w:szCs w:val="28"/>
          <w:lang w:val="en-US" w:eastAsia="zh-CN"/>
        </w:rPr>
        <w:t>4</w:t>
      </w:r>
      <w:r>
        <w:rPr>
          <w:rFonts w:hint="eastAsia"/>
          <w:b/>
          <w:color w:val="000000"/>
          <w:sz w:val="28"/>
          <w:szCs w:val="28"/>
        </w:rPr>
        <w:t>商务及其</w:t>
      </w:r>
      <w:r>
        <w:rPr>
          <w:rFonts w:hint="eastAsia"/>
          <w:b/>
          <w:color w:val="000000"/>
          <w:sz w:val="28"/>
          <w:szCs w:val="28"/>
          <w:lang w:eastAsia="zh-CN"/>
        </w:rPr>
        <w:t>服务</w:t>
      </w:r>
      <w:r>
        <w:rPr>
          <w:rFonts w:hint="eastAsia"/>
          <w:b/>
          <w:color w:val="000000"/>
          <w:sz w:val="28"/>
          <w:szCs w:val="28"/>
        </w:rPr>
        <w:t>要求</w:t>
      </w:r>
      <w:r>
        <w:rPr>
          <w:rFonts w:hint="eastAsia"/>
          <w:b/>
          <w:color w:val="000000"/>
          <w:sz w:val="28"/>
          <w:szCs w:val="28"/>
          <w:lang w:val="zh-CN"/>
        </w:rPr>
        <w:t>中所有要求。</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pStyle w:val="2"/>
        <w:rPr>
          <w:rFonts w:ascii="宋体" w:hAnsi="宋体"/>
        </w:rPr>
      </w:pPr>
    </w:p>
    <w:p>
      <w:pPr>
        <w:pStyle w:val="2"/>
        <w:rPr>
          <w:rFonts w:ascii="宋体" w:hAnsi="宋体"/>
        </w:rPr>
      </w:pPr>
    </w:p>
    <w:p>
      <w:pPr>
        <w:pStyle w:val="5"/>
        <w:numPr>
          <w:ilvl w:val="3"/>
          <w:numId w:val="1"/>
        </w:numPr>
        <w:tabs>
          <w:tab w:val="left" w:pos="709"/>
        </w:tabs>
        <w:snapToGrid w:val="0"/>
        <w:jc w:val="left"/>
        <w:rPr>
          <w:spacing w:val="6"/>
        </w:rPr>
      </w:pPr>
      <w:r>
        <w:rPr>
          <w:rFonts w:hint="eastAsia"/>
          <w:color w:val="auto"/>
        </w:rPr>
        <w:t>中小企业</w:t>
      </w:r>
      <w:r>
        <w:rPr>
          <w:color w:val="auto"/>
        </w:rPr>
        <w:t>声明函</w:t>
      </w:r>
    </w:p>
    <w:p>
      <w:pPr>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60" w:lineRule="exact"/>
        <w:ind w:firstLine="563"/>
        <w:rPr>
          <w:rFonts w:ascii="宋体" w:hAnsi="宋体"/>
          <w:sz w:val="28"/>
          <w:szCs w:val="28"/>
        </w:rPr>
      </w:pPr>
      <w:r>
        <w:rPr>
          <w:rFonts w:ascii="宋体" w:hAnsi="宋体"/>
          <w:sz w:val="28"/>
          <w:szCs w:val="28"/>
        </w:rPr>
        <w:t>本公司郑重声明，根据《政府采购促进中小企业发展管理办法》（财库﹝2020﹞</w:t>
      </w:r>
      <w:r>
        <w:rPr>
          <w:rFonts w:hint="eastAsia" w:ascii="宋体" w:hAnsi="宋体"/>
          <w:sz w:val="28"/>
          <w:szCs w:val="28"/>
        </w:rPr>
        <w:t>46</w:t>
      </w:r>
      <w:r>
        <w:rPr>
          <w:rFonts w:ascii="宋体" w:hAnsi="宋体"/>
          <w:sz w:val="28"/>
          <w:szCs w:val="28"/>
        </w:rPr>
        <w:t>号）的规定，本公司参加</w:t>
      </w:r>
      <w:r>
        <w:rPr>
          <w:rFonts w:hint="eastAsia" w:ascii="宋体" w:hAnsi="宋体"/>
          <w:sz w:val="28"/>
          <w:szCs w:val="28"/>
          <w:u w:val="single"/>
        </w:rPr>
        <w:t>XXXX</w:t>
      </w:r>
      <w:r>
        <w:rPr>
          <w:rFonts w:ascii="宋体" w:hAnsi="宋体"/>
          <w:sz w:val="28"/>
          <w:szCs w:val="28"/>
          <w:u w:val="single"/>
        </w:rPr>
        <w:t>（单位名称）</w:t>
      </w:r>
      <w:r>
        <w:rPr>
          <w:rFonts w:ascii="宋体" w:hAnsi="宋体"/>
          <w:sz w:val="28"/>
          <w:szCs w:val="28"/>
        </w:rPr>
        <w:t>的</w:t>
      </w:r>
      <w:r>
        <w:rPr>
          <w:rFonts w:hint="eastAsia" w:ascii="宋体" w:hAnsi="宋体"/>
          <w:sz w:val="28"/>
          <w:szCs w:val="28"/>
          <w:u w:val="single"/>
        </w:rPr>
        <w:t>XXXX</w:t>
      </w:r>
      <w:r>
        <w:rPr>
          <w:rFonts w:ascii="宋体" w:hAnsi="宋体"/>
          <w:sz w:val="28"/>
          <w:szCs w:val="28"/>
          <w:u w:val="single"/>
        </w:rPr>
        <w:t>（项目名称）</w:t>
      </w:r>
      <w:r>
        <w:rPr>
          <w:rFonts w:ascii="宋体" w:hAnsi="宋体"/>
          <w:sz w:val="28"/>
          <w:szCs w:val="28"/>
        </w:rPr>
        <w:t>采购活动，</w:t>
      </w:r>
      <w:r>
        <w:rPr>
          <w:rFonts w:ascii="宋体" w:hAnsi="宋体"/>
          <w:b/>
          <w:sz w:val="28"/>
          <w:szCs w:val="28"/>
        </w:rPr>
        <w:t>提供的货物全部由符合政策要求的中小企业制造</w:t>
      </w:r>
      <w:r>
        <w:rPr>
          <w:rFonts w:ascii="宋体" w:hAnsi="宋体"/>
          <w:sz w:val="28"/>
          <w:szCs w:val="28"/>
        </w:rPr>
        <w:t>。相关企业的具体情况如下：</w:t>
      </w:r>
    </w:p>
    <w:p>
      <w:pPr>
        <w:spacing w:line="560" w:lineRule="exact"/>
        <w:ind w:firstLine="563"/>
        <w:rPr>
          <w:rFonts w:ascii="宋体" w:hAnsi="宋体"/>
          <w:sz w:val="28"/>
          <w:szCs w:val="28"/>
        </w:rPr>
      </w:pPr>
      <w:r>
        <w:rPr>
          <w:rFonts w:ascii="宋体" w:hAnsi="宋体"/>
          <w:sz w:val="28"/>
          <w:szCs w:val="28"/>
        </w:rPr>
        <w:t xml:space="preserve"> 1.</w:t>
      </w:r>
      <w:r>
        <w:rPr>
          <w:rFonts w:hint="eastAsia" w:ascii="宋体" w:hAnsi="宋体"/>
          <w:sz w:val="28"/>
          <w:szCs w:val="28"/>
          <w:u w:val="single"/>
        </w:rPr>
        <w:t xml:space="preserve"> XXXX</w:t>
      </w:r>
      <w:r>
        <w:rPr>
          <w:rFonts w:ascii="宋体" w:hAnsi="宋体"/>
          <w:sz w:val="28"/>
          <w:szCs w:val="28"/>
        </w:rPr>
        <w:t>（标的名称） ，属于</w:t>
      </w:r>
      <w:r>
        <w:rPr>
          <w:rFonts w:hint="eastAsia" w:ascii="宋体" w:hAnsi="宋体"/>
          <w:sz w:val="28"/>
          <w:szCs w:val="28"/>
          <w:u w:val="single"/>
        </w:rPr>
        <w:t>XXXX</w:t>
      </w:r>
      <w:r>
        <w:rPr>
          <w:rFonts w:ascii="宋体" w:hAnsi="宋体"/>
          <w:sz w:val="28"/>
          <w:szCs w:val="28"/>
        </w:rPr>
        <w:t>（采购文件中明确的所属行业） 行业；制造商为</w:t>
      </w:r>
      <w:r>
        <w:rPr>
          <w:rFonts w:hint="eastAsia" w:ascii="宋体" w:hAnsi="宋体"/>
          <w:sz w:val="28"/>
          <w:szCs w:val="28"/>
          <w:u w:val="single"/>
        </w:rPr>
        <w:t>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w:t>
      </w:r>
      <w:r>
        <w:rPr>
          <w:rFonts w:hint="eastAsia" w:ascii="宋体" w:hAnsi="宋体"/>
          <w:sz w:val="28"/>
          <w:szCs w:val="28"/>
          <w:vertAlign w:val="superscript"/>
        </w:rPr>
        <w:t>1</w:t>
      </w:r>
      <w:r>
        <w:rPr>
          <w:rFonts w:ascii="宋体" w:hAnsi="宋体"/>
          <w:sz w:val="28"/>
          <w:szCs w:val="28"/>
        </w:rPr>
        <w:t>，属于</w:t>
      </w:r>
      <w:r>
        <w:rPr>
          <w:rFonts w:hint="eastAsia" w:ascii="宋体" w:hAnsi="宋体"/>
          <w:sz w:val="28"/>
          <w:szCs w:val="28"/>
          <w:u w:val="single"/>
        </w:rPr>
        <w:t>_XXXX</w:t>
      </w:r>
      <w:r>
        <w:rPr>
          <w:rFonts w:ascii="宋体" w:hAnsi="宋体"/>
          <w:sz w:val="28"/>
          <w:szCs w:val="28"/>
        </w:rPr>
        <w:t xml:space="preserve">（中型企业、小型企业、微型企业）； </w:t>
      </w:r>
    </w:p>
    <w:p>
      <w:pPr>
        <w:spacing w:line="560" w:lineRule="exact"/>
        <w:ind w:firstLine="563"/>
        <w:rPr>
          <w:rFonts w:ascii="宋体" w:hAnsi="宋体"/>
          <w:sz w:val="28"/>
          <w:szCs w:val="28"/>
        </w:rPr>
      </w:pPr>
      <w:r>
        <w:rPr>
          <w:rFonts w:ascii="宋体" w:hAnsi="宋体"/>
          <w:sz w:val="28"/>
          <w:szCs w:val="28"/>
        </w:rPr>
        <w:t>2.</w:t>
      </w:r>
      <w:r>
        <w:rPr>
          <w:rFonts w:hint="eastAsia" w:ascii="宋体" w:hAnsi="宋体"/>
          <w:sz w:val="28"/>
          <w:szCs w:val="28"/>
        </w:rPr>
        <w:t xml:space="preserve"> </w:t>
      </w:r>
      <w:r>
        <w:rPr>
          <w:rFonts w:hint="eastAsia" w:ascii="宋体" w:hAnsi="宋体"/>
          <w:sz w:val="28"/>
          <w:szCs w:val="28"/>
          <w:u w:val="single"/>
        </w:rPr>
        <w:t>_XXXX</w:t>
      </w:r>
      <w:r>
        <w:rPr>
          <w:rFonts w:ascii="宋体" w:hAnsi="宋体"/>
          <w:sz w:val="28"/>
          <w:szCs w:val="28"/>
        </w:rPr>
        <w:t>（标的名称） ，属于</w:t>
      </w:r>
      <w:r>
        <w:rPr>
          <w:rFonts w:hint="eastAsia" w:ascii="宋体" w:hAnsi="宋体"/>
          <w:sz w:val="28"/>
          <w:szCs w:val="28"/>
          <w:u w:val="single"/>
        </w:rPr>
        <w:t>_XXXX</w:t>
      </w:r>
      <w:r>
        <w:rPr>
          <w:rFonts w:ascii="宋体" w:hAnsi="宋体"/>
          <w:sz w:val="28"/>
          <w:szCs w:val="28"/>
        </w:rPr>
        <w:t>（采购文件中明确的所属行业） 行业；制造商为</w:t>
      </w:r>
      <w:r>
        <w:rPr>
          <w:rFonts w:hint="eastAsia" w:ascii="宋体" w:hAnsi="宋体"/>
          <w:sz w:val="28"/>
          <w:szCs w:val="28"/>
          <w:u w:val="single"/>
        </w:rPr>
        <w:t>_XXXX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万元，属于</w:t>
      </w:r>
      <w:r>
        <w:rPr>
          <w:rFonts w:hint="eastAsia" w:ascii="宋体" w:hAnsi="宋体"/>
          <w:sz w:val="28"/>
          <w:szCs w:val="28"/>
          <w:u w:val="single"/>
        </w:rPr>
        <w:t>_XXXX</w:t>
      </w:r>
      <w:r>
        <w:rPr>
          <w:rFonts w:ascii="宋体" w:hAnsi="宋体"/>
          <w:sz w:val="28"/>
          <w:szCs w:val="28"/>
        </w:rPr>
        <w:t>（中型企业、小型企业、微型企业）；</w:t>
      </w:r>
    </w:p>
    <w:p>
      <w:pPr>
        <w:spacing w:line="560" w:lineRule="exact"/>
        <w:ind w:firstLine="563"/>
        <w:rPr>
          <w:rFonts w:ascii="宋体" w:hAnsi="宋体"/>
          <w:sz w:val="28"/>
          <w:szCs w:val="28"/>
        </w:rPr>
      </w:pPr>
      <w:r>
        <w:rPr>
          <w:rFonts w:ascii="宋体" w:hAnsi="宋体"/>
          <w:sz w:val="28"/>
          <w:szCs w:val="28"/>
        </w:rPr>
        <w:t xml:space="preserve"> …… </w:t>
      </w:r>
    </w:p>
    <w:p>
      <w:pPr>
        <w:spacing w:line="560" w:lineRule="exact"/>
        <w:ind w:firstLine="563"/>
        <w:rPr>
          <w:rFonts w:ascii="宋体" w:hAnsi="宋体"/>
          <w:sz w:val="28"/>
          <w:szCs w:val="28"/>
        </w:rPr>
      </w:pPr>
      <w:r>
        <w:rPr>
          <w:rFonts w:ascii="宋体" w:hAnsi="宋体"/>
          <w:sz w:val="28"/>
          <w:szCs w:val="28"/>
        </w:rPr>
        <w:t>以上企业，不属于大企业的分支机构，不存在控股股东为大企业的情形，也不存在与大企业的负责人为同一人的情形。</w:t>
      </w:r>
    </w:p>
    <w:p>
      <w:pPr>
        <w:spacing w:line="560" w:lineRule="exact"/>
        <w:ind w:firstLine="563"/>
        <w:rPr>
          <w:rFonts w:ascii="宋体" w:hAnsi="宋体"/>
          <w:sz w:val="28"/>
          <w:szCs w:val="28"/>
        </w:rPr>
      </w:pPr>
      <w:r>
        <w:rPr>
          <w:rFonts w:ascii="宋体" w:hAnsi="宋体"/>
          <w:sz w:val="28"/>
          <w:szCs w:val="28"/>
        </w:rPr>
        <w:t>本企业对上述声明内容的真实性负责。如有虚假，将依法承担相应责任。</w:t>
      </w:r>
    </w:p>
    <w:p>
      <w:pPr>
        <w:spacing w:line="560" w:lineRule="exact"/>
        <w:ind w:right="700" w:firstLine="565" w:firstLineChars="202"/>
        <w:rPr>
          <w:rFonts w:ascii="宋体" w:hAnsi="宋体"/>
          <w:sz w:val="28"/>
          <w:szCs w:val="28"/>
        </w:rPr>
      </w:pPr>
      <w:r>
        <w:rPr>
          <w:rFonts w:ascii="宋体" w:hAnsi="宋体"/>
          <w:sz w:val="28"/>
          <w:szCs w:val="28"/>
        </w:rPr>
        <w:t>企业名称：</w:t>
      </w:r>
      <w:r>
        <w:rPr>
          <w:rFonts w:hint="eastAsia" w:ascii="宋体" w:hAnsi="宋体"/>
          <w:sz w:val="28"/>
          <w:szCs w:val="28"/>
          <w:u w:val="single"/>
        </w:rPr>
        <w:t>XXXX</w:t>
      </w:r>
    </w:p>
    <w:p>
      <w:pPr>
        <w:spacing w:line="560" w:lineRule="exact"/>
        <w:ind w:right="1120" w:firstLine="565" w:firstLineChars="202"/>
        <w:rPr>
          <w:rFonts w:ascii="宋体" w:hAnsi="宋体"/>
          <w:sz w:val="28"/>
          <w:u w:val="single"/>
        </w:rPr>
      </w:pPr>
      <w:r>
        <w:rPr>
          <w:rFonts w:ascii="宋体" w:hAnsi="宋体"/>
          <w:sz w:val="28"/>
          <w:szCs w:val="28"/>
        </w:rPr>
        <w:t>日 期：</w:t>
      </w:r>
      <w:r>
        <w:rPr>
          <w:rFonts w:hint="eastAsia" w:ascii="宋体" w:hAnsi="宋体"/>
          <w:sz w:val="28"/>
          <w:szCs w:val="28"/>
        </w:rPr>
        <w:t>202</w:t>
      </w:r>
      <w:r>
        <w:rPr>
          <w:rFonts w:hint="eastAsia" w:ascii="宋体" w:hAnsi="宋体"/>
          <w:sz w:val="28"/>
          <w:szCs w:val="28"/>
          <w:u w:val="single"/>
        </w:rPr>
        <w:t>X</w:t>
      </w:r>
      <w:r>
        <w:rPr>
          <w:rFonts w:hint="eastAsia" w:ascii="宋体" w:hAnsi="宋体"/>
          <w:sz w:val="28"/>
        </w:rPr>
        <w:t>年</w:t>
      </w:r>
      <w:r>
        <w:rPr>
          <w:rFonts w:hint="eastAsia" w:ascii="宋体" w:hAnsi="宋体"/>
          <w:sz w:val="28"/>
          <w:szCs w:val="28"/>
          <w:u w:val="single"/>
        </w:rPr>
        <w:t>XX</w:t>
      </w:r>
      <w:r>
        <w:rPr>
          <w:rFonts w:hint="eastAsia" w:ascii="宋体" w:hAnsi="宋体"/>
          <w:sz w:val="28"/>
        </w:rPr>
        <w:t>月</w:t>
      </w:r>
      <w:r>
        <w:rPr>
          <w:rFonts w:hint="eastAsia" w:ascii="宋体" w:hAnsi="宋体"/>
          <w:sz w:val="28"/>
          <w:szCs w:val="28"/>
          <w:u w:val="single"/>
        </w:rPr>
        <w:t>XX</w:t>
      </w:r>
      <w:r>
        <w:rPr>
          <w:rFonts w:hint="eastAsia" w:ascii="宋体" w:hAnsi="宋体"/>
          <w:sz w:val="28"/>
        </w:rPr>
        <w:t>日</w:t>
      </w:r>
    </w:p>
    <w:p>
      <w:pPr>
        <w:pStyle w:val="80"/>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spacing w:line="360" w:lineRule="auto"/>
        <w:ind w:firstLine="689" w:firstLineChars="236"/>
        <w:rPr>
          <w:rFonts w:ascii="宋体" w:hAnsi="宋体"/>
          <w:spacing w:val="6"/>
          <w:sz w:val="28"/>
          <w:szCs w:val="28"/>
        </w:rPr>
      </w:pPr>
    </w:p>
    <w:p>
      <w:pPr>
        <w:spacing w:line="360" w:lineRule="auto"/>
        <w:ind w:firstLine="689" w:firstLineChars="236"/>
        <w:rPr>
          <w:rFonts w:ascii="宋体" w:hAnsi="宋体"/>
          <w:spacing w:val="6"/>
          <w:sz w:val="28"/>
          <w:szCs w:val="28"/>
        </w:rPr>
      </w:pPr>
    </w:p>
    <w:p>
      <w:pPr>
        <w:pStyle w:val="5"/>
        <w:numPr>
          <w:ilvl w:val="3"/>
          <w:numId w:val="1"/>
        </w:numPr>
        <w:tabs>
          <w:tab w:val="left" w:pos="709"/>
        </w:tabs>
        <w:snapToGrid w:val="0"/>
        <w:jc w:val="left"/>
        <w:rPr>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rPr>
      </w:pPr>
    </w:p>
    <w:p>
      <w:pPr>
        <w:pStyle w:val="5"/>
        <w:tabs>
          <w:tab w:val="left" w:pos="709"/>
        </w:tabs>
        <w:ind w:left="1135" w:hanging="1135"/>
        <w:jc w:val="left"/>
        <w:rPr>
          <w:color w:val="auto"/>
        </w:rPr>
      </w:pPr>
      <w:r>
        <w:rPr>
          <w:rFonts w:hint="eastAsia"/>
          <w:color w:val="auto"/>
        </w:rPr>
        <w:t>报价要求</w:t>
      </w:r>
      <w:r>
        <w:rPr>
          <w:color w:val="auto"/>
        </w:rPr>
        <w:t>响应文件</w:t>
      </w:r>
    </w:p>
    <w:p>
      <w:pPr>
        <w:pStyle w:val="5"/>
        <w:numPr>
          <w:ilvl w:val="3"/>
          <w:numId w:val="1"/>
        </w:numPr>
        <w:tabs>
          <w:tab w:val="left" w:pos="709"/>
        </w:tabs>
        <w:jc w:val="left"/>
        <w:rPr>
          <w:color w:val="auto"/>
        </w:rPr>
      </w:pPr>
      <w:r>
        <w:rPr>
          <w:rFonts w:hint="eastAsia"/>
          <w:color w:val="auto"/>
        </w:rPr>
        <w:t>开标</w:t>
      </w:r>
      <w:r>
        <w:rPr>
          <w:color w:val="auto"/>
        </w:rPr>
        <w:t>一览表</w:t>
      </w:r>
    </w:p>
    <w:p>
      <w:pPr>
        <w:snapToGrid w:val="0"/>
        <w:spacing w:line="360" w:lineRule="auto"/>
        <w:rPr>
          <w:rFonts w:hint="eastAsia" w:ascii="宋体" w:hAnsi="宋体"/>
          <w:b/>
          <w:spacing w:val="-20"/>
          <w:sz w:val="28"/>
          <w:szCs w:val="28"/>
        </w:rPr>
      </w:pPr>
      <w:r>
        <w:rPr>
          <w:rFonts w:hint="eastAsia" w:ascii="宋体" w:hAnsi="宋体"/>
          <w:b/>
          <w:spacing w:val="-20"/>
          <w:sz w:val="28"/>
          <w:szCs w:val="28"/>
        </w:rPr>
        <w:t>项目名称：</w:t>
      </w:r>
    </w:p>
    <w:p>
      <w:pPr>
        <w:snapToGrid w:val="0"/>
        <w:spacing w:line="360" w:lineRule="auto"/>
        <w:rPr>
          <w:rFonts w:ascii="宋体" w:hAnsi="宋体"/>
          <w:b/>
          <w:sz w:val="28"/>
          <w:szCs w:val="28"/>
          <w:u w:val="single"/>
        </w:rPr>
      </w:pPr>
      <w:r>
        <w:rPr>
          <w:rFonts w:hint="eastAsia" w:ascii="宋体" w:hAnsi="宋体"/>
          <w:b/>
          <w:sz w:val="28"/>
          <w:szCs w:val="28"/>
        </w:rPr>
        <w:t>项目编号：</w:t>
      </w:r>
    </w:p>
    <w:tbl>
      <w:tblPr>
        <w:tblStyle w:val="4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500" w:lineRule="exact"/>
        <w:ind w:left="1445" w:right="-65" w:rightChars="-27" w:hanging="1445" w:hangingChars="514"/>
        <w:rPr>
          <w:rFonts w:ascii="宋体" w:hAnsi="宋体"/>
          <w:b/>
          <w:bCs/>
          <w:sz w:val="28"/>
          <w:u w:val="single"/>
        </w:rPr>
      </w:pPr>
    </w:p>
    <w:p>
      <w:pPr>
        <w:pStyle w:val="2"/>
        <w:rPr>
          <w:rFonts w:hint="eastAsia" w:eastAsiaTheme="minorEastAsia"/>
          <w:color w:val="FF0000"/>
          <w:lang w:eastAsia="zh-CN"/>
        </w:rPr>
      </w:pPr>
      <w:r>
        <w:rPr>
          <w:rFonts w:hint="eastAsia" w:ascii="宋体" w:hAnsi="宋体"/>
          <w:color w:val="FF0000"/>
          <w:sz w:val="28"/>
          <w:szCs w:val="28"/>
          <w:lang w:eastAsia="zh-CN"/>
        </w:rPr>
        <w:t>注：参加询价的供应商在响应文件里做出“一次性不可更改”的报价</w:t>
      </w: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360" w:lineRule="auto"/>
        <w:rPr>
          <w:rFonts w:ascii="宋体" w:hAnsi="宋体"/>
          <w:spacing w:val="6"/>
          <w:sz w:val="28"/>
          <w:szCs w:val="28"/>
        </w:rPr>
      </w:pPr>
    </w:p>
    <w:p>
      <w:pPr>
        <w:pStyle w:val="5"/>
        <w:numPr>
          <w:ilvl w:val="3"/>
          <w:numId w:val="1"/>
        </w:numPr>
        <w:tabs>
          <w:tab w:val="left" w:pos="709"/>
        </w:tabs>
        <w:snapToGrid w:val="0"/>
        <w:jc w:val="left"/>
        <w:rPr>
          <w:spacing w:val="6"/>
        </w:rPr>
      </w:pPr>
      <w:r>
        <w:rPr>
          <w:rFonts w:hint="eastAsia"/>
          <w:color w:val="auto"/>
        </w:rPr>
        <w:t>分项</w:t>
      </w:r>
      <w:r>
        <w:rPr>
          <w:color w:val="auto"/>
        </w:rPr>
        <w:t>报价</w:t>
      </w:r>
      <w:r>
        <w:rPr>
          <w:rFonts w:hint="eastAsia"/>
          <w:color w:val="auto"/>
        </w:rPr>
        <w:t>明细</w:t>
      </w:r>
      <w:r>
        <w:rPr>
          <w:color w:val="auto"/>
        </w:rPr>
        <w:t>表</w:t>
      </w:r>
    </w:p>
    <w:p>
      <w:pPr>
        <w:snapToGrid w:val="0"/>
        <w:spacing w:line="360" w:lineRule="auto"/>
        <w:rPr>
          <w:rFonts w:hint="eastAsia" w:ascii="宋体" w:hAnsi="宋体"/>
          <w:b/>
          <w:spacing w:val="-20"/>
          <w:sz w:val="28"/>
          <w:szCs w:val="28"/>
        </w:rPr>
      </w:pPr>
      <w:r>
        <w:rPr>
          <w:rFonts w:hint="eastAsia" w:ascii="宋体" w:hAnsi="宋体"/>
          <w:b/>
          <w:spacing w:val="-20"/>
          <w:sz w:val="28"/>
          <w:szCs w:val="28"/>
        </w:rPr>
        <w:t>项目名称：</w:t>
      </w:r>
    </w:p>
    <w:p>
      <w:pPr>
        <w:snapToGrid w:val="0"/>
        <w:spacing w:line="360" w:lineRule="auto"/>
        <w:rPr>
          <w:rFonts w:ascii="宋体" w:hAnsi="宋体"/>
          <w:b/>
          <w:sz w:val="28"/>
          <w:szCs w:val="28"/>
          <w:u w:val="single"/>
        </w:rPr>
      </w:pPr>
      <w:r>
        <w:rPr>
          <w:rFonts w:hint="eastAsia" w:ascii="宋体" w:hAnsi="宋体"/>
          <w:b/>
          <w:sz w:val="28"/>
          <w:szCs w:val="28"/>
        </w:rPr>
        <w:t>项目编号：</w:t>
      </w:r>
    </w:p>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一、分项报价明细表</w:t>
      </w:r>
    </w:p>
    <w:tbl>
      <w:tblPr>
        <w:tblStyle w:val="45"/>
        <w:tblW w:w="10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560"/>
        <w:gridCol w:w="1110"/>
        <w:gridCol w:w="1268"/>
        <w:gridCol w:w="1113"/>
        <w:gridCol w:w="1045"/>
        <w:gridCol w:w="1134"/>
        <w:gridCol w:w="1165"/>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序号</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产品名称（标</w:t>
            </w:r>
            <w:r>
              <w:rPr>
                <w:rFonts w:ascii="宋体" w:hAnsi="宋体"/>
                <w:b/>
                <w:szCs w:val="28"/>
              </w:rPr>
              <w:t>的名称</w:t>
            </w:r>
            <w:r>
              <w:rPr>
                <w:rFonts w:hint="eastAsia" w:ascii="宋体" w:hAnsi="宋体"/>
                <w:b/>
                <w:szCs w:val="28"/>
              </w:rPr>
              <w:t>）</w:t>
            </w:r>
          </w:p>
        </w:tc>
        <w:tc>
          <w:tcPr>
            <w:tcW w:w="111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品牌</w:t>
            </w:r>
          </w:p>
        </w:tc>
        <w:tc>
          <w:tcPr>
            <w:tcW w:w="126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规格型号</w:t>
            </w:r>
          </w:p>
        </w:tc>
        <w:tc>
          <w:tcPr>
            <w:tcW w:w="1113"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生产厂商</w:t>
            </w:r>
          </w:p>
        </w:tc>
        <w:tc>
          <w:tcPr>
            <w:tcW w:w="1045"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szCs w:val="28"/>
              </w:rPr>
            </w:pPr>
            <w:r>
              <w:rPr>
                <w:rFonts w:hint="eastAsia" w:ascii="宋体" w:hAnsi="宋体"/>
                <w:b/>
                <w:szCs w:val="28"/>
              </w:rPr>
              <w:t>进口或国产</w:t>
            </w:r>
          </w:p>
        </w:tc>
        <w:tc>
          <w:tcPr>
            <w:tcW w:w="113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数量(单位)</w:t>
            </w:r>
          </w:p>
        </w:tc>
        <w:tc>
          <w:tcPr>
            <w:tcW w:w="1165"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单价</w:t>
            </w:r>
          </w:p>
        </w:tc>
        <w:tc>
          <w:tcPr>
            <w:tcW w:w="1295"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04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9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04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9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04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9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506" w:type="dxa"/>
            <w:gridSpan w:val="9"/>
            <w:tcBorders>
              <w:top w:val="single" w:color="auto" w:sz="4" w:space="0"/>
              <w:left w:val="single" w:color="auto" w:sz="4" w:space="0"/>
              <w:bottom w:val="single" w:color="auto" w:sz="4" w:space="0"/>
              <w:right w:val="single" w:color="auto" w:sz="4" w:space="0"/>
            </w:tcBorders>
          </w:tcPr>
          <w:p>
            <w:pPr>
              <w:spacing w:line="480" w:lineRule="exact"/>
              <w:ind w:firstLine="1807" w:firstLineChars="750"/>
              <w:rPr>
                <w:rFonts w:ascii="宋体" w:hAnsi="宋体"/>
                <w:szCs w:val="21"/>
              </w:rPr>
            </w:pPr>
            <w:r>
              <w:rPr>
                <w:rFonts w:hint="eastAsia" w:ascii="宋体" w:hAnsi="宋体"/>
                <w:b/>
              </w:rPr>
              <w:t>报价（总价合计）：</w:t>
            </w:r>
            <w:r>
              <w:rPr>
                <w:rFonts w:ascii="宋体" w:hAnsi="宋体"/>
                <w:b/>
                <w:u w:val="single"/>
              </w:rPr>
              <w:t>XXXXXXXXXXXXX</w:t>
            </w:r>
            <w:r>
              <w:rPr>
                <w:rFonts w:hint="eastAsia" w:ascii="宋体" w:hAnsi="宋体"/>
                <w:b/>
              </w:rPr>
              <w:t>元</w:t>
            </w:r>
          </w:p>
        </w:tc>
      </w:tr>
    </w:tbl>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rPr>
          <w:rFonts w:ascii="宋体" w:hAnsi="宋体"/>
          <w:sz w:val="28"/>
          <w:lang w:val="zh-CN"/>
        </w:rPr>
      </w:pPr>
      <w:r>
        <w:rPr>
          <w:rFonts w:hint="eastAsia" w:ascii="宋体" w:hAnsi="宋体"/>
          <w:sz w:val="28"/>
          <w:lang w:val="zh-CN"/>
        </w:rPr>
        <w:t>供应商名称：XXXX</w:t>
      </w:r>
    </w:p>
    <w:p>
      <w:pPr>
        <w:rPr>
          <w:rFonts w:ascii="宋体" w:hAnsi="宋体"/>
          <w:bCs/>
          <w:sz w:val="28"/>
          <w:szCs w:val="28"/>
        </w:rPr>
      </w:pPr>
      <w:r>
        <w:rPr>
          <w:rFonts w:hint="eastAsia" w:ascii="宋体" w:hAnsi="宋体"/>
          <w:sz w:val="28"/>
        </w:rPr>
        <w:t>日期：</w:t>
      </w:r>
      <w:r>
        <w:rPr>
          <w:rFonts w:hint="eastAsia" w:ascii="宋体" w:hAnsi="宋体"/>
          <w:bCs/>
          <w:sz w:val="28"/>
        </w:rPr>
        <w:t>20XX年XX月XX日</w:t>
      </w:r>
    </w:p>
    <w:p>
      <w:pPr>
        <w:pStyle w:val="13"/>
        <w:spacing w:line="240" w:lineRule="auto"/>
        <w:ind w:firstLine="562"/>
        <w:rPr>
          <w:rFonts w:hint="eastAsia" w:ascii="宋体" w:hAnsi="宋体"/>
          <w:b/>
          <w:sz w:val="28"/>
        </w:rPr>
      </w:pPr>
      <w:r>
        <w:rPr>
          <w:rFonts w:hint="eastAsia" w:ascii="宋体" w:hAnsi="宋体"/>
          <w:b/>
          <w:sz w:val="28"/>
        </w:rPr>
        <w:t>说明：供应商应根据以上表格格式填写分项报价，报价合计应包括供应商完成本项目所需的一切费用。</w:t>
      </w:r>
    </w:p>
    <w:p>
      <w:pPr>
        <w:pStyle w:val="13"/>
        <w:spacing w:line="240" w:lineRule="auto"/>
        <w:ind w:firstLine="562"/>
        <w:rPr>
          <w:rFonts w:hint="eastAsia" w:ascii="宋体" w:hAnsi="宋体"/>
          <w:b/>
          <w:sz w:val="28"/>
        </w:rPr>
      </w:pPr>
    </w:p>
    <w:p>
      <w:pPr>
        <w:rPr>
          <w:rFonts w:ascii="宋体" w:hAnsi="宋体"/>
        </w:rPr>
      </w:pPr>
    </w:p>
    <w:p>
      <w:pPr>
        <w:rPr>
          <w:rFonts w:ascii="宋体" w:hAnsi="宋体"/>
        </w:rPr>
      </w:pPr>
    </w:p>
    <w:bookmarkEnd w:id="56"/>
    <w:p>
      <w:pPr>
        <w:pStyle w:val="3"/>
        <w:numPr>
          <w:ilvl w:val="0"/>
          <w:numId w:val="1"/>
        </w:numPr>
        <w:spacing w:before="0" w:after="0"/>
        <w:ind w:left="0" w:firstLine="0"/>
      </w:pPr>
      <w:bookmarkStart w:id="66" w:name="_Toc75159555"/>
      <w:r>
        <w:rPr>
          <w:rFonts w:hint="eastAsia"/>
        </w:rPr>
        <w:t>技术、服务、商务及其他要求</w:t>
      </w:r>
      <w:bookmarkEnd w:id="66"/>
    </w:p>
    <w:p>
      <w:pPr>
        <w:pStyle w:val="4"/>
        <w:tabs>
          <w:tab w:val="left" w:pos="576"/>
          <w:tab w:val="clear" w:pos="567"/>
        </w:tabs>
        <w:ind w:left="807" w:leftChars="0" w:firstLineChars="0"/>
      </w:pPr>
      <w:bookmarkStart w:id="67" w:name="_Toc75159556"/>
      <w:bookmarkStart w:id="68" w:name="_Toc321334066"/>
      <w:bookmarkStart w:id="69" w:name="_Toc496702872"/>
      <w:r>
        <w:rPr>
          <w:rFonts w:hint="eastAsia"/>
        </w:rPr>
        <w:t>项目概况</w:t>
      </w:r>
      <w:bookmarkEnd w:id="67"/>
    </w:p>
    <w:tbl>
      <w:tblPr>
        <w:tblStyle w:val="46"/>
        <w:tblpPr w:leftFromText="180" w:rightFromText="180" w:vertAnchor="text" w:horzAnchor="page" w:tblpX="2017" w:tblpY="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3830"/>
        <w:gridCol w:w="906"/>
        <w:gridCol w:w="1056"/>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序号</w:t>
            </w:r>
          </w:p>
        </w:tc>
        <w:tc>
          <w:tcPr>
            <w:tcW w:w="3830"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产品名称（标的名称）</w:t>
            </w:r>
          </w:p>
        </w:tc>
        <w:tc>
          <w:tcPr>
            <w:tcW w:w="906"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单位</w:t>
            </w:r>
          </w:p>
        </w:tc>
        <w:tc>
          <w:tcPr>
            <w:tcW w:w="1056"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数量</w:t>
            </w:r>
          </w:p>
          <w:p>
            <w:pPr>
              <w:pStyle w:val="80"/>
              <w:ind w:firstLine="0" w:firstLineChars="0"/>
              <w:jc w:val="center"/>
              <w:rPr>
                <w:color w:val="000000" w:themeColor="text1"/>
                <w:sz w:val="28"/>
                <w:szCs w:val="32"/>
                <w14:textFill>
                  <w14:solidFill>
                    <w14:schemeClr w14:val="tx1"/>
                  </w14:solidFill>
                </w14:textFill>
              </w:rPr>
            </w:pPr>
          </w:p>
        </w:tc>
        <w:tc>
          <w:tcPr>
            <w:tcW w:w="1717" w:type="dxa"/>
          </w:tcPr>
          <w:p>
            <w:pPr>
              <w:pStyle w:val="80"/>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35" w:type="dxa"/>
          </w:tcPr>
          <w:p>
            <w:pPr>
              <w:pStyle w:val="80"/>
              <w:ind w:firstLine="280" w:firstLineChars="100"/>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1</w:t>
            </w:r>
          </w:p>
        </w:tc>
        <w:tc>
          <w:tcPr>
            <w:tcW w:w="3830" w:type="dxa"/>
            <w:vAlign w:val="center"/>
          </w:tcPr>
          <w:p>
            <w:pPr>
              <w:jc w:val="center"/>
              <w:rPr>
                <w:rFonts w:ascii="仿宋" w:hAnsi="仿宋" w:eastAsia="仿宋"/>
                <w:color w:val="000000" w:themeColor="text1"/>
                <w:sz w:val="28"/>
                <w:szCs w:val="28"/>
                <w14:textFill>
                  <w14:solidFill>
                    <w14:schemeClr w14:val="tx1"/>
                  </w14:solidFill>
                </w14:textFill>
              </w:rPr>
            </w:pPr>
            <w:r>
              <w:rPr>
                <w:rFonts w:hint="eastAsia" w:ascii="宋体" w:hAnsi="宋体" w:cs="宋体"/>
                <w:color w:val="000000"/>
                <w:sz w:val="28"/>
                <w:szCs w:val="28"/>
              </w:rPr>
              <w:t>大气负氧离子自动监测系统</w:t>
            </w:r>
          </w:p>
        </w:tc>
        <w:tc>
          <w:tcPr>
            <w:tcW w:w="906" w:type="dxa"/>
            <w:vAlign w:val="center"/>
          </w:tcPr>
          <w:p>
            <w:pPr>
              <w:jc w:val="center"/>
              <w:rPr>
                <w:rFonts w:ascii="仿宋" w:hAnsi="仿宋" w:eastAsia="仿宋"/>
                <w:color w:val="000000" w:themeColor="text1"/>
                <w:sz w:val="28"/>
                <w:szCs w:val="28"/>
                <w14:textFill>
                  <w14:solidFill>
                    <w14:schemeClr w14:val="tx1"/>
                  </w14:solidFill>
                </w14:textFill>
              </w:rPr>
            </w:pPr>
            <w:r>
              <w:rPr>
                <w:rFonts w:hint="eastAsia" w:ascii="宋体" w:hAnsi="宋体" w:cs="宋体"/>
                <w:color w:val="000000"/>
              </w:rPr>
              <w:t>套</w:t>
            </w:r>
          </w:p>
        </w:tc>
        <w:tc>
          <w:tcPr>
            <w:tcW w:w="105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2</w:t>
            </w:r>
          </w:p>
        </w:tc>
        <w:tc>
          <w:tcPr>
            <w:tcW w:w="1717"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5" w:type="dxa"/>
          </w:tcPr>
          <w:p>
            <w:pPr>
              <w:pStyle w:val="80"/>
              <w:ind w:firstLine="280" w:firstLineChars="100"/>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w:t>
            </w:r>
          </w:p>
        </w:tc>
        <w:tc>
          <w:tcPr>
            <w:tcW w:w="3830" w:type="dxa"/>
            <w:vAlign w:val="center"/>
          </w:tcPr>
          <w:p>
            <w:pPr>
              <w:jc w:val="center"/>
              <w:rPr>
                <w:color w:val="000000" w:themeColor="text1"/>
                <w:sz w:val="28"/>
                <w:szCs w:val="32"/>
                <w14:textFill>
                  <w14:solidFill>
                    <w14:schemeClr w14:val="tx1"/>
                  </w14:solidFill>
                </w14:textFill>
              </w:rPr>
            </w:pPr>
            <w:r>
              <w:rPr>
                <w:rFonts w:hint="eastAsia" w:ascii="宋体" w:hAnsi="宋体"/>
                <w:color w:val="000000"/>
                <w:sz w:val="28"/>
                <w:szCs w:val="28"/>
              </w:rPr>
              <w:t>LED显示屏</w:t>
            </w:r>
          </w:p>
        </w:tc>
        <w:tc>
          <w:tcPr>
            <w:tcW w:w="90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个</w:t>
            </w:r>
          </w:p>
        </w:tc>
        <w:tc>
          <w:tcPr>
            <w:tcW w:w="105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2</w:t>
            </w:r>
          </w:p>
        </w:tc>
        <w:tc>
          <w:tcPr>
            <w:tcW w:w="1717"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5" w:type="dxa"/>
          </w:tcPr>
          <w:p>
            <w:pPr>
              <w:pStyle w:val="80"/>
              <w:ind w:firstLine="280" w:firstLineChars="100"/>
              <w:rPr>
                <w:rFonts w:hint="eastAsia" w:eastAsiaTheme="minorEastAsia"/>
                <w:color w:val="000000" w:themeColor="text1"/>
                <w:sz w:val="28"/>
                <w:szCs w:val="32"/>
                <w:lang w:eastAsia="zh-CN"/>
                <w14:textFill>
                  <w14:solidFill>
                    <w14:schemeClr w14:val="tx1"/>
                  </w14:solidFill>
                </w14:textFill>
              </w:rPr>
            </w:pPr>
            <w:r>
              <w:rPr>
                <w:rFonts w:hint="eastAsia"/>
                <w:color w:val="000000" w:themeColor="text1"/>
                <w:sz w:val="28"/>
                <w:szCs w:val="32"/>
                <w:lang w:val="en-US" w:eastAsia="zh-CN"/>
                <w14:textFill>
                  <w14:solidFill>
                    <w14:schemeClr w14:val="tx1"/>
                  </w14:solidFill>
                </w14:textFill>
              </w:rPr>
              <w:t>3</w:t>
            </w:r>
          </w:p>
        </w:tc>
        <w:tc>
          <w:tcPr>
            <w:tcW w:w="3830" w:type="dxa"/>
            <w:vAlign w:val="center"/>
          </w:tcPr>
          <w:p>
            <w:pPr>
              <w:jc w:val="center"/>
              <w:rPr>
                <w:color w:val="000000" w:themeColor="text1"/>
                <w:sz w:val="28"/>
                <w:szCs w:val="32"/>
                <w14:textFill>
                  <w14:solidFill>
                    <w14:schemeClr w14:val="tx1"/>
                  </w14:solidFill>
                </w14:textFill>
              </w:rPr>
            </w:pPr>
            <w:r>
              <w:rPr>
                <w:rFonts w:hint="eastAsia" w:ascii="宋体" w:hAnsi="宋体"/>
                <w:color w:val="000000"/>
                <w:sz w:val="28"/>
                <w:szCs w:val="28"/>
              </w:rPr>
              <w:t>太阳能供电系统</w:t>
            </w:r>
          </w:p>
        </w:tc>
        <w:tc>
          <w:tcPr>
            <w:tcW w:w="90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套</w:t>
            </w:r>
          </w:p>
        </w:tc>
        <w:tc>
          <w:tcPr>
            <w:tcW w:w="1056"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2</w:t>
            </w:r>
          </w:p>
        </w:tc>
        <w:tc>
          <w:tcPr>
            <w:tcW w:w="1717" w:type="dxa"/>
            <w:vAlign w:val="center"/>
          </w:tcPr>
          <w:p>
            <w:pPr>
              <w:jc w:val="center"/>
              <w:rPr>
                <w:color w:val="000000" w:themeColor="text1"/>
                <w:sz w:val="28"/>
                <w:szCs w:val="32"/>
                <w14:textFill>
                  <w14:solidFill>
                    <w14:schemeClr w14:val="tx1"/>
                  </w14:solidFill>
                </w14:textFill>
              </w:rPr>
            </w:pPr>
            <w:r>
              <w:rPr>
                <w:rFonts w:hint="eastAsia" w:ascii="宋体" w:hAnsi="宋体" w:cs="宋体"/>
                <w:color w:val="000000"/>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5" w:type="dxa"/>
          </w:tcPr>
          <w:p>
            <w:pPr>
              <w:pStyle w:val="80"/>
              <w:ind w:firstLine="280" w:firstLineChars="100"/>
              <w:rPr>
                <w:rFonts w:hint="eastAsia" w:eastAsiaTheme="minorEastAsia"/>
                <w:color w:val="000000" w:themeColor="text1"/>
                <w:sz w:val="28"/>
                <w:szCs w:val="32"/>
                <w:lang w:val="en-US" w:eastAsia="zh-CN"/>
                <w14:textFill>
                  <w14:solidFill>
                    <w14:schemeClr w14:val="tx1"/>
                  </w14:solidFill>
                </w14:textFill>
              </w:rPr>
            </w:pPr>
            <w:r>
              <w:rPr>
                <w:rFonts w:hint="eastAsia"/>
                <w:color w:val="000000" w:themeColor="text1"/>
                <w:sz w:val="28"/>
                <w:szCs w:val="32"/>
                <w:lang w:val="en-US" w:eastAsia="zh-CN"/>
                <w14:textFill>
                  <w14:solidFill>
                    <w14:schemeClr w14:val="tx1"/>
                  </w14:solidFill>
                </w14:textFill>
              </w:rPr>
              <w:t>4</w:t>
            </w:r>
          </w:p>
        </w:tc>
        <w:tc>
          <w:tcPr>
            <w:tcW w:w="3830" w:type="dxa"/>
            <w:vAlign w:val="center"/>
          </w:tcPr>
          <w:p>
            <w:pPr>
              <w:jc w:val="center"/>
              <w:rPr>
                <w:rFonts w:hint="eastAsia"/>
                <w:color w:val="000000" w:themeColor="text1"/>
                <w:sz w:val="28"/>
                <w:szCs w:val="32"/>
                <w14:textFill>
                  <w14:solidFill>
                    <w14:schemeClr w14:val="tx1"/>
                  </w14:solidFill>
                </w14:textFill>
              </w:rPr>
            </w:pPr>
            <w:r>
              <w:rPr>
                <w:rFonts w:hint="eastAsia" w:ascii="宋体" w:hAnsi="宋体"/>
                <w:color w:val="000000"/>
                <w:sz w:val="28"/>
                <w:szCs w:val="28"/>
              </w:rPr>
              <w:t>防护栅栏</w:t>
            </w:r>
          </w:p>
        </w:tc>
        <w:tc>
          <w:tcPr>
            <w:tcW w:w="906" w:type="dxa"/>
            <w:vAlign w:val="center"/>
          </w:tcPr>
          <w:p>
            <w:pPr>
              <w:jc w:val="center"/>
              <w:rPr>
                <w:rFonts w:hint="eastAsia"/>
                <w:color w:val="000000" w:themeColor="text1"/>
                <w:sz w:val="28"/>
                <w:szCs w:val="32"/>
                <w14:textFill>
                  <w14:solidFill>
                    <w14:schemeClr w14:val="tx1"/>
                  </w14:solidFill>
                </w14:textFill>
              </w:rPr>
            </w:pPr>
            <w:r>
              <w:rPr>
                <w:rFonts w:hint="eastAsia" w:ascii="宋体" w:hAnsi="宋体" w:cs="宋体"/>
                <w:color w:val="000000"/>
                <w:sz w:val="28"/>
                <w:szCs w:val="28"/>
              </w:rPr>
              <w:t>套</w:t>
            </w:r>
          </w:p>
        </w:tc>
        <w:tc>
          <w:tcPr>
            <w:tcW w:w="1056" w:type="dxa"/>
            <w:vAlign w:val="center"/>
          </w:tcPr>
          <w:p>
            <w:pPr>
              <w:jc w:val="center"/>
              <w:rPr>
                <w:rFonts w:hint="eastAsia"/>
                <w:color w:val="000000" w:themeColor="text1"/>
                <w:sz w:val="28"/>
                <w:szCs w:val="32"/>
                <w14:textFill>
                  <w14:solidFill>
                    <w14:schemeClr w14:val="tx1"/>
                  </w14:solidFill>
                </w14:textFill>
              </w:rPr>
            </w:pPr>
            <w:r>
              <w:rPr>
                <w:rFonts w:hint="eastAsia" w:ascii="宋体" w:hAnsi="宋体" w:cs="宋体"/>
                <w:color w:val="000000"/>
                <w:sz w:val="28"/>
                <w:szCs w:val="28"/>
              </w:rPr>
              <w:t>2</w:t>
            </w:r>
          </w:p>
        </w:tc>
        <w:tc>
          <w:tcPr>
            <w:tcW w:w="1717" w:type="dxa"/>
            <w:vAlign w:val="center"/>
          </w:tcPr>
          <w:p>
            <w:pPr>
              <w:jc w:val="center"/>
              <w:rPr>
                <w:rFonts w:hint="eastAsia"/>
                <w:color w:val="000000" w:themeColor="text1"/>
                <w:sz w:val="28"/>
                <w:szCs w:val="32"/>
                <w14:textFill>
                  <w14:solidFill>
                    <w14:schemeClr w14:val="tx1"/>
                  </w14:solidFill>
                </w14:textFill>
              </w:rPr>
            </w:pPr>
            <w:r>
              <w:rPr>
                <w:rFonts w:hint="eastAsia" w:ascii="宋体" w:hAnsi="宋体" w:cs="宋体"/>
                <w:color w:val="000000"/>
                <w:sz w:val="28"/>
                <w:szCs w:val="28"/>
              </w:rPr>
              <w:t>其他未列明的行业</w:t>
            </w:r>
          </w:p>
        </w:tc>
      </w:tr>
    </w:tbl>
    <w:p/>
    <w:p/>
    <w:p>
      <w:pPr>
        <w:pStyle w:val="4"/>
        <w:numPr>
          <w:ilvl w:val="1"/>
          <w:numId w:val="0"/>
        </w:numPr>
        <w:tabs>
          <w:tab w:val="left" w:pos="576"/>
          <w:tab w:val="clear" w:pos="567"/>
        </w:tabs>
        <w:ind w:leftChars="0"/>
      </w:pPr>
      <w:r>
        <w:rPr>
          <w:rFonts w:hint="eastAsia"/>
          <w:color w:val="000000"/>
          <w:lang w:val="zh-CN"/>
        </w:rPr>
        <w:t>★</w:t>
      </w:r>
      <w:r>
        <w:rPr>
          <w:rFonts w:hint="eastAsia"/>
          <w:color w:val="000000"/>
          <w:lang w:val="en-US" w:eastAsia="zh-CN"/>
        </w:rPr>
        <w:t>4.2</w:t>
      </w:r>
      <w:r>
        <w:rPr>
          <w:rFonts w:hint="eastAsia"/>
        </w:rPr>
        <w:t xml:space="preserve"> </w:t>
      </w:r>
      <w:bookmarkStart w:id="70" w:name="_Toc75159557"/>
      <w:r>
        <w:rPr>
          <w:rFonts w:hint="eastAsia"/>
        </w:rPr>
        <w:t>技术参数</w:t>
      </w:r>
      <w:r>
        <w:t>及要求</w:t>
      </w:r>
      <w:bookmarkEnd w:id="70"/>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（一）、大气负氧离子自动监测系统2套（每一套包含设备硬件和天然氧吧平台软件系统）</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1、设备硬件参数</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1.1、产品的设计标准符合中国气象局综合观测司《大气负离子自动观测仪功能规格需求书（第2版）》要求，数据必须接入成都市气象探测与信息中心（说明：供应商应按照询价通知书</w:t>
      </w:r>
      <w:r>
        <w:rPr>
          <w:rFonts w:hint="eastAsia" w:ascii="Calibri" w:hAnsi="Calibri"/>
          <w:color w:val="000000"/>
          <w:sz w:val="28"/>
          <w:szCs w:val="28"/>
          <w:lang w:val="en-US" w:eastAsia="zh-CN"/>
        </w:rPr>
        <w:t>3.1.3.5</w:t>
      </w:r>
      <w:r>
        <w:rPr>
          <w:rFonts w:hint="eastAsia" w:ascii="Calibri" w:hAnsi="Calibri"/>
          <w:color w:val="000000"/>
          <w:sz w:val="28"/>
          <w:szCs w:val="28"/>
        </w:rPr>
        <w:t>承诺函的格式及要求提供承诺函原件。）</w:t>
      </w:r>
    </w:p>
    <w:p>
      <w:pPr>
        <w:pStyle w:val="297"/>
        <w:spacing w:line="360" w:lineRule="auto"/>
        <w:ind w:firstLine="480"/>
        <w:rPr>
          <w:rFonts w:hint="eastAsia" w:ascii="Calibri" w:hAnsi="Calibri"/>
          <w:color w:val="000000"/>
          <w:sz w:val="28"/>
          <w:szCs w:val="28"/>
        </w:rPr>
      </w:pP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1.2、技术原理：电容式吸入法、固定式自动在线24小时X365全天候监测。</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1.3、测量要素：标准要素：小粒径大气负离子。</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其他要素：环境温度、相对湿度。</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1.4、测量范围</w:t>
      </w:r>
      <w:r>
        <w:rPr>
          <w:rFonts w:hint="eastAsia" w:ascii="Calibri" w:hAnsi="Calibri"/>
          <w:color w:val="000000"/>
          <w:sz w:val="28"/>
          <w:szCs w:val="28"/>
        </w:rPr>
        <w:tab/>
      </w:r>
      <w:r>
        <w:rPr>
          <w:rFonts w:hint="eastAsia" w:ascii="Calibri" w:hAnsi="Calibri"/>
          <w:color w:val="000000"/>
          <w:sz w:val="28"/>
          <w:szCs w:val="28"/>
        </w:rPr>
        <w:t>负离子浓度检测范围：10~108个/cm3；</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离子迁移率测量范围：不小于0.4 cm2·（V·s）-1。</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1.5、测量分辨率</w:t>
      </w:r>
      <w:r>
        <w:rPr>
          <w:rFonts w:hint="eastAsia" w:ascii="Calibri" w:hAnsi="Calibri"/>
          <w:color w:val="000000"/>
          <w:sz w:val="28"/>
          <w:szCs w:val="28"/>
        </w:rPr>
        <w:tab/>
      </w:r>
      <w:r>
        <w:rPr>
          <w:rFonts w:hint="eastAsia" w:ascii="Calibri" w:hAnsi="Calibri"/>
          <w:color w:val="000000"/>
          <w:sz w:val="28"/>
          <w:szCs w:val="28"/>
        </w:rPr>
        <w:t>最小分辨率：1个/cm3。</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一致性及准确性：≤±10％。</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离子迁移率：0.4 cm2·（V·s）-1。</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采样频率：不低于10次/秒。</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 xml:space="preserve">1.6、工作气候条件：空气温度： -30℃～ +50℃； </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 xml:space="preserve">空气相对湿度： 10％～ 100％ RH； </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 xml:space="preserve">风速： ≤ 35m/s； </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 xml:space="preserve">降水强度： 6 mm/min； </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大气压力： 550～ 1060hPa。</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 xml:space="preserve">1.7、观测频次：标准：1次/小时，或1次/整5分钟。 </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1.8、数据传输：无线（GPRS, 3G/4G、无线路由等），内置GPRS无线通信模块。</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1.9、数据存储时间连续120天（可保存10年以上）</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1.10、防护性能：具有结露保护功能，可防止结露、静电、雷电感应、极板短路等导致的不良影响或损坏；具备防雷措施，保证设备在野外环境下能可靠稳定运行。</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设备硬件参数需提供产品说明书复印件证明能到达要求功能。未提供的视为不满足。</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2、天然氧吧平台软件系统</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2.1、该系统投标人需要具有自主知识产权，提供天然氧吧平台软件著作权复印件证明。</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2.2、数据必须能接入成都市气象探测与信息中心。（说明：供应商应按照询价通知书</w:t>
      </w:r>
      <w:r>
        <w:rPr>
          <w:rFonts w:hint="eastAsia" w:ascii="Calibri" w:hAnsi="Calibri"/>
          <w:color w:val="000000"/>
          <w:sz w:val="28"/>
          <w:szCs w:val="28"/>
          <w:lang w:val="en-US" w:eastAsia="zh-CN"/>
        </w:rPr>
        <w:t>3.1.3.5</w:t>
      </w:r>
      <w:r>
        <w:rPr>
          <w:rFonts w:hint="eastAsia" w:ascii="Calibri" w:hAnsi="Calibri"/>
          <w:color w:val="000000"/>
          <w:sz w:val="28"/>
          <w:szCs w:val="28"/>
        </w:rPr>
        <w:t>承诺函的格式及要求提供承诺函原件。）</w:t>
      </w:r>
    </w:p>
    <w:p>
      <w:pPr>
        <w:pStyle w:val="297"/>
        <w:spacing w:line="360" w:lineRule="auto"/>
        <w:ind w:firstLine="480"/>
        <w:rPr>
          <w:rFonts w:hint="eastAsia" w:ascii="Calibri" w:hAnsi="Calibri"/>
          <w:color w:val="000000"/>
          <w:sz w:val="28"/>
          <w:szCs w:val="28"/>
        </w:rPr>
      </w:pP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2.3、地图显示功能：可以在地图上显示设备位置和负氧离子数据数据。</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2.4、行政区域区分：可以基于地图显示蒲江县行政边界线，在当地行政区域内与周边用明显颜色区分。</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2.5、表格显示：可以显示现在接入的全部设备。</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2.6、负离子站点曲线：可以显示该站点负离子、温湿度曲线数据。</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2.7、负离子站点表格：可以显示该站点负离子、温湿度表格数据。</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2.8、历史数据导出：</w:t>
      </w:r>
      <w:bookmarkStart w:id="71" w:name="OLE_LINK3"/>
      <w:bookmarkStart w:id="72" w:name="OLE_LINK2"/>
      <w:r>
        <w:rPr>
          <w:rFonts w:hint="eastAsia" w:ascii="Calibri" w:hAnsi="Calibri"/>
          <w:color w:val="000000"/>
          <w:sz w:val="28"/>
          <w:szCs w:val="28"/>
        </w:rPr>
        <w:t>可以</w:t>
      </w:r>
      <w:bookmarkEnd w:id="71"/>
      <w:bookmarkEnd w:id="72"/>
      <w:r>
        <w:rPr>
          <w:rFonts w:hint="eastAsia" w:ascii="Calibri" w:hAnsi="Calibri"/>
          <w:color w:val="000000"/>
          <w:sz w:val="28"/>
          <w:szCs w:val="28"/>
        </w:rPr>
        <w:t>历史数据下载与导出（Excel CSV格式）、图像查询等功能。</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2.9、警告功能：可以设定报警条件，当有符合条件时的数据时，就会提示出符合此条件的设备有多少台。</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2.10、定位功能：可以显示设备在地图上的位置，通过通信模块的GPS模组获取实时的经纬度定位信息。</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2.11、对比功能：可以进行2台及以上设备的数据对比。</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2.12、校时功能：可以服务器给负离子监测仪远程校时。</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2.13、单位时间平均数：可以显示负离子数值及负离子的小时平均、天平均值、月平均值、年平均值。</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2.14、天气预报：可以获取位置的实况天气信息与未来几天的天气预报信息。</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2.15、摄像头控制：可以通过鼠标单击来实现摄像头的上下左右旋转、远近变焦等。</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2.16、设备维修记录：可以显示设备维修状况。</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2.17、用户管理：可以根据其权限对监测设备信息进行更改、删除、添加等操作。</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2.18、图片库：可以显示设备现场图片。</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2.19、清除缓存：可以清除缓存。</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2.20、基本资料：可以查看设备信息。</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2.21、修改密码：可以修改密码。</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以上参数需提供中国软件评测中心出具的软件产品登记测试报告证明复印件，不能提供的视为不满足。（软件产品登记测试报告原件备查）</w:t>
      </w:r>
    </w:p>
    <w:p>
      <w:pPr>
        <w:pStyle w:val="297"/>
        <w:spacing w:line="360" w:lineRule="auto"/>
        <w:ind w:firstLine="480"/>
        <w:rPr>
          <w:rFonts w:hint="eastAsia" w:ascii="Calibri" w:hAnsi="Calibri"/>
          <w:color w:val="000000"/>
          <w:sz w:val="28"/>
          <w:szCs w:val="28"/>
        </w:rPr>
      </w:pP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（二）、LED显示屏（2个）</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P10单色</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像素密度≥10000点/平米</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单元板规格：32*16个</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像素组成：1R</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点间距：10mm</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亮度：每平方亮度≥5500cd</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扫描方式:4扫</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理论寿命：10万小时</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盲点率：＜0.0001</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屏幕尺寸：1600mm*960mm</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防水箱体：1.69 m×0.96m箱体边框</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箱体立柱： 1.6m</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外框材质：木质，</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防护等级: ≥IP65</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尺寸：1600mm*960mm，</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4G信号传输，显示屏需实时将大气负氧离子自动监测站的采集数据实时发布。</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（三）、防护栅栏（2套）</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防护栅栏长2米，共4个单边（其中1个单边需保留进出门栏，门栏尺寸不低于0.5米宽度），防护栅栏地面尺寸高0.6米，地埋尺寸为0.25米，形成“口”字型，四个角基需用混凝土浇筑基础，需将大气负氧离子自动监测站包围，颜色为白色、PVC材质。</w:t>
      </w:r>
    </w:p>
    <w:p>
      <w:pPr>
        <w:pStyle w:val="297"/>
        <w:spacing w:line="360" w:lineRule="auto"/>
        <w:ind w:firstLine="480"/>
        <w:rPr>
          <w:rFonts w:hint="eastAsia" w:ascii="Calibri" w:hAnsi="Calibri"/>
          <w:color w:val="000000"/>
          <w:sz w:val="28"/>
          <w:szCs w:val="28"/>
        </w:rPr>
      </w:pP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（四）、太阳能供电系统（2套）</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整套设备采用太阳能供电，供电电源为12V，蓄电池功率100Wp(W)。</w:t>
      </w:r>
    </w:p>
    <w:p>
      <w:pPr>
        <w:pStyle w:val="297"/>
        <w:spacing w:line="360" w:lineRule="auto"/>
        <w:ind w:firstLine="480"/>
        <w:rPr>
          <w:rFonts w:hint="eastAsia" w:ascii="Calibri" w:hAnsi="Calibri"/>
          <w:color w:val="000000"/>
          <w:sz w:val="28"/>
          <w:szCs w:val="28"/>
        </w:rPr>
      </w:pPr>
      <w:r>
        <w:rPr>
          <w:rFonts w:hint="eastAsia" w:ascii="Calibri" w:hAnsi="Calibri"/>
          <w:color w:val="000000"/>
          <w:sz w:val="28"/>
          <w:szCs w:val="28"/>
        </w:rPr>
        <w:t>蓄电池采用铝电池，容量必须保证能在连续阴天条件下连续工作7天。</w:t>
      </w:r>
    </w:p>
    <w:p>
      <w:pPr>
        <w:pStyle w:val="297"/>
        <w:spacing w:line="360" w:lineRule="auto"/>
        <w:ind w:firstLine="480"/>
        <w:rPr>
          <w:rFonts w:hint="eastAsia" w:ascii="Calibri" w:hAnsi="Calibri"/>
          <w:color w:val="000000"/>
          <w:sz w:val="28"/>
          <w:szCs w:val="28"/>
        </w:rPr>
      </w:pPr>
    </w:p>
    <w:p>
      <w:pPr>
        <w:pStyle w:val="4"/>
        <w:numPr>
          <w:ilvl w:val="1"/>
          <w:numId w:val="0"/>
        </w:numPr>
      </w:pPr>
      <w:bookmarkStart w:id="73" w:name="_Toc65169717"/>
      <w:bookmarkStart w:id="74" w:name="_Toc75159558"/>
      <w:r>
        <w:rPr>
          <w:rFonts w:hint="eastAsia"/>
          <w:lang w:val="en-US" w:eastAsia="zh-CN"/>
        </w:rPr>
        <w:t>4.3</w:t>
      </w:r>
      <w:r>
        <w:rPr>
          <w:rFonts w:hint="eastAsia"/>
        </w:rPr>
        <w:t>核心产品</w:t>
      </w:r>
      <w:bookmarkEnd w:id="73"/>
      <w:bookmarkEnd w:id="74"/>
    </w:p>
    <w:p>
      <w:pPr>
        <w:spacing w:line="360" w:lineRule="auto"/>
        <w:ind w:firstLine="560" w:firstLineChars="200"/>
        <w:rPr>
          <w:rFonts w:hint="eastAsia"/>
          <w:sz w:val="28"/>
        </w:rPr>
      </w:pPr>
      <w:r>
        <w:rPr>
          <w:rFonts w:hint="eastAsia"/>
          <w:sz w:val="28"/>
        </w:rPr>
        <w:t>核心产品为</w:t>
      </w:r>
      <w:r>
        <w:rPr>
          <w:rFonts w:hint="eastAsia"/>
          <w:sz w:val="28"/>
          <w:lang w:eastAsia="zh-CN"/>
        </w:rPr>
        <w:t>：</w:t>
      </w:r>
      <w:r>
        <w:rPr>
          <w:rFonts w:hint="eastAsia"/>
          <w:sz w:val="28"/>
        </w:rPr>
        <w:t>大气负氧离子自动监测系统。</w:t>
      </w:r>
    </w:p>
    <w:p>
      <w:pPr>
        <w:pStyle w:val="4"/>
        <w:numPr>
          <w:ilvl w:val="1"/>
          <w:numId w:val="0"/>
        </w:numPr>
        <w:rPr>
          <w:rFonts w:cs="宋体"/>
          <w:color w:val="000000"/>
        </w:rPr>
      </w:pPr>
      <w:bookmarkStart w:id="75" w:name="_Toc5269661"/>
      <w:bookmarkStart w:id="76" w:name="_Toc11923348"/>
      <w:r>
        <w:rPr>
          <w:rFonts w:hint="eastAsia"/>
          <w:color w:val="000000"/>
        </w:rPr>
        <w:t>★4.</w:t>
      </w:r>
      <w:r>
        <w:rPr>
          <w:rFonts w:hint="eastAsia"/>
          <w:color w:val="000000"/>
          <w:lang w:val="en-US" w:eastAsia="zh-CN"/>
        </w:rPr>
        <w:t>4</w:t>
      </w:r>
      <w:r>
        <w:rPr>
          <w:rFonts w:hint="eastAsia"/>
          <w:color w:val="000000"/>
        </w:rPr>
        <w:t>商务及其</w:t>
      </w:r>
      <w:r>
        <w:rPr>
          <w:rFonts w:hint="eastAsia"/>
          <w:color w:val="000000"/>
          <w:lang w:eastAsia="zh-CN"/>
        </w:rPr>
        <w:t>服务</w:t>
      </w:r>
      <w:r>
        <w:rPr>
          <w:rFonts w:hint="eastAsia"/>
          <w:color w:val="000000"/>
        </w:rPr>
        <w:t>要求</w:t>
      </w:r>
      <w:bookmarkEnd w:id="75"/>
      <w:bookmarkEnd w:id="76"/>
      <w:r>
        <w:rPr>
          <w:rFonts w:hint="eastAsia"/>
          <w:color w:val="000000"/>
          <w:lang w:val="zh-CN"/>
        </w:rPr>
        <w:t>（说明：供应商应按询价通知书</w:t>
      </w:r>
      <w:r>
        <w:rPr>
          <w:rFonts w:hint="eastAsia"/>
          <w:color w:val="000000"/>
          <w:lang w:val="en-US" w:eastAsia="zh-CN"/>
        </w:rPr>
        <w:t>3.1.3.5</w:t>
      </w:r>
      <w:r>
        <w:rPr>
          <w:rFonts w:hint="eastAsia"/>
          <w:color w:val="000000"/>
          <w:lang w:val="zh-CN"/>
        </w:rPr>
        <w:t>承诺函的格式及要求提供承诺函。）</w:t>
      </w:r>
    </w:p>
    <w:p>
      <w:pPr>
        <w:pStyle w:val="5"/>
        <w:numPr>
          <w:ilvl w:val="0"/>
          <w:numId w:val="0"/>
        </w:numPr>
        <w:tabs>
          <w:tab w:val="left" w:pos="709"/>
        </w:tabs>
      </w:pPr>
      <w:r>
        <w:rPr>
          <w:rFonts w:hint="eastAsia"/>
        </w:rPr>
        <w:t>4.</w:t>
      </w:r>
      <w:r>
        <w:rPr>
          <w:rFonts w:hint="eastAsia"/>
          <w:lang w:val="en-US" w:eastAsia="zh-CN"/>
        </w:rPr>
        <w:t>4</w:t>
      </w:r>
      <w:r>
        <w:rPr>
          <w:rFonts w:hint="eastAsia"/>
        </w:rPr>
        <w:t>.1交货时间</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成交供应商在合同签订之日起10天内交货，完成安装调试并验收合格交付采购人使用，且负责按所签订合同的具体要求、具体数量、具体地点负责安装调试，最终到达数据上传。</w:t>
      </w:r>
    </w:p>
    <w:p>
      <w:pPr>
        <w:pStyle w:val="5"/>
        <w:numPr>
          <w:ilvl w:val="0"/>
          <w:numId w:val="0"/>
        </w:numPr>
        <w:tabs>
          <w:tab w:val="left" w:pos="709"/>
        </w:tabs>
      </w:pPr>
      <w:r>
        <w:rPr>
          <w:rFonts w:hint="eastAsia"/>
        </w:rPr>
        <w:t>4.</w:t>
      </w:r>
      <w:r>
        <w:rPr>
          <w:rFonts w:hint="eastAsia"/>
          <w:lang w:val="en-US" w:eastAsia="zh-CN"/>
        </w:rPr>
        <w:t>4</w:t>
      </w:r>
      <w:r>
        <w:rPr>
          <w:rFonts w:hint="eastAsia"/>
        </w:rPr>
        <w:t>.2交货地点</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采购人指定地点。</w:t>
      </w:r>
    </w:p>
    <w:p>
      <w:pPr>
        <w:suppressAutoHyphens/>
        <w:spacing w:line="581" w:lineRule="exact"/>
        <w:rPr>
          <w:rFonts w:ascii="宋体" w:hAnsi="宋体"/>
          <w:b/>
          <w:bCs/>
          <w:color w:val="000000"/>
          <w:kern w:val="2"/>
          <w:sz w:val="28"/>
          <w:szCs w:val="28"/>
        </w:rPr>
      </w:pPr>
      <w:r>
        <w:rPr>
          <w:rFonts w:hint="eastAsia" w:ascii="宋体" w:hAnsi="宋体"/>
          <w:b/>
          <w:bCs/>
          <w:color w:val="000000"/>
          <w:kern w:val="2"/>
          <w:sz w:val="28"/>
          <w:szCs w:val="28"/>
        </w:rPr>
        <w:t>4.</w:t>
      </w:r>
      <w:r>
        <w:rPr>
          <w:rFonts w:hint="eastAsia" w:ascii="宋体" w:hAnsi="宋体"/>
          <w:b/>
          <w:bCs/>
          <w:color w:val="000000"/>
          <w:kern w:val="2"/>
          <w:sz w:val="28"/>
          <w:szCs w:val="28"/>
          <w:lang w:val="en-US" w:eastAsia="zh-CN"/>
        </w:rPr>
        <w:t>4</w:t>
      </w:r>
      <w:r>
        <w:rPr>
          <w:rFonts w:hint="eastAsia" w:ascii="宋体" w:hAnsi="宋体"/>
          <w:b/>
          <w:bCs/>
          <w:color w:val="000000"/>
          <w:kern w:val="2"/>
          <w:sz w:val="28"/>
          <w:szCs w:val="28"/>
        </w:rPr>
        <w:t>.3付款方式</w:t>
      </w:r>
    </w:p>
    <w:p>
      <w:pPr>
        <w:spacing w:line="581" w:lineRule="exact"/>
        <w:ind w:firstLine="560" w:firstLineChars="200"/>
        <w:rPr>
          <w:rFonts w:ascii="宋体" w:hAnsi="宋体"/>
          <w:bCs/>
          <w:color w:val="000000"/>
          <w:sz w:val="28"/>
          <w:szCs w:val="28"/>
        </w:rPr>
      </w:pPr>
      <w:r>
        <w:rPr>
          <w:rFonts w:hint="eastAsia" w:ascii="宋体" w:hAnsi="宋体"/>
          <w:bCs/>
          <w:color w:val="000000"/>
          <w:sz w:val="28"/>
          <w:szCs w:val="28"/>
        </w:rPr>
        <w:t>合同签订后支付合同总额30%作为预付款，所有物资配备到位并安装调试，且经采购方验收合格后，支付合同总额65%，剩下5%，1年的免费保养维修期满后支付。</w:t>
      </w:r>
    </w:p>
    <w:p>
      <w:pPr>
        <w:pStyle w:val="5"/>
        <w:numPr>
          <w:ilvl w:val="0"/>
          <w:numId w:val="0"/>
        </w:numPr>
        <w:tabs>
          <w:tab w:val="left" w:pos="709"/>
        </w:tabs>
      </w:pPr>
      <w:r>
        <w:rPr>
          <w:rFonts w:hint="eastAsia"/>
        </w:rPr>
        <w:t>4.</w:t>
      </w:r>
      <w:r>
        <w:rPr>
          <w:rFonts w:hint="eastAsia"/>
          <w:lang w:val="en-US" w:eastAsia="zh-CN"/>
        </w:rPr>
        <w:t>4</w:t>
      </w:r>
      <w:r>
        <w:rPr>
          <w:rFonts w:hint="eastAsia"/>
        </w:rPr>
        <w:t>.4质保期</w:t>
      </w:r>
    </w:p>
    <w:p>
      <w:pPr>
        <w:spacing w:line="360" w:lineRule="auto"/>
        <w:ind w:firstLine="560" w:firstLineChars="200"/>
        <w:textAlignment w:val="baseline"/>
        <w:rPr>
          <w:rFonts w:ascii="宋体" w:hAnsi="宋体"/>
          <w:color w:val="000000"/>
          <w:sz w:val="28"/>
          <w:szCs w:val="28"/>
        </w:rPr>
      </w:pPr>
      <w:r>
        <w:rPr>
          <w:rFonts w:ascii="宋体" w:hAnsi="宋体"/>
          <w:color w:val="000000"/>
          <w:sz w:val="28"/>
          <w:szCs w:val="28"/>
        </w:rPr>
        <w:t>验收合格之日起</w:t>
      </w:r>
      <w:r>
        <w:rPr>
          <w:rFonts w:hint="eastAsia" w:ascii="宋体" w:hAnsi="宋体"/>
          <w:color w:val="000000"/>
          <w:sz w:val="28"/>
          <w:szCs w:val="28"/>
        </w:rPr>
        <w:t>12个月</w:t>
      </w:r>
      <w:r>
        <w:rPr>
          <w:rFonts w:ascii="宋体" w:hAnsi="宋体"/>
          <w:color w:val="000000"/>
          <w:sz w:val="28"/>
          <w:szCs w:val="28"/>
        </w:rPr>
        <w:t>。</w:t>
      </w:r>
    </w:p>
    <w:p>
      <w:pPr>
        <w:pStyle w:val="5"/>
        <w:numPr>
          <w:ilvl w:val="0"/>
          <w:numId w:val="0"/>
        </w:numPr>
        <w:tabs>
          <w:tab w:val="left" w:pos="709"/>
        </w:tabs>
      </w:pPr>
      <w:r>
        <w:rPr>
          <w:rFonts w:hint="eastAsia"/>
        </w:rPr>
        <w:t>4.</w:t>
      </w:r>
      <w:r>
        <w:rPr>
          <w:rFonts w:hint="eastAsia"/>
          <w:lang w:val="en-US" w:eastAsia="zh-CN"/>
        </w:rPr>
        <w:t>4</w:t>
      </w:r>
      <w:r>
        <w:rPr>
          <w:rFonts w:hint="eastAsia"/>
        </w:rPr>
        <w:t>.5验收标准</w:t>
      </w:r>
    </w:p>
    <w:p>
      <w:pPr>
        <w:pStyle w:val="13"/>
        <w:snapToGrid w:val="0"/>
        <w:spacing w:line="640" w:lineRule="exact"/>
        <w:ind w:firstLine="560"/>
        <w:rPr>
          <w:rFonts w:ascii="宋体" w:hAnsi="宋体"/>
          <w:color w:val="000000"/>
          <w:sz w:val="28"/>
          <w:szCs w:val="28"/>
        </w:rPr>
      </w:pPr>
      <w:r>
        <w:rPr>
          <w:rFonts w:hint="eastAsia" w:ascii="宋体" w:hAnsi="宋体" w:cs="宋体"/>
          <w:color w:val="000000"/>
          <w:sz w:val="28"/>
          <w:szCs w:val="28"/>
          <w:lang w:val="zh-CN"/>
        </w:rPr>
        <w:t>（</w:t>
      </w:r>
      <w:r>
        <w:rPr>
          <w:rFonts w:hint="eastAsia" w:ascii="宋体" w:hAnsi="宋体" w:cs="宋体"/>
          <w:color w:val="000000"/>
          <w:sz w:val="28"/>
          <w:szCs w:val="28"/>
        </w:rPr>
        <w:t>1</w:t>
      </w:r>
      <w:r>
        <w:rPr>
          <w:rFonts w:hint="eastAsia" w:ascii="宋体" w:hAnsi="宋体" w:cs="宋体"/>
          <w:color w:val="000000"/>
          <w:sz w:val="28"/>
          <w:szCs w:val="28"/>
          <w:lang w:val="zh-CN"/>
        </w:rPr>
        <w:t>）采购人将严格按照政府采购相关法律法规要求以及询价通知书规定的要求和响应文件、合同承诺的内容进行验收。</w:t>
      </w:r>
    </w:p>
    <w:p>
      <w:pPr>
        <w:pStyle w:val="2"/>
        <w:ind w:firstLine="560" w:firstLineChars="200"/>
        <w:rPr>
          <w:rFonts w:ascii="宋体" w:hAnsi="宋体" w:cs="宋体"/>
          <w:color w:val="000000"/>
          <w:sz w:val="28"/>
          <w:szCs w:val="28"/>
          <w:lang w:val="zh-CN"/>
        </w:rPr>
      </w:pPr>
      <w:r>
        <w:rPr>
          <w:rFonts w:hint="eastAsia" w:ascii="宋体" w:hAnsi="宋体" w:cs="宋体"/>
          <w:color w:val="000000"/>
          <w:sz w:val="28"/>
          <w:szCs w:val="28"/>
          <w:lang w:val="zh-CN"/>
        </w:rPr>
        <w:t>（</w:t>
      </w:r>
      <w:r>
        <w:rPr>
          <w:rFonts w:hint="eastAsia" w:ascii="宋体" w:hAnsi="宋体" w:cs="宋体"/>
          <w:color w:val="000000"/>
          <w:sz w:val="28"/>
          <w:szCs w:val="28"/>
        </w:rPr>
        <w:t>2</w:t>
      </w:r>
      <w:r>
        <w:rPr>
          <w:rFonts w:hint="eastAsia" w:ascii="宋体" w:hAnsi="宋体" w:cs="宋体"/>
          <w:color w:val="000000"/>
          <w:sz w:val="28"/>
          <w:szCs w:val="28"/>
          <w:lang w:val="zh-CN"/>
        </w:rPr>
        <w:t>）成交人交货后，采购人自行组织产品验收。验收内容包括：产品经试运行后无故障，可正常使用。若出现任何数量或质量问题，由供应商承担所有责任，同时采购人有权追究投标人的经济和法律责任。</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（3）验收标准：按国家有关规定以及采购文件的质量要求和技术指标、成交人的响应文件及承诺与本合同约定标准进行验收；</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4）验收时如发现所交付的货物有不符合询价通知书、响应文件约定及本合同规定之情形者，采购人应做出详尽的现场记录，或由双方签署备忘录，此现场记录或备忘录可用作补充、缺失和更换损坏部件的有效证据，由此产生的时间延误与有关费用由成交人承担，验收期限相应顺延；</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（5）如质量验收合格，双方签署质量验收报告；</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（6）成交人应将所提供货物的装箱清单、配件、随机工具、用户使用手册、原厂保修卡等资料交付给甲方；成交人不能完整交付货物及本款规定的单证和工具的，必须负责补齐，否则视为未按合同约定交货。</w:t>
      </w:r>
    </w:p>
    <w:p>
      <w:pPr>
        <w:suppressAutoHyphens/>
        <w:spacing w:line="581" w:lineRule="exact"/>
        <w:ind w:firstLine="560" w:firstLineChars="200"/>
        <w:rPr>
          <w:rFonts w:ascii="宋体" w:hAnsi="宋体"/>
          <w:bCs/>
          <w:color w:val="000000"/>
          <w:sz w:val="28"/>
          <w:szCs w:val="28"/>
          <w:lang w:val="zh-CN"/>
        </w:rPr>
      </w:pPr>
      <w:r>
        <w:rPr>
          <w:rFonts w:hint="eastAsia" w:ascii="宋体" w:hAnsi="宋体"/>
          <w:bCs/>
          <w:color w:val="000000"/>
          <w:sz w:val="28"/>
          <w:szCs w:val="28"/>
        </w:rPr>
        <w:t>（6）交货完成后，成交供应商自行负责在采购人实地搭建产品设备，进行数据接入成都市气象局平台和数据接入成都市气象局数据系统测试，若连续3次不能通过测试、不能实现系统功能指标要求，</w:t>
      </w:r>
      <w:r>
        <w:rPr>
          <w:rFonts w:hint="eastAsia" w:ascii="宋体" w:hAnsi="宋体"/>
          <w:bCs/>
          <w:color w:val="000000"/>
          <w:sz w:val="28"/>
          <w:szCs w:val="28"/>
          <w:lang w:val="zh-CN"/>
        </w:rPr>
        <w:t>由供应商承担所有责任，同时采购人有权追究投标人的经济和法律责任。</w:t>
      </w:r>
    </w:p>
    <w:p>
      <w:pPr>
        <w:suppressAutoHyphens/>
        <w:spacing w:line="581" w:lineRule="exact"/>
        <w:ind w:firstLine="560" w:firstLineChars="200"/>
        <w:rPr>
          <w:rFonts w:ascii="宋体" w:hAnsi="宋体"/>
          <w:bCs/>
          <w:color w:val="000000"/>
          <w:sz w:val="28"/>
          <w:szCs w:val="28"/>
        </w:rPr>
      </w:pPr>
    </w:p>
    <w:p>
      <w:pPr>
        <w:pStyle w:val="44"/>
        <w:ind w:firstLine="210"/>
        <w:rPr>
          <w:color w:val="000000"/>
        </w:rPr>
      </w:pPr>
    </w:p>
    <w:p>
      <w:pPr>
        <w:pStyle w:val="2"/>
        <w:rPr>
          <w:color w:val="000000"/>
        </w:rPr>
      </w:pPr>
    </w:p>
    <w:p>
      <w:pPr>
        <w:pStyle w:val="5"/>
        <w:numPr>
          <w:ilvl w:val="0"/>
          <w:numId w:val="0"/>
        </w:numPr>
        <w:tabs>
          <w:tab w:val="left" w:pos="709"/>
        </w:tabs>
      </w:pPr>
      <w:r>
        <w:rPr>
          <w:rFonts w:hint="eastAsia"/>
        </w:rPr>
        <w:t>4.</w:t>
      </w:r>
      <w:r>
        <w:rPr>
          <w:rFonts w:hint="eastAsia"/>
          <w:lang w:val="en-US" w:eastAsia="zh-CN"/>
        </w:rPr>
        <w:t>4</w:t>
      </w:r>
      <w:r>
        <w:rPr>
          <w:rFonts w:hint="eastAsia"/>
        </w:rPr>
        <w:t>.6售后服务</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（1）成交供应商在设备安装后起7天内组织采购方人员进行产品日常使用，日常维护，设备数据查看等相关培训，使其采购方能熟练掌握设备日常使用操作和查看设备数据及设备运行原理。</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2）供应商提供的设备及软件应享受供应商7×24小时的电话咨询和远程支持服务，并能够做到在设备出现故障时1小时以内响应，6小时配件到达现场，完成应用方提出的维修要求或提供相应解决方案，必要时提供备机以保证采购单位的正常使用。</w:t>
      </w:r>
    </w:p>
    <w:p>
      <w:pPr>
        <w:pStyle w:val="5"/>
        <w:numPr>
          <w:ilvl w:val="0"/>
          <w:numId w:val="0"/>
        </w:numPr>
        <w:tabs>
          <w:tab w:val="left" w:pos="709"/>
        </w:tabs>
      </w:pPr>
      <w:r>
        <w:rPr>
          <w:rFonts w:hint="eastAsia"/>
        </w:rPr>
        <w:t>4.</w:t>
      </w:r>
      <w:r>
        <w:rPr>
          <w:rFonts w:hint="eastAsia"/>
          <w:lang w:val="en-US" w:eastAsia="zh-CN"/>
        </w:rPr>
        <w:t>4</w:t>
      </w:r>
      <w:r>
        <w:rPr>
          <w:rFonts w:hint="eastAsia"/>
        </w:rPr>
        <w:t>.7违约责任</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1、采购人违约责任</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（1）采购人无正当理由拒收货物的，采购人应偿付合同总价百分之五的违约金；</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（2）因采购人原因逾期支付货款的，除应及时付足货款外，应向成交人偿付欠款总额万分之十/天的违约金；逾期付款超过 30天的，成交人有权终止合同；</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2、成交供应商违约责任</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1）成交人交付的货物质量不符合合同规定的，成交人应向采购人支付合同总价的百分之十的违约金，并须在合同规定的时间内达到采购人的验收要求，否则，视作成交人不能交付货物而违约，按本条本款下述第“（2）”项规定由成交人偿付违约赔偿金给采购人。</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（2）成交人不能交付货物或逾期交付货物而违约的，除应及时交足货物外，应向采购人偿付逾期交货部分货款总额的万分之十/天的违约金；逾期交货或未能按时完工超过30 天，采购人有权终止合同，成交人则应按合同总价的百分之五的款额向采购人偿付赔偿金，并须全额退还采购人已经付给成交人的货款及其利息。</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3）成交人保证本合同货物的权利无瑕疵，包括货物所有权及知识产权等权利无瑕疵。如任何第三方经法院（或仲裁机构）裁决有权对上述货物主张权利或国家机关依法对货物进行没收查处的，成交人除应向采购人返还已收款项外，还应另按合同总价的百分之五向采购人支付违约金并赔偿因此给采购人造成的一切损失。</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（4）成交人偿付的违约金不足以弥补采购人损失的，还应按采购人损失尚未弥补的部分，支付赔偿金给采购人。</w:t>
      </w:r>
    </w:p>
    <w:p>
      <w:pPr>
        <w:suppressAutoHyphens/>
        <w:spacing w:line="581" w:lineRule="exact"/>
        <w:ind w:firstLine="560" w:firstLineChars="200"/>
        <w:rPr>
          <w:rFonts w:ascii="宋体" w:hAnsi="宋体"/>
          <w:bCs/>
          <w:color w:val="000000"/>
          <w:sz w:val="28"/>
          <w:szCs w:val="28"/>
        </w:rPr>
      </w:pPr>
      <w:r>
        <w:rPr>
          <w:rFonts w:hint="eastAsia" w:ascii="宋体" w:hAnsi="宋体"/>
          <w:bCs/>
          <w:color w:val="000000"/>
          <w:sz w:val="28"/>
          <w:szCs w:val="28"/>
        </w:rPr>
        <w:t>（5）如货物经成交人交付后的三个月内2次维修仍不能达到合同约定的质量标准，采购人有权退货，并视作成交人不能交付货物而须支付违约赔偿金给甲方，采购人还可依法追究投标人的违约责任。</w:t>
      </w:r>
    </w:p>
    <w:p>
      <w:pPr>
        <w:tabs>
          <w:tab w:val="left" w:pos="1134"/>
        </w:tabs>
        <w:spacing w:line="600" w:lineRule="exact"/>
        <w:ind w:right="84" w:rightChars="35" w:firstLine="560" w:firstLineChars="200"/>
        <w:rPr>
          <w:rFonts w:ascii="宋体" w:hAnsi="宋体"/>
          <w:bCs/>
          <w:color w:val="000000"/>
          <w:sz w:val="28"/>
          <w:szCs w:val="28"/>
        </w:rPr>
      </w:pPr>
      <w:r>
        <w:rPr>
          <w:rFonts w:hint="eastAsia" w:ascii="宋体" w:hAnsi="宋体"/>
          <w:bCs/>
          <w:color w:val="000000"/>
          <w:sz w:val="28"/>
          <w:szCs w:val="28"/>
        </w:rPr>
        <w:t>3、除《政府采购法》第４９条、第５０条第二款规定的情形外，项目合同一经签订，采购双方不得擅自变更、中止或终止合同。若合同继续履行将损害国家利益和社会公共利益的，双方当事人应当变更、中止或者终止合同。有过错的一方应当承担赔偿责任，双方都有过错的，各自承担相应的责任。</w:t>
      </w:r>
    </w:p>
    <w:p>
      <w:pPr>
        <w:pStyle w:val="4"/>
        <w:numPr>
          <w:ilvl w:val="1"/>
          <w:numId w:val="0"/>
        </w:numPr>
        <w:tabs>
          <w:tab w:val="left" w:pos="993"/>
          <w:tab w:val="clear" w:pos="426"/>
          <w:tab w:val="clear" w:pos="567"/>
        </w:tabs>
      </w:pPr>
      <w:bookmarkStart w:id="77" w:name="_Toc75159568"/>
      <w:r>
        <w:rPr>
          <w:rFonts w:hint="eastAsia"/>
          <w:lang w:val="en-US" w:eastAsia="zh-CN"/>
        </w:rPr>
        <w:t>4.4.8</w:t>
      </w:r>
      <w:r>
        <w:rPr>
          <w:rFonts w:hint="eastAsia"/>
        </w:rPr>
        <w:t>报价要求</w:t>
      </w:r>
      <w:bookmarkEnd w:id="77"/>
    </w:p>
    <w:p>
      <w:pPr>
        <w:pStyle w:val="5"/>
        <w:numPr>
          <w:ilvl w:val="2"/>
          <w:numId w:val="0"/>
        </w:numPr>
        <w:tabs>
          <w:tab w:val="left" w:pos="709"/>
        </w:tabs>
        <w:ind w:leftChars="0"/>
        <w:jc w:val="left"/>
        <w:rPr>
          <w:color w:val="auto"/>
        </w:rPr>
      </w:pPr>
      <w:r>
        <w:rPr>
          <w:rFonts w:hint="eastAsia"/>
          <w:color w:val="auto"/>
          <w:lang w:val="en-US" w:eastAsia="zh-CN"/>
        </w:rPr>
        <w:t>4.4.8.1</w:t>
      </w:r>
      <w:r>
        <w:rPr>
          <w:rFonts w:hint="eastAsia"/>
          <w:color w:val="auto"/>
        </w:rPr>
        <w:t>最高限价</w:t>
      </w:r>
    </w:p>
    <w:p>
      <w:pPr>
        <w:ind w:firstLine="562" w:firstLineChars="200"/>
      </w:pPr>
      <w:r>
        <w:rPr>
          <w:rFonts w:hint="eastAsia" w:ascii="宋体" w:hAnsi="宋体"/>
          <w:b/>
          <w:bCs/>
          <w:sz w:val="28"/>
          <w:szCs w:val="28"/>
        </w:rPr>
        <w:t>本项目最高限价为</w:t>
      </w:r>
      <w:r>
        <w:rPr>
          <w:rFonts w:hint="eastAsia" w:ascii="宋体" w:hAnsi="宋体"/>
          <w:b/>
          <w:bCs/>
          <w:sz w:val="28"/>
          <w:szCs w:val="28"/>
          <w:lang w:val="en-US" w:eastAsia="zh-CN"/>
        </w:rPr>
        <w:t>40</w:t>
      </w:r>
      <w:r>
        <w:rPr>
          <w:rFonts w:hint="eastAsia" w:ascii="宋体" w:hAnsi="宋体"/>
          <w:b/>
          <w:bCs/>
          <w:sz w:val="28"/>
          <w:szCs w:val="28"/>
        </w:rPr>
        <w:t>万元，供应商报价高于最高限价的则其响应文件将按无效响应文件处理。</w:t>
      </w:r>
    </w:p>
    <w:p>
      <w:pPr>
        <w:pStyle w:val="5"/>
        <w:numPr>
          <w:ilvl w:val="2"/>
          <w:numId w:val="0"/>
        </w:numPr>
        <w:tabs>
          <w:tab w:val="left" w:pos="709"/>
        </w:tabs>
        <w:ind w:leftChars="0"/>
        <w:jc w:val="left"/>
        <w:rPr>
          <w:color w:val="auto"/>
        </w:rPr>
      </w:pPr>
      <w:r>
        <w:rPr>
          <w:rFonts w:hint="eastAsia"/>
          <w:color w:val="auto"/>
          <w:lang w:val="en-US" w:eastAsia="zh-CN"/>
        </w:rPr>
        <w:t>4.4.8.2</w:t>
      </w:r>
      <w:r>
        <w:rPr>
          <w:rFonts w:hint="eastAsia"/>
          <w:color w:val="auto"/>
        </w:rPr>
        <w:t>其他要求</w:t>
      </w:r>
    </w:p>
    <w:p>
      <w:pPr>
        <w:pStyle w:val="80"/>
        <w:widowControl w:val="0"/>
        <w:numPr>
          <w:ilvl w:val="0"/>
          <w:numId w:val="34"/>
        </w:numPr>
        <w:spacing w:after="200" w:line="360" w:lineRule="auto"/>
        <w:ind w:left="0" w:firstLine="561" w:firstLineChars="0"/>
        <w:jc w:val="both"/>
        <w:rPr>
          <w:rFonts w:ascii="宋体" w:hAnsi="宋体"/>
          <w:b/>
          <w:sz w:val="28"/>
          <w:szCs w:val="28"/>
        </w:rPr>
      </w:pPr>
      <w:r>
        <w:rPr>
          <w:rFonts w:hint="eastAsia" w:ascii="宋体" w:hAnsi="宋体" w:eastAsia="宋体"/>
          <w:b/>
          <w:sz w:val="28"/>
          <w:szCs w:val="28"/>
          <w:lang w:val="zh-CN"/>
        </w:rPr>
        <w:t>★</w:t>
      </w:r>
      <w:r>
        <w:rPr>
          <w:rFonts w:hint="eastAsia" w:ascii="宋体" w:hAnsi="宋体" w:eastAsia="宋体" w:cs="Times New Roman"/>
          <w:b/>
          <w:bCs/>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pStyle w:val="5"/>
        <w:numPr>
          <w:ilvl w:val="0"/>
          <w:numId w:val="0"/>
        </w:numPr>
        <w:tabs>
          <w:tab w:val="left" w:pos="709"/>
        </w:tabs>
      </w:pPr>
      <w:bookmarkStart w:id="78" w:name="_Toc3363732"/>
      <w:r>
        <w:rPr>
          <w:rFonts w:hint="eastAsia"/>
        </w:rPr>
        <w:t>4.</w:t>
      </w:r>
      <w:r>
        <w:rPr>
          <w:rFonts w:hint="eastAsia"/>
          <w:lang w:val="en-US" w:eastAsia="zh-CN"/>
        </w:rPr>
        <w:t>5</w:t>
      </w:r>
      <w:r>
        <w:rPr>
          <w:rFonts w:hint="eastAsia"/>
        </w:rPr>
        <w:t>其他要求</w:t>
      </w:r>
      <w:bookmarkEnd w:id="78"/>
    </w:p>
    <w:p>
      <w:pPr>
        <w:pStyle w:val="80"/>
        <w:tabs>
          <w:tab w:val="left" w:pos="1134"/>
        </w:tabs>
        <w:snapToGrid w:val="0"/>
        <w:spacing w:after="200" w:line="360" w:lineRule="auto"/>
        <w:ind w:left="561" w:firstLine="0" w:firstLineChars="0"/>
        <w:rPr>
          <w:rFonts w:ascii="宋体" w:hAnsi="宋体"/>
          <w:b/>
          <w:color w:val="000000"/>
          <w:sz w:val="28"/>
          <w:szCs w:val="28"/>
          <w:lang w:val="zh-CN"/>
        </w:rPr>
      </w:pPr>
      <w:r>
        <w:rPr>
          <w:rFonts w:hint="eastAsia" w:ascii="宋体" w:hAnsi="宋体"/>
          <w:b/>
          <w:color w:val="000000"/>
          <w:sz w:val="28"/>
          <w:szCs w:val="28"/>
          <w:lang w:val="zh-CN"/>
        </w:rPr>
        <w:t>★一、供应商为本项目提供的所有产品、辅材中属于《国家强制性产品认证目录》范围内产品的，均通过国家强制性产品认证并取得认证证书。（说明：供应商应按询价通知书</w:t>
      </w:r>
      <w:r>
        <w:rPr>
          <w:rFonts w:hint="eastAsia" w:ascii="宋体" w:hAnsi="宋体"/>
          <w:b/>
          <w:color w:val="000000"/>
          <w:sz w:val="28"/>
          <w:szCs w:val="28"/>
          <w:lang w:val="en-US" w:eastAsia="zh-CN"/>
        </w:rPr>
        <w:t>3.1.3.5</w:t>
      </w:r>
      <w:r>
        <w:rPr>
          <w:rFonts w:hint="eastAsia" w:ascii="宋体" w:hAnsi="宋体"/>
          <w:b/>
          <w:color w:val="000000"/>
          <w:sz w:val="28"/>
          <w:szCs w:val="28"/>
          <w:lang w:val="zh-CN"/>
        </w:rPr>
        <w:t>承诺函的格式及要求提供承诺函。）</w:t>
      </w:r>
    </w:p>
    <w:p>
      <w:pPr>
        <w:pStyle w:val="80"/>
        <w:tabs>
          <w:tab w:val="left" w:pos="1134"/>
        </w:tabs>
        <w:snapToGrid w:val="0"/>
        <w:spacing w:after="200" w:line="360" w:lineRule="auto"/>
        <w:ind w:left="561" w:firstLine="0" w:firstLineChars="0"/>
        <w:rPr>
          <w:rFonts w:ascii="宋体" w:hAnsi="宋体"/>
          <w:color w:val="000000"/>
          <w:sz w:val="28"/>
          <w:szCs w:val="28"/>
          <w:lang w:val="zh-CN"/>
        </w:rPr>
      </w:pPr>
      <w:r>
        <w:rPr>
          <w:rFonts w:hint="eastAsia" w:ascii="宋体" w:hAnsi="宋体"/>
          <w:b/>
          <w:color w:val="000000"/>
          <w:sz w:val="28"/>
          <w:szCs w:val="28"/>
          <w:lang w:val="zh-CN"/>
        </w:rPr>
        <w:t>★二、供应商为本项目提供的所有产品、辅材符合现行的强制性国家相关标准、行业标准。</w:t>
      </w:r>
      <w:r>
        <w:rPr>
          <w:rFonts w:hint="eastAsia" w:ascii="宋体" w:hAnsi="宋体"/>
          <w:b/>
          <w:bCs/>
          <w:color w:val="000000"/>
          <w:sz w:val="28"/>
          <w:szCs w:val="28"/>
          <w:lang w:val="zh-CN"/>
        </w:rPr>
        <w:t>（说明：供应商应按</w:t>
      </w:r>
      <w:r>
        <w:rPr>
          <w:rFonts w:hint="eastAsia" w:ascii="宋体" w:hAnsi="宋体"/>
          <w:b/>
          <w:color w:val="000000"/>
          <w:sz w:val="28"/>
          <w:szCs w:val="28"/>
          <w:lang w:val="zh-CN"/>
        </w:rPr>
        <w:t>询价通知书</w:t>
      </w:r>
      <w:r>
        <w:rPr>
          <w:rFonts w:hint="eastAsia" w:ascii="Times New Roman" w:hAnsi="Times New Roman"/>
          <w:b/>
          <w:bCs/>
          <w:color w:val="000000"/>
          <w:sz w:val="28"/>
          <w:szCs w:val="28"/>
          <w:lang w:val="en-US" w:eastAsia="zh-CN"/>
        </w:rPr>
        <w:t>3.1.3.5</w:t>
      </w:r>
      <w:r>
        <w:rPr>
          <w:rFonts w:hint="eastAsia" w:ascii="宋体" w:hAnsi="宋体"/>
          <w:b/>
          <w:bCs/>
          <w:color w:val="000000"/>
          <w:sz w:val="28"/>
          <w:szCs w:val="28"/>
          <w:lang w:val="zh-CN"/>
        </w:rPr>
        <w:t>承诺函的格式及要求提供承诺函。）</w:t>
      </w:r>
    </w:p>
    <w:p>
      <w:pPr>
        <w:pStyle w:val="80"/>
        <w:widowControl w:val="0"/>
        <w:numPr>
          <w:ilvl w:val="0"/>
          <w:numId w:val="0"/>
        </w:numPr>
        <w:spacing w:after="200" w:line="360" w:lineRule="auto"/>
        <w:ind w:left="561" w:leftChars="0"/>
        <w:jc w:val="both"/>
        <w:rPr>
          <w:rFonts w:ascii="宋体" w:hAnsi="宋体"/>
          <w:b/>
          <w:sz w:val="28"/>
          <w:szCs w:val="28"/>
        </w:rPr>
      </w:pPr>
      <w:r>
        <w:rPr>
          <w:rFonts w:hint="eastAsia" w:ascii="宋体" w:hAnsi="宋体"/>
          <w:b/>
          <w:color w:val="000000"/>
          <w:sz w:val="28"/>
          <w:szCs w:val="28"/>
          <w:lang w:val="zh-CN"/>
        </w:rPr>
        <w:t>★三、供应商为本项目提供的所有产品中属于节能产品政府采购品目清单中的政府强制采购产品的，均应具有国家确定的认证机构出具的有效期内的节能产品认证证书。</w:t>
      </w:r>
      <w:r>
        <w:rPr>
          <w:rFonts w:hint="eastAsia" w:ascii="宋体" w:hAnsi="宋体"/>
          <w:b/>
          <w:bCs/>
          <w:color w:val="000000"/>
          <w:sz w:val="28"/>
          <w:szCs w:val="28"/>
          <w:lang w:val="zh-CN"/>
        </w:rPr>
        <w:t>（说明：供应商应按</w:t>
      </w:r>
      <w:r>
        <w:rPr>
          <w:rFonts w:hint="eastAsia" w:ascii="宋体" w:hAnsi="宋体"/>
          <w:b/>
          <w:color w:val="000000"/>
          <w:sz w:val="28"/>
          <w:szCs w:val="28"/>
          <w:lang w:val="zh-CN"/>
        </w:rPr>
        <w:t>询价通知书</w:t>
      </w:r>
      <w:r>
        <w:rPr>
          <w:rFonts w:hint="eastAsia" w:ascii="Times New Roman" w:hAnsi="Times New Roman"/>
          <w:b/>
          <w:bCs/>
          <w:color w:val="000000"/>
          <w:sz w:val="28"/>
          <w:szCs w:val="28"/>
          <w:lang w:val="en-US" w:eastAsia="zh-CN"/>
        </w:rPr>
        <w:t>3.1.3.5</w:t>
      </w:r>
      <w:r>
        <w:rPr>
          <w:rFonts w:hint="eastAsia" w:ascii="宋体" w:hAnsi="宋体"/>
          <w:b/>
          <w:bCs/>
          <w:color w:val="000000"/>
          <w:sz w:val="28"/>
          <w:szCs w:val="28"/>
          <w:lang w:val="zh-CN"/>
        </w:rPr>
        <w:t>承诺函的格式及要求提供承诺函。）</w:t>
      </w:r>
    </w:p>
    <w:p>
      <w:pPr>
        <w:pStyle w:val="4"/>
        <w:numPr>
          <w:ilvl w:val="1"/>
          <w:numId w:val="0"/>
        </w:numPr>
        <w:spacing w:after="200"/>
        <w:ind w:left="240" w:leftChars="0"/>
      </w:pPr>
      <w:bookmarkStart w:id="79" w:name="_Toc54948228"/>
      <w:bookmarkStart w:id="80" w:name="_Toc71554969"/>
      <w:bookmarkStart w:id="81" w:name="_Toc75159569"/>
      <w:r>
        <w:rPr>
          <w:rFonts w:hint="eastAsia"/>
          <w:lang w:val="en-US" w:eastAsia="zh-CN"/>
        </w:rPr>
        <w:t>4.6</w:t>
      </w:r>
      <w:r>
        <w:rPr>
          <w:rFonts w:hint="eastAsia"/>
        </w:rPr>
        <w:t>满足采购需求的最低要求</w:t>
      </w:r>
      <w:bookmarkEnd w:id="79"/>
      <w:bookmarkEnd w:id="80"/>
      <w:bookmarkEnd w:id="81"/>
    </w:p>
    <w:p>
      <w:pPr>
        <w:tabs>
          <w:tab w:val="left" w:pos="1134"/>
        </w:tabs>
        <w:snapToGrid w:val="0"/>
        <w:spacing w:after="200" w:line="360" w:lineRule="auto"/>
        <w:ind w:firstLine="565" w:firstLineChars="201"/>
        <w:rPr>
          <w:rFonts w:ascii="宋体" w:hAnsi="宋体"/>
          <w:b/>
          <w:bCs/>
          <w:sz w:val="28"/>
          <w:szCs w:val="28"/>
          <w:lang w:val="zh-CN"/>
        </w:rPr>
      </w:pPr>
      <w:r>
        <w:rPr>
          <w:rFonts w:hint="eastAsia" w:ascii="宋体" w:hAnsi="宋体"/>
          <w:b/>
          <w:sz w:val="28"/>
          <w:szCs w:val="20"/>
        </w:rPr>
        <w:t>技术、服务、商务及其他要求中加★号的要求为满足采购需求的最低要求。</w:t>
      </w:r>
    </w:p>
    <w:p/>
    <w:p/>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bookmarkEnd w:id="68"/>
    <w:bookmarkEnd w:id="69"/>
    <w:p>
      <w:pPr>
        <w:pStyle w:val="3"/>
        <w:numPr>
          <w:ilvl w:val="0"/>
          <w:numId w:val="1"/>
        </w:numPr>
        <w:spacing w:before="0" w:after="0"/>
        <w:ind w:left="0" w:firstLine="0"/>
      </w:pPr>
      <w:bookmarkStart w:id="82" w:name="_Toc75159570"/>
      <w:bookmarkStart w:id="83" w:name="_Toc360696963"/>
      <w:bookmarkStart w:id="84" w:name="_Toc238273564"/>
      <w:bookmarkStart w:id="85" w:name="_Toc205604899"/>
      <w:bookmarkStart w:id="86" w:name="_Toc236285891"/>
      <w:r>
        <w:rPr>
          <w:rFonts w:hint="eastAsia"/>
        </w:rPr>
        <w:t>询价办法</w:t>
      </w:r>
      <w:bookmarkEnd w:id="82"/>
    </w:p>
    <w:p>
      <w:pPr>
        <w:pStyle w:val="4"/>
        <w:tabs>
          <w:tab w:val="left" w:pos="993"/>
          <w:tab w:val="clear" w:pos="426"/>
          <w:tab w:val="clear" w:pos="567"/>
        </w:tabs>
        <w:ind w:left="240" w:leftChars="0" w:firstLine="0" w:firstLineChars="0"/>
      </w:pPr>
      <w:bookmarkStart w:id="87" w:name="_Toc75159571"/>
      <w:r>
        <w:rPr>
          <w:rFonts w:hint="eastAsia"/>
        </w:rPr>
        <w:t>总则</w:t>
      </w:r>
      <w:bookmarkEnd w:id="87"/>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评审工作由</w:t>
      </w:r>
      <w:r>
        <w:rPr>
          <w:rFonts w:hint="eastAsia" w:ascii="宋体" w:hAnsi="宋体"/>
          <w:sz w:val="28"/>
          <w:szCs w:val="28"/>
          <w:lang w:eastAsia="zh-CN"/>
        </w:rPr>
        <w:t>县</w:t>
      </w:r>
      <w:r>
        <w:rPr>
          <w:rFonts w:hint="eastAsia" w:ascii="宋体" w:hAnsi="宋体"/>
          <w:sz w:val="28"/>
          <w:szCs w:val="28"/>
        </w:rPr>
        <w:t>公资交易中心负责组织，具体评审事务由采购人和</w:t>
      </w:r>
      <w:r>
        <w:rPr>
          <w:rFonts w:hint="eastAsia" w:ascii="宋体" w:hAnsi="宋体"/>
          <w:sz w:val="28"/>
          <w:szCs w:val="28"/>
          <w:lang w:eastAsia="zh-CN"/>
        </w:rPr>
        <w:t>县</w:t>
      </w:r>
      <w:r>
        <w:rPr>
          <w:rFonts w:hint="eastAsia" w:ascii="宋体" w:hAnsi="宋体"/>
          <w:sz w:val="28"/>
          <w:szCs w:val="28"/>
        </w:rPr>
        <w:t>公资交易中心依法组建的询价小组负责。询价小组由采购人代表和评审专家组成。</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询价小组按照询价通知书规定的询价</w:t>
      </w:r>
      <w:r>
        <w:rPr>
          <w:rFonts w:ascii="宋体" w:hAnsi="宋体"/>
          <w:sz w:val="28"/>
          <w:szCs w:val="28"/>
        </w:rPr>
        <w:t>采购活动</w:t>
      </w:r>
      <w:r>
        <w:rPr>
          <w:rFonts w:hint="eastAsia" w:ascii="宋体" w:hAnsi="宋体"/>
          <w:sz w:val="28"/>
          <w:szCs w:val="28"/>
        </w:rPr>
        <w:t>程序进行评审，并在采购活动中应当履行下列职责：</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熟悉和理解询价通知书，确定询价通知书内容是否违反国家有关强制性规定或者询价通知书存在歧义、重大缺陷，根据需要书面要求采购人、采购代理机构对询价通知书作出解释</w:t>
      </w:r>
      <w:r>
        <w:rPr>
          <w:rFonts w:ascii="宋体" w:hAnsi="宋体" w:cs="宋体"/>
          <w:sz w:val="28"/>
          <w:szCs w:val="28"/>
        </w:rPr>
        <w:t>；</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审查供应商的响应文件并作出公正评价；</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根据需要要求供应商对响应文件中含义不明确、同类问题表述不一致或者有明显文字和计算错误的内容等作出必要的澄清、说明或者更正；</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依法、客观、公平、公正开展供应商资格性审查、询价采购</w:t>
      </w:r>
      <w:r>
        <w:rPr>
          <w:rFonts w:ascii="宋体" w:hAnsi="宋体" w:cs="宋体"/>
          <w:sz w:val="28"/>
          <w:szCs w:val="28"/>
        </w:rPr>
        <w:t>活动</w:t>
      </w:r>
      <w:r>
        <w:rPr>
          <w:rFonts w:hint="eastAsia" w:ascii="宋体" w:hAnsi="宋体" w:cs="宋体"/>
          <w:sz w:val="28"/>
          <w:szCs w:val="28"/>
        </w:rPr>
        <w:t>和推荐成交候选供应商；</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询价小组决定响应文件的响应性依据响应文件本身的内容，而不寻求外部的证据，询价通知书有明确约定的除外。</w:t>
      </w:r>
    </w:p>
    <w:p>
      <w:pPr>
        <w:pStyle w:val="4"/>
        <w:tabs>
          <w:tab w:val="left" w:pos="993"/>
          <w:tab w:val="clear" w:pos="426"/>
          <w:tab w:val="clear" w:pos="567"/>
        </w:tabs>
        <w:ind w:left="240" w:leftChars="0" w:firstLine="0" w:firstLineChars="0"/>
      </w:pPr>
      <w:bookmarkStart w:id="88" w:name="_Toc75159572"/>
      <w:r>
        <w:rPr>
          <w:rFonts w:hint="eastAsia"/>
        </w:rPr>
        <w:t>询价</w:t>
      </w:r>
      <w:r>
        <w:t>采购活动</w:t>
      </w:r>
      <w:r>
        <w:rPr>
          <w:rFonts w:hint="eastAsia"/>
        </w:rPr>
        <w:t>程序</w:t>
      </w:r>
      <w:bookmarkEnd w:id="88"/>
    </w:p>
    <w:p>
      <w:pPr>
        <w:spacing w:line="360" w:lineRule="auto"/>
        <w:ind w:firstLine="57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会议在成都市公共资源交易服务中心“政府采购云平台”进行。询价采购</w:t>
      </w:r>
      <w:r>
        <w:rPr>
          <w:rFonts w:ascii="宋体" w:hAnsi="宋体"/>
          <w:sz w:val="28"/>
          <w:szCs w:val="28"/>
        </w:rPr>
        <w:t>活动</w:t>
      </w:r>
      <w:r>
        <w:rPr>
          <w:rFonts w:hint="eastAsia" w:ascii="宋体" w:hAnsi="宋体"/>
          <w:sz w:val="28"/>
          <w:szCs w:val="28"/>
        </w:rPr>
        <w:t>会议由</w:t>
      </w:r>
      <w:r>
        <w:rPr>
          <w:rFonts w:hint="eastAsia" w:ascii="宋体" w:hAnsi="宋体"/>
          <w:sz w:val="28"/>
          <w:szCs w:val="28"/>
          <w:lang w:eastAsia="zh-CN"/>
        </w:rPr>
        <w:t>县</w:t>
      </w:r>
      <w:r>
        <w:rPr>
          <w:rFonts w:hint="eastAsia" w:ascii="宋体" w:hAnsi="宋体"/>
          <w:sz w:val="28"/>
          <w:szCs w:val="28"/>
        </w:rPr>
        <w:t>公资交易中心在线主持，供应商代表在线参加。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9" w:name="_Toc320698736"/>
      <w:bookmarkStart w:id="90" w:name="_Toc63084321"/>
      <w:bookmarkStart w:id="91" w:name="_Toc63437907"/>
      <w:bookmarkStart w:id="92" w:name="_Toc75159573"/>
      <w:r>
        <w:rPr>
          <w:rFonts w:hint="eastAsia"/>
        </w:rPr>
        <w:t>递交响应文件</w:t>
      </w:r>
      <w:bookmarkEnd w:id="89"/>
      <w:bookmarkEnd w:id="90"/>
      <w:bookmarkEnd w:id="91"/>
      <w:bookmarkEnd w:id="92"/>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供应商应按询价通知书要求在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递交响应文件。递交响应文件截止时间结束后，递交响应文件的供应商不足3家的，本次询价采购活动终止，发布终止询价采购公告。</w:t>
      </w:r>
    </w:p>
    <w:p>
      <w:pPr>
        <w:pStyle w:val="4"/>
        <w:numPr>
          <w:ilvl w:val="2"/>
          <w:numId w:val="1"/>
        </w:numPr>
        <w:tabs>
          <w:tab w:val="left" w:pos="993"/>
          <w:tab w:val="clear" w:pos="426"/>
          <w:tab w:val="clear" w:pos="567"/>
        </w:tabs>
      </w:pPr>
      <w:bookmarkStart w:id="93" w:name="_Toc75159574"/>
      <w:bookmarkStart w:id="94" w:name="_Toc63437908"/>
      <w:bookmarkStart w:id="95" w:name="_Toc63084322"/>
      <w:r>
        <w:rPr>
          <w:rFonts w:hint="eastAsia"/>
        </w:rPr>
        <w:t>确定邀请参加询价</w:t>
      </w:r>
      <w:r>
        <w:t>采购活动</w:t>
      </w:r>
      <w:r>
        <w:rPr>
          <w:rFonts w:hint="eastAsia"/>
        </w:rPr>
        <w:t>的供应商数量</w:t>
      </w:r>
      <w:bookmarkEnd w:id="93"/>
      <w:bookmarkEnd w:id="94"/>
      <w:bookmarkEnd w:id="95"/>
    </w:p>
    <w:p>
      <w:pPr>
        <w:tabs>
          <w:tab w:val="left" w:pos="1134"/>
        </w:tabs>
        <w:spacing w:line="360" w:lineRule="auto"/>
        <w:ind w:firstLine="560" w:firstLineChars="200"/>
        <w:rPr>
          <w:rFonts w:ascii="宋体" w:hAnsi="宋体"/>
          <w:sz w:val="28"/>
          <w:szCs w:val="28"/>
        </w:rPr>
      </w:pPr>
      <w:r>
        <w:rPr>
          <w:rFonts w:hint="eastAsia" w:ascii="宋体" w:hAnsi="宋体" w:cs="宋体"/>
          <w:bCs/>
          <w:sz w:val="28"/>
          <w:szCs w:val="28"/>
        </w:rPr>
        <w:t>通过资格审查的供应商为被询价的供应商。</w:t>
      </w:r>
    </w:p>
    <w:p>
      <w:pPr>
        <w:pStyle w:val="4"/>
        <w:numPr>
          <w:ilvl w:val="2"/>
          <w:numId w:val="1"/>
        </w:numPr>
        <w:tabs>
          <w:tab w:val="left" w:pos="993"/>
          <w:tab w:val="clear" w:pos="426"/>
          <w:tab w:val="clear" w:pos="567"/>
        </w:tabs>
      </w:pPr>
      <w:bookmarkStart w:id="96" w:name="_Toc287623646"/>
      <w:bookmarkStart w:id="97" w:name="_Toc63084323"/>
      <w:bookmarkStart w:id="98" w:name="_Toc63437909"/>
      <w:bookmarkStart w:id="99" w:name="_Toc75159575"/>
      <w:r>
        <w:rPr>
          <w:rFonts w:hint="eastAsia"/>
        </w:rPr>
        <w:t>成立询价小组</w:t>
      </w:r>
      <w:bookmarkEnd w:id="96"/>
      <w:bookmarkEnd w:id="97"/>
      <w:bookmarkEnd w:id="98"/>
      <w:bookmarkEnd w:id="99"/>
    </w:p>
    <w:p>
      <w:pPr>
        <w:pStyle w:val="24"/>
        <w:spacing w:line="360" w:lineRule="auto"/>
        <w:ind w:firstLine="560" w:firstLineChars="200"/>
        <w:rPr>
          <w:rFonts w:hAnsi="宋体" w:eastAsia="宋体"/>
          <w:sz w:val="28"/>
          <w:szCs w:val="28"/>
        </w:rPr>
      </w:pPr>
      <w:r>
        <w:rPr>
          <w:rFonts w:hint="eastAsia" w:hAnsi="宋体" w:eastAsia="宋体"/>
          <w:sz w:val="28"/>
          <w:szCs w:val="28"/>
        </w:rPr>
        <w:t>询价小组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。询价小组</w:t>
      </w:r>
      <w:r>
        <w:rPr>
          <w:rFonts w:hAnsi="宋体" w:eastAsia="宋体"/>
          <w:sz w:val="28"/>
          <w:szCs w:val="28"/>
        </w:rPr>
        <w:t>负责本项目的</w:t>
      </w:r>
      <w:r>
        <w:rPr>
          <w:rFonts w:hint="eastAsia" w:hAnsi="宋体" w:eastAsia="宋体"/>
          <w:sz w:val="28"/>
          <w:szCs w:val="28"/>
        </w:rPr>
        <w:t>询价</w:t>
      </w:r>
      <w:r>
        <w:rPr>
          <w:rFonts w:hAnsi="宋体" w:eastAsia="宋体"/>
          <w:sz w:val="28"/>
          <w:szCs w:val="28"/>
        </w:rPr>
        <w:t>采购活动和评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00" w:name="_Toc75159576"/>
      <w:r>
        <w:rPr>
          <w:rFonts w:hint="eastAsia"/>
        </w:rPr>
        <w:t>资格审查</w:t>
      </w:r>
      <w:bookmarkEnd w:id="100"/>
    </w:p>
    <w:p>
      <w:pPr>
        <w:pStyle w:val="24"/>
        <w:spacing w:line="360" w:lineRule="auto"/>
        <w:ind w:firstLine="560" w:firstLineChars="200"/>
        <w:rPr>
          <w:rFonts w:hAnsi="宋体" w:eastAsia="宋体"/>
          <w:sz w:val="28"/>
          <w:szCs w:val="28"/>
        </w:rPr>
      </w:pPr>
      <w:r>
        <w:rPr>
          <w:rFonts w:hint="eastAsia" w:hAnsi="宋体"/>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sz w:val="28"/>
          <w:szCs w:val="28"/>
        </w:rPr>
      </w:pPr>
      <w:r>
        <w:rPr>
          <w:rFonts w:hint="eastAsia" w:ascii="宋体" w:hAnsi="宋体"/>
          <w:sz w:val="28"/>
          <w:szCs w:val="28"/>
        </w:rPr>
        <w:t>供应商资格审查的标准：</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供应商资格申明的函</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单位负责人为同一人或者存在直接控股、管理关系的不同供应商，不得参加同一项目的询价</w:t>
            </w:r>
            <w:r>
              <w:rPr>
                <w:sz w:val="20"/>
              </w:rPr>
              <w:t>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4</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不属于其他国家相关法律法规规定的禁止参加询价采购活动的供应商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询价保证金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会计年度资产负债表复印件。【说明：供应商成立时间至递交响应文件截止时间止不足一年的，提供成立后任意时段的资产负债表复印件。】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bookmarkStart w:id="101" w:name="_Toc63084325"/>
      <w:bookmarkStart w:id="102" w:name="_Toc63437911"/>
      <w:r>
        <w:rPr>
          <w:rFonts w:hint="eastAsia" w:ascii="宋体" w:hAnsi="宋体"/>
          <w:sz w:val="28"/>
          <w:szCs w:val="28"/>
        </w:rPr>
        <w:t>注：一、以上每一项结论均为“通过”的，则供应商的响应文件通过资格性审查；如有其中任意一项结论为“不通过”的，则供应商的响应文件按无效响应文件处理。如果询价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三、供应商的响应文件资格性审查时被判定为无效的，</w:t>
      </w:r>
      <w:r>
        <w:rPr>
          <w:rFonts w:hint="eastAsia" w:ascii="宋体" w:hAnsi="宋体"/>
          <w:sz w:val="28"/>
          <w:szCs w:val="28"/>
          <w:lang w:eastAsia="zh-CN"/>
        </w:rPr>
        <w:t>县</w:t>
      </w:r>
      <w:r>
        <w:rPr>
          <w:rFonts w:hint="eastAsia" w:ascii="宋体" w:hAnsi="宋体"/>
          <w:sz w:val="28"/>
          <w:szCs w:val="28"/>
        </w:rPr>
        <w:t>公资交易中心将通知供应商（以短信、现场公示、电话、“政府采购云平台”等任一方式）。供应商如对资格审查结论有异议的，应及时向</w:t>
      </w:r>
      <w:r>
        <w:rPr>
          <w:rFonts w:hint="eastAsia" w:ascii="宋体" w:hAnsi="宋体"/>
          <w:sz w:val="28"/>
          <w:szCs w:val="28"/>
          <w:lang w:eastAsia="zh-CN"/>
        </w:rPr>
        <w:t>县</w:t>
      </w:r>
      <w:r>
        <w:rPr>
          <w:rFonts w:hint="eastAsia" w:ascii="宋体" w:hAnsi="宋体"/>
          <w:sz w:val="28"/>
          <w:szCs w:val="28"/>
        </w:rPr>
        <w:t>公资交易中心反馈意见。</w:t>
      </w:r>
      <w:r>
        <w:rPr>
          <w:rFonts w:hint="eastAsia" w:ascii="宋体" w:hAnsi="宋体"/>
          <w:sz w:val="28"/>
          <w:szCs w:val="28"/>
          <w:lang w:eastAsia="zh-CN"/>
        </w:rPr>
        <w:t>县</w:t>
      </w:r>
      <w:r>
        <w:rPr>
          <w:rFonts w:hint="eastAsia" w:ascii="宋体" w:hAnsi="宋体"/>
          <w:sz w:val="28"/>
          <w:szCs w:val="28"/>
        </w:rPr>
        <w:t>公资交易中心将及时告知询价小组。（说明：无论供应商是否收到通知或提供反馈意见，均不影响资格审查和评审工作，且</w:t>
      </w:r>
      <w:r>
        <w:rPr>
          <w:rFonts w:hint="eastAsia" w:ascii="宋体" w:hAnsi="宋体"/>
          <w:sz w:val="28"/>
          <w:szCs w:val="28"/>
          <w:lang w:eastAsia="zh-CN"/>
        </w:rPr>
        <w:t>县</w:t>
      </w:r>
      <w:r>
        <w:rPr>
          <w:rFonts w:hint="eastAsia" w:ascii="宋体" w:hAnsi="宋体"/>
          <w:sz w:val="28"/>
          <w:szCs w:val="28"/>
        </w:rPr>
        <w:t>公资交易中心对此将不承担任何的责任。供应商对资格审查结论有异议的，其反馈意见仅限于询价小组对资格审查结论的正确性进行复核，避免出现审查错误。）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pStyle w:val="4"/>
        <w:numPr>
          <w:ilvl w:val="2"/>
          <w:numId w:val="1"/>
        </w:numPr>
        <w:tabs>
          <w:tab w:val="left" w:pos="993"/>
          <w:tab w:val="clear" w:pos="426"/>
          <w:tab w:val="clear" w:pos="567"/>
        </w:tabs>
      </w:pPr>
      <w:bookmarkStart w:id="103" w:name="_Toc75159577"/>
      <w:r>
        <w:rPr>
          <w:rFonts w:hint="eastAsia"/>
        </w:rPr>
        <w:t>符合性审查</w:t>
      </w:r>
      <w:bookmarkEnd w:id="101"/>
      <w:bookmarkEnd w:id="102"/>
      <w:bookmarkEnd w:id="103"/>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ascii="宋体" w:hAnsi="宋体"/>
          <w:sz w:val="28"/>
          <w:szCs w:val="28"/>
        </w:rPr>
        <w:t>供应商资格审查结束后，由询价小组对供应商响应文件进行符合性审查。</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询价小组要求供应商澄清、说明或者更正响应文件应当以书面形式作出。供应商的澄清、说明或者更正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询价小组应当积极履行澄清、说明或者更正的职责，不得滥用权力。</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询价小组在符合性审查过程中，询价小组成员对供应商是否符合规定存在争议的，应当以少数服从多数的原则处理，但不违背政府采购法和询价通知书规定。</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供应商符合性审查标准（按以下顺序审查）：</w:t>
      </w:r>
    </w:p>
    <w:tbl>
      <w:tblPr>
        <w:tblStyle w:val="45"/>
        <w:tblW w:w="517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商务技术响应文件签章</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加盖有供应商（法定名称）电子签章</w:t>
            </w:r>
            <w:r>
              <w:rPr>
                <w:rFonts w:ascii="宋体" w:hAnsi="宋体"/>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除资格性审查要求的证明材料外，询价通知书要求提供的其他证明材料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cs="仿宋_GB2312" w:asciiTheme="minorEastAsia" w:hAnsiTheme="minorEastAsia" w:eastAsiaTheme="minorEastAsia"/>
              </w:rPr>
              <w:t>承诺函【说明：①按3.1.3.</w:t>
            </w:r>
            <w:r>
              <w:rPr>
                <w:rFonts w:hint="eastAsia" w:cs="仿宋_GB2312" w:asciiTheme="minorEastAsia" w:hAnsiTheme="minorEastAsia" w:eastAsiaTheme="minorEastAsia"/>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tc>
      </w:tr>
    </w:tbl>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询价小组符合性审查结束后，应当出具符合性审查报告，确定参加报价的供应商名单。</w:t>
      </w:r>
      <w:r>
        <w:rPr>
          <w:rFonts w:hint="eastAsia" w:ascii="宋体" w:hAnsi="宋体"/>
          <w:sz w:val="28"/>
          <w:szCs w:val="28"/>
          <w:lang w:eastAsia="zh-CN"/>
        </w:rPr>
        <w:t>县</w:t>
      </w:r>
      <w:r>
        <w:rPr>
          <w:rFonts w:hint="eastAsia" w:ascii="宋体" w:hAnsi="宋体"/>
          <w:sz w:val="28"/>
          <w:szCs w:val="28"/>
        </w:rPr>
        <w:t>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通过符合性审查的供应商不足三家的，本次采购活动终止，并发布终止询价采购</w:t>
      </w:r>
      <w:r>
        <w:rPr>
          <w:rFonts w:ascii="宋体" w:hAnsi="宋体"/>
          <w:sz w:val="28"/>
          <w:szCs w:val="28"/>
        </w:rPr>
        <w:t>活动</w:t>
      </w:r>
      <w:r>
        <w:rPr>
          <w:rFonts w:hint="eastAsia" w:ascii="宋体" w:hAnsi="宋体"/>
          <w:sz w:val="28"/>
          <w:szCs w:val="28"/>
        </w:rPr>
        <w:t>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pStyle w:val="4"/>
        <w:numPr>
          <w:ilvl w:val="2"/>
          <w:numId w:val="1"/>
        </w:numPr>
        <w:tabs>
          <w:tab w:val="left" w:pos="993"/>
          <w:tab w:val="clear" w:pos="426"/>
          <w:tab w:val="clear" w:pos="567"/>
        </w:tabs>
      </w:pPr>
      <w:bookmarkStart w:id="104" w:name="_Toc63084326"/>
      <w:bookmarkStart w:id="105" w:name="_Toc63437912"/>
      <w:bookmarkStart w:id="106" w:name="_Toc75159578"/>
      <w:r>
        <w:rPr>
          <w:rFonts w:hint="eastAsia"/>
        </w:rPr>
        <w:t>报价及</w:t>
      </w:r>
      <w:r>
        <w:t>报价</w:t>
      </w:r>
      <w:r>
        <w:rPr>
          <w:rFonts w:hint="eastAsia"/>
        </w:rPr>
        <w:t>审查</w:t>
      </w:r>
      <w:bookmarkEnd w:id="104"/>
      <w:bookmarkEnd w:id="105"/>
      <w:bookmarkEnd w:id="106"/>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sz w:val="28"/>
          <w:szCs w:val="28"/>
        </w:rPr>
        <w:t>加盖有供应商（法定名称）电子签章。</w:t>
      </w:r>
    </w:p>
    <w:p>
      <w:pPr>
        <w:numPr>
          <w:ilvl w:val="0"/>
          <w:numId w:val="39"/>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39"/>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进口产品：询价通知书中未载明“允许采购进口产品”的产品，报价产品均为国产产品。</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38"/>
        </w:numPr>
        <w:tabs>
          <w:tab w:val="left" w:pos="1134"/>
        </w:tabs>
        <w:snapToGrid w:val="0"/>
        <w:spacing w:line="620" w:lineRule="exact"/>
        <w:ind w:left="0" w:firstLine="560" w:firstLineChars="200"/>
        <w:rPr>
          <w:rFonts w:ascii="宋体" w:hAnsi="宋体" w:cs="宋体"/>
          <w:sz w:val="28"/>
          <w:szCs w:val="28"/>
        </w:rPr>
      </w:pPr>
      <w:r>
        <w:rPr>
          <w:rFonts w:hint="eastAsia" w:ascii="宋体" w:hAnsi="宋体" w:cs="宋体"/>
          <w:sz w:val="28"/>
          <w:szCs w:val="28"/>
        </w:rPr>
        <w:t>价格扣除：对供应商报价产品由小型企业、微型企业、监狱企业、残疾人福利性单位制造的货物的价格给予</w:t>
      </w:r>
      <w:r>
        <w:rPr>
          <w:rFonts w:ascii="宋体" w:hAnsi="宋体" w:cs="宋体"/>
          <w:sz w:val="28"/>
          <w:szCs w:val="28"/>
        </w:rPr>
        <w:t>10%的扣除（说明：同一产品仅作一次价格扣除），用扣除后的价格参与评审</w:t>
      </w:r>
      <w:r>
        <w:rPr>
          <w:rFonts w:hint="eastAsia" w:ascii="宋体" w:hAnsi="宋体" w:cs="宋体"/>
          <w:sz w:val="28"/>
          <w:szCs w:val="28"/>
          <w:lang w:val="en-US" w:eastAsia="zh-CN"/>
        </w:rPr>
        <w:t>,</w:t>
      </w:r>
      <w:bookmarkStart w:id="170" w:name="_GoBack"/>
      <w:bookmarkEnd w:id="170"/>
      <w:r>
        <w:rPr>
          <w:rFonts w:hint="eastAsia" w:ascii="宋体" w:hAnsi="宋体" w:cs="宋体"/>
          <w:sz w:val="28"/>
          <w:szCs w:val="28"/>
        </w:rPr>
        <w:t>供应商提供的货物既有中小企业制造货物，也有大型企业制造货物的，不享受价格扣除。</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207"/>
        <w:numPr>
          <w:ilvl w:val="0"/>
          <w:numId w:val="40"/>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207"/>
        <w:numPr>
          <w:ilvl w:val="0"/>
          <w:numId w:val="40"/>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207"/>
        <w:numPr>
          <w:ilvl w:val="0"/>
          <w:numId w:val="40"/>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207"/>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有效报价的供应商不足三家的，本次采购活动失败。</w:t>
      </w:r>
    </w:p>
    <w:p/>
    <w:p>
      <w:pPr>
        <w:pStyle w:val="4"/>
        <w:numPr>
          <w:ilvl w:val="2"/>
          <w:numId w:val="1"/>
        </w:numPr>
        <w:tabs>
          <w:tab w:val="left" w:pos="993"/>
          <w:tab w:val="clear" w:pos="426"/>
          <w:tab w:val="clear" w:pos="567"/>
        </w:tabs>
      </w:pPr>
      <w:bookmarkStart w:id="107" w:name="_Toc63084327"/>
      <w:bookmarkStart w:id="108" w:name="_Toc63437913"/>
      <w:bookmarkStart w:id="109" w:name="_Toc75159579"/>
      <w:r>
        <w:rPr>
          <w:rFonts w:hint="eastAsia"/>
        </w:rPr>
        <w:t>解释、澄清、说明的有关问题</w:t>
      </w:r>
      <w:bookmarkEnd w:id="107"/>
      <w:bookmarkEnd w:id="108"/>
      <w:bookmarkEnd w:id="109"/>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w:t>
      </w:r>
      <w:r>
        <w:rPr>
          <w:rFonts w:hint="eastAsia" w:ascii="宋体" w:hAnsi="宋体"/>
          <w:sz w:val="28"/>
          <w:szCs w:val="28"/>
          <w:lang w:eastAsia="zh-CN"/>
        </w:rPr>
        <w:t>县</w:t>
      </w:r>
      <w:r>
        <w:rPr>
          <w:rFonts w:hint="eastAsia" w:ascii="宋体" w:hAnsi="宋体"/>
          <w:sz w:val="28"/>
          <w:szCs w:val="28"/>
        </w:rPr>
        <w:t>公资交易中心书面解释。</w:t>
      </w:r>
      <w:r>
        <w:rPr>
          <w:rFonts w:hint="eastAsia" w:ascii="宋体" w:hAnsi="宋体"/>
          <w:sz w:val="28"/>
          <w:szCs w:val="28"/>
          <w:lang w:eastAsia="zh-CN"/>
        </w:rPr>
        <w:t>县</w:t>
      </w:r>
      <w:r>
        <w:rPr>
          <w:rFonts w:hint="eastAsia" w:ascii="宋体" w:hAnsi="宋体"/>
          <w:sz w:val="28"/>
          <w:szCs w:val="28"/>
        </w:rPr>
        <w:t>公资交易中心的解释不得改变询价通知书的原义或者影响公平、公正，解释事项如果涉及供应商权益的以有利于供应商的原则进行解释。</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4"/>
        <w:numPr>
          <w:ilvl w:val="2"/>
          <w:numId w:val="1"/>
        </w:numPr>
        <w:tabs>
          <w:tab w:val="left" w:pos="993"/>
          <w:tab w:val="clear" w:pos="426"/>
          <w:tab w:val="clear" w:pos="567"/>
        </w:tabs>
      </w:pPr>
      <w:bookmarkStart w:id="110" w:name="_Toc63437914"/>
      <w:bookmarkStart w:id="111" w:name="_Toc75159580"/>
      <w:bookmarkStart w:id="112" w:name="_Toc63084328"/>
      <w:r>
        <w:rPr>
          <w:rFonts w:hint="eastAsia"/>
        </w:rPr>
        <w:t>比较与评价</w:t>
      </w:r>
      <w:bookmarkEnd w:id="110"/>
      <w:bookmarkEnd w:id="111"/>
      <w:bookmarkEnd w:id="112"/>
    </w:p>
    <w:p>
      <w:pPr>
        <w:tabs>
          <w:tab w:val="left" w:pos="851"/>
        </w:tabs>
        <w:spacing w:line="360" w:lineRule="auto"/>
        <w:ind w:firstLine="565" w:firstLineChars="202"/>
        <w:rPr>
          <w:rFonts w:ascii="宋体" w:hAnsi="宋体"/>
          <w:sz w:val="28"/>
          <w:szCs w:val="28"/>
        </w:rPr>
      </w:pPr>
      <w:bookmarkStart w:id="113" w:name="_Toc63437915"/>
      <w:bookmarkStart w:id="114" w:name="_Toc63084329"/>
      <w:r>
        <w:rPr>
          <w:rFonts w:hint="eastAsia" w:ascii="宋体" w:hAnsi="宋体"/>
          <w:sz w:val="28"/>
          <w:szCs w:val="28"/>
        </w:rPr>
        <w:t>按询价通知书中规定的询价方法，对符合性检查合格的响应文件进行商务和技术评估，综合比较和评价。</w:t>
      </w:r>
    </w:p>
    <w:p>
      <w:pPr>
        <w:pStyle w:val="4"/>
        <w:numPr>
          <w:ilvl w:val="2"/>
          <w:numId w:val="1"/>
        </w:numPr>
        <w:tabs>
          <w:tab w:val="left" w:pos="993"/>
          <w:tab w:val="clear" w:pos="426"/>
          <w:tab w:val="clear" w:pos="567"/>
        </w:tabs>
      </w:pPr>
      <w:bookmarkStart w:id="115" w:name="_Toc75159581"/>
      <w:r>
        <w:rPr>
          <w:rFonts w:hint="eastAsia"/>
        </w:rPr>
        <w:t>询价小组复核</w:t>
      </w:r>
      <w:bookmarkEnd w:id="113"/>
      <w:bookmarkEnd w:id="114"/>
      <w:bookmarkEnd w:id="115"/>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评审结束后，询价小组应当进行复核，特别要对拟推荐为成交候选供应商的、报价最低的、响应文件被认定为无效的进行重点复核。</w:t>
      </w:r>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评审结果汇总完成后，询价小组拟出具评审报告前，</w:t>
      </w:r>
      <w:r>
        <w:rPr>
          <w:rFonts w:hint="eastAsia" w:ascii="宋体" w:hAnsi="宋体"/>
          <w:sz w:val="28"/>
          <w:szCs w:val="28"/>
          <w:lang w:eastAsia="zh-CN"/>
        </w:rPr>
        <w:t>县</w:t>
      </w:r>
      <w:r>
        <w:rPr>
          <w:rFonts w:hint="eastAsia" w:ascii="宋体" w:hAnsi="宋体"/>
          <w:sz w:val="28"/>
          <w:szCs w:val="28"/>
        </w:rPr>
        <w:t>公资交易中心应当组织2名以上的工作人员，在采购现场监督人员的监督之下，依据有关的法律制度和询价</w:t>
      </w:r>
      <w:r>
        <w:rPr>
          <w:rFonts w:ascii="宋体" w:hAnsi="宋体"/>
          <w:sz w:val="28"/>
          <w:szCs w:val="28"/>
        </w:rPr>
        <w:t>通知书</w:t>
      </w:r>
      <w:r>
        <w:rPr>
          <w:rFonts w:hint="eastAsia" w:ascii="宋体" w:hAnsi="宋体"/>
          <w:sz w:val="28"/>
          <w:szCs w:val="28"/>
        </w:rPr>
        <w:t>对评审结果进行复核，出具复核报告。</w:t>
      </w:r>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采购人、采购代理机构发现询价小组未按照询价通知书规定的评审标准进行评审的，应当重新开展采购活动，并同时书面报告本级财政部门。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6" w:name="_Toc63437916"/>
      <w:bookmarkStart w:id="117" w:name="_Toc75159582"/>
      <w:bookmarkStart w:id="118" w:name="_Toc63084330"/>
      <w:r>
        <w:rPr>
          <w:rFonts w:hint="eastAsia"/>
        </w:rPr>
        <w:t>推荐成交候选供应商</w:t>
      </w:r>
      <w:bookmarkEnd w:id="116"/>
      <w:bookmarkEnd w:id="117"/>
      <w:bookmarkEnd w:id="118"/>
    </w:p>
    <w:p>
      <w:pPr>
        <w:snapToGrid w:val="0"/>
        <w:spacing w:line="620" w:lineRule="exact"/>
        <w:ind w:firstLine="585" w:firstLineChars="209"/>
        <w:rPr>
          <w:rFonts w:ascii="宋体" w:hAnsi="宋体"/>
          <w:sz w:val="28"/>
          <w:szCs w:val="28"/>
        </w:rPr>
      </w:pPr>
      <w:bookmarkStart w:id="119" w:name="_Toc63084331"/>
      <w:bookmarkStart w:id="120" w:name="_Toc63437917"/>
      <w:r>
        <w:rPr>
          <w:rFonts w:hint="eastAsia" w:ascii="宋体" w:hAnsi="宋体"/>
          <w:sz w:val="28"/>
          <w:szCs w:val="28"/>
        </w:rPr>
        <w:t>询价小组应当</w:t>
      </w:r>
      <w:r>
        <w:rPr>
          <w:rFonts w:hint="eastAsia" w:ascii="宋体" w:hAnsi="宋体"/>
          <w:sz w:val="28"/>
        </w:rPr>
        <w:t>按供应商报价（供应商报价按询价通知书</w:t>
      </w:r>
      <w:r>
        <w:rPr>
          <w:rFonts w:ascii="宋体" w:hAnsi="宋体"/>
          <w:sz w:val="28"/>
        </w:rPr>
        <w:t>5.2.6</w:t>
      </w:r>
      <w:r>
        <w:rPr>
          <w:rFonts w:hint="eastAsia" w:ascii="宋体" w:hAnsi="宋体"/>
          <w:sz w:val="28"/>
        </w:rPr>
        <w:t>的标准进行了价格扣除的，为扣除后的报价）由低到高排序，</w:t>
      </w:r>
      <w:r>
        <w:rPr>
          <w:rFonts w:hint="eastAsia" w:ascii="宋体" w:hAnsi="宋体"/>
          <w:sz w:val="28"/>
          <w:szCs w:val="28"/>
        </w:rPr>
        <w:t>推荐</w:t>
      </w:r>
      <w:r>
        <w:rPr>
          <w:rFonts w:ascii="宋体" w:hAnsi="宋体"/>
          <w:sz w:val="28"/>
          <w:szCs w:val="28"/>
        </w:rPr>
        <w:t>3名</w:t>
      </w:r>
      <w:r>
        <w:rPr>
          <w:rFonts w:hint="eastAsia" w:ascii="宋体" w:hAnsi="宋体"/>
          <w:sz w:val="28"/>
          <w:szCs w:val="28"/>
        </w:rPr>
        <w:t>及以上</w:t>
      </w:r>
      <w:r>
        <w:rPr>
          <w:rFonts w:ascii="宋体" w:hAnsi="宋体"/>
          <w:sz w:val="28"/>
          <w:szCs w:val="28"/>
        </w:rPr>
        <w:t>成交候选供应商。</w:t>
      </w:r>
      <w:r>
        <w:rPr>
          <w:rFonts w:hint="eastAsia" w:ascii="宋体" w:hAnsi="宋体"/>
          <w:sz w:val="28"/>
          <w:szCs w:val="28"/>
        </w:rPr>
        <w:t>供应商报价相同的，由询价小组组织供应商抽签确定推荐的成交候选供应商顺序。</w:t>
      </w:r>
    </w:p>
    <w:p>
      <w:pPr>
        <w:pStyle w:val="4"/>
        <w:numPr>
          <w:ilvl w:val="2"/>
          <w:numId w:val="1"/>
        </w:numPr>
        <w:tabs>
          <w:tab w:val="left" w:pos="993"/>
          <w:tab w:val="clear" w:pos="426"/>
          <w:tab w:val="clear" w:pos="567"/>
        </w:tabs>
      </w:pPr>
      <w:bookmarkStart w:id="121" w:name="_Toc75159583"/>
      <w:r>
        <w:rPr>
          <w:rFonts w:hint="eastAsia"/>
        </w:rPr>
        <w:t>编写评审报告</w:t>
      </w:r>
      <w:bookmarkEnd w:id="119"/>
      <w:bookmarkEnd w:id="120"/>
      <w:bookmarkEnd w:id="121"/>
    </w:p>
    <w:p>
      <w:pPr>
        <w:spacing w:line="360" w:lineRule="auto"/>
        <w:ind w:firstLine="560" w:firstLineChars="200"/>
        <w:rPr>
          <w:rFonts w:ascii="宋体" w:hAnsi="宋体"/>
          <w:sz w:val="28"/>
          <w:szCs w:val="28"/>
        </w:rPr>
      </w:pPr>
      <w:r>
        <w:rPr>
          <w:rFonts w:hint="eastAsia" w:ascii="宋体" w:hAnsi="宋体"/>
          <w:sz w:val="28"/>
          <w:szCs w:val="28"/>
        </w:rPr>
        <w:t>询价小组推荐成交候选供应商后，应向采购代理机构出具评审报告。评审报告应当包括以下主要内容：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（3）获取询价通知书的供应商名单和询价小组成员名单；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（4）评审情况记录和说明，包括对供应商的资格审查情况、供应商响应文件评审情况、询价</w:t>
      </w:r>
      <w:r>
        <w:rPr>
          <w:rFonts w:ascii="宋体" w:hAnsi="宋体"/>
          <w:sz w:val="28"/>
          <w:szCs w:val="28"/>
        </w:rPr>
        <w:t>采购活动</w:t>
      </w:r>
      <w:r>
        <w:rPr>
          <w:rFonts w:hint="eastAsia" w:ascii="宋体" w:hAnsi="宋体"/>
          <w:sz w:val="28"/>
          <w:szCs w:val="28"/>
        </w:rPr>
        <w:t>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sz w:val="28"/>
          <w:szCs w:val="28"/>
        </w:rPr>
      </w:pPr>
      <w:bookmarkStart w:id="122" w:name="_Toc54948232"/>
      <w:bookmarkStart w:id="123" w:name="_Toc63084332"/>
      <w:bookmarkStart w:id="124" w:name="_Toc63437918"/>
      <w:r>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sz w:val="28"/>
          <w:szCs w:val="28"/>
        </w:rPr>
        <w:t>评审</w:t>
      </w:r>
      <w:r>
        <w:rPr>
          <w:rFonts w:ascii="宋体" w:hAnsi="宋体"/>
          <w:sz w:val="28"/>
          <w:szCs w:val="28"/>
        </w:rPr>
        <w:t>报告上签字又不书面说明其不同意见和理由的，视为同意评审报告。</w:t>
      </w:r>
    </w:p>
    <w:p>
      <w:pPr>
        <w:pStyle w:val="4"/>
        <w:tabs>
          <w:tab w:val="left" w:pos="993"/>
          <w:tab w:val="clear" w:pos="426"/>
          <w:tab w:val="clear" w:pos="567"/>
        </w:tabs>
        <w:ind w:left="240" w:leftChars="0" w:firstLine="0" w:firstLineChars="0"/>
      </w:pPr>
      <w:bookmarkStart w:id="125" w:name="_Toc75159584"/>
      <w:r>
        <w:rPr>
          <w:rFonts w:hint="eastAsia"/>
        </w:rPr>
        <w:t>争议处理规则</w:t>
      </w:r>
      <w:bookmarkEnd w:id="122"/>
      <w:bookmarkEnd w:id="123"/>
      <w:bookmarkEnd w:id="124"/>
      <w:bookmarkEnd w:id="125"/>
    </w:p>
    <w:p>
      <w:pPr>
        <w:tabs>
          <w:tab w:val="left" w:pos="1155"/>
        </w:tabs>
        <w:snapToGrid w:val="0"/>
        <w:spacing w:line="620" w:lineRule="exact"/>
        <w:ind w:firstLine="523" w:firstLineChars="187"/>
      </w:pPr>
      <w:r>
        <w:rPr>
          <w:rFonts w:hint="eastAsia" w:ascii="宋体" w:hAnsi="宋体"/>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sz w:val="28"/>
          <w:szCs w:val="28"/>
        </w:rPr>
        <w:t>持不同意见的询价小组成员应当在评审报告上签署不同意见及理由，否则视为同意评审报告。</w:t>
      </w:r>
      <w:r>
        <w:rPr>
          <w:rFonts w:hint="eastAsia" w:ascii="宋体" w:hAnsi="宋体"/>
          <w:sz w:val="28"/>
          <w:szCs w:val="28"/>
        </w:rPr>
        <w:t>持不同意见的询价小组成员认为认定过程和结果不符合法律法规或者询价通知书规定的，应当及时向采购人或</w:t>
      </w:r>
      <w:r>
        <w:rPr>
          <w:rFonts w:hint="eastAsia" w:ascii="宋体" w:hAnsi="宋体"/>
          <w:sz w:val="28"/>
          <w:szCs w:val="28"/>
          <w:lang w:eastAsia="zh-CN"/>
        </w:rPr>
        <w:t>县</w:t>
      </w:r>
      <w:r>
        <w:rPr>
          <w:rFonts w:hint="eastAsia" w:ascii="宋体" w:hAnsi="宋体"/>
          <w:sz w:val="28"/>
          <w:szCs w:val="28"/>
        </w:rPr>
        <w:t>公资交易中心书面反映。采购人或</w:t>
      </w:r>
      <w:r>
        <w:rPr>
          <w:rFonts w:hint="eastAsia" w:ascii="宋体" w:hAnsi="宋体"/>
          <w:sz w:val="28"/>
          <w:szCs w:val="28"/>
          <w:lang w:eastAsia="zh-CN"/>
        </w:rPr>
        <w:t>县</w:t>
      </w:r>
      <w:r>
        <w:rPr>
          <w:rFonts w:hint="eastAsia" w:ascii="宋体" w:hAnsi="宋体"/>
          <w:sz w:val="28"/>
          <w:szCs w:val="28"/>
        </w:rPr>
        <w:t>公资交易中心收到书面反映后，应当书面报告采购项目同级财政部门依法处理。</w:t>
      </w:r>
    </w:p>
    <w:p>
      <w:pPr>
        <w:pStyle w:val="4"/>
        <w:tabs>
          <w:tab w:val="left" w:pos="993"/>
          <w:tab w:val="clear" w:pos="426"/>
          <w:tab w:val="clear" w:pos="567"/>
        </w:tabs>
        <w:ind w:left="240" w:leftChars="0" w:firstLine="0" w:firstLineChars="0"/>
      </w:pPr>
      <w:bookmarkStart w:id="126" w:name="_Toc494357026"/>
      <w:bookmarkEnd w:id="126"/>
      <w:bookmarkStart w:id="127" w:name="_Toc494357022"/>
      <w:bookmarkEnd w:id="127"/>
      <w:bookmarkStart w:id="128" w:name="_Toc494095681"/>
      <w:bookmarkEnd w:id="128"/>
      <w:bookmarkStart w:id="129" w:name="_Toc494095669"/>
      <w:bookmarkEnd w:id="129"/>
      <w:bookmarkStart w:id="130" w:name="_Toc494095680"/>
      <w:bookmarkEnd w:id="130"/>
      <w:bookmarkStart w:id="131" w:name="_Toc494095668"/>
      <w:bookmarkEnd w:id="131"/>
      <w:bookmarkStart w:id="132" w:name="_Toc494357034"/>
      <w:bookmarkEnd w:id="132"/>
      <w:bookmarkStart w:id="133" w:name="_Toc494095674"/>
      <w:bookmarkEnd w:id="133"/>
      <w:bookmarkStart w:id="134" w:name="_Toc494095679"/>
      <w:bookmarkEnd w:id="134"/>
      <w:bookmarkStart w:id="135" w:name="_Toc494095673"/>
      <w:bookmarkEnd w:id="135"/>
      <w:bookmarkStart w:id="136" w:name="_Toc494357033"/>
      <w:bookmarkEnd w:id="136"/>
      <w:bookmarkStart w:id="137" w:name="_Toc494357028"/>
      <w:bookmarkEnd w:id="137"/>
      <w:bookmarkStart w:id="138" w:name="_Toc494095670"/>
      <w:bookmarkEnd w:id="138"/>
      <w:bookmarkStart w:id="139" w:name="_Toc494357030"/>
      <w:bookmarkEnd w:id="139"/>
      <w:bookmarkStart w:id="140" w:name="_Toc494357024"/>
      <w:bookmarkEnd w:id="140"/>
      <w:bookmarkStart w:id="141" w:name="_Toc494357029"/>
      <w:bookmarkEnd w:id="141"/>
      <w:bookmarkStart w:id="142" w:name="_Toc494357032"/>
      <w:bookmarkEnd w:id="142"/>
      <w:bookmarkStart w:id="143" w:name="_Toc494357027"/>
      <w:bookmarkEnd w:id="143"/>
      <w:bookmarkStart w:id="144" w:name="_Toc494095682"/>
      <w:bookmarkEnd w:id="144"/>
      <w:bookmarkStart w:id="145" w:name="_Toc494095675"/>
      <w:bookmarkEnd w:id="145"/>
      <w:bookmarkStart w:id="146" w:name="_Toc494357031"/>
      <w:bookmarkEnd w:id="146"/>
      <w:bookmarkStart w:id="147" w:name="_Toc494095676"/>
      <w:bookmarkEnd w:id="147"/>
      <w:bookmarkStart w:id="148" w:name="_Toc494095671"/>
      <w:bookmarkEnd w:id="148"/>
      <w:bookmarkStart w:id="149" w:name="_Toc494095677"/>
      <w:bookmarkEnd w:id="149"/>
      <w:bookmarkStart w:id="150" w:name="_Toc494095672"/>
      <w:bookmarkEnd w:id="150"/>
      <w:bookmarkStart w:id="151" w:name="_Toc494095678"/>
      <w:bookmarkEnd w:id="151"/>
      <w:bookmarkStart w:id="152" w:name="_Toc494357025"/>
      <w:bookmarkEnd w:id="152"/>
      <w:bookmarkStart w:id="153" w:name="_Toc494357035"/>
      <w:bookmarkEnd w:id="153"/>
      <w:bookmarkStart w:id="154" w:name="_Toc494357023"/>
      <w:bookmarkEnd w:id="154"/>
      <w:bookmarkStart w:id="155" w:name="_Toc494357021"/>
      <w:bookmarkEnd w:id="155"/>
      <w:bookmarkStart w:id="156" w:name="_Toc54948234"/>
      <w:bookmarkStart w:id="157" w:name="_Toc75159585"/>
      <w:r>
        <w:rPr>
          <w:rFonts w:hint="eastAsia"/>
        </w:rPr>
        <w:t>采购失败情形</w:t>
      </w:r>
      <w:bookmarkEnd w:id="156"/>
      <w:bookmarkEnd w:id="157"/>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一、因情况变化，不再符合规定的询价采购方式适用情形的；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七、通过报价审查的供应商不足三家的。</w:t>
      </w:r>
    </w:p>
    <w:p>
      <w:pPr>
        <w:pStyle w:val="4"/>
        <w:tabs>
          <w:tab w:val="left" w:pos="993"/>
          <w:tab w:val="clear" w:pos="426"/>
          <w:tab w:val="clear" w:pos="567"/>
        </w:tabs>
        <w:ind w:left="240" w:leftChars="0" w:firstLine="0" w:firstLineChars="0"/>
      </w:pPr>
      <w:bookmarkStart w:id="158" w:name="_Toc54948235"/>
      <w:bookmarkStart w:id="159" w:name="_Toc75159586"/>
      <w:r>
        <w:rPr>
          <w:rFonts w:hint="eastAsia"/>
        </w:rPr>
        <w:t>确定成交供应商</w:t>
      </w:r>
      <w:bookmarkEnd w:id="158"/>
      <w:bookmarkEnd w:id="159"/>
    </w:p>
    <w:p>
      <w:pPr>
        <w:numPr>
          <w:ilvl w:val="0"/>
          <w:numId w:val="43"/>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采购人根据询价小组推荐的成交候选供应商名单，按顺序确定1名成交供应商。</w:t>
      </w:r>
    </w:p>
    <w:p>
      <w:pPr>
        <w:numPr>
          <w:ilvl w:val="0"/>
          <w:numId w:val="43"/>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sz w:val="28"/>
          <w:szCs w:val="28"/>
          <w:lang w:eastAsia="zh-CN"/>
        </w:rPr>
        <w:t>县</w:t>
      </w:r>
      <w:r>
        <w:rPr>
          <w:rFonts w:hint="eastAsia" w:ascii="宋体" w:hAnsi="宋体" w:cs="宋体"/>
          <w:sz w:val="28"/>
          <w:szCs w:val="28"/>
        </w:rPr>
        <w:t>公资交易中心在评审结束之日起2个工作日内将评审报告及有关资料送交采购人确定1名成交供应商。</w:t>
      </w:r>
    </w:p>
    <w:p>
      <w:pPr>
        <w:numPr>
          <w:ilvl w:val="0"/>
          <w:numId w:val="43"/>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采购人在收到评审报告后五个工作日内，按照评审报告中推荐的成交候选人顺序确定成交供应商。如果成交候选人及其现任法定代表人、主要负责人存在行贿犯罪记录，采购人将不确定其为中成交人。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43"/>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3"/>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4"/>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0" w:name="_Toc287623649"/>
      <w:r>
        <w:rPr>
          <w:rFonts w:hint="eastAsia" w:ascii="宋体" w:hAnsi="宋体" w:cs="宋体"/>
          <w:sz w:val="28"/>
          <w:szCs w:val="28"/>
        </w:rPr>
        <w:t>成交候选供应商存在违法、违纪行为的；</w:t>
      </w:r>
    </w:p>
    <w:p>
      <w:pPr>
        <w:numPr>
          <w:ilvl w:val="1"/>
          <w:numId w:val="44"/>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44"/>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成交候选供应商未按询价通知书要求，按时足额缴纳履约保证金的。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43"/>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sz w:val="28"/>
          <w:szCs w:val="28"/>
          <w:lang w:eastAsia="zh-CN"/>
        </w:rPr>
        <w:t>县</w:t>
      </w:r>
      <w:r>
        <w:rPr>
          <w:rFonts w:hint="eastAsia" w:ascii="宋体" w:hAnsi="宋体" w:cs="宋体"/>
          <w:sz w:val="28"/>
          <w:szCs w:val="28"/>
        </w:rPr>
        <w:t>公资交易中心不解释成交或未成交原因，不退回响应文件和其他询价资料。</w:t>
      </w:r>
      <w:bookmarkEnd w:id="160"/>
    </w:p>
    <w:p>
      <w:pPr>
        <w:pStyle w:val="4"/>
        <w:tabs>
          <w:tab w:val="left" w:pos="993"/>
          <w:tab w:val="clear" w:pos="426"/>
          <w:tab w:val="clear" w:pos="567"/>
        </w:tabs>
        <w:ind w:left="240" w:leftChars="0" w:firstLine="0" w:firstLineChars="0"/>
      </w:pPr>
      <w:bookmarkStart w:id="161" w:name="_Toc75159587"/>
      <w:bookmarkStart w:id="162" w:name="_Toc54948236"/>
      <w:r>
        <w:rPr>
          <w:rFonts w:hint="eastAsia"/>
        </w:rPr>
        <w:t>询价小组成员义务</w:t>
      </w:r>
      <w:bookmarkEnd w:id="161"/>
      <w:bookmarkEnd w:id="162"/>
    </w:p>
    <w:p>
      <w:pPr>
        <w:snapToGrid w:val="0"/>
        <w:spacing w:line="360" w:lineRule="auto"/>
        <w:ind w:firstLine="560" w:firstLineChars="200"/>
        <w:rPr>
          <w:sz w:val="28"/>
          <w:szCs w:val="28"/>
        </w:rPr>
      </w:pPr>
      <w:r>
        <w:rPr>
          <w:rFonts w:hint="eastAsia"/>
          <w:sz w:val="28"/>
          <w:szCs w:val="28"/>
        </w:rPr>
        <w:t>询价小组成员在政府采购活动中承担以下义务：</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按照政府采购法律法规和询价通知书的规定要求对供应商的资格条件、报价、技术、服务等方面严格进行独立评审，提供科学合理、公平公正的评审意见，参与起草评审报告，并予签字确认。</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保守秘密。不得泄漏供应商的询价通知书及知悉的商业秘密，不得向供应商透露评审情况。</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县</w:t>
      </w:r>
      <w:r>
        <w:rPr>
          <w:rFonts w:hint="eastAsia" w:ascii="宋体" w:hAnsi="宋体"/>
          <w:sz w:val="28"/>
          <w:szCs w:val="28"/>
        </w:rPr>
        <w:t>公资交易中心及其工作人员在政府采购活动中有干预评审、发表倾向性和歧视性言论、受贿或者接受供应商的其他好处及其他违法违规行为，及时向财政部门报告。</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县</w:t>
      </w:r>
      <w:r>
        <w:rPr>
          <w:rFonts w:hint="eastAsia" w:ascii="宋体" w:hAnsi="宋体"/>
          <w:sz w:val="28"/>
          <w:szCs w:val="28"/>
        </w:rPr>
        <w:t>公资交易中心答复供应商的询问、质疑，配合财政部门的投诉处理工作等事宜。</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法律、法规和规章规定的其他义务。</w:t>
      </w:r>
    </w:p>
    <w:p>
      <w:pPr>
        <w:pStyle w:val="4"/>
        <w:tabs>
          <w:tab w:val="left" w:pos="993"/>
          <w:tab w:val="clear" w:pos="426"/>
          <w:tab w:val="clear" w:pos="567"/>
        </w:tabs>
        <w:ind w:left="240" w:leftChars="0" w:firstLine="0" w:firstLineChars="0"/>
      </w:pPr>
      <w:bookmarkStart w:id="163" w:name="_Toc75159588"/>
      <w:bookmarkStart w:id="164" w:name="_Toc54948238"/>
      <w:r>
        <w:rPr>
          <w:rFonts w:hint="eastAsia"/>
        </w:rPr>
        <w:t>询价采购</w:t>
      </w:r>
      <w:r>
        <w:t>活动</w:t>
      </w:r>
      <w:r>
        <w:rPr>
          <w:rFonts w:hint="eastAsia"/>
        </w:rPr>
        <w:t>纪律</w:t>
      </w:r>
      <w:bookmarkEnd w:id="163"/>
      <w:bookmarkEnd w:id="164"/>
    </w:p>
    <w:p>
      <w:pPr>
        <w:snapToGrid w:val="0"/>
        <w:spacing w:line="360" w:lineRule="auto"/>
        <w:ind w:firstLine="560" w:firstLineChars="200"/>
        <w:rPr>
          <w:sz w:val="28"/>
          <w:szCs w:val="28"/>
        </w:rPr>
      </w:pPr>
      <w:r>
        <w:rPr>
          <w:rFonts w:hint="eastAsia"/>
          <w:sz w:val="28"/>
          <w:szCs w:val="28"/>
        </w:rPr>
        <w:t>询价小组成员在政府采购活动中应当遵守以下工作纪律：</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eastAsia="zh-CN"/>
        </w:rPr>
        <w:t>县</w:t>
      </w:r>
      <w:r>
        <w:rPr>
          <w:rFonts w:hint="eastAsia" w:ascii="宋体" w:hAnsi="宋体"/>
          <w:sz w:val="28"/>
          <w:szCs w:val="28"/>
        </w:rPr>
        <w:t>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县</w:t>
      </w:r>
      <w:r>
        <w:rPr>
          <w:rFonts w:hint="eastAsia" w:ascii="宋体" w:hAnsi="宋体"/>
          <w:sz w:val="28"/>
          <w:szCs w:val="28"/>
        </w:rPr>
        <w:t>公资交易中心也可要求该评审专家回避。</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在询价采购活动过程中和询价采购活动结束后，不得记录、复制或带走任何评审资料，除因规定的义务外，不得向外界透露评审内容。</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县</w:t>
      </w:r>
      <w:r>
        <w:rPr>
          <w:rFonts w:hint="eastAsia" w:ascii="宋体" w:hAnsi="宋体"/>
          <w:sz w:val="28"/>
          <w:szCs w:val="28"/>
        </w:rPr>
        <w:t>公资交易中心的现场秩序管理，接受评审现场监督人员的合法监督。</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pStyle w:val="2"/>
      </w:pPr>
      <w:r>
        <w:rPr>
          <w:rFonts w:hint="eastAsia" w:ascii="宋体" w:hAnsi="宋体"/>
          <w:sz w:val="28"/>
          <w:szCs w:val="28"/>
        </w:rPr>
        <w:t>十一、有关部门（机构）制定的其他评审工作纪律。</w:t>
      </w: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pStyle w:val="3"/>
        <w:numPr>
          <w:ilvl w:val="0"/>
          <w:numId w:val="1"/>
        </w:numPr>
        <w:spacing w:before="0" w:after="0"/>
        <w:ind w:left="0" w:firstLine="0"/>
      </w:pPr>
      <w:bookmarkStart w:id="165" w:name="_Toc75159589"/>
      <w:r>
        <w:rPr>
          <w:rFonts w:hint="eastAsia"/>
        </w:rPr>
        <w:t>政府</w:t>
      </w:r>
      <w:r>
        <w:t>采购</w:t>
      </w:r>
      <w:r>
        <w:rPr>
          <w:rFonts w:hint="eastAsia"/>
        </w:rPr>
        <w:t>合同草案</w:t>
      </w:r>
      <w:bookmarkEnd w:id="165"/>
    </w:p>
    <w:p>
      <w:pPr>
        <w:spacing w:line="360" w:lineRule="auto"/>
        <w:jc w:val="center"/>
        <w:rPr>
          <w:rFonts w:ascii="宋体" w:hAnsi="宋体" w:cs="宋体"/>
          <w:sz w:val="32"/>
          <w:szCs w:val="32"/>
        </w:rPr>
      </w:pPr>
      <w:bookmarkStart w:id="166" w:name="_Toc337558811"/>
      <w:bookmarkStart w:id="167" w:name="_Toc296346614"/>
      <w:bookmarkStart w:id="168" w:name="_Toc296503113"/>
    </w:p>
    <w:bookmarkEnd w:id="166"/>
    <w:bookmarkEnd w:id="167"/>
    <w:bookmarkEnd w:id="168"/>
    <w:p>
      <w:pPr>
        <w:spacing w:line="540" w:lineRule="exact"/>
        <w:rPr>
          <w:rFonts w:ascii="宋体" w:hAnsi="宋体" w:cs="宋体"/>
          <w:b/>
          <w:bCs/>
          <w:color w:val="000000"/>
        </w:rPr>
      </w:pPr>
      <w:r>
        <w:rPr>
          <w:rFonts w:hint="eastAsia" w:ascii="宋体" w:hAnsi="宋体" w:cs="宋体"/>
          <w:b/>
          <w:bCs/>
          <w:color w:val="000000"/>
        </w:rPr>
        <w:t>采购项目编号：</w:t>
      </w:r>
    </w:p>
    <w:p>
      <w:pPr>
        <w:spacing w:line="540" w:lineRule="exact"/>
        <w:rPr>
          <w:rFonts w:ascii="宋体" w:hAnsi="宋体" w:cs="宋体"/>
          <w:b/>
          <w:bCs/>
          <w:color w:val="000000"/>
        </w:rPr>
      </w:pPr>
      <w:r>
        <w:rPr>
          <w:rFonts w:hint="eastAsia" w:ascii="宋体" w:hAnsi="宋体" w:cs="宋体"/>
          <w:b/>
          <w:bCs/>
          <w:color w:val="000000"/>
        </w:rPr>
        <w:t>采购人（甲方）：</w:t>
      </w:r>
    </w:p>
    <w:p>
      <w:pPr>
        <w:spacing w:line="540" w:lineRule="exact"/>
        <w:rPr>
          <w:rFonts w:ascii="宋体" w:hAnsi="宋体" w:cs="宋体"/>
          <w:b/>
          <w:bCs/>
          <w:color w:val="000000"/>
        </w:rPr>
      </w:pPr>
      <w:r>
        <w:rPr>
          <w:rFonts w:hint="eastAsia" w:ascii="宋体" w:hAnsi="宋体" w:cs="宋体"/>
          <w:b/>
          <w:bCs/>
          <w:color w:val="000000"/>
        </w:rPr>
        <w:t>供应商（乙方）：</w:t>
      </w:r>
    </w:p>
    <w:p>
      <w:pPr>
        <w:pStyle w:val="2"/>
        <w:spacing w:line="540" w:lineRule="exact"/>
        <w:ind w:firstLine="480" w:firstLineChars="200"/>
        <w:rPr>
          <w:rFonts w:ascii="宋体" w:hAnsi="宋体" w:cs="宋体"/>
          <w:color w:val="000000"/>
        </w:rPr>
      </w:pPr>
      <w:r>
        <w:rPr>
          <w:rFonts w:hint="eastAsia" w:ascii="宋体" w:hAnsi="宋体" w:cs="宋体"/>
          <w:color w:val="000000"/>
        </w:rPr>
        <w:t>依据《中华人民共和国民法典》、《中华人民共和国政府采购法》与项目行业有关的法律法规，以及XXXX项目（项目编号：XXXX）的《询价通知书》，乙方的《响应文件》及《成交通知书》，甲、乙双方同意签订本合同。详细技术说明及其他有关合同项目的特定信息由合同附件予以说明，合同附件及本项目的《询价通知书》、《响应文件》、《成交通知书》等均为本合同的组成部分。</w:t>
      </w:r>
    </w:p>
    <w:p>
      <w:pPr>
        <w:rPr>
          <w:rFonts w:ascii="宋体" w:hAnsi="宋体"/>
          <w:b/>
          <w:color w:val="000000"/>
          <w:sz w:val="21"/>
          <w:szCs w:val="21"/>
        </w:rPr>
      </w:pPr>
      <w:r>
        <w:rPr>
          <w:rFonts w:hint="eastAsia" w:ascii="宋体" w:hAnsi="宋体"/>
          <w:b/>
          <w:color w:val="000000"/>
          <w:sz w:val="21"/>
          <w:szCs w:val="21"/>
        </w:rPr>
        <w:t>一、</w:t>
      </w:r>
      <w:r>
        <w:rPr>
          <w:rFonts w:ascii="宋体" w:hAnsi="宋体"/>
          <w:b/>
          <w:color w:val="000000"/>
          <w:sz w:val="21"/>
          <w:szCs w:val="21"/>
        </w:rPr>
        <w:t>产品及合同总金额</w:t>
      </w:r>
    </w:p>
    <w:tbl>
      <w:tblPr>
        <w:tblStyle w:val="45"/>
        <w:tblW w:w="0" w:type="auto"/>
        <w:tblInd w:w="-2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334"/>
        <w:gridCol w:w="1842"/>
        <w:gridCol w:w="1623"/>
        <w:gridCol w:w="2205"/>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644" w:type="dxa"/>
            <w:vAlign w:val="center"/>
          </w:tcPr>
          <w:p>
            <w:pPr>
              <w:ind w:left="-2" w:leftChars="-1"/>
              <w:jc w:val="center"/>
              <w:rPr>
                <w:rFonts w:ascii="宋体" w:hAnsi="宋体" w:cs="宋体"/>
                <w:b/>
                <w:color w:val="000000"/>
                <w:sz w:val="21"/>
                <w:szCs w:val="21"/>
              </w:rPr>
            </w:pPr>
            <w:r>
              <w:rPr>
                <w:rFonts w:hint="eastAsia" w:ascii="宋体" w:hAnsi="宋体" w:cs="宋体"/>
                <w:b/>
                <w:color w:val="000000"/>
                <w:sz w:val="21"/>
                <w:szCs w:val="21"/>
              </w:rPr>
              <w:t>序号</w:t>
            </w:r>
          </w:p>
        </w:tc>
        <w:tc>
          <w:tcPr>
            <w:tcW w:w="2334" w:type="dxa"/>
            <w:vAlign w:val="center"/>
          </w:tcPr>
          <w:p>
            <w:pPr>
              <w:jc w:val="center"/>
              <w:rPr>
                <w:rFonts w:ascii="宋体" w:hAnsi="宋体" w:cs="宋体"/>
                <w:b/>
                <w:color w:val="000000"/>
                <w:sz w:val="21"/>
                <w:szCs w:val="21"/>
              </w:rPr>
            </w:pPr>
            <w:r>
              <w:rPr>
                <w:rFonts w:hint="eastAsia" w:ascii="宋体" w:hAnsi="宋体" w:cs="宋体"/>
                <w:b/>
                <w:color w:val="000000"/>
                <w:sz w:val="21"/>
                <w:szCs w:val="21"/>
              </w:rPr>
              <w:t>产品名称</w:t>
            </w:r>
          </w:p>
        </w:tc>
        <w:tc>
          <w:tcPr>
            <w:tcW w:w="1842" w:type="dxa"/>
            <w:vAlign w:val="center"/>
          </w:tcPr>
          <w:p>
            <w:pPr>
              <w:jc w:val="center"/>
              <w:rPr>
                <w:rFonts w:ascii="宋体" w:hAnsi="宋体" w:cs="宋体"/>
                <w:b/>
                <w:color w:val="000000"/>
                <w:sz w:val="21"/>
                <w:szCs w:val="21"/>
              </w:rPr>
            </w:pPr>
            <w:r>
              <w:rPr>
                <w:rFonts w:hint="eastAsia" w:ascii="宋体" w:hAnsi="宋体" w:cs="宋体"/>
                <w:b/>
                <w:color w:val="000000"/>
                <w:sz w:val="21"/>
                <w:szCs w:val="21"/>
              </w:rPr>
              <w:t>单价（元）</w:t>
            </w:r>
          </w:p>
        </w:tc>
        <w:tc>
          <w:tcPr>
            <w:tcW w:w="1623" w:type="dxa"/>
            <w:vAlign w:val="center"/>
          </w:tcPr>
          <w:p>
            <w:pPr>
              <w:jc w:val="center"/>
              <w:rPr>
                <w:rFonts w:ascii="宋体" w:hAnsi="宋体" w:cs="宋体"/>
                <w:b/>
                <w:color w:val="000000"/>
                <w:sz w:val="21"/>
                <w:szCs w:val="21"/>
              </w:rPr>
            </w:pPr>
            <w:r>
              <w:rPr>
                <w:rFonts w:hint="eastAsia" w:ascii="宋体" w:hAnsi="宋体" w:cs="宋体"/>
                <w:b/>
                <w:color w:val="000000"/>
                <w:sz w:val="21"/>
                <w:szCs w:val="21"/>
              </w:rPr>
              <w:t>数量</w:t>
            </w:r>
          </w:p>
        </w:tc>
        <w:tc>
          <w:tcPr>
            <w:tcW w:w="2205" w:type="dxa"/>
            <w:vAlign w:val="center"/>
          </w:tcPr>
          <w:p>
            <w:pPr>
              <w:jc w:val="center"/>
              <w:rPr>
                <w:rFonts w:ascii="宋体" w:hAnsi="宋体" w:cs="宋体"/>
                <w:b/>
                <w:color w:val="000000"/>
                <w:sz w:val="21"/>
                <w:szCs w:val="21"/>
              </w:rPr>
            </w:pPr>
            <w:r>
              <w:rPr>
                <w:rFonts w:hint="eastAsia" w:ascii="宋体" w:hAnsi="宋体" w:cs="宋体"/>
                <w:b/>
                <w:color w:val="000000"/>
                <w:sz w:val="21"/>
                <w:szCs w:val="21"/>
              </w:rPr>
              <w:t>金额（元）</w:t>
            </w:r>
          </w:p>
        </w:tc>
        <w:tc>
          <w:tcPr>
            <w:tcW w:w="974" w:type="dxa"/>
            <w:vAlign w:val="center"/>
          </w:tcPr>
          <w:p>
            <w:pPr>
              <w:jc w:val="center"/>
              <w:rPr>
                <w:rFonts w:ascii="宋体" w:hAnsi="宋体" w:cs="宋体"/>
                <w:b/>
                <w:color w:val="000000"/>
                <w:sz w:val="21"/>
                <w:szCs w:val="21"/>
              </w:rPr>
            </w:pPr>
            <w:r>
              <w:rPr>
                <w:rFonts w:hint="eastAsia" w:ascii="宋体" w:hAnsi="宋体" w:cs="宋体"/>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44" w:type="dxa"/>
            <w:vAlign w:val="center"/>
          </w:tcPr>
          <w:p>
            <w:pPr>
              <w:jc w:val="center"/>
              <w:rPr>
                <w:rFonts w:ascii="宋体" w:hAnsi="宋体" w:cs="宋体"/>
                <w:color w:val="000000"/>
                <w:sz w:val="21"/>
                <w:szCs w:val="21"/>
              </w:rPr>
            </w:pPr>
            <w:r>
              <w:rPr>
                <w:rFonts w:hint="eastAsia" w:ascii="宋体" w:hAnsi="宋体" w:cs="宋体"/>
                <w:color w:val="000000"/>
                <w:sz w:val="21"/>
                <w:szCs w:val="21"/>
              </w:rPr>
              <w:t>1</w:t>
            </w:r>
          </w:p>
        </w:tc>
        <w:tc>
          <w:tcPr>
            <w:tcW w:w="2334" w:type="dxa"/>
            <w:vAlign w:val="center"/>
          </w:tcPr>
          <w:p>
            <w:pPr>
              <w:jc w:val="center"/>
              <w:rPr>
                <w:rFonts w:ascii="宋体" w:hAnsi="宋体" w:cs="宋体"/>
                <w:color w:val="000000"/>
                <w:sz w:val="21"/>
                <w:szCs w:val="21"/>
              </w:rPr>
            </w:pPr>
          </w:p>
        </w:tc>
        <w:tc>
          <w:tcPr>
            <w:tcW w:w="1842" w:type="dxa"/>
            <w:vAlign w:val="center"/>
          </w:tcPr>
          <w:p>
            <w:pPr>
              <w:jc w:val="center"/>
              <w:rPr>
                <w:rFonts w:ascii="宋体" w:hAnsi="宋体" w:cs="宋体"/>
                <w:color w:val="000000"/>
                <w:sz w:val="21"/>
                <w:szCs w:val="21"/>
              </w:rPr>
            </w:pPr>
          </w:p>
        </w:tc>
        <w:tc>
          <w:tcPr>
            <w:tcW w:w="1623" w:type="dxa"/>
            <w:vAlign w:val="center"/>
          </w:tcPr>
          <w:p>
            <w:pPr>
              <w:jc w:val="center"/>
              <w:rPr>
                <w:rFonts w:ascii="宋体" w:hAnsi="宋体" w:cs="宋体"/>
                <w:color w:val="000000"/>
                <w:sz w:val="21"/>
                <w:szCs w:val="21"/>
              </w:rPr>
            </w:pPr>
          </w:p>
        </w:tc>
        <w:tc>
          <w:tcPr>
            <w:tcW w:w="2205" w:type="dxa"/>
            <w:vAlign w:val="center"/>
          </w:tcPr>
          <w:p>
            <w:pPr>
              <w:jc w:val="center"/>
              <w:rPr>
                <w:rFonts w:ascii="宋体" w:hAnsi="宋体" w:cs="宋体"/>
                <w:color w:val="000000"/>
                <w:sz w:val="21"/>
                <w:szCs w:val="21"/>
              </w:rPr>
            </w:pPr>
          </w:p>
        </w:tc>
        <w:tc>
          <w:tcPr>
            <w:tcW w:w="974" w:type="dxa"/>
            <w:vAlign w:val="center"/>
          </w:tcPr>
          <w:p>
            <w:pPr>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44" w:type="dxa"/>
            <w:vAlign w:val="center"/>
          </w:tcPr>
          <w:p>
            <w:pPr>
              <w:jc w:val="center"/>
              <w:rPr>
                <w:color w:val="000000"/>
              </w:rPr>
            </w:pPr>
            <w:r>
              <w:rPr>
                <w:rFonts w:hint="eastAsia"/>
                <w:color w:val="000000"/>
              </w:rPr>
              <w:t>2</w:t>
            </w:r>
          </w:p>
          <w:p>
            <w:pPr>
              <w:pStyle w:val="2"/>
              <w:rPr>
                <w:color w:val="000000"/>
              </w:rPr>
            </w:pPr>
          </w:p>
        </w:tc>
        <w:tc>
          <w:tcPr>
            <w:tcW w:w="2334" w:type="dxa"/>
            <w:vAlign w:val="center"/>
          </w:tcPr>
          <w:p>
            <w:pPr>
              <w:jc w:val="center"/>
              <w:rPr>
                <w:rFonts w:ascii="宋体" w:hAnsi="宋体" w:cs="宋体"/>
                <w:color w:val="000000"/>
                <w:sz w:val="21"/>
                <w:szCs w:val="21"/>
              </w:rPr>
            </w:pPr>
          </w:p>
        </w:tc>
        <w:tc>
          <w:tcPr>
            <w:tcW w:w="1842" w:type="dxa"/>
            <w:vAlign w:val="center"/>
          </w:tcPr>
          <w:p>
            <w:pPr>
              <w:jc w:val="center"/>
              <w:rPr>
                <w:rFonts w:ascii="宋体" w:hAnsi="宋体" w:cs="宋体"/>
                <w:color w:val="000000"/>
                <w:sz w:val="21"/>
                <w:szCs w:val="21"/>
              </w:rPr>
            </w:pPr>
          </w:p>
        </w:tc>
        <w:tc>
          <w:tcPr>
            <w:tcW w:w="1623" w:type="dxa"/>
            <w:vAlign w:val="center"/>
          </w:tcPr>
          <w:p>
            <w:pPr>
              <w:jc w:val="center"/>
              <w:rPr>
                <w:rFonts w:ascii="宋体" w:hAnsi="宋体" w:cs="宋体"/>
                <w:color w:val="000000"/>
                <w:sz w:val="21"/>
                <w:szCs w:val="21"/>
              </w:rPr>
            </w:pPr>
          </w:p>
        </w:tc>
        <w:tc>
          <w:tcPr>
            <w:tcW w:w="2205" w:type="dxa"/>
            <w:vAlign w:val="center"/>
          </w:tcPr>
          <w:p>
            <w:pPr>
              <w:jc w:val="center"/>
              <w:rPr>
                <w:rFonts w:ascii="宋体" w:hAnsi="宋体" w:cs="宋体"/>
                <w:color w:val="000000"/>
                <w:sz w:val="21"/>
                <w:szCs w:val="21"/>
              </w:rPr>
            </w:pPr>
          </w:p>
        </w:tc>
        <w:tc>
          <w:tcPr>
            <w:tcW w:w="974" w:type="dxa"/>
            <w:vAlign w:val="center"/>
          </w:tcPr>
          <w:p>
            <w:pPr>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44" w:type="dxa"/>
            <w:vAlign w:val="center"/>
          </w:tcPr>
          <w:p>
            <w:pPr>
              <w:pStyle w:val="2"/>
              <w:rPr>
                <w:color w:val="000000"/>
              </w:rPr>
            </w:pPr>
            <w:r>
              <w:rPr>
                <w:rFonts w:hint="eastAsia"/>
                <w:color w:val="000000"/>
              </w:rPr>
              <w:t>....</w:t>
            </w:r>
          </w:p>
        </w:tc>
        <w:tc>
          <w:tcPr>
            <w:tcW w:w="2334" w:type="dxa"/>
            <w:vAlign w:val="center"/>
          </w:tcPr>
          <w:p>
            <w:pPr>
              <w:jc w:val="center"/>
              <w:rPr>
                <w:rFonts w:ascii="宋体" w:hAnsi="宋体" w:cs="宋体"/>
                <w:color w:val="000000"/>
                <w:sz w:val="21"/>
                <w:szCs w:val="21"/>
              </w:rPr>
            </w:pPr>
          </w:p>
        </w:tc>
        <w:tc>
          <w:tcPr>
            <w:tcW w:w="1842" w:type="dxa"/>
            <w:vAlign w:val="center"/>
          </w:tcPr>
          <w:p>
            <w:pPr>
              <w:jc w:val="center"/>
              <w:rPr>
                <w:rFonts w:ascii="宋体" w:hAnsi="宋体" w:cs="宋体"/>
                <w:color w:val="000000"/>
                <w:sz w:val="21"/>
                <w:szCs w:val="21"/>
              </w:rPr>
            </w:pPr>
          </w:p>
        </w:tc>
        <w:tc>
          <w:tcPr>
            <w:tcW w:w="1623" w:type="dxa"/>
            <w:vAlign w:val="center"/>
          </w:tcPr>
          <w:p>
            <w:pPr>
              <w:jc w:val="center"/>
              <w:rPr>
                <w:rFonts w:ascii="宋体" w:hAnsi="宋体" w:cs="宋体"/>
                <w:color w:val="000000"/>
                <w:sz w:val="21"/>
                <w:szCs w:val="21"/>
              </w:rPr>
            </w:pPr>
          </w:p>
        </w:tc>
        <w:tc>
          <w:tcPr>
            <w:tcW w:w="2205" w:type="dxa"/>
            <w:vAlign w:val="center"/>
          </w:tcPr>
          <w:p>
            <w:pPr>
              <w:jc w:val="center"/>
              <w:rPr>
                <w:rFonts w:ascii="宋体" w:hAnsi="宋体" w:cs="宋体"/>
                <w:color w:val="000000"/>
                <w:sz w:val="21"/>
                <w:szCs w:val="21"/>
              </w:rPr>
            </w:pPr>
          </w:p>
        </w:tc>
        <w:tc>
          <w:tcPr>
            <w:tcW w:w="974" w:type="dxa"/>
            <w:vAlign w:val="center"/>
          </w:tcPr>
          <w:p>
            <w:pPr>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44" w:type="dxa"/>
            <w:vAlign w:val="center"/>
          </w:tcPr>
          <w:p>
            <w:pPr>
              <w:rPr>
                <w:rFonts w:ascii="宋体" w:hAnsi="宋体" w:cs="宋体"/>
                <w:color w:val="000000"/>
                <w:sz w:val="21"/>
                <w:szCs w:val="21"/>
              </w:rPr>
            </w:pPr>
            <w:r>
              <w:rPr>
                <w:rFonts w:hint="eastAsia" w:ascii="宋体" w:hAnsi="宋体" w:cs="宋体"/>
                <w:color w:val="000000"/>
                <w:sz w:val="21"/>
                <w:szCs w:val="21"/>
              </w:rPr>
              <w:t>合计</w:t>
            </w:r>
          </w:p>
        </w:tc>
        <w:tc>
          <w:tcPr>
            <w:tcW w:w="2334" w:type="dxa"/>
            <w:vAlign w:val="center"/>
          </w:tcPr>
          <w:p>
            <w:pPr>
              <w:jc w:val="center"/>
              <w:rPr>
                <w:rFonts w:ascii="宋体" w:hAnsi="宋体" w:cs="宋体"/>
                <w:color w:val="000000"/>
                <w:sz w:val="21"/>
                <w:szCs w:val="21"/>
              </w:rPr>
            </w:pPr>
          </w:p>
        </w:tc>
        <w:tc>
          <w:tcPr>
            <w:tcW w:w="1842" w:type="dxa"/>
            <w:vAlign w:val="center"/>
          </w:tcPr>
          <w:p>
            <w:pPr>
              <w:jc w:val="center"/>
              <w:rPr>
                <w:rFonts w:ascii="宋体" w:hAnsi="宋体" w:cs="宋体"/>
                <w:color w:val="000000"/>
                <w:sz w:val="21"/>
                <w:szCs w:val="21"/>
              </w:rPr>
            </w:pPr>
          </w:p>
        </w:tc>
        <w:tc>
          <w:tcPr>
            <w:tcW w:w="1623" w:type="dxa"/>
            <w:vAlign w:val="center"/>
          </w:tcPr>
          <w:p>
            <w:pPr>
              <w:jc w:val="center"/>
              <w:rPr>
                <w:rFonts w:ascii="宋体" w:hAnsi="宋体" w:cs="宋体"/>
                <w:color w:val="000000"/>
                <w:sz w:val="21"/>
                <w:szCs w:val="21"/>
              </w:rPr>
            </w:pPr>
          </w:p>
        </w:tc>
        <w:tc>
          <w:tcPr>
            <w:tcW w:w="2205" w:type="dxa"/>
            <w:vAlign w:val="center"/>
          </w:tcPr>
          <w:p>
            <w:pPr>
              <w:jc w:val="center"/>
              <w:rPr>
                <w:rFonts w:ascii="宋体" w:hAnsi="宋体" w:cs="宋体"/>
                <w:color w:val="000000"/>
                <w:sz w:val="21"/>
                <w:szCs w:val="21"/>
              </w:rPr>
            </w:pPr>
          </w:p>
        </w:tc>
        <w:tc>
          <w:tcPr>
            <w:tcW w:w="974" w:type="dxa"/>
            <w:vAlign w:val="center"/>
          </w:tcPr>
          <w:p>
            <w:pPr>
              <w:jc w:val="center"/>
              <w:rPr>
                <w:rFonts w:ascii="宋体" w:hAnsi="宋体" w:cs="宋体"/>
                <w:color w:val="000000"/>
                <w:sz w:val="21"/>
                <w:szCs w:val="21"/>
              </w:rPr>
            </w:pPr>
          </w:p>
        </w:tc>
      </w:tr>
    </w:tbl>
    <w:p>
      <w:pPr>
        <w:tabs>
          <w:tab w:val="left" w:pos="219"/>
        </w:tabs>
        <w:adjustRightInd w:val="0"/>
        <w:snapToGrid w:val="0"/>
        <w:spacing w:line="360" w:lineRule="auto"/>
        <w:ind w:firstLine="482" w:firstLineChars="200"/>
        <w:rPr>
          <w:rFonts w:ascii="宋体" w:hAnsi="宋体"/>
          <w:color w:val="000000"/>
        </w:rPr>
      </w:pPr>
      <w:r>
        <w:rPr>
          <w:rFonts w:hint="eastAsia" w:ascii="宋体" w:hAnsi="宋体"/>
          <w:b/>
          <w:bCs/>
          <w:color w:val="000000"/>
        </w:rPr>
        <w:t>第一条</w:t>
      </w:r>
      <w:r>
        <w:rPr>
          <w:rFonts w:ascii="宋体" w:hAnsi="宋体"/>
          <w:b/>
          <w:bCs/>
          <w:color w:val="000000"/>
        </w:rPr>
        <w:t xml:space="preserve">  合同标的   </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乙方根据甲方需求提供下列货物：</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货物名称、规格及数量详见“供货一览表”。</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第二条</w:t>
      </w:r>
      <w:r>
        <w:rPr>
          <w:rFonts w:ascii="宋体" w:hAnsi="宋体"/>
          <w:b/>
          <w:bCs/>
          <w:color w:val="000000"/>
        </w:rPr>
        <w:t xml:space="preserve">  合同总价款    </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本合同总价款为××××（大写）人民币××××。</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本合同总价款是包括所有货物的供货、运输、保险、卸货、安装到位、调试、验收、培训、保修、管理费、服务</w:t>
      </w:r>
      <w:r>
        <w:rPr>
          <w:rFonts w:ascii="宋体" w:hAnsi="宋体"/>
          <w:color w:val="000000"/>
        </w:rPr>
        <w:t>/售后服务、利润、税金等所有费用，报价是所有货物在使用现场安装调试完毕经验收合格后交货的固定不变价格。</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第三条</w:t>
      </w:r>
      <w:r>
        <w:rPr>
          <w:rFonts w:ascii="宋体" w:hAnsi="宋体"/>
          <w:b/>
          <w:bCs/>
          <w:color w:val="000000"/>
        </w:rPr>
        <w:t xml:space="preserve">  组成本合同的有关文件   </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下列关于蒲江县气象局大气负氧离子自动监测系统采购项目的采购、响应文件或与本次采购活动方式相适应的文件及有关附件是本合同不可分割的组成部分，与本合同具有同等法律效力，这些文件包括但不限于：</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w:t>
      </w:r>
      <w:r>
        <w:rPr>
          <w:rFonts w:ascii="宋体" w:hAnsi="宋体"/>
          <w:color w:val="000000"/>
        </w:rPr>
        <w:t>1）乙方提供的</w:t>
      </w:r>
      <w:r>
        <w:rPr>
          <w:rFonts w:hint="eastAsia" w:ascii="宋体" w:hAnsi="宋体"/>
          <w:color w:val="000000"/>
        </w:rPr>
        <w:t>响应</w:t>
      </w:r>
      <w:r>
        <w:rPr>
          <w:rFonts w:ascii="宋体" w:hAnsi="宋体"/>
          <w:color w:val="000000"/>
        </w:rPr>
        <w:t>文件；</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w:t>
      </w:r>
      <w:r>
        <w:rPr>
          <w:rFonts w:ascii="宋体" w:hAnsi="宋体"/>
          <w:color w:val="000000"/>
        </w:rPr>
        <w:t>2）货物清单；</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w:t>
      </w:r>
      <w:r>
        <w:rPr>
          <w:rFonts w:ascii="宋体" w:hAnsi="宋体"/>
          <w:color w:val="000000"/>
        </w:rPr>
        <w:t>3）</w:t>
      </w:r>
      <w:r>
        <w:rPr>
          <w:rFonts w:hint="eastAsia" w:ascii="宋体" w:hAnsi="宋体"/>
          <w:color w:val="000000"/>
        </w:rPr>
        <w:t>响应</w:t>
      </w:r>
      <w:r>
        <w:rPr>
          <w:rFonts w:ascii="宋体" w:hAnsi="宋体"/>
          <w:color w:val="000000"/>
        </w:rPr>
        <w:t>货物技术规格偏离表；</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w:t>
      </w:r>
      <w:r>
        <w:rPr>
          <w:rFonts w:ascii="宋体" w:hAnsi="宋体"/>
          <w:color w:val="000000"/>
        </w:rPr>
        <w:t>4）售后服务承诺、产品质保期承诺及实施方案；</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w:t>
      </w:r>
      <w:r>
        <w:rPr>
          <w:rFonts w:ascii="宋体" w:hAnsi="宋体"/>
          <w:color w:val="000000"/>
        </w:rPr>
        <w:t>5）</w:t>
      </w:r>
      <w:r>
        <w:rPr>
          <w:rFonts w:hint="eastAsia" w:ascii="宋体" w:hAnsi="宋体"/>
          <w:color w:val="000000"/>
        </w:rPr>
        <w:t>成交</w:t>
      </w:r>
      <w:r>
        <w:rPr>
          <w:rFonts w:ascii="宋体" w:hAnsi="宋体"/>
          <w:color w:val="000000"/>
        </w:rPr>
        <w:t>通知书；</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w:t>
      </w:r>
      <w:r>
        <w:rPr>
          <w:rFonts w:ascii="宋体" w:hAnsi="宋体"/>
          <w:color w:val="000000"/>
        </w:rPr>
        <w:t>6）甲乙双方商定的其他文件。</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第四条</w:t>
      </w:r>
      <w:r>
        <w:rPr>
          <w:rFonts w:ascii="宋体" w:hAnsi="宋体"/>
          <w:b/>
          <w:bCs/>
          <w:color w:val="000000"/>
        </w:rPr>
        <w:t xml:space="preserve">  </w:t>
      </w:r>
      <w:r>
        <w:rPr>
          <w:rFonts w:hint="eastAsia" w:ascii="宋体" w:hAnsi="宋体"/>
          <w:b/>
          <w:bCs/>
          <w:color w:val="000000"/>
        </w:rPr>
        <w:t>权利保证</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乙方应保证买方在使用该货物或其任何一部分时不受第三方提出侵犯其专利权、版权、商标权或其他权利的起诉。一旦出现侵权，乙方应承担全部责任。</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第五条</w:t>
      </w:r>
      <w:r>
        <w:rPr>
          <w:rFonts w:ascii="宋体" w:hAnsi="宋体"/>
          <w:b/>
          <w:bCs/>
          <w:color w:val="000000"/>
        </w:rPr>
        <w:t xml:space="preserve">  </w:t>
      </w:r>
      <w:r>
        <w:rPr>
          <w:rFonts w:hint="eastAsia" w:ascii="宋体" w:hAnsi="宋体"/>
          <w:b/>
          <w:bCs/>
          <w:color w:val="000000"/>
        </w:rPr>
        <w:t>质量保证</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1、验收合格之日起1年（生产厂家质保期长于1年的，以生产厂家质保期为准）。</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2、乙方所提供的货物的技术规格应与</w:t>
      </w:r>
      <w:r>
        <w:rPr>
          <w:rFonts w:hint="eastAsia" w:ascii="宋体" w:hAnsi="宋体"/>
          <w:color w:val="000000"/>
        </w:rPr>
        <w:t>采购</w:t>
      </w:r>
      <w:r>
        <w:rPr>
          <w:rFonts w:ascii="宋体" w:hAnsi="宋体"/>
          <w:color w:val="000000"/>
        </w:rPr>
        <w:t>文件规定的技术规格相一致；若技术性能无特殊说明，则按国家有关部门最新颁布的标准及规范为准。</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3、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tabs>
          <w:tab w:val="left" w:pos="219"/>
        </w:tabs>
        <w:adjustRightInd w:val="0"/>
        <w:snapToGrid w:val="0"/>
        <w:spacing w:line="360" w:lineRule="auto"/>
        <w:ind w:firstLine="480" w:firstLineChars="200"/>
        <w:rPr>
          <w:iCs/>
          <w:color w:val="000000"/>
        </w:rPr>
      </w:pPr>
      <w:r>
        <w:rPr>
          <w:rFonts w:hint="eastAsia"/>
          <w:iCs/>
          <w:color w:val="000000"/>
        </w:rPr>
        <w:t>4、（采购文件和响应文件中约定的其他质保条款）</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第六条</w:t>
      </w:r>
      <w:r>
        <w:rPr>
          <w:rFonts w:ascii="宋体" w:hAnsi="宋体"/>
          <w:b/>
          <w:bCs/>
          <w:color w:val="000000"/>
        </w:rPr>
        <w:t xml:space="preserve">  </w:t>
      </w:r>
      <w:r>
        <w:rPr>
          <w:rFonts w:hint="eastAsia" w:ascii="宋体" w:hAnsi="宋体"/>
          <w:b/>
          <w:bCs/>
          <w:color w:val="000000"/>
        </w:rPr>
        <w:t>包装要求</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1、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2、每一包装单元内应附详细的装箱单和质量合格凭证。</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第七条</w:t>
      </w:r>
      <w:r>
        <w:rPr>
          <w:rFonts w:ascii="宋体" w:hAnsi="宋体"/>
          <w:b/>
          <w:bCs/>
          <w:color w:val="000000"/>
        </w:rPr>
        <w:t xml:space="preserve">  </w:t>
      </w:r>
      <w:r>
        <w:rPr>
          <w:rFonts w:hint="eastAsia" w:ascii="宋体" w:hAnsi="宋体"/>
          <w:b/>
          <w:bCs/>
          <w:color w:val="000000"/>
        </w:rPr>
        <w:t>交货和验收</w:t>
      </w:r>
    </w:p>
    <w:p>
      <w:pPr>
        <w:spacing w:line="360" w:lineRule="auto"/>
        <w:ind w:firstLine="480" w:firstLineChars="200"/>
        <w:textAlignment w:val="top"/>
        <w:rPr>
          <w:rFonts w:ascii="宋体" w:hAnsi="宋体"/>
          <w:color w:val="000000"/>
        </w:rPr>
      </w:pPr>
      <w:r>
        <w:rPr>
          <w:rFonts w:ascii="宋体" w:hAnsi="宋体"/>
          <w:color w:val="000000"/>
        </w:rPr>
        <w:t>1</w:t>
      </w:r>
      <w:r>
        <w:rPr>
          <w:rFonts w:hint="eastAsia" w:ascii="宋体" w:hAnsi="宋体"/>
          <w:color w:val="000000"/>
        </w:rPr>
        <w:t>、签订合同后10日内完成交货、安装调试并验收。</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2、</w:t>
      </w:r>
      <w:r>
        <w:rPr>
          <w:rFonts w:hint="eastAsia" w:ascii="宋体" w:hAnsi="宋体"/>
          <w:color w:val="000000"/>
          <w:lang w:val="zh-CN"/>
        </w:rPr>
        <w:t>采购人将严格按照政府采购相关法律法规要求以及询价通知书规定的要求和响应文件、合同承诺的内容进行验收。</w:t>
      </w:r>
    </w:p>
    <w:p>
      <w:pPr>
        <w:tabs>
          <w:tab w:val="left" w:pos="219"/>
        </w:tabs>
        <w:adjustRightInd w:val="0"/>
        <w:snapToGrid w:val="0"/>
        <w:spacing w:line="360" w:lineRule="auto"/>
        <w:ind w:firstLine="480" w:firstLineChars="200"/>
        <w:rPr>
          <w:rFonts w:ascii="宋体" w:hAnsi="宋体"/>
          <w:color w:val="000000"/>
          <w:lang w:val="zh-CN"/>
        </w:rPr>
      </w:pPr>
      <w:r>
        <w:rPr>
          <w:rFonts w:hint="eastAsia" w:ascii="宋体" w:hAnsi="宋体"/>
          <w:color w:val="000000"/>
        </w:rPr>
        <w:t>3、</w:t>
      </w:r>
      <w:r>
        <w:rPr>
          <w:rFonts w:hint="eastAsia" w:ascii="宋体" w:hAnsi="宋体"/>
          <w:color w:val="000000"/>
          <w:lang w:val="zh-CN"/>
        </w:rPr>
        <w:t>成交人交货后，采购人自行组织产品验收。验收内容包括：产品经试运行后无故障，可正常使用。若出现任何数量或质量问题，由供应商承担所有责任，同时采购人有权追究投标人的经济和法律责任。</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4、验收标准：按国家有关规定以及采购文件的质量要求和技术指标、成交人的响应文件及承诺与本合同约定标准进行验收；</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5、验收时如发现所交付的货物有不符合询价通知书、响应文件约定及本合同规定之情形者，采购人应做出详尽的现场记录，或由双方签署备忘录，此现场记录或备忘录可用作补充、缺失和更换损坏部件的有效证据，由此产生的时间延误与有关费用由成交人承担，验收期限相应顺延；</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6、如质量验收合格，双方签署质量验收报告；</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7、货物安装完成后日内，采购人无故不进行验收工作并已使用货物的，视同已安装调试完成并验收合格；</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8、成交人应将所提供货物的装箱清单、配件、随机工具、用户使用手册、原厂保修卡等资料交付给甲方；成交人不能完整交付货物及本款规定的单证和工具的，必须负责补齐，否则视为未按合同约定交货。</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第八条</w:t>
      </w:r>
      <w:r>
        <w:rPr>
          <w:rFonts w:ascii="宋体" w:hAnsi="宋体"/>
          <w:b/>
          <w:bCs/>
          <w:color w:val="000000"/>
        </w:rPr>
        <w:t xml:space="preserve">   </w:t>
      </w:r>
      <w:r>
        <w:rPr>
          <w:rFonts w:hint="eastAsia" w:ascii="宋体" w:hAnsi="宋体"/>
          <w:b/>
          <w:bCs/>
          <w:color w:val="000000"/>
        </w:rPr>
        <w:t>货款支付</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1、本合同项下所有款项均以人民币支付。</w:t>
      </w:r>
    </w:p>
    <w:p>
      <w:pPr>
        <w:spacing w:line="360" w:lineRule="auto"/>
        <w:ind w:firstLine="480" w:firstLineChars="200"/>
        <w:textAlignment w:val="baseline"/>
        <w:rPr>
          <w:rFonts w:ascii="宋体" w:hAnsi="宋体"/>
          <w:color w:val="000000"/>
        </w:rPr>
      </w:pPr>
      <w:r>
        <w:rPr>
          <w:rFonts w:ascii="宋体" w:hAnsi="宋体"/>
          <w:color w:val="000000"/>
        </w:rPr>
        <w:t>2、付款方式:合同签订后支付合同总额30%作为预付款，所有设备配备到位并安装调试</w:t>
      </w:r>
      <w:r>
        <w:rPr>
          <w:rFonts w:hint="eastAsia" w:ascii="宋体" w:hAnsi="宋体"/>
          <w:color w:val="000000"/>
        </w:rPr>
        <w:t>，</w:t>
      </w:r>
      <w:r>
        <w:rPr>
          <w:rFonts w:ascii="宋体" w:hAnsi="宋体"/>
          <w:color w:val="000000"/>
        </w:rPr>
        <w:t>并经采购方验收合格后，支付合同总额65%，剩下5%，1年的免费保养维修期满后支付。</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第九条　售后服务</w:t>
      </w:r>
    </w:p>
    <w:p>
      <w:pPr>
        <w:tabs>
          <w:tab w:val="left" w:pos="219"/>
        </w:tabs>
        <w:adjustRightInd w:val="0"/>
        <w:snapToGrid w:val="0"/>
        <w:spacing w:line="360" w:lineRule="auto"/>
        <w:ind w:firstLine="480" w:firstLineChars="200"/>
        <w:rPr>
          <w:rFonts w:ascii="宋体" w:hAnsi="宋体"/>
          <w:iCs/>
          <w:color w:val="000000"/>
        </w:rPr>
      </w:pPr>
      <w:r>
        <w:rPr>
          <w:rFonts w:hint="eastAsia" w:ascii="宋体" w:hAnsi="宋体"/>
          <w:iCs/>
          <w:color w:val="000000"/>
        </w:rPr>
        <w:t>（根据响应文件具体情况拟定本条款）</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第十条　违约责任</w:t>
      </w:r>
    </w:p>
    <w:p>
      <w:pPr>
        <w:spacing w:line="360" w:lineRule="auto"/>
        <w:ind w:firstLine="480" w:firstLineChars="200"/>
        <w:textAlignment w:val="top"/>
        <w:rPr>
          <w:rFonts w:ascii="宋体" w:hAnsi="宋体"/>
          <w:color w:val="000000"/>
        </w:rPr>
      </w:pPr>
      <w:r>
        <w:rPr>
          <w:rFonts w:hint="eastAsia" w:ascii="宋体" w:hAnsi="宋体"/>
          <w:color w:val="000000"/>
        </w:rPr>
        <w:t>1、采购人违约责任</w:t>
      </w:r>
    </w:p>
    <w:p>
      <w:pPr>
        <w:spacing w:line="360" w:lineRule="auto"/>
        <w:ind w:firstLine="480" w:firstLineChars="200"/>
        <w:textAlignment w:val="top"/>
        <w:rPr>
          <w:rFonts w:ascii="宋体" w:hAnsi="宋体"/>
          <w:color w:val="000000"/>
        </w:rPr>
      </w:pPr>
      <w:r>
        <w:rPr>
          <w:rFonts w:hint="eastAsia" w:ascii="宋体" w:hAnsi="宋体"/>
          <w:color w:val="000000"/>
        </w:rPr>
        <w:t>（1）采购人无正当理由拒收货物的，采购人应偿付合同总价百分之五的违约金；</w:t>
      </w:r>
    </w:p>
    <w:p>
      <w:pPr>
        <w:spacing w:line="360" w:lineRule="auto"/>
        <w:ind w:firstLine="480" w:firstLineChars="200"/>
        <w:textAlignment w:val="top"/>
        <w:rPr>
          <w:rFonts w:ascii="宋体" w:hAnsi="宋体"/>
          <w:color w:val="000000"/>
        </w:rPr>
      </w:pPr>
      <w:r>
        <w:rPr>
          <w:rFonts w:hint="eastAsia" w:ascii="宋体" w:hAnsi="宋体"/>
          <w:color w:val="000000"/>
        </w:rPr>
        <w:t>（2）因采购人原因逾期支付货款的，除应及时付足货款外，应向成交人偿付欠款总额万分之十/天的违约金；逾期付款超过 30天的，成交人有权终止合同；</w:t>
      </w:r>
    </w:p>
    <w:p>
      <w:pPr>
        <w:spacing w:line="360" w:lineRule="auto"/>
        <w:ind w:firstLine="480" w:firstLineChars="200"/>
        <w:textAlignment w:val="top"/>
        <w:rPr>
          <w:rFonts w:ascii="宋体" w:hAnsi="宋体"/>
          <w:color w:val="000000"/>
        </w:rPr>
      </w:pPr>
      <w:r>
        <w:rPr>
          <w:rFonts w:hint="eastAsia" w:ascii="宋体" w:hAnsi="宋体"/>
          <w:color w:val="000000"/>
        </w:rPr>
        <w:t>2、成交供应商违约责任</w:t>
      </w:r>
    </w:p>
    <w:p>
      <w:pPr>
        <w:spacing w:line="360" w:lineRule="auto"/>
        <w:ind w:firstLine="480" w:firstLineChars="200"/>
        <w:textAlignment w:val="top"/>
        <w:rPr>
          <w:rFonts w:ascii="宋体" w:hAnsi="宋体"/>
          <w:color w:val="000000"/>
        </w:rPr>
      </w:pPr>
      <w:r>
        <w:rPr>
          <w:rFonts w:hint="eastAsia" w:ascii="宋体" w:hAnsi="宋体"/>
          <w:color w:val="000000"/>
        </w:rPr>
        <w:t>（1）成交人交付的货物质量不符合合同规定的，成交人应向采购人支付合同总价的百分之五的违约金，并须在合同规定的交货时间内更换合格的货物给采购人，否则，视作成交人不能交付货物而违约，按本条本款下述第“（2）”项规定由成交人偿付违约赔偿金给采购人。</w:t>
      </w:r>
    </w:p>
    <w:p>
      <w:pPr>
        <w:spacing w:line="360" w:lineRule="auto"/>
        <w:ind w:firstLine="480" w:firstLineChars="200"/>
        <w:textAlignment w:val="top"/>
        <w:rPr>
          <w:rFonts w:ascii="宋体" w:hAnsi="宋体"/>
          <w:color w:val="000000"/>
        </w:rPr>
      </w:pPr>
      <w:r>
        <w:rPr>
          <w:rFonts w:hint="eastAsia" w:ascii="宋体" w:hAnsi="宋体"/>
          <w:color w:val="000000"/>
        </w:rPr>
        <w:t>（2）成交人不能交付货物或逾期交付货物而违约的，除应及时交足货物外，应向采购人偿付逾期交货部分货款总额的万分之十/天的违约金；逾期交货或未能按时完工超过30 天，采购人有权终止合同，成交人则应按合同总价的百分之五的款额向采购人偿付赔偿金，并须全额退还采购人已经付给成交人的货款及其利息。</w:t>
      </w:r>
    </w:p>
    <w:p>
      <w:pPr>
        <w:spacing w:line="360" w:lineRule="auto"/>
        <w:ind w:firstLine="480" w:firstLineChars="200"/>
        <w:textAlignment w:val="top"/>
        <w:rPr>
          <w:rFonts w:ascii="宋体" w:hAnsi="宋体"/>
          <w:color w:val="000000"/>
        </w:rPr>
      </w:pPr>
      <w:r>
        <w:rPr>
          <w:rFonts w:hint="eastAsia" w:ascii="宋体" w:hAnsi="宋体"/>
          <w:color w:val="000000"/>
        </w:rPr>
        <w:t>（3）成交人保证本合同货物的权利无瑕疵，包括货物所有权及知识产权等权利无瑕疵。如任何第三方经法院（或仲裁机构）裁决有权对上述货物主张权利或国家机关依法对货物进行没收查处的，成交人除应向采购人返还已收款项外，还应另按合同总价的百分之五向采购人支付违约金并赔偿因此给采购人造成的一切损失。</w:t>
      </w:r>
    </w:p>
    <w:p>
      <w:pPr>
        <w:spacing w:line="360" w:lineRule="auto"/>
        <w:ind w:firstLine="480" w:firstLineChars="200"/>
        <w:textAlignment w:val="top"/>
        <w:rPr>
          <w:rFonts w:ascii="宋体" w:hAnsi="宋体"/>
          <w:color w:val="000000"/>
        </w:rPr>
      </w:pPr>
      <w:r>
        <w:rPr>
          <w:rFonts w:hint="eastAsia" w:ascii="宋体" w:hAnsi="宋体"/>
          <w:color w:val="000000"/>
        </w:rPr>
        <w:t>（4）成交人偿付的违约金不足以弥补采购人损失的，还应按采购人损失尚未弥补的部分，支付赔偿金给采购人。</w:t>
      </w:r>
    </w:p>
    <w:p>
      <w:pPr>
        <w:spacing w:line="360" w:lineRule="auto"/>
        <w:ind w:firstLine="480" w:firstLineChars="200"/>
        <w:textAlignment w:val="top"/>
        <w:rPr>
          <w:rFonts w:ascii="宋体" w:hAnsi="宋体"/>
          <w:color w:val="000000"/>
        </w:rPr>
      </w:pPr>
      <w:r>
        <w:rPr>
          <w:rFonts w:hint="eastAsia" w:ascii="宋体" w:hAnsi="宋体"/>
          <w:color w:val="000000"/>
        </w:rPr>
        <w:t>（5）如货物经成交人2次维修仍不能达到合同约定的质量标准，采购人有权退货，并视作成交人不能交付货物而须支付违约赔偿金给甲方，采购人还可依法追究投标人的违约责任。</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第十三条　合同的变更和终止</w:t>
      </w:r>
    </w:p>
    <w:p>
      <w:pPr>
        <w:tabs>
          <w:tab w:val="left" w:pos="219"/>
        </w:tabs>
        <w:adjustRightInd w:val="0"/>
        <w:snapToGrid w:val="0"/>
        <w:spacing w:line="360" w:lineRule="auto"/>
        <w:ind w:firstLine="480" w:firstLineChars="200"/>
        <w:rPr>
          <w:rFonts w:ascii="宋体" w:hAnsi="宋体"/>
          <w:color w:val="000000"/>
        </w:rPr>
      </w:pPr>
      <w:bookmarkStart w:id="169" w:name="_Hlk25397532"/>
      <w:r>
        <w:rPr>
          <w:rFonts w:hint="eastAsia" w:ascii="宋体" w:hAnsi="宋体"/>
          <w:color w:val="000000"/>
        </w:rPr>
        <w:t>除《政府采购法》第49条、第50条第二款规定的情形外，本合同一经签订，甲乙双方不得擅自变更、中止或终止合同。</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若本合同继续履行将损害国家利益和社会公共利益的，双方当事人应当变更、中止或者终止合同。有过错的一方应当承担赔偿责任，双方都有过错的，各自承担相应的责任。</w:t>
      </w:r>
    </w:p>
    <w:bookmarkEnd w:id="169"/>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第十四条　合同的转让</w:t>
      </w:r>
    </w:p>
    <w:p>
      <w:pPr>
        <w:tabs>
          <w:tab w:val="left" w:pos="219"/>
        </w:tabs>
        <w:adjustRightInd w:val="0"/>
        <w:snapToGrid w:val="0"/>
        <w:spacing w:line="360" w:lineRule="auto"/>
        <w:ind w:firstLine="480" w:firstLineChars="200"/>
        <w:rPr>
          <w:rFonts w:ascii="宋体" w:hAnsi="宋体"/>
          <w:color w:val="000000"/>
        </w:rPr>
      </w:pPr>
      <w:r>
        <w:rPr>
          <w:rFonts w:hint="eastAsia" w:ascii="宋体" w:hAnsi="宋体"/>
          <w:color w:val="000000"/>
        </w:rPr>
        <w:t>乙方不得擅自部分或全部转让其应履行的合同义务。</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第十五条</w:t>
      </w:r>
      <w:r>
        <w:rPr>
          <w:rFonts w:ascii="宋体" w:hAnsi="宋体"/>
          <w:b/>
          <w:bCs/>
          <w:color w:val="000000"/>
        </w:rPr>
        <w:t xml:space="preserve">  </w:t>
      </w:r>
      <w:r>
        <w:rPr>
          <w:rFonts w:hint="eastAsia" w:ascii="宋体" w:hAnsi="宋体"/>
          <w:b/>
          <w:bCs/>
          <w:color w:val="000000"/>
        </w:rPr>
        <w:t>争议的解决</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1</w:t>
      </w:r>
      <w:r>
        <w:rPr>
          <w:rFonts w:hint="eastAsia" w:ascii="宋体" w:hAnsi="宋体"/>
          <w:color w:val="000000"/>
        </w:rPr>
        <w:t>、因货物或施工的质量问题发生争议，由具有法定资格条件的质量技术监督机构进行质量鉴定，鉴定费由乙方先行垫付。货物符合标准的，鉴定费由甲方承担；货物不符合质量标准的，鉴定费由乙方承担。</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2、因履行本合同引起的或与本合同有关的争议，甲、乙双方应首先通过友好协商解决，如果协商不能解决争议，则向甲方所在地有管辖权的人民法院提起诉讼。</w:t>
      </w:r>
    </w:p>
    <w:p>
      <w:pPr>
        <w:tabs>
          <w:tab w:val="left" w:pos="219"/>
        </w:tabs>
        <w:adjustRightInd w:val="0"/>
        <w:snapToGrid w:val="0"/>
        <w:spacing w:line="360" w:lineRule="auto"/>
        <w:ind w:firstLine="482" w:firstLineChars="200"/>
        <w:rPr>
          <w:rFonts w:ascii="宋体" w:hAnsi="宋体"/>
          <w:b/>
          <w:bCs/>
          <w:color w:val="000000"/>
        </w:rPr>
      </w:pPr>
      <w:r>
        <w:rPr>
          <w:rFonts w:hint="eastAsia" w:ascii="宋体" w:hAnsi="宋体"/>
          <w:b/>
          <w:bCs/>
          <w:color w:val="000000"/>
        </w:rPr>
        <w:t>第十六条</w:t>
      </w:r>
      <w:r>
        <w:rPr>
          <w:rFonts w:ascii="宋体" w:hAnsi="宋体"/>
          <w:b/>
          <w:bCs/>
          <w:color w:val="000000"/>
        </w:rPr>
        <w:t xml:space="preserve">   </w:t>
      </w:r>
      <w:r>
        <w:rPr>
          <w:rFonts w:hint="eastAsia" w:ascii="宋体" w:hAnsi="宋体"/>
          <w:b/>
          <w:bCs/>
          <w:color w:val="000000"/>
        </w:rPr>
        <w:t>合同生效及其他</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1、</w:t>
      </w:r>
      <w:r>
        <w:rPr>
          <w:rFonts w:hint="eastAsia" w:ascii="宋体" w:hAnsi="宋体"/>
          <w:color w:val="000000"/>
        </w:rPr>
        <w:t>合同经双方法定代表人或授权委托代理人签字并加盖单位公章后生效。</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2、</w:t>
      </w:r>
      <w:r>
        <w:rPr>
          <w:rFonts w:hint="eastAsia" w:ascii="宋体" w:hAnsi="宋体"/>
          <w:color w:val="000000"/>
        </w:rPr>
        <w:t>合同共计六份。甲方四份，乙方一份，县财政局备案一份，具有同等法律效力。</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3、本合同应按照中华人民共和国的现行法律进行解释。</w:t>
      </w:r>
    </w:p>
    <w:p>
      <w:pPr>
        <w:tabs>
          <w:tab w:val="left" w:pos="219"/>
        </w:tabs>
        <w:adjustRightInd w:val="0"/>
        <w:snapToGrid w:val="0"/>
        <w:spacing w:line="360" w:lineRule="auto"/>
        <w:ind w:firstLine="480" w:firstLineChars="200"/>
        <w:rPr>
          <w:rFonts w:ascii="宋体" w:hAnsi="宋体"/>
          <w:color w:val="000000"/>
        </w:rPr>
      </w:pPr>
      <w:r>
        <w:rPr>
          <w:rFonts w:ascii="宋体" w:hAnsi="宋体"/>
          <w:color w:val="000000"/>
        </w:rPr>
        <w:t>4、</w:t>
      </w:r>
      <w:r>
        <w:rPr>
          <w:rFonts w:hint="eastAsia" w:ascii="宋体" w:hAnsi="宋体"/>
          <w:color w:val="000000"/>
        </w:rPr>
        <w:t>如有未尽事宜，由双方依法订立补充合同。</w:t>
      </w:r>
    </w:p>
    <w:p>
      <w:pPr>
        <w:tabs>
          <w:tab w:val="left" w:pos="219"/>
        </w:tabs>
        <w:adjustRightInd w:val="0"/>
        <w:snapToGrid w:val="0"/>
        <w:spacing w:line="360" w:lineRule="auto"/>
        <w:rPr>
          <w:rFonts w:ascii="宋体" w:hAnsi="宋体"/>
          <w:color w:val="000000"/>
        </w:rPr>
      </w:pPr>
      <w:r>
        <w:rPr>
          <w:rFonts w:hint="eastAsia" w:ascii="宋体" w:hAnsi="宋体"/>
          <w:color w:val="000000"/>
        </w:rPr>
        <w:t>（以下无正文）</w:t>
      </w:r>
    </w:p>
    <w:p>
      <w:pPr>
        <w:tabs>
          <w:tab w:val="left" w:pos="219"/>
        </w:tabs>
        <w:adjustRightInd w:val="0"/>
        <w:snapToGrid w:val="0"/>
        <w:spacing w:line="360" w:lineRule="auto"/>
        <w:rPr>
          <w:rFonts w:ascii="宋体" w:hAnsi="宋体"/>
          <w:color w:val="000000"/>
        </w:rPr>
      </w:pPr>
      <w:r>
        <w:rPr>
          <w:rFonts w:hint="eastAsia" w:ascii="宋体" w:hAnsi="宋体"/>
          <w:color w:val="000000"/>
        </w:rPr>
        <w:t>甲方：</w:t>
      </w:r>
      <w:r>
        <w:rPr>
          <w:rFonts w:ascii="宋体" w:hAnsi="宋体"/>
          <w:color w:val="000000"/>
        </w:rPr>
        <w:t xml:space="preserve">   </w:t>
      </w:r>
      <w:r>
        <w:rPr>
          <w:rFonts w:hint="eastAsia" w:ascii="宋体" w:hAnsi="宋体"/>
          <w:color w:val="000000"/>
        </w:rPr>
        <w:t>（盖章）</w:t>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 xml:space="preserve">               乙方：（盖章）</w:t>
      </w:r>
    </w:p>
    <w:p>
      <w:pPr>
        <w:tabs>
          <w:tab w:val="left" w:pos="219"/>
        </w:tabs>
        <w:adjustRightInd w:val="0"/>
        <w:snapToGrid w:val="0"/>
        <w:spacing w:line="360" w:lineRule="auto"/>
        <w:rPr>
          <w:rFonts w:ascii="宋体" w:hAnsi="宋体"/>
          <w:color w:val="000000"/>
        </w:rPr>
      </w:pPr>
      <w:r>
        <w:rPr>
          <w:rFonts w:hint="eastAsia" w:ascii="宋体" w:hAnsi="宋体"/>
          <w:color w:val="000000"/>
        </w:rPr>
        <w:t xml:space="preserve">法定代表人（授权代表）： </w:t>
      </w:r>
      <w:r>
        <w:rPr>
          <w:rFonts w:ascii="宋体" w:hAnsi="宋体"/>
          <w:color w:val="000000"/>
        </w:rPr>
        <w:t xml:space="preserve">               </w:t>
      </w:r>
      <w:r>
        <w:rPr>
          <w:rFonts w:hint="eastAsia" w:ascii="宋体" w:hAnsi="宋体"/>
          <w:color w:val="000000"/>
        </w:rPr>
        <w:t>法定代表人（授权代表）：</w:t>
      </w:r>
    </w:p>
    <w:p>
      <w:pPr>
        <w:tabs>
          <w:tab w:val="left" w:pos="219"/>
        </w:tabs>
        <w:adjustRightInd w:val="0"/>
        <w:snapToGrid w:val="0"/>
        <w:spacing w:line="360" w:lineRule="auto"/>
        <w:rPr>
          <w:rFonts w:ascii="宋体" w:hAnsi="宋体"/>
          <w:color w:val="000000"/>
        </w:rPr>
      </w:pPr>
      <w:r>
        <w:rPr>
          <w:rFonts w:hint="eastAsia" w:ascii="宋体" w:hAnsi="宋体"/>
          <w:color w:val="000000"/>
        </w:rPr>
        <w:t xml:space="preserve">地址： </w:t>
      </w:r>
      <w:r>
        <w:rPr>
          <w:rFonts w:ascii="宋体" w:hAnsi="宋体"/>
          <w:color w:val="000000"/>
        </w:rPr>
        <w:t xml:space="preserve">                                 </w:t>
      </w:r>
      <w:r>
        <w:rPr>
          <w:rFonts w:hint="eastAsia" w:ascii="宋体" w:hAnsi="宋体"/>
          <w:color w:val="000000"/>
        </w:rPr>
        <w:t>地址：</w:t>
      </w:r>
    </w:p>
    <w:p>
      <w:pPr>
        <w:tabs>
          <w:tab w:val="left" w:pos="219"/>
        </w:tabs>
        <w:adjustRightInd w:val="0"/>
        <w:snapToGrid w:val="0"/>
        <w:spacing w:line="360" w:lineRule="auto"/>
        <w:rPr>
          <w:rFonts w:ascii="宋体" w:hAnsi="宋体"/>
          <w:color w:val="000000"/>
        </w:rPr>
      </w:pPr>
      <w:r>
        <w:rPr>
          <w:rFonts w:hint="eastAsia" w:ascii="宋体" w:hAnsi="宋体"/>
          <w:color w:val="000000"/>
        </w:rPr>
        <w:t xml:space="preserve">开户银行： </w:t>
      </w:r>
      <w:r>
        <w:rPr>
          <w:rFonts w:ascii="宋体" w:hAnsi="宋体"/>
          <w:color w:val="000000"/>
        </w:rPr>
        <w:t xml:space="preserve">                             </w:t>
      </w:r>
      <w:r>
        <w:rPr>
          <w:rFonts w:hint="eastAsia" w:ascii="宋体" w:hAnsi="宋体"/>
          <w:color w:val="000000"/>
        </w:rPr>
        <w:t>开户银行：</w:t>
      </w:r>
    </w:p>
    <w:p>
      <w:pPr>
        <w:tabs>
          <w:tab w:val="left" w:pos="219"/>
        </w:tabs>
        <w:adjustRightInd w:val="0"/>
        <w:snapToGrid w:val="0"/>
        <w:spacing w:line="360" w:lineRule="auto"/>
        <w:rPr>
          <w:rFonts w:ascii="宋体" w:hAnsi="宋体"/>
          <w:color w:val="000000"/>
        </w:rPr>
      </w:pPr>
      <w:r>
        <w:rPr>
          <w:rFonts w:hint="eastAsia" w:ascii="宋体" w:hAnsi="宋体"/>
          <w:color w:val="000000"/>
        </w:rPr>
        <w:t xml:space="preserve">账号： </w:t>
      </w:r>
      <w:r>
        <w:rPr>
          <w:rFonts w:ascii="宋体" w:hAnsi="宋体"/>
          <w:color w:val="000000"/>
        </w:rPr>
        <w:t xml:space="preserve">                                 </w:t>
      </w:r>
      <w:r>
        <w:rPr>
          <w:rFonts w:hint="eastAsia" w:ascii="宋体" w:hAnsi="宋体"/>
          <w:color w:val="000000"/>
        </w:rPr>
        <w:t>账号：</w:t>
      </w:r>
    </w:p>
    <w:p>
      <w:pPr>
        <w:tabs>
          <w:tab w:val="left" w:pos="219"/>
        </w:tabs>
        <w:adjustRightInd w:val="0"/>
        <w:snapToGrid w:val="0"/>
        <w:spacing w:line="360" w:lineRule="auto"/>
        <w:rPr>
          <w:rFonts w:ascii="宋体" w:hAnsi="宋体"/>
          <w:color w:val="000000"/>
        </w:rPr>
      </w:pPr>
      <w:r>
        <w:rPr>
          <w:rFonts w:hint="eastAsia" w:ascii="宋体" w:hAnsi="宋体"/>
          <w:color w:val="000000"/>
        </w:rPr>
        <w:t xml:space="preserve">电话： </w:t>
      </w:r>
      <w:r>
        <w:rPr>
          <w:rFonts w:ascii="宋体" w:hAnsi="宋体"/>
          <w:color w:val="000000"/>
        </w:rPr>
        <w:t xml:space="preserve">                                 </w:t>
      </w:r>
      <w:r>
        <w:rPr>
          <w:rFonts w:hint="eastAsia" w:ascii="宋体" w:hAnsi="宋体"/>
          <w:color w:val="000000"/>
        </w:rPr>
        <w:t>电话：</w:t>
      </w:r>
    </w:p>
    <w:p>
      <w:pPr>
        <w:tabs>
          <w:tab w:val="left" w:pos="219"/>
        </w:tabs>
        <w:adjustRightInd w:val="0"/>
        <w:snapToGrid w:val="0"/>
        <w:spacing w:line="360" w:lineRule="auto"/>
        <w:rPr>
          <w:rFonts w:ascii="宋体" w:hAnsi="宋体"/>
          <w:color w:val="000000"/>
        </w:rPr>
      </w:pPr>
      <w:r>
        <w:rPr>
          <w:rFonts w:hint="eastAsia" w:ascii="宋体" w:hAnsi="宋体"/>
          <w:color w:val="000000"/>
        </w:rPr>
        <w:t xml:space="preserve">传真： </w:t>
      </w:r>
      <w:r>
        <w:rPr>
          <w:rFonts w:ascii="宋体" w:hAnsi="宋体"/>
          <w:color w:val="000000"/>
        </w:rPr>
        <w:t xml:space="preserve">                                 </w:t>
      </w:r>
      <w:r>
        <w:rPr>
          <w:rFonts w:hint="eastAsia" w:ascii="宋体" w:hAnsi="宋体"/>
          <w:color w:val="000000"/>
        </w:rPr>
        <w:t>传真：</w:t>
      </w:r>
    </w:p>
    <w:p>
      <w:pPr>
        <w:pStyle w:val="2"/>
        <w:spacing w:before="156" w:after="156"/>
        <w:rPr>
          <w:color w:val="000000"/>
        </w:rPr>
      </w:pPr>
      <w:r>
        <w:rPr>
          <w:rFonts w:hint="eastAsia" w:ascii="宋体" w:hAnsi="宋体"/>
          <w:color w:val="000000"/>
        </w:rPr>
        <w:t>签约日期：年月日</w:t>
      </w:r>
      <w:r>
        <w:rPr>
          <w:rFonts w:ascii="宋体" w:hAnsi="宋体"/>
          <w:color w:val="000000"/>
        </w:rPr>
        <w:tab/>
      </w:r>
      <w:r>
        <w:rPr>
          <w:rFonts w:ascii="宋体" w:hAnsi="宋体"/>
          <w:color w:val="000000"/>
        </w:rPr>
        <w:t xml:space="preserve">                       </w:t>
      </w:r>
      <w:r>
        <w:rPr>
          <w:rFonts w:hint="eastAsia" w:ascii="宋体" w:hAnsi="宋体"/>
          <w:color w:val="000000"/>
        </w:rPr>
        <w:t>签约日期：年月日</w:t>
      </w:r>
    </w:p>
    <w:p>
      <w:pPr>
        <w:rPr>
          <w:color w:val="000000"/>
        </w:rPr>
      </w:pPr>
    </w:p>
    <w:p>
      <w:pPr>
        <w:rPr>
          <w:color w:val="000000"/>
        </w:rPr>
      </w:pPr>
    </w:p>
    <w:p>
      <w:pPr>
        <w:rPr>
          <w:rFonts w:ascii="仿宋" w:hAnsi="仿宋" w:eastAsia="仿宋"/>
          <w:color w:val="000000"/>
          <w:sz w:val="30"/>
          <w:szCs w:val="32"/>
        </w:rPr>
      </w:pPr>
      <w:r>
        <w:rPr>
          <w:rFonts w:hint="eastAsia" w:ascii="宋体" w:hAnsi="宋体" w:cs="Tahoma"/>
          <w:b/>
          <w:color w:val="000000"/>
          <w:sz w:val="30"/>
          <w:szCs w:val="30"/>
        </w:rPr>
        <w:t>附件：</w:t>
      </w:r>
    </w:p>
    <w:p>
      <w:pPr>
        <w:rPr>
          <w:rFonts w:ascii="宋体" w:hAnsi="宋体"/>
          <w:sz w:val="28"/>
          <w:szCs w:val="28"/>
        </w:rPr>
      </w:pPr>
    </w:p>
    <w:p>
      <w:pPr>
        <w:rPr>
          <w:rFonts w:ascii="宋体" w:hAnsi="宋体"/>
          <w:sz w:val="28"/>
          <w:szCs w:val="28"/>
        </w:rPr>
      </w:pPr>
      <w:r>
        <w:rPr>
          <w:rFonts w:ascii="Calibri" w:hAnsi="Calibri"/>
          <w:color w:val="000000"/>
          <w:szCs w:val="22"/>
        </w:rPr>
        <w:drawing>
          <wp:inline distT="0" distB="0" distL="114300" distR="114300">
            <wp:extent cx="5934075" cy="8172450"/>
            <wp:effectExtent l="0" t="0" r="9525" b="11430"/>
            <wp:docPr id="26" name="图片 3"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信用融资实施方案 001"/>
                    <pic:cNvPicPr>
                      <a:picLocks noChangeAspect="1"/>
                    </pic:cNvPicPr>
                  </pic:nvPicPr>
                  <pic:blipFill>
                    <a:blip r:embed="rId13"/>
                    <a:stretch>
                      <a:fillRect/>
                    </a:stretch>
                  </pic:blipFill>
                  <pic:spPr>
                    <a:xfrm>
                      <a:off x="0" y="0"/>
                      <a:ext cx="5934075" cy="8172450"/>
                    </a:xfrm>
                    <a:prstGeom prst="rect">
                      <a:avLst/>
                    </a:prstGeom>
                    <a:noFill/>
                    <a:ln>
                      <a:noFill/>
                    </a:ln>
                  </pic:spPr>
                </pic:pic>
              </a:graphicData>
            </a:graphic>
          </wp:inline>
        </w:drawing>
      </w:r>
    </w:p>
    <w:p>
      <w:pPr>
        <w:pStyle w:val="2"/>
      </w:pPr>
    </w:p>
    <w:p>
      <w:r>
        <w:rPr>
          <w:rFonts w:ascii="Calibri" w:hAnsi="Calibri"/>
          <w:color w:val="000000"/>
          <w:szCs w:val="22"/>
        </w:rPr>
        <w:drawing>
          <wp:inline distT="0" distB="0" distL="114300" distR="114300">
            <wp:extent cx="5934075" cy="8172450"/>
            <wp:effectExtent l="0" t="0" r="9525" b="11430"/>
            <wp:docPr id="27" name="图片 4"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信用融资实施方案 002"/>
                    <pic:cNvPicPr>
                      <a:picLocks noChangeAspect="1"/>
                    </pic:cNvPicPr>
                  </pic:nvPicPr>
                  <pic:blipFill>
                    <a:blip r:embed="rId14"/>
                    <a:stretch>
                      <a:fillRect/>
                    </a:stretch>
                  </pic:blipFill>
                  <pic:spPr>
                    <a:xfrm>
                      <a:off x="0" y="0"/>
                      <a:ext cx="5934075" cy="8172450"/>
                    </a:xfrm>
                    <a:prstGeom prst="rect">
                      <a:avLst/>
                    </a:prstGeom>
                    <a:noFill/>
                    <a:ln>
                      <a:noFill/>
                    </a:ln>
                  </pic:spPr>
                </pic:pic>
              </a:graphicData>
            </a:graphic>
          </wp:inline>
        </w:drawing>
      </w:r>
    </w:p>
    <w:p>
      <w:pPr>
        <w:pStyle w:val="2"/>
      </w:pPr>
    </w:p>
    <w:p>
      <w:r>
        <w:rPr>
          <w:rFonts w:ascii="Calibri" w:hAnsi="Calibri"/>
          <w:color w:val="000000"/>
          <w:szCs w:val="22"/>
        </w:rPr>
        <w:drawing>
          <wp:inline distT="0" distB="0" distL="114300" distR="114300">
            <wp:extent cx="5934075" cy="9791700"/>
            <wp:effectExtent l="0" t="0" r="9525" b="7620"/>
            <wp:docPr id="28" name="图片 5"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信用融资实施方案 003"/>
                    <pic:cNvPicPr>
                      <a:picLocks noChangeAspect="1"/>
                    </pic:cNvPicPr>
                  </pic:nvPicPr>
                  <pic:blipFill>
                    <a:blip r:embed="rId15"/>
                    <a:stretch>
                      <a:fillRect/>
                    </a:stretch>
                  </pic:blipFill>
                  <pic:spPr>
                    <a:xfrm>
                      <a:off x="0" y="0"/>
                      <a:ext cx="5934075" cy="9791700"/>
                    </a:xfrm>
                    <a:prstGeom prst="rect">
                      <a:avLst/>
                    </a:prstGeom>
                    <a:noFill/>
                    <a:ln>
                      <a:noFill/>
                    </a:ln>
                  </pic:spPr>
                </pic:pic>
              </a:graphicData>
            </a:graphic>
          </wp:inline>
        </w:drawing>
      </w:r>
    </w:p>
    <w:p>
      <w:pPr>
        <w:pStyle w:val="2"/>
      </w:pPr>
      <w:r>
        <w:rPr>
          <w:rFonts w:ascii="Calibri" w:hAnsi="Calibri"/>
          <w:color w:val="000000"/>
          <w:szCs w:val="22"/>
        </w:rPr>
        <w:drawing>
          <wp:inline distT="0" distB="0" distL="114300" distR="114300">
            <wp:extent cx="5934075" cy="9791700"/>
            <wp:effectExtent l="0" t="0" r="9525" b="7620"/>
            <wp:docPr id="29" name="图片 6"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信用融资实施方案 004"/>
                    <pic:cNvPicPr>
                      <a:picLocks noChangeAspect="1"/>
                    </pic:cNvPicPr>
                  </pic:nvPicPr>
                  <pic:blipFill>
                    <a:blip r:embed="rId16"/>
                    <a:stretch>
                      <a:fillRect/>
                    </a:stretch>
                  </pic:blipFill>
                  <pic:spPr>
                    <a:xfrm>
                      <a:off x="0" y="0"/>
                      <a:ext cx="5934075" cy="9791700"/>
                    </a:xfrm>
                    <a:prstGeom prst="rect">
                      <a:avLst/>
                    </a:prstGeom>
                    <a:noFill/>
                    <a:ln>
                      <a:noFill/>
                    </a:ln>
                  </pic:spPr>
                </pic:pic>
              </a:graphicData>
            </a:graphic>
          </wp:inline>
        </w:drawing>
      </w:r>
    </w:p>
    <w:p/>
    <w:p>
      <w:pPr>
        <w:pStyle w:val="2"/>
      </w:pPr>
      <w:r>
        <w:rPr>
          <w:rFonts w:ascii="Calibri" w:hAnsi="Calibri"/>
          <w:color w:val="000000"/>
          <w:szCs w:val="22"/>
        </w:rPr>
        <w:drawing>
          <wp:inline distT="0" distB="0" distL="114300" distR="114300">
            <wp:extent cx="5934075" cy="9791700"/>
            <wp:effectExtent l="0" t="0" r="9525" b="7620"/>
            <wp:docPr id="30" name="图片 7"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信用融资实施方案 005"/>
                    <pic:cNvPicPr>
                      <a:picLocks noChangeAspect="1"/>
                    </pic:cNvPicPr>
                  </pic:nvPicPr>
                  <pic:blipFill>
                    <a:blip r:embed="rId17"/>
                    <a:stretch>
                      <a:fillRect/>
                    </a:stretch>
                  </pic:blipFill>
                  <pic:spPr>
                    <a:xfrm>
                      <a:off x="0" y="0"/>
                      <a:ext cx="5934075" cy="9791700"/>
                    </a:xfrm>
                    <a:prstGeom prst="rect">
                      <a:avLst/>
                    </a:prstGeom>
                    <a:noFill/>
                    <a:ln>
                      <a:noFill/>
                    </a:ln>
                  </pic:spPr>
                </pic:pic>
              </a:graphicData>
            </a:graphic>
          </wp:inline>
        </w:drawing>
      </w:r>
    </w:p>
    <w:p/>
    <w:p>
      <w:pPr>
        <w:pStyle w:val="2"/>
      </w:pPr>
    </w:p>
    <w:p>
      <w:r>
        <w:rPr>
          <w:rFonts w:ascii="Calibri" w:hAnsi="Calibri"/>
          <w:color w:val="000000"/>
          <w:szCs w:val="22"/>
        </w:rPr>
        <w:drawing>
          <wp:inline distT="0" distB="0" distL="114300" distR="114300">
            <wp:extent cx="5934075" cy="9791700"/>
            <wp:effectExtent l="0" t="0" r="9525" b="7620"/>
            <wp:docPr id="31" name="图片 8"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信用融资实施方案 006"/>
                    <pic:cNvPicPr>
                      <a:picLocks noChangeAspect="1"/>
                    </pic:cNvPicPr>
                  </pic:nvPicPr>
                  <pic:blipFill>
                    <a:blip r:embed="rId18"/>
                    <a:stretch>
                      <a:fillRect/>
                    </a:stretch>
                  </pic:blipFill>
                  <pic:spPr>
                    <a:xfrm>
                      <a:off x="0" y="0"/>
                      <a:ext cx="5934075" cy="9791700"/>
                    </a:xfrm>
                    <a:prstGeom prst="rect">
                      <a:avLst/>
                    </a:prstGeom>
                    <a:noFill/>
                    <a:ln>
                      <a:noFill/>
                    </a:ln>
                  </pic:spPr>
                </pic:pic>
              </a:graphicData>
            </a:graphic>
          </wp:inline>
        </w:drawing>
      </w:r>
    </w:p>
    <w:p>
      <w:pPr>
        <w:pStyle w:val="2"/>
      </w:pPr>
      <w:r>
        <w:rPr>
          <w:rFonts w:ascii="Calibri" w:hAnsi="Calibri"/>
          <w:color w:val="000000"/>
          <w:szCs w:val="22"/>
        </w:rPr>
        <w:drawing>
          <wp:inline distT="0" distB="0" distL="114300" distR="114300">
            <wp:extent cx="5934075" cy="9791700"/>
            <wp:effectExtent l="0" t="0" r="9525" b="7620"/>
            <wp:docPr id="32" name="图片 9"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信用融资实施方案 007"/>
                    <pic:cNvPicPr>
                      <a:picLocks noChangeAspect="1"/>
                    </pic:cNvPicPr>
                  </pic:nvPicPr>
                  <pic:blipFill>
                    <a:blip r:embed="rId19"/>
                    <a:stretch>
                      <a:fillRect/>
                    </a:stretch>
                  </pic:blipFill>
                  <pic:spPr>
                    <a:xfrm>
                      <a:off x="0" y="0"/>
                      <a:ext cx="5934075" cy="9791700"/>
                    </a:xfrm>
                    <a:prstGeom prst="rect">
                      <a:avLst/>
                    </a:prstGeom>
                    <a:noFill/>
                    <a:ln>
                      <a:noFill/>
                    </a:ln>
                  </pic:spPr>
                </pic:pic>
              </a:graphicData>
            </a:graphic>
          </wp:inline>
        </w:drawing>
      </w:r>
    </w:p>
    <w:p/>
    <w:p>
      <w:pPr>
        <w:pStyle w:val="2"/>
      </w:pPr>
      <w:r>
        <w:rPr>
          <w:rFonts w:ascii="Calibri" w:hAnsi="Calibri"/>
          <w:color w:val="000000"/>
          <w:szCs w:val="22"/>
        </w:rPr>
        <w:drawing>
          <wp:inline distT="0" distB="0" distL="114300" distR="114300">
            <wp:extent cx="5934075" cy="9791700"/>
            <wp:effectExtent l="0" t="0" r="9525" b="7620"/>
            <wp:docPr id="33" name="图片 10"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信用融资实施方案 008"/>
                    <pic:cNvPicPr>
                      <a:picLocks noChangeAspect="1"/>
                    </pic:cNvPicPr>
                  </pic:nvPicPr>
                  <pic:blipFill>
                    <a:blip r:embed="rId20"/>
                    <a:stretch>
                      <a:fillRect/>
                    </a:stretch>
                  </pic:blipFill>
                  <pic:spPr>
                    <a:xfrm>
                      <a:off x="0" y="0"/>
                      <a:ext cx="5934075" cy="9791700"/>
                    </a:xfrm>
                    <a:prstGeom prst="rect">
                      <a:avLst/>
                    </a:prstGeom>
                    <a:noFill/>
                    <a:ln>
                      <a:noFill/>
                    </a:ln>
                  </pic:spPr>
                </pic:pic>
              </a:graphicData>
            </a:graphic>
          </wp:inline>
        </w:drawing>
      </w:r>
    </w:p>
    <w:p/>
    <w:p>
      <w:pPr>
        <w:pStyle w:val="2"/>
      </w:pPr>
    </w:p>
    <w:p>
      <w:r>
        <w:rPr>
          <w:rFonts w:ascii="Calibri" w:hAnsi="Calibri"/>
          <w:color w:val="000000"/>
          <w:szCs w:val="22"/>
        </w:rPr>
        <w:drawing>
          <wp:inline distT="0" distB="0" distL="114300" distR="114300">
            <wp:extent cx="4991100" cy="7153275"/>
            <wp:effectExtent l="0" t="0" r="7620" b="9525"/>
            <wp:docPr id="34" name="图片 11" descr="DA7640OOIH`S[ANR9A1{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DA7640OOIH`S[ANR9A1{5PM"/>
                    <pic:cNvPicPr>
                      <a:picLocks noChangeAspect="1"/>
                    </pic:cNvPicPr>
                  </pic:nvPicPr>
                  <pic:blipFill>
                    <a:blip r:embed="rId21"/>
                    <a:stretch>
                      <a:fillRect/>
                    </a:stretch>
                  </pic:blipFill>
                  <pic:spPr>
                    <a:xfrm>
                      <a:off x="0" y="0"/>
                      <a:ext cx="4991100" cy="7153275"/>
                    </a:xfrm>
                    <a:prstGeom prst="rect">
                      <a:avLst/>
                    </a:prstGeom>
                    <a:noFill/>
                    <a:ln>
                      <a:noFill/>
                    </a:ln>
                  </pic:spPr>
                </pic:pic>
              </a:graphicData>
            </a:graphic>
          </wp:inline>
        </w:drawing>
      </w:r>
    </w:p>
    <w:p>
      <w:pPr>
        <w:pStyle w:val="2"/>
      </w:pPr>
    </w:p>
    <w:p/>
    <w:p>
      <w:pPr>
        <w:pStyle w:val="2"/>
      </w:pPr>
    </w:p>
    <w:p>
      <w:pPr>
        <w:pStyle w:val="2"/>
      </w:pPr>
    </w:p>
    <w:p>
      <w:pPr>
        <w:pStyle w:val="2"/>
      </w:pPr>
    </w:p>
    <w:p>
      <w:pPr>
        <w:pStyle w:val="2"/>
      </w:pPr>
    </w:p>
    <w:p>
      <w:pPr>
        <w:pStyle w:val="2"/>
      </w:pPr>
      <w:r>
        <w:rPr>
          <w:rFonts w:ascii="Calibri" w:hAnsi="Calibri"/>
          <w:color w:val="000000"/>
          <w:szCs w:val="22"/>
        </w:rPr>
        <w:drawing>
          <wp:inline distT="0" distB="0" distL="114300" distR="114300">
            <wp:extent cx="5267325" cy="8696325"/>
            <wp:effectExtent l="0" t="0" r="5715" b="5715"/>
            <wp:docPr id="35" name="图片 12" descr="《蒲江县财政局关于公布蒲江县开展政府采购信用融资业务银行名单的通知》（蒲财采[2019]6号）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蒲江县财政局关于公布蒲江县开展政府采购信用融资业务银行名单的通知》（蒲财采[2019]6号）002"/>
                    <pic:cNvPicPr>
                      <a:picLocks noChangeAspect="1"/>
                    </pic:cNvPicPr>
                  </pic:nvPicPr>
                  <pic:blipFill>
                    <a:blip r:embed="rId22"/>
                    <a:stretch>
                      <a:fillRect/>
                    </a:stretch>
                  </pic:blipFill>
                  <pic:spPr>
                    <a:xfrm>
                      <a:off x="0" y="0"/>
                      <a:ext cx="5267325" cy="8696325"/>
                    </a:xfrm>
                    <a:prstGeom prst="rect">
                      <a:avLst/>
                    </a:prstGeom>
                    <a:noFill/>
                    <a:ln>
                      <a:noFill/>
                    </a:ln>
                  </pic:spPr>
                </pic:pic>
              </a:graphicData>
            </a:graphic>
          </wp:inline>
        </w:drawing>
      </w:r>
    </w:p>
    <w:p>
      <w:pPr>
        <w:pStyle w:val="2"/>
      </w:pPr>
    </w:p>
    <w:p>
      <w:pPr>
        <w:pStyle w:val="2"/>
      </w:pPr>
      <w:r>
        <w:rPr>
          <w:rFonts w:ascii="Calibri" w:hAnsi="Calibri"/>
          <w:color w:val="000000"/>
          <w:szCs w:val="22"/>
        </w:rPr>
        <w:drawing>
          <wp:inline distT="0" distB="0" distL="114300" distR="114300">
            <wp:extent cx="5267325" cy="8696325"/>
            <wp:effectExtent l="0" t="0" r="5715" b="5715"/>
            <wp:docPr id="36" name="图片 13" descr="《蒲江县财政局关于公布蒲江县开展政府采购信用融资业务银行名单的通知》（蒲财采[2019]6号）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蒲江县财政局关于公布蒲江县开展政府采购信用融资业务银行名单的通知》（蒲财采[2019]6号）003"/>
                    <pic:cNvPicPr>
                      <a:picLocks noChangeAspect="1"/>
                    </pic:cNvPicPr>
                  </pic:nvPicPr>
                  <pic:blipFill>
                    <a:blip r:embed="rId23"/>
                    <a:stretch>
                      <a:fillRect/>
                    </a:stretch>
                  </pic:blipFill>
                  <pic:spPr>
                    <a:xfrm>
                      <a:off x="0" y="0"/>
                      <a:ext cx="5267325" cy="8696325"/>
                    </a:xfrm>
                    <a:prstGeom prst="rect">
                      <a:avLst/>
                    </a:prstGeom>
                    <a:noFill/>
                    <a:ln>
                      <a:noFill/>
                    </a:ln>
                  </pic:spPr>
                </pic:pic>
              </a:graphicData>
            </a:graphic>
          </wp:inline>
        </w:drawing>
      </w:r>
    </w:p>
    <w:bookmarkEnd w:id="83"/>
    <w:bookmarkEnd w:id="84"/>
    <w:bookmarkEnd w:id="85"/>
    <w:bookmarkEnd w:id="86"/>
    <w:p>
      <w:r>
        <w:rPr>
          <w:rFonts w:ascii="Calibri" w:hAnsi="Calibri"/>
          <w:color w:val="000000"/>
          <w:szCs w:val="22"/>
        </w:rPr>
        <w:drawing>
          <wp:inline distT="0" distB="0" distL="114300" distR="114300">
            <wp:extent cx="5267325" cy="8686800"/>
            <wp:effectExtent l="0" t="0" r="5715" b="0"/>
            <wp:docPr id="37" name="图片 14" descr="《蒲江县财政局关于公布蒲江县开展政府采购信用融资业务银行名单的通知》（蒲财采[2019]6号）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蒲江县财政局关于公布蒲江县开展政府采购信用融资业务银行名单的通知》（蒲财采[2019]6号） 004"/>
                    <pic:cNvPicPr>
                      <a:picLocks noChangeAspect="1"/>
                    </pic:cNvPicPr>
                  </pic:nvPicPr>
                  <pic:blipFill>
                    <a:blip r:embed="rId24"/>
                    <a:stretch>
                      <a:fillRect/>
                    </a:stretch>
                  </pic:blipFill>
                  <pic:spPr>
                    <a:xfrm>
                      <a:off x="0" y="0"/>
                      <a:ext cx="5267325" cy="8686800"/>
                    </a:xfrm>
                    <a:prstGeom prst="rect">
                      <a:avLst/>
                    </a:prstGeom>
                    <a:noFill/>
                    <a:ln>
                      <a:noFill/>
                    </a:ln>
                  </pic:spPr>
                </pic:pic>
              </a:graphicData>
            </a:graphic>
          </wp:inline>
        </w:drawing>
      </w:r>
    </w:p>
    <w:p>
      <w:r>
        <w:rPr>
          <w:rFonts w:ascii="Calibri" w:hAnsi="Calibri"/>
          <w:color w:val="000000"/>
          <w:szCs w:val="22"/>
        </w:rPr>
        <w:drawing>
          <wp:inline distT="0" distB="0" distL="114300" distR="114300">
            <wp:extent cx="5267325" cy="8696325"/>
            <wp:effectExtent l="0" t="0" r="5715" b="5715"/>
            <wp:docPr id="38" name="图片 15" descr="《成都市财政局关于公布成都市首批在线开展政府采购信用融资业务银行名单的通知》（成财采[2019]49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descr="《成都市财政局关于公布成都市首批在线开展政府采购信用融资业务银行名单的通知》（成财采[2019]49号）"/>
                    <pic:cNvPicPr>
                      <a:picLocks noChangeAspect="1"/>
                    </pic:cNvPicPr>
                  </pic:nvPicPr>
                  <pic:blipFill>
                    <a:blip r:embed="rId25"/>
                    <a:stretch>
                      <a:fillRect/>
                    </a:stretch>
                  </pic:blipFill>
                  <pic:spPr>
                    <a:xfrm>
                      <a:off x="0" y="0"/>
                      <a:ext cx="5267325" cy="8696325"/>
                    </a:xfrm>
                    <a:prstGeom prst="rect">
                      <a:avLst/>
                    </a:prstGeom>
                    <a:noFill/>
                    <a:ln>
                      <a:noFill/>
                    </a:ln>
                  </pic:spPr>
                </pic:pic>
              </a:graphicData>
            </a:graphic>
          </wp:inline>
        </w:drawing>
      </w:r>
    </w:p>
    <w:p/>
    <w:p>
      <w:r>
        <w:rPr>
          <w:rFonts w:ascii="Calibri" w:hAnsi="Calibri"/>
          <w:color w:val="000000"/>
          <w:szCs w:val="22"/>
        </w:rPr>
        <w:drawing>
          <wp:inline distT="0" distB="0" distL="114300" distR="114300">
            <wp:extent cx="5267325" cy="8696325"/>
            <wp:effectExtent l="0" t="0" r="5715" b="5715"/>
            <wp:docPr id="39" name="图片 16" descr="《成都市财政局关于公布成都市首批在线开展政府采购信用融资业务银行名单的通知》（成财采[2019]49号）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成都市财政局关于公布成都市首批在线开展政府采购信用融资业务银行名单的通知》（成财采[2019]49号）005"/>
                    <pic:cNvPicPr>
                      <a:picLocks noChangeAspect="1"/>
                    </pic:cNvPicPr>
                  </pic:nvPicPr>
                  <pic:blipFill>
                    <a:blip r:embed="rId26"/>
                    <a:stretch>
                      <a:fillRect/>
                    </a:stretch>
                  </pic:blipFill>
                  <pic:spPr>
                    <a:xfrm>
                      <a:off x="0" y="0"/>
                      <a:ext cx="5267325" cy="8696325"/>
                    </a:xfrm>
                    <a:prstGeom prst="rect">
                      <a:avLst/>
                    </a:prstGeom>
                    <a:noFill/>
                    <a:ln>
                      <a:noFill/>
                    </a:ln>
                  </pic:spPr>
                </pic:pic>
              </a:graphicData>
            </a:graphic>
          </wp:inline>
        </w:drawing>
      </w:r>
    </w:p>
    <w:p>
      <w:r>
        <w:rPr>
          <w:rFonts w:ascii="Calibri" w:hAnsi="Calibri"/>
          <w:color w:val="000000"/>
          <w:szCs w:val="22"/>
        </w:rPr>
        <w:drawing>
          <wp:inline distT="0" distB="0" distL="114300" distR="114300">
            <wp:extent cx="5267325" cy="8696325"/>
            <wp:effectExtent l="0" t="0" r="5715" b="5715"/>
            <wp:docPr id="40" name="图片 17" descr="《成都市财政局关于公布成都市首批在线开展政府采购信用融资业务银行名单的通知》（成财采[2019]49号）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成都市财政局关于公布成都市首批在线开展政府采购信用融资业务银行名单的通知》（成财采[2019]49号）006"/>
                    <pic:cNvPicPr>
                      <a:picLocks noChangeAspect="1"/>
                    </pic:cNvPicPr>
                  </pic:nvPicPr>
                  <pic:blipFill>
                    <a:blip r:embed="rId27"/>
                    <a:stretch>
                      <a:fillRect/>
                    </a:stretch>
                  </pic:blipFill>
                  <pic:spPr>
                    <a:xfrm>
                      <a:off x="0" y="0"/>
                      <a:ext cx="5267325" cy="8696325"/>
                    </a:xfrm>
                    <a:prstGeom prst="rect">
                      <a:avLst/>
                    </a:prstGeom>
                    <a:noFill/>
                    <a:ln>
                      <a:noFill/>
                    </a:ln>
                  </pic:spPr>
                </pic:pic>
              </a:graphicData>
            </a:graphic>
          </wp:inline>
        </w:drawing>
      </w:r>
    </w:p>
    <w:p/>
    <w:p/>
    <w:p>
      <w:r>
        <w:rPr>
          <w:rFonts w:ascii="Calibri" w:hAnsi="Calibri"/>
          <w:color w:val="000000"/>
          <w:szCs w:val="22"/>
        </w:rPr>
        <w:drawing>
          <wp:inline distT="0" distB="0" distL="114300" distR="114300">
            <wp:extent cx="5267325" cy="8686800"/>
            <wp:effectExtent l="0" t="0" r="5715" b="0"/>
            <wp:docPr id="41" name="图片 18" descr="《成都市财政局关于公布成都市首批在线开展政府采购信用融资业务银行名单的通知》（成财采[2019]49号）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descr="《成都市财政局关于公布成都市首批在线开展政府采购信用融资业务银行名单的通知》（成财采[2019]49号）007"/>
                    <pic:cNvPicPr>
                      <a:picLocks noChangeAspect="1"/>
                    </pic:cNvPicPr>
                  </pic:nvPicPr>
                  <pic:blipFill>
                    <a:blip r:embed="rId28"/>
                    <a:stretch>
                      <a:fillRect/>
                    </a:stretch>
                  </pic:blipFill>
                  <pic:spPr>
                    <a:xfrm>
                      <a:off x="0" y="0"/>
                      <a:ext cx="5267325" cy="8686800"/>
                    </a:xfrm>
                    <a:prstGeom prst="rect">
                      <a:avLst/>
                    </a:prstGeom>
                    <a:noFill/>
                    <a:ln>
                      <a:noFill/>
                    </a:ln>
                  </pic:spPr>
                </pic:pic>
              </a:graphicData>
            </a:graphic>
          </wp:inline>
        </w:drawing>
      </w:r>
    </w:p>
    <w:p/>
    <w:p/>
    <w:p/>
    <w:p/>
    <w:p/>
    <w:p/>
    <w:p/>
    <w:p/>
    <w:p/>
    <w:p/>
    <w:p/>
    <w:p/>
    <w:p/>
    <w:p/>
    <w:p/>
    <w:p/>
    <w:p/>
    <w:p/>
    <w:p>
      <w:pPr>
        <w:jc w:val="both"/>
        <w:sectPr>
          <w:footerReference r:id="rId7" w:type="default"/>
          <w:pgSz w:w="11906" w:h="16838"/>
          <w:pgMar w:top="1440" w:right="1800" w:bottom="1440" w:left="1800" w:header="851" w:footer="992" w:gutter="0"/>
          <w:cols w:space="425" w:num="1"/>
          <w:docGrid w:type="lines" w:linePitch="312" w:charSpace="0"/>
        </w:sectPr>
      </w:pPr>
    </w:p>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20204"/>
    <w:charset w:val="00"/>
    <w:family w:val="swiss"/>
    <w:pitch w:val="default"/>
    <w:sig w:usb0="00000000" w:usb1="00000000" w:usb2="00000008" w:usb3="00000000" w:csb0="000001F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82</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88</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47900C"/>
    <w:multiLevelType w:val="singleLevel"/>
    <w:tmpl w:val="EE47900C"/>
    <w:lvl w:ilvl="0" w:tentative="0">
      <w:start w:val="1"/>
      <w:numFmt w:val="chineseCounting"/>
      <w:suff w:val="nothing"/>
      <w:lvlText w:val="%1、"/>
      <w:lvlJc w:val="left"/>
      <w:rPr>
        <w:rFonts w:hint="eastAsia"/>
      </w:rPr>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3827"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80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0">
    <w:nsid w:val="00000031"/>
    <w:multiLevelType w:val="multilevel"/>
    <w:tmpl w:val="00000031"/>
    <w:lvl w:ilvl="0" w:tentative="0">
      <w:start w:val="1"/>
      <w:numFmt w:val="chineseCountingThousand"/>
      <w:lvlText w:val="%1、"/>
      <w:lvlJc w:val="left"/>
      <w:pPr>
        <w:ind w:left="1271"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1">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35F7FE3"/>
    <w:multiLevelType w:val="multilevel"/>
    <w:tmpl w:val="035F7FE3"/>
    <w:lvl w:ilvl="0" w:tentative="0">
      <w:start w:val="1"/>
      <w:numFmt w:val="japaneseCounting"/>
      <w:lvlText w:val="%1、"/>
      <w:lvlJc w:val="left"/>
      <w:pPr>
        <w:ind w:left="1430"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3">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703"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1C5C2941"/>
    <w:multiLevelType w:val="multilevel"/>
    <w:tmpl w:val="1C5C2941"/>
    <w:lvl w:ilvl="0" w:tentative="0">
      <w:start w:val="1"/>
      <w:numFmt w:val="japaneseCounting"/>
      <w:lvlText w:val="%1、"/>
      <w:lvlJc w:val="left"/>
      <w:pPr>
        <w:ind w:left="2279"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6">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7">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9">
    <w:nsid w:val="443D2B39"/>
    <w:multiLevelType w:val="multilevel"/>
    <w:tmpl w:val="443D2B39"/>
    <w:lvl w:ilvl="0" w:tentative="0">
      <w:start w:val="1"/>
      <w:numFmt w:val="chineseCountingThousand"/>
      <w:lvlText w:val="%1、"/>
      <w:lvlJc w:val="left"/>
      <w:pPr>
        <w:ind w:left="3255"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5D607C5F"/>
    <w:multiLevelType w:val="multilevel"/>
    <w:tmpl w:val="5D607C5F"/>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9">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2">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4">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7B652295"/>
    <w:multiLevelType w:val="multilevel"/>
    <w:tmpl w:val="7B652295"/>
    <w:lvl w:ilvl="0" w:tentative="0">
      <w:start w:val="1"/>
      <w:numFmt w:val="chineseCountingThousand"/>
      <w:lvlText w:val="(%1)"/>
      <w:lvlJc w:val="left"/>
      <w:pPr>
        <w:ind w:left="1129"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19"/>
  </w:num>
  <w:num w:numId="3">
    <w:abstractNumId w:val="43"/>
  </w:num>
  <w:num w:numId="4">
    <w:abstractNumId w:val="35"/>
  </w:num>
  <w:num w:numId="5">
    <w:abstractNumId w:val="8"/>
  </w:num>
  <w:num w:numId="6">
    <w:abstractNumId w:val="24"/>
  </w:num>
  <w:num w:numId="7">
    <w:abstractNumId w:val="44"/>
  </w:num>
  <w:num w:numId="8">
    <w:abstractNumId w:val="4"/>
  </w:num>
  <w:num w:numId="9">
    <w:abstractNumId w:val="16"/>
  </w:num>
  <w:num w:numId="10">
    <w:abstractNumId w:val="17"/>
  </w:num>
  <w:num w:numId="11">
    <w:abstractNumId w:val="21"/>
  </w:num>
  <w:num w:numId="12">
    <w:abstractNumId w:val="38"/>
  </w:num>
  <w:num w:numId="13">
    <w:abstractNumId w:val="22"/>
  </w:num>
  <w:num w:numId="14">
    <w:abstractNumId w:val="37"/>
  </w:num>
  <w:num w:numId="15">
    <w:abstractNumId w:val="10"/>
  </w:num>
  <w:num w:numId="16">
    <w:abstractNumId w:val="42"/>
  </w:num>
  <w:num w:numId="17">
    <w:abstractNumId w:val="6"/>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7"/>
  </w:num>
  <w:num w:numId="24">
    <w:abstractNumId w:val="2"/>
  </w:num>
  <w:num w:numId="25">
    <w:abstractNumId w:val="5"/>
  </w:num>
  <w:num w:numId="26">
    <w:abstractNumId w:val="1"/>
  </w:num>
  <w:num w:numId="27">
    <w:abstractNumId w:val="40"/>
  </w:num>
  <w:num w:numId="28">
    <w:abstractNumId w:val="30"/>
  </w:num>
  <w:num w:numId="29">
    <w:abstractNumId w:val="36"/>
  </w:num>
  <w:num w:numId="30">
    <w:abstractNumId w:val="15"/>
  </w:num>
  <w:num w:numId="31">
    <w:abstractNumId w:val="41"/>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2"/>
  </w:num>
  <w:num w:numId="35">
    <w:abstractNumId w:val="11"/>
  </w:num>
  <w:num w:numId="36">
    <w:abstractNumId w:val="34"/>
  </w:num>
  <w:num w:numId="37">
    <w:abstractNumId w:val="18"/>
  </w:num>
  <w:num w:numId="38">
    <w:abstractNumId w:val="29"/>
  </w:num>
  <w:num w:numId="39">
    <w:abstractNumId w:val="45"/>
  </w:num>
  <w:num w:numId="40">
    <w:abstractNumId w:val="33"/>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5"/>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4DC"/>
    <w:rsid w:val="00025699"/>
    <w:rsid w:val="000279F5"/>
    <w:rsid w:val="00033418"/>
    <w:rsid w:val="00035748"/>
    <w:rsid w:val="00055B3A"/>
    <w:rsid w:val="000637FD"/>
    <w:rsid w:val="00070289"/>
    <w:rsid w:val="000800EF"/>
    <w:rsid w:val="000821A0"/>
    <w:rsid w:val="00090BA6"/>
    <w:rsid w:val="0009494C"/>
    <w:rsid w:val="000B2FA4"/>
    <w:rsid w:val="000B3AB8"/>
    <w:rsid w:val="000C4C74"/>
    <w:rsid w:val="000C5490"/>
    <w:rsid w:val="000C6CE2"/>
    <w:rsid w:val="000E6097"/>
    <w:rsid w:val="000E65EA"/>
    <w:rsid w:val="000F4809"/>
    <w:rsid w:val="000F6B7C"/>
    <w:rsid w:val="0011018B"/>
    <w:rsid w:val="00114B69"/>
    <w:rsid w:val="00116640"/>
    <w:rsid w:val="00131E75"/>
    <w:rsid w:val="00134EB4"/>
    <w:rsid w:val="00136D53"/>
    <w:rsid w:val="00140DCC"/>
    <w:rsid w:val="001415FC"/>
    <w:rsid w:val="00147136"/>
    <w:rsid w:val="00147E57"/>
    <w:rsid w:val="00154EA1"/>
    <w:rsid w:val="001701F4"/>
    <w:rsid w:val="00171B70"/>
    <w:rsid w:val="001828EF"/>
    <w:rsid w:val="00197B45"/>
    <w:rsid w:val="001A07E3"/>
    <w:rsid w:val="001B2140"/>
    <w:rsid w:val="001B4384"/>
    <w:rsid w:val="001B6619"/>
    <w:rsid w:val="001C5A0A"/>
    <w:rsid w:val="001C66BE"/>
    <w:rsid w:val="001D1EAF"/>
    <w:rsid w:val="001D2AD5"/>
    <w:rsid w:val="001E5D2E"/>
    <w:rsid w:val="001F161D"/>
    <w:rsid w:val="001F2DA3"/>
    <w:rsid w:val="002013BE"/>
    <w:rsid w:val="00205A63"/>
    <w:rsid w:val="00211D04"/>
    <w:rsid w:val="0023681B"/>
    <w:rsid w:val="0023687E"/>
    <w:rsid w:val="00237901"/>
    <w:rsid w:val="0024760E"/>
    <w:rsid w:val="002619C0"/>
    <w:rsid w:val="00261EB2"/>
    <w:rsid w:val="00262C45"/>
    <w:rsid w:val="0028699C"/>
    <w:rsid w:val="00295121"/>
    <w:rsid w:val="002A1DCC"/>
    <w:rsid w:val="002A2E78"/>
    <w:rsid w:val="002D0C65"/>
    <w:rsid w:val="002D160A"/>
    <w:rsid w:val="002D5D94"/>
    <w:rsid w:val="002D62A2"/>
    <w:rsid w:val="002E2F4B"/>
    <w:rsid w:val="002E548E"/>
    <w:rsid w:val="002E56D2"/>
    <w:rsid w:val="002E6FF9"/>
    <w:rsid w:val="002F1F1F"/>
    <w:rsid w:val="003028AF"/>
    <w:rsid w:val="00302AD8"/>
    <w:rsid w:val="0031025D"/>
    <w:rsid w:val="0031657A"/>
    <w:rsid w:val="00340391"/>
    <w:rsid w:val="00365C5B"/>
    <w:rsid w:val="00366676"/>
    <w:rsid w:val="00366D3E"/>
    <w:rsid w:val="00371A62"/>
    <w:rsid w:val="00373FFE"/>
    <w:rsid w:val="0037555F"/>
    <w:rsid w:val="00380652"/>
    <w:rsid w:val="00394685"/>
    <w:rsid w:val="0039751D"/>
    <w:rsid w:val="003A41D6"/>
    <w:rsid w:val="003A549F"/>
    <w:rsid w:val="003C0D99"/>
    <w:rsid w:val="003C1B31"/>
    <w:rsid w:val="003C5B8E"/>
    <w:rsid w:val="003C6644"/>
    <w:rsid w:val="003D590F"/>
    <w:rsid w:val="003D798F"/>
    <w:rsid w:val="003E3ADD"/>
    <w:rsid w:val="003F22FC"/>
    <w:rsid w:val="00404806"/>
    <w:rsid w:val="0040670A"/>
    <w:rsid w:val="004212EA"/>
    <w:rsid w:val="00423109"/>
    <w:rsid w:val="00424C12"/>
    <w:rsid w:val="00425351"/>
    <w:rsid w:val="00435502"/>
    <w:rsid w:val="00447CBA"/>
    <w:rsid w:val="00453C58"/>
    <w:rsid w:val="0045562D"/>
    <w:rsid w:val="00464572"/>
    <w:rsid w:val="0047167F"/>
    <w:rsid w:val="0047395B"/>
    <w:rsid w:val="00475776"/>
    <w:rsid w:val="00495E22"/>
    <w:rsid w:val="00495E4F"/>
    <w:rsid w:val="00497260"/>
    <w:rsid w:val="004B053A"/>
    <w:rsid w:val="004B4C27"/>
    <w:rsid w:val="004B77FE"/>
    <w:rsid w:val="004C2D8F"/>
    <w:rsid w:val="004C5C1A"/>
    <w:rsid w:val="004D56B9"/>
    <w:rsid w:val="004D739D"/>
    <w:rsid w:val="004F508C"/>
    <w:rsid w:val="004F7EE8"/>
    <w:rsid w:val="00505A16"/>
    <w:rsid w:val="0051358E"/>
    <w:rsid w:val="00525ECC"/>
    <w:rsid w:val="00534A7E"/>
    <w:rsid w:val="005402F1"/>
    <w:rsid w:val="0054488D"/>
    <w:rsid w:val="00545DE6"/>
    <w:rsid w:val="005474A3"/>
    <w:rsid w:val="00547D22"/>
    <w:rsid w:val="00550B07"/>
    <w:rsid w:val="0056438F"/>
    <w:rsid w:val="00566AAC"/>
    <w:rsid w:val="00575563"/>
    <w:rsid w:val="00575602"/>
    <w:rsid w:val="00576299"/>
    <w:rsid w:val="00576C28"/>
    <w:rsid w:val="0058079A"/>
    <w:rsid w:val="00584E99"/>
    <w:rsid w:val="005A3991"/>
    <w:rsid w:val="005A427B"/>
    <w:rsid w:val="005A53A8"/>
    <w:rsid w:val="005B1076"/>
    <w:rsid w:val="005B4FD3"/>
    <w:rsid w:val="005D0E78"/>
    <w:rsid w:val="005D1959"/>
    <w:rsid w:val="005E1BD1"/>
    <w:rsid w:val="005E3AFD"/>
    <w:rsid w:val="005F13FA"/>
    <w:rsid w:val="005F14C5"/>
    <w:rsid w:val="005F320F"/>
    <w:rsid w:val="005F398A"/>
    <w:rsid w:val="005F4954"/>
    <w:rsid w:val="006053D1"/>
    <w:rsid w:val="00611BF3"/>
    <w:rsid w:val="006126A5"/>
    <w:rsid w:val="00622849"/>
    <w:rsid w:val="00635038"/>
    <w:rsid w:val="006401F7"/>
    <w:rsid w:val="006411D2"/>
    <w:rsid w:val="00641F64"/>
    <w:rsid w:val="006455C8"/>
    <w:rsid w:val="00651FAA"/>
    <w:rsid w:val="006616C4"/>
    <w:rsid w:val="0066449E"/>
    <w:rsid w:val="00665DC5"/>
    <w:rsid w:val="00667360"/>
    <w:rsid w:val="00667772"/>
    <w:rsid w:val="00670CDC"/>
    <w:rsid w:val="00675A16"/>
    <w:rsid w:val="00676006"/>
    <w:rsid w:val="00676040"/>
    <w:rsid w:val="00694460"/>
    <w:rsid w:val="006A2EF7"/>
    <w:rsid w:val="006B152F"/>
    <w:rsid w:val="006B1E3C"/>
    <w:rsid w:val="006C1F87"/>
    <w:rsid w:val="006C2E09"/>
    <w:rsid w:val="00705742"/>
    <w:rsid w:val="00711537"/>
    <w:rsid w:val="0071192C"/>
    <w:rsid w:val="00714214"/>
    <w:rsid w:val="0072638B"/>
    <w:rsid w:val="00727809"/>
    <w:rsid w:val="0075399D"/>
    <w:rsid w:val="00760F65"/>
    <w:rsid w:val="007627EB"/>
    <w:rsid w:val="00763665"/>
    <w:rsid w:val="00764A63"/>
    <w:rsid w:val="00767686"/>
    <w:rsid w:val="00772210"/>
    <w:rsid w:val="00773ED2"/>
    <w:rsid w:val="0077444D"/>
    <w:rsid w:val="00777E22"/>
    <w:rsid w:val="00780349"/>
    <w:rsid w:val="007A361A"/>
    <w:rsid w:val="007A6B9E"/>
    <w:rsid w:val="007A7A5A"/>
    <w:rsid w:val="007B16B7"/>
    <w:rsid w:val="007B2356"/>
    <w:rsid w:val="007B7306"/>
    <w:rsid w:val="007C3186"/>
    <w:rsid w:val="007C73FF"/>
    <w:rsid w:val="007D38CA"/>
    <w:rsid w:val="007D6A85"/>
    <w:rsid w:val="007E405B"/>
    <w:rsid w:val="0080030C"/>
    <w:rsid w:val="008124E6"/>
    <w:rsid w:val="00843959"/>
    <w:rsid w:val="00847DE0"/>
    <w:rsid w:val="00853161"/>
    <w:rsid w:val="008535E1"/>
    <w:rsid w:val="0085456F"/>
    <w:rsid w:val="00861424"/>
    <w:rsid w:val="00862422"/>
    <w:rsid w:val="00867C68"/>
    <w:rsid w:val="00871170"/>
    <w:rsid w:val="00871E3A"/>
    <w:rsid w:val="00875944"/>
    <w:rsid w:val="00875CD1"/>
    <w:rsid w:val="00886CCC"/>
    <w:rsid w:val="00887F2C"/>
    <w:rsid w:val="008A1AB9"/>
    <w:rsid w:val="008A65FB"/>
    <w:rsid w:val="008B032E"/>
    <w:rsid w:val="008B3127"/>
    <w:rsid w:val="008B472D"/>
    <w:rsid w:val="008C4381"/>
    <w:rsid w:val="008C76D8"/>
    <w:rsid w:val="008C7B4C"/>
    <w:rsid w:val="008E48A5"/>
    <w:rsid w:val="008F6A89"/>
    <w:rsid w:val="00915F92"/>
    <w:rsid w:val="0092448C"/>
    <w:rsid w:val="00924EB7"/>
    <w:rsid w:val="009343B3"/>
    <w:rsid w:val="00946DC1"/>
    <w:rsid w:val="009623F1"/>
    <w:rsid w:val="00963D3E"/>
    <w:rsid w:val="009640D6"/>
    <w:rsid w:val="0097323C"/>
    <w:rsid w:val="00981D11"/>
    <w:rsid w:val="00984181"/>
    <w:rsid w:val="00987BFB"/>
    <w:rsid w:val="009900A1"/>
    <w:rsid w:val="0099637E"/>
    <w:rsid w:val="009B2BA5"/>
    <w:rsid w:val="009B533B"/>
    <w:rsid w:val="009C00A3"/>
    <w:rsid w:val="009D019A"/>
    <w:rsid w:val="009D578F"/>
    <w:rsid w:val="009F0A01"/>
    <w:rsid w:val="009F5BB5"/>
    <w:rsid w:val="00A03F53"/>
    <w:rsid w:val="00A126F3"/>
    <w:rsid w:val="00A205B1"/>
    <w:rsid w:val="00A21A17"/>
    <w:rsid w:val="00A33CE8"/>
    <w:rsid w:val="00A3552C"/>
    <w:rsid w:val="00A44299"/>
    <w:rsid w:val="00A65FF9"/>
    <w:rsid w:val="00A71DAA"/>
    <w:rsid w:val="00A768B6"/>
    <w:rsid w:val="00A8201D"/>
    <w:rsid w:val="00A8689F"/>
    <w:rsid w:val="00A96DB9"/>
    <w:rsid w:val="00AA04A2"/>
    <w:rsid w:val="00AA10B5"/>
    <w:rsid w:val="00AA1A1B"/>
    <w:rsid w:val="00AA1BC0"/>
    <w:rsid w:val="00AB2F81"/>
    <w:rsid w:val="00AB6DFB"/>
    <w:rsid w:val="00AC1469"/>
    <w:rsid w:val="00AD5351"/>
    <w:rsid w:val="00AE4A06"/>
    <w:rsid w:val="00AE61A8"/>
    <w:rsid w:val="00AF3B32"/>
    <w:rsid w:val="00AF3F02"/>
    <w:rsid w:val="00AF7B4C"/>
    <w:rsid w:val="00B06C14"/>
    <w:rsid w:val="00B211A5"/>
    <w:rsid w:val="00B312F9"/>
    <w:rsid w:val="00B35130"/>
    <w:rsid w:val="00B4323E"/>
    <w:rsid w:val="00B53858"/>
    <w:rsid w:val="00B57B42"/>
    <w:rsid w:val="00B60851"/>
    <w:rsid w:val="00B85AC4"/>
    <w:rsid w:val="00B9216B"/>
    <w:rsid w:val="00B931D6"/>
    <w:rsid w:val="00BB14B9"/>
    <w:rsid w:val="00BB28E3"/>
    <w:rsid w:val="00BC6F31"/>
    <w:rsid w:val="00BE6051"/>
    <w:rsid w:val="00BF38C5"/>
    <w:rsid w:val="00BF69C2"/>
    <w:rsid w:val="00C03D13"/>
    <w:rsid w:val="00C166A8"/>
    <w:rsid w:val="00C16790"/>
    <w:rsid w:val="00C22BD9"/>
    <w:rsid w:val="00C22EF9"/>
    <w:rsid w:val="00C263D0"/>
    <w:rsid w:val="00C27D3A"/>
    <w:rsid w:val="00C3139B"/>
    <w:rsid w:val="00C352B9"/>
    <w:rsid w:val="00C52705"/>
    <w:rsid w:val="00C60594"/>
    <w:rsid w:val="00C76D6E"/>
    <w:rsid w:val="00C80D3E"/>
    <w:rsid w:val="00C86D71"/>
    <w:rsid w:val="00C9048A"/>
    <w:rsid w:val="00C91C5E"/>
    <w:rsid w:val="00C92A76"/>
    <w:rsid w:val="00C92F1D"/>
    <w:rsid w:val="00C94152"/>
    <w:rsid w:val="00CA0302"/>
    <w:rsid w:val="00CA26A2"/>
    <w:rsid w:val="00CA728D"/>
    <w:rsid w:val="00CC22D9"/>
    <w:rsid w:val="00CD2A58"/>
    <w:rsid w:val="00CD4C09"/>
    <w:rsid w:val="00CE4136"/>
    <w:rsid w:val="00CF1154"/>
    <w:rsid w:val="00CF5080"/>
    <w:rsid w:val="00CF713C"/>
    <w:rsid w:val="00D00193"/>
    <w:rsid w:val="00D07696"/>
    <w:rsid w:val="00D21069"/>
    <w:rsid w:val="00D21D44"/>
    <w:rsid w:val="00D22517"/>
    <w:rsid w:val="00D32ED4"/>
    <w:rsid w:val="00D35100"/>
    <w:rsid w:val="00D367AB"/>
    <w:rsid w:val="00D36A66"/>
    <w:rsid w:val="00D4794D"/>
    <w:rsid w:val="00D47C21"/>
    <w:rsid w:val="00D572EF"/>
    <w:rsid w:val="00D63649"/>
    <w:rsid w:val="00D72C15"/>
    <w:rsid w:val="00D755BE"/>
    <w:rsid w:val="00D81A05"/>
    <w:rsid w:val="00D8200E"/>
    <w:rsid w:val="00D977E7"/>
    <w:rsid w:val="00DA16DE"/>
    <w:rsid w:val="00DA3C93"/>
    <w:rsid w:val="00DA5EB0"/>
    <w:rsid w:val="00DB2AC4"/>
    <w:rsid w:val="00DB2DEE"/>
    <w:rsid w:val="00DB3BD1"/>
    <w:rsid w:val="00DB6B28"/>
    <w:rsid w:val="00DB76EA"/>
    <w:rsid w:val="00DB7AB0"/>
    <w:rsid w:val="00DC0F33"/>
    <w:rsid w:val="00DC1A6A"/>
    <w:rsid w:val="00DC6B3E"/>
    <w:rsid w:val="00DD022E"/>
    <w:rsid w:val="00DD05EC"/>
    <w:rsid w:val="00DD341F"/>
    <w:rsid w:val="00DD4A54"/>
    <w:rsid w:val="00DD724B"/>
    <w:rsid w:val="00DE2BE2"/>
    <w:rsid w:val="00DF6235"/>
    <w:rsid w:val="00E14C32"/>
    <w:rsid w:val="00E16DBB"/>
    <w:rsid w:val="00E23342"/>
    <w:rsid w:val="00E264A3"/>
    <w:rsid w:val="00E2692D"/>
    <w:rsid w:val="00E276E2"/>
    <w:rsid w:val="00E3177B"/>
    <w:rsid w:val="00E35450"/>
    <w:rsid w:val="00E421DD"/>
    <w:rsid w:val="00E52268"/>
    <w:rsid w:val="00E61631"/>
    <w:rsid w:val="00E6450C"/>
    <w:rsid w:val="00E74A51"/>
    <w:rsid w:val="00E861E3"/>
    <w:rsid w:val="00E93215"/>
    <w:rsid w:val="00E94E24"/>
    <w:rsid w:val="00EA03A5"/>
    <w:rsid w:val="00EB1C8B"/>
    <w:rsid w:val="00EB6528"/>
    <w:rsid w:val="00EB7EF3"/>
    <w:rsid w:val="00EC1237"/>
    <w:rsid w:val="00EC51CF"/>
    <w:rsid w:val="00ED47D6"/>
    <w:rsid w:val="00ED500E"/>
    <w:rsid w:val="00EE4AB3"/>
    <w:rsid w:val="00EF419C"/>
    <w:rsid w:val="00EF65F2"/>
    <w:rsid w:val="00EF6E4E"/>
    <w:rsid w:val="00F020A9"/>
    <w:rsid w:val="00F201D2"/>
    <w:rsid w:val="00F315B7"/>
    <w:rsid w:val="00F334EB"/>
    <w:rsid w:val="00F336C1"/>
    <w:rsid w:val="00F34905"/>
    <w:rsid w:val="00F34D23"/>
    <w:rsid w:val="00F42F68"/>
    <w:rsid w:val="00F442D2"/>
    <w:rsid w:val="00F5571E"/>
    <w:rsid w:val="00F73616"/>
    <w:rsid w:val="00F76C83"/>
    <w:rsid w:val="00F810D4"/>
    <w:rsid w:val="00F874EB"/>
    <w:rsid w:val="00F9261F"/>
    <w:rsid w:val="00FA1420"/>
    <w:rsid w:val="00FA6DC5"/>
    <w:rsid w:val="00FB5009"/>
    <w:rsid w:val="00FB501F"/>
    <w:rsid w:val="00FB54A0"/>
    <w:rsid w:val="00FC524D"/>
    <w:rsid w:val="00FD4483"/>
    <w:rsid w:val="00FD493E"/>
    <w:rsid w:val="00FE64E1"/>
    <w:rsid w:val="00FF1187"/>
    <w:rsid w:val="00FF43F7"/>
    <w:rsid w:val="00FF5F08"/>
    <w:rsid w:val="00FF63E5"/>
    <w:rsid w:val="011D4E59"/>
    <w:rsid w:val="01BA19AB"/>
    <w:rsid w:val="022A0E81"/>
    <w:rsid w:val="030615C4"/>
    <w:rsid w:val="03772C8B"/>
    <w:rsid w:val="048C178E"/>
    <w:rsid w:val="04D221E9"/>
    <w:rsid w:val="04E829FF"/>
    <w:rsid w:val="054244E8"/>
    <w:rsid w:val="05801D19"/>
    <w:rsid w:val="06015232"/>
    <w:rsid w:val="076030C6"/>
    <w:rsid w:val="078D6BCA"/>
    <w:rsid w:val="079C31F3"/>
    <w:rsid w:val="07E13367"/>
    <w:rsid w:val="07F610F9"/>
    <w:rsid w:val="082F14FC"/>
    <w:rsid w:val="08CD68C2"/>
    <w:rsid w:val="09C92D7A"/>
    <w:rsid w:val="09E66653"/>
    <w:rsid w:val="09FF3C34"/>
    <w:rsid w:val="0AEB2021"/>
    <w:rsid w:val="0B393754"/>
    <w:rsid w:val="0C3A684F"/>
    <w:rsid w:val="0C6B220B"/>
    <w:rsid w:val="0D0B1317"/>
    <w:rsid w:val="0DDE3A88"/>
    <w:rsid w:val="0E664DD0"/>
    <w:rsid w:val="0F451A7C"/>
    <w:rsid w:val="10CB16BF"/>
    <w:rsid w:val="10D04648"/>
    <w:rsid w:val="11931881"/>
    <w:rsid w:val="122A48DE"/>
    <w:rsid w:val="12441762"/>
    <w:rsid w:val="12AD7DA7"/>
    <w:rsid w:val="12BF497C"/>
    <w:rsid w:val="14D21DA6"/>
    <w:rsid w:val="152C34A4"/>
    <w:rsid w:val="152C688E"/>
    <w:rsid w:val="161566EF"/>
    <w:rsid w:val="162A781F"/>
    <w:rsid w:val="163336B3"/>
    <w:rsid w:val="16FF28A9"/>
    <w:rsid w:val="17130B5B"/>
    <w:rsid w:val="18435B48"/>
    <w:rsid w:val="186A2EF9"/>
    <w:rsid w:val="18DE00FC"/>
    <w:rsid w:val="197C6486"/>
    <w:rsid w:val="1A03409D"/>
    <w:rsid w:val="1A453754"/>
    <w:rsid w:val="1AE54F1B"/>
    <w:rsid w:val="1B524F3D"/>
    <w:rsid w:val="1BA82B11"/>
    <w:rsid w:val="1BE00292"/>
    <w:rsid w:val="1BE2439D"/>
    <w:rsid w:val="1C81410A"/>
    <w:rsid w:val="1C97789B"/>
    <w:rsid w:val="1CAF10AC"/>
    <w:rsid w:val="1CB951A3"/>
    <w:rsid w:val="1D434B2C"/>
    <w:rsid w:val="1D9D69A1"/>
    <w:rsid w:val="1E7A55CC"/>
    <w:rsid w:val="1F07035A"/>
    <w:rsid w:val="1FCC3D5B"/>
    <w:rsid w:val="20196265"/>
    <w:rsid w:val="20B965B1"/>
    <w:rsid w:val="20BF4932"/>
    <w:rsid w:val="21B17B0C"/>
    <w:rsid w:val="21F93B17"/>
    <w:rsid w:val="222236E3"/>
    <w:rsid w:val="227C4AA8"/>
    <w:rsid w:val="22975D86"/>
    <w:rsid w:val="234E75FC"/>
    <w:rsid w:val="238C2C6C"/>
    <w:rsid w:val="25A5309F"/>
    <w:rsid w:val="263B114E"/>
    <w:rsid w:val="26801998"/>
    <w:rsid w:val="26F10001"/>
    <w:rsid w:val="27105009"/>
    <w:rsid w:val="27A740E1"/>
    <w:rsid w:val="28117A6B"/>
    <w:rsid w:val="281741EA"/>
    <w:rsid w:val="28517E1F"/>
    <w:rsid w:val="289F30F2"/>
    <w:rsid w:val="28F53442"/>
    <w:rsid w:val="296A7F3E"/>
    <w:rsid w:val="29D058ED"/>
    <w:rsid w:val="29EF5BD0"/>
    <w:rsid w:val="29F11845"/>
    <w:rsid w:val="2A094057"/>
    <w:rsid w:val="2B1E1D31"/>
    <w:rsid w:val="2B4212F7"/>
    <w:rsid w:val="2B6144E3"/>
    <w:rsid w:val="2B9D517E"/>
    <w:rsid w:val="2C382CE3"/>
    <w:rsid w:val="2CBF454B"/>
    <w:rsid w:val="2D0133D0"/>
    <w:rsid w:val="2D305B34"/>
    <w:rsid w:val="2D6D61C0"/>
    <w:rsid w:val="2E08726F"/>
    <w:rsid w:val="2E9E1B34"/>
    <w:rsid w:val="3070338E"/>
    <w:rsid w:val="314857B7"/>
    <w:rsid w:val="31905486"/>
    <w:rsid w:val="3220108F"/>
    <w:rsid w:val="329E12AD"/>
    <w:rsid w:val="3335617E"/>
    <w:rsid w:val="338C60FD"/>
    <w:rsid w:val="33B6441E"/>
    <w:rsid w:val="347F4DC9"/>
    <w:rsid w:val="34A9283D"/>
    <w:rsid w:val="34D829F2"/>
    <w:rsid w:val="35144C1B"/>
    <w:rsid w:val="36DC54D0"/>
    <w:rsid w:val="370A15B2"/>
    <w:rsid w:val="376D3CF5"/>
    <w:rsid w:val="38672C51"/>
    <w:rsid w:val="387D4EED"/>
    <w:rsid w:val="39FA3082"/>
    <w:rsid w:val="3B0D0B00"/>
    <w:rsid w:val="3B586385"/>
    <w:rsid w:val="3B6D1C0F"/>
    <w:rsid w:val="3C2237A4"/>
    <w:rsid w:val="3C297DE5"/>
    <w:rsid w:val="3D135814"/>
    <w:rsid w:val="3F43182B"/>
    <w:rsid w:val="3FCE30F6"/>
    <w:rsid w:val="404A714F"/>
    <w:rsid w:val="405054A2"/>
    <w:rsid w:val="40C10149"/>
    <w:rsid w:val="40F96615"/>
    <w:rsid w:val="41AF6ED4"/>
    <w:rsid w:val="41C45889"/>
    <w:rsid w:val="41C577D4"/>
    <w:rsid w:val="421A1B48"/>
    <w:rsid w:val="422B235E"/>
    <w:rsid w:val="42536586"/>
    <w:rsid w:val="429B677B"/>
    <w:rsid w:val="42E742E2"/>
    <w:rsid w:val="4329698E"/>
    <w:rsid w:val="440C0A9B"/>
    <w:rsid w:val="44885813"/>
    <w:rsid w:val="44CD23D2"/>
    <w:rsid w:val="45152370"/>
    <w:rsid w:val="46067E48"/>
    <w:rsid w:val="4618152B"/>
    <w:rsid w:val="46206C00"/>
    <w:rsid w:val="476E2346"/>
    <w:rsid w:val="47F06EB3"/>
    <w:rsid w:val="492C0276"/>
    <w:rsid w:val="49D5724D"/>
    <w:rsid w:val="49D61007"/>
    <w:rsid w:val="4A705342"/>
    <w:rsid w:val="4ACC772A"/>
    <w:rsid w:val="4B042FBA"/>
    <w:rsid w:val="4B1A29D3"/>
    <w:rsid w:val="4BCE0961"/>
    <w:rsid w:val="4C5F02A9"/>
    <w:rsid w:val="4C7C3660"/>
    <w:rsid w:val="4CB6183C"/>
    <w:rsid w:val="4D0E629F"/>
    <w:rsid w:val="4D160845"/>
    <w:rsid w:val="4D8D166F"/>
    <w:rsid w:val="4E8C03A9"/>
    <w:rsid w:val="4F8B2C42"/>
    <w:rsid w:val="4FBD0128"/>
    <w:rsid w:val="4FDD7806"/>
    <w:rsid w:val="510A6461"/>
    <w:rsid w:val="52146F7C"/>
    <w:rsid w:val="52DC1706"/>
    <w:rsid w:val="533C6DF5"/>
    <w:rsid w:val="539E525F"/>
    <w:rsid w:val="53BA6B93"/>
    <w:rsid w:val="542B2C8F"/>
    <w:rsid w:val="545132C4"/>
    <w:rsid w:val="54641ED9"/>
    <w:rsid w:val="55CE74DB"/>
    <w:rsid w:val="562307FE"/>
    <w:rsid w:val="565C4692"/>
    <w:rsid w:val="56857860"/>
    <w:rsid w:val="56C55C0A"/>
    <w:rsid w:val="56DF56FC"/>
    <w:rsid w:val="5774592C"/>
    <w:rsid w:val="579D1FD5"/>
    <w:rsid w:val="57AD5390"/>
    <w:rsid w:val="582A301C"/>
    <w:rsid w:val="593E473C"/>
    <w:rsid w:val="593F64B1"/>
    <w:rsid w:val="59DD2DA1"/>
    <w:rsid w:val="5A413B88"/>
    <w:rsid w:val="5A7741F3"/>
    <w:rsid w:val="5B904DC9"/>
    <w:rsid w:val="5B9B7B35"/>
    <w:rsid w:val="5BAB5B85"/>
    <w:rsid w:val="5C557478"/>
    <w:rsid w:val="5CF44222"/>
    <w:rsid w:val="5CFB327A"/>
    <w:rsid w:val="5F676C37"/>
    <w:rsid w:val="606B6969"/>
    <w:rsid w:val="60BD066D"/>
    <w:rsid w:val="61055DC5"/>
    <w:rsid w:val="61246932"/>
    <w:rsid w:val="616940E7"/>
    <w:rsid w:val="61CE6B7C"/>
    <w:rsid w:val="620F0820"/>
    <w:rsid w:val="625E6A80"/>
    <w:rsid w:val="63921109"/>
    <w:rsid w:val="6536554E"/>
    <w:rsid w:val="658C4351"/>
    <w:rsid w:val="65991823"/>
    <w:rsid w:val="65CD2783"/>
    <w:rsid w:val="669720CF"/>
    <w:rsid w:val="66E521E9"/>
    <w:rsid w:val="67CF0524"/>
    <w:rsid w:val="680034D8"/>
    <w:rsid w:val="699B7496"/>
    <w:rsid w:val="69F41FD2"/>
    <w:rsid w:val="6A436379"/>
    <w:rsid w:val="6A5A77D4"/>
    <w:rsid w:val="6A697F4C"/>
    <w:rsid w:val="6ABA56B9"/>
    <w:rsid w:val="6AC90639"/>
    <w:rsid w:val="6AD87711"/>
    <w:rsid w:val="6AFD590E"/>
    <w:rsid w:val="6C0C59C5"/>
    <w:rsid w:val="6CD937DC"/>
    <w:rsid w:val="6D2E42F9"/>
    <w:rsid w:val="6D452D0E"/>
    <w:rsid w:val="6DB34106"/>
    <w:rsid w:val="6DCE0210"/>
    <w:rsid w:val="6F4E61D2"/>
    <w:rsid w:val="6F5F337D"/>
    <w:rsid w:val="700E25E4"/>
    <w:rsid w:val="700F2D8F"/>
    <w:rsid w:val="706348FA"/>
    <w:rsid w:val="71042EB3"/>
    <w:rsid w:val="71254111"/>
    <w:rsid w:val="71276FB5"/>
    <w:rsid w:val="71681FFC"/>
    <w:rsid w:val="71745979"/>
    <w:rsid w:val="718F2636"/>
    <w:rsid w:val="71A03A9D"/>
    <w:rsid w:val="71E8587E"/>
    <w:rsid w:val="72811245"/>
    <w:rsid w:val="72CF0449"/>
    <w:rsid w:val="72D06CE0"/>
    <w:rsid w:val="740F3B3D"/>
    <w:rsid w:val="74641D15"/>
    <w:rsid w:val="74C0230C"/>
    <w:rsid w:val="754F7E02"/>
    <w:rsid w:val="75B11299"/>
    <w:rsid w:val="764203C2"/>
    <w:rsid w:val="764C4493"/>
    <w:rsid w:val="76BB6F44"/>
    <w:rsid w:val="77897F6E"/>
    <w:rsid w:val="78116802"/>
    <w:rsid w:val="781E260B"/>
    <w:rsid w:val="78267F0C"/>
    <w:rsid w:val="78EC1A17"/>
    <w:rsid w:val="796734E2"/>
    <w:rsid w:val="796F6EF2"/>
    <w:rsid w:val="79835125"/>
    <w:rsid w:val="798D480E"/>
    <w:rsid w:val="7A273F4A"/>
    <w:rsid w:val="7A3855A5"/>
    <w:rsid w:val="7A6D6D64"/>
    <w:rsid w:val="7A6E5712"/>
    <w:rsid w:val="7A7F4748"/>
    <w:rsid w:val="7AA52C45"/>
    <w:rsid w:val="7AC117A1"/>
    <w:rsid w:val="7B275C06"/>
    <w:rsid w:val="7B385234"/>
    <w:rsid w:val="7B906925"/>
    <w:rsid w:val="7BEF3720"/>
    <w:rsid w:val="7C2D7819"/>
    <w:rsid w:val="7C375377"/>
    <w:rsid w:val="7CEF61EA"/>
    <w:rsid w:val="7D1521FC"/>
    <w:rsid w:val="7D29456B"/>
    <w:rsid w:val="7D955C00"/>
    <w:rsid w:val="7D9F1766"/>
    <w:rsid w:val="7DBD6D38"/>
    <w:rsid w:val="7DDC565E"/>
    <w:rsid w:val="7EC92AEB"/>
    <w:rsid w:val="7ECB14D0"/>
    <w:rsid w:val="7F6503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99"/>
    <w:rPr>
      <w:rFonts w:ascii="宋体" w:hAnsi="宋体" w:eastAsia="宋体" w:cs="Times New Roman"/>
      <w:b/>
      <w:bCs/>
      <w:iCs/>
      <w:kern w:val="0"/>
      <w:sz w:val="28"/>
      <w:szCs w:val="28"/>
    </w:rPr>
  </w:style>
  <w:style w:type="character" w:customStyle="1" w:styleId="64">
    <w:name w:val="标题 3 字符"/>
    <w:basedOn w:val="48"/>
    <w:link w:val="5"/>
    <w:qFormat/>
    <w:uiPriority w:val="99"/>
    <w:rPr>
      <w:rFonts w:ascii="宋体" w:hAnsi="宋体" w:eastAsia="宋体" w:cs="Times New Roman"/>
      <w:b/>
      <w:bCs/>
      <w:color w:val="000000"/>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qFormat/>
    <w:uiPriority w:val="0"/>
  </w:style>
  <w:style w:type="character" w:customStyle="1" w:styleId="75">
    <w:name w:val="标书（正文） Char"/>
    <w:link w:val="76"/>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字符"/>
    <w:link w:val="29"/>
    <w:qFormat/>
    <w:uiPriority w:val="99"/>
    <w:rPr>
      <w:sz w:val="18"/>
      <w:szCs w:val="18"/>
    </w:rPr>
  </w:style>
  <w:style w:type="character" w:customStyle="1" w:styleId="88">
    <w:name w:val="keyword"/>
    <w:basedOn w:val="48"/>
    <w:qFormat/>
    <w:uiPriority w:val="0"/>
  </w:style>
  <w:style w:type="character" w:customStyle="1" w:styleId="89">
    <w:name w:val="文档结构图 字符"/>
    <w:link w:val="15"/>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3"/>
    <w:qFormat/>
    <w:uiPriority w:val="0"/>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_58"/>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65C9A3-E29B-4EC4-8101-F9E4D821B6B5}">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88</Pages>
  <Words>4747</Words>
  <Characters>27062</Characters>
  <Lines>225</Lines>
  <Paragraphs>63</Paragraphs>
  <TotalTime>0</TotalTime>
  <ScaleCrop>false</ScaleCrop>
  <LinksUpToDate>false</LinksUpToDate>
  <CharactersWithSpaces>31746</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Administrator</cp:lastModifiedBy>
  <cp:lastPrinted>2021-07-07T01:37:00Z</cp:lastPrinted>
  <dcterms:modified xsi:type="dcterms:W3CDTF">2021-07-07T02:06:17Z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CAEF9A92F71F41D6AA44A71004E6E66E</vt:lpwstr>
  </property>
</Properties>
</file>