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rPr>
          <w:rFonts w:ascii="宋体" w:hAnsi="宋体"/>
        </w:rPr>
      </w:pPr>
    </w:p>
    <w:p>
      <w:pPr>
        <w:spacing w:before="48" w:beforeLines="20" w:after="48" w:afterLines="20" w:line="576" w:lineRule="exact"/>
        <w:ind w:left="2238" w:leftChars="304" w:hanging="1600" w:hangingChars="500"/>
        <w:rPr>
          <w:rFonts w:ascii="华文中宋" w:hAnsi="华文中宋" w:eastAsia="华文中宋"/>
          <w:sz w:val="32"/>
          <w:szCs w:val="32"/>
        </w:rPr>
      </w:pPr>
      <w:r>
        <w:rPr>
          <w:rFonts w:hint="eastAsia" w:ascii="华文中宋" w:hAnsi="华文中宋" w:eastAsia="华文中宋"/>
          <w:sz w:val="32"/>
          <w:szCs w:val="32"/>
        </w:rPr>
        <w:t>项目名称：蒲江县博物馆新馆特展厅展陈石刻文物修复采购项目</w:t>
      </w:r>
    </w:p>
    <w:p>
      <w:pPr>
        <w:spacing w:line="360" w:lineRule="auto"/>
        <w:ind w:left="2409" w:leftChars="338" w:hanging="1699" w:hangingChars="531"/>
        <w:rPr>
          <w:rFonts w:hint="eastAsia" w:ascii="华文中宋" w:hAnsi="华文中宋" w:eastAsia="华文中宋"/>
          <w:sz w:val="32"/>
          <w:szCs w:val="32"/>
        </w:rPr>
      </w:pPr>
      <w:r>
        <w:rPr>
          <w:rFonts w:hint="eastAsia" w:ascii="华文中宋" w:hAnsi="华文中宋" w:eastAsia="华文中宋"/>
          <w:sz w:val="32"/>
          <w:szCs w:val="32"/>
        </w:rPr>
        <w:t>项目编号：510131202100045</w:t>
      </w:r>
    </w:p>
    <w:p>
      <w:pPr>
        <w:spacing w:line="360" w:lineRule="auto"/>
        <w:ind w:firstLine="1280" w:firstLineChars="400"/>
        <w:rPr>
          <w:rFonts w:ascii="宋体" w:hAnsi="宋体"/>
          <w:sz w:val="32"/>
          <w:szCs w:val="32"/>
        </w:rPr>
      </w:pPr>
    </w:p>
    <w:p>
      <w:pPr>
        <w:spacing w:line="360" w:lineRule="auto"/>
        <w:ind w:firstLine="1256" w:firstLineChars="349"/>
        <w:rPr>
          <w:rFonts w:ascii="宋体" w:hAnsi="宋体"/>
          <w:spacing w:val="20"/>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jc w:val="center"/>
        <w:rPr>
          <w:rFonts w:ascii="宋体" w:hAnsi="宋体"/>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蒲江县文化体育和旅游局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 xml:space="preserve">蒲江县公共资源交易服务中心共同编制 </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二〇二一年</w:t>
      </w:r>
      <w:r>
        <w:rPr>
          <w:rFonts w:hint="eastAsia" w:ascii="华文中宋" w:hAnsi="华文中宋" w:eastAsia="华文中宋"/>
          <w:sz w:val="32"/>
          <w:szCs w:val="32"/>
          <w:lang w:eastAsia="zh-CN"/>
        </w:rPr>
        <w:t>八</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01328520"/>
      <w:bookmarkStart w:id="1" w:name="_Toc101234248"/>
      <w:bookmarkStart w:id="2" w:name="_Toc148505181"/>
      <w:bookmarkStart w:id="3" w:name="_Toc101247312"/>
      <w:r>
        <w:rPr>
          <w:rFonts w:hint="eastAsia" w:ascii="宋体" w:hAnsi="宋体"/>
          <w:b/>
          <w:sz w:val="32"/>
          <w:szCs w:val="32"/>
        </w:rPr>
        <w:t>目 录</w:t>
      </w:r>
    </w:p>
    <w:p>
      <w:pPr>
        <w:pStyle w:val="29"/>
        <w:rPr>
          <w:rFonts w:asciiTheme="minorHAnsi" w:hAnsiTheme="minorHAnsi" w:eastAsiaTheme="minorEastAsia" w:cstheme="minorBidi"/>
          <w:bCs w:val="0"/>
          <w:caps w:val="0"/>
          <w:sz w:val="21"/>
          <w:szCs w:val="22"/>
        </w:rPr>
      </w:pPr>
      <w:r>
        <w:rPr>
          <w:rFonts w:hint="eastAsia"/>
        </w:rPr>
        <w:fldChar w:fldCharType="begin"/>
      </w:r>
      <w:r>
        <w:rPr>
          <w:rFonts w:hint="eastAsia" w:ascii="宋体" w:hAnsi="宋体"/>
          <w:smallCaps/>
        </w:rPr>
        <w:instrText xml:space="preserve"> TOC \o "1-2" \h \z \u </w:instrText>
      </w:r>
      <w:r>
        <w:rPr>
          <w:rFonts w:hint="eastAsia"/>
        </w:rPr>
        <w:fldChar w:fldCharType="separate"/>
      </w:r>
      <w:r>
        <w:fldChar w:fldCharType="begin"/>
      </w:r>
      <w:r>
        <w:instrText xml:space="preserve"> HYPERLINK \l "_Toc70684273" </w:instrText>
      </w:r>
      <w:r>
        <w:fldChar w:fldCharType="separate"/>
      </w:r>
      <w:r>
        <w:rPr>
          <w:rStyle w:val="46"/>
          <w:rFonts w:ascii="Times New Roman" w:hAnsi="Times New Roman"/>
          <w:b/>
          <w:spacing w:val="-20"/>
          <w:kern w:val="44"/>
        </w:rPr>
        <w:t>第1章</w:t>
      </w:r>
      <w:r>
        <w:rPr>
          <w:rFonts w:asciiTheme="minorHAnsi" w:hAnsiTheme="minorHAnsi" w:eastAsiaTheme="minorEastAsia" w:cstheme="minorBidi"/>
          <w:bCs w:val="0"/>
          <w:caps w:val="0"/>
          <w:sz w:val="21"/>
          <w:szCs w:val="22"/>
        </w:rPr>
        <w:tab/>
      </w:r>
      <w:r>
        <w:rPr>
          <w:rStyle w:val="46"/>
          <w:rFonts w:ascii="宋体" w:hAnsi="宋体"/>
          <w:b/>
          <w:spacing w:val="-20"/>
          <w:kern w:val="44"/>
        </w:rPr>
        <w:t>投标邀请</w:t>
      </w:r>
      <w:r>
        <w:tab/>
      </w:r>
      <w:r>
        <w:fldChar w:fldCharType="begin"/>
      </w:r>
      <w:r>
        <w:instrText xml:space="preserve"> PAGEREF _Toc70684273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"_Toc70684274" </w:instrText>
      </w:r>
      <w:r>
        <w:fldChar w:fldCharType="separate"/>
      </w:r>
      <w:r>
        <w:rPr>
          <w:rStyle w:val="46"/>
          <w:rFonts w:ascii="Times New Roman" w:hAnsi="Times New Roman"/>
          <w:b/>
          <w:spacing w:val="-20"/>
          <w:kern w:val="44"/>
        </w:rPr>
        <w:t>第2章</w:t>
      </w:r>
      <w:r>
        <w:rPr>
          <w:rFonts w:asciiTheme="minorHAnsi" w:hAnsiTheme="minorHAnsi" w:eastAsiaTheme="minorEastAsia" w:cstheme="minorBidi"/>
          <w:bCs w:val="0"/>
          <w:caps w:val="0"/>
          <w:sz w:val="21"/>
          <w:szCs w:val="22"/>
        </w:rPr>
        <w:tab/>
      </w:r>
      <w:r>
        <w:rPr>
          <w:rStyle w:val="46"/>
          <w:rFonts w:ascii="宋体" w:hAnsi="宋体"/>
          <w:b/>
          <w:spacing w:val="-20"/>
          <w:kern w:val="44"/>
        </w:rPr>
        <w:t>投标人须知</w:t>
      </w:r>
      <w:r>
        <w:tab/>
      </w:r>
      <w:r>
        <w:fldChar w:fldCharType="begin"/>
      </w:r>
      <w:r>
        <w:instrText xml:space="preserve"> PAGEREF _Toc70684274 \h </w:instrText>
      </w:r>
      <w:r>
        <w:fldChar w:fldCharType="separate"/>
      </w:r>
      <w:r>
        <w:t>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"_Toc70684275" </w:instrText>
      </w:r>
      <w:r>
        <w:fldChar w:fldCharType="separate"/>
      </w:r>
      <w:r>
        <w:rPr>
          <w:rStyle w:val="46"/>
          <w:rFonts w:ascii="Times New Roman" w:hAnsi="Times New Roman"/>
          <w:b/>
          <w:bCs/>
        </w:rPr>
        <w:t>2.1</w:t>
      </w:r>
      <w:r>
        <w:rPr>
          <w:rStyle w:val="46"/>
          <w:rFonts w:ascii="宋体" w:hAnsi="宋体"/>
          <w:b/>
          <w:bCs/>
        </w:rPr>
        <w:t xml:space="preserve"> 投标人须知前附表</w:t>
      </w:r>
      <w:r>
        <w:tab/>
      </w:r>
      <w:r>
        <w:fldChar w:fldCharType="begin"/>
      </w:r>
      <w:r>
        <w:instrText xml:space="preserve"> PAGEREF _Toc70684275 \h </w:instrText>
      </w:r>
      <w:r>
        <w:fldChar w:fldCharType="separate"/>
      </w:r>
      <w:r>
        <w:t>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"_Toc70684276" </w:instrText>
      </w:r>
      <w:r>
        <w:fldChar w:fldCharType="separate"/>
      </w:r>
      <w:r>
        <w:rPr>
          <w:rStyle w:val="46"/>
          <w:rFonts w:ascii="Times New Roman" w:hAnsi="Times New Roman"/>
          <w:b/>
          <w:bCs/>
        </w:rPr>
        <w:t>2.2</w:t>
      </w:r>
      <w:r>
        <w:rPr>
          <w:rStyle w:val="46"/>
          <w:rFonts w:ascii="宋体" w:hAnsi="宋体"/>
          <w:b/>
          <w:bCs/>
        </w:rPr>
        <w:t xml:space="preserve"> 总则</w:t>
      </w:r>
      <w:r>
        <w:tab/>
      </w:r>
      <w:r>
        <w:fldChar w:fldCharType="begin"/>
      </w:r>
      <w:r>
        <w:instrText xml:space="preserve"> PAGEREF _Toc70684276 \h </w:instrText>
      </w:r>
      <w:r>
        <w:fldChar w:fldCharType="separate"/>
      </w:r>
      <w:r>
        <w:t>10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"_Toc70684277" </w:instrText>
      </w:r>
      <w:r>
        <w:fldChar w:fldCharType="separate"/>
      </w:r>
      <w:r>
        <w:rPr>
          <w:rStyle w:val="46"/>
          <w:rFonts w:ascii="Times New Roman" w:hAnsi="Times New Roman"/>
          <w:b/>
          <w:bCs/>
        </w:rPr>
        <w:t>2.3</w:t>
      </w:r>
      <w:r>
        <w:rPr>
          <w:rStyle w:val="46"/>
          <w:rFonts w:ascii="宋体" w:hAnsi="宋体"/>
          <w:b/>
          <w:bCs/>
        </w:rPr>
        <w:t xml:space="preserve"> 招标文件</w:t>
      </w:r>
      <w:r>
        <w:tab/>
      </w:r>
      <w:r>
        <w:fldChar w:fldCharType="begin"/>
      </w:r>
      <w:r>
        <w:instrText xml:space="preserve"> PAGEREF _Toc70684277 \h </w:instrText>
      </w:r>
      <w:r>
        <w:fldChar w:fldCharType="separate"/>
      </w:r>
      <w:r>
        <w:t>12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"_Toc70684278" </w:instrText>
      </w:r>
      <w:r>
        <w:fldChar w:fldCharType="separate"/>
      </w:r>
      <w:r>
        <w:rPr>
          <w:rStyle w:val="46"/>
          <w:rFonts w:ascii="Times New Roman" w:hAnsi="Times New Roman"/>
          <w:b/>
          <w:bCs/>
        </w:rPr>
        <w:t>2.4</w:t>
      </w:r>
      <w:r>
        <w:rPr>
          <w:rStyle w:val="46"/>
          <w:rFonts w:ascii="宋体" w:hAnsi="宋体"/>
          <w:b/>
          <w:bCs/>
        </w:rPr>
        <w:t xml:space="preserve"> 投标文件</w:t>
      </w:r>
      <w:r>
        <w:tab/>
      </w:r>
      <w:r>
        <w:fldChar w:fldCharType="begin"/>
      </w:r>
      <w:r>
        <w:instrText xml:space="preserve"> PAGEREF _Toc70684278 \h </w:instrText>
      </w:r>
      <w:r>
        <w:fldChar w:fldCharType="separate"/>
      </w:r>
      <w:r>
        <w:t>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"_Toc70684279" </w:instrText>
      </w:r>
      <w:r>
        <w:fldChar w:fldCharType="separate"/>
      </w:r>
      <w:r>
        <w:rPr>
          <w:rStyle w:val="46"/>
          <w:rFonts w:ascii="Times New Roman" w:hAnsi="Times New Roman"/>
          <w:b/>
          <w:bCs/>
        </w:rPr>
        <w:t>2.5</w:t>
      </w:r>
      <w:r>
        <w:rPr>
          <w:rStyle w:val="46"/>
          <w:rFonts w:ascii="宋体" w:hAnsi="宋体"/>
          <w:b/>
          <w:bCs/>
        </w:rPr>
        <w:t xml:space="preserve"> 开标、资格审查、评标和中标</w:t>
      </w:r>
      <w:r>
        <w:tab/>
      </w:r>
      <w:r>
        <w:fldChar w:fldCharType="begin"/>
      </w:r>
      <w:r>
        <w:instrText xml:space="preserve"> PAGEREF _Toc70684279 \h </w:instrText>
      </w:r>
      <w:r>
        <w:fldChar w:fldCharType="separate"/>
      </w:r>
      <w:r>
        <w:t>19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"_Toc70684280" </w:instrText>
      </w:r>
      <w:r>
        <w:fldChar w:fldCharType="separate"/>
      </w:r>
      <w:r>
        <w:rPr>
          <w:rStyle w:val="46"/>
          <w:rFonts w:ascii="Times New Roman" w:hAnsi="Times New Roman"/>
          <w:b/>
          <w:bCs/>
        </w:rPr>
        <w:t>2.6</w:t>
      </w:r>
      <w:r>
        <w:rPr>
          <w:rStyle w:val="46"/>
          <w:rFonts w:ascii="宋体" w:hAnsi="宋体"/>
          <w:b/>
          <w:bCs/>
        </w:rPr>
        <w:t xml:space="preserve"> 签订及履行合同和验收</w:t>
      </w:r>
      <w:r>
        <w:tab/>
      </w:r>
      <w:r>
        <w:fldChar w:fldCharType="begin"/>
      </w:r>
      <w:r>
        <w:instrText xml:space="preserve"> PAGEREF _Toc70684280 \h </w:instrText>
      </w:r>
      <w:r>
        <w:fldChar w:fldCharType="separate"/>
      </w:r>
      <w:r>
        <w:t>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"_Toc70684281" </w:instrText>
      </w:r>
      <w:r>
        <w:fldChar w:fldCharType="separate"/>
      </w:r>
      <w:r>
        <w:rPr>
          <w:rStyle w:val="46"/>
          <w:rFonts w:ascii="Times New Roman" w:hAnsi="Times New Roman"/>
          <w:b/>
          <w:bCs/>
        </w:rPr>
        <w:t>2.7</w:t>
      </w:r>
      <w:r>
        <w:rPr>
          <w:rStyle w:val="46"/>
          <w:rFonts w:ascii="宋体" w:hAnsi="宋体"/>
          <w:b/>
          <w:bCs/>
        </w:rPr>
        <w:t xml:space="preserve"> 投标纪律要求</w:t>
      </w:r>
      <w:r>
        <w:tab/>
      </w:r>
      <w:r>
        <w:fldChar w:fldCharType="begin"/>
      </w:r>
      <w:r>
        <w:instrText xml:space="preserve"> PAGEREF _Toc70684281 \h </w:instrText>
      </w:r>
      <w:r>
        <w:fldChar w:fldCharType="separate"/>
      </w:r>
      <w:r>
        <w:t>23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"_Toc70684282" </w:instrText>
      </w:r>
      <w:r>
        <w:fldChar w:fldCharType="separate"/>
      </w:r>
      <w:r>
        <w:rPr>
          <w:rStyle w:val="46"/>
          <w:rFonts w:ascii="Times New Roman" w:hAnsi="Times New Roman"/>
          <w:b/>
          <w:bCs/>
        </w:rPr>
        <w:t>2.8</w:t>
      </w:r>
      <w:r>
        <w:rPr>
          <w:rStyle w:val="46"/>
          <w:rFonts w:ascii="宋体" w:hAnsi="宋体"/>
          <w:b/>
          <w:bCs/>
        </w:rPr>
        <w:t xml:space="preserve"> 询问、质疑和投诉</w:t>
      </w:r>
      <w:r>
        <w:tab/>
      </w:r>
      <w:r>
        <w:fldChar w:fldCharType="begin"/>
      </w:r>
      <w:r>
        <w:instrText xml:space="preserve"> PAGEREF _Toc70684282 \h </w:instrText>
      </w:r>
      <w:r>
        <w:fldChar w:fldCharType="separate"/>
      </w:r>
      <w:r>
        <w:t>25</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"_Toc70684283" </w:instrText>
      </w:r>
      <w:r>
        <w:fldChar w:fldCharType="separate"/>
      </w:r>
      <w:r>
        <w:rPr>
          <w:rStyle w:val="46"/>
          <w:rFonts w:ascii="Times New Roman" w:hAnsi="Times New Roman"/>
          <w:b/>
          <w:bCs/>
        </w:rPr>
        <w:t>2.9</w:t>
      </w:r>
      <w:r>
        <w:rPr>
          <w:rStyle w:val="46"/>
          <w:rFonts w:ascii="宋体" w:hAnsi="宋体"/>
          <w:b/>
          <w:bCs/>
        </w:rPr>
        <w:t xml:space="preserve"> 中小企业政府采购信用融资</w:t>
      </w:r>
      <w:r>
        <w:tab/>
      </w:r>
      <w:r>
        <w:fldChar w:fldCharType="begin"/>
      </w:r>
      <w:r>
        <w:instrText xml:space="preserve"> PAGEREF _Toc70684283 \h </w:instrText>
      </w:r>
      <w:r>
        <w:fldChar w:fldCharType="separate"/>
      </w:r>
      <w:r>
        <w:t>26</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"_Toc70684284" </w:instrText>
      </w:r>
      <w:r>
        <w:fldChar w:fldCharType="separate"/>
      </w:r>
      <w:r>
        <w:rPr>
          <w:rStyle w:val="46"/>
          <w:rFonts w:ascii="Times New Roman" w:hAnsi="Times New Roman"/>
          <w:b/>
          <w:spacing w:val="-20"/>
          <w:kern w:val="44"/>
        </w:rPr>
        <w:t>第3章</w:t>
      </w:r>
      <w:r>
        <w:rPr>
          <w:rFonts w:asciiTheme="minorHAnsi" w:hAnsiTheme="minorHAnsi" w:eastAsiaTheme="minorEastAsia" w:cstheme="minorBidi"/>
          <w:bCs w:val="0"/>
          <w:caps w:val="0"/>
          <w:sz w:val="21"/>
          <w:szCs w:val="22"/>
        </w:rPr>
        <w:tab/>
      </w:r>
      <w:r>
        <w:rPr>
          <w:rStyle w:val="46"/>
          <w:rFonts w:ascii="宋体" w:hAnsi="宋体"/>
          <w:b/>
          <w:spacing w:val="-20"/>
          <w:kern w:val="44"/>
        </w:rPr>
        <w:t>投标文件格式</w:t>
      </w:r>
      <w:r>
        <w:tab/>
      </w:r>
      <w:r>
        <w:fldChar w:fldCharType="begin"/>
      </w:r>
      <w:r>
        <w:instrText xml:space="preserve"> PAGEREF _Toc70684284 \h </w:instrText>
      </w:r>
      <w:r>
        <w:fldChar w:fldCharType="separate"/>
      </w:r>
      <w:r>
        <w:t>27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"_Toc70684285" </w:instrText>
      </w:r>
      <w:r>
        <w:fldChar w:fldCharType="separate"/>
      </w:r>
      <w:r>
        <w:rPr>
          <w:rStyle w:val="46"/>
          <w:rFonts w:ascii="Times New Roman" w:hAnsi="Times New Roman"/>
          <w:b/>
          <w:bCs/>
        </w:rPr>
        <w:t>3.1</w:t>
      </w:r>
      <w:r>
        <w:rPr>
          <w:rStyle w:val="46"/>
          <w:rFonts w:ascii="宋体" w:hAnsi="宋体"/>
          <w:b/>
          <w:bCs/>
        </w:rPr>
        <w:t xml:space="preserve"> 投标文件封面格式</w:t>
      </w:r>
      <w:r>
        <w:tab/>
      </w:r>
      <w:r>
        <w:fldChar w:fldCharType="begin"/>
      </w:r>
      <w:r>
        <w:instrText xml:space="preserve"> PAGEREF _Toc70684285 \h </w:instrText>
      </w:r>
      <w:r>
        <w:fldChar w:fldCharType="separate"/>
      </w:r>
      <w:r>
        <w:t>27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"_Toc70684286" </w:instrText>
      </w:r>
      <w:r>
        <w:fldChar w:fldCharType="separate"/>
      </w:r>
      <w:r>
        <w:rPr>
          <w:rStyle w:val="46"/>
          <w:rFonts w:ascii="Times New Roman" w:hAnsi="Times New Roman"/>
          <w:b/>
          <w:bCs/>
        </w:rPr>
        <w:t>3.2</w:t>
      </w:r>
      <w:r>
        <w:rPr>
          <w:rStyle w:val="46"/>
          <w:rFonts w:ascii="宋体" w:hAnsi="宋体"/>
          <w:b/>
          <w:bCs/>
        </w:rPr>
        <w:t xml:space="preserve"> 资格性审查部分</w:t>
      </w:r>
      <w:r>
        <w:tab/>
      </w:r>
      <w:r>
        <w:fldChar w:fldCharType="begin"/>
      </w:r>
      <w:r>
        <w:instrText xml:space="preserve"> PAGEREF _Toc70684286 \h </w:instrText>
      </w:r>
      <w:r>
        <w:fldChar w:fldCharType="separate"/>
      </w:r>
      <w:r>
        <w:t>28</w:t>
      </w:r>
      <w:r>
        <w:fldChar w:fldCharType="end"/>
      </w:r>
      <w:r>
        <w:fldChar w:fldCharType="end"/>
      </w:r>
    </w:p>
    <w:p>
      <w:pPr>
        <w:pStyle w:val="35"/>
      </w:pPr>
      <w:r>
        <w:fldChar w:fldCharType="begin"/>
      </w:r>
      <w:r>
        <w:instrText xml:space="preserve"> HYPERLINK \l "_Toc70684287" </w:instrText>
      </w:r>
      <w:r>
        <w:fldChar w:fldCharType="separate"/>
      </w:r>
      <w:r>
        <w:rPr>
          <w:rStyle w:val="46"/>
          <w:rFonts w:ascii="Times New Roman" w:hAnsi="Times New Roman"/>
          <w:b/>
          <w:bCs/>
          <w:sz w:val="21"/>
          <w:szCs w:val="22"/>
        </w:rPr>
        <w:t>3.3</w:t>
      </w:r>
      <w:r>
        <w:rPr>
          <w:rStyle w:val="46"/>
          <w:rFonts w:ascii="宋体" w:hAnsi="宋体"/>
          <w:b/>
          <w:bCs/>
          <w:sz w:val="21"/>
          <w:szCs w:val="22"/>
        </w:rPr>
        <w:t xml:space="preserve"> 技术、服务、商务及其他要求响应部分</w:t>
      </w:r>
      <w:r>
        <w:tab/>
      </w:r>
      <w:r>
        <w:fldChar w:fldCharType="begin"/>
      </w:r>
      <w:r>
        <w:instrText xml:space="preserve"> PAGEREF _Toc70684287 \h </w:instrText>
      </w:r>
      <w:r>
        <w:fldChar w:fldCharType="separate"/>
      </w:r>
      <w:r>
        <w:t>32</w:t>
      </w:r>
      <w:r>
        <w:fldChar w:fldCharType="end"/>
      </w:r>
      <w:r>
        <w:fldChar w:fldCharType="end"/>
      </w:r>
    </w:p>
    <w:p>
      <w:pPr>
        <w:pStyle w:val="35"/>
        <w:rPr>
          <w:rFonts w:hint="eastAsia" w:eastAsia="华文中宋"/>
          <w:lang w:eastAsia="zh-CN"/>
        </w:rPr>
      </w:pPr>
      <w:r>
        <w:rPr>
          <w:rStyle w:val="46"/>
          <w:rFonts w:hint="eastAsia" w:ascii="Times New Roman" w:hAnsi="Times New Roman"/>
          <w:b/>
          <w:bCs/>
          <w:sz w:val="21"/>
          <w:szCs w:val="22"/>
        </w:rPr>
        <w:t>3.4报价要求响应部分</w:t>
      </w:r>
      <w:r>
        <w:t>………………………………………………………………………………</w:t>
      </w:r>
      <w:r>
        <w:rPr>
          <w:rFonts w:hint="eastAsia"/>
        </w:rPr>
        <w:t>3</w:t>
      </w:r>
      <w:r>
        <w:rPr>
          <w:rFonts w:hint="eastAsia"/>
          <w:lang w:val="en-US" w:eastAsia="zh-CN"/>
        </w:rPr>
        <w:t>8</w:t>
      </w:r>
    </w:p>
    <w:p>
      <w:pPr>
        <w:pStyle w:val="29"/>
        <w:rPr>
          <w:rFonts w:asciiTheme="minorHAnsi" w:hAnsiTheme="minorHAnsi" w:eastAsiaTheme="minorEastAsia" w:cstheme="minorBidi"/>
          <w:bCs w:val="0"/>
          <w:caps w:val="0"/>
          <w:sz w:val="21"/>
          <w:szCs w:val="22"/>
        </w:rPr>
      </w:pPr>
      <w:r>
        <w:fldChar w:fldCharType="begin"/>
      </w:r>
      <w:r>
        <w:instrText xml:space="preserve"> HYPERLINK \l "_Toc70684288" </w:instrText>
      </w:r>
      <w:r>
        <w:fldChar w:fldCharType="separate"/>
      </w:r>
      <w:r>
        <w:rPr>
          <w:rStyle w:val="46"/>
          <w:rFonts w:ascii="Times New Roman" w:hAnsi="Times New Roman"/>
          <w:b/>
          <w:spacing w:val="-20"/>
          <w:kern w:val="44"/>
        </w:rPr>
        <w:t>第4章</w:t>
      </w:r>
      <w:r>
        <w:rPr>
          <w:rFonts w:asciiTheme="minorHAnsi" w:hAnsiTheme="minorHAnsi" w:eastAsiaTheme="minorEastAsia" w:cstheme="minorBidi"/>
          <w:bCs w:val="0"/>
          <w:caps w:val="0"/>
          <w:sz w:val="21"/>
          <w:szCs w:val="22"/>
        </w:rPr>
        <w:tab/>
      </w:r>
      <w:r>
        <w:rPr>
          <w:rStyle w:val="46"/>
          <w:rFonts w:ascii="宋体" w:hAnsi="宋体"/>
          <w:b/>
          <w:spacing w:val="-20"/>
          <w:kern w:val="44"/>
        </w:rPr>
        <w:t>招标项目技术、服务、商务及其他要求</w:t>
      </w:r>
      <w:r>
        <w:rPr>
          <w:rStyle w:val="46"/>
          <w:rFonts w:ascii="Arial" w:hAnsi="Arial" w:cs="Arial"/>
          <w:b/>
          <w:sz w:val="21"/>
          <w:szCs w:val="22"/>
        </w:rPr>
        <w:t>…</w:t>
      </w:r>
      <w:r>
        <w:tab/>
      </w:r>
      <w:r>
        <w:fldChar w:fldCharType="begin"/>
      </w:r>
      <w:r>
        <w:instrText xml:space="preserve"> PAGEREF _Toc70684288 \h </w:instrText>
      </w:r>
      <w:r>
        <w:fldChar w:fldCharType="separate"/>
      </w:r>
      <w:r>
        <w:t>43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"_Toc70684289" </w:instrText>
      </w:r>
      <w:r>
        <w:fldChar w:fldCharType="separate"/>
      </w:r>
      <w:r>
        <w:rPr>
          <w:rStyle w:val="46"/>
          <w:rFonts w:ascii="Times New Roman" w:hAnsi="Times New Roman"/>
          <w:b/>
          <w:bCs/>
        </w:rPr>
        <w:t>4.1</w:t>
      </w:r>
      <w:r>
        <w:rPr>
          <w:rStyle w:val="46"/>
          <w:rFonts w:ascii="宋体" w:hAnsi="宋体"/>
          <w:b/>
          <w:bCs/>
        </w:rPr>
        <w:t xml:space="preserve"> 项目概况</w:t>
      </w:r>
      <w:r>
        <w:tab/>
      </w:r>
      <w:r>
        <w:fldChar w:fldCharType="begin"/>
      </w:r>
      <w:r>
        <w:instrText xml:space="preserve"> PAGEREF _Toc70684289 \h </w:instrText>
      </w:r>
      <w:r>
        <w:fldChar w:fldCharType="separate"/>
      </w:r>
      <w:r>
        <w:t>43</w:t>
      </w:r>
      <w:r>
        <w:fldChar w:fldCharType="end"/>
      </w:r>
      <w:r>
        <w:fldChar w:fldCharType="end"/>
      </w:r>
    </w:p>
    <w:p>
      <w:pPr>
        <w:pStyle w:val="35"/>
        <w:rPr>
          <w:rFonts w:hint="eastAsia" w:eastAsia="华文中宋" w:asciiTheme="minorHAnsi" w:hAnsiTheme="minorHAnsi" w:cstheme="minorBidi"/>
          <w:smallCaps w:val="0"/>
          <w:sz w:val="21"/>
          <w:szCs w:val="22"/>
          <w:lang w:eastAsia="zh-CN"/>
        </w:rPr>
      </w:pPr>
      <w:r>
        <w:fldChar w:fldCharType="begin"/>
      </w:r>
      <w:r>
        <w:instrText xml:space="preserve"> HYPERLINK \l "_Toc70684290" </w:instrText>
      </w:r>
      <w:r>
        <w:fldChar w:fldCharType="separate"/>
      </w:r>
      <w:r>
        <w:rPr>
          <w:rStyle w:val="46"/>
          <w:rFonts w:ascii="Times New Roman" w:hAnsi="Times New Roman"/>
          <w:b/>
          <w:bCs/>
        </w:rPr>
        <w:t>4.2</w:t>
      </w:r>
      <w:r>
        <w:rPr>
          <w:rStyle w:val="46"/>
          <w:rFonts w:ascii="宋体" w:hAnsi="宋体"/>
          <w:b/>
          <w:bCs/>
        </w:rPr>
        <w:t xml:space="preserve"> </w:t>
      </w:r>
      <w:r>
        <w:rPr>
          <w:rStyle w:val="46"/>
          <w:rFonts w:hint="eastAsia" w:ascii="宋体" w:hAnsi="宋体"/>
          <w:b/>
          <w:bCs/>
          <w:lang w:eastAsia="zh-CN"/>
        </w:rPr>
        <w:t>技术、服务</w:t>
      </w:r>
      <w:r>
        <w:rPr>
          <w:rStyle w:val="46"/>
          <w:rFonts w:hint="eastAsia" w:ascii="宋体" w:hAnsi="宋体"/>
          <w:b/>
          <w:bCs/>
        </w:rPr>
        <w:t>要求</w:t>
      </w:r>
      <w:r>
        <w:tab/>
      </w:r>
      <w:r>
        <w:fldChar w:fldCharType="end"/>
      </w:r>
      <w:r>
        <w:rPr>
          <w:rFonts w:hint="eastAsia"/>
        </w:rPr>
        <w:t>4</w:t>
      </w:r>
      <w:r>
        <w:rPr>
          <w:rFonts w:hint="eastAsia"/>
          <w:lang w:val="en-US" w:eastAsia="zh-CN"/>
        </w:rPr>
        <w:t>5</w:t>
      </w:r>
    </w:p>
    <w:p>
      <w:pPr>
        <w:pStyle w:val="35"/>
        <w:rPr>
          <w:rFonts w:hint="eastAsia" w:eastAsia="华文中宋" w:asciiTheme="minorHAnsi" w:hAnsiTheme="minorHAnsi" w:cstheme="minorBidi"/>
          <w:smallCaps w:val="0"/>
          <w:sz w:val="21"/>
          <w:szCs w:val="22"/>
          <w:lang w:eastAsia="zh-CN"/>
        </w:rPr>
      </w:pPr>
      <w:r>
        <w:fldChar w:fldCharType="begin"/>
      </w:r>
      <w:r>
        <w:instrText xml:space="preserve"> HYPERLINK \l "_Toc70684291" </w:instrText>
      </w:r>
      <w:r>
        <w:fldChar w:fldCharType="separate"/>
      </w:r>
      <w:r>
        <w:rPr>
          <w:rStyle w:val="46"/>
          <w:rFonts w:ascii="Times New Roman" w:hAnsi="Times New Roman"/>
          <w:b/>
          <w:bCs/>
        </w:rPr>
        <w:t>4.3</w:t>
      </w:r>
      <w:r>
        <w:rPr>
          <w:rStyle w:val="46"/>
          <w:rFonts w:ascii="宋体" w:hAnsi="宋体"/>
          <w:b/>
          <w:bCs/>
        </w:rPr>
        <w:t xml:space="preserve"> </w:t>
      </w:r>
      <w:r>
        <w:rPr>
          <w:rStyle w:val="46"/>
          <w:rFonts w:hint="eastAsia" w:ascii="宋体" w:hAnsi="宋体"/>
          <w:b/>
          <w:bCs/>
        </w:rPr>
        <w:t>商务要求</w:t>
      </w:r>
      <w:r>
        <w:rPr>
          <w:rStyle w:val="46"/>
          <w:rFonts w:hint="eastAsia" w:ascii="宋体" w:hAnsi="宋体"/>
          <w:b/>
          <w:bCs/>
          <w:lang w:eastAsia="zh-CN"/>
        </w:rPr>
        <w:t>及其他要求</w:t>
      </w:r>
      <w:r>
        <w:tab/>
      </w:r>
      <w:r>
        <w:rPr>
          <w:rFonts w:hint="eastAsia"/>
        </w:rPr>
        <w:t>2</w:t>
      </w:r>
      <w:r>
        <w:rPr>
          <w:rFonts w:hint="eastAsia"/>
        </w:rPr>
        <w:fldChar w:fldCharType="end"/>
      </w:r>
      <w:r>
        <w:rPr>
          <w:rFonts w:hint="eastAsia"/>
        </w:rPr>
        <w:t>1</w:t>
      </w:r>
      <w:r>
        <w:rPr>
          <w:rFonts w:hint="eastAsia"/>
          <w:lang w:val="en-US" w:eastAsia="zh-CN"/>
        </w:rPr>
        <w:t>2</w:t>
      </w:r>
    </w:p>
    <w:p>
      <w:pPr>
        <w:pStyle w:val="29"/>
        <w:rPr>
          <w:rFonts w:asciiTheme="minorHAnsi" w:hAnsiTheme="minorHAnsi" w:eastAsiaTheme="minorEastAsia" w:cstheme="minorBidi"/>
          <w:bCs w:val="0"/>
          <w:caps w:val="0"/>
          <w:sz w:val="21"/>
          <w:szCs w:val="22"/>
        </w:rPr>
      </w:pPr>
      <w:r>
        <w:fldChar w:fldCharType="begin"/>
      </w:r>
      <w:r>
        <w:instrText xml:space="preserve"> HYPERLINK \l "_Toc70684294" </w:instrText>
      </w:r>
      <w:r>
        <w:fldChar w:fldCharType="separate"/>
      </w:r>
      <w:r>
        <w:rPr>
          <w:rStyle w:val="46"/>
          <w:rFonts w:ascii="Times New Roman" w:hAnsi="Times New Roman"/>
          <w:b/>
          <w:spacing w:val="-20"/>
          <w:kern w:val="44"/>
        </w:rPr>
        <w:t>第5章</w:t>
      </w:r>
      <w:r>
        <w:rPr>
          <w:rFonts w:asciiTheme="minorHAnsi" w:hAnsiTheme="minorHAnsi" w:eastAsiaTheme="minorEastAsia" w:cstheme="minorBidi"/>
          <w:bCs w:val="0"/>
          <w:caps w:val="0"/>
          <w:sz w:val="21"/>
          <w:szCs w:val="22"/>
        </w:rPr>
        <w:tab/>
      </w:r>
      <w:r>
        <w:rPr>
          <w:rStyle w:val="46"/>
          <w:rFonts w:ascii="宋体" w:hAnsi="宋体"/>
          <w:b/>
          <w:spacing w:val="-20"/>
          <w:kern w:val="44"/>
        </w:rPr>
        <w:t>资格性审查</w:t>
      </w:r>
      <w:r>
        <w:tab/>
      </w:r>
      <w:r>
        <w:fldChar w:fldCharType="begin"/>
      </w:r>
      <w:r>
        <w:instrText xml:space="preserve"> PAGEREF _Toc70684294 \h </w:instrText>
      </w:r>
      <w:r>
        <w:fldChar w:fldCharType="separate"/>
      </w:r>
      <w:r>
        <w:t>216</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"_Toc70684295" </w:instrText>
      </w:r>
      <w:r>
        <w:fldChar w:fldCharType="separate"/>
      </w:r>
      <w:r>
        <w:rPr>
          <w:rStyle w:val="46"/>
          <w:rFonts w:ascii="Times New Roman" w:hAnsi="Times New Roman"/>
          <w:b/>
          <w:spacing w:val="-20"/>
          <w:kern w:val="44"/>
        </w:rPr>
        <w:t>第6章</w:t>
      </w:r>
      <w:r>
        <w:rPr>
          <w:rFonts w:asciiTheme="minorHAnsi" w:hAnsiTheme="minorHAnsi" w:eastAsiaTheme="minorEastAsia" w:cstheme="minorBidi"/>
          <w:bCs w:val="0"/>
          <w:caps w:val="0"/>
          <w:sz w:val="21"/>
          <w:szCs w:val="22"/>
        </w:rPr>
        <w:tab/>
      </w:r>
      <w:r>
        <w:rPr>
          <w:rStyle w:val="46"/>
          <w:rFonts w:ascii="宋体" w:hAnsi="宋体"/>
          <w:b/>
          <w:spacing w:val="-20"/>
          <w:kern w:val="44"/>
        </w:rPr>
        <w:t>评标办法</w:t>
      </w:r>
      <w:r>
        <w:tab/>
      </w:r>
      <w:r>
        <w:fldChar w:fldCharType="begin"/>
      </w:r>
      <w:r>
        <w:instrText xml:space="preserve"> PAGEREF _Toc70684295 \h </w:instrText>
      </w:r>
      <w:r>
        <w:fldChar w:fldCharType="separate"/>
      </w:r>
      <w:r>
        <w:t>221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"_Toc70684296" </w:instrText>
      </w:r>
      <w:r>
        <w:fldChar w:fldCharType="separate"/>
      </w:r>
      <w:r>
        <w:rPr>
          <w:rStyle w:val="46"/>
          <w:rFonts w:ascii="Times New Roman" w:hAnsi="Times New Roman"/>
          <w:b/>
          <w:bCs/>
        </w:rPr>
        <w:t>6.1</w:t>
      </w:r>
      <w:r>
        <w:rPr>
          <w:rStyle w:val="46"/>
          <w:rFonts w:ascii="宋体" w:hAnsi="宋体"/>
          <w:b/>
          <w:bCs/>
        </w:rPr>
        <w:t xml:space="preserve"> 总则</w:t>
      </w:r>
      <w:r>
        <w:tab/>
      </w:r>
      <w:r>
        <w:fldChar w:fldCharType="begin"/>
      </w:r>
      <w:r>
        <w:instrText xml:space="preserve"> PAGEREF _Toc70684296 \h </w:instrText>
      </w:r>
      <w:r>
        <w:fldChar w:fldCharType="separate"/>
      </w:r>
      <w:r>
        <w:t>221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"_Toc70684297" </w:instrText>
      </w:r>
      <w:r>
        <w:fldChar w:fldCharType="separate"/>
      </w:r>
      <w:r>
        <w:rPr>
          <w:rStyle w:val="46"/>
          <w:rFonts w:ascii="Times New Roman" w:hAnsi="Times New Roman"/>
          <w:b/>
          <w:bCs/>
        </w:rPr>
        <w:t>6.2</w:t>
      </w:r>
      <w:r>
        <w:rPr>
          <w:rStyle w:val="46"/>
          <w:rFonts w:ascii="宋体" w:hAnsi="宋体"/>
          <w:b/>
          <w:bCs/>
        </w:rPr>
        <w:t xml:space="preserve"> 评标方法</w:t>
      </w:r>
      <w:r>
        <w:tab/>
      </w:r>
      <w:r>
        <w:fldChar w:fldCharType="begin"/>
      </w:r>
      <w:r>
        <w:instrText xml:space="preserve"> PAGEREF _Toc70684297 \h </w:instrText>
      </w:r>
      <w:r>
        <w:fldChar w:fldCharType="separate"/>
      </w:r>
      <w:r>
        <w:t>222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"_Toc70684298" </w:instrText>
      </w:r>
      <w:r>
        <w:fldChar w:fldCharType="separate"/>
      </w:r>
      <w:r>
        <w:rPr>
          <w:rStyle w:val="46"/>
          <w:rFonts w:ascii="Times New Roman" w:hAnsi="Times New Roman"/>
          <w:b/>
          <w:bCs/>
        </w:rPr>
        <w:t>6.3</w:t>
      </w:r>
      <w:r>
        <w:rPr>
          <w:rStyle w:val="46"/>
          <w:rFonts w:ascii="宋体" w:hAnsi="宋体"/>
          <w:b/>
          <w:bCs/>
        </w:rPr>
        <w:t xml:space="preserve"> 评标程序</w:t>
      </w:r>
      <w:r>
        <w:tab/>
      </w:r>
      <w:r>
        <w:fldChar w:fldCharType="begin"/>
      </w:r>
      <w:r>
        <w:instrText xml:space="preserve"> PAGEREF _Toc70684298 \h </w:instrText>
      </w:r>
      <w:r>
        <w:fldChar w:fldCharType="separate"/>
      </w:r>
      <w:r>
        <w:t>222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"_Toc70684299" </w:instrText>
      </w:r>
      <w:r>
        <w:fldChar w:fldCharType="separate"/>
      </w:r>
      <w:r>
        <w:rPr>
          <w:rStyle w:val="46"/>
          <w:rFonts w:ascii="Times New Roman" w:hAnsi="Times New Roman"/>
          <w:b/>
          <w:bCs/>
        </w:rPr>
        <w:t>6.4</w:t>
      </w:r>
      <w:r>
        <w:rPr>
          <w:rStyle w:val="46"/>
          <w:rFonts w:ascii="宋体" w:hAnsi="宋体"/>
          <w:b/>
          <w:bCs/>
        </w:rPr>
        <w:t xml:space="preserve"> 评标争议处理规则</w:t>
      </w:r>
      <w:r>
        <w:tab/>
      </w:r>
      <w:r>
        <w:fldChar w:fldCharType="begin"/>
      </w:r>
      <w:r>
        <w:instrText xml:space="preserve"> PAGEREF _Toc70684299 \h </w:instrText>
      </w:r>
      <w:r>
        <w:fldChar w:fldCharType="separate"/>
      </w:r>
      <w:r>
        <w:t>228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"_Toc70684300" </w:instrText>
      </w:r>
      <w:r>
        <w:fldChar w:fldCharType="separate"/>
      </w:r>
      <w:r>
        <w:rPr>
          <w:rStyle w:val="46"/>
          <w:rFonts w:ascii="Times New Roman" w:hAnsi="Times New Roman"/>
          <w:b/>
          <w:bCs/>
        </w:rPr>
        <w:t>6.5</w:t>
      </w:r>
      <w:r>
        <w:rPr>
          <w:rStyle w:val="46"/>
          <w:rFonts w:ascii="宋体" w:hAnsi="宋体"/>
          <w:b/>
          <w:bCs/>
        </w:rPr>
        <w:t xml:space="preserve"> 评标细则及标准</w:t>
      </w:r>
      <w:r>
        <w:tab/>
      </w:r>
      <w:r>
        <w:fldChar w:fldCharType="begin"/>
      </w:r>
      <w:r>
        <w:instrText xml:space="preserve"> PAGEREF _Toc70684300 \h </w:instrText>
      </w:r>
      <w:r>
        <w:fldChar w:fldCharType="separate"/>
      </w:r>
      <w:r>
        <w:t>229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"_Toc70684301" </w:instrText>
      </w:r>
      <w:r>
        <w:fldChar w:fldCharType="separate"/>
      </w:r>
      <w:r>
        <w:rPr>
          <w:rStyle w:val="46"/>
          <w:rFonts w:ascii="Times New Roman" w:hAnsi="Times New Roman"/>
          <w:b/>
          <w:bCs/>
        </w:rPr>
        <w:t>6.6</w:t>
      </w:r>
      <w:r>
        <w:rPr>
          <w:rStyle w:val="46"/>
          <w:rFonts w:ascii="宋体" w:hAnsi="宋体"/>
          <w:b/>
          <w:bCs/>
        </w:rPr>
        <w:t xml:space="preserve"> 废标</w:t>
      </w:r>
      <w:r>
        <w:tab/>
      </w:r>
      <w:r>
        <w:fldChar w:fldCharType="begin"/>
      </w:r>
      <w:r>
        <w:instrText xml:space="preserve"> PAGEREF _Toc70684301 \h </w:instrText>
      </w:r>
      <w:r>
        <w:fldChar w:fldCharType="separate"/>
      </w:r>
      <w:r>
        <w:t>231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"_Toc70684302" </w:instrText>
      </w:r>
      <w:r>
        <w:fldChar w:fldCharType="separate"/>
      </w:r>
      <w:r>
        <w:rPr>
          <w:rStyle w:val="46"/>
          <w:rFonts w:ascii="Times New Roman" w:hAnsi="Times New Roman"/>
          <w:b/>
          <w:bCs/>
        </w:rPr>
        <w:t>6.7</w:t>
      </w:r>
      <w:r>
        <w:rPr>
          <w:rStyle w:val="46"/>
          <w:rFonts w:ascii="宋体" w:hAnsi="宋体"/>
          <w:b/>
          <w:bCs/>
        </w:rPr>
        <w:t xml:space="preserve"> 定标</w:t>
      </w:r>
      <w:r>
        <w:tab/>
      </w:r>
      <w:r>
        <w:fldChar w:fldCharType="begin"/>
      </w:r>
      <w:r>
        <w:instrText xml:space="preserve"> PAGEREF _Toc70684302 \h </w:instrText>
      </w:r>
      <w:r>
        <w:fldChar w:fldCharType="separate"/>
      </w:r>
      <w:r>
        <w:t>231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"_Toc70684303" </w:instrText>
      </w:r>
      <w:r>
        <w:fldChar w:fldCharType="separate"/>
      </w:r>
      <w:r>
        <w:rPr>
          <w:rStyle w:val="46"/>
          <w:rFonts w:ascii="Times New Roman" w:hAnsi="Times New Roman"/>
          <w:b/>
          <w:bCs/>
        </w:rPr>
        <w:t>6.8</w:t>
      </w:r>
      <w:r>
        <w:rPr>
          <w:rStyle w:val="46"/>
          <w:rFonts w:ascii="宋体" w:hAnsi="宋体"/>
          <w:b/>
          <w:bCs/>
        </w:rPr>
        <w:t xml:space="preserve"> 评标专家在政府采购活动中承担以下义务</w:t>
      </w:r>
      <w:r>
        <w:tab/>
      </w:r>
      <w:r>
        <w:fldChar w:fldCharType="begin"/>
      </w:r>
      <w:r>
        <w:instrText xml:space="preserve"> PAGEREF _Toc70684303 \h </w:instrText>
      </w:r>
      <w:r>
        <w:fldChar w:fldCharType="separate"/>
      </w:r>
      <w:r>
        <w:t>232</w:t>
      </w:r>
      <w:r>
        <w:fldChar w:fldCharType="end"/>
      </w:r>
      <w:r>
        <w:fldChar w:fldCharType="end"/>
      </w:r>
    </w:p>
    <w:p>
      <w:pPr>
        <w:pStyle w:val="35"/>
        <w:rPr>
          <w:rFonts w:asciiTheme="minorHAnsi" w:hAnsiTheme="minorHAnsi" w:cstheme="minorBidi"/>
          <w:smallCaps w:val="0"/>
          <w:sz w:val="21"/>
          <w:szCs w:val="22"/>
        </w:rPr>
      </w:pPr>
      <w:r>
        <w:fldChar w:fldCharType="begin"/>
      </w:r>
      <w:r>
        <w:instrText xml:space="preserve"> HYPERLINK \l "_Toc70684304" </w:instrText>
      </w:r>
      <w:r>
        <w:fldChar w:fldCharType="separate"/>
      </w:r>
      <w:r>
        <w:rPr>
          <w:rStyle w:val="46"/>
          <w:rFonts w:ascii="Times New Roman" w:hAnsi="Times New Roman"/>
          <w:b/>
          <w:bCs/>
        </w:rPr>
        <w:t>6.9</w:t>
      </w:r>
      <w:r>
        <w:rPr>
          <w:rStyle w:val="46"/>
          <w:rFonts w:ascii="宋体" w:hAnsi="宋体"/>
          <w:b/>
          <w:bCs/>
        </w:rPr>
        <w:t xml:space="preserve"> 评标委员会及其成员不得有下列行为</w:t>
      </w:r>
      <w:r>
        <w:tab/>
      </w:r>
      <w:r>
        <w:fldChar w:fldCharType="begin"/>
      </w:r>
      <w:r>
        <w:instrText xml:space="preserve"> PAGEREF _Toc70684304 \h </w:instrText>
      </w:r>
      <w:r>
        <w:fldChar w:fldCharType="separate"/>
      </w:r>
      <w:r>
        <w:t>233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"_Toc70684305" </w:instrText>
      </w:r>
      <w:r>
        <w:fldChar w:fldCharType="separate"/>
      </w:r>
      <w:r>
        <w:rPr>
          <w:rStyle w:val="46"/>
          <w:rFonts w:ascii="Times New Roman" w:hAnsi="Times New Roman"/>
          <w:b/>
          <w:bCs/>
        </w:rPr>
        <w:t>6.10</w:t>
      </w:r>
      <w:r>
        <w:rPr>
          <w:rStyle w:val="46"/>
          <w:rFonts w:ascii="宋体" w:hAnsi="宋体"/>
          <w:b/>
          <w:bCs/>
        </w:rPr>
        <w:t xml:space="preserve"> 评审专家在政府采购活动中应当遵守以下工作纪律</w:t>
      </w:r>
      <w:r>
        <w:tab/>
      </w:r>
      <w:r>
        <w:fldChar w:fldCharType="begin"/>
      </w:r>
      <w:r>
        <w:instrText xml:space="preserve"> PAGEREF _Toc70684305 \h </w:instrText>
      </w:r>
      <w:r>
        <w:fldChar w:fldCharType="separate"/>
      </w:r>
      <w:r>
        <w:t>234</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"_Toc70684306" </w:instrText>
      </w:r>
      <w:r>
        <w:fldChar w:fldCharType="separate"/>
      </w:r>
      <w:r>
        <w:rPr>
          <w:rStyle w:val="46"/>
          <w:rFonts w:ascii="Times New Roman" w:hAnsi="Times New Roman"/>
          <w:b/>
          <w:spacing w:val="-20"/>
          <w:kern w:val="44"/>
        </w:rPr>
        <w:t>第7章</w:t>
      </w:r>
      <w:r>
        <w:rPr>
          <w:rFonts w:asciiTheme="minorHAnsi" w:hAnsiTheme="minorHAnsi" w:eastAsiaTheme="minorEastAsia" w:cstheme="minorBidi"/>
          <w:bCs w:val="0"/>
          <w:caps w:val="0"/>
          <w:sz w:val="21"/>
          <w:szCs w:val="22"/>
        </w:rPr>
        <w:tab/>
      </w:r>
      <w:r>
        <w:rPr>
          <w:rStyle w:val="46"/>
          <w:rFonts w:ascii="宋体" w:hAnsi="宋体"/>
          <w:b/>
          <w:spacing w:val="-20"/>
          <w:kern w:val="44"/>
        </w:rPr>
        <w:t>拟签订合同文本</w:t>
      </w:r>
      <w:r>
        <w:tab/>
      </w:r>
      <w:r>
        <w:fldChar w:fldCharType="begin"/>
      </w:r>
      <w:r>
        <w:instrText xml:space="preserve"> PAGEREF _Toc70684306 \h </w:instrText>
      </w:r>
      <w:r>
        <w:fldChar w:fldCharType="separate"/>
      </w:r>
      <w:r>
        <w:t>23</w:t>
      </w:r>
      <w:r>
        <w:rPr>
          <w:rFonts w:hint="eastAsia"/>
          <w:lang w:val="en-US" w:eastAsia="zh-CN"/>
        </w:rPr>
        <w:t>6</w:t>
      </w:r>
      <w:r>
        <w:fldChar w:fldCharType="end"/>
      </w:r>
      <w:r>
        <w:fldChar w:fldCharType="end"/>
      </w:r>
    </w:p>
    <w:p>
      <w:pPr>
        <w:tabs>
          <w:tab w:val="left" w:pos="620"/>
          <w:tab w:val="right" w:leader="dot" w:pos="8364"/>
        </w:tabs>
        <w:ind w:left="180"/>
        <w:rPr>
          <w:rFonts w:ascii="宋体" w:hAnsi="宋体"/>
          <w:b/>
          <w:bCs/>
          <w:caps/>
          <w:smallCaps/>
          <w:sz w:val="20"/>
          <w:szCs w:val="20"/>
        </w:rPr>
      </w:pPr>
      <w:r>
        <w:rPr>
          <w:rFonts w:hint="eastAsia"/>
        </w:rPr>
        <w:fldChar w:fldCharType="end"/>
      </w:r>
    </w:p>
    <w:p/>
    <w:p/>
    <w:p>
      <w:pPr>
        <w:pStyle w:val="2"/>
      </w:pPr>
    </w:p>
    <w:p/>
    <w:p>
      <w:pPr>
        <w:pStyle w:val="2"/>
      </w:pPr>
    </w:p>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610856"/>
      <w:bookmarkStart w:id="5" w:name="_Toc70684273"/>
      <w:bookmarkStart w:id="6" w:name="_Toc204575871"/>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rPr>
        <w:t>蒲江县公共资源交易服务中心(以下简称“县公资交易中心”)受</w:t>
      </w:r>
      <w:r>
        <w:rPr>
          <w:rFonts w:hint="eastAsia" w:ascii="宋体" w:hAnsi="宋体"/>
          <w:b/>
          <w:sz w:val="28"/>
          <w:szCs w:val="28"/>
        </w:rPr>
        <w:t>蒲江县文化体育和旅游局</w:t>
      </w:r>
      <w:r>
        <w:rPr>
          <w:rFonts w:hint="eastAsia" w:ascii="宋体" w:hAnsi="宋体"/>
          <w:sz w:val="28"/>
          <w:szCs w:val="28"/>
        </w:rPr>
        <w:t>委托，拟对</w:t>
      </w:r>
      <w:r>
        <w:rPr>
          <w:rFonts w:hint="eastAsia" w:ascii="宋体" w:hAnsi="宋体"/>
          <w:b/>
          <w:sz w:val="28"/>
          <w:szCs w:val="28"/>
          <w:u w:val="single"/>
        </w:rPr>
        <w:t>蒲江县博物馆新馆特展厅展陈石刻文物修复采购项目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63" w:firstLine="567"/>
        <w:rPr>
          <w:rFonts w:hint="eastAsia" w:ascii="宋体" w:hAnsi="宋体"/>
          <w:b/>
          <w:sz w:val="28"/>
          <w:szCs w:val="28"/>
        </w:rPr>
      </w:pPr>
      <w:r>
        <w:rPr>
          <w:rFonts w:hint="eastAsia" w:ascii="宋体" w:hAnsi="宋体"/>
          <w:b/>
          <w:sz w:val="28"/>
          <w:szCs w:val="28"/>
        </w:rPr>
        <w:t>项目编号：510131202100045</w:t>
      </w:r>
    </w:p>
    <w:p>
      <w:pPr>
        <w:numPr>
          <w:ilvl w:val="0"/>
          <w:numId w:val="6"/>
        </w:numPr>
        <w:spacing w:line="360" w:lineRule="auto"/>
        <w:ind w:left="1051"/>
        <w:rPr>
          <w:rFonts w:ascii="宋体" w:hAnsi="宋体"/>
          <w:b/>
          <w:sz w:val="28"/>
          <w:szCs w:val="28"/>
        </w:rPr>
      </w:pPr>
      <w:r>
        <w:rPr>
          <w:rFonts w:hint="eastAsia" w:ascii="宋体" w:hAnsi="宋体"/>
          <w:b/>
          <w:sz w:val="28"/>
          <w:szCs w:val="28"/>
        </w:rPr>
        <w:t>项目名称：蒲江县博物馆新馆特展厅展陈石刻文物修复采购项目</w:t>
      </w:r>
    </w:p>
    <w:p>
      <w:pPr>
        <w:numPr>
          <w:ilvl w:val="0"/>
          <w:numId w:val="6"/>
        </w:numPr>
        <w:spacing w:line="360" w:lineRule="auto"/>
        <w:ind w:left="63"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lang w:val="en-US" w:eastAsia="zh-CN"/>
        </w:rPr>
        <w:t>0002668</w:t>
      </w:r>
      <w:r>
        <w:rPr>
          <w:rFonts w:hint="eastAsia" w:ascii="宋体" w:hAnsi="宋体"/>
          <w:sz w:val="28"/>
          <w:szCs w:val="28"/>
        </w:rPr>
        <w:t xml:space="preserve"> 号；预算品目：其他服务；预算金额：</w:t>
      </w:r>
      <w:r>
        <w:rPr>
          <w:rFonts w:hint="eastAsia" w:ascii="仿宋" w:hAnsi="仿宋" w:eastAsia="仿宋" w:cs="仿宋"/>
          <w:color w:val="000000" w:themeColor="text1"/>
          <w:sz w:val="28"/>
          <w:szCs w:val="28"/>
          <w14:textFill>
            <w14:solidFill>
              <w14:schemeClr w14:val="tx1"/>
            </w14:solidFill>
          </w14:textFill>
        </w:rPr>
        <w:t>479.65万</w:t>
      </w:r>
      <w:r>
        <w:rPr>
          <w:rFonts w:hint="eastAsia" w:ascii="宋体" w:hAnsi="宋体"/>
          <w:color w:val="000000" w:themeColor="text1"/>
          <w:sz w:val="28"/>
          <w:szCs w:val="28"/>
          <w14:textFill>
            <w14:solidFill>
              <w14:schemeClr w14:val="tx1"/>
            </w14:solidFill>
          </w14:textFill>
        </w:rPr>
        <w:t>元</w:t>
      </w:r>
      <w:r>
        <w:rPr>
          <w:rFonts w:hint="eastAsia" w:ascii="宋体" w:hAnsi="宋体"/>
          <w:sz w:val="28"/>
          <w:szCs w:val="28"/>
        </w:rPr>
        <w:t>；最高限价：</w:t>
      </w:r>
      <w:r>
        <w:rPr>
          <w:rFonts w:hint="eastAsia" w:ascii="仿宋" w:hAnsi="仿宋" w:eastAsia="仿宋" w:cs="仿宋"/>
          <w:color w:val="000000" w:themeColor="text1"/>
          <w:sz w:val="28"/>
          <w:szCs w:val="28"/>
          <w14:textFill>
            <w14:solidFill>
              <w14:schemeClr w14:val="tx1"/>
            </w14:solidFill>
          </w14:textFill>
        </w:rPr>
        <w:t>479.65万</w:t>
      </w:r>
      <w:r>
        <w:rPr>
          <w:rFonts w:hint="eastAsia" w:ascii="宋体" w:hAnsi="宋体"/>
          <w:color w:val="000000" w:themeColor="text1"/>
          <w:sz w:val="28"/>
          <w:szCs w:val="28"/>
          <w14:textFill>
            <w14:solidFill>
              <w14:schemeClr w14:val="tx1"/>
            </w14:solidFill>
          </w14:textFill>
        </w:rPr>
        <w:t>元</w:t>
      </w:r>
      <w:r>
        <w:rPr>
          <w:rFonts w:hint="eastAsia" w:ascii="宋体" w:hAnsi="宋体"/>
          <w:sz w:val="28"/>
          <w:szCs w:val="28"/>
        </w:rPr>
        <w:t>。</w:t>
      </w:r>
      <w:r>
        <w:rPr>
          <w:rFonts w:ascii="宋体" w:hAnsi="宋体"/>
          <w:sz w:val="28"/>
          <w:szCs w:val="28"/>
        </w:rPr>
        <w:t>所属行业：</w:t>
      </w:r>
      <w:r>
        <w:rPr>
          <w:rFonts w:hint="eastAsia" w:ascii="仿宋" w:hAnsi="仿宋" w:eastAsia="仿宋" w:cs="仿宋"/>
          <w:bCs/>
          <w:sz w:val="28"/>
          <w:szCs w:val="28"/>
          <w:lang w:eastAsia="zh-Hans"/>
        </w:rPr>
        <w:t>其它未列明行业</w:t>
      </w:r>
      <w:r>
        <w:rPr>
          <w:rFonts w:ascii="宋体" w:hAnsi="宋体"/>
          <w:sz w:val="28"/>
          <w:szCs w:val="28"/>
        </w:rPr>
        <w:t>。</w:t>
      </w:r>
    </w:p>
    <w:p>
      <w:pPr>
        <w:numPr>
          <w:ilvl w:val="0"/>
          <w:numId w:val="6"/>
        </w:numPr>
        <w:spacing w:line="360" w:lineRule="auto"/>
        <w:ind w:left="63" w:firstLine="567"/>
        <w:rPr>
          <w:rFonts w:ascii="宋体" w:hAnsi="宋体"/>
          <w:sz w:val="28"/>
        </w:rPr>
      </w:pPr>
      <w:r>
        <w:rPr>
          <w:rFonts w:hint="eastAsia" w:ascii="宋体" w:hAnsi="宋体"/>
          <w:b/>
          <w:sz w:val="28"/>
          <w:szCs w:val="28"/>
        </w:rPr>
        <w:t>招标项目简介</w:t>
      </w:r>
    </w:p>
    <w:p>
      <w:pPr>
        <w:spacing w:line="360" w:lineRule="auto"/>
        <w:ind w:firstLine="560" w:firstLineChars="200"/>
        <w:rPr>
          <w:rFonts w:ascii="宋体" w:hAnsi="宋体"/>
          <w:sz w:val="28"/>
          <w:szCs w:val="28"/>
        </w:rPr>
      </w:pPr>
      <w:r>
        <w:rPr>
          <w:rFonts w:hint="eastAsia" w:ascii="宋体" w:hAnsi="宋体"/>
          <w:sz w:val="28"/>
          <w:szCs w:val="28"/>
        </w:rPr>
        <w:t>本次采购的项目为蒲江县博物馆新馆特展厅展陈石刻文物修复采购项目。</w:t>
      </w: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63"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483"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483"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spacing w:line="360" w:lineRule="auto"/>
        <w:ind w:left="483"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483"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483"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483"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spacing w:line="360" w:lineRule="auto"/>
        <w:ind w:left="483" w:firstLine="567"/>
        <w:rPr>
          <w:rFonts w:asciiTheme="minorEastAsia" w:hAnsiTheme="minorEastAsia" w:eastAsiaTheme="minorEastAsia"/>
          <w:sz w:val="28"/>
          <w:szCs w:val="28"/>
        </w:rPr>
      </w:pPr>
      <w:r>
        <w:rPr>
          <w:rFonts w:hint="eastAsia" w:cs="仿宋" w:asciiTheme="minorEastAsia" w:hAnsiTheme="minorEastAsia" w:eastAsiaTheme="minorEastAsia"/>
          <w:sz w:val="28"/>
          <w:szCs w:val="28"/>
        </w:rPr>
        <w:t>本项目特定资格条件：</w:t>
      </w:r>
    </w:p>
    <w:p>
      <w:pPr>
        <w:spacing w:line="360" w:lineRule="auto"/>
        <w:ind w:left="1050"/>
        <w:rPr>
          <w:rFonts w:asciiTheme="minorEastAsia" w:hAnsiTheme="minorEastAsia" w:eastAsiaTheme="minorEastAsia"/>
          <w:sz w:val="28"/>
          <w:szCs w:val="28"/>
        </w:rPr>
      </w:pPr>
      <w:r>
        <w:rPr>
          <w:rFonts w:hint="eastAsia" w:cs="仿宋" w:asciiTheme="minorEastAsia" w:hAnsiTheme="minorEastAsia" w:eastAsiaTheme="minorEastAsia"/>
          <w:sz w:val="28"/>
          <w:szCs w:val="28"/>
        </w:rPr>
        <w:t>1、具备国家行业主管部门颁发的可移动文物修复资质证书（业务范围包含石器、石刻类文物）;</w:t>
      </w:r>
    </w:p>
    <w:p>
      <w:pPr>
        <w:numPr>
          <w:ilvl w:val="1"/>
          <w:numId w:val="7"/>
        </w:numPr>
        <w:spacing w:line="360" w:lineRule="auto"/>
        <w:ind w:left="483" w:firstLine="567"/>
        <w:rPr>
          <w:rFonts w:ascii="宋体" w:hAnsi="宋体"/>
          <w:sz w:val="28"/>
          <w:szCs w:val="28"/>
        </w:rPr>
      </w:pPr>
      <w:r>
        <w:rPr>
          <w:rFonts w:hint="eastAsia" w:ascii="宋体" w:hAnsi="宋体"/>
          <w:sz w:val="28"/>
          <w:szCs w:val="28"/>
        </w:rPr>
        <w:t>本项目不接受联合体投标。</w:t>
      </w:r>
    </w:p>
    <w:p>
      <w:pPr>
        <w:spacing w:line="360" w:lineRule="auto"/>
        <w:ind w:left="630"/>
        <w:rPr>
          <w:rFonts w:ascii="宋体" w:hAnsi="宋体"/>
          <w:i/>
          <w:sz w:val="28"/>
        </w:rPr>
      </w:pPr>
      <w:r>
        <w:rPr>
          <w:rFonts w:hint="eastAsia" w:ascii="宋体" w:hAnsi="宋体"/>
          <w:b/>
          <w:sz w:val="28"/>
          <w:szCs w:val="28"/>
        </w:rPr>
        <w:t>六、招标文件获取时间</w:t>
      </w:r>
    </w:p>
    <w:p>
      <w:pPr>
        <w:spacing w:line="360" w:lineRule="auto"/>
        <w:ind w:firstLine="562" w:firstLineChars="200"/>
        <w:rPr>
          <w:rFonts w:ascii="宋体" w:hAnsi="宋体"/>
          <w:b/>
          <w:sz w:val="28"/>
          <w:szCs w:val="28"/>
        </w:rPr>
      </w:pPr>
      <w:r>
        <w:rPr>
          <w:rFonts w:hint="eastAsia" w:ascii="宋体" w:hAnsi="宋体"/>
          <w:b/>
          <w:sz w:val="28"/>
          <w:szCs w:val="28"/>
        </w:rPr>
        <w:t>（一）招标文件获取时间：202</w:t>
      </w:r>
      <w:r>
        <w:rPr>
          <w:rFonts w:ascii="宋体" w:hAnsi="宋体"/>
          <w:b/>
          <w:sz w:val="28"/>
          <w:szCs w:val="28"/>
        </w:rPr>
        <w:t>1</w:t>
      </w:r>
      <w:r>
        <w:rPr>
          <w:rFonts w:hint="eastAsia" w:ascii="宋体" w:hAnsi="宋体"/>
          <w:b/>
          <w:sz w:val="28"/>
          <w:szCs w:val="28"/>
        </w:rPr>
        <w:t>年</w:t>
      </w:r>
      <w:r>
        <w:rPr>
          <w:rFonts w:hint="eastAsia" w:ascii="宋体" w:hAnsi="宋体"/>
          <w:b/>
          <w:sz w:val="28"/>
          <w:szCs w:val="28"/>
          <w:lang w:val="en-US" w:eastAsia="zh-CN"/>
        </w:rPr>
        <w:t>8</w:t>
      </w:r>
      <w:r>
        <w:rPr>
          <w:rFonts w:hint="eastAsia" w:ascii="宋体" w:hAnsi="宋体"/>
          <w:b/>
          <w:sz w:val="28"/>
          <w:szCs w:val="28"/>
        </w:rPr>
        <w:t>月</w:t>
      </w:r>
      <w:r>
        <w:rPr>
          <w:rFonts w:hint="eastAsia" w:ascii="宋体" w:hAnsi="宋体"/>
          <w:b/>
          <w:sz w:val="28"/>
          <w:szCs w:val="28"/>
          <w:lang w:val="en-US" w:eastAsia="zh-CN"/>
        </w:rPr>
        <w:t>3</w:t>
      </w:r>
      <w:r>
        <w:rPr>
          <w:rFonts w:hint="eastAsia" w:ascii="宋体" w:hAnsi="宋体"/>
          <w:b/>
          <w:sz w:val="28"/>
          <w:szCs w:val="28"/>
        </w:rPr>
        <w:t xml:space="preserve"> 日至2021年</w:t>
      </w:r>
      <w:r>
        <w:rPr>
          <w:rFonts w:hint="eastAsia" w:ascii="宋体" w:hAnsi="宋体"/>
          <w:b/>
          <w:sz w:val="28"/>
          <w:szCs w:val="28"/>
          <w:lang w:val="en-US" w:eastAsia="zh-CN"/>
        </w:rPr>
        <w:t>8</w:t>
      </w:r>
      <w:r>
        <w:rPr>
          <w:rFonts w:hint="eastAsia" w:ascii="宋体" w:hAnsi="宋体"/>
          <w:b/>
          <w:sz w:val="28"/>
          <w:szCs w:val="28"/>
        </w:rPr>
        <w:t xml:space="preserve"> 月</w:t>
      </w:r>
      <w:r>
        <w:rPr>
          <w:rFonts w:hint="eastAsia" w:ascii="宋体" w:hAnsi="宋体"/>
          <w:b/>
          <w:sz w:val="28"/>
          <w:szCs w:val="28"/>
          <w:lang w:val="en-US" w:eastAsia="zh-CN"/>
        </w:rPr>
        <w:t>23</w:t>
      </w:r>
      <w:r>
        <w:rPr>
          <w:rFonts w:hint="eastAsia" w:ascii="宋体" w:hAnsi="宋体"/>
          <w:b/>
          <w:sz w:val="28"/>
          <w:szCs w:val="28"/>
        </w:rPr>
        <w:t xml:space="preserve"> 日。</w:t>
      </w:r>
    </w:p>
    <w:p>
      <w:pPr>
        <w:spacing w:line="360" w:lineRule="auto"/>
        <w:ind w:firstLine="562" w:firstLineChars="200"/>
        <w:rPr>
          <w:rFonts w:ascii="宋体" w:hAnsi="宋体"/>
          <w:b/>
          <w:sz w:val="28"/>
          <w:szCs w:val="28"/>
        </w:rPr>
      </w:pPr>
      <w:r>
        <w:rPr>
          <w:rFonts w:hint="eastAsia" w:ascii="宋体" w:hAnsi="宋体"/>
          <w:b/>
          <w:sz w:val="28"/>
          <w:szCs w:val="28"/>
        </w:rPr>
        <w:t>（二）公告期限：2021 年</w:t>
      </w:r>
      <w:r>
        <w:rPr>
          <w:rFonts w:hint="eastAsia" w:ascii="宋体" w:hAnsi="宋体"/>
          <w:b/>
          <w:sz w:val="28"/>
          <w:szCs w:val="28"/>
          <w:lang w:val="en-US" w:eastAsia="zh-CN"/>
        </w:rPr>
        <w:t>8</w:t>
      </w:r>
      <w:r>
        <w:rPr>
          <w:rFonts w:hint="eastAsia" w:ascii="宋体" w:hAnsi="宋体"/>
          <w:b/>
          <w:sz w:val="28"/>
          <w:szCs w:val="28"/>
        </w:rPr>
        <w:t>月</w:t>
      </w:r>
      <w:r>
        <w:rPr>
          <w:rFonts w:hint="eastAsia" w:ascii="宋体" w:hAnsi="宋体"/>
          <w:b/>
          <w:sz w:val="28"/>
          <w:szCs w:val="28"/>
          <w:lang w:val="en-US" w:eastAsia="zh-CN"/>
        </w:rPr>
        <w:t>3</w:t>
      </w:r>
      <w:r>
        <w:rPr>
          <w:rFonts w:hint="eastAsia" w:ascii="宋体" w:hAnsi="宋体"/>
          <w:b/>
          <w:sz w:val="28"/>
          <w:szCs w:val="28"/>
        </w:rPr>
        <w:t xml:space="preserve"> 日至</w:t>
      </w:r>
      <w:r>
        <w:rPr>
          <w:rFonts w:hint="eastAsia" w:ascii="宋体" w:hAnsi="宋体"/>
          <w:b/>
          <w:sz w:val="28"/>
          <w:szCs w:val="28"/>
          <w:lang w:val="en-US" w:eastAsia="zh-CN"/>
        </w:rPr>
        <w:t>8</w:t>
      </w:r>
      <w:r>
        <w:rPr>
          <w:rFonts w:hint="eastAsia" w:ascii="宋体" w:hAnsi="宋体"/>
          <w:b/>
          <w:sz w:val="28"/>
          <w:szCs w:val="28"/>
        </w:rPr>
        <w:t xml:space="preserve"> 月 </w:t>
      </w:r>
      <w:r>
        <w:rPr>
          <w:rFonts w:hint="eastAsia" w:ascii="宋体" w:hAnsi="宋体"/>
          <w:b/>
          <w:sz w:val="28"/>
          <w:szCs w:val="28"/>
          <w:lang w:val="en-US" w:eastAsia="zh-CN"/>
        </w:rPr>
        <w:t>9</w:t>
      </w:r>
      <w:r>
        <w:rPr>
          <w:rFonts w:hint="eastAsia" w:ascii="宋体" w:hAnsi="宋体"/>
          <w:b/>
          <w:sz w:val="28"/>
          <w:szCs w:val="28"/>
        </w:rPr>
        <w:t xml:space="preserve"> 日。</w:t>
      </w:r>
    </w:p>
    <w:p>
      <w:pPr>
        <w:spacing w:line="360" w:lineRule="auto"/>
        <w:ind w:firstLine="560" w:firstLineChars="200"/>
        <w:rPr>
          <w:rFonts w:ascii="宋体" w:hAnsi="宋体"/>
          <w:sz w:val="28"/>
          <w:szCs w:val="28"/>
        </w:rPr>
      </w:pPr>
      <w:r>
        <w:rPr>
          <w:rFonts w:hint="eastAsia" w:ascii="宋体" w:hAnsi="宋体"/>
          <w:sz w:val="28"/>
          <w:szCs w:val="28"/>
        </w:rPr>
        <w:t>（三）供应商如对招标文件有质疑的，应于自招标文件公告期限届满之日起七个工作日内以书面形式提出。</w:t>
      </w:r>
    </w:p>
    <w:p>
      <w:pPr>
        <w:spacing w:line="360" w:lineRule="auto"/>
        <w:ind w:left="630"/>
        <w:rPr>
          <w:rFonts w:ascii="宋体" w:hAnsi="宋体"/>
          <w:b/>
          <w:sz w:val="28"/>
          <w:szCs w:val="28"/>
        </w:rPr>
      </w:pPr>
      <w:r>
        <w:rPr>
          <w:rFonts w:hint="eastAsia" w:ascii="宋体" w:hAnsi="宋体"/>
          <w:b/>
          <w:sz w:val="28"/>
          <w:szCs w:val="28"/>
        </w:rPr>
        <w:t>七、招标文件获取方式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spacing w:line="360" w:lineRule="auto"/>
        <w:ind w:left="630"/>
        <w:rPr>
          <w:rFonts w:ascii="宋体" w:hAnsi="宋体"/>
          <w:b/>
          <w:sz w:val="28"/>
          <w:szCs w:val="28"/>
        </w:rPr>
      </w:pPr>
      <w:r>
        <w:rPr>
          <w:rFonts w:hint="eastAsia" w:ascii="宋体" w:hAnsi="宋体"/>
          <w:b/>
          <w:sz w:val="28"/>
          <w:szCs w:val="28"/>
        </w:rPr>
        <w:t>八、招标文件获取地点</w:t>
      </w:r>
    </w:p>
    <w:p>
      <w:pPr>
        <w:spacing w:line="360" w:lineRule="auto"/>
        <w:ind w:firstLine="565" w:firstLineChars="202"/>
        <w:rPr>
          <w:rFonts w:ascii="宋体" w:hAnsi="宋体"/>
          <w:sz w:val="28"/>
          <w:szCs w:val="28"/>
        </w:rPr>
      </w:pPr>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spacing w:line="360" w:lineRule="auto"/>
        <w:ind w:left="630"/>
        <w:rPr>
          <w:rFonts w:ascii="宋体" w:hAnsi="宋体"/>
          <w:b/>
          <w:sz w:val="28"/>
          <w:szCs w:val="28"/>
        </w:rPr>
      </w:pPr>
      <w:bookmarkStart w:id="8" w:name="_Toc184013605"/>
      <w:bookmarkStart w:id="9" w:name="_Toc180051012"/>
      <w:bookmarkStart w:id="10" w:name="_Toc174185149"/>
      <w:bookmarkStart w:id="11" w:name="_Toc186274101"/>
      <w:bookmarkStart w:id="12" w:name="_Toc184023104"/>
      <w:r>
        <w:rPr>
          <w:rFonts w:hint="eastAsia" w:ascii="宋体" w:hAnsi="宋体"/>
          <w:b/>
          <w:sz w:val="28"/>
          <w:szCs w:val="28"/>
        </w:rPr>
        <w:t>九、投标文件递交截止时间及开标时间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sz w:val="28"/>
          <w:szCs w:val="28"/>
        </w:rPr>
      </w:pPr>
      <w:r>
        <w:rPr>
          <w:rFonts w:hint="eastAsia" w:ascii="宋体" w:hAnsi="宋体"/>
          <w:sz w:val="28"/>
          <w:szCs w:val="28"/>
        </w:rPr>
        <w:t>（一）投标文件递交截止时间及开标时间：202</w:t>
      </w:r>
      <w:r>
        <w:rPr>
          <w:rFonts w:hint="eastAsia" w:ascii="宋体" w:hAnsi="宋体"/>
          <w:sz w:val="28"/>
          <w:szCs w:val="28"/>
          <w:lang w:val="en-US" w:eastAsia="zh-CN"/>
        </w:rPr>
        <w:t>1</w:t>
      </w:r>
      <w:r>
        <w:rPr>
          <w:rFonts w:hint="eastAsia" w:ascii="宋体" w:hAnsi="宋体"/>
          <w:sz w:val="28"/>
          <w:szCs w:val="28"/>
        </w:rPr>
        <w:t>年</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24</w:t>
      </w:r>
      <w:r>
        <w:rPr>
          <w:rFonts w:hint="eastAsia" w:ascii="宋体" w:hAnsi="宋体"/>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（二）投标文件递交方式、地点：投标截止时间前，投标人应将加密的电子投标文件递交至“政府采购云平台”对应项目（包件）。</w:t>
      </w:r>
    </w:p>
    <w:p>
      <w:pPr>
        <w:spacing w:line="360" w:lineRule="auto"/>
        <w:ind w:left="630"/>
        <w:rPr>
          <w:rFonts w:ascii="宋体" w:hAnsi="宋体"/>
          <w:b/>
          <w:sz w:val="28"/>
          <w:szCs w:val="28"/>
        </w:rPr>
      </w:pPr>
      <w:r>
        <w:rPr>
          <w:rFonts w:hint="eastAsia" w:ascii="宋体" w:hAnsi="宋体"/>
          <w:b/>
          <w:sz w:val="28"/>
          <w:szCs w:val="28"/>
        </w:rPr>
        <w:t>十、开标地点</w:t>
      </w:r>
    </w:p>
    <w:p>
      <w:pPr>
        <w:spacing w:line="360" w:lineRule="auto"/>
        <w:ind w:firstLine="420" w:firstLineChars="150"/>
        <w:jc w:val="left"/>
        <w:rPr>
          <w:rFonts w:ascii="宋体" w:hAnsi="宋体"/>
          <w:sz w:val="28"/>
          <w:szCs w:val="28"/>
        </w:rPr>
      </w:pPr>
      <w:r>
        <w:rPr>
          <w:rFonts w:hint="eastAsia" w:ascii="宋体" w:hAnsi="宋体"/>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spacing w:line="360" w:lineRule="auto"/>
        <w:ind w:left="630"/>
        <w:rPr>
          <w:rFonts w:ascii="宋体" w:hAnsi="宋体"/>
          <w:b/>
          <w:sz w:val="28"/>
          <w:szCs w:val="28"/>
        </w:rPr>
      </w:pPr>
      <w:r>
        <w:rPr>
          <w:rFonts w:hint="eastAsia" w:ascii="宋体" w:hAnsi="宋体"/>
          <w:b/>
          <w:sz w:val="28"/>
          <w:szCs w:val="28"/>
        </w:rPr>
        <w:t>十一、政采中小企业政府采购信用担保融资</w:t>
      </w:r>
    </w:p>
    <w:p>
      <w:pPr>
        <w:spacing w:line="360" w:lineRule="auto"/>
        <w:ind w:firstLine="560" w:firstLineChars="200"/>
        <w:rPr>
          <w:rFonts w:ascii="宋体" w:hAnsi="宋体"/>
          <w:b/>
          <w:sz w:val="28"/>
          <w:szCs w:val="28"/>
        </w:rPr>
      </w:pPr>
      <w:r>
        <w:rPr>
          <w:rFonts w:hint="eastAsia" w:ascii="宋体" w:hAnsi="宋体"/>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spacing w:line="360" w:lineRule="auto"/>
        <w:ind w:firstLine="562" w:firstLineChars="200"/>
        <w:rPr>
          <w:rFonts w:ascii="宋体" w:hAnsi="宋体"/>
          <w:b/>
          <w:sz w:val="28"/>
          <w:szCs w:val="28"/>
        </w:rPr>
      </w:pPr>
      <w:r>
        <w:rPr>
          <w:rFonts w:hint="eastAsia" w:ascii="宋体" w:hAnsi="宋体"/>
          <w:b/>
          <w:sz w:val="28"/>
          <w:szCs w:val="28"/>
        </w:rPr>
        <w:t>十二、本投标邀请在“四川政府采购网”</w:t>
      </w:r>
      <w:r>
        <w:rPr>
          <w:rFonts w:hint="eastAsia" w:ascii="宋体" w:hAnsi="宋体"/>
          <w:sz w:val="28"/>
          <w:szCs w:val="28"/>
        </w:rPr>
        <w:t>和</w:t>
      </w:r>
      <w:r>
        <w:rPr>
          <w:rFonts w:hint="eastAsia" w:ascii="宋体" w:hAnsi="宋体"/>
          <w:b/>
          <w:sz w:val="28"/>
          <w:szCs w:val="28"/>
        </w:rPr>
        <w:t>“成都市公共资源交易服务中心”网站上以公告形式发布</w:t>
      </w:r>
    </w:p>
    <w:p>
      <w:pPr>
        <w:spacing w:line="360" w:lineRule="auto"/>
        <w:ind w:firstLine="562" w:firstLineChars="200"/>
        <w:rPr>
          <w:rFonts w:ascii="宋体" w:hAnsi="宋体"/>
          <w:b/>
          <w:sz w:val="28"/>
          <w:szCs w:val="28"/>
        </w:rPr>
      </w:pPr>
      <w:r>
        <w:rPr>
          <w:rFonts w:hint="eastAsia" w:ascii="宋体" w:hAnsi="宋体"/>
          <w:b/>
          <w:sz w:val="28"/>
          <w:szCs w:val="28"/>
        </w:rPr>
        <w:t>十三、联系方式</w:t>
      </w:r>
    </w:p>
    <w:p>
      <w:pPr>
        <w:spacing w:line="360" w:lineRule="auto"/>
        <w:ind w:firstLine="568" w:firstLineChars="202"/>
        <w:rPr>
          <w:rFonts w:ascii="宋体" w:hAnsi="宋体"/>
          <w:b/>
          <w:sz w:val="28"/>
        </w:rPr>
      </w:pPr>
      <w:r>
        <w:rPr>
          <w:rFonts w:hint="eastAsia" w:ascii="宋体" w:hAnsi="宋体"/>
          <w:b/>
          <w:sz w:val="28"/>
        </w:rPr>
        <w:t>采购人：蒲江县文化体育和旅游局</w:t>
      </w:r>
    </w:p>
    <w:p>
      <w:pPr>
        <w:pStyle w:val="148"/>
        <w:ind w:firstLine="560"/>
        <w:rPr>
          <w:rFonts w:ascii="宋体" w:hAnsi="宋体"/>
          <w:kern w:val="0"/>
          <w:sz w:val="28"/>
          <w:szCs w:val="22"/>
        </w:rPr>
      </w:pPr>
      <w:r>
        <w:rPr>
          <w:rFonts w:hint="eastAsia" w:ascii="宋体" w:hAnsi="宋体"/>
          <w:kern w:val="0"/>
          <w:sz w:val="28"/>
          <w:szCs w:val="22"/>
        </w:rPr>
        <w:t>地  址：蒲江县桫椤路上段54号</w:t>
      </w:r>
    </w:p>
    <w:p>
      <w:pPr>
        <w:pStyle w:val="148"/>
        <w:ind w:firstLine="560"/>
        <w:rPr>
          <w:rFonts w:ascii="宋体" w:hAnsi="宋体"/>
          <w:kern w:val="0"/>
          <w:sz w:val="28"/>
          <w:szCs w:val="28"/>
        </w:rPr>
      </w:pPr>
      <w:r>
        <w:rPr>
          <w:rFonts w:hint="eastAsia" w:ascii="宋体" w:hAnsi="宋体"/>
          <w:kern w:val="0"/>
          <w:sz w:val="28"/>
          <w:szCs w:val="28"/>
        </w:rPr>
        <w:t>联系人：陈龙</w:t>
      </w:r>
    </w:p>
    <w:p>
      <w:pPr>
        <w:spacing w:line="360" w:lineRule="auto"/>
        <w:ind w:firstLine="567"/>
        <w:rPr>
          <w:rFonts w:ascii="宋体" w:hAnsi="宋体"/>
          <w:b/>
          <w:bCs/>
          <w:sz w:val="28"/>
          <w:szCs w:val="28"/>
        </w:rPr>
      </w:pPr>
      <w:r>
        <w:rPr>
          <w:rFonts w:hint="eastAsia" w:ascii="宋体" w:hAnsi="宋体"/>
          <w:sz w:val="28"/>
        </w:rPr>
        <w:t>联系电话：</w:t>
      </w:r>
      <w:r>
        <w:rPr>
          <w:rFonts w:hint="eastAsia" w:ascii="宋体" w:hAnsi="宋体"/>
          <w:color w:val="000000" w:themeColor="text1"/>
          <w:sz w:val="28"/>
          <w14:textFill>
            <w14:solidFill>
              <w14:schemeClr w14:val="tx1"/>
            </w14:solidFill>
          </w14:textFill>
        </w:rPr>
        <w:t>028-88532520</w:t>
      </w:r>
    </w:p>
    <w:p>
      <w:pPr>
        <w:spacing w:line="360" w:lineRule="auto"/>
        <w:ind w:firstLine="568" w:firstLineChars="202"/>
        <w:rPr>
          <w:rFonts w:ascii="宋体" w:hAnsi="宋体"/>
          <w:b/>
          <w:sz w:val="28"/>
        </w:rPr>
      </w:pPr>
      <w:r>
        <w:rPr>
          <w:rFonts w:hint="eastAsia" w:ascii="宋体" w:hAnsi="宋体"/>
          <w:b/>
          <w:sz w:val="28"/>
        </w:rPr>
        <w:t>采购代理机构：蒲江县公共资源交易服务中心</w:t>
      </w:r>
    </w:p>
    <w:p>
      <w:pPr>
        <w:spacing w:line="360" w:lineRule="auto"/>
        <w:ind w:firstLine="560" w:firstLineChars="200"/>
        <w:rPr>
          <w:rFonts w:ascii="宋体" w:hAnsi="宋体"/>
          <w:sz w:val="28"/>
        </w:rPr>
      </w:pPr>
      <w:r>
        <w:rPr>
          <w:rFonts w:hint="eastAsia" w:ascii="宋体" w:hAnsi="宋体"/>
          <w:sz w:val="28"/>
        </w:rPr>
        <w:t>地  址：</w:t>
      </w:r>
      <w:r>
        <w:rPr>
          <w:rFonts w:hint="eastAsia" w:ascii="宋体" w:hAnsi="宋体"/>
          <w:sz w:val="28"/>
          <w:szCs w:val="28"/>
        </w:rPr>
        <w:t>蒲江县鹤山街道工业南路16号4楼</w:t>
      </w:r>
    </w:p>
    <w:p>
      <w:pPr>
        <w:spacing w:line="360" w:lineRule="auto"/>
        <w:ind w:firstLine="565" w:firstLineChars="202"/>
        <w:rPr>
          <w:rFonts w:ascii="宋体" w:hAnsi="宋体"/>
          <w:sz w:val="28"/>
        </w:rPr>
      </w:pPr>
      <w:r>
        <w:rPr>
          <w:rFonts w:hint="eastAsia" w:ascii="宋体" w:hAnsi="宋体"/>
          <w:sz w:val="28"/>
        </w:rPr>
        <w:t>邮  编：611630</w:t>
      </w:r>
    </w:p>
    <w:p>
      <w:pPr>
        <w:spacing w:line="360" w:lineRule="auto"/>
        <w:ind w:firstLine="565" w:firstLineChars="202"/>
        <w:rPr>
          <w:rFonts w:ascii="宋体" w:hAnsi="宋体"/>
          <w:sz w:val="28"/>
        </w:rPr>
      </w:pPr>
      <w:r>
        <w:rPr>
          <w:rFonts w:hint="eastAsia" w:ascii="宋体" w:hAnsi="宋体"/>
          <w:sz w:val="28"/>
        </w:rPr>
        <w:t>联系人：胡婷</w:t>
      </w:r>
    </w:p>
    <w:p>
      <w:pPr>
        <w:spacing w:line="360" w:lineRule="auto"/>
        <w:ind w:firstLine="565" w:firstLineChars="202"/>
        <w:rPr>
          <w:rFonts w:ascii="宋体" w:hAnsi="宋体"/>
          <w:kern w:val="0"/>
          <w:sz w:val="28"/>
        </w:rPr>
      </w:pPr>
      <w:r>
        <w:rPr>
          <w:rFonts w:hint="eastAsia" w:ascii="宋体" w:hAnsi="宋体"/>
          <w:sz w:val="28"/>
        </w:rPr>
        <w:t>联系电话：028-</w:t>
      </w:r>
      <w:r>
        <w:rPr>
          <w:rFonts w:hint="eastAsia" w:ascii="宋体" w:hAnsi="宋体"/>
          <w:kern w:val="0"/>
          <w:sz w:val="28"/>
        </w:rPr>
        <w:t>88606008</w:t>
      </w:r>
    </w:p>
    <w:p>
      <w:pPr>
        <w:spacing w:line="360" w:lineRule="auto"/>
        <w:ind w:firstLine="562" w:firstLineChars="200"/>
        <w:rPr>
          <w:rFonts w:ascii="宋体" w:hAnsi="宋体"/>
          <w:b/>
          <w:sz w:val="28"/>
          <w:szCs w:val="28"/>
        </w:rPr>
      </w:pPr>
      <w:r>
        <w:rPr>
          <w:rFonts w:hint="eastAsia" w:ascii="宋体" w:hAnsi="宋体"/>
          <w:b/>
          <w:sz w:val="28"/>
          <w:szCs w:val="28"/>
        </w:rPr>
        <w:t>集中采购监督机构：蒲江县财政局</w:t>
      </w:r>
    </w:p>
    <w:p>
      <w:pPr>
        <w:spacing w:line="360" w:lineRule="auto"/>
        <w:ind w:firstLine="560" w:firstLineChars="200"/>
        <w:jc w:val="left"/>
        <w:rPr>
          <w:rFonts w:ascii="宋体" w:hAnsi="宋体"/>
          <w:color w:val="000000"/>
          <w:sz w:val="28"/>
          <w:szCs w:val="28"/>
        </w:rPr>
      </w:pPr>
      <w:r>
        <w:rPr>
          <w:rFonts w:hint="eastAsia" w:ascii="宋体" w:hAnsi="宋体"/>
          <w:sz w:val="28"/>
          <w:szCs w:val="28"/>
        </w:rPr>
        <w:t>地 址：</w:t>
      </w:r>
      <w:r>
        <w:rPr>
          <w:rFonts w:hint="eastAsia" w:ascii="宋体" w:hAnsi="宋体"/>
          <w:color w:val="000000"/>
          <w:sz w:val="28"/>
          <w:szCs w:val="28"/>
        </w:rPr>
        <w:t>蒲江县鹤山</w:t>
      </w:r>
      <w:r>
        <w:rPr>
          <w:rFonts w:ascii="宋体" w:hAnsi="宋体"/>
          <w:color w:val="000000"/>
          <w:sz w:val="28"/>
          <w:szCs w:val="28"/>
        </w:rPr>
        <w:t>街道</w:t>
      </w:r>
      <w:r>
        <w:rPr>
          <w:rFonts w:hint="eastAsia" w:ascii="宋体" w:hAnsi="宋体"/>
          <w:color w:val="000000"/>
          <w:sz w:val="28"/>
          <w:szCs w:val="28"/>
        </w:rPr>
        <w:t>桫椤路73</w:t>
      </w:r>
      <w:r>
        <w:rPr>
          <w:rFonts w:ascii="宋体" w:hAnsi="宋体"/>
          <w:color w:val="000000"/>
          <w:sz w:val="28"/>
          <w:szCs w:val="28"/>
        </w:rPr>
        <w:t>号</w:t>
      </w:r>
    </w:p>
    <w:p>
      <w:pPr>
        <w:spacing w:line="360" w:lineRule="auto"/>
        <w:ind w:firstLine="560" w:firstLineChars="200"/>
        <w:jc w:val="left"/>
        <w:rPr>
          <w:rFonts w:ascii="宋体" w:hAnsi="宋体" w:cstheme="minorBidi"/>
          <w:sz w:val="28"/>
          <w:szCs w:val="28"/>
        </w:rPr>
      </w:pPr>
      <w:r>
        <w:rPr>
          <w:rFonts w:ascii="宋体" w:hAnsi="宋体"/>
          <w:color w:val="000000"/>
          <w:sz w:val="28"/>
          <w:szCs w:val="28"/>
        </w:rPr>
        <w:t>联系人：</w:t>
      </w:r>
      <w:r>
        <w:rPr>
          <w:rFonts w:hint="eastAsia" w:ascii="宋体" w:hAnsi="宋体"/>
          <w:color w:val="000000"/>
          <w:sz w:val="28"/>
          <w:szCs w:val="28"/>
        </w:rPr>
        <w:t>袁星祥</w:t>
      </w:r>
    </w:p>
    <w:p>
      <w:pPr>
        <w:spacing w:line="360" w:lineRule="auto"/>
        <w:ind w:firstLine="560" w:firstLineChars="200"/>
        <w:jc w:val="left"/>
        <w:rPr>
          <w:rFonts w:ascii="宋体" w:hAnsi="宋体"/>
          <w:sz w:val="28"/>
          <w:szCs w:val="28"/>
        </w:rPr>
      </w:pPr>
      <w:r>
        <w:rPr>
          <w:rFonts w:hint="eastAsia" w:ascii="宋体" w:hAnsi="宋体" w:cstheme="minorBidi"/>
          <w:sz w:val="28"/>
          <w:szCs w:val="28"/>
        </w:rPr>
        <w:t>联系电话：</w:t>
      </w:r>
      <w:r>
        <w:rPr>
          <w:rFonts w:ascii="宋体" w:hAnsi="宋体"/>
          <w:sz w:val="28"/>
          <w:szCs w:val="28"/>
        </w:rPr>
        <w:t>028-</w:t>
      </w:r>
      <w:r>
        <w:rPr>
          <w:rFonts w:hint="eastAsia" w:ascii="宋体" w:hAnsi="宋体"/>
          <w:sz w:val="28"/>
          <w:szCs w:val="28"/>
        </w:rPr>
        <w:t>88555192</w:t>
      </w: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0" w:firstLineChars="200"/>
        <w:rPr>
          <w:rFonts w:ascii="宋体" w:hAnsi="宋体" w:cstheme="minorBidi"/>
          <w:sz w:val="28"/>
          <w:szCs w:val="28"/>
        </w:rPr>
      </w:pPr>
    </w:p>
    <w:p>
      <w:pPr>
        <w:pStyle w:val="2"/>
        <w:rPr>
          <w:rFonts w:ascii="宋体" w:hAnsi="宋体" w:cstheme="minorBidi"/>
          <w:sz w:val="28"/>
          <w:szCs w:val="28"/>
        </w:rPr>
      </w:pPr>
    </w:p>
    <w:p>
      <w:pPr>
        <w:rPr>
          <w:rFonts w:ascii="宋体" w:hAnsi="宋体" w:cstheme="minorBidi"/>
          <w:sz w:val="28"/>
          <w:szCs w:val="28"/>
        </w:rPr>
      </w:pPr>
    </w:p>
    <w:p>
      <w:pPr>
        <w:pStyle w:val="2"/>
        <w:rPr>
          <w:rFonts w:ascii="宋体" w:hAnsi="宋体" w:cstheme="minorBidi"/>
          <w:sz w:val="28"/>
          <w:szCs w:val="28"/>
        </w:rPr>
      </w:pPr>
    </w:p>
    <w:p>
      <w:pPr>
        <w:rPr>
          <w:rFonts w:ascii="宋体" w:hAnsi="宋体" w:cstheme="minorBidi"/>
          <w:sz w:val="28"/>
          <w:szCs w:val="28"/>
        </w:rPr>
      </w:pPr>
    </w:p>
    <w:p>
      <w:pPr>
        <w:pStyle w:val="2"/>
      </w:pP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3" w:name="_Toc70684274"/>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496268"/>
      <w:bookmarkStart w:id="16" w:name="_Toc213396946"/>
      <w:bookmarkStart w:id="17" w:name="_Toc316462344"/>
      <w:bookmarkStart w:id="18" w:name="_Toc189727030"/>
      <w:bookmarkStart w:id="19" w:name="_Toc217446032"/>
      <w:bookmarkStart w:id="20" w:name="_Toc70684275"/>
      <w:bookmarkStart w:id="21" w:name="_Toc213396760"/>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lang w:val="zh-CN"/>
              </w:rPr>
            </w:pPr>
            <w:r>
              <w:rPr>
                <w:rFonts w:hint="eastAsia" w:ascii="宋体" w:hAnsi="宋体" w:cs="宋体"/>
                <w:b/>
                <w:lang w:val="zh-CN"/>
              </w:rPr>
              <w:t>人民币</w:t>
            </w:r>
            <w:r>
              <w:rPr>
                <w:rFonts w:hint="eastAsia" w:ascii="宋体" w:hAnsi="宋体" w:cs="宋体"/>
                <w:b/>
              </w:rPr>
              <w:t>479.65万</w:t>
            </w:r>
            <w:r>
              <w:rPr>
                <w:rFonts w:hint="eastAsia" w:ascii="宋体" w:hAnsi="宋体" w:cs="宋体"/>
                <w:b/>
                <w:lang w:val="zh-CN"/>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6"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本项目最高限价为人民币</w:t>
            </w:r>
            <w:r>
              <w:rPr>
                <w:rFonts w:hint="eastAsia" w:ascii="宋体" w:hAnsi="宋体" w:cs="宋体"/>
                <w:b/>
              </w:rPr>
              <w:t>479.65万</w:t>
            </w:r>
            <w:r>
              <w:rPr>
                <w:rFonts w:hint="eastAsia" w:ascii="宋体" w:hAnsi="宋体" w:cs="宋体"/>
                <w:b/>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lang w:val="zh-CN"/>
              </w:rPr>
            </w:pPr>
            <w:r>
              <w:rPr>
                <w:rFonts w:hint="eastAsia"/>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94" w:rightChars="45"/>
              <w:rPr>
                <w:rFonts w:ascii="宋体" w:hAnsi="宋体" w:cs="宋体"/>
                <w:sz w:val="24"/>
                <w:szCs w:val="24"/>
                <w:lang w:val="zh-CN"/>
              </w:rPr>
            </w:pPr>
            <w:r>
              <w:rPr>
                <w:rFonts w:hint="eastAsia" w:ascii="宋体" w:hAnsi="宋体" w:cs="宋体"/>
                <w:sz w:val="24"/>
                <w:szCs w:val="24"/>
                <w:lang w:val="zh-CN"/>
              </w:rPr>
              <w:t>1.根据《政府采购促进中小企业发展管理办法》（财库〔2020〕46号）的规定，对小型和微型企业给予10%的价格扣除，用扣除后的价格参与评审。</w:t>
            </w:r>
          </w:p>
          <w:p>
            <w:pPr>
              <w:autoSpaceDE w:val="0"/>
              <w:autoSpaceDN w:val="0"/>
              <w:adjustRightInd w:val="0"/>
              <w:spacing w:line="360" w:lineRule="auto"/>
              <w:ind w:right="210" w:rightChars="100"/>
              <w:rPr>
                <w:rFonts w:ascii="宋体" w:hAnsi="宋体" w:cs="宋体"/>
                <w:lang w:val="zh-CN"/>
              </w:rPr>
            </w:pPr>
            <w:r>
              <w:rPr>
                <w:rFonts w:hint="eastAsia" w:ascii="宋体" w:hAnsi="宋体" w:cs="宋体"/>
                <w:sz w:val="24"/>
                <w:szCs w:val="24"/>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lang w:val="zh-CN"/>
              </w:rPr>
            </w:pPr>
            <w:r>
              <w:rPr>
                <w:rFonts w:hint="eastAsia"/>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kern w:val="0"/>
                <w:sz w:val="24"/>
                <w:szCs w:val="24"/>
                <w:lang w:val="zh-CN"/>
              </w:rPr>
            </w:pPr>
            <w:r>
              <w:rPr>
                <w:rFonts w:hint="eastAsia" w:ascii="宋体" w:hAnsi="宋体" w:cs="宋体"/>
                <w:kern w:val="0"/>
                <w:sz w:val="24"/>
                <w:szCs w:val="24"/>
                <w:lang w:val="zh-CN"/>
              </w:rPr>
              <w:t>１.根据《关于政府采购支持监狱企业发展有关问题的通知》（财库〔2014〕68号）的规定，监狱企业视同小型、微型企业，对监狱企业给予10%的价格扣除，用扣除后的价格参与评审。</w:t>
            </w:r>
          </w:p>
          <w:p>
            <w:pPr>
              <w:autoSpaceDE w:val="0"/>
              <w:autoSpaceDN w:val="0"/>
              <w:adjustRightInd w:val="0"/>
              <w:spacing w:line="360" w:lineRule="auto"/>
              <w:ind w:right="210" w:rightChars="100"/>
              <w:rPr>
                <w:rFonts w:ascii="宋体" w:hAnsi="宋体" w:cs="宋体"/>
                <w:lang w:val="zh-CN"/>
              </w:rPr>
            </w:pPr>
            <w:r>
              <w:rPr>
                <w:rFonts w:hint="eastAsia" w:ascii="宋体" w:hAnsi="宋体" w:cs="宋体"/>
                <w:kern w:val="0"/>
                <w:sz w:val="24"/>
                <w:szCs w:val="24"/>
                <w:lang w:val="zh-CN"/>
              </w:rPr>
              <w:t>２.投标人为监狱企业的,应提供由省级以上监狱管理局、戒毒管理局（含新疆生产建设兵团）出具的投标人属于监狱企业的证明文件复印件。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lang w:val="zh-CN"/>
              </w:rPr>
            </w:pPr>
            <w:r>
              <w:rPr>
                <w:rFonts w:hint="eastAsia"/>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kern w:val="0"/>
                <w:sz w:val="24"/>
                <w:szCs w:val="24"/>
                <w:lang w:val="zh-CN"/>
              </w:rPr>
            </w:pPr>
            <w:r>
              <w:rPr>
                <w:rFonts w:hint="eastAsia" w:ascii="宋体" w:hAnsi="宋体" w:cs="宋体"/>
                <w:kern w:val="0"/>
                <w:sz w:val="24"/>
                <w:szCs w:val="24"/>
                <w:lang w:val="zh-CN"/>
              </w:rPr>
              <w:t>1.根据《三部门联合发布关于促进残疾人就业政府采购政策的通知》（财库[2017]141号）的规定，残疾人福利性单位视同小型、微型企业，对残疾人福利性单位给予10%的价格扣除，用扣除后的价格参与评审。</w:t>
            </w:r>
          </w:p>
          <w:p>
            <w:pPr>
              <w:autoSpaceDE w:val="0"/>
              <w:autoSpaceDN w:val="0"/>
              <w:adjustRightInd w:val="0"/>
              <w:spacing w:line="360" w:lineRule="auto"/>
              <w:ind w:right="210" w:rightChars="100"/>
              <w:rPr>
                <w:rFonts w:ascii="宋体" w:hAnsi="宋体" w:cs="宋体"/>
                <w:lang w:val="zh-CN"/>
              </w:rPr>
            </w:pPr>
            <w:r>
              <w:rPr>
                <w:rFonts w:hint="eastAsia" w:ascii="宋体" w:hAnsi="宋体" w:cs="宋体"/>
                <w:kern w:val="0"/>
                <w:sz w:val="24"/>
                <w:szCs w:val="24"/>
                <w:lang w:val="zh-CN"/>
              </w:rPr>
              <w:t>2.投标文件中应提供《残疾人福利性单位声明函》。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pStyle w:val="119"/>
              <w:ind w:left="38"/>
              <w:rPr>
                <w:lang w:val="zh-CN"/>
              </w:rPr>
            </w:pPr>
            <w:r>
              <w:rPr>
                <w:rFonts w:hint="eastAsia"/>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投标截止时间前，将电子投标文件上传至政府</w:t>
            </w:r>
            <w:r>
              <w:rPr>
                <w:rFonts w:ascii="宋体" w:hAnsi="宋体"/>
              </w:rPr>
              <w:t>采购</w:t>
            </w:r>
            <w:r>
              <w:rPr>
                <w:rFonts w:hint="eastAsia" w:ascii="宋体" w:hAnsi="宋体"/>
              </w:rPr>
              <w:t>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向县公资交易中心提出，并由县公资交易中心按相关规定作出答复（详见投标人须知2.8）。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rPr>
            </w:pPr>
            <w:r>
              <w:rPr>
                <w:rFonts w:hint="eastAsia" w:ascii="宋体" w:hAnsi="宋体"/>
              </w:rPr>
              <w:t>投诉受理单位：本项目同级财政部门，即蒲江县财政局。</w:t>
            </w:r>
          </w:p>
          <w:p>
            <w:pPr>
              <w:spacing w:line="360" w:lineRule="auto"/>
              <w:jc w:val="left"/>
              <w:rPr>
                <w:rFonts w:ascii="宋体" w:hAnsi="宋体"/>
              </w:rPr>
            </w:pPr>
            <w:r>
              <w:rPr>
                <w:rFonts w:hint="eastAsia" w:ascii="宋体" w:hAnsi="宋体"/>
              </w:rPr>
              <w:t>联系电话：028-88555192</w:t>
            </w:r>
          </w:p>
          <w:p>
            <w:pPr>
              <w:tabs>
                <w:tab w:val="left" w:pos="7665"/>
              </w:tabs>
              <w:snapToGrid w:val="0"/>
              <w:spacing w:line="360" w:lineRule="auto"/>
              <w:rPr>
                <w:rFonts w:ascii="宋体" w:hAnsi="宋体"/>
              </w:rPr>
            </w:pPr>
            <w:r>
              <w:rPr>
                <w:rFonts w:hint="eastAsia" w:ascii="宋体" w:hAnsi="宋体"/>
              </w:rPr>
              <w:t>地址：蒲江县鹤山街道桫椤路73号。</w:t>
            </w:r>
          </w:p>
          <w:p>
            <w:pPr>
              <w:tabs>
                <w:tab w:val="left" w:pos="7665"/>
              </w:tabs>
              <w:snapToGrid w:val="0"/>
              <w:spacing w:line="360" w:lineRule="auto"/>
              <w:rPr>
                <w:rFonts w:ascii="宋体" w:hAnsi="宋体"/>
              </w:rPr>
            </w:pPr>
            <w:r>
              <w:rPr>
                <w:rFonts w:hint="eastAsia" w:ascii="宋体" w:hAnsi="宋体"/>
              </w:rPr>
              <w:t>邮编：611630。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w:t>
            </w:r>
            <w:r>
              <w:rPr>
                <w:rFonts w:hint="eastAsia" w:ascii="宋体"/>
                <w:color w:val="000000" w:themeColor="text1"/>
                <w14:textFill>
                  <w14:solidFill>
                    <w14:schemeClr w14:val="tx1"/>
                  </w14:solidFill>
                </w14:textFill>
              </w:rPr>
              <w:t>疫情防控期间，采购人原则上在5个工作日内与供应商签</w:t>
            </w:r>
            <w:r>
              <w:rPr>
                <w:rFonts w:hint="eastAsia" w:ascii="宋体"/>
              </w:rPr>
              <w:t>订政府采购合同及向本采购项目同级财政部门，即蒲江县财政局备案政府采购合同。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53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rPr>
            </w:pPr>
            <w:r>
              <w:rPr>
                <w:rFonts w:hint="eastAsia" w:ascii="宋体"/>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tabs>
                <w:tab w:val="left" w:pos="7665"/>
              </w:tabs>
              <w:snapToGrid w:val="0"/>
              <w:spacing w:line="360" w:lineRule="auto"/>
              <w:rPr>
                <w:rFonts w:ascii="宋体" w:hAnsi="宋体"/>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9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70684276"/>
      <w:r>
        <w:rPr>
          <w:rFonts w:hint="eastAsia" w:ascii="宋体" w:hAnsi="宋体"/>
          <w:b/>
          <w:bCs/>
          <w:sz w:val="28"/>
          <w:szCs w:val="28"/>
        </w:rPr>
        <w:t>总则</w:t>
      </w:r>
      <w:bookmarkEnd w:id="22"/>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适用范围</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县公资交易中心享有。对招标文件中供应商参加本次政府采购活动应当具备的条件，招标项目技术、服务、商务及其他要求，评标细则及标准由采购人负责解释。除上述招标文件内容，其他内容由县公资交易中心负责解释。</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有关定义</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“采购人”和“甲方”系指依法进行政府采购的蒲江县级机关、事业单位、团体组织。本次招标的采购人是</w:t>
      </w:r>
      <w:r>
        <w:rPr>
          <w:rFonts w:hint="eastAsia" w:ascii="宋体" w:hAnsi="宋体"/>
          <w:b/>
          <w:sz w:val="28"/>
          <w:szCs w:val="28"/>
        </w:rPr>
        <w:t>蒲江县文化体育和旅游局</w:t>
      </w:r>
      <w:r>
        <w:rPr>
          <w:rFonts w:hint="eastAsia" w:ascii="宋体" w:hAnsi="宋体"/>
          <w:sz w:val="28"/>
          <w:szCs w:val="28"/>
        </w:rPr>
        <w:t>。</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四、本招标文件各部分规定的“以上”、“以下”、“内”、“以内”，包括本数；所称的“不足”，不包括本数。</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五、重大违法记录是指供应商因违法经营受到刑事处罚或者责令停产停业、吊销许可证或者执照、较大数额罚款等行政处罚。</w:t>
      </w:r>
    </w:p>
    <w:p>
      <w:pPr>
        <w:keepNext/>
        <w:keepLines/>
        <w:numPr>
          <w:ilvl w:val="2"/>
          <w:numId w:val="5"/>
        </w:numPr>
        <w:spacing w:line="360" w:lineRule="auto"/>
        <w:ind w:left="4589" w:hanging="3119"/>
        <w:outlineLvl w:val="2"/>
        <w:rPr>
          <w:rFonts w:ascii="宋体" w:hAnsi="宋体"/>
          <w:b/>
          <w:bCs/>
          <w:sz w:val="28"/>
          <w:szCs w:val="28"/>
        </w:rPr>
      </w:pPr>
      <w:bookmarkStart w:id="23" w:name="_Toc183582207"/>
      <w:bookmarkStart w:id="24" w:name="_Toc217446036"/>
      <w:bookmarkStart w:id="25" w:name="_Toc217390843"/>
      <w:bookmarkStart w:id="26" w:name="_Toc183682344"/>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1"/>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0"/>
        </w:numPr>
        <w:tabs>
          <w:tab w:val="left" w:pos="1134"/>
        </w:tabs>
        <w:adjustRightInd w:val="0"/>
        <w:spacing w:line="560" w:lineRule="exact"/>
        <w:ind w:firstLine="560" w:firstLineChars="200"/>
        <w:rPr>
          <w:rFonts w:ascii="宋体" w:hAnsi="宋体"/>
          <w:sz w:val="28"/>
          <w:szCs w:val="28"/>
        </w:rPr>
      </w:pPr>
      <w:r>
        <w:rPr>
          <w:rFonts w:hint="eastAsia" w:ascii="宋体" w:hAnsi="宋体"/>
          <w:sz w:val="28"/>
          <w:szCs w:val="28"/>
          <w:lang w:eastAsia="zh-CN"/>
        </w:rPr>
        <w:t>一、</w:t>
      </w:r>
      <w:r>
        <w:rPr>
          <w:rFonts w:hint="eastAsia" w:ascii="宋体" w:hAnsi="宋体"/>
          <w:sz w:val="28"/>
          <w:szCs w:val="28"/>
        </w:rPr>
        <w:t>单位负责人为同一人或者存在直接控股、管理关系的不同供应商，不得参加同一项目的投标。</w:t>
      </w:r>
    </w:p>
    <w:p>
      <w:pPr>
        <w:numPr>
          <w:ilvl w:val="0"/>
          <w:numId w:val="0"/>
        </w:numPr>
        <w:tabs>
          <w:tab w:val="left" w:pos="1134"/>
        </w:tabs>
        <w:adjustRightInd w:val="0"/>
        <w:spacing w:line="560" w:lineRule="exact"/>
        <w:ind w:firstLine="560" w:firstLineChars="200"/>
        <w:rPr>
          <w:rFonts w:ascii="宋体" w:hAnsi="宋体"/>
          <w:b/>
          <w:color w:val="FF0000"/>
          <w:sz w:val="28"/>
          <w:szCs w:val="28"/>
          <w:highlight w:val="none"/>
        </w:rPr>
      </w:pPr>
      <w:r>
        <w:rPr>
          <w:rFonts w:hint="eastAsia" w:ascii="宋体" w:hAnsi="宋体"/>
          <w:color w:val="000000" w:themeColor="text1"/>
          <w:sz w:val="28"/>
          <w:szCs w:val="28"/>
          <w:highlight w:val="none"/>
          <w:lang w:eastAsia="zh-CN"/>
          <w14:textFill>
            <w14:solidFill>
              <w14:schemeClr w14:val="tx1"/>
            </w14:solidFill>
          </w14:textFill>
        </w:rPr>
        <w:t>二、</w:t>
      </w:r>
      <w:r>
        <w:rPr>
          <w:rFonts w:hint="eastAsia" w:ascii="宋体" w:hAnsi="宋体"/>
          <w:color w:val="000000" w:themeColor="text1"/>
          <w:sz w:val="28"/>
          <w:szCs w:val="28"/>
          <w:highlight w:val="none"/>
          <w14:textFill>
            <w14:solidFill>
              <w14:schemeClr w14:val="tx1"/>
            </w14:solidFill>
          </w14:textFill>
        </w:rPr>
        <w:t>为采购项目提供整体设计、</w:t>
      </w:r>
      <w:r>
        <w:rPr>
          <w:rFonts w:hint="eastAsia" w:ascii="宋体" w:hAnsi="宋体"/>
          <w:sz w:val="28"/>
          <w:szCs w:val="28"/>
          <w:highlight w:val="none"/>
        </w:rPr>
        <w:t>规范编制或者项目管理、监理、检测等服务的供应商，不得再参加该采购项目的其他采购活动。供应商为采购人、</w:t>
      </w:r>
      <w:r>
        <w:rPr>
          <w:rFonts w:hint="eastAsia" w:ascii="宋体" w:cs="Arial"/>
          <w:sz w:val="28"/>
          <w:szCs w:val="28"/>
          <w:highlight w:val="none"/>
        </w:rPr>
        <w:t>采购代理机构</w:t>
      </w:r>
      <w:r>
        <w:rPr>
          <w:rFonts w:hint="eastAsia" w:ascii="宋体" w:hAnsi="宋体"/>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bCs/>
          <w:sz w:val="28"/>
          <w:szCs w:val="28"/>
          <w:highlight w:val="none"/>
          <w:lang w:eastAsia="zh-CN"/>
        </w:rPr>
        <w:t>（</w:t>
      </w:r>
      <w:r>
        <w:rPr>
          <w:rFonts w:hint="eastAsia" w:ascii="宋体" w:hAnsi="宋体"/>
          <w:b/>
          <w:bCs/>
          <w:sz w:val="28"/>
          <w:szCs w:val="28"/>
        </w:rPr>
        <w:t>说</w:t>
      </w:r>
      <w:r>
        <w:rPr>
          <w:rFonts w:hint="eastAsia" w:ascii="宋体" w:hAnsi="宋体"/>
          <w:b/>
          <w:sz w:val="28"/>
          <w:szCs w:val="28"/>
        </w:rPr>
        <w:t>明：</w:t>
      </w:r>
      <w:r>
        <w:rPr>
          <w:rFonts w:hint="eastAsia" w:ascii="宋体" w:hAnsi="宋体"/>
          <w:b/>
          <w:color w:val="000000" w:themeColor="text1"/>
          <w:sz w:val="28"/>
          <w:szCs w:val="28"/>
          <w:highlight w:val="none"/>
          <w:lang w:val="en-US" w:eastAsia="zh-CN"/>
          <w14:textFill>
            <w14:solidFill>
              <w14:schemeClr w14:val="tx1"/>
            </w14:solidFill>
          </w14:textFill>
        </w:rPr>
        <w:t>北京科技大学、北京国文琰文物保护发展有限公司（联合体）</w:t>
      </w:r>
      <w:r>
        <w:rPr>
          <w:rFonts w:hint="eastAsia" w:ascii="宋体" w:hAnsi="宋体"/>
          <w:b/>
          <w:color w:val="000000" w:themeColor="text1"/>
          <w:sz w:val="28"/>
          <w:szCs w:val="28"/>
          <w14:textFill>
            <w14:solidFill>
              <w14:schemeClr w14:val="tx1"/>
            </w14:solidFill>
          </w14:textFill>
        </w:rPr>
        <w:t>为本项目</w:t>
      </w:r>
      <w:r>
        <w:rPr>
          <w:rFonts w:hint="eastAsia" w:ascii="宋体" w:hAnsi="宋体"/>
          <w:b/>
          <w:sz w:val="28"/>
          <w:szCs w:val="28"/>
        </w:rPr>
        <w:t>提供整体设计、规范编制或者项目管理、监理、检测等服务</w:t>
      </w:r>
      <w:r>
        <w:rPr>
          <w:rFonts w:hint="eastAsia" w:ascii="宋体" w:hAnsi="宋体"/>
          <w:b/>
          <w:bCs/>
          <w:sz w:val="28"/>
          <w:szCs w:val="28"/>
          <w:highlight w:val="none"/>
          <w:lang w:eastAsia="zh-CN"/>
        </w:rPr>
        <w:t>）</w:t>
      </w:r>
    </w:p>
    <w:p>
      <w:pPr>
        <w:numPr>
          <w:ilvl w:val="0"/>
          <w:numId w:val="0"/>
        </w:numPr>
        <w:tabs>
          <w:tab w:val="left" w:pos="1134"/>
        </w:tabs>
        <w:adjustRightInd w:val="0"/>
        <w:spacing w:line="560" w:lineRule="exact"/>
        <w:ind w:left="840" w:leftChars="0"/>
        <w:rPr>
          <w:rFonts w:ascii="宋体" w:hAnsi="宋体"/>
          <w:b/>
          <w:sz w:val="28"/>
          <w:szCs w:val="28"/>
        </w:rPr>
      </w:pPr>
    </w:p>
    <w:p>
      <w:pPr>
        <w:pStyle w:val="2"/>
      </w:pPr>
    </w:p>
    <w:p>
      <w:pPr>
        <w:keepNext/>
        <w:keepLines/>
        <w:numPr>
          <w:ilvl w:val="1"/>
          <w:numId w:val="5"/>
        </w:numPr>
        <w:spacing w:line="360" w:lineRule="auto"/>
        <w:jc w:val="left"/>
        <w:outlineLvl w:val="1"/>
        <w:rPr>
          <w:rFonts w:ascii="宋体" w:hAnsi="宋体"/>
          <w:b/>
          <w:bCs/>
          <w:sz w:val="28"/>
          <w:szCs w:val="28"/>
        </w:rPr>
      </w:pPr>
      <w:bookmarkStart w:id="27" w:name="_Toc70684277"/>
      <w:bookmarkStart w:id="28" w:name="_Toc183582210"/>
      <w:bookmarkStart w:id="29" w:name="_Toc217446039"/>
      <w:bookmarkStart w:id="30" w:name="_Toc183682347"/>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招标文件的构成</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3"/>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1470" w:firstLine="0"/>
        <w:outlineLvl w:val="2"/>
        <w:rPr>
          <w:rFonts w:ascii="宋体" w:hAnsi="宋体"/>
          <w:b/>
          <w:bCs/>
          <w:sz w:val="28"/>
          <w:szCs w:val="28"/>
        </w:rPr>
      </w:pPr>
      <w:bookmarkStart w:id="31" w:name="_Toc183582211"/>
      <w:bookmarkStart w:id="32" w:name="_Toc183682348"/>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183582214"/>
      <w:bookmarkStart w:id="35" w:name="_Toc77400780"/>
      <w:bookmarkStart w:id="36" w:name="_Toc217446042"/>
      <w:bookmarkStart w:id="37" w:name="_Toc183682351"/>
      <w:bookmarkStart w:id="38" w:name="_Toc89075876"/>
    </w:p>
    <w:p>
      <w:pPr>
        <w:numPr>
          <w:ilvl w:val="0"/>
          <w:numId w:val="14"/>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县公资交易中心</w:t>
      </w:r>
      <w:r>
        <w:rPr>
          <w:rFonts w:hint="eastAsia" w:ascii="宋体" w:hAnsi="宋体"/>
          <w:sz w:val="28"/>
          <w:szCs w:val="28"/>
        </w:rPr>
        <w:t>可以对已发出的招标文件进行必要的澄清或者修改。</w:t>
      </w:r>
    </w:p>
    <w:p>
      <w:pPr>
        <w:numPr>
          <w:ilvl w:val="0"/>
          <w:numId w:val="14"/>
        </w:numPr>
        <w:spacing w:after="200" w:line="360" w:lineRule="auto"/>
        <w:ind w:left="0" w:firstLine="567"/>
        <w:rPr>
          <w:rFonts w:ascii="宋体" w:hAnsi="宋体"/>
          <w:sz w:val="28"/>
          <w:szCs w:val="28"/>
        </w:rPr>
      </w:pPr>
      <w:r>
        <w:rPr>
          <w:rFonts w:hint="eastAsia" w:ascii="宋体" w:hAnsi="宋体"/>
          <w:sz w:val="28"/>
          <w:szCs w:val="28"/>
        </w:rPr>
        <w:t>澄清或者修改的内容，县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4"/>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县公资交易中心应当在投标截止时间至少15日前，通过政府采购云平台通知所有获取招标文件的潜在投标人；不足15日的，采购人或县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70684278"/>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1470" w:firstLine="0"/>
        <w:outlineLvl w:val="2"/>
        <w:rPr>
          <w:rFonts w:ascii="宋体" w:hAnsi="宋体"/>
          <w:b/>
          <w:bCs/>
          <w:sz w:val="28"/>
          <w:szCs w:val="28"/>
        </w:rPr>
      </w:pPr>
      <w:bookmarkStart w:id="40" w:name="_Toc217446043"/>
      <w:bookmarkStart w:id="41" w:name="_Toc183582215"/>
      <w:bookmarkStart w:id="42" w:name="_Toc183682352"/>
      <w:r>
        <w:rPr>
          <w:rFonts w:hint="eastAsia" w:ascii="宋体" w:hAnsi="宋体"/>
          <w:b/>
          <w:bCs/>
          <w:sz w:val="28"/>
          <w:szCs w:val="28"/>
        </w:rPr>
        <w:t>投标文件的语言</w:t>
      </w:r>
      <w:bookmarkEnd w:id="40"/>
      <w:bookmarkEnd w:id="41"/>
      <w:bookmarkEnd w:id="42"/>
    </w:p>
    <w:p>
      <w:pPr>
        <w:numPr>
          <w:ilvl w:val="0"/>
          <w:numId w:val="15"/>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rPr>
        <w:t>县公资交易中心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5"/>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1470" w:firstLine="0"/>
        <w:outlineLvl w:val="2"/>
        <w:rPr>
          <w:rFonts w:ascii="宋体" w:hAnsi="宋体"/>
          <w:b/>
          <w:bCs/>
          <w:sz w:val="28"/>
          <w:szCs w:val="28"/>
        </w:rPr>
      </w:pPr>
      <w:bookmarkStart w:id="43" w:name="_Toc217446044"/>
      <w:bookmarkStart w:id="44" w:name="_Toc183682353"/>
      <w:bookmarkStart w:id="45" w:name="_Toc183582216"/>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147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147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147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6"/>
        </w:numPr>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6"/>
        </w:numPr>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6"/>
        </w:numPr>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1470" w:firstLine="0"/>
        <w:outlineLvl w:val="2"/>
        <w:rPr>
          <w:rFonts w:ascii="宋体" w:hAnsi="宋体"/>
          <w:b/>
          <w:bCs/>
          <w:sz w:val="28"/>
          <w:szCs w:val="28"/>
        </w:rPr>
      </w:pPr>
      <w:bookmarkStart w:id="49" w:name="_Toc183682354"/>
      <w:bookmarkStart w:id="50" w:name="_Toc183582217"/>
      <w:bookmarkStart w:id="51" w:name="_Toc217446048"/>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sz w:val="28"/>
          <w:szCs w:val="28"/>
        </w:rPr>
      </w:pPr>
      <w:r>
        <w:rPr>
          <w:rFonts w:hint="eastAsia" w:ascii="宋体" w:hAnsi="宋体"/>
          <w:b/>
          <w:sz w:val="28"/>
          <w:szCs w:val="28"/>
        </w:rPr>
        <w:t>投标文件封面；</w:t>
      </w:r>
    </w:p>
    <w:p>
      <w:pPr>
        <w:spacing w:line="360" w:lineRule="auto"/>
        <w:ind w:left="546"/>
        <w:rPr>
          <w:rFonts w:ascii="宋体" w:hAnsi="宋体"/>
          <w:b/>
          <w:bCs/>
          <w:sz w:val="28"/>
          <w:szCs w:val="28"/>
        </w:rPr>
      </w:pPr>
      <w:r>
        <w:rPr>
          <w:rFonts w:hint="eastAsia" w:ascii="宋体" w:hAnsi="宋体"/>
          <w:b/>
          <w:bCs/>
          <w:sz w:val="28"/>
          <w:szCs w:val="28"/>
        </w:rPr>
        <w:t>资格性审查部分：</w:t>
      </w:r>
    </w:p>
    <w:p>
      <w:pPr>
        <w:pStyle w:val="149"/>
        <w:numPr>
          <w:ilvl w:val="0"/>
          <w:numId w:val="17"/>
        </w:numPr>
        <w:tabs>
          <w:tab w:val="left" w:pos="993"/>
        </w:tabs>
        <w:spacing w:after="200" w:line="360" w:lineRule="auto"/>
        <w:ind w:left="21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49"/>
        <w:numPr>
          <w:ilvl w:val="0"/>
          <w:numId w:val="17"/>
        </w:numPr>
        <w:tabs>
          <w:tab w:val="left" w:pos="993"/>
        </w:tabs>
        <w:spacing w:after="200" w:line="360" w:lineRule="auto"/>
        <w:ind w:left="210" w:firstLine="420" w:firstLineChars="0"/>
        <w:rPr>
          <w:rFonts w:ascii="宋体" w:hAnsi="宋体"/>
          <w:b/>
          <w:bCs/>
          <w:kern w:val="0"/>
          <w:sz w:val="28"/>
          <w:szCs w:val="28"/>
        </w:rPr>
      </w:pPr>
      <w:r>
        <w:rPr>
          <w:rFonts w:hint="eastAsia" w:ascii="宋体" w:hAnsi="宋体"/>
          <w:b/>
          <w:bCs/>
          <w:kern w:val="0"/>
          <w:sz w:val="28"/>
          <w:szCs w:val="28"/>
        </w:rPr>
        <w:t>声明；</w:t>
      </w:r>
    </w:p>
    <w:p>
      <w:pPr>
        <w:pStyle w:val="149"/>
        <w:numPr>
          <w:ilvl w:val="0"/>
          <w:numId w:val="17"/>
        </w:numPr>
        <w:tabs>
          <w:tab w:val="left" w:pos="993"/>
        </w:tabs>
        <w:spacing w:after="200" w:line="360" w:lineRule="auto"/>
        <w:ind w:left="21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49"/>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49"/>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color w:val="000000" w:themeColor="text1"/>
          <w:kern w:val="0"/>
          <w:sz w:val="28"/>
          <w:szCs w:val="28"/>
          <w:highlight w:val="none"/>
          <w14:textFill>
            <w14:solidFill>
              <w14:schemeClr w14:val="tx1"/>
            </w14:solidFill>
          </w14:textFill>
        </w:rPr>
        <w:t>2019或2020年度审计报告复印件(含资产负债表、利润表、现金流量表、财务报表附注)（</w:t>
      </w:r>
      <w:r>
        <w:rPr>
          <w:rFonts w:hint="eastAsia" w:ascii="宋体" w:hAnsi="宋体"/>
          <w:b/>
          <w:bCs/>
          <w:kern w:val="0"/>
          <w:sz w:val="28"/>
          <w:szCs w:val="28"/>
        </w:rPr>
        <w:t>说明：投标人成立时间至递交投标文件截止时间止不足一年的，提供成立后任意时段的资产负债表复印件）；</w:t>
      </w:r>
    </w:p>
    <w:p>
      <w:pPr>
        <w:pStyle w:val="149"/>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49"/>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采购人对投标人履行合同所必须的设备和专业技术能力无其他特殊要求，投标人具有有效的营业执照或法人证书即可，可不提供其他证明材料；</w:t>
      </w:r>
    </w:p>
    <w:p>
      <w:pPr>
        <w:pStyle w:val="149"/>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49"/>
        <w:numPr>
          <w:ilvl w:val="0"/>
          <w:numId w:val="18"/>
        </w:numPr>
        <w:spacing w:after="200" w:line="360" w:lineRule="auto"/>
        <w:ind w:left="0" w:firstLine="573" w:firstLineChars="0"/>
        <w:rPr>
          <w:rFonts w:ascii="宋体" w:hAnsi="宋体"/>
          <w:b/>
          <w:bCs/>
          <w:kern w:val="0"/>
          <w:sz w:val="28"/>
          <w:szCs w:val="28"/>
          <w:lang w:eastAsia="zh-Hans"/>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tabs>
          <w:tab w:val="left" w:pos="1134"/>
        </w:tabs>
        <w:spacing w:line="360" w:lineRule="auto"/>
        <w:ind w:firstLine="281" w:firstLineChars="100"/>
        <w:rPr>
          <w:rFonts w:asciiTheme="minorEastAsia" w:hAnsiTheme="minorEastAsia" w:eastAsiaTheme="minorEastAsia"/>
          <w:b/>
          <w:color w:val="FF0000"/>
          <w:sz w:val="28"/>
          <w:szCs w:val="28"/>
        </w:rPr>
      </w:pPr>
      <w:r>
        <w:rPr>
          <w:rFonts w:hint="eastAsia" w:asciiTheme="minorEastAsia" w:hAnsiTheme="minorEastAsia" w:eastAsiaTheme="minorEastAsia"/>
          <w:b/>
          <w:sz w:val="28"/>
          <w:szCs w:val="28"/>
        </w:rPr>
        <w:t>（七）</w:t>
      </w:r>
      <w:r>
        <w:rPr>
          <w:rFonts w:hint="eastAsia" w:cs="仿宋" w:asciiTheme="minorEastAsia" w:hAnsiTheme="minorEastAsia" w:eastAsiaTheme="minorEastAsia"/>
          <w:b/>
          <w:sz w:val="28"/>
          <w:szCs w:val="28"/>
        </w:rPr>
        <w:t>提供国家行业主管部门颁发的可移动文物修复资质证书（业务范围包含石器、石刻类文物）复印件。</w:t>
      </w:r>
    </w:p>
    <w:p>
      <w:pPr>
        <w:tabs>
          <w:tab w:val="left" w:pos="1134"/>
        </w:tabs>
        <w:spacing w:line="360" w:lineRule="auto"/>
      </w:pPr>
      <w:r>
        <w:rPr>
          <w:rFonts w:hint="eastAsia"/>
          <w:b/>
          <w:sz w:val="28"/>
        </w:rPr>
        <w:t>技术、服务、商务及其他要求响应部分：</w:t>
      </w:r>
    </w:p>
    <w:p>
      <w:pPr>
        <w:tabs>
          <w:tab w:val="left" w:pos="1134"/>
        </w:tabs>
        <w:spacing w:line="360" w:lineRule="auto"/>
        <w:ind w:firstLine="562" w:firstLineChars="200"/>
        <w:jc w:val="left"/>
        <w:rPr>
          <w:rFonts w:ascii="宋体" w:hAnsi="宋体"/>
          <w:b/>
          <w:sz w:val="28"/>
          <w:szCs w:val="28"/>
        </w:rPr>
      </w:pPr>
      <w:r>
        <w:rPr>
          <w:rFonts w:hint="eastAsia" w:ascii="宋体" w:hAnsi="宋体"/>
          <w:b/>
          <w:sz w:val="28"/>
          <w:szCs w:val="28"/>
        </w:rPr>
        <w:t>一、投标函；</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二、法定代表人身份证明书；</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三、投标人基本情况表；</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四、技术、服务要求应答表</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五、实施方案；</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六、承诺函。</w:t>
      </w:r>
    </w:p>
    <w:p>
      <w:pPr>
        <w:pStyle w:val="2"/>
        <w:rPr>
          <w:rFonts w:ascii="宋体" w:hAnsi="宋体"/>
          <w:b/>
          <w:sz w:val="28"/>
          <w:szCs w:val="28"/>
        </w:rPr>
      </w:pPr>
      <w:r>
        <w:rPr>
          <w:rFonts w:hint="eastAsia" w:ascii="宋体" w:hAnsi="宋体"/>
          <w:b/>
          <w:sz w:val="28"/>
          <w:szCs w:val="28"/>
        </w:rPr>
        <w:t>报价要求响应部分：</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一、开标一览表；</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二、分项报价明细表；</w:t>
      </w:r>
    </w:p>
    <w:p>
      <w:pPr>
        <w:tabs>
          <w:tab w:val="left" w:pos="1134"/>
        </w:tabs>
        <w:spacing w:line="360" w:lineRule="auto"/>
        <w:ind w:firstLine="562" w:firstLineChars="200"/>
        <w:rPr>
          <w:rFonts w:ascii="宋体" w:hAnsi="宋体"/>
          <w:b/>
          <w:bCs/>
          <w:kern w:val="0"/>
          <w:sz w:val="28"/>
          <w:szCs w:val="28"/>
        </w:rPr>
      </w:pPr>
      <w:r>
        <w:rPr>
          <w:rFonts w:hint="eastAsia" w:ascii="宋体" w:hAnsi="宋体"/>
          <w:b/>
          <w:bCs/>
          <w:kern w:val="0"/>
          <w:sz w:val="28"/>
          <w:szCs w:val="28"/>
        </w:rPr>
        <w:t>三、中小企业声明函（说明：</w:t>
      </w:r>
      <w:r>
        <w:rPr>
          <w:rFonts w:hint="eastAsia" w:ascii="宋体" w:hAnsi="宋体"/>
          <w:b/>
          <w:sz w:val="28"/>
          <w:szCs w:val="28"/>
        </w:rPr>
        <w:t>如未提供中小企业声明函，则其不能享受招标文件规定的价格扣除，但不影响投标人投标文件的有效性</w:t>
      </w:r>
      <w:r>
        <w:rPr>
          <w:rFonts w:hint="eastAsia" w:ascii="宋体" w:hAnsi="宋体"/>
          <w:b/>
          <w:bCs/>
          <w:kern w:val="0"/>
          <w:sz w:val="28"/>
          <w:szCs w:val="28"/>
        </w:rPr>
        <w:t>）；</w:t>
      </w:r>
    </w:p>
    <w:p>
      <w:pPr>
        <w:tabs>
          <w:tab w:val="left" w:pos="1134"/>
        </w:tabs>
        <w:spacing w:line="360" w:lineRule="auto"/>
        <w:ind w:firstLine="562" w:firstLineChars="200"/>
        <w:rPr>
          <w:rFonts w:ascii="宋体" w:hAnsi="宋体"/>
          <w:b/>
          <w:bCs/>
          <w:kern w:val="0"/>
          <w:sz w:val="28"/>
          <w:szCs w:val="28"/>
        </w:rPr>
      </w:pPr>
      <w:r>
        <w:rPr>
          <w:rFonts w:hint="eastAsia" w:ascii="宋体" w:hAnsi="宋体"/>
          <w:b/>
          <w:bCs/>
          <w:kern w:val="0"/>
          <w:sz w:val="28"/>
          <w:szCs w:val="28"/>
        </w:rPr>
        <w:t>四、残疾人福利性单位声明函（说明：</w:t>
      </w:r>
      <w:r>
        <w:rPr>
          <w:rFonts w:hint="eastAsia" w:ascii="宋体" w:hAnsi="宋体"/>
          <w:b/>
          <w:sz w:val="28"/>
          <w:szCs w:val="28"/>
        </w:rPr>
        <w:t>如未提供残疾人福利性单位声明函，则其不能享受招标文件规定的价格扣除，但不影响投标人投标文件的有效性</w:t>
      </w:r>
      <w:r>
        <w:rPr>
          <w:rFonts w:hint="eastAsia" w:ascii="宋体" w:hAnsi="宋体"/>
          <w:b/>
          <w:bCs/>
          <w:kern w:val="0"/>
          <w:sz w:val="28"/>
          <w:szCs w:val="28"/>
        </w:rPr>
        <w:t>）；</w:t>
      </w:r>
    </w:p>
    <w:p>
      <w:pPr>
        <w:tabs>
          <w:tab w:val="left" w:pos="1322"/>
        </w:tabs>
        <w:ind w:firstLine="562" w:firstLineChars="200"/>
        <w:rPr>
          <w:rFonts w:ascii="宋体" w:hAnsi="宋体"/>
          <w:b/>
          <w:sz w:val="28"/>
          <w:szCs w:val="28"/>
        </w:rPr>
      </w:pPr>
      <w:r>
        <w:rPr>
          <w:rFonts w:hint="eastAsia" w:ascii="宋体" w:hAnsi="宋体"/>
          <w:b/>
          <w:bCs/>
          <w:kern w:val="0"/>
          <w:sz w:val="28"/>
          <w:szCs w:val="28"/>
        </w:rPr>
        <w:t>五、由省级以上监狱管理局、戒毒管理局（含新疆生产建设兵团）出具的投标人属于监狱企业的证明文件复印件（说明：</w:t>
      </w:r>
      <w:r>
        <w:rPr>
          <w:rFonts w:hint="eastAsia" w:ascii="宋体" w:hAnsi="宋体"/>
          <w:b/>
          <w:sz w:val="28"/>
          <w:szCs w:val="28"/>
        </w:rPr>
        <w:t>如未提供监狱企业的证明文件复印件，则其不能享受招标文件规定的价格扣除，但不影响投标人投标文件的有效性。</w:t>
      </w:r>
      <w:r>
        <w:rPr>
          <w:rFonts w:hint="eastAsia" w:ascii="宋体" w:hAnsi="宋体"/>
          <w:b/>
          <w:bCs/>
          <w:kern w:val="0"/>
          <w:sz w:val="28"/>
          <w:szCs w:val="28"/>
        </w:rPr>
        <w:t>）；</w:t>
      </w:r>
    </w:p>
    <w:p>
      <w:pPr>
        <w:pStyle w:val="2"/>
        <w:rPr>
          <w:rFonts w:ascii="宋体" w:hAnsi="宋体"/>
          <w:b/>
          <w:sz w:val="28"/>
          <w:szCs w:val="28"/>
        </w:rPr>
      </w:pPr>
    </w:p>
    <w:p/>
    <w:p>
      <w:pPr>
        <w:keepNext/>
        <w:keepLines/>
        <w:numPr>
          <w:ilvl w:val="2"/>
          <w:numId w:val="5"/>
        </w:numPr>
        <w:spacing w:line="360" w:lineRule="auto"/>
        <w:ind w:left="1470" w:firstLine="0"/>
        <w:outlineLvl w:val="2"/>
        <w:rPr>
          <w:rFonts w:ascii="宋体" w:hAnsi="宋体"/>
          <w:b/>
          <w:bCs/>
          <w:sz w:val="28"/>
          <w:szCs w:val="28"/>
        </w:rPr>
      </w:pPr>
      <w:bookmarkStart w:id="52" w:name="_Toc316292019"/>
      <w:bookmarkEnd w:id="52"/>
      <w:bookmarkStart w:id="53" w:name="_Toc316291396"/>
      <w:bookmarkEnd w:id="53"/>
      <w:bookmarkStart w:id="54" w:name="_Toc316292020"/>
      <w:bookmarkEnd w:id="54"/>
      <w:bookmarkStart w:id="55" w:name="_Toc316291395"/>
      <w:bookmarkEnd w:id="55"/>
      <w:bookmarkStart w:id="56" w:name="_Toc183582218"/>
      <w:bookmarkStart w:id="57" w:name="_Toc183682355"/>
      <w:bookmarkStart w:id="58" w:name="_Toc217446049"/>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19"/>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19"/>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投标报价</w:t>
      </w:r>
    </w:p>
    <w:p>
      <w:pPr>
        <w:numPr>
          <w:ilvl w:val="0"/>
          <w:numId w:val="20"/>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0"/>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582223"/>
      <w:bookmarkStart w:id="60" w:name="_Toc183682360"/>
      <w:bookmarkStart w:id="61" w:name="_Toc21744605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147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682361"/>
      <w:bookmarkStart w:id="66" w:name="_Toc183582224"/>
      <w:r>
        <w:rPr>
          <w:rFonts w:hint="eastAsia" w:ascii="宋体" w:hAnsi="宋体"/>
          <w:b/>
          <w:bCs/>
          <w:sz w:val="28"/>
          <w:szCs w:val="28"/>
        </w:rPr>
        <w:t>投标有效期</w:t>
      </w:r>
      <w:bookmarkEnd w:id="64"/>
      <w:bookmarkEnd w:id="65"/>
      <w:bookmarkEnd w:id="66"/>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147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sz w:val="28"/>
          <w:szCs w:val="28"/>
        </w:rPr>
      </w:pPr>
      <w:r>
        <w:rPr>
          <w:rFonts w:hint="eastAsia" w:ascii="宋体" w:hAnsi="宋体"/>
          <w:sz w:val="28"/>
          <w:szCs w:val="28"/>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5"/>
        </w:numPr>
        <w:spacing w:after="200" w:line="240" w:lineRule="auto"/>
        <w:ind w:left="147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7"/>
      <w:bookmarkEnd w:id="70"/>
      <w:bookmarkStart w:id="71" w:name="_Toc316475586"/>
      <w:bookmarkEnd w:id="71"/>
      <w:bookmarkStart w:id="72" w:name="_Toc183682365"/>
      <w:bookmarkStart w:id="73" w:name="_Toc183582228"/>
      <w:bookmarkStart w:id="74" w:name="_Toc217446055"/>
      <w:r>
        <w:rPr>
          <w:rFonts w:hint="eastAsia" w:ascii="宋体" w:hAnsi="宋体" w:eastAsiaTheme="minorEastAsia" w:cstheme="minorBidi"/>
          <w:bCs/>
          <w:sz w:val="28"/>
          <w:szCs w:val="28"/>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县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5"/>
        </w:numPr>
        <w:spacing w:after="200" w:line="276" w:lineRule="auto"/>
        <w:ind w:left="147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2"/>
        </w:numPr>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2"/>
        </w:numPr>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5"/>
        </w:numPr>
        <w:spacing w:after="200"/>
        <w:ind w:left="2321"/>
        <w:rPr>
          <w:color w:val="auto"/>
        </w:rPr>
      </w:pPr>
      <w:r>
        <w:rPr>
          <w:rFonts w:hint="eastAsia"/>
          <w:color w:val="auto"/>
        </w:rPr>
        <w:t>投标文件的撤回</w:t>
      </w:r>
    </w:p>
    <w:p>
      <w:pPr>
        <w:numPr>
          <w:ilvl w:val="0"/>
          <w:numId w:val="23"/>
        </w:numPr>
        <w:spacing w:before="120" w:after="200" w:line="360" w:lineRule="auto"/>
        <w:ind w:left="0" w:firstLine="567"/>
        <w:rPr>
          <w:rFonts w:ascii="宋体" w:hAnsi="宋体"/>
          <w:bCs/>
          <w:sz w:val="28"/>
          <w:szCs w:val="28"/>
        </w:rPr>
      </w:pPr>
      <w:bookmarkStart w:id="75" w:name="_Toc183682368"/>
      <w:bookmarkStart w:id="76" w:name="_Toc183582231"/>
      <w:bookmarkStart w:id="77" w:name="_Toc89075878"/>
      <w:bookmarkStart w:id="78" w:name="_Toc77400782"/>
      <w:bookmarkStart w:id="79" w:name="_Toc217446056"/>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5"/>
        </w:numPr>
        <w:spacing w:after="200" w:line="240" w:lineRule="auto"/>
        <w:ind w:left="2321"/>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登录政府采购云平台，点击“项目采购—开标评标”模块，找到对应项目，进入“开标大厅”，等待县公资交易中心开启解密后，进行线上解密。</w:t>
      </w:r>
      <w:r>
        <w:rPr>
          <w:rFonts w:hint="eastAsia" w:ascii="宋体" w:hAnsi="宋体"/>
          <w:bCs/>
          <w:sz w:val="28"/>
          <w:szCs w:val="28"/>
        </w:rPr>
        <w:t>除因</w:t>
      </w:r>
      <w:r>
        <w:rPr>
          <w:rFonts w:hint="eastAsia" w:ascii="宋体" w:hAnsi="宋体"/>
          <w:sz w:val="28"/>
          <w:szCs w:val="28"/>
        </w:rPr>
        <w:t>县公资交易中心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70684279"/>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1470" w:firstLine="0"/>
        <w:outlineLvl w:val="2"/>
        <w:rPr>
          <w:rFonts w:ascii="宋体" w:hAnsi="宋体"/>
          <w:b/>
          <w:bCs/>
          <w:sz w:val="28"/>
          <w:szCs w:val="28"/>
        </w:rPr>
      </w:pPr>
      <w:bookmarkStart w:id="81" w:name="_Toc183582232"/>
      <w:bookmarkStart w:id="82" w:name="_Toc183682369"/>
      <w:bookmarkStart w:id="83" w:name="_Toc217446057"/>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本项目为不见面开标项目。递交电子投标文件的投标人不足3家的，不予开标。</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县公资交易中心开启解密后，投标人进行线上解密。开启解密后，投标人应在60分钟内，使用加密该投标文件的CA数字证书在线完成投标文件的解密。除因县公资交易中心断电、断网、系统故障或其他不可抗力等因素，导致系统无法使用外，投标人在规定的解密时间内，未成功解密的投标文件将视为无效投标文件。</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县公资交易中心相关工作人员有需要回避的情形的，及时向工作人员提出询问或者回避申请。采购人、县公资交易中心对投标人提出的询问或者回避申请应当及时处理。</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因县公资交易中心断电、断网、系统故障或其他不可抗力等因素导致不见面开标系统无法正常运行的，开标活动中止或延迟，待系统恢复正常后继续进行开标活动。</w:t>
      </w:r>
    </w:p>
    <w:p>
      <w:pPr>
        <w:pStyle w:val="79"/>
        <w:numPr>
          <w:ilvl w:val="0"/>
          <w:numId w:val="24"/>
        </w:numPr>
        <w:spacing w:before="120" w:after="200" w:line="360" w:lineRule="auto"/>
        <w:ind w:left="0" w:right="210" w:firstLine="567" w:firstLineChars="0"/>
        <w:jc w:val="left"/>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1470" w:firstLine="0"/>
        <w:jc w:val="left"/>
        <w:outlineLvl w:val="2"/>
        <w:rPr>
          <w:rFonts w:ascii="宋体" w:hAnsi="宋体"/>
          <w:b/>
          <w:bCs/>
          <w:sz w:val="28"/>
          <w:szCs w:val="28"/>
        </w:rPr>
      </w:pPr>
      <w:r>
        <w:rPr>
          <w:rFonts w:hint="eastAsia" w:ascii="宋体" w:hAnsi="宋体"/>
          <w:b/>
          <w:bCs/>
          <w:sz w:val="28"/>
          <w:szCs w:val="28"/>
        </w:rPr>
        <w:t>资格审查</w:t>
      </w:r>
    </w:p>
    <w:p>
      <w:pPr>
        <w:spacing w:line="360" w:lineRule="auto"/>
        <w:ind w:firstLine="495"/>
        <w:jc w:val="left"/>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1470" w:firstLine="0"/>
        <w:jc w:val="left"/>
        <w:outlineLvl w:val="2"/>
        <w:rPr>
          <w:rFonts w:ascii="宋体" w:hAnsi="宋体"/>
          <w:b/>
          <w:bCs/>
          <w:sz w:val="28"/>
          <w:szCs w:val="28"/>
        </w:rPr>
      </w:pPr>
      <w:r>
        <w:rPr>
          <w:rFonts w:hint="eastAsia" w:ascii="宋体" w:hAnsi="宋体"/>
          <w:b/>
          <w:bCs/>
          <w:sz w:val="28"/>
          <w:szCs w:val="28"/>
        </w:rPr>
        <w:t>评标</w:t>
      </w:r>
    </w:p>
    <w:p>
      <w:pPr>
        <w:spacing w:line="360" w:lineRule="auto"/>
        <w:ind w:firstLine="495"/>
        <w:jc w:val="left"/>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1470" w:firstLine="0"/>
        <w:jc w:val="left"/>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jc w:val="left"/>
        <w:rPr>
          <w:rFonts w:ascii="宋体" w:hAnsi="宋体"/>
          <w:sz w:val="28"/>
          <w:szCs w:val="28"/>
        </w:rPr>
      </w:pPr>
      <w:bookmarkStart w:id="87" w:name="_Toc217446064"/>
      <w:bookmarkStart w:id="88" w:name="_Toc183682377"/>
      <w:bookmarkStart w:id="89"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70684280"/>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1470" w:firstLine="0"/>
        <w:outlineLvl w:val="2"/>
        <w:rPr>
          <w:rFonts w:ascii="宋体" w:hAnsi="宋体"/>
          <w:b/>
          <w:bCs/>
          <w:color w:val="000000" w:themeColor="text1"/>
          <w:sz w:val="28"/>
          <w:szCs w:val="28"/>
          <w14:textFill>
            <w14:solidFill>
              <w14:schemeClr w14:val="tx1"/>
            </w14:solidFill>
          </w14:textFill>
        </w:rPr>
      </w:pPr>
      <w:bookmarkStart w:id="91" w:name="_Toc217446065"/>
      <w:r>
        <w:rPr>
          <w:rFonts w:hint="eastAsia" w:ascii="宋体" w:hAnsi="宋体"/>
          <w:b/>
          <w:bCs/>
          <w:color w:val="000000" w:themeColor="text1"/>
          <w:sz w:val="28"/>
          <w:szCs w:val="28"/>
          <w14:textFill>
            <w14:solidFill>
              <w14:schemeClr w14:val="tx1"/>
            </w14:solidFill>
          </w14:textFill>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color w:val="000000" w:themeColor="text1"/>
          <w:sz w:val="28"/>
          <w:szCs w:val="28"/>
          <w14:textFill>
            <w14:solidFill>
              <w14:schemeClr w14:val="tx1"/>
            </w14:solidFill>
          </w14:textFill>
        </w:rPr>
        <w:t>一、疫情防控期间，采购人原则上在中标通知书发出之日起5个工作日内与中标人签订采购合同。</w:t>
      </w:r>
      <w:r>
        <w:rPr>
          <w:rFonts w:hint="eastAsia" w:ascii="宋体" w:hAnsi="宋体"/>
          <w:sz w:val="28"/>
          <w:szCs w:val="28"/>
        </w:rPr>
        <w:t>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458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918"/>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ascii="宋体" w:hAnsi="宋体"/>
          <w:sz w:val="28"/>
          <w:szCs w:val="28"/>
          <w:lang w:val="zh-CN"/>
        </w:rPr>
      </w:pPr>
      <w:r>
        <w:rPr>
          <w:rFonts w:hint="eastAsia" w:cs="Times New Roman"/>
          <w:sz w:val="28"/>
          <w:szCs w:val="28"/>
          <w:lang w:val="zh-CN"/>
        </w:rPr>
        <w:t>本项目</w:t>
      </w:r>
      <w:r>
        <w:rPr>
          <w:rFonts w:hint="eastAsia" w:cs="Times New Roman"/>
          <w:sz w:val="28"/>
          <w:szCs w:val="28"/>
          <w:lang w:val="zh-CN" w:eastAsia="zh-CN"/>
        </w:rPr>
        <w:t>不</w:t>
      </w:r>
      <w:r>
        <w:rPr>
          <w:rFonts w:hint="eastAsia" w:cs="Times New Roman"/>
          <w:sz w:val="28"/>
          <w:szCs w:val="28"/>
          <w:lang w:val="zh-CN"/>
        </w:rPr>
        <w:t>允许分包。</w:t>
      </w:r>
    </w:p>
    <w:p>
      <w:pPr>
        <w:keepNext/>
        <w:keepLines/>
        <w:numPr>
          <w:ilvl w:val="3"/>
          <w:numId w:val="5"/>
        </w:numPr>
        <w:spacing w:line="360" w:lineRule="auto"/>
        <w:ind w:left="1275" w:hanging="918"/>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147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147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一、本项目履约保证金金额为中标金额的5%。中标人应在合同签订前，以支票、汇票、本票或者金融机构、担保机构出具的保函等非现金方式向采购人交纳履约保证金。在验收合格且履约完成后无质量问题和违约行为的30日内无息退还。</w:t>
      </w:r>
    </w:p>
    <w:p>
      <w:pPr>
        <w:spacing w:line="360" w:lineRule="auto"/>
        <w:ind w:firstLine="495"/>
        <w:rPr>
          <w:rFonts w:ascii="宋体" w:hAnsi="宋体"/>
          <w:sz w:val="28"/>
          <w:szCs w:val="28"/>
        </w:rPr>
      </w:pPr>
      <w:r>
        <w:rPr>
          <w:rFonts w:hint="eastAsia" w:ascii="宋体" w:hAnsi="宋体"/>
          <w:sz w:val="28"/>
          <w:szCs w:val="28"/>
        </w:rPr>
        <w:t>二、履约保证金汇入的银行及账号：</w:t>
      </w:r>
    </w:p>
    <w:p>
      <w:pPr>
        <w:spacing w:line="360" w:lineRule="auto"/>
        <w:ind w:firstLine="495"/>
        <w:rPr>
          <w:rFonts w:ascii="宋体" w:hAnsi="宋体"/>
          <w:sz w:val="28"/>
          <w:szCs w:val="28"/>
        </w:rPr>
      </w:pPr>
      <w:r>
        <w:rPr>
          <w:rFonts w:hint="eastAsia" w:ascii="宋体" w:hAnsi="宋体"/>
          <w:sz w:val="28"/>
          <w:szCs w:val="28"/>
        </w:rPr>
        <w:t>收款单位：四川省蒲江县财政局</w:t>
      </w:r>
    </w:p>
    <w:p>
      <w:pPr>
        <w:spacing w:line="360" w:lineRule="auto"/>
        <w:ind w:firstLine="495"/>
        <w:rPr>
          <w:rFonts w:ascii="宋体" w:hAnsi="宋体"/>
          <w:sz w:val="28"/>
          <w:szCs w:val="28"/>
        </w:rPr>
      </w:pPr>
      <w:r>
        <w:rPr>
          <w:rFonts w:hint="eastAsia" w:ascii="宋体" w:hAnsi="宋体"/>
          <w:sz w:val="28"/>
          <w:szCs w:val="28"/>
        </w:rPr>
        <w:t>开户银行：成都银行蒲江支行</w:t>
      </w:r>
    </w:p>
    <w:p>
      <w:pPr>
        <w:spacing w:line="360" w:lineRule="auto"/>
        <w:ind w:firstLine="495"/>
        <w:rPr>
          <w:rFonts w:ascii="宋体" w:hAnsi="宋体"/>
          <w:sz w:val="28"/>
          <w:szCs w:val="28"/>
        </w:rPr>
      </w:pPr>
      <w:r>
        <w:rPr>
          <w:rFonts w:hint="eastAsia" w:ascii="宋体" w:hAnsi="宋体"/>
          <w:sz w:val="28"/>
          <w:szCs w:val="28"/>
        </w:rPr>
        <w:t>银行账号：1001300000725340</w:t>
      </w:r>
    </w:p>
    <w:p>
      <w:pPr>
        <w:pStyle w:val="2"/>
        <w:spacing w:line="360" w:lineRule="auto"/>
        <w:ind w:firstLine="560" w:firstLineChars="200"/>
        <w:rPr>
          <w:rFonts w:ascii="宋体" w:hAnsi="宋体"/>
          <w:b/>
          <w:bCs/>
          <w:color w:val="FF0000"/>
          <w:sz w:val="28"/>
          <w:szCs w:val="28"/>
        </w:rPr>
      </w:pPr>
      <w:r>
        <w:rPr>
          <w:rFonts w:hint="eastAsia" w:ascii="宋体" w:hAnsi="宋体"/>
          <w:sz w:val="28"/>
          <w:szCs w:val="28"/>
        </w:rPr>
        <w:t>三、如中标人未按时足额向采购人交纳履约保证金，采购人有权按照评审报告确定的中标候选人名单顺序，确定下一候选人为中标供应商，或重新开展政府采购活动。</w:t>
      </w:r>
    </w:p>
    <w:p/>
    <w:p>
      <w:pPr>
        <w:keepNext/>
        <w:keepLines/>
        <w:numPr>
          <w:ilvl w:val="2"/>
          <w:numId w:val="5"/>
        </w:numPr>
        <w:spacing w:line="360" w:lineRule="auto"/>
        <w:ind w:left="1470" w:firstLine="0"/>
        <w:outlineLvl w:val="2"/>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147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合同备案</w:t>
      </w:r>
    </w:p>
    <w:p>
      <w:pPr>
        <w:tabs>
          <w:tab w:val="left" w:pos="1134"/>
        </w:tabs>
        <w:spacing w:line="360" w:lineRule="auto"/>
        <w:ind w:firstLine="560" w:firstLineChars="200"/>
        <w:rPr>
          <w:rFonts w:ascii="宋体" w:hAnsi="宋体"/>
          <w:sz w:val="28"/>
          <w:szCs w:val="28"/>
        </w:rPr>
      </w:pPr>
      <w:r>
        <w:rPr>
          <w:rFonts w:hint="eastAsia" w:ascii="宋体" w:hAnsi="宋体"/>
          <w:color w:val="000000" w:themeColor="text1"/>
          <w:sz w:val="28"/>
          <w:szCs w:val="28"/>
          <w14:textFill>
            <w14:solidFill>
              <w14:schemeClr w14:val="tx1"/>
            </w14:solidFill>
          </w14:textFill>
        </w:rPr>
        <w:t>疫情防控期间，采购人原则上在5个工作日内与供应商签订</w:t>
      </w:r>
      <w:r>
        <w:rPr>
          <w:rFonts w:hint="eastAsia" w:ascii="宋体" w:hAnsi="宋体"/>
          <w:sz w:val="28"/>
          <w:szCs w:val="28"/>
        </w:rPr>
        <w:t>政府采购合同及按蒲江县财政局的要求完成合同备案工作。</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147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pStyle w:val="39"/>
        <w:spacing w:before="0" w:beforeAutospacing="0" w:after="0" w:afterAutospacing="0" w:line="360" w:lineRule="auto"/>
        <w:ind w:firstLine="560" w:firstLineChars="200"/>
        <w:rPr>
          <w:rFonts w:ascii="仿宋" w:hAnsi="仿宋" w:eastAsia="仿宋" w:cs="仿宋"/>
        </w:rPr>
      </w:pPr>
      <w:bookmarkStart w:id="98" w:name="_Toc217446074"/>
      <w:bookmarkStart w:id="99" w:name="_Toc183582243"/>
      <w:bookmarkStart w:id="100" w:name="_Toc183682380"/>
      <w:r>
        <w:rPr>
          <w:rFonts w:hint="eastAsia"/>
          <w:color w:val="auto"/>
          <w:kern w:val="2"/>
          <w:sz w:val="28"/>
          <w:szCs w:val="28"/>
        </w:rPr>
        <w:t>严格按照《财政部关于进一步加强政府采购需求和履约验收管理的指导意见》（财库〔2016〕205号）的要求及行业标准进行验收。</w:t>
      </w:r>
    </w:p>
    <w:p>
      <w:pPr>
        <w:spacing w:line="360" w:lineRule="auto"/>
        <w:ind w:firstLine="560" w:firstLineChars="200"/>
        <w:rPr>
          <w:rFonts w:ascii="宋体" w:hAnsi="宋体"/>
          <w:color w:val="FF0000"/>
          <w:sz w:val="28"/>
          <w:szCs w:val="28"/>
        </w:rPr>
      </w:pP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70684281"/>
      <w:r>
        <w:rPr>
          <w:rFonts w:hint="eastAsia" w:ascii="宋体" w:hAnsi="宋体"/>
          <w:b/>
          <w:bCs/>
          <w:sz w:val="28"/>
          <w:szCs w:val="28"/>
        </w:rPr>
        <w:t>投标纪律要求</w:t>
      </w:r>
      <w:bookmarkEnd w:id="98"/>
      <w:bookmarkEnd w:id="101"/>
    </w:p>
    <w:p>
      <w:pPr>
        <w:keepNext/>
        <w:keepLines/>
        <w:numPr>
          <w:ilvl w:val="2"/>
          <w:numId w:val="5"/>
        </w:numPr>
        <w:spacing w:line="360" w:lineRule="auto"/>
        <w:ind w:left="147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与采购人或县</w:t>
      </w:r>
      <w:r>
        <w:rPr>
          <w:rFonts w:hint="eastAsia" w:cs="Arial"/>
          <w:sz w:val="28"/>
          <w:szCs w:val="28"/>
        </w:rPr>
        <w:t>公资交易中心</w:t>
      </w:r>
      <w:r>
        <w:rPr>
          <w:rFonts w:hint="eastAsia" w:ascii="宋体" w:hAnsi="宋体"/>
          <w:sz w:val="28"/>
          <w:szCs w:val="28"/>
        </w:rPr>
        <w:t>、其他投标人恶意串通；</w:t>
      </w:r>
    </w:p>
    <w:p>
      <w:pPr>
        <w:numPr>
          <w:ilvl w:val="1"/>
          <w:numId w:val="25"/>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县公资交易中心</w:t>
      </w:r>
      <w:r>
        <w:rPr>
          <w:rFonts w:hint="eastAsia" w:ascii="宋体" w:hAnsi="宋体"/>
          <w:sz w:val="28"/>
          <w:szCs w:val="28"/>
        </w:rPr>
        <w:t>、评标委员会成员行贿或者提供其他不正当利益；</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县公资交易中心</w:t>
      </w:r>
      <w:r>
        <w:rPr>
          <w:rFonts w:hint="eastAsia" w:ascii="宋体" w:hAnsi="宋体"/>
          <w:sz w:val="28"/>
          <w:szCs w:val="28"/>
        </w:rPr>
        <w:t>进行协商谈判；</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5"/>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147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6"/>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rPr>
        <w:t>县公资交易中心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70684282"/>
      <w:bookmarkStart w:id="105" w:name="_Toc217446078"/>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7"/>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8"/>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28"/>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供应商对除上述招标文件中的其他内容，采购过程及中标结果（除资格审查）提出询问或质疑的，应通过“政府采购云平台”向县公资交易中心提出</w:t>
      </w:r>
      <w:r>
        <w:rPr>
          <w:rFonts w:hint="eastAsia" w:ascii="宋体" w:hAnsi="宋体"/>
          <w:sz w:val="28"/>
          <w:szCs w:val="28"/>
        </w:rPr>
        <w:t>。</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（六）针对质疑事项必要的证明材料。</w:t>
      </w:r>
    </w:p>
    <w:p>
      <w:pPr>
        <w:numPr>
          <w:ilvl w:val="0"/>
          <w:numId w:val="27"/>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rPr>
        <w:t>县公资交易中心的质疑答复不满意，或者采购人</w:t>
      </w:r>
      <w:r>
        <w:rPr>
          <w:rFonts w:ascii="宋体" w:hAnsi="宋体"/>
          <w:sz w:val="28"/>
          <w:szCs w:val="28"/>
        </w:rPr>
        <w:t>或</w:t>
      </w:r>
      <w:r>
        <w:rPr>
          <w:rFonts w:hint="eastAsia" w:ascii="宋体" w:hAnsi="宋体"/>
          <w:sz w:val="28"/>
          <w:szCs w:val="28"/>
        </w:rPr>
        <w:t>县公资交易中心未在规定期限内作出答复的，供应商可以在答复期满后15个工作日内向同级财政部门提起投诉。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70684283"/>
      <w:r>
        <w:rPr>
          <w:rFonts w:hint="eastAsia" w:ascii="宋体" w:hAnsi="宋体"/>
          <w:b/>
          <w:bCs/>
          <w:sz w:val="28"/>
          <w:szCs w:val="28"/>
        </w:rPr>
        <w:t>中小企业政府采购信用融资</w:t>
      </w:r>
      <w:bookmarkEnd w:id="107"/>
    </w:p>
    <w:p>
      <w:pPr>
        <w:spacing w:line="360" w:lineRule="auto"/>
        <w:ind w:firstLine="560" w:firstLineChars="200"/>
        <w:rPr>
          <w:rFonts w:ascii="宋体" w:hAnsi="宋体"/>
          <w:b/>
          <w:sz w:val="28"/>
          <w:szCs w:val="28"/>
        </w:rPr>
      </w:pPr>
      <w:r>
        <w:rPr>
          <w:rFonts w:hint="eastAsia" w:ascii="宋体" w:hAnsi="宋体"/>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
      <w:pPr>
        <w:pStyle w:val="2"/>
      </w:pP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8"/>
      <w:bookmarkEnd w:id="108"/>
      <w:bookmarkStart w:id="109" w:name="_Toc315871049"/>
      <w:bookmarkEnd w:id="109"/>
      <w:bookmarkStart w:id="110" w:name="_Toc316292049"/>
      <w:bookmarkEnd w:id="110"/>
      <w:bookmarkStart w:id="111" w:name="_Toc315871050"/>
      <w:bookmarkEnd w:id="111"/>
      <w:bookmarkStart w:id="112" w:name="_Toc315871045"/>
      <w:bookmarkEnd w:id="112"/>
      <w:bookmarkStart w:id="113" w:name="_Toc315871046"/>
      <w:bookmarkEnd w:id="113"/>
      <w:bookmarkStart w:id="114" w:name="_Toc316292050"/>
      <w:bookmarkEnd w:id="114"/>
      <w:bookmarkStart w:id="115" w:name="_Toc316292052"/>
      <w:bookmarkEnd w:id="115"/>
      <w:bookmarkStart w:id="116" w:name="_Toc315871048"/>
      <w:bookmarkEnd w:id="116"/>
      <w:bookmarkStart w:id="117" w:name="_Toc316292051"/>
      <w:bookmarkEnd w:id="117"/>
      <w:bookmarkStart w:id="118" w:name="_Toc315871047"/>
      <w:bookmarkEnd w:id="118"/>
      <w:bookmarkStart w:id="119" w:name="_Toc70684284"/>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70684285"/>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项目名称：蒲江县博物馆新馆特展厅展陈石刻文物修复采购项目</w:t>
      </w:r>
    </w:p>
    <w:p>
      <w:pPr>
        <w:spacing w:line="360" w:lineRule="auto"/>
        <w:rPr>
          <w:rFonts w:ascii="宋体" w:hAnsi="宋体"/>
          <w:b/>
          <w:bCs/>
          <w:sz w:val="32"/>
          <w:szCs w:val="32"/>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pStyle w:val="2"/>
        <w:rPr>
          <w:rFonts w:ascii="宋体" w:hAnsi="宋体"/>
          <w:b/>
          <w:bCs/>
          <w:sz w:val="32"/>
          <w:szCs w:val="32"/>
        </w:rPr>
      </w:pPr>
    </w:p>
    <w:p/>
    <w:p>
      <w:pPr>
        <w:keepNext/>
        <w:keepLines/>
        <w:numPr>
          <w:ilvl w:val="1"/>
          <w:numId w:val="5"/>
        </w:numPr>
        <w:spacing w:before="260" w:after="260" w:line="360" w:lineRule="auto"/>
        <w:jc w:val="left"/>
        <w:outlineLvl w:val="1"/>
        <w:rPr>
          <w:rFonts w:ascii="宋体" w:hAnsi="宋体"/>
          <w:b/>
          <w:bCs/>
          <w:sz w:val="28"/>
          <w:szCs w:val="28"/>
        </w:rPr>
      </w:pPr>
      <w:bookmarkStart w:id="121" w:name="_Toc70684286"/>
      <w:r>
        <w:rPr>
          <w:rFonts w:hint="eastAsia" w:ascii="宋体" w:hAnsi="宋体"/>
          <w:b/>
          <w:bCs/>
          <w:sz w:val="28"/>
          <w:szCs w:val="28"/>
        </w:rPr>
        <w:t>资格性审查部分</w:t>
      </w:r>
      <w:bookmarkEnd w:id="121"/>
    </w:p>
    <w:p>
      <w:pPr>
        <w:keepNext/>
        <w:keepLines/>
        <w:numPr>
          <w:ilvl w:val="2"/>
          <w:numId w:val="5"/>
        </w:numPr>
        <w:spacing w:line="360" w:lineRule="auto"/>
        <w:ind w:left="458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ascii="宋体" w:hAnsi="宋体"/>
          <w:sz w:val="28"/>
          <w:szCs w:val="28"/>
        </w:rPr>
      </w:pPr>
      <w:bookmarkStart w:id="122" w:name="_Toc238581782"/>
      <w:bookmarkStart w:id="123" w:name="_Toc119295087"/>
      <w:bookmarkStart w:id="124" w:name="_Toc146903609"/>
      <w:bookmarkStart w:id="125" w:name="_Toc119203988"/>
      <w:bookmarkStart w:id="126" w:name="_Toc119296788"/>
      <w:bookmarkStart w:id="127" w:name="_Toc52184753"/>
      <w:r>
        <w:rPr>
          <w:rFonts w:hint="eastAsia" w:ascii="宋体" w:hAnsi="宋体"/>
          <w:sz w:val="28"/>
          <w:szCs w:val="28"/>
        </w:rPr>
        <w:t>致：蒲江县公共资源交易服务中心</w:t>
      </w:r>
      <w:bookmarkEnd w:id="122"/>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rPr>
        <w:t>蒲江县博物馆新馆特展厅展陈石刻文物修复采购项目（项目编号：              ）</w:t>
      </w:r>
      <w:r>
        <w:rPr>
          <w:rFonts w:hint="eastAsia" w:ascii="宋体" w:hAnsi="宋体"/>
          <w:sz w:val="28"/>
          <w:szCs w:val="28"/>
        </w:rPr>
        <w:t>的公开招标，提交的下列文件和说明是准确的和真实的。</w:t>
      </w:r>
      <w:bookmarkEnd w:id="128"/>
    </w:p>
    <w:p>
      <w:pPr>
        <w:widowControl/>
        <w:numPr>
          <w:ilvl w:val="2"/>
          <w:numId w:val="29"/>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0"/>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0"/>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29"/>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80" w:lineRule="exact"/>
        <w:rPr>
          <w:rFonts w:ascii="宋体" w:hAnsi="宋体"/>
          <w:sz w:val="28"/>
          <w:szCs w:val="28"/>
        </w:rPr>
      </w:pPr>
    </w:p>
    <w:p>
      <w:pPr>
        <w:spacing w:line="360" w:lineRule="auto"/>
        <w:rPr>
          <w:rFonts w:ascii="宋体" w:hAnsi="宋体"/>
          <w:b/>
          <w:bCs/>
          <w:sz w:val="32"/>
          <w:szCs w:val="32"/>
        </w:rPr>
      </w:pP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致：蒲江县公共资源交易服务中心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rPr>
        <w:t>蒲江县博物馆新馆特展厅展陈石刻文物修复采购项目（项目编号：            ）</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
    <w:p/>
    <w:p/>
    <w:p/>
    <w:p/>
    <w:p/>
    <w:p/>
    <w:p/>
    <w:p/>
    <w:p/>
    <w:p>
      <w:pPr>
        <w:pStyle w:val="2"/>
      </w:pPr>
    </w:p>
    <w:p>
      <w:pPr>
        <w:tabs>
          <w:tab w:val="left" w:pos="3969"/>
        </w:tabs>
        <w:spacing w:line="588" w:lineRule="exact"/>
        <w:ind w:right="-58"/>
        <w:rPr>
          <w:rFonts w:ascii="宋体" w:hAnsi="宋体"/>
          <w:bCs/>
          <w:sz w:val="28"/>
          <w:u w:val="single"/>
        </w:rPr>
      </w:pP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spacing w:line="360" w:lineRule="auto"/>
        <w:ind w:firstLine="560" w:firstLineChars="200"/>
        <w:rPr>
          <w:sz w:val="28"/>
          <w:szCs w:val="28"/>
        </w:rPr>
      </w:pPr>
      <w:r>
        <w:rPr>
          <w:rFonts w:hint="eastAsia"/>
          <w:sz w:val="28"/>
          <w:szCs w:val="28"/>
        </w:rPr>
        <w:t>投标人按招标文件要求，应提供以下相关资格证明材料：</w:t>
      </w:r>
    </w:p>
    <w:p>
      <w:pPr>
        <w:tabs>
          <w:tab w:val="left" w:pos="1134"/>
        </w:tabs>
        <w:spacing w:line="360" w:lineRule="auto"/>
        <w:ind w:firstLine="546" w:firstLineChars="195"/>
        <w:rPr>
          <w:rFonts w:ascii="宋体" w:hAnsi="宋体"/>
          <w:sz w:val="28"/>
          <w:szCs w:val="28"/>
        </w:rPr>
      </w:pPr>
      <w:r>
        <w:rPr>
          <w:rFonts w:hint="eastAsia"/>
          <w:sz w:val="28"/>
          <w:szCs w:val="28"/>
        </w:rPr>
        <w:t>一、营业执照复印件（正本或副本）或法人证书复印件（正本或副本）；</w:t>
      </w:r>
    </w:p>
    <w:p>
      <w:pPr>
        <w:spacing w:line="360" w:lineRule="auto"/>
        <w:ind w:firstLine="560" w:firstLineChars="200"/>
        <w:rPr>
          <w:sz w:val="28"/>
          <w:szCs w:val="28"/>
        </w:rPr>
      </w:pPr>
      <w:r>
        <w:rPr>
          <w:rFonts w:hint="eastAsia"/>
          <w:b w:val="0"/>
          <w:bCs w:val="0"/>
          <w:color w:val="000000" w:themeColor="text1"/>
          <w:sz w:val="28"/>
          <w:szCs w:val="28"/>
          <w:highlight w:val="none"/>
          <w14:textFill>
            <w14:solidFill>
              <w14:schemeClr w14:val="tx1"/>
            </w14:solidFill>
          </w14:textFill>
        </w:rPr>
        <w:t>二、</w:t>
      </w:r>
      <w:r>
        <w:rPr>
          <w:rFonts w:hint="eastAsia" w:ascii="宋体" w:hAnsi="宋体"/>
          <w:b w:val="0"/>
          <w:bCs w:val="0"/>
          <w:color w:val="000000" w:themeColor="text1"/>
          <w:kern w:val="0"/>
          <w:sz w:val="28"/>
          <w:szCs w:val="28"/>
          <w:highlight w:val="none"/>
          <w14:textFill>
            <w14:solidFill>
              <w14:schemeClr w14:val="tx1"/>
            </w14:solidFill>
          </w14:textFill>
        </w:rPr>
        <w:t>2019或2020年度审计报告复印件(含资产负债表、利润表、现金流量表、财务报表附注)</w:t>
      </w:r>
      <w:r>
        <w:rPr>
          <w:rFonts w:hint="eastAsia"/>
          <w:b w:val="0"/>
          <w:bCs w:val="0"/>
          <w:color w:val="000000" w:themeColor="text1"/>
          <w:sz w:val="28"/>
          <w:szCs w:val="28"/>
          <w:highlight w:val="none"/>
          <w14:textFill>
            <w14:solidFill>
              <w14:schemeClr w14:val="tx1"/>
            </w14:solidFill>
          </w14:textFill>
        </w:rPr>
        <w:t>（</w:t>
      </w:r>
      <w:r>
        <w:rPr>
          <w:rFonts w:hint="eastAsia"/>
          <w:color w:val="000000" w:themeColor="text1"/>
          <w:sz w:val="28"/>
          <w:szCs w:val="28"/>
          <w:highlight w:val="none"/>
          <w14:textFill>
            <w14:solidFill>
              <w14:schemeClr w14:val="tx1"/>
            </w14:solidFill>
          </w14:textFill>
        </w:rPr>
        <w:t>说明：投</w:t>
      </w:r>
      <w:r>
        <w:rPr>
          <w:rFonts w:hint="eastAsia"/>
          <w:sz w:val="28"/>
          <w:szCs w:val="28"/>
        </w:rPr>
        <w:t>标人成立时间至递交投标文件截止时间止不足一年的，提供成立后任意时段的资产负债表复印件）；</w:t>
      </w:r>
    </w:p>
    <w:p>
      <w:pPr>
        <w:spacing w:line="360" w:lineRule="auto"/>
        <w:ind w:firstLine="560" w:firstLineChars="200"/>
        <w:rPr>
          <w:sz w:val="28"/>
          <w:szCs w:val="28"/>
        </w:rPr>
      </w:pPr>
      <w:r>
        <w:rPr>
          <w:rFonts w:hint="eastAsia"/>
          <w:sz w:val="28"/>
          <w:szCs w:val="28"/>
        </w:rPr>
        <w:t>三、投标人缴纳</w:t>
      </w:r>
      <w:r>
        <w:rPr>
          <w:sz w:val="28"/>
          <w:szCs w:val="28"/>
        </w:rPr>
        <w:t>2020</w:t>
      </w:r>
      <w:r>
        <w:rPr>
          <w:rFonts w:hint="eastAsia"/>
          <w:sz w:val="28"/>
          <w:szCs w:val="28"/>
        </w:rPr>
        <w:t>或</w:t>
      </w:r>
      <w:r>
        <w:rPr>
          <w:sz w:val="28"/>
          <w:szCs w:val="28"/>
        </w:rPr>
        <w:t>2021</w:t>
      </w:r>
      <w:r>
        <w:rPr>
          <w:rFonts w:hint="eastAsia"/>
          <w:sz w:val="28"/>
          <w:szCs w:val="28"/>
        </w:rPr>
        <w:t>年任意时段的税收的银行电子回单或者行政部门出具的纳税证明或完税证明复印件；</w:t>
      </w:r>
    </w:p>
    <w:p>
      <w:pPr>
        <w:spacing w:line="360" w:lineRule="auto"/>
        <w:ind w:firstLine="560" w:firstLineChars="200"/>
        <w:rPr>
          <w:sz w:val="28"/>
          <w:szCs w:val="28"/>
        </w:rPr>
      </w:pPr>
      <w:r>
        <w:rPr>
          <w:rFonts w:hint="eastAsia"/>
          <w:sz w:val="28"/>
          <w:szCs w:val="28"/>
        </w:rPr>
        <w:t>四、采购人对投标人履行合同所必须的设备和专业技术能力无其他特殊要求，投标人具有有效的营业执照或法人证书即可，可不提供其他证明材料；</w:t>
      </w:r>
    </w:p>
    <w:p>
      <w:pPr>
        <w:spacing w:line="360" w:lineRule="auto"/>
        <w:ind w:firstLine="560" w:firstLineChars="200"/>
        <w:rPr>
          <w:sz w:val="28"/>
          <w:szCs w:val="28"/>
        </w:rPr>
      </w:pPr>
      <w:r>
        <w:rPr>
          <w:rFonts w:hint="eastAsia"/>
          <w:color w:val="000000" w:themeColor="text1"/>
          <w:sz w:val="28"/>
          <w:szCs w:val="28"/>
          <w14:textFill>
            <w14:solidFill>
              <w14:schemeClr w14:val="tx1"/>
            </w14:solidFill>
          </w14:textFill>
        </w:rPr>
        <w:t>五、投标人缴纳</w:t>
      </w:r>
      <w:r>
        <w:rPr>
          <w:color w:val="000000" w:themeColor="text1"/>
          <w:sz w:val="28"/>
          <w:szCs w:val="28"/>
          <w14:textFill>
            <w14:solidFill>
              <w14:schemeClr w14:val="tx1"/>
            </w14:solidFill>
          </w14:textFill>
        </w:rPr>
        <w:t>2020</w:t>
      </w:r>
      <w:r>
        <w:rPr>
          <w:rFonts w:hint="eastAsia"/>
          <w:color w:val="000000" w:themeColor="text1"/>
          <w:sz w:val="28"/>
          <w:szCs w:val="28"/>
          <w14:textFill>
            <w14:solidFill>
              <w14:schemeClr w14:val="tx1"/>
            </w14:solidFill>
          </w14:textFill>
        </w:rPr>
        <w:t>或</w:t>
      </w:r>
      <w:r>
        <w:rPr>
          <w:color w:val="000000" w:themeColor="text1"/>
          <w:sz w:val="28"/>
          <w:szCs w:val="28"/>
          <w14:textFill>
            <w14:solidFill>
              <w14:schemeClr w14:val="tx1"/>
            </w14:solidFill>
          </w14:textFill>
        </w:rPr>
        <w:t>2021</w:t>
      </w:r>
      <w:r>
        <w:rPr>
          <w:rFonts w:hint="eastAsia"/>
          <w:color w:val="000000" w:themeColor="text1"/>
          <w:sz w:val="28"/>
          <w:szCs w:val="28"/>
          <w14:textFill>
            <w14:solidFill>
              <w14:schemeClr w14:val="tx1"/>
            </w14:solidFill>
          </w14:textFill>
        </w:rPr>
        <w:t>年任意时段的社保的</w:t>
      </w:r>
      <w:r>
        <w:rPr>
          <w:rFonts w:hint="eastAsia"/>
          <w:sz w:val="28"/>
          <w:szCs w:val="28"/>
        </w:rPr>
        <w:t>银行电子回单或行政部门出具的社保缴纳证明材料复印件；</w:t>
      </w:r>
    </w:p>
    <w:p>
      <w:pPr>
        <w:spacing w:line="360" w:lineRule="auto"/>
        <w:ind w:firstLine="560" w:firstLineChars="200"/>
        <w:rPr>
          <w:sz w:val="28"/>
          <w:szCs w:val="28"/>
        </w:rPr>
      </w:pPr>
      <w:r>
        <w:rPr>
          <w:rFonts w:hint="eastAsia"/>
          <w:sz w:val="28"/>
          <w:szCs w:val="28"/>
        </w:rPr>
        <w:t>六、采购人对法律、行政法规规定的其他条件无其他特殊要求，投标人具有有效的营业执照或法人证书即可，可不提供其他证明材料。</w:t>
      </w:r>
    </w:p>
    <w:p>
      <w:pPr>
        <w:tabs>
          <w:tab w:val="left" w:pos="1134"/>
        </w:tabs>
        <w:spacing w:line="360" w:lineRule="auto"/>
        <w:ind w:firstLine="560" w:firstLineChars="200"/>
        <w:rPr>
          <w:rFonts w:asciiTheme="minorEastAsia" w:hAnsiTheme="minorEastAsia" w:eastAsiaTheme="minorEastAsia"/>
          <w:b/>
          <w:color w:val="FF0000"/>
          <w:sz w:val="28"/>
          <w:szCs w:val="28"/>
        </w:rPr>
      </w:pPr>
      <w:r>
        <w:rPr>
          <w:rFonts w:hint="eastAsia" w:ascii="宋体" w:hAnsi="宋体"/>
          <w:bCs/>
          <w:sz w:val="28"/>
        </w:rPr>
        <w:t>七、</w:t>
      </w:r>
      <w:r>
        <w:rPr>
          <w:rFonts w:hint="eastAsia" w:cs="仿宋" w:asciiTheme="minorEastAsia" w:hAnsiTheme="minorEastAsia" w:eastAsiaTheme="minorEastAsia"/>
          <w:sz w:val="28"/>
          <w:szCs w:val="28"/>
        </w:rPr>
        <w:t>提供国家行业主管部门颁发的可移动文物修复资质证书（业务范围包含石器、石刻类文物）复印件。</w:t>
      </w:r>
    </w:p>
    <w:p>
      <w:pPr>
        <w:tabs>
          <w:tab w:val="left" w:pos="3969"/>
        </w:tabs>
        <w:spacing w:line="588" w:lineRule="exact"/>
        <w:ind w:right="-58" w:firstLine="560" w:firstLineChars="200"/>
        <w:rPr>
          <w:rFonts w:asciiTheme="minorEastAsia" w:hAnsiTheme="minorEastAsia" w:eastAsiaTheme="minorEastAsia"/>
          <w:bCs/>
          <w:sz w:val="28"/>
          <w:szCs w:val="28"/>
        </w:rPr>
      </w:pPr>
    </w:p>
    <w:p>
      <w:pPr>
        <w:pStyle w:val="2"/>
        <w:rPr>
          <w:rFonts w:ascii="宋体" w:hAnsi="宋体"/>
          <w:bCs/>
          <w:sz w:val="28"/>
          <w:u w:val="single"/>
        </w:rPr>
      </w:pPr>
    </w:p>
    <w:p/>
    <w:p>
      <w:pPr>
        <w:tabs>
          <w:tab w:val="left" w:pos="3969"/>
        </w:tabs>
        <w:spacing w:line="588" w:lineRule="exact"/>
        <w:ind w:right="-58"/>
        <w:rPr>
          <w:rFonts w:ascii="宋体" w:hAnsi="宋体"/>
          <w:bCs/>
          <w:sz w:val="28"/>
          <w:u w:val="single"/>
        </w:rPr>
      </w:pPr>
    </w:p>
    <w:p>
      <w:pPr>
        <w:tabs>
          <w:tab w:val="left" w:pos="3969"/>
        </w:tabs>
        <w:spacing w:line="588" w:lineRule="exact"/>
        <w:ind w:right="-58"/>
        <w:rPr>
          <w:rFonts w:ascii="宋体" w:hAnsi="宋体"/>
          <w:bCs/>
          <w:sz w:val="28"/>
          <w:u w:val="single"/>
        </w:rPr>
      </w:pPr>
    </w:p>
    <w:p>
      <w:pPr>
        <w:tabs>
          <w:tab w:val="left" w:pos="3969"/>
        </w:tabs>
        <w:spacing w:line="588" w:lineRule="exact"/>
        <w:ind w:right="-58"/>
        <w:rPr>
          <w:rFonts w:ascii="宋体" w:hAnsi="宋体"/>
          <w:bCs/>
          <w:sz w:val="28"/>
          <w:u w:val="single"/>
        </w:rPr>
      </w:pPr>
    </w:p>
    <w:p>
      <w:pPr>
        <w:tabs>
          <w:tab w:val="left" w:pos="3969"/>
        </w:tabs>
        <w:spacing w:line="588" w:lineRule="exact"/>
        <w:ind w:right="-58"/>
        <w:rPr>
          <w:rFonts w:ascii="宋体" w:hAnsi="宋体"/>
          <w:bCs/>
          <w:sz w:val="28"/>
          <w:u w:val="single"/>
        </w:rPr>
      </w:pPr>
    </w:p>
    <w:p>
      <w:pPr>
        <w:pStyle w:val="2"/>
      </w:pPr>
    </w:p>
    <w:p>
      <w:pPr>
        <w:keepNext/>
        <w:keepLines/>
        <w:numPr>
          <w:ilvl w:val="1"/>
          <w:numId w:val="5"/>
        </w:numPr>
        <w:spacing w:line="360" w:lineRule="auto"/>
        <w:jc w:val="left"/>
        <w:outlineLvl w:val="1"/>
        <w:rPr>
          <w:rFonts w:ascii="宋体" w:hAnsi="宋体"/>
          <w:b/>
          <w:bCs/>
          <w:sz w:val="28"/>
          <w:szCs w:val="28"/>
        </w:rPr>
      </w:pPr>
      <w:bookmarkStart w:id="130" w:name="_Toc70684287"/>
      <w:r>
        <w:rPr>
          <w:rFonts w:hint="eastAsia" w:ascii="宋体" w:hAnsi="宋体"/>
          <w:b/>
          <w:bCs/>
          <w:sz w:val="28"/>
          <w:szCs w:val="28"/>
        </w:rPr>
        <w:t>技术、服务、商务及其他要求响应部分</w:t>
      </w:r>
      <w:bookmarkEnd w:id="130"/>
    </w:p>
    <w:p>
      <w:pPr>
        <w:keepNext/>
        <w:keepLines/>
        <w:spacing w:line="360" w:lineRule="auto"/>
        <w:outlineLvl w:val="2"/>
        <w:rPr>
          <w:rFonts w:ascii="宋体" w:hAnsi="宋体"/>
          <w:b/>
          <w:bCs/>
          <w:sz w:val="28"/>
          <w:szCs w:val="28"/>
        </w:rPr>
      </w:pPr>
      <w:r>
        <w:rPr>
          <w:rFonts w:hint="eastAsia" w:ascii="宋体" w:hAnsi="宋体"/>
          <w:b/>
          <w:bCs/>
          <w:sz w:val="28"/>
          <w:szCs w:val="28"/>
        </w:rPr>
        <w:t>3.3.1投标函</w:t>
      </w:r>
    </w:p>
    <w:p>
      <w:pPr>
        <w:spacing w:line="560" w:lineRule="exact"/>
        <w:rPr>
          <w:rFonts w:ascii="宋体" w:hAnsi="宋体"/>
          <w:bCs/>
          <w:sz w:val="28"/>
          <w:szCs w:val="28"/>
        </w:rPr>
      </w:pPr>
      <w:r>
        <w:rPr>
          <w:rFonts w:hint="eastAsia" w:ascii="宋体" w:hAnsi="宋体"/>
          <w:bCs/>
          <w:sz w:val="28"/>
          <w:szCs w:val="28"/>
        </w:rPr>
        <w:t>蒲江县公共资源交易服务中心：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rPr>
        <w:t>蒲江县博物馆新馆特展厅展陈石刻文物修复采购项目</w:t>
      </w:r>
      <w:r>
        <w:rPr>
          <w:rFonts w:hint="eastAsia" w:ascii="宋体" w:hAnsi="宋体"/>
          <w:b/>
          <w:bCs/>
          <w:sz w:val="28"/>
          <w:szCs w:val="28"/>
          <w:u w:val="single"/>
        </w:rPr>
        <w:t>”（项目编号：               ）</w:t>
      </w:r>
      <w:r>
        <w:rPr>
          <w:rFonts w:hint="eastAsia" w:ascii="宋体" w:hAnsi="宋体"/>
          <w:bCs/>
          <w:sz w:val="28"/>
          <w:szCs w:val="28"/>
        </w:rPr>
        <w:t>招标文件，决定参加贵单位组织的本项目投标。我方授权</w:t>
      </w:r>
      <w:r>
        <w:rPr>
          <w:rFonts w:hint="eastAsia" w:ascii="宋体" w:hAnsi="宋体"/>
          <w:bCs/>
          <w:sz w:val="28"/>
          <w:szCs w:val="28"/>
          <w:u w:val="single"/>
        </w:rPr>
        <w:t>XXXX（姓名、职务）</w:t>
      </w:r>
      <w:r>
        <w:rPr>
          <w:rFonts w:hint="eastAsia" w:ascii="宋体" w:hAnsi="宋体"/>
          <w:bCs/>
          <w:sz w:val="28"/>
          <w:szCs w:val="28"/>
        </w:rPr>
        <w:t xml:space="preserve">代表我方 </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1"/>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700" w:firstLineChars="250"/>
        <w:rPr>
          <w:rFonts w:ascii="宋体" w:hAnsi="宋体"/>
          <w:sz w:val="28"/>
          <w:szCs w:val="28"/>
          <w:u w:val="single"/>
        </w:rPr>
      </w:pPr>
    </w:p>
    <w:p>
      <w:pPr>
        <w:keepNext/>
        <w:keepLines/>
        <w:spacing w:line="360" w:lineRule="auto"/>
        <w:outlineLvl w:val="2"/>
        <w:rPr>
          <w:rFonts w:ascii="宋体" w:hAnsi="宋体"/>
          <w:b/>
          <w:bCs/>
          <w:sz w:val="28"/>
          <w:szCs w:val="28"/>
        </w:rPr>
      </w:pPr>
      <w:bookmarkStart w:id="131" w:name="_Toc240865266"/>
      <w:bookmarkStart w:id="132" w:name="_Toc239849853"/>
      <w:bookmarkStart w:id="133" w:name="_Toc265494342"/>
      <w:bookmarkStart w:id="134" w:name="_Toc229802674"/>
      <w:bookmarkStart w:id="135" w:name="_Toc314574804"/>
      <w:bookmarkStart w:id="136" w:name="_Toc239846734"/>
      <w:bookmarkStart w:id="137" w:name="_Toc231030275"/>
      <w:bookmarkStart w:id="138" w:name="_Toc237145395"/>
      <w:bookmarkStart w:id="139" w:name="_Toc240367172"/>
      <w:r>
        <w:rPr>
          <w:rFonts w:hint="eastAsia" w:ascii="宋体" w:hAnsi="宋体"/>
          <w:b/>
          <w:bCs/>
          <w:sz w:val="28"/>
          <w:szCs w:val="28"/>
        </w:rPr>
        <w:t>3.3.2法定代表人身份证明书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sz w:val="28"/>
          <w:szCs w:val="28"/>
        </w:rPr>
      </w:pPr>
    </w:p>
    <w:bookmarkEnd w:id="131"/>
    <w:bookmarkEnd w:id="132"/>
    <w:bookmarkEnd w:id="133"/>
    <w:bookmarkEnd w:id="134"/>
    <w:bookmarkEnd w:id="135"/>
    <w:bookmarkEnd w:id="136"/>
    <w:bookmarkEnd w:id="137"/>
    <w:bookmarkEnd w:id="138"/>
    <w:bookmarkEnd w:id="139"/>
    <w:p>
      <w:pPr>
        <w:keepNext/>
        <w:keepLines/>
        <w:spacing w:line="360" w:lineRule="auto"/>
        <w:outlineLvl w:val="2"/>
        <w:rPr>
          <w:rFonts w:ascii="宋体" w:hAnsi="宋体"/>
          <w:b/>
          <w:bCs/>
          <w:sz w:val="28"/>
          <w:szCs w:val="28"/>
        </w:rPr>
      </w:pPr>
      <w:bookmarkStart w:id="141" w:name="_Toc315871054"/>
      <w:bookmarkEnd w:id="141"/>
      <w:bookmarkStart w:id="142" w:name="_Toc302997926"/>
      <w:bookmarkStart w:id="143" w:name="_Toc263753605"/>
      <w:bookmarkStart w:id="144" w:name="_Toc220299393"/>
      <w:bookmarkStart w:id="145" w:name="_Toc263768870"/>
      <w:bookmarkStart w:id="146" w:name="_Toc217446083"/>
      <w:r>
        <w:rPr>
          <w:rFonts w:hint="eastAsia" w:ascii="宋体" w:hAnsi="宋体"/>
          <w:b/>
          <w:bCs/>
          <w:sz w:val="28"/>
          <w:szCs w:val="28"/>
        </w:rPr>
        <w:t>3.3.3投标人基本情况表</w:t>
      </w:r>
      <w:bookmarkEnd w:id="142"/>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p>
      <w:pPr>
        <w:adjustRightInd w:val="0"/>
        <w:spacing w:line="400" w:lineRule="exact"/>
        <w:ind w:firstLine="700" w:firstLineChars="250"/>
        <w:rPr>
          <w:rFonts w:ascii="宋体" w:hAnsi="宋体"/>
          <w:bCs/>
          <w:sz w:val="28"/>
          <w:szCs w:val="28"/>
        </w:rPr>
      </w:pPr>
    </w:p>
    <w:p>
      <w:pPr>
        <w:adjustRightInd w:val="0"/>
        <w:spacing w:line="400" w:lineRule="exact"/>
        <w:ind w:firstLine="700" w:firstLineChars="250"/>
        <w:rPr>
          <w:rFonts w:ascii="宋体" w:hAnsi="宋体"/>
          <w:bCs/>
          <w:sz w:val="28"/>
          <w:szCs w:val="28"/>
        </w:rPr>
      </w:pPr>
    </w:p>
    <w:bookmarkEnd w:id="143"/>
    <w:bookmarkEnd w:id="144"/>
    <w:bookmarkEnd w:id="145"/>
    <w:bookmarkEnd w:id="146"/>
    <w:p>
      <w:pPr>
        <w:pStyle w:val="2"/>
      </w:pPr>
      <w:bookmarkStart w:id="147" w:name="_Toc316475719"/>
    </w:p>
    <w:p>
      <w:pPr>
        <w:pStyle w:val="2"/>
      </w:pPr>
    </w:p>
    <w:p>
      <w:pPr>
        <w:keepNext/>
        <w:keepLines/>
        <w:spacing w:line="360" w:lineRule="auto"/>
        <w:outlineLvl w:val="2"/>
        <w:rPr>
          <w:rFonts w:ascii="宋体" w:hAnsi="宋体"/>
          <w:b/>
          <w:bCs/>
          <w:sz w:val="28"/>
          <w:szCs w:val="28"/>
        </w:rPr>
      </w:pPr>
      <w:r>
        <w:rPr>
          <w:rFonts w:hint="eastAsia" w:ascii="宋体" w:hAnsi="宋体"/>
          <w:b/>
          <w:bCs/>
          <w:sz w:val="28"/>
          <w:szCs w:val="28"/>
        </w:rPr>
        <w:t>3.3.4技术、服务要求应答表</w:t>
      </w:r>
    </w:p>
    <w:tbl>
      <w:tblPr>
        <w:tblStyle w:val="42"/>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序号</w:t>
            </w:r>
          </w:p>
        </w:tc>
        <w:tc>
          <w:tcPr>
            <w:tcW w:w="2757" w:type="dxa"/>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招标文件要求</w:t>
            </w:r>
          </w:p>
        </w:tc>
        <w:tc>
          <w:tcPr>
            <w:tcW w:w="2835" w:type="dxa"/>
            <w:vAlign w:val="center"/>
          </w:tcPr>
          <w:p>
            <w:pPr>
              <w:tabs>
                <w:tab w:val="left" w:pos="6880"/>
              </w:tabs>
              <w:spacing w:line="360" w:lineRule="auto"/>
              <w:ind w:firstLine="482"/>
              <w:jc w:val="center"/>
              <w:rPr>
                <w:rFonts w:ascii="宋体" w:hAnsi="宋体"/>
                <w:b/>
                <w:bCs/>
                <w:color w:val="000000"/>
                <w:kern w:val="0"/>
                <w:sz w:val="28"/>
                <w:szCs w:val="28"/>
              </w:rPr>
            </w:pPr>
            <w:r>
              <w:rPr>
                <w:rFonts w:hint="eastAsia" w:ascii="宋体" w:hAnsi="宋体" w:cs="宋体"/>
                <w:b/>
                <w:bCs/>
                <w:color w:val="000000"/>
                <w:kern w:val="0"/>
                <w:sz w:val="28"/>
                <w:szCs w:val="28"/>
              </w:rPr>
              <w:t>投标文件的应答</w:t>
            </w:r>
          </w:p>
        </w:tc>
        <w:tc>
          <w:tcPr>
            <w:tcW w:w="1559" w:type="dxa"/>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1</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2</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3</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4</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5</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tabs>
                <w:tab w:val="left" w:pos="34"/>
              </w:tabs>
              <w:spacing w:line="360" w:lineRule="auto"/>
              <w:ind w:left="-108"/>
              <w:jc w:val="center"/>
              <w:rPr>
                <w:rFonts w:ascii="宋体" w:hAnsi="宋体" w:cs="宋体"/>
                <w:color w:val="000000"/>
                <w:kern w:val="0"/>
                <w:sz w:val="28"/>
                <w:szCs w:val="28"/>
              </w:rPr>
            </w:pPr>
            <w:r>
              <w:rPr>
                <w:rFonts w:hint="eastAsia" w:ascii="宋体" w:hAnsi="宋体" w:cs="宋体"/>
                <w:color w:val="000000"/>
                <w:kern w:val="0"/>
                <w:sz w:val="28"/>
                <w:szCs w:val="28"/>
              </w:rPr>
              <w:t>....</w:t>
            </w:r>
          </w:p>
        </w:tc>
        <w:tc>
          <w:tcPr>
            <w:tcW w:w="2757" w:type="dxa"/>
            <w:vAlign w:val="center"/>
          </w:tcPr>
          <w:p>
            <w:pPr>
              <w:tabs>
                <w:tab w:val="left" w:pos="6880"/>
              </w:tabs>
              <w:spacing w:line="360" w:lineRule="auto"/>
              <w:ind w:firstLine="480"/>
              <w:rPr>
                <w:rFonts w:ascii="宋体" w:hAnsi="宋体"/>
                <w:color w:val="000000"/>
                <w:kern w:val="0"/>
                <w:sz w:val="28"/>
                <w:szCs w:val="28"/>
              </w:rPr>
            </w:pPr>
          </w:p>
        </w:tc>
        <w:tc>
          <w:tcPr>
            <w:tcW w:w="2835" w:type="dxa"/>
            <w:vAlign w:val="center"/>
          </w:tcPr>
          <w:p>
            <w:pPr>
              <w:tabs>
                <w:tab w:val="left" w:pos="6880"/>
              </w:tabs>
              <w:spacing w:line="360" w:lineRule="auto"/>
              <w:ind w:firstLine="480"/>
              <w:rPr>
                <w:rFonts w:ascii="宋体" w:hAnsi="宋体"/>
                <w:color w:val="000000"/>
                <w:kern w:val="0"/>
                <w:sz w:val="28"/>
                <w:szCs w:val="28"/>
              </w:rPr>
            </w:pPr>
          </w:p>
        </w:tc>
        <w:tc>
          <w:tcPr>
            <w:tcW w:w="1559" w:type="dxa"/>
            <w:vAlign w:val="center"/>
          </w:tcPr>
          <w:p>
            <w:pPr>
              <w:tabs>
                <w:tab w:val="left" w:pos="6880"/>
              </w:tabs>
              <w:spacing w:line="360" w:lineRule="auto"/>
              <w:ind w:firstLine="480"/>
              <w:rPr>
                <w:rFonts w:ascii="宋体" w:hAnsi="宋体"/>
                <w:color w:val="000000"/>
                <w:kern w:val="0"/>
                <w:sz w:val="28"/>
                <w:szCs w:val="28"/>
              </w:rPr>
            </w:pPr>
          </w:p>
        </w:tc>
      </w:tr>
    </w:tbl>
    <w:p>
      <w:pPr>
        <w:widowControl/>
        <w:spacing w:line="360" w:lineRule="atLeast"/>
        <w:ind w:firstLine="280" w:firstLineChars="100"/>
        <w:outlineLvl w:val="1"/>
        <w:rPr>
          <w:rFonts w:ascii="宋体" w:hAnsi="宋体"/>
          <w:color w:val="000000"/>
          <w:sz w:val="28"/>
          <w:szCs w:val="28"/>
        </w:rPr>
      </w:pPr>
      <w:r>
        <w:rPr>
          <w:rFonts w:hint="eastAsia" w:ascii="宋体" w:hAnsi="宋体" w:cs="宋体"/>
          <w:color w:val="000000"/>
          <w:sz w:val="28"/>
          <w:szCs w:val="28"/>
        </w:rPr>
        <w:t>注：</w:t>
      </w:r>
      <w:r>
        <w:rPr>
          <w:rFonts w:ascii="宋体" w:hAnsi="宋体" w:cs="宋体"/>
          <w:color w:val="000000"/>
          <w:sz w:val="28"/>
          <w:szCs w:val="28"/>
        </w:rPr>
        <w:t xml:space="preserve">1. </w:t>
      </w:r>
      <w:r>
        <w:rPr>
          <w:rFonts w:hint="eastAsia" w:ascii="宋体" w:hAnsi="宋体" w:cs="宋体"/>
          <w:color w:val="000000"/>
          <w:sz w:val="28"/>
          <w:szCs w:val="28"/>
        </w:rPr>
        <w:t>供应商必须把招标项目的全部技术、服务要求列入此表。</w:t>
      </w:r>
    </w:p>
    <w:p>
      <w:pPr>
        <w:widowControl/>
        <w:spacing w:line="360" w:lineRule="atLeast"/>
        <w:ind w:firstLine="280" w:firstLineChars="100"/>
        <w:outlineLvl w:val="1"/>
        <w:rPr>
          <w:rFonts w:ascii="宋体" w:hAnsi="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．供应商必须据实填写，不得虚假填写，否则将取消其投标或中标资格。</w:t>
      </w:r>
    </w:p>
    <w:p>
      <w:pPr>
        <w:widowControl/>
        <w:spacing w:line="360" w:lineRule="atLeast"/>
        <w:ind w:firstLine="548" w:firstLineChars="196"/>
        <w:outlineLvl w:val="1"/>
        <w:rPr>
          <w:rFonts w:ascii="宋体" w:hAnsi="宋体"/>
          <w:color w:val="000000"/>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Pr>
        <w:widowControl/>
        <w:spacing w:line="360" w:lineRule="atLeast"/>
        <w:outlineLvl w:val="1"/>
        <w:rPr>
          <w:rFonts w:ascii="宋体" w:hAnsi="宋体"/>
          <w:color w:val="000000"/>
          <w:sz w:val="28"/>
          <w:szCs w:val="28"/>
        </w:rPr>
      </w:pPr>
      <w:r>
        <w:rPr>
          <w:rFonts w:hint="eastAsia" w:ascii="宋体" w:hAnsi="宋体" w:cs="宋体"/>
          <w:color w:val="000000"/>
          <w:sz w:val="28"/>
          <w:szCs w:val="28"/>
        </w:rPr>
        <w:t>投标人名称：</w:t>
      </w:r>
      <w:r>
        <w:rPr>
          <w:rFonts w:ascii="宋体" w:hAnsi="宋体" w:cs="宋体"/>
          <w:color w:val="000000"/>
          <w:sz w:val="28"/>
          <w:szCs w:val="28"/>
        </w:rPr>
        <w:t>XXXX</w:t>
      </w:r>
    </w:p>
    <w:p>
      <w:pPr>
        <w:widowControl/>
        <w:spacing w:line="360" w:lineRule="atLeast"/>
        <w:ind w:firstLine="280" w:firstLineChars="100"/>
        <w:outlineLvl w:val="1"/>
        <w:rPr>
          <w:rFonts w:ascii="宋体" w:hAnsi="宋体"/>
          <w:color w:val="000000"/>
          <w:sz w:val="28"/>
          <w:szCs w:val="28"/>
        </w:rPr>
      </w:pPr>
    </w:p>
    <w:p>
      <w:pPr>
        <w:snapToGrid w:val="0"/>
        <w:spacing w:line="360" w:lineRule="auto"/>
        <w:rPr>
          <w:rFonts w:ascii="宋体" w:hAnsi="宋体"/>
          <w:b/>
          <w:sz w:val="28"/>
          <w:szCs w:val="28"/>
        </w:rPr>
      </w:pPr>
      <w:r>
        <w:rPr>
          <w:rFonts w:hint="eastAsia" w:ascii="宋体" w:hAnsi="宋体" w:cs="宋体"/>
          <w:color w:val="000000"/>
          <w:sz w:val="28"/>
          <w:szCs w:val="28"/>
        </w:rPr>
        <w:t>日期</w:t>
      </w:r>
      <w:r>
        <w:rPr>
          <w:rFonts w:ascii="宋体" w:hAnsi="宋体" w:cs="宋体"/>
          <w:color w:val="000000"/>
          <w:sz w:val="28"/>
          <w:szCs w:val="28"/>
        </w:rPr>
        <w:t>:</w:t>
      </w:r>
      <w:r>
        <w:rPr>
          <w:rFonts w:hint="eastAsia" w:ascii="宋体" w:hAnsi="宋体"/>
          <w:bCs/>
          <w:sz w:val="28"/>
          <w:u w:val="single"/>
        </w:rPr>
        <w:t>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keepNext/>
        <w:keepLines/>
        <w:spacing w:line="360" w:lineRule="auto"/>
        <w:outlineLvl w:val="2"/>
        <w:rPr>
          <w:rFonts w:ascii="宋体" w:hAnsi="宋体"/>
          <w:b/>
          <w:bCs/>
          <w:sz w:val="28"/>
          <w:szCs w:val="28"/>
        </w:rPr>
      </w:pPr>
      <w:r>
        <w:rPr>
          <w:rFonts w:hint="eastAsia" w:ascii="宋体" w:hAnsi="宋体"/>
          <w:b/>
          <w:bCs/>
          <w:sz w:val="28"/>
          <w:szCs w:val="28"/>
        </w:rPr>
        <w:t>3.3.5实施方案</w:t>
      </w:r>
    </w:p>
    <w:p>
      <w:pPr>
        <w:snapToGrid w:val="0"/>
        <w:spacing w:line="500" w:lineRule="exact"/>
        <w:ind w:left="1445" w:right="-57" w:rightChars="-27" w:hanging="1445" w:hangingChars="514"/>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蒲江县博物馆新馆特展厅展陈石刻文物修复采购项目</w:t>
      </w:r>
    </w:p>
    <w:p>
      <w:pPr>
        <w:snapToGrid w:val="0"/>
        <w:spacing w:line="360" w:lineRule="auto"/>
        <w:rPr>
          <w:rFonts w:ascii="宋体" w:hAnsi="宋体"/>
          <w:b/>
          <w:sz w:val="28"/>
          <w:szCs w:val="28"/>
        </w:rPr>
      </w:pPr>
    </w:p>
    <w:p>
      <w:pPr>
        <w:snapToGrid w:val="0"/>
        <w:spacing w:line="360" w:lineRule="auto"/>
        <w:rPr>
          <w:rFonts w:ascii="宋体" w:hAnsi="宋体"/>
          <w:b/>
          <w:sz w:val="28"/>
          <w:szCs w:val="28"/>
          <w:u w:val="single"/>
        </w:rPr>
      </w:pPr>
      <w:r>
        <w:rPr>
          <w:rFonts w:hint="eastAsia" w:ascii="宋体" w:hAnsi="宋体"/>
          <w:b/>
          <w:sz w:val="28"/>
          <w:szCs w:val="28"/>
        </w:rPr>
        <w:t xml:space="preserve">项目编号： </w:t>
      </w:r>
      <w:r>
        <w:rPr>
          <w:rFonts w:hint="eastAsia" w:ascii="宋体" w:hAnsi="宋体"/>
          <w:b/>
          <w:sz w:val="28"/>
          <w:szCs w:val="28"/>
          <w:u w:val="single"/>
        </w:rPr>
        <w:t xml:space="preserve">                                 </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after="120" w:line="360" w:lineRule="auto"/>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cols w:space="720" w:num="1"/>
        </w:sectPr>
      </w:pPr>
    </w:p>
    <w:p>
      <w:pPr>
        <w:keepNext/>
        <w:keepLines/>
        <w:spacing w:line="360" w:lineRule="auto"/>
        <w:outlineLvl w:val="2"/>
        <w:rPr>
          <w:rFonts w:ascii="宋体" w:hAnsi="宋体"/>
          <w:b/>
          <w:sz w:val="28"/>
          <w:szCs w:val="28"/>
        </w:rPr>
      </w:pPr>
      <w:r>
        <w:rPr>
          <w:rFonts w:hint="eastAsia" w:ascii="宋体" w:hAnsi="宋体"/>
          <w:b/>
          <w:sz w:val="28"/>
          <w:szCs w:val="28"/>
        </w:rPr>
        <w:t>3.3.6 承诺函</w:t>
      </w:r>
    </w:p>
    <w:p>
      <w:pPr>
        <w:snapToGrid w:val="0"/>
        <w:spacing w:line="500" w:lineRule="exact"/>
        <w:ind w:left="1445" w:right="-57" w:rightChars="-27" w:hanging="1445" w:hangingChars="514"/>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蒲江县博物馆新馆特展厅展陈石刻文物修复采购项目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 xml:space="preserve">                                  </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151"/>
        <w:snapToGrid w:val="0"/>
        <w:spacing w:after="200" w:line="360" w:lineRule="auto"/>
        <w:ind w:right="210" w:firstLine="565" w:firstLineChars="202"/>
        <w:rPr>
          <w:rFonts w:ascii="宋体" w:hAnsi="宋体"/>
          <w:sz w:val="28"/>
          <w:szCs w:val="28"/>
        </w:rPr>
      </w:pPr>
      <w:r>
        <w:rPr>
          <w:rFonts w:hint="eastAsia" w:ascii="宋体" w:hAnsi="宋体" w:cs="宋体"/>
          <w:sz w:val="28"/>
          <w:szCs w:val="28"/>
        </w:rPr>
        <w:t>一、我方</w:t>
      </w:r>
      <w:r>
        <w:rPr>
          <w:rFonts w:hint="eastAsia" w:ascii="宋体" w:hAnsi="宋体" w:cs="宋体"/>
          <w:sz w:val="28"/>
          <w:szCs w:val="28"/>
          <w:lang w:eastAsia="zh-Hans"/>
        </w:rPr>
        <w:t>为本项目提供的服务符合现行的强制性国家相关标准、行业标准</w:t>
      </w:r>
      <w:r>
        <w:rPr>
          <w:rFonts w:hint="eastAsia" w:ascii="宋体" w:hAnsi="宋体" w:cs="宋体"/>
          <w:sz w:val="28"/>
          <w:szCs w:val="28"/>
        </w:rPr>
        <w:t>；</w:t>
      </w:r>
    </w:p>
    <w:p>
      <w:pPr>
        <w:pStyle w:val="151"/>
        <w:snapToGrid w:val="0"/>
        <w:spacing w:after="200" w:line="360" w:lineRule="auto"/>
        <w:ind w:right="210" w:firstLine="565" w:firstLineChars="202"/>
        <w:rPr>
          <w:rFonts w:ascii="宋体" w:hAnsi="宋体"/>
          <w:color w:val="FF0000"/>
          <w:sz w:val="28"/>
          <w:szCs w:val="28"/>
        </w:rPr>
      </w:pPr>
      <w:r>
        <w:rPr>
          <w:rFonts w:hint="eastAsia" w:ascii="宋体" w:hAnsi="宋体"/>
          <w:sz w:val="28"/>
          <w:szCs w:val="28"/>
        </w:rPr>
        <w:t>二、我方承诺完全响应招标文件第4章4.2第</w:t>
      </w:r>
      <w:r>
        <w:rPr>
          <w:rFonts w:hint="eastAsia" w:ascii="宋体" w:hAnsi="宋体"/>
          <w:sz w:val="28"/>
          <w:szCs w:val="28"/>
          <w:lang w:eastAsia="zh-CN"/>
        </w:rPr>
        <w:t>八</w:t>
      </w:r>
      <w:r>
        <w:rPr>
          <w:rFonts w:hint="eastAsia" w:ascii="宋体" w:hAnsi="宋体"/>
          <w:sz w:val="28"/>
          <w:szCs w:val="28"/>
        </w:rPr>
        <w:t>条人员要求第2点的所有要求；</w:t>
      </w:r>
    </w:p>
    <w:p>
      <w:pPr>
        <w:pStyle w:val="151"/>
        <w:snapToGrid w:val="0"/>
        <w:spacing w:after="200" w:line="360" w:lineRule="auto"/>
        <w:ind w:right="210" w:firstLine="565" w:firstLineChars="202"/>
        <w:rPr>
          <w:rFonts w:ascii="宋体" w:hAnsi="宋体"/>
          <w:sz w:val="28"/>
          <w:szCs w:val="28"/>
        </w:rPr>
      </w:pPr>
      <w:r>
        <w:rPr>
          <w:rFonts w:hint="eastAsia" w:ascii="宋体" w:hAnsi="宋体"/>
          <w:sz w:val="28"/>
          <w:szCs w:val="28"/>
        </w:rPr>
        <w:t>三、我方承诺完全响应招标文件第4章4.2第</w:t>
      </w:r>
      <w:r>
        <w:rPr>
          <w:rFonts w:hint="eastAsia" w:ascii="宋体" w:hAnsi="宋体"/>
          <w:sz w:val="28"/>
          <w:szCs w:val="28"/>
          <w:lang w:eastAsia="zh-CN"/>
        </w:rPr>
        <w:t>八</w:t>
      </w:r>
      <w:r>
        <w:rPr>
          <w:rFonts w:hint="eastAsia" w:ascii="宋体" w:hAnsi="宋体"/>
          <w:sz w:val="28"/>
          <w:szCs w:val="28"/>
        </w:rPr>
        <w:t>条人员要求第</w:t>
      </w:r>
      <w:r>
        <w:rPr>
          <w:rFonts w:hint="eastAsia" w:ascii="宋体" w:hAnsi="宋体"/>
          <w:sz w:val="28"/>
          <w:szCs w:val="28"/>
          <w:lang w:val="en-US" w:eastAsia="zh-CN"/>
        </w:rPr>
        <w:t>3</w:t>
      </w:r>
      <w:r>
        <w:rPr>
          <w:rFonts w:hint="eastAsia" w:ascii="宋体" w:hAnsi="宋体"/>
          <w:sz w:val="28"/>
          <w:szCs w:val="28"/>
        </w:rPr>
        <w:t>点的所有要求；</w:t>
      </w:r>
    </w:p>
    <w:p>
      <w:pPr>
        <w:pStyle w:val="151"/>
        <w:snapToGrid w:val="0"/>
        <w:spacing w:after="200" w:line="360" w:lineRule="auto"/>
        <w:ind w:right="210" w:firstLine="565" w:firstLineChars="202"/>
        <w:rPr>
          <w:rFonts w:ascii="宋体" w:hAnsi="宋体"/>
          <w:sz w:val="28"/>
          <w:szCs w:val="28"/>
        </w:rPr>
      </w:pPr>
      <w:r>
        <w:rPr>
          <w:rFonts w:hint="eastAsia" w:ascii="宋体" w:hAnsi="宋体"/>
          <w:sz w:val="28"/>
          <w:szCs w:val="28"/>
          <w:lang w:eastAsia="zh-CN"/>
        </w:rPr>
        <w:t>四、</w:t>
      </w:r>
      <w:r>
        <w:rPr>
          <w:rFonts w:hint="eastAsia" w:ascii="宋体" w:hAnsi="宋体"/>
          <w:sz w:val="28"/>
          <w:szCs w:val="28"/>
        </w:rPr>
        <w:t>我方承诺完全响应招标文件第4章4.3商务要求</w:t>
      </w:r>
      <w:r>
        <w:rPr>
          <w:rFonts w:hint="eastAsia" w:ascii="宋体" w:hAnsi="宋体"/>
          <w:sz w:val="28"/>
          <w:szCs w:val="28"/>
          <w:lang w:eastAsia="zh-CN"/>
        </w:rPr>
        <w:t>及其他要求</w:t>
      </w:r>
      <w:r>
        <w:rPr>
          <w:rFonts w:hint="eastAsia" w:ascii="宋体" w:hAnsi="宋体"/>
          <w:sz w:val="28"/>
          <w:szCs w:val="28"/>
        </w:rPr>
        <w:t>中所有要求。</w:t>
      </w:r>
    </w:p>
    <w:p>
      <w:pPr>
        <w:pStyle w:val="151"/>
        <w:snapToGrid w:val="0"/>
        <w:spacing w:after="200" w:line="360" w:lineRule="auto"/>
        <w:ind w:right="210" w:firstLine="0" w:firstLineChars="0"/>
        <w:rPr>
          <w:rFonts w:ascii="宋体" w:hAnsi="宋体"/>
          <w:sz w:val="28"/>
          <w:szCs w:val="28"/>
        </w:rPr>
      </w:pPr>
    </w:p>
    <w:p>
      <w:pPr>
        <w:adjustRightInd w:val="0"/>
        <w:snapToGrid w:val="0"/>
        <w:spacing w:line="560" w:lineRule="exact"/>
        <w:ind w:firstLine="560" w:firstLineChars="200"/>
        <w:rPr>
          <w:rFonts w:ascii="宋体" w:hAnsi="宋体"/>
          <w:sz w:val="28"/>
        </w:rPr>
      </w:pPr>
    </w:p>
    <w:p>
      <w:pPr>
        <w:adjustRightInd w:val="0"/>
        <w:snapToGrid w:val="0"/>
        <w:spacing w:line="560" w:lineRule="exact"/>
        <w:ind w:firstLine="560" w:firstLineChars="200"/>
        <w:rPr>
          <w:rFonts w:ascii="宋体" w:hAnsi="宋体"/>
          <w:sz w:val="28"/>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rPr>
          <w:rFonts w:ascii="宋体" w:hAnsi="宋体"/>
          <w:sz w:val="28"/>
        </w:rPr>
      </w:pPr>
    </w:p>
    <w:p>
      <w:pPr>
        <w:keepNext/>
        <w:keepLines/>
        <w:spacing w:line="360" w:lineRule="auto"/>
        <w:outlineLvl w:val="2"/>
        <w:rPr>
          <w:rFonts w:ascii="宋体" w:hAnsi="宋体"/>
          <w:b/>
          <w:sz w:val="28"/>
          <w:szCs w:val="28"/>
        </w:rPr>
      </w:pPr>
    </w:p>
    <w:p>
      <w:pPr>
        <w:keepNext/>
        <w:keepLines/>
        <w:spacing w:line="360" w:lineRule="auto"/>
        <w:outlineLvl w:val="2"/>
        <w:rPr>
          <w:rFonts w:ascii="宋体" w:hAnsi="宋体"/>
          <w:b/>
          <w:sz w:val="28"/>
          <w:szCs w:val="28"/>
        </w:rPr>
      </w:pPr>
      <w:r>
        <w:rPr>
          <w:rFonts w:hint="eastAsia" w:ascii="宋体" w:hAnsi="宋体"/>
          <w:b/>
          <w:sz w:val="28"/>
          <w:szCs w:val="28"/>
        </w:rPr>
        <w:t>3.4  报价要求响应部分</w:t>
      </w:r>
    </w:p>
    <w:p>
      <w:pPr>
        <w:keepNext/>
        <w:keepLines/>
        <w:spacing w:line="360" w:lineRule="auto"/>
        <w:outlineLvl w:val="2"/>
        <w:rPr>
          <w:rFonts w:ascii="宋体" w:hAnsi="宋体"/>
          <w:b/>
          <w:bCs/>
          <w:sz w:val="28"/>
          <w:szCs w:val="28"/>
        </w:rPr>
      </w:pPr>
      <w:r>
        <w:rPr>
          <w:rFonts w:hint="eastAsia" w:ascii="宋体" w:hAnsi="宋体"/>
          <w:b/>
          <w:bCs/>
          <w:sz w:val="28"/>
          <w:szCs w:val="28"/>
        </w:rPr>
        <w:t>3.4.1开标一览表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pStyle w:val="2"/>
        <w:rPr>
          <w:rFonts w:ascii="宋体" w:hAnsi="宋体"/>
          <w:b/>
          <w:sz w:val="28"/>
          <w:szCs w:val="28"/>
        </w:rPr>
      </w:pPr>
      <w:r>
        <w:rPr>
          <w:rFonts w:hint="eastAsia" w:ascii="宋体" w:hAnsi="宋体"/>
          <w:b/>
          <w:sz w:val="28"/>
          <w:szCs w:val="28"/>
        </w:rPr>
        <w:t>投标报价以投标人在政府采购云平台开标一览表中填写的报价为准。</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keepLines/>
        <w:spacing w:line="360" w:lineRule="auto"/>
        <w:outlineLvl w:val="2"/>
        <w:rPr>
          <w:rFonts w:ascii="宋体" w:hAnsi="宋体"/>
          <w:b/>
          <w:bCs/>
          <w:sz w:val="28"/>
          <w:szCs w:val="28"/>
        </w:rPr>
      </w:pPr>
      <w:r>
        <w:rPr>
          <w:rFonts w:hint="eastAsia" w:ascii="宋体" w:hAnsi="宋体"/>
          <w:b/>
          <w:bCs/>
          <w:sz w:val="28"/>
          <w:szCs w:val="28"/>
        </w:rPr>
        <w:t>3.4.2分项报价明细表</w:t>
      </w:r>
    </w:p>
    <w:p>
      <w:pPr>
        <w:snapToGrid w:val="0"/>
        <w:spacing w:line="500" w:lineRule="exact"/>
        <w:ind w:left="1445" w:right="-57" w:rightChars="-27" w:hanging="1445" w:hangingChars="514"/>
        <w:rPr>
          <w:rFonts w:ascii="宋体" w:hAnsi="宋体"/>
          <w:b/>
          <w:sz w:val="28"/>
          <w:szCs w:val="28"/>
        </w:rPr>
      </w:pPr>
      <w:r>
        <w:rPr>
          <w:rFonts w:hint="eastAsia" w:ascii="宋体" w:hAnsi="宋体"/>
          <w:b/>
          <w:sz w:val="28"/>
        </w:rPr>
        <w:t>项目名称：</w:t>
      </w:r>
      <w:r>
        <w:rPr>
          <w:rFonts w:hint="eastAsia" w:ascii="宋体" w:hAnsi="宋体"/>
          <w:b/>
          <w:sz w:val="28"/>
          <w:szCs w:val="28"/>
        </w:rPr>
        <w:t>蒲江县博物馆新馆特展厅展陈石刻文物修复采购项目</w:t>
      </w:r>
    </w:p>
    <w:p>
      <w:pPr>
        <w:tabs>
          <w:tab w:val="left" w:pos="7560"/>
        </w:tabs>
        <w:spacing w:after="180" w:line="440" w:lineRule="exact"/>
        <w:rPr>
          <w:rFonts w:ascii="宋体" w:hAnsi="宋体"/>
          <w:b/>
          <w:sz w:val="28"/>
          <w:szCs w:val="20"/>
        </w:rPr>
      </w:pPr>
      <w:r>
        <w:rPr>
          <w:rFonts w:hint="eastAsia" w:ascii="宋体" w:hAnsi="宋体"/>
          <w:b/>
          <w:sz w:val="28"/>
          <w:szCs w:val="20"/>
        </w:rPr>
        <w:t>项目编号：</w:t>
      </w:r>
    </w:p>
    <w:p>
      <w:pPr>
        <w:tabs>
          <w:tab w:val="left" w:pos="630"/>
          <w:tab w:val="left" w:pos="7560"/>
        </w:tabs>
        <w:spacing w:line="360" w:lineRule="auto"/>
        <w:rPr>
          <w:rFonts w:ascii="宋体" w:hAnsi="宋体"/>
          <w:sz w:val="28"/>
          <w:szCs w:val="28"/>
        </w:rPr>
      </w:pPr>
      <w:r>
        <w:rPr>
          <w:rFonts w:hint="eastAsia" w:ascii="宋体" w:hAnsi="宋体"/>
          <w:sz w:val="28"/>
          <w:szCs w:val="28"/>
        </w:rPr>
        <w:t>分项报价明细表（说明：投标人应根据其报价的构成提供详细的分项价格明细表，自行制表格填写）</w:t>
      </w: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tabs>
          <w:tab w:val="left" w:pos="630"/>
          <w:tab w:val="left" w:pos="7560"/>
        </w:tabs>
        <w:spacing w:line="360" w:lineRule="auto"/>
        <w:rPr>
          <w:rFonts w:ascii="宋体" w:hAnsi="宋体"/>
          <w:sz w:val="28"/>
          <w:szCs w:val="28"/>
        </w:rPr>
      </w:pPr>
    </w:p>
    <w:p>
      <w:pPr>
        <w:spacing w:after="180" w:line="300" w:lineRule="auto"/>
        <w:ind w:firstLine="565" w:firstLineChars="202"/>
        <w:rPr>
          <w:rFonts w:ascii="宋体" w:hAnsi="宋体"/>
          <w:sz w:val="28"/>
          <w:szCs w:val="20"/>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Cs/>
          <w:sz w:val="28"/>
          <w:szCs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630"/>
          <w:tab w:val="left" w:pos="7560"/>
        </w:tabs>
        <w:spacing w:line="360" w:lineRule="auto"/>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pStyle w:val="5"/>
        <w:numPr>
          <w:ilvl w:val="2"/>
          <w:numId w:val="0"/>
        </w:numPr>
        <w:spacing w:after="200" w:line="240" w:lineRule="auto"/>
        <w:rPr>
          <w:color w:val="auto"/>
        </w:rPr>
      </w:pPr>
      <w:bookmarkStart w:id="148" w:name="_Toc448132270"/>
      <w:bookmarkStart w:id="149" w:name="_Toc430250269"/>
      <w:r>
        <w:rPr>
          <w:rFonts w:hint="eastAsia"/>
          <w:color w:val="auto"/>
        </w:rPr>
        <w:t>3.4.3中小企业声明函</w:t>
      </w:r>
      <w:bookmarkEnd w:id="148"/>
    </w:p>
    <w:bookmarkEnd w:id="149"/>
    <w:p>
      <w:pPr>
        <w:spacing w:line="50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00" w:lineRule="exact"/>
        <w:ind w:firstLine="584" w:firstLineChars="200"/>
        <w:rPr>
          <w:rFonts w:ascii="宋体" w:hAnsi="宋体"/>
          <w:spacing w:val="6"/>
          <w:sz w:val="28"/>
          <w:szCs w:val="28"/>
        </w:rPr>
      </w:pPr>
      <w:r>
        <w:rPr>
          <w:rFonts w:hint="eastAsia" w:ascii="宋体" w:hAnsi="宋体"/>
          <w:spacing w:val="6"/>
          <w:sz w:val="28"/>
          <w:szCs w:val="28"/>
        </w:rPr>
        <w:t>本公司郑重声明，根据《政府采购促进中小企业发展管理办法》（财库〔2020〕46号）的规定，本公司参加</w:t>
      </w:r>
      <w:r>
        <w:rPr>
          <w:rFonts w:hint="eastAsia" w:ascii="宋体" w:hAnsi="宋体"/>
          <w:b/>
          <w:sz w:val="28"/>
          <w:szCs w:val="28"/>
          <w:u w:val="single"/>
        </w:rPr>
        <w:t>蒲江县博物馆新馆特展厅展陈石刻文物修复采购项目（项目编号：        ）</w:t>
      </w:r>
      <w:r>
        <w:rPr>
          <w:rFonts w:hint="eastAsia" w:ascii="宋体" w:hAnsi="宋体"/>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u w:val="single"/>
        </w:rPr>
        <w:t>XXXX（标的名称）</w:t>
      </w:r>
      <w:r>
        <w:rPr>
          <w:rFonts w:hint="eastAsia" w:ascii="宋体" w:hAnsi="宋体"/>
          <w:spacing w:val="6"/>
          <w:sz w:val="28"/>
          <w:szCs w:val="28"/>
        </w:rPr>
        <w:t>，属于</w:t>
      </w:r>
      <w:r>
        <w:rPr>
          <w:rFonts w:hint="eastAsia" w:ascii="宋体" w:hAnsi="宋体"/>
          <w:spacing w:val="6"/>
          <w:sz w:val="28"/>
          <w:szCs w:val="28"/>
          <w:u w:val="single"/>
        </w:rPr>
        <w:t>XXXX（采购文件中明确的所属行业）</w:t>
      </w:r>
      <w:r>
        <w:rPr>
          <w:rFonts w:hint="eastAsia" w:ascii="宋体" w:hAnsi="宋体"/>
          <w:spacing w:val="6"/>
          <w:sz w:val="28"/>
          <w:szCs w:val="28"/>
        </w:rPr>
        <w:t>；承接企业为</w:t>
      </w:r>
      <w:r>
        <w:rPr>
          <w:rFonts w:hint="eastAsia" w:ascii="宋体" w:hAnsi="宋体"/>
          <w:spacing w:val="6"/>
          <w:sz w:val="28"/>
          <w:szCs w:val="28"/>
          <w:u w:val="single"/>
        </w:rPr>
        <w:t>XXXX（企业名称）</w:t>
      </w:r>
      <w:r>
        <w:rPr>
          <w:rFonts w:hint="eastAsia" w:ascii="宋体" w:hAnsi="宋体"/>
          <w:spacing w:val="6"/>
          <w:sz w:val="28"/>
          <w:szCs w:val="28"/>
        </w:rPr>
        <w:t>，从业人员</w:t>
      </w:r>
      <w:r>
        <w:rPr>
          <w:rFonts w:hint="eastAsia" w:ascii="宋体" w:hAnsi="宋体"/>
          <w:spacing w:val="6"/>
          <w:sz w:val="28"/>
          <w:szCs w:val="28"/>
          <w:u w:val="single"/>
        </w:rPr>
        <w:t>XX</w:t>
      </w:r>
      <w:r>
        <w:rPr>
          <w:rFonts w:hint="eastAsia" w:ascii="宋体" w:hAnsi="宋体"/>
          <w:spacing w:val="6"/>
          <w:sz w:val="28"/>
          <w:szCs w:val="28"/>
        </w:rPr>
        <w:t>人，营业收入为</w:t>
      </w:r>
      <w:r>
        <w:rPr>
          <w:rFonts w:hint="eastAsia" w:ascii="宋体" w:hAnsi="宋体"/>
          <w:spacing w:val="6"/>
          <w:sz w:val="28"/>
          <w:szCs w:val="28"/>
          <w:u w:val="single"/>
        </w:rPr>
        <w:t>XX</w:t>
      </w:r>
      <w:r>
        <w:rPr>
          <w:rFonts w:hint="eastAsia" w:ascii="宋体" w:hAnsi="宋体"/>
          <w:spacing w:val="6"/>
          <w:sz w:val="28"/>
          <w:szCs w:val="28"/>
        </w:rPr>
        <w:t>万元，资产总额为</w:t>
      </w:r>
      <w:r>
        <w:rPr>
          <w:rFonts w:hint="eastAsia" w:ascii="宋体" w:hAnsi="宋体"/>
          <w:spacing w:val="6"/>
          <w:sz w:val="28"/>
          <w:szCs w:val="28"/>
          <w:u w:val="single"/>
        </w:rPr>
        <w:t>XX</w:t>
      </w:r>
      <w:r>
        <w:rPr>
          <w:rFonts w:hint="eastAsia" w:ascii="宋体" w:hAnsi="宋体"/>
          <w:spacing w:val="6"/>
          <w:sz w:val="28"/>
          <w:szCs w:val="28"/>
        </w:rPr>
        <w:t>万元，属于</w:t>
      </w:r>
      <w:r>
        <w:rPr>
          <w:rFonts w:hint="eastAsia" w:ascii="宋体" w:hAnsi="宋体"/>
          <w:spacing w:val="6"/>
          <w:sz w:val="28"/>
          <w:szCs w:val="28"/>
          <w:u w:val="single"/>
        </w:rPr>
        <w:t>XXXX（中型企业、小型企业、微型企业）</w:t>
      </w:r>
      <w:r>
        <w:rPr>
          <w:rFonts w:hint="eastAsia" w:ascii="宋体" w:hAnsi="宋体"/>
          <w:spacing w:val="6"/>
          <w:sz w:val="28"/>
          <w:szCs w:val="28"/>
        </w:rPr>
        <w:t>。</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本企业对上述声明内容的真实性负责。如有虚假，将依法承担相应责任。</w:t>
      </w: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企业名称：</w:t>
      </w:r>
      <w:r>
        <w:rPr>
          <w:rFonts w:hint="eastAsia" w:ascii="宋体" w:hAnsi="宋体"/>
          <w:sz w:val="28"/>
          <w:szCs w:val="28"/>
          <w:u w:val="single"/>
        </w:rPr>
        <w:t>XXXX</w:t>
      </w:r>
      <w:r>
        <w:rPr>
          <w:rFonts w:hint="eastAsia"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  期：</w:t>
      </w:r>
      <w:r>
        <w:rPr>
          <w:rFonts w:hint="eastAsia" w:ascii="宋体" w:hAnsi="宋体"/>
          <w:sz w:val="28"/>
          <w:szCs w:val="28"/>
        </w:rPr>
        <w:t>20</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79"/>
        <w:tabs>
          <w:tab w:val="left" w:pos="567"/>
          <w:tab w:val="left" w:pos="709"/>
          <w:tab w:val="left" w:pos="851"/>
        </w:tabs>
        <w:spacing w:before="60" w:line="360" w:lineRule="auto"/>
        <w:ind w:firstLine="562"/>
        <w:rPr>
          <w:rFonts w:ascii="宋体" w:hAnsi="宋体"/>
          <w:b/>
          <w:kern w:val="0"/>
          <w:sz w:val="28"/>
          <w:szCs w:val="28"/>
        </w:rPr>
      </w:pPr>
      <w:r>
        <w:rPr>
          <w:rFonts w:hint="eastAsia" w:ascii="宋体" w:hAnsi="宋体"/>
          <w:b/>
          <w:kern w:val="0"/>
          <w:sz w:val="28"/>
          <w:szCs w:val="28"/>
        </w:rPr>
        <w:t>说明：1.从业人员、营业收入、资产总额填报上一年度数据，无上一年度数据的新成立企业可不填报。</w:t>
      </w:r>
    </w:p>
    <w:p>
      <w:pPr>
        <w:pStyle w:val="79"/>
        <w:tabs>
          <w:tab w:val="left" w:pos="567"/>
          <w:tab w:val="left" w:pos="709"/>
          <w:tab w:val="left" w:pos="851"/>
        </w:tabs>
        <w:spacing w:line="360" w:lineRule="auto"/>
        <w:ind w:left="210" w:right="210" w:firstLine="565" w:firstLineChars="201"/>
        <w:rPr>
          <w:rFonts w:ascii="宋体" w:hAnsi="宋体"/>
          <w:b/>
          <w:sz w:val="28"/>
          <w:szCs w:val="28"/>
        </w:rPr>
      </w:pPr>
      <w:r>
        <w:rPr>
          <w:rFonts w:hint="eastAsia" w:ascii="宋体" w:hAnsi="宋体"/>
          <w:b/>
          <w:sz w:val="28"/>
          <w:szCs w:val="28"/>
        </w:rPr>
        <w:t>2.</w:t>
      </w:r>
      <w:r>
        <w:rPr>
          <w:rFonts w:hint="eastAsia"/>
        </w:rPr>
        <w:t xml:space="preserve"> </w:t>
      </w:r>
      <w:r>
        <w:rPr>
          <w:rFonts w:hint="eastAsia" w:ascii="宋体" w:hAnsi="宋体"/>
          <w:b/>
          <w:sz w:val="28"/>
          <w:szCs w:val="28"/>
        </w:rPr>
        <w:t>如未提供中小企业声明函的，不能享受招标文件规定的价格扣除，但不影响投标人投标文件的有效性。</w:t>
      </w:r>
    </w:p>
    <w:p>
      <w:pPr>
        <w:pStyle w:val="79"/>
        <w:tabs>
          <w:tab w:val="left" w:pos="567"/>
          <w:tab w:val="left" w:pos="709"/>
          <w:tab w:val="left" w:pos="851"/>
        </w:tabs>
        <w:spacing w:line="360" w:lineRule="auto"/>
        <w:ind w:left="210" w:right="210" w:firstLine="565" w:firstLineChars="201"/>
        <w:rPr>
          <w:rFonts w:ascii="宋体" w:hAnsi="宋体"/>
          <w:b/>
          <w:sz w:val="28"/>
          <w:szCs w:val="28"/>
        </w:rPr>
      </w:pPr>
    </w:p>
    <w:p>
      <w:pPr>
        <w:pStyle w:val="79"/>
        <w:tabs>
          <w:tab w:val="left" w:pos="567"/>
          <w:tab w:val="left" w:pos="709"/>
          <w:tab w:val="left" w:pos="851"/>
        </w:tabs>
        <w:spacing w:line="360" w:lineRule="auto"/>
        <w:ind w:left="210" w:right="210" w:firstLine="565" w:firstLineChars="201"/>
        <w:rPr>
          <w:rFonts w:ascii="宋体" w:hAnsi="宋体"/>
          <w:b/>
          <w:sz w:val="28"/>
          <w:szCs w:val="28"/>
        </w:rPr>
      </w:pPr>
    </w:p>
    <w:p>
      <w:pPr>
        <w:keepNext/>
        <w:keepLines/>
        <w:spacing w:line="360" w:lineRule="auto"/>
        <w:outlineLvl w:val="2"/>
        <w:rPr>
          <w:rFonts w:ascii="宋体" w:hAnsi="宋体"/>
          <w:b/>
          <w:bCs/>
          <w:sz w:val="28"/>
          <w:szCs w:val="28"/>
        </w:rPr>
      </w:pPr>
      <w:r>
        <w:rPr>
          <w:rFonts w:hint="eastAsia" w:ascii="宋体" w:hAnsi="宋体"/>
          <w:b/>
          <w:bCs/>
          <w:sz w:val="28"/>
          <w:szCs w:val="28"/>
        </w:rPr>
        <w:t>3.4.4残疾人福利性单位声明函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w:t>
      </w:r>
      <w:r>
        <w:rPr>
          <w:rFonts w:hint="eastAsia" w:ascii="宋体" w:hAnsi="宋体"/>
          <w:spacing w:val="6"/>
          <w:sz w:val="28"/>
          <w:szCs w:val="28"/>
        </w:rPr>
        <w:t>单位的</w:t>
      </w:r>
      <w:r>
        <w:rPr>
          <w:rFonts w:hint="eastAsia" w:ascii="宋体" w:hAnsi="宋体"/>
          <w:spacing w:val="6"/>
          <w:sz w:val="28"/>
          <w:szCs w:val="28"/>
          <w:u w:val="single"/>
        </w:rPr>
        <w:t>XXXX</w:t>
      </w:r>
      <w:r>
        <w:rPr>
          <w:rFonts w:hint="eastAsia" w:ascii="宋体" w:hAnsi="宋体"/>
          <w:spacing w:val="6"/>
          <w:sz w:val="28"/>
          <w:szCs w:val="28"/>
        </w:rPr>
        <w:t>项目采购活动由本单位提供服务。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hint="eastAsia" w:ascii="宋体" w:hAnsi="宋体"/>
          <w:sz w:val="28"/>
          <w:szCs w:val="28"/>
          <w:u w:val="single"/>
        </w:rPr>
        <w:t>XXXX</w:t>
      </w:r>
      <w:r>
        <w:rPr>
          <w:rFonts w:hint="eastAsia"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  期：</w:t>
      </w:r>
      <w:r>
        <w:rPr>
          <w:rFonts w:hint="eastAsia" w:ascii="宋体" w:hAnsi="宋体"/>
          <w:sz w:val="28"/>
          <w:szCs w:val="28"/>
        </w:rPr>
        <w:t>20</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3969"/>
        </w:tabs>
        <w:spacing w:line="588" w:lineRule="exact"/>
        <w:ind w:right="-58"/>
        <w:rPr>
          <w:rFonts w:ascii="宋体" w:hAnsi="宋体"/>
          <w:b/>
          <w:bCs/>
          <w:sz w:val="28"/>
        </w:rPr>
      </w:pPr>
      <w:r>
        <w:rPr>
          <w:rFonts w:hint="eastAsia" w:ascii="宋体" w:hAnsi="宋体"/>
          <w:b/>
          <w:bCs/>
          <w:sz w:val="28"/>
        </w:rPr>
        <w:t>说明：如未提供残疾人福利性单位声明函的，不能享受招标文件规定的价格扣除，但不影响投标人投标文件的有效性。</w:t>
      </w:r>
    </w:p>
    <w:p>
      <w:pPr>
        <w:tabs>
          <w:tab w:val="left" w:pos="3969"/>
        </w:tabs>
        <w:spacing w:line="588" w:lineRule="exact"/>
        <w:ind w:right="-58"/>
        <w:rPr>
          <w:rFonts w:ascii="宋体" w:hAnsi="宋体"/>
          <w:bCs/>
          <w:sz w:val="28"/>
          <w:u w:val="single"/>
        </w:rPr>
      </w:pPr>
    </w:p>
    <w:p>
      <w:pPr>
        <w:tabs>
          <w:tab w:val="left" w:pos="3969"/>
        </w:tabs>
        <w:spacing w:line="588" w:lineRule="exact"/>
        <w:ind w:right="-58"/>
        <w:rPr>
          <w:rFonts w:ascii="宋体" w:hAnsi="宋体"/>
          <w:bCs/>
          <w:sz w:val="28"/>
          <w:u w:val="single"/>
        </w:rPr>
      </w:pPr>
    </w:p>
    <w:p>
      <w:pPr>
        <w:tabs>
          <w:tab w:val="left" w:pos="1134"/>
        </w:tabs>
        <w:spacing w:line="360" w:lineRule="auto"/>
        <w:rPr>
          <w:rFonts w:ascii="宋体" w:hAnsi="宋体"/>
          <w:sz w:val="28"/>
          <w:szCs w:val="28"/>
        </w:rPr>
      </w:pPr>
    </w:p>
    <w:p>
      <w:pPr>
        <w:tabs>
          <w:tab w:val="left" w:pos="1134"/>
        </w:tabs>
        <w:spacing w:line="360" w:lineRule="auto"/>
        <w:rPr>
          <w:rFonts w:ascii="宋体" w:hAnsi="宋体"/>
          <w:sz w:val="28"/>
          <w:szCs w:val="28"/>
        </w:rPr>
      </w:pPr>
      <w:r>
        <w:rPr>
          <w:rFonts w:hint="eastAsia" w:ascii="宋体" w:hAnsi="宋体"/>
          <w:b/>
          <w:sz w:val="28"/>
          <w:szCs w:val="28"/>
        </w:rPr>
        <w:t xml:space="preserve">3.4.5   </w:t>
      </w:r>
      <w:r>
        <w:rPr>
          <w:rFonts w:hint="eastAsia" w:ascii="宋体" w:hAnsi="宋体"/>
          <w:sz w:val="28"/>
          <w:szCs w:val="28"/>
        </w:rPr>
        <w:t>由省级以上监狱管理局、戒毒管理局（含新疆生产建设兵团）出具的投标人属于监狱企业的证明文件复印件</w:t>
      </w:r>
    </w:p>
    <w:p>
      <w:pPr>
        <w:tabs>
          <w:tab w:val="left" w:pos="1134"/>
        </w:tabs>
        <w:spacing w:line="360" w:lineRule="auto"/>
        <w:rPr>
          <w:sz w:val="28"/>
          <w:szCs w:val="28"/>
        </w:rPr>
      </w:pPr>
      <w:r>
        <w:rPr>
          <w:rFonts w:hint="eastAsia" w:ascii="宋体" w:hAnsi="宋体"/>
          <w:b/>
          <w:sz w:val="28"/>
          <w:szCs w:val="28"/>
        </w:rPr>
        <w:t>说明：如未提供监狱企业证明文件的，不能享受招标文件规定的价格扣除，但不影响投标人投标文件的有效性。</w:t>
      </w:r>
    </w:p>
    <w:p>
      <w:pPr>
        <w:rPr>
          <w:rFonts w:ascii="宋体" w:hAnsi="宋体"/>
          <w:b/>
          <w:sz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pPr>
    </w:p>
    <w:p>
      <w:pPr>
        <w:pStyle w:val="2"/>
      </w:pPr>
    </w:p>
    <w:p>
      <w:pPr>
        <w:spacing w:line="360" w:lineRule="auto"/>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
      <w:pPr>
        <w:pStyle w:val="2"/>
      </w:pPr>
    </w:p>
    <w:p/>
    <w:p>
      <w:pPr>
        <w:pStyle w:val="2"/>
      </w:pPr>
    </w:p>
    <w:p/>
    <w:p>
      <w:pPr>
        <w:pStyle w:val="2"/>
      </w:pPr>
    </w:p>
    <w:p/>
    <w:bookmarkEnd w:id="147"/>
    <w:p>
      <w:pPr>
        <w:keepNext/>
        <w:keepLines/>
        <w:numPr>
          <w:ilvl w:val="0"/>
          <w:numId w:val="5"/>
        </w:numPr>
        <w:spacing w:line="360" w:lineRule="auto"/>
        <w:ind w:left="1260" w:firstLine="0"/>
        <w:jc w:val="center"/>
        <w:outlineLvl w:val="0"/>
        <w:rPr>
          <w:rFonts w:ascii="宋体" w:hAnsi="宋体"/>
          <w:b/>
          <w:bCs/>
          <w:spacing w:val="-20"/>
          <w:kern w:val="44"/>
          <w:sz w:val="32"/>
          <w:szCs w:val="32"/>
        </w:rPr>
      </w:pPr>
      <w:bookmarkStart w:id="150" w:name="_Toc217446093"/>
      <w:bookmarkStart w:id="151" w:name="_Toc70684288"/>
      <w:bookmarkStart w:id="152" w:name="_Toc321382057"/>
      <w:bookmarkStart w:id="153" w:name="_Toc316292231"/>
      <w:r>
        <w:rPr>
          <w:rFonts w:hint="eastAsia" w:ascii="宋体" w:hAnsi="宋体"/>
          <w:b/>
          <w:bCs/>
          <w:spacing w:val="-20"/>
          <w:kern w:val="44"/>
          <w:sz w:val="32"/>
          <w:szCs w:val="32"/>
        </w:rPr>
        <w:t>招标项目技术、服务、商务及其他要求</w:t>
      </w:r>
      <w:bookmarkEnd w:id="150"/>
      <w:bookmarkEnd w:id="151"/>
    </w:p>
    <w:p>
      <w:pPr>
        <w:keepNext/>
        <w:keepLines/>
        <w:numPr>
          <w:ilvl w:val="1"/>
          <w:numId w:val="5"/>
        </w:numPr>
        <w:spacing w:line="360" w:lineRule="auto"/>
        <w:jc w:val="left"/>
        <w:outlineLvl w:val="1"/>
        <w:rPr>
          <w:rFonts w:asciiTheme="minorEastAsia" w:hAnsiTheme="minorEastAsia" w:eastAsiaTheme="minorEastAsia"/>
          <w:b/>
          <w:bCs/>
          <w:sz w:val="28"/>
          <w:szCs w:val="28"/>
        </w:rPr>
      </w:pPr>
      <w:bookmarkStart w:id="154" w:name="_Toc70684289"/>
      <w:bookmarkStart w:id="155" w:name="_Toc7187"/>
      <w:bookmarkStart w:id="156" w:name="_Toc529173741"/>
      <w:bookmarkStart w:id="157" w:name="_Toc533672602"/>
      <w:r>
        <w:rPr>
          <w:rFonts w:hint="eastAsia" w:asciiTheme="minorEastAsia" w:hAnsiTheme="minorEastAsia" w:eastAsiaTheme="minorEastAsia"/>
          <w:b/>
          <w:bCs/>
          <w:sz w:val="28"/>
          <w:szCs w:val="28"/>
        </w:rPr>
        <w:t>项目概况</w:t>
      </w:r>
      <w:bookmarkEnd w:id="154"/>
    </w:p>
    <w:p>
      <w:pPr>
        <w:spacing w:line="440" w:lineRule="exact"/>
        <w:ind w:firstLine="560" w:firstLineChars="200"/>
        <w:jc w:val="left"/>
        <w:rPr>
          <w:rFonts w:cs="仿宋" w:asciiTheme="minorEastAsia" w:hAnsiTheme="minorEastAsia" w:eastAsiaTheme="minorEastAsia"/>
          <w:bCs/>
          <w:sz w:val="28"/>
          <w:szCs w:val="28"/>
        </w:rPr>
      </w:pPr>
      <w:bookmarkStart w:id="158" w:name="_Toc70684292"/>
      <w:r>
        <w:rPr>
          <w:rFonts w:hint="eastAsia" w:cs="仿宋" w:asciiTheme="minorEastAsia" w:hAnsiTheme="minorEastAsia" w:eastAsiaTheme="minorEastAsia"/>
          <w:bCs/>
          <w:sz w:val="28"/>
          <w:szCs w:val="28"/>
          <w:lang w:eastAsia="zh-Hans"/>
        </w:rPr>
        <w:t>蒲江县博物馆馆藏一批石刻彩绘文物。为加强保护和宣传展示，采购人（蒲江县文化体育和旅游局）拟于蒲江县博物馆新馆建造特展厅，选取部分石刻彩绘文物充实展陈。</w:t>
      </w:r>
      <w:r>
        <w:rPr>
          <w:rFonts w:hint="eastAsia" w:cs="仿宋" w:asciiTheme="minorEastAsia" w:hAnsiTheme="minorEastAsia" w:eastAsiaTheme="minorEastAsia"/>
          <w:bCs/>
          <w:sz w:val="28"/>
          <w:szCs w:val="28"/>
        </w:rPr>
        <w:t>因历史原因，这批石刻彩绘文物存在断裂、缺失、表面污染物遮盖、彩绘脱落、盐析以及表面生长微生物等多种病害，严重影响了文物的保存状态和展示效果。</w:t>
      </w:r>
      <w:r>
        <w:rPr>
          <w:rFonts w:hint="eastAsia" w:cs="仿宋" w:asciiTheme="minorEastAsia" w:hAnsiTheme="minorEastAsia" w:eastAsiaTheme="minorEastAsia"/>
          <w:bCs/>
          <w:sz w:val="28"/>
          <w:szCs w:val="28"/>
          <w:lang w:eastAsia="zh-Hans"/>
        </w:rPr>
        <w:t>为此，采购人</w:t>
      </w:r>
      <w:r>
        <w:rPr>
          <w:rFonts w:hint="eastAsia" w:cs="仿宋" w:asciiTheme="minorEastAsia" w:hAnsiTheme="minorEastAsia" w:eastAsiaTheme="minorEastAsia"/>
          <w:bCs/>
          <w:sz w:val="28"/>
          <w:szCs w:val="28"/>
        </w:rPr>
        <w:t>拟通过实施文物修复项目改善文物本体健康状况，恢复文物历史文化信息，满足其保存和展陈需求。</w:t>
      </w:r>
    </w:p>
    <w:p>
      <w:pPr>
        <w:spacing w:line="440" w:lineRule="exact"/>
        <w:ind w:firstLine="560" w:firstLineChars="200"/>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lang w:eastAsia="zh-Hans"/>
        </w:rPr>
        <w:t>此前采购人委托专业机构对选定的石刻彩绘文物开展专项文物保护修复设计，编制完成《蒲江县博物馆新馆特展厅展陈石刻文物修复方案》和项目概算</w:t>
      </w:r>
      <w:r>
        <w:rPr>
          <w:rFonts w:hint="eastAsia" w:cs="仿宋" w:asciiTheme="minorEastAsia" w:hAnsiTheme="minorEastAsia" w:eastAsiaTheme="minorEastAsia"/>
          <w:bCs/>
          <w:sz w:val="28"/>
          <w:szCs w:val="28"/>
        </w:rPr>
        <w:t>。采购人</w:t>
      </w:r>
      <w:r>
        <w:rPr>
          <w:rFonts w:hint="eastAsia" w:cs="仿宋" w:asciiTheme="minorEastAsia" w:hAnsiTheme="minorEastAsia" w:eastAsiaTheme="minorEastAsia"/>
          <w:bCs/>
          <w:sz w:val="28"/>
          <w:szCs w:val="28"/>
          <w:lang w:eastAsia="zh-Hans"/>
        </w:rPr>
        <w:t>按程序向上级文物主管部门申报，已获批准实施。</w:t>
      </w:r>
      <w:r>
        <w:rPr>
          <w:rFonts w:hint="eastAsia" w:cs="仿宋" w:asciiTheme="minorEastAsia" w:hAnsiTheme="minorEastAsia" w:eastAsiaTheme="minorEastAsia"/>
          <w:bCs/>
          <w:sz w:val="28"/>
          <w:szCs w:val="28"/>
        </w:rPr>
        <w:t>根据相关法律法规和修复方案，采购人拟</w:t>
      </w:r>
      <w:r>
        <w:rPr>
          <w:rFonts w:hint="eastAsia" w:cs="仿宋" w:asciiTheme="minorEastAsia" w:hAnsiTheme="minorEastAsia" w:eastAsiaTheme="minorEastAsia"/>
          <w:bCs/>
          <w:sz w:val="28"/>
          <w:szCs w:val="28"/>
          <w:lang w:eastAsia="zh-Hans"/>
        </w:rPr>
        <w:t>向合格供应商采购石刻文物修复服务</w:t>
      </w:r>
      <w:r>
        <w:rPr>
          <w:rFonts w:hint="eastAsia" w:cs="仿宋" w:asciiTheme="minorEastAsia" w:hAnsiTheme="minorEastAsia" w:eastAsiaTheme="minorEastAsia"/>
          <w:bCs/>
          <w:sz w:val="28"/>
          <w:szCs w:val="28"/>
        </w:rPr>
        <w:t>。</w:t>
      </w:r>
    </w:p>
    <w:p>
      <w:pPr>
        <w:spacing w:line="440" w:lineRule="exact"/>
        <w:ind w:firstLine="560" w:firstLineChars="200"/>
        <w:rPr>
          <w:rFonts w:cs="仿宋" w:asciiTheme="minorEastAsia" w:hAnsiTheme="minorEastAsia" w:eastAsiaTheme="minorEastAsia"/>
          <w:color w:val="FF0000"/>
          <w:sz w:val="28"/>
          <w:szCs w:val="28"/>
        </w:rPr>
      </w:pPr>
      <w:r>
        <w:rPr>
          <w:rFonts w:hint="eastAsia" w:cs="仿宋" w:asciiTheme="minorEastAsia" w:hAnsiTheme="minorEastAsia" w:eastAsiaTheme="minorEastAsia"/>
          <w:sz w:val="28"/>
          <w:szCs w:val="28"/>
        </w:rPr>
        <w:t>本项目涉及的石刻文物共计40余件，总重量86吨，表面积76平方米，保存在蒲江县博物馆文物库房。</w:t>
      </w:r>
    </w:p>
    <w:p>
      <w:pPr>
        <w:spacing w:line="360" w:lineRule="auto"/>
        <w:ind w:left="630"/>
        <w:jc w:val="left"/>
        <w:rPr>
          <w:rFonts w:cs="仿宋" w:asciiTheme="minorEastAsia" w:hAnsiTheme="minorEastAsia" w:eastAsiaTheme="minorEastAsia"/>
          <w:b/>
          <w:bCs/>
          <w:sz w:val="28"/>
          <w:szCs w:val="28"/>
        </w:rPr>
      </w:pPr>
      <w:r>
        <w:rPr>
          <w:rFonts w:hint="eastAsia" w:asciiTheme="minorEastAsia" w:hAnsiTheme="minorEastAsia" w:eastAsiaTheme="minorEastAsia"/>
          <w:b/>
          <w:sz w:val="28"/>
          <w:szCs w:val="28"/>
        </w:rPr>
        <w:t>4.1.1</w:t>
      </w:r>
      <w:r>
        <w:rPr>
          <w:rFonts w:hint="eastAsia" w:cs="仿宋" w:asciiTheme="minorEastAsia" w:hAnsiTheme="minorEastAsia" w:eastAsiaTheme="minorEastAsia"/>
          <w:b/>
          <w:bCs/>
          <w:sz w:val="28"/>
          <w:szCs w:val="28"/>
          <w:lang w:eastAsia="zh-Hans"/>
        </w:rPr>
        <w:t>石刻文物修复清单</w:t>
      </w:r>
    </w:p>
    <w:tbl>
      <w:tblPr>
        <w:tblStyle w:val="4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105"/>
        <w:gridCol w:w="1105"/>
        <w:gridCol w:w="1104"/>
        <w:gridCol w:w="1604"/>
        <w:gridCol w:w="1800"/>
        <w:gridCol w:w="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782" w:type="dxa"/>
            <w:noWrap/>
            <w:vAlign w:val="center"/>
          </w:tcPr>
          <w:p>
            <w:pPr>
              <w:pStyle w:val="296"/>
              <w:widowControl w:val="0"/>
              <w:rPr>
                <w:rFonts w:cs="Times New Roman" w:asciiTheme="minorEastAsia" w:hAnsiTheme="minorEastAsia" w:eastAsiaTheme="minorEastAsia"/>
              </w:rPr>
            </w:pPr>
            <w:bookmarkStart w:id="159" w:name="_Toc72087990"/>
            <w:r>
              <w:rPr>
                <w:rFonts w:hint="eastAsia" w:cs="Times New Roman" w:asciiTheme="minorEastAsia" w:hAnsiTheme="minorEastAsia" w:eastAsiaTheme="minorEastAsia"/>
              </w:rPr>
              <w:t>编号</w:t>
            </w:r>
          </w:p>
        </w:tc>
        <w:tc>
          <w:tcPr>
            <w:tcW w:w="1105"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长</w:t>
            </w:r>
            <w:r>
              <w:rPr>
                <w:rFonts w:cs="Times New Roman" w:asciiTheme="minorEastAsia" w:hAnsiTheme="minorEastAsia" w:eastAsiaTheme="minorEastAsia"/>
              </w:rPr>
              <w:t>(mm)</w:t>
            </w:r>
          </w:p>
        </w:tc>
        <w:tc>
          <w:tcPr>
            <w:tcW w:w="1105"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宽</w:t>
            </w:r>
            <w:r>
              <w:rPr>
                <w:rFonts w:cs="Times New Roman" w:asciiTheme="minorEastAsia" w:hAnsiTheme="minorEastAsia" w:eastAsiaTheme="minorEastAsia"/>
              </w:rPr>
              <w:t>(mm)</w:t>
            </w:r>
          </w:p>
        </w:tc>
        <w:tc>
          <w:tcPr>
            <w:tcW w:w="11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高</w:t>
            </w:r>
            <w:r>
              <w:rPr>
                <w:rFonts w:cs="Times New Roman" w:asciiTheme="minorEastAsia" w:hAnsiTheme="minorEastAsia" w:eastAsiaTheme="minorEastAsia"/>
              </w:rPr>
              <w:t>(mm)</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面积（m</w:t>
            </w:r>
            <w:r>
              <w:rPr>
                <w:rFonts w:cs="Times New Roman" w:asciiTheme="minorEastAsia" w:hAnsiTheme="minorEastAsia" w:eastAsiaTheme="minorEastAsia"/>
                <w:vertAlign w:val="superscript"/>
              </w:rPr>
              <w:t>2</w:t>
            </w:r>
            <w:r>
              <w:rPr>
                <w:rFonts w:hint="eastAsia" w:cs="Times New Roman" w:asciiTheme="minorEastAsia" w:hAnsiTheme="minorEastAsia" w:eastAsiaTheme="minorEastAsia"/>
              </w:rPr>
              <w:t>）</w:t>
            </w:r>
          </w:p>
        </w:tc>
        <w:tc>
          <w:tcPr>
            <w:tcW w:w="1819" w:type="dxa"/>
            <w:gridSpan w:val="2"/>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总重量（</w:t>
            </w:r>
            <w:r>
              <w:rPr>
                <w:rFonts w:cs="Times New Roman" w:asciiTheme="minorEastAsia" w:hAnsiTheme="minorEastAsia" w:eastAsiaTheme="minorEastAsia"/>
              </w:rPr>
              <w:t>kg</w:t>
            </w:r>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QS-C-10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2210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630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360</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.39</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1253.07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QS-C-11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1550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800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500</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.24</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ZS-A-3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2170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620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458</w:t>
            </w:r>
          </w:p>
        </w:tc>
        <w:tc>
          <w:tcPr>
            <w:tcW w:w="1604" w:type="dxa"/>
            <w:vMerge w:val="restart"/>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.69</w:t>
            </w:r>
          </w:p>
        </w:tc>
        <w:tc>
          <w:tcPr>
            <w:tcW w:w="1819" w:type="dxa"/>
            <w:gridSpan w:val="2"/>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rPr>
            </w:pP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550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630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430</w:t>
            </w:r>
          </w:p>
        </w:tc>
        <w:tc>
          <w:tcPr>
            <w:tcW w:w="1604" w:type="dxa"/>
            <w:vMerge w:val="continue"/>
            <w:noWrap/>
            <w:vAlign w:val="center"/>
          </w:tcPr>
          <w:p>
            <w:pPr>
              <w:pStyle w:val="296"/>
              <w:widowControl w:val="0"/>
              <w:rPr>
                <w:rFonts w:cs="Times New Roman" w:asciiTheme="minorEastAsia" w:hAnsiTheme="minorEastAsia" w:eastAsiaTheme="minorEastAsia"/>
              </w:rPr>
            </w:pPr>
          </w:p>
        </w:tc>
        <w:tc>
          <w:tcPr>
            <w:tcW w:w="1819" w:type="dxa"/>
            <w:gridSpan w:val="2"/>
            <w:vMerge w:val="continue"/>
            <w:vAlign w:val="center"/>
          </w:tcPr>
          <w:p>
            <w:pPr>
              <w:pStyle w:val="296"/>
              <w:widowControl w:val="0"/>
              <w:rPr>
                <w:rFonts w:cs="Times New Roman"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ZS-A-4</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2140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678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410</w:t>
            </w:r>
          </w:p>
        </w:tc>
        <w:tc>
          <w:tcPr>
            <w:tcW w:w="1604" w:type="dxa"/>
            <w:vMerge w:val="restart"/>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.81</w:t>
            </w:r>
          </w:p>
        </w:tc>
        <w:tc>
          <w:tcPr>
            <w:tcW w:w="1819" w:type="dxa"/>
            <w:gridSpan w:val="2"/>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1912.32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rPr>
            </w:pP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540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670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470</w:t>
            </w:r>
          </w:p>
        </w:tc>
        <w:tc>
          <w:tcPr>
            <w:tcW w:w="1604" w:type="dxa"/>
            <w:vMerge w:val="continue"/>
            <w:noWrap/>
            <w:vAlign w:val="center"/>
          </w:tcPr>
          <w:p>
            <w:pPr>
              <w:pStyle w:val="296"/>
              <w:widowControl w:val="0"/>
              <w:rPr>
                <w:rFonts w:cs="Times New Roman" w:asciiTheme="minorEastAsia" w:hAnsiTheme="minorEastAsia" w:eastAsiaTheme="minorEastAsia"/>
              </w:rPr>
            </w:pPr>
          </w:p>
        </w:tc>
        <w:tc>
          <w:tcPr>
            <w:tcW w:w="1819" w:type="dxa"/>
            <w:gridSpan w:val="2"/>
            <w:vMerge w:val="continue"/>
            <w:vAlign w:val="center"/>
          </w:tcPr>
          <w:p>
            <w:pPr>
              <w:pStyle w:val="296"/>
              <w:widowControl w:val="0"/>
              <w:rPr>
                <w:rFonts w:cs="Times New Roman"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ZS-B-10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1955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683</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405</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.34</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1351.96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QS-B-9</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1528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689</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430</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.05</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1131.75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ZS-C-12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1908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638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382</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.22</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1162.525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ZS-A-2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2120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795</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465</w:t>
            </w:r>
          </w:p>
        </w:tc>
        <w:tc>
          <w:tcPr>
            <w:tcW w:w="1604" w:type="dxa"/>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2.11</w:t>
            </w:r>
          </w:p>
        </w:tc>
        <w:tc>
          <w:tcPr>
            <w:tcW w:w="1819" w:type="dxa"/>
            <w:gridSpan w:val="2"/>
            <w:vMerge w:val="restart"/>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2443.31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rPr>
            </w:pP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540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788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455</w:t>
            </w:r>
          </w:p>
        </w:tc>
        <w:tc>
          <w:tcPr>
            <w:tcW w:w="1604" w:type="dxa"/>
            <w:vMerge w:val="continue"/>
            <w:noWrap/>
            <w:vAlign w:val="center"/>
          </w:tcPr>
          <w:p>
            <w:pPr>
              <w:pStyle w:val="296"/>
              <w:widowControl w:val="0"/>
              <w:rPr>
                <w:rFonts w:cs="Times New Roman" w:asciiTheme="minorEastAsia" w:hAnsiTheme="minorEastAsia" w:eastAsiaTheme="minorEastAsia"/>
              </w:rPr>
            </w:pPr>
          </w:p>
        </w:tc>
        <w:tc>
          <w:tcPr>
            <w:tcW w:w="1819" w:type="dxa"/>
            <w:gridSpan w:val="2"/>
            <w:vMerge w:val="continue"/>
            <w:vAlign w:val="center"/>
          </w:tcPr>
          <w:p>
            <w:pPr>
              <w:pStyle w:val="296"/>
              <w:widowControl w:val="0"/>
              <w:rPr>
                <w:rFonts w:cs="Times New Roman"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BM9 QS-B-8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1535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865</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470</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.33</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1560.14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QS-A-5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2785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708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560</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.97</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2760.49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QS-A-4</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2767</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712</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567</w:t>
            </w:r>
          </w:p>
        </w:tc>
        <w:tc>
          <w:tcPr>
            <w:tcW w:w="1604" w:type="dxa"/>
            <w:noWrap/>
            <w:vAlign w:val="center"/>
          </w:tcPr>
          <w:p>
            <w:pPr>
              <w:pStyle w:val="296"/>
              <w:widowControl w:val="0"/>
              <w:rPr>
                <w:rFonts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.97</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QS-A-2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2795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695</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590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1.94</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2865.22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QS-A-3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2800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672</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585</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1.88</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2751.84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ZM-A-1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2931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790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680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2.32</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3936.33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BM2 QS-A-1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2582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450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540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1.16</w:t>
            </w:r>
          </w:p>
        </w:tc>
        <w:tc>
          <w:tcPr>
            <w:tcW w:w="1819" w:type="dxa"/>
            <w:gridSpan w:val="2"/>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BM3 HM-E-11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1653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1598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240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2.64</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BM3 HS-F-18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1118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1082</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420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1.21</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1270.16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HS-F-21</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1148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1043</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410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1.20</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1227.30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QM-B-15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1658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780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130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1.29</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BM4-ZM-B-3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1628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760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150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1.24</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463.98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ZM-C-5</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1648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780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147</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1.29</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472.40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QS-A-2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2932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785</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535</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2.30</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3078.42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QM-A-2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2930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930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655</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2.72</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4462.02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QS-A-3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2860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760</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620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2.17</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3369.08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ZS-A-3</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2900</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738</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632</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2.14</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3381.52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QM-B-12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1662</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1056</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410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1.76</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1798.95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BM4 QM-C-14</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1708</w:t>
            </w:r>
          </w:p>
        </w:tc>
        <w:tc>
          <w:tcPr>
            <w:tcW w:w="1105"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785</w:t>
            </w:r>
          </w:p>
        </w:tc>
        <w:tc>
          <w:tcPr>
            <w:tcW w:w="1104"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130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color w:val="000000"/>
              </w:rPr>
              <w:t>1.34</w:t>
            </w:r>
          </w:p>
        </w:tc>
        <w:tc>
          <w:tcPr>
            <w:tcW w:w="1800" w:type="dxa"/>
            <w:noWrap/>
            <w:vAlign w:val="center"/>
          </w:tcPr>
          <w:p>
            <w:pPr>
              <w:pStyle w:val="296"/>
              <w:widowControl w:val="0"/>
              <w:rPr>
                <w:rFonts w:cs="Times New Roman" w:asciiTheme="minorEastAsia" w:hAnsiTheme="minorEastAsia" w:eastAsiaTheme="minorEastAsia"/>
              </w:rPr>
            </w:pPr>
            <w:r>
              <w:rPr>
                <w:rFonts w:cs="Times New Roman" w:asciiTheme="minorEastAsia" w:hAnsiTheme="minorEastAsia" w:eastAsiaTheme="minorEastAsia"/>
              </w:rPr>
              <w:t>435.75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HS-B-6</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3990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664</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470</w:t>
            </w:r>
          </w:p>
        </w:tc>
        <w:tc>
          <w:tcPr>
            <w:tcW w:w="16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2.65</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vMerge w:val="restart"/>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QS-A-2</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1539</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748</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554</w:t>
            </w:r>
          </w:p>
        </w:tc>
        <w:tc>
          <w:tcPr>
            <w:tcW w:w="1604" w:type="dxa"/>
            <w:vMerge w:val="restart"/>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.50</w:t>
            </w:r>
          </w:p>
        </w:tc>
        <w:tc>
          <w:tcPr>
            <w:tcW w:w="1800" w:type="dxa"/>
            <w:vMerge w:val="restart"/>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1910.89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color w:val="000000"/>
                <w:kern w:val="0"/>
              </w:rPr>
            </w:pP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628</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560</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360</w:t>
            </w:r>
          </w:p>
        </w:tc>
        <w:tc>
          <w:tcPr>
            <w:tcW w:w="1604" w:type="dxa"/>
            <w:vMerge w:val="continue"/>
            <w:noWrap/>
            <w:vAlign w:val="center"/>
          </w:tcPr>
          <w:p>
            <w:pPr>
              <w:pStyle w:val="296"/>
              <w:widowControl w:val="0"/>
              <w:rPr>
                <w:rFonts w:cs="Times New Roman" w:asciiTheme="minorEastAsia" w:hAnsiTheme="minorEastAsia" w:eastAsiaTheme="minorEastAsia"/>
                <w:color w:val="000000"/>
                <w:kern w:val="0"/>
              </w:rPr>
            </w:pPr>
          </w:p>
        </w:tc>
        <w:tc>
          <w:tcPr>
            <w:tcW w:w="1800" w:type="dxa"/>
            <w:vMerge w:val="continue"/>
            <w:vAlign w:val="center"/>
          </w:tcPr>
          <w:p>
            <w:pPr>
              <w:pStyle w:val="296"/>
              <w:widowControl w:val="0"/>
              <w:rPr>
                <w:rFonts w:cs="Times New Roman" w:asciiTheme="minorEastAsia" w:hAnsiTheme="minorEastAsia" w:eastAsiaTheme="minorEastAsia"/>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vMerge w:val="restart"/>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QS-A-3</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1615</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585</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435</w:t>
            </w:r>
          </w:p>
        </w:tc>
        <w:tc>
          <w:tcPr>
            <w:tcW w:w="1604" w:type="dxa"/>
            <w:vMerge w:val="restart"/>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.64</w:t>
            </w:r>
          </w:p>
        </w:tc>
        <w:tc>
          <w:tcPr>
            <w:tcW w:w="1800" w:type="dxa"/>
            <w:vMerge w:val="restart"/>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1779.99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color w:val="000000"/>
                <w:kern w:val="0"/>
              </w:rPr>
            </w:pP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600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583</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435</w:t>
            </w:r>
          </w:p>
        </w:tc>
        <w:tc>
          <w:tcPr>
            <w:tcW w:w="1604" w:type="dxa"/>
            <w:vMerge w:val="continue"/>
            <w:noWrap/>
            <w:vAlign w:val="center"/>
          </w:tcPr>
          <w:p>
            <w:pPr>
              <w:pStyle w:val="296"/>
              <w:widowControl w:val="0"/>
              <w:rPr>
                <w:rFonts w:cs="Times New Roman" w:asciiTheme="minorEastAsia" w:hAnsiTheme="minorEastAsia" w:eastAsiaTheme="minorEastAsia"/>
                <w:color w:val="000000"/>
                <w:kern w:val="0"/>
              </w:rPr>
            </w:pPr>
          </w:p>
        </w:tc>
        <w:tc>
          <w:tcPr>
            <w:tcW w:w="1800" w:type="dxa"/>
            <w:vMerge w:val="continue"/>
            <w:vAlign w:val="center"/>
          </w:tcPr>
          <w:p>
            <w:pPr>
              <w:pStyle w:val="296"/>
              <w:widowControl w:val="0"/>
              <w:rPr>
                <w:rFonts w:cs="Times New Roman" w:asciiTheme="minorEastAsia" w:hAnsiTheme="minorEastAsia" w:eastAsiaTheme="minorEastAsia"/>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vMerge w:val="continue"/>
            <w:vAlign w:val="center"/>
          </w:tcPr>
          <w:p>
            <w:pPr>
              <w:pStyle w:val="296"/>
              <w:widowControl w:val="0"/>
              <w:rPr>
                <w:rFonts w:cs="Times New Roman" w:asciiTheme="minorEastAsia" w:hAnsiTheme="minorEastAsia" w:eastAsiaTheme="minorEastAsia"/>
                <w:color w:val="000000"/>
                <w:kern w:val="0"/>
              </w:rPr>
            </w:pP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590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580</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435</w:t>
            </w:r>
          </w:p>
        </w:tc>
        <w:tc>
          <w:tcPr>
            <w:tcW w:w="1604" w:type="dxa"/>
            <w:vMerge w:val="continue"/>
            <w:noWrap/>
            <w:vAlign w:val="center"/>
          </w:tcPr>
          <w:p>
            <w:pPr>
              <w:pStyle w:val="296"/>
              <w:widowControl w:val="0"/>
              <w:rPr>
                <w:rFonts w:cs="Times New Roman" w:asciiTheme="minorEastAsia" w:hAnsiTheme="minorEastAsia" w:eastAsiaTheme="minorEastAsia"/>
                <w:color w:val="000000"/>
                <w:kern w:val="0"/>
              </w:rPr>
            </w:pPr>
          </w:p>
        </w:tc>
        <w:tc>
          <w:tcPr>
            <w:tcW w:w="1800" w:type="dxa"/>
            <w:vMerge w:val="continue"/>
            <w:vAlign w:val="center"/>
          </w:tcPr>
          <w:p>
            <w:pPr>
              <w:pStyle w:val="296"/>
              <w:widowControl w:val="0"/>
              <w:rPr>
                <w:rFonts w:cs="Times New Roman" w:asciiTheme="minorEastAsia" w:hAnsiTheme="minorEastAsia" w:eastAsiaTheme="minorEastAsia"/>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HS-C-9</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3890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675</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503</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2.63</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3301.88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QS-A-4</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2557</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330</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378</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0.84</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797.40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BM9 ZS-A-4</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2870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745</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558</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2.14</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2982.72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BM4 HM-C-4</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1603</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795</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121</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1.27</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BM4 QM-E-1</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2670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835</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580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2.23</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3232.70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BM4 ZS-A-2</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2930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710</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578</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2.08</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3006.03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BM4 QS-A-1</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2890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690</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586</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1.99</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2921.36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BM4 QM-C-9</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1745</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1052</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520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rPr>
              <w:t>1.84</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2386.46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B</w:t>
            </w:r>
            <w:r>
              <w:rPr>
                <w:rFonts w:cs="Times New Roman" w:asciiTheme="minorEastAsia" w:hAnsiTheme="minorEastAsia" w:eastAsiaTheme="minorEastAsia"/>
                <w:color w:val="000000"/>
                <w:kern w:val="0"/>
              </w:rPr>
              <w:t>M4 QM-C-10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678</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44</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6</w:t>
            </w:r>
            <w:r>
              <w:rPr>
                <w:rFonts w:cs="Times New Roman" w:asciiTheme="minorEastAsia" w:hAnsiTheme="minorEastAsia" w:eastAsiaTheme="minorEastAsia"/>
                <w:color w:val="000000"/>
                <w:kern w:val="0"/>
              </w:rPr>
              <w:t>97</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rPr>
            </w:pPr>
            <w:r>
              <w:rPr>
                <w:rFonts w:hint="eastAsia" w:cs="Times New Roman" w:asciiTheme="minorEastAsia" w:hAnsiTheme="minorEastAsia" w:eastAsiaTheme="minorEastAsia"/>
                <w:color w:val="000000"/>
              </w:rPr>
              <w:t>1</w:t>
            </w:r>
            <w:r>
              <w:rPr>
                <w:rFonts w:cs="Times New Roman" w:asciiTheme="minorEastAsia" w:hAnsiTheme="minorEastAsia" w:eastAsiaTheme="minorEastAsia"/>
                <w:color w:val="000000"/>
              </w:rPr>
              <w:t>.29</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590.61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B</w:t>
            </w:r>
            <w:r>
              <w:rPr>
                <w:rFonts w:cs="Times New Roman" w:asciiTheme="minorEastAsia" w:hAnsiTheme="minorEastAsia" w:eastAsiaTheme="minorEastAsia"/>
                <w:color w:val="000000"/>
                <w:kern w:val="0"/>
              </w:rPr>
              <w:t>M4 QM-C-8</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661</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18</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566</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rPr>
            </w:pPr>
            <w:r>
              <w:rPr>
                <w:rFonts w:hint="eastAsia" w:cs="Times New Roman" w:asciiTheme="minorEastAsia" w:hAnsiTheme="minorEastAsia" w:eastAsiaTheme="minorEastAsia"/>
                <w:color w:val="000000"/>
              </w:rPr>
              <w:t>1</w:t>
            </w:r>
            <w:r>
              <w:rPr>
                <w:rFonts w:cs="Times New Roman" w:asciiTheme="minorEastAsia" w:hAnsiTheme="minorEastAsia" w:eastAsiaTheme="minorEastAsia"/>
                <w:color w:val="000000"/>
              </w:rPr>
              <w:t>.15</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217.46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B</w:t>
            </w:r>
            <w:r>
              <w:rPr>
                <w:rFonts w:cs="Times New Roman" w:asciiTheme="minorEastAsia" w:hAnsiTheme="minorEastAsia" w:eastAsiaTheme="minorEastAsia"/>
                <w:color w:val="000000"/>
                <w:kern w:val="0"/>
              </w:rPr>
              <w:t>M4 QM-B-11</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690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08</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40</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rPr>
            </w:pPr>
            <w:r>
              <w:rPr>
                <w:rFonts w:hint="eastAsia" w:cs="Times New Roman" w:asciiTheme="minorEastAsia" w:hAnsiTheme="minorEastAsia" w:eastAsiaTheme="minorEastAsia"/>
                <w:color w:val="000000"/>
              </w:rPr>
              <w:t>1</w:t>
            </w:r>
            <w:r>
              <w:rPr>
                <w:rFonts w:cs="Times New Roman" w:asciiTheme="minorEastAsia" w:hAnsiTheme="minorEastAsia" w:eastAsiaTheme="minorEastAsia"/>
                <w:color w:val="000000"/>
              </w:rPr>
              <w:t>.13</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159.00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B</w:t>
            </w:r>
            <w:r>
              <w:rPr>
                <w:rFonts w:cs="Times New Roman" w:asciiTheme="minorEastAsia" w:hAnsiTheme="minorEastAsia" w:eastAsiaTheme="minorEastAsia"/>
                <w:color w:val="000000"/>
                <w:kern w:val="0"/>
              </w:rPr>
              <w:t>M4 QM-B-13</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680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66</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4</w:t>
            </w:r>
            <w:r>
              <w:rPr>
                <w:rFonts w:cs="Times New Roman" w:asciiTheme="minorEastAsia" w:hAnsiTheme="minorEastAsia" w:eastAsiaTheme="minorEastAsia"/>
                <w:color w:val="000000"/>
                <w:kern w:val="0"/>
              </w:rPr>
              <w:t>61</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rPr>
            </w:pPr>
            <w:r>
              <w:rPr>
                <w:rFonts w:hint="eastAsia" w:cs="Times New Roman" w:asciiTheme="minorEastAsia" w:hAnsiTheme="minorEastAsia" w:eastAsiaTheme="minorEastAsia"/>
                <w:color w:val="000000"/>
              </w:rPr>
              <w:t>1</w:t>
            </w:r>
            <w:r>
              <w:rPr>
                <w:rFonts w:cs="Times New Roman" w:asciiTheme="minorEastAsia" w:hAnsiTheme="minorEastAsia" w:eastAsiaTheme="minorEastAsia"/>
                <w:color w:val="000000"/>
              </w:rPr>
              <w:t>.21</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095.89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1</w:t>
            </w:r>
            <w:r>
              <w:rPr>
                <w:rFonts w:cs="Times New Roman" w:asciiTheme="minorEastAsia" w:hAnsiTheme="minorEastAsia" w:eastAsiaTheme="minorEastAsia"/>
                <w:color w:val="000000"/>
                <w:kern w:val="0"/>
              </w:rPr>
              <w:t>7SJ-0022</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9</w:t>
            </w:r>
            <w:r>
              <w:rPr>
                <w:rFonts w:cs="Times New Roman" w:asciiTheme="minorEastAsia" w:hAnsiTheme="minorEastAsia" w:eastAsiaTheme="minorEastAsia"/>
                <w:color w:val="000000"/>
                <w:kern w:val="0"/>
              </w:rPr>
              <w:t>70</w:t>
            </w:r>
          </w:p>
        </w:tc>
        <w:tc>
          <w:tcPr>
            <w:tcW w:w="1105"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84</w:t>
            </w:r>
          </w:p>
        </w:tc>
        <w:tc>
          <w:tcPr>
            <w:tcW w:w="1104"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5</w:t>
            </w:r>
            <w:r>
              <w:rPr>
                <w:rFonts w:cs="Times New Roman" w:asciiTheme="minorEastAsia" w:hAnsiTheme="minorEastAsia" w:eastAsiaTheme="minorEastAsia"/>
                <w:color w:val="000000"/>
                <w:kern w:val="0"/>
              </w:rPr>
              <w:t>56</w:t>
            </w:r>
          </w:p>
        </w:tc>
        <w:tc>
          <w:tcPr>
            <w:tcW w:w="1604" w:type="dxa"/>
            <w:tcBorders>
              <w:top w:val="single" w:color="auto" w:sz="4" w:space="0"/>
              <w:left w:val="nil"/>
              <w:bottom w:val="single" w:color="auto" w:sz="4" w:space="0"/>
              <w:right w:val="nil"/>
            </w:tcBorders>
            <w:shd w:val="clear" w:color="auto" w:fill="auto"/>
            <w:noWrap/>
            <w:vAlign w:val="center"/>
          </w:tcPr>
          <w:p>
            <w:pPr>
              <w:pStyle w:val="296"/>
              <w:widowControl w:val="0"/>
              <w:rPr>
                <w:rFonts w:cs="Times New Roman" w:asciiTheme="minorEastAsia" w:hAnsiTheme="minorEastAsia" w:eastAsiaTheme="minorEastAsia"/>
                <w:color w:val="000000"/>
              </w:rPr>
            </w:pPr>
            <w:r>
              <w:rPr>
                <w:rFonts w:hint="eastAsia" w:cs="Times New Roman" w:asciiTheme="minorEastAsia" w:hAnsiTheme="minorEastAsia" w:eastAsiaTheme="minorEastAsia"/>
                <w:color w:val="000000"/>
              </w:rPr>
              <w:t>2</w:t>
            </w:r>
            <w:r>
              <w:rPr>
                <w:rFonts w:cs="Times New Roman" w:asciiTheme="minorEastAsia" w:hAnsiTheme="minorEastAsia" w:eastAsiaTheme="minorEastAsia"/>
                <w:color w:val="000000"/>
              </w:rPr>
              <w:t>.29</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787.41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454" w:hRule="atLeast"/>
          <w:jc w:val="center"/>
        </w:trPr>
        <w:tc>
          <w:tcPr>
            <w:tcW w:w="1782" w:type="dxa"/>
            <w:noWrap/>
            <w:vAlign w:val="center"/>
          </w:tcPr>
          <w:p>
            <w:pPr>
              <w:pStyle w:val="296"/>
              <w:widowControl w:val="0"/>
              <w:rPr>
                <w:rFonts w:cs="Times New Roman" w:asciiTheme="minorEastAsia" w:hAnsiTheme="minorEastAsia" w:eastAsiaTheme="minorEastAsia"/>
                <w:color w:val="000000"/>
                <w:kern w:val="0"/>
              </w:rPr>
            </w:pPr>
            <w:r>
              <w:rPr>
                <w:rFonts w:hint="eastAsia" w:cs="Times New Roman" w:asciiTheme="minorEastAsia" w:hAnsiTheme="minorEastAsia" w:eastAsiaTheme="minorEastAsia"/>
                <w:color w:val="000000"/>
                <w:kern w:val="0"/>
              </w:rPr>
              <w:t>总计</w:t>
            </w:r>
          </w:p>
        </w:tc>
        <w:tc>
          <w:tcPr>
            <w:tcW w:w="1105" w:type="dxa"/>
            <w:noWrap/>
            <w:vAlign w:val="center"/>
          </w:tcPr>
          <w:p>
            <w:pPr>
              <w:pStyle w:val="296"/>
              <w:widowControl w:val="0"/>
              <w:rPr>
                <w:rFonts w:cs="Times New Roman" w:asciiTheme="minorEastAsia" w:hAnsiTheme="minorEastAsia" w:eastAsiaTheme="minorEastAsia"/>
                <w:color w:val="000000"/>
                <w:kern w:val="0"/>
              </w:rPr>
            </w:pPr>
          </w:p>
        </w:tc>
        <w:tc>
          <w:tcPr>
            <w:tcW w:w="1105" w:type="dxa"/>
            <w:noWrap/>
            <w:vAlign w:val="center"/>
          </w:tcPr>
          <w:p>
            <w:pPr>
              <w:pStyle w:val="296"/>
              <w:widowControl w:val="0"/>
              <w:rPr>
                <w:rFonts w:cs="Times New Roman" w:asciiTheme="minorEastAsia" w:hAnsiTheme="minorEastAsia" w:eastAsiaTheme="minorEastAsia"/>
                <w:color w:val="000000"/>
                <w:kern w:val="0"/>
              </w:rPr>
            </w:pPr>
          </w:p>
        </w:tc>
        <w:tc>
          <w:tcPr>
            <w:tcW w:w="1104" w:type="dxa"/>
            <w:noWrap/>
            <w:vAlign w:val="center"/>
          </w:tcPr>
          <w:p>
            <w:pPr>
              <w:pStyle w:val="296"/>
              <w:widowControl w:val="0"/>
              <w:rPr>
                <w:rFonts w:cs="Times New Roman" w:asciiTheme="minorEastAsia" w:hAnsiTheme="minorEastAsia" w:eastAsiaTheme="minorEastAsia"/>
                <w:color w:val="000000"/>
                <w:kern w:val="0"/>
              </w:rPr>
            </w:pPr>
          </w:p>
        </w:tc>
        <w:tc>
          <w:tcPr>
            <w:tcW w:w="1604" w:type="dxa"/>
            <w:tcBorders>
              <w:top w:val="single" w:color="auto" w:sz="4" w:space="0"/>
              <w:left w:val="nil"/>
              <w:bottom w:val="single" w:color="auto" w:sz="4" w:space="0"/>
              <w:right w:val="nil"/>
            </w:tcBorders>
            <w:shd w:val="clear" w:color="auto" w:fill="auto"/>
            <w:noWrap/>
            <w:vAlign w:val="center"/>
          </w:tcPr>
          <w:p>
            <w:pPr>
              <w:widowControl/>
              <w:jc w:val="center"/>
              <w:rPr>
                <w:rFonts w:cs="宋体" w:asciiTheme="minorEastAsia" w:hAnsiTheme="minorEastAsia" w:eastAsiaTheme="minorEastAsia"/>
                <w:color w:val="000000"/>
                <w:kern w:val="0"/>
                <w:szCs w:val="21"/>
              </w:rPr>
            </w:pPr>
            <w:r>
              <w:rPr>
                <w:rFonts w:hint="eastAsia" w:asciiTheme="minorEastAsia" w:hAnsiTheme="minorEastAsia" w:eastAsiaTheme="minorEastAsia"/>
                <w:color w:val="000000"/>
                <w:szCs w:val="21"/>
              </w:rPr>
              <w:t xml:space="preserve">75.90 </w:t>
            </w:r>
          </w:p>
        </w:tc>
        <w:tc>
          <w:tcPr>
            <w:tcW w:w="1800" w:type="dxa"/>
            <w:noWrap/>
            <w:vAlign w:val="center"/>
          </w:tcPr>
          <w:p>
            <w:pPr>
              <w:pStyle w:val="296"/>
              <w:widowControl w:val="0"/>
              <w:rPr>
                <w:rFonts w:cs="Times New Roman" w:asciiTheme="minorEastAsia" w:hAnsiTheme="minorEastAsia" w:eastAsiaTheme="minorEastAsia"/>
                <w:color w:val="000000"/>
                <w:kern w:val="0"/>
              </w:rPr>
            </w:pPr>
            <w:r>
              <w:rPr>
                <w:rFonts w:cs="Times New Roman" w:asciiTheme="minorEastAsia" w:hAnsiTheme="minorEastAsia" w:eastAsiaTheme="minorEastAsia"/>
                <w:color w:val="000000"/>
                <w:kern w:val="0"/>
              </w:rPr>
              <w:t>86142.14</w:t>
            </w:r>
            <w:r>
              <w:rPr>
                <w:rFonts w:hint="eastAsia" w:cs="Times New Roman" w:asciiTheme="minorEastAsia" w:hAnsiTheme="minorEastAsia" w:eastAsiaTheme="minorEastAsia"/>
                <w:color w:val="000000"/>
                <w:kern w:val="0"/>
              </w:rPr>
              <w:t xml:space="preserve"> </w:t>
            </w:r>
          </w:p>
        </w:tc>
      </w:tr>
    </w:tbl>
    <w:p>
      <w:pPr>
        <w:rPr>
          <w:rFonts w:asciiTheme="minorEastAsia" w:hAnsiTheme="minorEastAsia" w:eastAsiaTheme="minorEastAsia"/>
        </w:rPr>
      </w:pPr>
    </w:p>
    <w:bookmarkEnd w:id="159"/>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   4.2</w:t>
      </w:r>
      <w:bookmarkEnd w:id="158"/>
      <w:r>
        <w:rPr>
          <w:rFonts w:hint="eastAsia" w:ascii="宋体" w:hAnsi="宋体"/>
          <w:b/>
          <w:bCs/>
          <w:color w:val="000000" w:themeColor="text1"/>
          <w:sz w:val="28"/>
          <w:szCs w:val="28"/>
          <w14:textFill>
            <w14:solidFill>
              <w14:schemeClr w14:val="tx1"/>
            </w14:solidFill>
          </w14:textFill>
        </w:rPr>
        <w:t>技术、服务要求</w:t>
      </w:r>
    </w:p>
    <w:p>
      <w:pPr>
        <w:pStyle w:val="304"/>
        <w:ind w:firstLine="562"/>
        <w:rPr>
          <w:rFonts w:cs="仿宋" w:asciiTheme="minorEastAsia" w:hAnsiTheme="minorEastAsia" w:eastAsiaTheme="minorEastAsia"/>
          <w:sz w:val="28"/>
          <w:szCs w:val="28"/>
        </w:rPr>
      </w:pPr>
      <w:r>
        <w:rPr>
          <w:rFonts w:hint="eastAsia" w:cs="仿宋" w:asciiTheme="minorEastAsia" w:hAnsiTheme="minorEastAsia" w:eastAsiaTheme="minorEastAsia"/>
          <w:b/>
          <w:sz w:val="28"/>
          <w:szCs w:val="28"/>
        </w:rPr>
        <w:t>一、</w:t>
      </w:r>
      <w:r>
        <w:rPr>
          <w:rFonts w:hint="eastAsia" w:cs="仿宋" w:asciiTheme="minorEastAsia" w:hAnsiTheme="minorEastAsia" w:eastAsiaTheme="minorEastAsia"/>
          <w:b/>
          <w:sz w:val="28"/>
          <w:szCs w:val="28"/>
          <w:lang w:eastAsia="zh-Hans"/>
        </w:rPr>
        <w:t>服务规范标准</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Hans" w:bidi="ar-SA"/>
        </w:rPr>
        <w:t>本项目主要依据以下文件和规范标准</w:t>
      </w:r>
      <w:r>
        <w:rPr>
          <w:rFonts w:hint="eastAsia" w:cs="仿宋" w:asciiTheme="minorEastAsia" w:hAnsiTheme="minorEastAsia" w:eastAsiaTheme="minorEastAsia"/>
          <w:bCs/>
          <w:kern w:val="2"/>
          <w:sz w:val="28"/>
          <w:szCs w:val="28"/>
          <w:lang w:val="en-US" w:eastAsia="zh-CN" w:bidi="ar-SA"/>
        </w:rPr>
        <w:t>，若有修订及最新版本，按修订及最新版本执行</w:t>
      </w:r>
      <w:r>
        <w:rPr>
          <w:rFonts w:hint="eastAsia" w:cs="仿宋" w:asciiTheme="minorEastAsia" w:hAnsiTheme="minorEastAsia" w:eastAsiaTheme="minorEastAsia"/>
          <w:bCs/>
          <w:kern w:val="2"/>
          <w:sz w:val="28"/>
          <w:szCs w:val="28"/>
          <w:lang w:val="en-US" w:eastAsia="zh-Hans" w:bidi="ar-SA"/>
        </w:rPr>
        <w:t>：</w:t>
      </w:r>
    </w:p>
    <w:p>
      <w:pPr>
        <w:pStyle w:val="145"/>
        <w:keepNext w:val="0"/>
        <w:keepLines w:val="0"/>
        <w:pageBreakBefore w:val="0"/>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CN" w:bidi="ar-SA"/>
        </w:rPr>
      </w:pPr>
      <w:r>
        <w:rPr>
          <w:rFonts w:hint="eastAsia" w:cs="仿宋" w:asciiTheme="minorEastAsia" w:hAnsiTheme="minorEastAsia" w:eastAsiaTheme="minorEastAsia"/>
          <w:bCs/>
          <w:kern w:val="2"/>
          <w:sz w:val="28"/>
          <w:szCs w:val="28"/>
          <w:lang w:val="en-US" w:eastAsia="zh-CN" w:bidi="ar-SA"/>
        </w:rPr>
        <w:t>1、</w:t>
      </w:r>
      <w:r>
        <w:rPr>
          <w:rFonts w:hint="eastAsia" w:cs="仿宋" w:asciiTheme="minorEastAsia" w:hAnsiTheme="minorEastAsia" w:eastAsiaTheme="minorEastAsia"/>
          <w:bCs/>
          <w:kern w:val="2"/>
          <w:sz w:val="28"/>
          <w:szCs w:val="28"/>
          <w:lang w:val="en-US" w:eastAsia="zh-Hans" w:bidi="ar-SA"/>
        </w:rPr>
        <w:t>《中华人民共和国文物保护法》（20</w:t>
      </w:r>
      <w:r>
        <w:rPr>
          <w:rFonts w:hint="eastAsia" w:cs="仿宋" w:asciiTheme="minorEastAsia" w:hAnsiTheme="minorEastAsia" w:eastAsiaTheme="minorEastAsia"/>
          <w:bCs/>
          <w:kern w:val="2"/>
          <w:sz w:val="28"/>
          <w:szCs w:val="28"/>
          <w:lang w:val="en-US" w:eastAsia="zh-CN" w:bidi="ar-SA"/>
        </w:rPr>
        <w:t>17</w:t>
      </w:r>
      <w:r>
        <w:rPr>
          <w:rFonts w:hint="eastAsia" w:cs="仿宋" w:asciiTheme="minorEastAsia" w:hAnsiTheme="minorEastAsia" w:eastAsiaTheme="minorEastAsia"/>
          <w:bCs/>
          <w:kern w:val="2"/>
          <w:sz w:val="28"/>
          <w:szCs w:val="28"/>
          <w:lang w:val="en-US" w:eastAsia="zh-Hans" w:bidi="ar-SA"/>
        </w:rPr>
        <w:t>年</w:t>
      </w:r>
      <w:r>
        <w:rPr>
          <w:rFonts w:hint="eastAsia" w:cs="仿宋" w:asciiTheme="minorEastAsia" w:hAnsiTheme="minorEastAsia" w:eastAsiaTheme="minorEastAsia"/>
          <w:bCs/>
          <w:kern w:val="2"/>
          <w:sz w:val="28"/>
          <w:szCs w:val="28"/>
          <w:lang w:val="en-US" w:eastAsia="zh-CN" w:bidi="ar-SA"/>
        </w:rPr>
        <w:t>修正</w:t>
      </w:r>
      <w:r>
        <w:rPr>
          <w:rFonts w:hint="eastAsia" w:cs="仿宋" w:asciiTheme="minorEastAsia" w:hAnsiTheme="minorEastAsia" w:eastAsiaTheme="minorEastAsia"/>
          <w:bCs/>
          <w:kern w:val="2"/>
          <w:sz w:val="28"/>
          <w:szCs w:val="28"/>
          <w:lang w:val="en-US" w:eastAsia="zh-Hans" w:bidi="ar-SA"/>
        </w:rPr>
        <w:t>）</w:t>
      </w:r>
      <w:r>
        <w:rPr>
          <w:rFonts w:hint="eastAsia" w:cs="仿宋" w:asciiTheme="minorEastAsia" w:hAnsiTheme="minorEastAsia" w:eastAsiaTheme="minorEastAsia"/>
          <w:bCs/>
          <w:kern w:val="2"/>
          <w:sz w:val="28"/>
          <w:szCs w:val="28"/>
          <w:lang w:val="en-US" w:eastAsia="zh-CN" w:bidi="ar-SA"/>
        </w:rPr>
        <w:t>；</w:t>
      </w:r>
    </w:p>
    <w:p>
      <w:pPr>
        <w:pStyle w:val="145"/>
        <w:keepNext w:val="0"/>
        <w:keepLines w:val="0"/>
        <w:pageBreakBefore w:val="0"/>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CN" w:bidi="ar-SA"/>
        </w:rPr>
      </w:pPr>
      <w:r>
        <w:rPr>
          <w:rFonts w:hint="eastAsia" w:cs="仿宋" w:asciiTheme="minorEastAsia" w:hAnsiTheme="minorEastAsia" w:eastAsiaTheme="minorEastAsia"/>
          <w:bCs/>
          <w:kern w:val="2"/>
          <w:sz w:val="28"/>
          <w:szCs w:val="28"/>
          <w:lang w:val="en-US" w:eastAsia="zh-CN" w:bidi="ar-SA"/>
        </w:rPr>
        <w:t>2、《</w:t>
      </w:r>
      <w:r>
        <w:rPr>
          <w:rFonts w:hint="eastAsia" w:cs="仿宋" w:asciiTheme="minorEastAsia" w:hAnsiTheme="minorEastAsia" w:eastAsiaTheme="minorEastAsia"/>
          <w:bCs/>
          <w:kern w:val="2"/>
          <w:sz w:val="28"/>
          <w:szCs w:val="28"/>
          <w:lang w:val="en-US" w:eastAsia="zh-Hans" w:bidi="ar-SA"/>
        </w:rPr>
        <w:t>中华人民共和国文物保护法实施条例</w:t>
      </w:r>
      <w:r>
        <w:rPr>
          <w:rFonts w:hint="eastAsia" w:cs="仿宋" w:asciiTheme="minorEastAsia" w:hAnsiTheme="minorEastAsia" w:eastAsiaTheme="minorEastAsia"/>
          <w:bCs/>
          <w:kern w:val="2"/>
          <w:sz w:val="28"/>
          <w:szCs w:val="28"/>
          <w:lang w:val="en-US" w:eastAsia="zh-CN" w:bidi="ar-SA"/>
        </w:rPr>
        <w:t>》（2017第二次修订</w:t>
      </w:r>
    </w:p>
    <w:p>
      <w:pPr>
        <w:pStyle w:val="145"/>
        <w:keepNext w:val="0"/>
        <w:keepLines w:val="0"/>
        <w:pageBreakBefore w:val="0"/>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w:t>
      </w:r>
    </w:p>
    <w:p>
      <w:pPr>
        <w:pStyle w:val="145"/>
        <w:keepNext w:val="0"/>
        <w:keepLines w:val="0"/>
        <w:pageBreakBefore w:val="0"/>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3、</w:t>
      </w:r>
      <w:r>
        <w:rPr>
          <w:rFonts w:hint="eastAsia" w:cs="仿宋" w:asciiTheme="minorEastAsia" w:hAnsiTheme="minorEastAsia" w:eastAsiaTheme="minorEastAsia"/>
          <w:bCs/>
          <w:kern w:val="2"/>
          <w:sz w:val="28"/>
          <w:szCs w:val="28"/>
          <w:lang w:val="en-US" w:eastAsia="zh-Hans" w:bidi="ar-SA"/>
        </w:rPr>
        <w:t>《可移动文物修复管理办法》</w:t>
      </w:r>
      <w:r>
        <w:rPr>
          <w:rFonts w:hint="eastAsia" w:cs="仿宋" w:asciiTheme="minorEastAsia" w:hAnsiTheme="minorEastAsia" w:eastAsiaTheme="minorEastAsia"/>
          <w:bCs/>
          <w:kern w:val="2"/>
          <w:sz w:val="28"/>
          <w:szCs w:val="28"/>
          <w:lang w:val="en-US" w:eastAsia="zh-CN" w:bidi="ar-SA"/>
        </w:rPr>
        <w:t>（2020年修改）；</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4、</w:t>
      </w:r>
      <w:r>
        <w:rPr>
          <w:rFonts w:hint="eastAsia" w:cs="仿宋" w:asciiTheme="minorEastAsia" w:hAnsiTheme="minorEastAsia" w:eastAsiaTheme="minorEastAsia"/>
          <w:bCs/>
          <w:kern w:val="2"/>
          <w:sz w:val="28"/>
          <w:szCs w:val="28"/>
          <w:lang w:val="en-US" w:eastAsia="zh-Hans" w:bidi="ar-SA"/>
        </w:rPr>
        <w:t>石质文物病害分类与图示(WW／T 0002-2007)</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5、</w:t>
      </w:r>
      <w:r>
        <w:rPr>
          <w:rFonts w:hint="eastAsia" w:cs="仿宋" w:asciiTheme="minorEastAsia" w:hAnsiTheme="minorEastAsia" w:eastAsiaTheme="minorEastAsia"/>
          <w:bCs/>
          <w:kern w:val="2"/>
          <w:sz w:val="28"/>
          <w:szCs w:val="28"/>
          <w:lang w:val="en-US" w:eastAsia="zh-Hans" w:bidi="ar-SA"/>
        </w:rPr>
        <w:t>石质文物保护修复方案编写规范(WW／T 0007-2007)</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6、</w:t>
      </w:r>
      <w:r>
        <w:rPr>
          <w:rFonts w:hint="eastAsia" w:cs="仿宋" w:asciiTheme="minorEastAsia" w:hAnsiTheme="minorEastAsia" w:eastAsiaTheme="minorEastAsia"/>
          <w:bCs/>
          <w:kern w:val="2"/>
          <w:sz w:val="28"/>
          <w:szCs w:val="28"/>
          <w:lang w:val="en-US" w:eastAsia="zh-Hans" w:bidi="ar-SA"/>
        </w:rPr>
        <w:t>石质文物保护修复档案记录规范(WW／T 0012-2008)</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CN" w:bidi="ar-SA"/>
        </w:rPr>
      </w:pPr>
      <w:r>
        <w:rPr>
          <w:rFonts w:hint="eastAsia" w:cs="仿宋" w:asciiTheme="minorEastAsia" w:hAnsiTheme="minorEastAsia" w:eastAsiaTheme="minorEastAsia"/>
          <w:bCs/>
          <w:kern w:val="2"/>
          <w:sz w:val="28"/>
          <w:szCs w:val="28"/>
          <w:lang w:val="en-US" w:eastAsia="zh-CN" w:bidi="ar-SA"/>
        </w:rPr>
        <w:t>7、《可移动文物病害评估技术规程石质文物》（WW</w:t>
      </w:r>
      <w:r>
        <w:rPr>
          <w:rFonts w:hint="eastAsia" w:cs="仿宋" w:asciiTheme="minorEastAsia" w:hAnsiTheme="minorEastAsia" w:eastAsiaTheme="minorEastAsia"/>
          <w:bCs/>
          <w:kern w:val="2"/>
          <w:sz w:val="28"/>
          <w:szCs w:val="28"/>
          <w:lang w:val="en-US" w:eastAsia="zh-Hans" w:bidi="ar-SA"/>
        </w:rPr>
        <w:t>／T 00</w:t>
      </w:r>
      <w:r>
        <w:rPr>
          <w:rFonts w:hint="eastAsia" w:cs="仿宋" w:asciiTheme="minorEastAsia" w:hAnsiTheme="minorEastAsia" w:eastAsiaTheme="minorEastAsia"/>
          <w:bCs/>
          <w:kern w:val="2"/>
          <w:sz w:val="28"/>
          <w:szCs w:val="28"/>
          <w:lang w:val="en-US" w:eastAsia="zh-CN" w:bidi="ar-SA"/>
        </w:rPr>
        <w:t>6</w:t>
      </w:r>
      <w:r>
        <w:rPr>
          <w:rFonts w:hint="eastAsia" w:cs="仿宋" w:asciiTheme="minorEastAsia" w:hAnsiTheme="minorEastAsia" w:eastAsiaTheme="minorEastAsia"/>
          <w:bCs/>
          <w:kern w:val="2"/>
          <w:sz w:val="28"/>
          <w:szCs w:val="28"/>
          <w:lang w:val="en-US" w:eastAsia="zh-Hans" w:bidi="ar-SA"/>
        </w:rPr>
        <w:t>2-</w:t>
      </w:r>
      <w:r>
        <w:rPr>
          <w:rFonts w:hint="eastAsia" w:cs="仿宋" w:asciiTheme="minorEastAsia" w:hAnsiTheme="minorEastAsia" w:eastAsiaTheme="minorEastAsia"/>
          <w:bCs/>
          <w:kern w:val="2"/>
          <w:sz w:val="28"/>
          <w:szCs w:val="28"/>
          <w:lang w:val="en-US" w:eastAsia="zh-CN" w:bidi="ar-SA"/>
        </w:rPr>
        <w:t>2014）</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Hans" w:bidi="ar-SA"/>
        </w:rPr>
      </w:pPr>
      <w:r>
        <w:rPr>
          <w:rFonts w:hint="eastAsia" w:cs="仿宋" w:asciiTheme="minorEastAsia" w:hAnsiTheme="minorEastAsia" w:eastAsiaTheme="minorEastAsia"/>
          <w:bCs/>
          <w:kern w:val="2"/>
          <w:sz w:val="28"/>
          <w:szCs w:val="28"/>
          <w:lang w:val="en-US" w:eastAsia="zh-CN" w:bidi="ar-SA"/>
        </w:rPr>
        <w:t>8、</w:t>
      </w:r>
      <w:r>
        <w:rPr>
          <w:rFonts w:hint="eastAsia" w:cs="仿宋" w:asciiTheme="minorEastAsia" w:hAnsiTheme="minorEastAsia" w:eastAsiaTheme="minorEastAsia"/>
          <w:bCs/>
          <w:kern w:val="2"/>
          <w:sz w:val="28"/>
          <w:szCs w:val="28"/>
          <w:lang w:val="en-US" w:eastAsia="zh-Hans" w:bidi="ar-SA"/>
        </w:rPr>
        <w:t>文物运输包装规范(GB／T 23862-2009)</w:t>
      </w:r>
    </w:p>
    <w:p>
      <w:pPr>
        <w:pStyle w:val="145"/>
        <w:keepNext w:val="0"/>
        <w:keepLines w:val="0"/>
        <w:pageBreakBefore w:val="0"/>
        <w:widowControl/>
        <w:kinsoku/>
        <w:wordWrap/>
        <w:overflowPunct/>
        <w:topLinePunct w:val="0"/>
        <w:bidi w:val="0"/>
        <w:adjustRightInd/>
        <w:snapToGrid/>
        <w:spacing w:line="440" w:lineRule="exact"/>
        <w:ind w:firstLine="480"/>
        <w:textAlignment w:val="auto"/>
        <w:rPr>
          <w:rFonts w:hint="eastAsia" w:cs="仿宋" w:asciiTheme="minorEastAsia" w:hAnsiTheme="minorEastAsia" w:eastAsiaTheme="minorEastAsia"/>
          <w:bCs/>
          <w:kern w:val="2"/>
          <w:sz w:val="28"/>
          <w:szCs w:val="28"/>
          <w:lang w:val="en-US" w:eastAsia="zh-CN" w:bidi="ar-SA"/>
        </w:rPr>
      </w:pPr>
      <w:r>
        <w:rPr>
          <w:rFonts w:hint="eastAsia" w:cs="仿宋" w:asciiTheme="minorEastAsia" w:hAnsiTheme="minorEastAsia" w:eastAsiaTheme="minorEastAsia"/>
          <w:bCs/>
          <w:kern w:val="2"/>
          <w:sz w:val="28"/>
          <w:szCs w:val="28"/>
          <w:lang w:val="en-US" w:eastAsia="zh-CN" w:bidi="ar-SA"/>
        </w:rPr>
        <w:t>9、《中国文物古迹保护准则》（</w:t>
      </w:r>
      <w:r>
        <w:rPr>
          <w:rFonts w:hint="eastAsia" w:cs="仿宋" w:asciiTheme="minorEastAsia" w:hAnsiTheme="minorEastAsia" w:eastAsiaTheme="minorEastAsia"/>
          <w:bCs/>
          <w:kern w:val="2"/>
          <w:sz w:val="28"/>
          <w:szCs w:val="28"/>
          <w:lang w:val="en-US" w:eastAsia="zh-Hans" w:bidi="ar-SA"/>
        </w:rPr>
        <w:t>ICOMOS CHIINA，2002</w:t>
      </w:r>
      <w:r>
        <w:rPr>
          <w:rFonts w:hint="eastAsia" w:cs="仿宋" w:asciiTheme="minorEastAsia" w:hAnsiTheme="minorEastAsia" w:eastAsiaTheme="minorEastAsia"/>
          <w:bCs/>
          <w:kern w:val="2"/>
          <w:sz w:val="28"/>
          <w:szCs w:val="28"/>
          <w:lang w:val="en-US" w:eastAsia="zh-CN" w:bidi="ar-SA"/>
        </w:rPr>
        <w:t>）</w:t>
      </w:r>
    </w:p>
    <w:p>
      <w:pPr>
        <w:spacing w:line="360" w:lineRule="auto"/>
        <w:ind w:left="420"/>
        <w:jc w:val="left"/>
        <w:rPr>
          <w:rFonts w:cs="仿宋" w:asciiTheme="minorEastAsia" w:hAnsiTheme="minorEastAsia" w:eastAsiaTheme="minorEastAsia"/>
          <w:b/>
          <w:sz w:val="28"/>
          <w:szCs w:val="28"/>
          <w:lang w:eastAsia="zh-Hans"/>
        </w:rPr>
      </w:pPr>
      <w:r>
        <w:rPr>
          <w:rFonts w:hint="eastAsia" w:cs="仿宋" w:asciiTheme="minorEastAsia" w:hAnsiTheme="minorEastAsia" w:eastAsiaTheme="minorEastAsia"/>
          <w:b/>
          <w:sz w:val="28"/>
          <w:szCs w:val="28"/>
        </w:rPr>
        <w:t>二、</w:t>
      </w:r>
      <w:r>
        <w:rPr>
          <w:rFonts w:hint="eastAsia" w:cs="仿宋" w:asciiTheme="minorEastAsia" w:hAnsiTheme="minorEastAsia" w:eastAsiaTheme="minorEastAsia"/>
          <w:b/>
          <w:sz w:val="28"/>
          <w:szCs w:val="28"/>
          <w:lang w:eastAsia="zh-Hans"/>
        </w:rPr>
        <w:t>保护工艺流程</w:t>
      </w:r>
    </w:p>
    <w:p>
      <w:pPr>
        <w:pStyle w:val="13"/>
        <w:spacing w:line="360" w:lineRule="auto"/>
        <w:ind w:firstLine="560" w:firstLineChars="200"/>
        <w:jc w:val="left"/>
        <w:rPr>
          <w:rFonts w:cs="仿宋" w:asciiTheme="minorEastAsia" w:hAnsiTheme="minorEastAsia"/>
          <w:bCs/>
          <w:sz w:val="28"/>
          <w:szCs w:val="28"/>
          <w:lang w:eastAsia="zh-Hans"/>
        </w:rPr>
      </w:pPr>
      <w:r>
        <w:rPr>
          <w:rFonts w:hint="eastAsia" w:cs="仿宋" w:asciiTheme="minorEastAsia" w:hAnsiTheme="minorEastAsia"/>
          <w:bCs/>
          <w:sz w:val="28"/>
          <w:szCs w:val="28"/>
          <w:lang w:eastAsia="zh-Hans"/>
        </w:rPr>
        <w:t>具体保护流程如下图所示。具体施工过程中应按照轻重缓急科学确定工程分期，有计划、有步骤地开展石刻彩绘的修复工程，避免过度干预。</w:t>
      </w:r>
    </w:p>
    <w:p>
      <w:pPr>
        <w:ind w:firstLine="480"/>
        <w:jc w:val="center"/>
        <w:rPr>
          <w:rFonts w:cs="仿宋" w:asciiTheme="minorEastAsia" w:hAnsiTheme="minorEastAsia" w:eastAsiaTheme="minorEastAsia"/>
        </w:rPr>
      </w:pPr>
      <w:r>
        <w:rPr>
          <w:rFonts w:hint="eastAsia" w:cs="仿宋" w:asciiTheme="minorEastAsia" w:hAnsiTheme="minorEastAsia" w:eastAsiaTheme="minorEastAsia"/>
        </w:rPr>
        <w:drawing>
          <wp:inline distT="0" distB="0" distL="0" distR="0">
            <wp:extent cx="3333750" cy="6002655"/>
            <wp:effectExtent l="0" t="0" r="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 b="778"/>
                    <a:stretch>
                      <a:fillRect/>
                    </a:stretch>
                  </pic:blipFill>
                  <pic:spPr>
                    <a:xfrm>
                      <a:off x="0" y="0"/>
                      <a:ext cx="3333750" cy="6002655"/>
                    </a:xfrm>
                    <a:prstGeom prst="rect">
                      <a:avLst/>
                    </a:prstGeom>
                    <a:ln>
                      <a:noFill/>
                    </a:ln>
                  </pic:spPr>
                </pic:pic>
              </a:graphicData>
            </a:graphic>
          </wp:inline>
        </w:drawing>
      </w:r>
      <w:r>
        <w:rPr>
          <w:rFonts w:hint="eastAsia" w:cs="仿宋" w:asciiTheme="minorEastAsia" w:hAnsiTheme="minorEastAsia" w:eastAsiaTheme="minorEastAsia"/>
        </w:rPr>
        <w:t xml:space="preserve">  </w:t>
      </w:r>
    </w:p>
    <w:p>
      <w:pPr>
        <w:pStyle w:val="294"/>
        <w:spacing w:after="312"/>
        <w:rPr>
          <w:rFonts w:cs="仿宋" w:asciiTheme="minorEastAsia" w:hAnsiTheme="minorEastAsia"/>
        </w:rPr>
      </w:pPr>
      <w:bookmarkStart w:id="160" w:name="_Toc70840806"/>
      <w:r>
        <w:rPr>
          <w:rFonts w:hint="eastAsia" w:cs="仿宋" w:asciiTheme="minorEastAsia" w:hAnsiTheme="minorEastAsia"/>
        </w:rPr>
        <w:t xml:space="preserve">图 </w:t>
      </w:r>
      <w:r>
        <w:rPr>
          <w:rFonts w:hint="eastAsia" w:cs="仿宋" w:asciiTheme="minorEastAsia" w:hAnsiTheme="minorEastAsia"/>
        </w:rPr>
        <w:fldChar w:fldCharType="begin"/>
      </w:r>
      <w:r>
        <w:rPr>
          <w:rFonts w:hint="eastAsia" w:cs="仿宋" w:asciiTheme="minorEastAsia" w:hAnsiTheme="minorEastAsia"/>
        </w:rPr>
        <w:instrText xml:space="preserve"> STYLEREF 1 \s </w:instrText>
      </w:r>
      <w:r>
        <w:rPr>
          <w:rFonts w:hint="eastAsia" w:cs="仿宋" w:asciiTheme="minorEastAsia" w:hAnsiTheme="minorEastAsia"/>
        </w:rPr>
        <w:fldChar w:fldCharType="separate"/>
      </w:r>
      <w:r>
        <w:rPr>
          <w:rFonts w:hint="eastAsia" w:cs="仿宋" w:asciiTheme="minorEastAsia" w:hAnsiTheme="minorEastAsia"/>
        </w:rPr>
        <w:t>6</w:t>
      </w:r>
      <w:r>
        <w:rPr>
          <w:rFonts w:hint="eastAsia" w:cs="仿宋" w:asciiTheme="minorEastAsia" w:hAnsiTheme="minorEastAsia"/>
        </w:rPr>
        <w:fldChar w:fldCharType="end"/>
      </w:r>
      <w:r>
        <w:rPr>
          <w:rFonts w:hint="eastAsia" w:cs="仿宋" w:asciiTheme="minorEastAsia" w:hAnsiTheme="minorEastAsia"/>
        </w:rPr>
        <w:noBreakHyphen/>
      </w:r>
      <w:r>
        <w:rPr>
          <w:rFonts w:hint="eastAsia" w:cs="仿宋" w:asciiTheme="minorEastAsia" w:hAnsiTheme="minorEastAsia"/>
        </w:rPr>
        <w:fldChar w:fldCharType="begin"/>
      </w:r>
      <w:r>
        <w:rPr>
          <w:rFonts w:hint="eastAsia" w:cs="仿宋" w:asciiTheme="minorEastAsia" w:hAnsiTheme="minorEastAsia"/>
        </w:rPr>
        <w:instrText xml:space="preserve"> SEQ 图 \* ARABIC \s 1 </w:instrText>
      </w:r>
      <w:r>
        <w:rPr>
          <w:rFonts w:hint="eastAsia" w:cs="仿宋" w:asciiTheme="minorEastAsia" w:hAnsiTheme="minorEastAsia"/>
        </w:rPr>
        <w:fldChar w:fldCharType="separate"/>
      </w:r>
      <w:r>
        <w:rPr>
          <w:rFonts w:hint="eastAsia" w:cs="仿宋" w:asciiTheme="minorEastAsia" w:hAnsiTheme="minorEastAsia"/>
        </w:rPr>
        <w:t>1</w:t>
      </w:r>
      <w:r>
        <w:rPr>
          <w:rFonts w:hint="eastAsia" w:cs="仿宋" w:asciiTheme="minorEastAsia" w:hAnsiTheme="minorEastAsia"/>
        </w:rPr>
        <w:fldChar w:fldCharType="end"/>
      </w:r>
      <w:r>
        <w:rPr>
          <w:rFonts w:hint="eastAsia" w:cs="仿宋" w:asciiTheme="minorEastAsia" w:hAnsiTheme="minorEastAsia"/>
        </w:rPr>
        <w:t xml:space="preserve">  修复流程图</w:t>
      </w:r>
      <w:bookmarkEnd w:id="160"/>
    </w:p>
    <w:p>
      <w:pPr>
        <w:pStyle w:val="13"/>
        <w:spacing w:line="360" w:lineRule="auto"/>
        <w:ind w:firstLine="560" w:firstLineChars="200"/>
        <w:jc w:val="left"/>
        <w:rPr>
          <w:rFonts w:cs="仿宋" w:asciiTheme="minorEastAsia" w:hAnsiTheme="minorEastAsia"/>
          <w:bCs/>
          <w:sz w:val="28"/>
          <w:szCs w:val="28"/>
          <w:lang w:eastAsia="zh-Hans"/>
        </w:rPr>
      </w:pPr>
      <w:r>
        <w:rPr>
          <w:rFonts w:hint="eastAsia" w:cs="仿宋" w:asciiTheme="minorEastAsia" w:hAnsiTheme="minorEastAsia"/>
          <w:bCs/>
          <w:sz w:val="28"/>
          <w:szCs w:val="28"/>
          <w:lang w:eastAsia="zh-Hans"/>
        </w:rPr>
        <w:t>本项目实施单位进一步加强对保护对象的认知，在工程全面展开前，选择2件具有代表性的构件，依据方案进行修复和相关检测评估，以此为修复示例，邀请相关专家进行论证和评估，一致通过后，再行全面实施保护修复工作。</w:t>
      </w:r>
    </w:p>
    <w:p>
      <w:pPr>
        <w:spacing w:line="360" w:lineRule="auto"/>
        <w:ind w:left="420"/>
        <w:jc w:val="left"/>
        <w:rPr>
          <w:rFonts w:cs="仿宋" w:asciiTheme="minorEastAsia" w:hAnsiTheme="minorEastAsia" w:eastAsiaTheme="minorEastAsia"/>
          <w:b/>
          <w:sz w:val="28"/>
          <w:szCs w:val="28"/>
          <w:lang w:eastAsia="zh-Hans"/>
        </w:rPr>
      </w:pPr>
      <w:bookmarkStart w:id="161" w:name="_Toc72087921"/>
      <w:r>
        <w:rPr>
          <w:rFonts w:hint="eastAsia" w:cs="仿宋" w:asciiTheme="minorEastAsia" w:hAnsiTheme="minorEastAsia" w:eastAsiaTheme="minorEastAsia"/>
          <w:b/>
          <w:sz w:val="28"/>
          <w:szCs w:val="28"/>
        </w:rPr>
        <w:t>三、</w:t>
      </w:r>
      <w:r>
        <w:rPr>
          <w:rFonts w:hint="eastAsia" w:cs="仿宋" w:asciiTheme="minorEastAsia" w:hAnsiTheme="minorEastAsia" w:eastAsiaTheme="minorEastAsia"/>
          <w:b/>
          <w:sz w:val="28"/>
          <w:szCs w:val="28"/>
          <w:lang w:eastAsia="zh-Hans"/>
        </w:rPr>
        <w:t>彩绘颜料层的保护修复</w:t>
      </w:r>
      <w:bookmarkEnd w:id="161"/>
    </w:p>
    <w:p>
      <w:pPr>
        <w:pStyle w:val="6"/>
        <w:numPr>
          <w:ilvl w:val="3"/>
          <w:numId w:val="0"/>
        </w:numPr>
        <w:spacing w:before="0" w:after="0"/>
        <w:ind w:left="482"/>
        <w:jc w:val="center"/>
        <w:rPr>
          <w:rFonts w:cs="仿宋" w:asciiTheme="minorEastAsia" w:hAnsiTheme="minorEastAsia" w:eastAsiaTheme="minorEastAsia"/>
        </w:rPr>
      </w:pPr>
      <w:bookmarkStart w:id="162" w:name="_Toc11105"/>
      <w:r>
        <w:rPr>
          <w:rFonts w:hint="eastAsia" w:cs="仿宋" w:asciiTheme="minorEastAsia" w:hAnsiTheme="minorEastAsia" w:eastAsiaTheme="minorEastAsia"/>
        </w:rPr>
        <w:t>高清影像采集</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采用手工绘图、数码拍照、摄像、计算机作图技术，利用数码图像技术建立完善的彩画数字化信息系统，详细记录保护修复前原状，这些都作为石刻彩绘修复前的档案资料留存。在石刻彩绘保护过程中使用数码拍照、录像、文字记录等技术手段，完整记录保护施工工艺，作为保护档案留存。</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对需要保护的石刻进行系统的拍摄工作，单张精度在300 DPI以上。高清影像图采集时，需在泛光标准光源环境下进行。再将Color Checker 24 色彩色标板平放在采集区块表面拍摄泛光影像色彩校准文件，使用计算机软件分析影像数据，保证影像中白块上的R、G、B 各通道数值在220~240 之间，黑块上的R、G、B 各通道数值在30~45之间，完成色彩校正。</w:t>
      </w:r>
    </w:p>
    <w:p>
      <w:pPr>
        <w:pStyle w:val="6"/>
        <w:numPr>
          <w:ilvl w:val="3"/>
          <w:numId w:val="0"/>
        </w:numPr>
        <w:spacing w:before="0" w:after="0"/>
        <w:ind w:left="482"/>
        <w:jc w:val="center"/>
        <w:rPr>
          <w:rFonts w:cs="仿宋" w:asciiTheme="minorEastAsia" w:hAnsiTheme="minorEastAsia" w:eastAsiaTheme="minorEastAsia"/>
        </w:rPr>
      </w:pPr>
      <w:r>
        <w:rPr>
          <w:rFonts w:hint="eastAsia" w:cs="仿宋" w:asciiTheme="minorEastAsia" w:hAnsiTheme="minorEastAsia" w:eastAsiaTheme="minorEastAsia"/>
        </w:rPr>
        <w:t>高精度模型采集</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使用手持扫描仪对石质文物进行三维模型的高精度采集，在数据采集之前需要对仪器站点架设做好站点规划与设计工作。此类高精密测量仪器在作业时需特别注意测量距离、旋转角度等因素，为获取高质量的点云数据，扫描人员需要时刻听辨仪器作业警报声，以免超出作业限度，辅扫人员需要实时查看测绘数据的准确性及完整性，并及时反馈相关信息。</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外业所获取的点云数据在内业工作中进行相应的拼接和建模。根据不同目的与数据采集技术手段，制定相应的技术路线。数据处理过程严格秉持真实性和完整性原则，最大限度地反应和挖掘扫描对象的保存状况信息。</w:t>
      </w:r>
    </w:p>
    <w:p>
      <w:pPr>
        <w:pStyle w:val="5"/>
        <w:numPr>
          <w:ilvl w:val="2"/>
          <w:numId w:val="0"/>
        </w:numPr>
        <w:ind w:left="562"/>
        <w:jc w:val="center"/>
        <w:rPr>
          <w:rFonts w:cs="仿宋" w:asciiTheme="minorEastAsia" w:hAnsiTheme="minorEastAsia" w:eastAsiaTheme="minorEastAsia"/>
        </w:rPr>
      </w:pPr>
      <w:bookmarkStart w:id="163" w:name="_Toc72087923"/>
      <w:r>
        <w:rPr>
          <w:rFonts w:hint="eastAsia" w:cs="仿宋" w:asciiTheme="minorEastAsia" w:hAnsiTheme="minorEastAsia" w:eastAsiaTheme="minorEastAsia"/>
        </w:rPr>
        <w:t>取样分析</w:t>
      </w:r>
      <w:bookmarkEnd w:id="163"/>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采用现场调查及其样品分析相结合的手段，完成石刻工艺调查与记录工作，主要包括石质文物材质特征及其颜料的组成等分析检测工作。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XRF、显微镜、SEM-EDX、激光拉曼、薄片岩相、离子色谱、微生物鉴定等分析用于检测。</w:t>
      </w:r>
    </w:p>
    <w:p>
      <w:pPr>
        <w:pStyle w:val="295"/>
        <w:spacing w:before="0" w:beforeLines="0" w:after="0" w:afterLines="0"/>
        <w:ind w:firstLine="482"/>
        <w:rPr>
          <w:rFonts w:cs="仿宋" w:asciiTheme="minorEastAsia" w:hAnsiTheme="minorEastAsia" w:eastAsiaTheme="minorEastAsia"/>
          <w:sz w:val="28"/>
          <w:szCs w:val="28"/>
        </w:rPr>
      </w:pPr>
      <w:bookmarkStart w:id="164" w:name="_Toc49252236"/>
    </w:p>
    <w:p>
      <w:pPr>
        <w:pStyle w:val="295"/>
        <w:spacing w:before="0" w:beforeLines="0" w:after="0" w:afterLines="0"/>
        <w:ind w:firstLine="482"/>
        <w:rPr>
          <w:rFonts w:cs="仿宋" w:asciiTheme="minorEastAsia" w:hAnsiTheme="minorEastAsia" w:eastAsiaTheme="minorEastAsia"/>
          <w:sz w:val="28"/>
          <w:szCs w:val="28"/>
        </w:rPr>
      </w:pPr>
      <w:bookmarkStart w:id="165" w:name="_Toc70840875"/>
      <w:r>
        <w:rPr>
          <w:rFonts w:hint="eastAsia" w:cs="仿宋" w:asciiTheme="minorEastAsia" w:hAnsiTheme="minorEastAsia" w:eastAsiaTheme="minorEastAsia"/>
          <w:sz w:val="28"/>
          <w:szCs w:val="28"/>
        </w:rPr>
        <w:t xml:space="preserve"> 实验室分析检测统计表</w:t>
      </w:r>
      <w:bookmarkEnd w:id="164"/>
      <w:bookmarkEnd w:id="165"/>
    </w:p>
    <w:tbl>
      <w:tblPr>
        <w:tblStyle w:val="42"/>
        <w:tblW w:w="9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227"/>
        <w:gridCol w:w="851"/>
        <w:gridCol w:w="992"/>
        <w:gridCol w:w="257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序号</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类型</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单位</w:t>
            </w:r>
          </w:p>
        </w:tc>
        <w:tc>
          <w:tcPr>
            <w:tcW w:w="992"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数量</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用途</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1</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扫描电镜能谱分析</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小时</w:t>
            </w:r>
          </w:p>
        </w:tc>
        <w:tc>
          <w:tcPr>
            <w:tcW w:w="992"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15</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颜料、石材、金箔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2</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X射线衍射分析</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个</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15</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制作材料与工艺分析、现状记录</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颜料、石材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3</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激光拉曼分析</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个</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15</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颜料、石材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4</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显微镜</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小时</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250</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制作材料与工艺分析、病害、修复效果检查</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颜料、石材、金箔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5</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薄片岩相</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个</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5</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石材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6</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离子色谱</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个</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15</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病害、修复效果检验</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6"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7</w:t>
            </w:r>
          </w:p>
        </w:tc>
        <w:tc>
          <w:tcPr>
            <w:tcW w:w="2227"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色差仪</w:t>
            </w:r>
          </w:p>
        </w:tc>
        <w:tc>
          <w:tcPr>
            <w:tcW w:w="851"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小时</w:t>
            </w:r>
          </w:p>
        </w:tc>
        <w:tc>
          <w:tcPr>
            <w:tcW w:w="992" w:type="dxa"/>
            <w:tcBorders>
              <w:top w:val="single" w:color="auto" w:sz="4" w:space="0"/>
              <w:left w:val="single" w:color="auto" w:sz="4" w:space="0"/>
              <w:bottom w:val="single" w:color="auto" w:sz="4" w:space="0"/>
              <w:right w:val="single" w:color="auto" w:sz="4" w:space="0"/>
            </w:tcBorders>
          </w:tcPr>
          <w:p>
            <w:pPr>
              <w:pStyle w:val="296"/>
              <w:rPr>
                <w:rFonts w:cs="仿宋" w:asciiTheme="minorEastAsia" w:hAnsiTheme="minorEastAsia"/>
              </w:rPr>
            </w:pPr>
            <w:r>
              <w:rPr>
                <w:rFonts w:hint="eastAsia" w:cs="仿宋" w:asciiTheme="minorEastAsia" w:hAnsiTheme="minorEastAsia"/>
              </w:rPr>
              <w:t>250</w:t>
            </w:r>
          </w:p>
        </w:tc>
        <w:tc>
          <w:tcPr>
            <w:tcW w:w="2573"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制作材料与工艺分析、病害、修复效果检查</w:t>
            </w:r>
          </w:p>
        </w:tc>
        <w:tc>
          <w:tcPr>
            <w:tcW w:w="2115" w:type="dxa"/>
            <w:tcBorders>
              <w:top w:val="single" w:color="auto" w:sz="4" w:space="0"/>
              <w:left w:val="single" w:color="auto" w:sz="4" w:space="0"/>
              <w:bottom w:val="single" w:color="auto" w:sz="4" w:space="0"/>
              <w:right w:val="single" w:color="auto" w:sz="4" w:space="0"/>
            </w:tcBorders>
            <w:vAlign w:val="center"/>
          </w:tcPr>
          <w:p>
            <w:pPr>
              <w:pStyle w:val="296"/>
              <w:rPr>
                <w:rFonts w:cs="仿宋" w:asciiTheme="minorEastAsia" w:hAnsiTheme="minorEastAsia"/>
              </w:rPr>
            </w:pPr>
            <w:r>
              <w:rPr>
                <w:rFonts w:hint="eastAsia" w:cs="仿宋" w:asciiTheme="minorEastAsia" w:hAnsiTheme="minorEastAsia"/>
              </w:rPr>
              <w:t>颜料、石材、金箔</w:t>
            </w:r>
          </w:p>
        </w:tc>
      </w:tr>
    </w:tbl>
    <w:p>
      <w:pPr>
        <w:ind w:firstLine="480"/>
        <w:rPr>
          <w:rFonts w:cs="仿宋" w:asciiTheme="minorEastAsia" w:hAnsiTheme="minorEastAsia" w:eastAsiaTheme="minorEastAsia"/>
        </w:rPr>
      </w:pPr>
    </w:p>
    <w:p>
      <w:pPr>
        <w:ind w:firstLine="480"/>
        <w:rPr>
          <w:rFonts w:cs="仿宋" w:asciiTheme="minorEastAsia" w:hAnsiTheme="minorEastAsia" w:eastAsiaTheme="minorEastAsia"/>
        </w:rPr>
      </w:pPr>
    </w:p>
    <w:p>
      <w:pPr>
        <w:pStyle w:val="5"/>
        <w:numPr>
          <w:ilvl w:val="2"/>
          <w:numId w:val="0"/>
        </w:numPr>
        <w:ind w:left="562"/>
        <w:jc w:val="center"/>
        <w:rPr>
          <w:rFonts w:cs="仿宋" w:asciiTheme="minorEastAsia" w:hAnsiTheme="minorEastAsia" w:eastAsiaTheme="minorEastAsia"/>
        </w:rPr>
      </w:pPr>
      <w:bookmarkStart w:id="166" w:name="_Toc72087924"/>
      <w:r>
        <w:rPr>
          <w:rFonts w:hint="eastAsia" w:cs="仿宋" w:asciiTheme="minorEastAsia" w:hAnsiTheme="minorEastAsia" w:eastAsiaTheme="minorEastAsia"/>
        </w:rPr>
        <w:t>污染物清除</w:t>
      </w:r>
      <w:bookmarkEnd w:id="162"/>
      <w:bookmarkEnd w:id="166"/>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（1）清洁要求</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1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①</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清除</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表面有害附积及污染物，采用物理和化学相结合的工程技术措施。</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2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②</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清洗以清除表面病害及有害污染物为目的，清洗是在保证颜料层安全性和稳定性前提下，还原彩绘的原貌和真实性。清洗是加固的前提、基础，目的是避免将污染物加固于</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表层，影响</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表面的呼吸性能，避免保护性破坏的出现。</w:t>
      </w:r>
    </w:p>
    <w:p>
      <w:pPr>
        <w:ind w:firstLine="560" w:firstLineChars="200"/>
        <w:rPr>
          <w:rStyle w:val="297"/>
          <w:rFonts w:hint="default"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3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③</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清洗程度要适度，清洗前后效果反差不能太大，保证</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清洗后整体外貌的协调性。</w:t>
      </w:r>
      <w:r>
        <w:rPr>
          <w:rFonts w:hint="eastAsia" w:cs="仿宋" w:asciiTheme="minorEastAsia" w:hAnsiTheme="minorEastAsia" w:eastAsiaTheme="minorEastAsia"/>
          <w:sz w:val="28"/>
          <w:szCs w:val="28"/>
        </w:rPr>
        <w:br w:type="textWrapping"/>
      </w:r>
      <w:r>
        <w:rPr>
          <w:rFonts w:hint="eastAsia" w:cs="仿宋" w:asciiTheme="minorEastAsia" w:hAnsiTheme="minorEastAsia" w:eastAsiaTheme="minorEastAsia"/>
          <w:sz w:val="28"/>
          <w:szCs w:val="28"/>
        </w:rPr>
        <w:t xml:space="preserve">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清洗的范围主要包括表面钙质土垢、微生物等有害污染物。较难清除的污染物，避免清除时对</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造成较大损害，不进行清除，只清除无</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区域，使</w:t>
      </w:r>
      <w:r>
        <w:rPr>
          <w:rStyle w:val="297"/>
          <w:rFonts w:hint="default" w:cs="仿宋" w:asciiTheme="minorEastAsia" w:hAnsiTheme="minorEastAsia" w:eastAsiaTheme="minorEastAsia"/>
          <w:sz w:val="28"/>
          <w:szCs w:val="28"/>
        </w:rPr>
        <w:t>石刻彩绘</w:t>
      </w:r>
      <w:r>
        <w:rPr>
          <w:rFonts w:hint="eastAsia" w:cs="仿宋" w:asciiTheme="minorEastAsia" w:hAnsiTheme="minorEastAsia" w:eastAsiaTheme="minorEastAsia"/>
          <w:sz w:val="28"/>
          <w:szCs w:val="28"/>
        </w:rPr>
        <w:t>图案突显。</w:t>
      </w:r>
      <w:r>
        <w:rPr>
          <w:rFonts w:hint="eastAsia" w:cs="仿宋" w:asciiTheme="minorEastAsia" w:hAnsiTheme="minorEastAsia" w:eastAsiaTheme="minorEastAsia"/>
          <w:sz w:val="28"/>
          <w:szCs w:val="28"/>
        </w:rPr>
        <w:br w:type="textWrapping"/>
      </w:r>
      <w:r>
        <w:rPr>
          <w:rStyle w:val="297"/>
          <w:rFonts w:hint="default" w:cs="仿宋" w:asciiTheme="minorEastAsia" w:hAnsiTheme="minorEastAsia" w:eastAsiaTheme="minorEastAsia"/>
          <w:sz w:val="28"/>
          <w:szCs w:val="28"/>
        </w:rPr>
        <w:t xml:space="preserve">    </w:t>
      </w:r>
      <w:r>
        <w:rPr>
          <w:rStyle w:val="297"/>
          <w:rFonts w:hint="default" w:cs="仿宋" w:asciiTheme="minorEastAsia" w:hAnsiTheme="minorEastAsia" w:eastAsiaTheme="minorEastAsia"/>
          <w:sz w:val="28"/>
          <w:szCs w:val="28"/>
        </w:rPr>
        <w:fldChar w:fldCharType="begin"/>
      </w:r>
      <w:r>
        <w:rPr>
          <w:rStyle w:val="297"/>
          <w:rFonts w:hint="default" w:cs="仿宋" w:asciiTheme="minorEastAsia" w:hAnsiTheme="minorEastAsia" w:eastAsiaTheme="minorEastAsia"/>
          <w:sz w:val="28"/>
          <w:szCs w:val="28"/>
        </w:rPr>
        <w:instrText xml:space="preserve"> = 5 \* GB3 </w:instrText>
      </w:r>
      <w:r>
        <w:rPr>
          <w:rStyle w:val="297"/>
          <w:rFonts w:hint="default" w:cs="仿宋" w:asciiTheme="minorEastAsia" w:hAnsiTheme="minorEastAsia" w:eastAsiaTheme="minorEastAsia"/>
          <w:sz w:val="28"/>
          <w:szCs w:val="28"/>
        </w:rPr>
        <w:fldChar w:fldCharType="separate"/>
      </w:r>
      <w:r>
        <w:rPr>
          <w:rStyle w:val="297"/>
          <w:rFonts w:hint="default" w:cs="仿宋" w:asciiTheme="minorEastAsia" w:hAnsiTheme="minorEastAsia" w:eastAsiaTheme="minorEastAsia"/>
          <w:sz w:val="28"/>
          <w:szCs w:val="28"/>
        </w:rPr>
        <w:t>⑤</w:t>
      </w:r>
      <w:r>
        <w:rPr>
          <w:rStyle w:val="297"/>
          <w:rFonts w:hint="default" w:cs="仿宋" w:asciiTheme="minorEastAsia" w:hAnsiTheme="minorEastAsia" w:eastAsiaTheme="minorEastAsia"/>
          <w:sz w:val="28"/>
          <w:szCs w:val="28"/>
        </w:rPr>
        <w:fldChar w:fldCharType="end"/>
      </w:r>
      <w:r>
        <w:rPr>
          <w:rStyle w:val="297"/>
          <w:rFonts w:hint="default" w:cs="仿宋" w:asciiTheme="minorEastAsia" w:hAnsiTheme="minorEastAsia" w:eastAsiaTheme="minorEastAsia"/>
          <w:sz w:val="28"/>
          <w:szCs w:val="28"/>
        </w:rPr>
        <w:t>清洁程序中的每一个步骤都是可控制的、渐进的与有选择性的。</w:t>
      </w:r>
    </w:p>
    <w:p>
      <w:pPr>
        <w:ind w:firstLine="281" w:firstLineChars="1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（2）清洁工程</w:t>
      </w:r>
    </w:p>
    <w:p>
      <w:pPr>
        <w:ind w:firstLine="560" w:firstLineChars="200"/>
        <w:rPr>
          <w:rStyle w:val="298"/>
          <w:rFonts w:cs="仿宋" w:asciiTheme="minorEastAsia" w:hAnsiTheme="minorEastAsia" w:eastAsiaTheme="minorEastAsia"/>
          <w:sz w:val="28"/>
          <w:szCs w:val="28"/>
        </w:rPr>
      </w:pPr>
      <w:r>
        <w:rPr>
          <w:rStyle w:val="297"/>
          <w:rFonts w:hint="default" w:cs="仿宋" w:asciiTheme="minorEastAsia" w:hAnsiTheme="minorEastAsia" w:eastAsiaTheme="minorEastAsia"/>
          <w:bCs/>
          <w:sz w:val="28"/>
          <w:szCs w:val="28"/>
        </w:rPr>
        <w:t>清洁材料：</w:t>
      </w:r>
      <w:r>
        <w:rPr>
          <w:rFonts w:hint="eastAsia" w:cs="仿宋" w:asciiTheme="minorEastAsia" w:hAnsiTheme="minorEastAsia" w:eastAsiaTheme="minorEastAsia"/>
          <w:color w:val="000000"/>
          <w:sz w:val="28"/>
          <w:szCs w:val="28"/>
        </w:rPr>
        <w:t>软毛刷、手术刀、去离子水。</w:t>
      </w:r>
      <w:r>
        <w:rPr>
          <w:rFonts w:hint="eastAsia" w:cs="仿宋" w:asciiTheme="minorEastAsia" w:hAnsiTheme="minorEastAsia" w:eastAsiaTheme="minorEastAsia"/>
          <w:color w:val="000000"/>
          <w:sz w:val="28"/>
          <w:szCs w:val="28"/>
        </w:rPr>
        <w:br w:type="textWrapping"/>
      </w:r>
      <w:r>
        <w:rPr>
          <w:rStyle w:val="297"/>
          <w:rFonts w:hint="default" w:cs="仿宋" w:asciiTheme="minorEastAsia" w:hAnsiTheme="minorEastAsia" w:eastAsiaTheme="minorEastAsia"/>
          <w:sz w:val="28"/>
          <w:szCs w:val="28"/>
        </w:rPr>
        <w:t xml:space="preserve">    </w:t>
      </w:r>
      <w:r>
        <w:rPr>
          <w:rStyle w:val="297"/>
          <w:rFonts w:hint="default" w:cs="仿宋" w:asciiTheme="minorEastAsia" w:hAnsiTheme="minorEastAsia" w:eastAsiaTheme="minorEastAsia"/>
          <w:bCs/>
          <w:sz w:val="28"/>
          <w:szCs w:val="28"/>
        </w:rPr>
        <w:t>清洁工艺：</w:t>
      </w:r>
      <w:r>
        <w:rPr>
          <w:rFonts w:hint="eastAsia" w:cs="仿宋" w:asciiTheme="minorEastAsia" w:hAnsiTheme="minorEastAsia" w:eastAsiaTheme="minorEastAsia"/>
          <w:bCs/>
          <w:color w:val="000000"/>
          <w:sz w:val="28"/>
          <w:szCs w:val="28"/>
        </w:rPr>
        <w:br w:type="textWrapping"/>
      </w:r>
      <w:r>
        <w:rPr>
          <w:rStyle w:val="298"/>
          <w:rFonts w:hint="eastAsia" w:cs="仿宋" w:asciiTheme="minorEastAsia" w:hAnsiTheme="minorEastAsia" w:eastAsiaTheme="minorEastAsia"/>
          <w:sz w:val="28"/>
          <w:szCs w:val="28"/>
        </w:rPr>
        <w:t xml:space="preserve">    ①</w:t>
      </w:r>
      <w:r>
        <w:rPr>
          <w:rStyle w:val="297"/>
          <w:rFonts w:hint="default" w:cs="仿宋" w:asciiTheme="minorEastAsia" w:hAnsiTheme="minorEastAsia" w:eastAsiaTheme="minorEastAsia"/>
          <w:sz w:val="28"/>
          <w:szCs w:val="28"/>
        </w:rPr>
        <w:t>预清理</w:t>
      </w:r>
      <w:r>
        <w:rPr>
          <w:rFonts w:hint="eastAsia" w:cs="仿宋" w:asciiTheme="minorEastAsia" w:hAnsiTheme="minorEastAsia" w:eastAsiaTheme="minorEastAsia"/>
          <w:color w:val="000000"/>
          <w:sz w:val="28"/>
          <w:szCs w:val="28"/>
        </w:rPr>
        <w:t>：</w:t>
      </w:r>
      <w:r>
        <w:rPr>
          <w:rStyle w:val="297"/>
          <w:rFonts w:hint="default" w:cs="仿宋" w:asciiTheme="minorEastAsia" w:hAnsiTheme="minorEastAsia" w:eastAsiaTheme="minorEastAsia"/>
          <w:sz w:val="28"/>
          <w:szCs w:val="28"/>
        </w:rPr>
        <w:t>先用毛刷、手术刀和牙科工具将其表面积聚的泥土和生物遗骸等清除掉，由于这些污染物的附着力不强，用此方法可去除大部分表面污染物。</w:t>
      </w:r>
      <w:r>
        <w:rPr>
          <w:rFonts w:hint="eastAsia" w:cs="仿宋" w:asciiTheme="minorEastAsia" w:hAnsiTheme="minorEastAsia" w:eastAsiaTheme="minorEastAsia"/>
          <w:color w:val="000000"/>
          <w:sz w:val="28"/>
          <w:szCs w:val="28"/>
        </w:rPr>
        <w:br w:type="textWrapping"/>
      </w:r>
      <w:r>
        <w:rPr>
          <w:rStyle w:val="298"/>
          <w:rFonts w:hint="eastAsia" w:cs="仿宋" w:asciiTheme="minorEastAsia" w:hAnsiTheme="minorEastAsia" w:eastAsiaTheme="minorEastAsia"/>
          <w:sz w:val="28"/>
          <w:szCs w:val="28"/>
        </w:rPr>
        <w:t xml:space="preserve">    ②</w:t>
      </w:r>
      <w:r>
        <w:rPr>
          <w:rStyle w:val="297"/>
          <w:rFonts w:hint="default" w:cs="仿宋" w:asciiTheme="minorEastAsia" w:hAnsiTheme="minorEastAsia" w:eastAsiaTheme="minorEastAsia"/>
          <w:sz w:val="28"/>
          <w:szCs w:val="28"/>
        </w:rPr>
        <w:t>水清洗法</w:t>
      </w:r>
      <w:r>
        <w:rPr>
          <w:rFonts w:hint="eastAsia" w:cs="仿宋" w:asciiTheme="minorEastAsia" w:hAnsiTheme="minorEastAsia" w:eastAsiaTheme="minorEastAsia"/>
          <w:color w:val="000000"/>
          <w:sz w:val="28"/>
          <w:szCs w:val="28"/>
        </w:rPr>
        <w:t>：</w:t>
      </w:r>
      <w:r>
        <w:rPr>
          <w:rStyle w:val="297"/>
          <w:rFonts w:hint="default" w:cs="仿宋" w:asciiTheme="minorEastAsia" w:hAnsiTheme="minorEastAsia" w:eastAsiaTheme="minorEastAsia"/>
          <w:sz w:val="28"/>
          <w:szCs w:val="28"/>
        </w:rPr>
        <w:t>用喷雾器喷雾化水润湿表面污染物，待污染物完全润湿后，再用毛刷蘸取去离子水清除表面的污染物，边清洗边用吸水纸或吸水吸尘器除去多余的水分，防止水分渗入岩石内。</w:t>
      </w:r>
      <w:r>
        <w:rPr>
          <w:rFonts w:hint="eastAsia" w:cs="仿宋" w:asciiTheme="minorEastAsia" w:hAnsiTheme="minorEastAsia" w:eastAsiaTheme="minorEastAsia"/>
          <w:color w:val="000000"/>
          <w:sz w:val="28"/>
          <w:szCs w:val="28"/>
        </w:rPr>
        <w:br w:type="textWrapping"/>
      </w:r>
      <w:r>
        <w:rPr>
          <w:rStyle w:val="298"/>
          <w:rFonts w:hint="eastAsia" w:cs="仿宋" w:asciiTheme="minorEastAsia" w:hAnsiTheme="minorEastAsia" w:eastAsiaTheme="minorEastAsia"/>
          <w:sz w:val="28"/>
          <w:szCs w:val="28"/>
        </w:rPr>
        <w:t xml:space="preserve">    ③</w:t>
      </w:r>
      <w:r>
        <w:rPr>
          <w:rStyle w:val="297"/>
          <w:rFonts w:hint="default" w:cs="仿宋" w:asciiTheme="minorEastAsia" w:hAnsiTheme="minorEastAsia" w:eastAsiaTheme="minorEastAsia"/>
          <w:sz w:val="28"/>
          <w:szCs w:val="28"/>
        </w:rPr>
        <w:t>蒸汽清洗法</w:t>
      </w:r>
      <w:r>
        <w:rPr>
          <w:rFonts w:hint="eastAsia" w:cs="仿宋" w:asciiTheme="minorEastAsia" w:hAnsiTheme="minorEastAsia" w:eastAsiaTheme="minorEastAsia"/>
          <w:color w:val="000000"/>
          <w:sz w:val="28"/>
          <w:szCs w:val="28"/>
        </w:rPr>
        <w:t>：</w:t>
      </w:r>
      <w:r>
        <w:rPr>
          <w:rStyle w:val="297"/>
          <w:rFonts w:hint="default" w:cs="仿宋" w:asciiTheme="minorEastAsia" w:hAnsiTheme="minorEastAsia" w:eastAsiaTheme="minorEastAsia"/>
          <w:sz w:val="28"/>
          <w:szCs w:val="28"/>
        </w:rPr>
        <w:t>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b/>
          <w:sz w:val="28"/>
          <w:szCs w:val="28"/>
        </w:rPr>
        <w:t xml:space="preserve">    （3）清洁注意事项</w:t>
      </w:r>
      <w:r>
        <w:rPr>
          <w:rFonts w:hint="eastAsia" w:cs="仿宋" w:asciiTheme="minorEastAsia" w:hAnsiTheme="minorEastAsia" w:eastAsiaTheme="minorEastAsia"/>
          <w:bCs/>
          <w:sz w:val="28"/>
          <w:szCs w:val="28"/>
        </w:rPr>
        <w:br w:type="textWrapping"/>
      </w:r>
      <w:r>
        <w:rPr>
          <w:rStyle w:val="298"/>
          <w:rFonts w:hint="eastAsia" w:cs="仿宋" w:asciiTheme="minorEastAsia" w:hAnsiTheme="minorEastAsia" w:eastAsiaTheme="minorEastAsia"/>
          <w:sz w:val="28"/>
          <w:szCs w:val="28"/>
        </w:rPr>
        <w:t xml:space="preserve">    ①受渗水、凝结水和微生物等影响，有的污染物与</w:t>
      </w:r>
      <w:r>
        <w:rPr>
          <w:rStyle w:val="297"/>
          <w:rFonts w:hint="default" w:cs="仿宋" w:asciiTheme="minorEastAsia" w:hAnsiTheme="minorEastAsia" w:eastAsiaTheme="minorEastAsia"/>
          <w:sz w:val="28"/>
          <w:szCs w:val="28"/>
        </w:rPr>
        <w:t>石刻彩绘</w:t>
      </w:r>
      <w:r>
        <w:rPr>
          <w:rStyle w:val="298"/>
          <w:rFonts w:hint="eastAsia" w:cs="仿宋" w:asciiTheme="minorEastAsia" w:hAnsiTheme="minorEastAsia" w:eastAsiaTheme="minorEastAsia"/>
          <w:sz w:val="28"/>
          <w:szCs w:val="28"/>
        </w:rPr>
        <w:t>颜料层结合较紧密， 清洗时注意适度，把握好清洗程度，清洗在保证</w:t>
      </w:r>
      <w:r>
        <w:rPr>
          <w:rStyle w:val="297"/>
          <w:rFonts w:hint="default" w:cs="仿宋" w:asciiTheme="minorEastAsia" w:hAnsiTheme="minorEastAsia" w:eastAsiaTheme="minorEastAsia"/>
          <w:sz w:val="28"/>
          <w:szCs w:val="28"/>
        </w:rPr>
        <w:t>石刻彩绘</w:t>
      </w:r>
      <w:r>
        <w:rPr>
          <w:rStyle w:val="298"/>
          <w:rFonts w:hint="eastAsia" w:cs="仿宋" w:asciiTheme="minorEastAsia" w:hAnsiTheme="minorEastAsia" w:eastAsiaTheme="minorEastAsia"/>
          <w:sz w:val="28"/>
          <w:szCs w:val="28"/>
        </w:rPr>
        <w:t>颜料安全和稳定的条件下进行，其总体色调不宜过新， 清洗到与周边石刻彩绘颜色相协调即可。</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②清洗</w:t>
      </w:r>
      <w:r>
        <w:rPr>
          <w:rStyle w:val="297"/>
          <w:rFonts w:hint="default" w:cs="仿宋" w:asciiTheme="minorEastAsia" w:hAnsiTheme="minorEastAsia" w:eastAsiaTheme="minorEastAsia"/>
          <w:sz w:val="28"/>
          <w:szCs w:val="28"/>
        </w:rPr>
        <w:t>石刻彩绘</w:t>
      </w:r>
      <w:r>
        <w:rPr>
          <w:rStyle w:val="298"/>
          <w:rFonts w:hint="eastAsia" w:cs="仿宋" w:asciiTheme="minorEastAsia" w:hAnsiTheme="minorEastAsia" w:eastAsiaTheme="minorEastAsia"/>
          <w:sz w:val="28"/>
          <w:szCs w:val="28"/>
        </w:rPr>
        <w:t>污染物区域时，对无污染物区域用塑料布和纱布进行遮档，清洗时纱布定时进行更换，避免清洗下的黑色污染物等造成二次污染。</w:t>
      </w:r>
    </w:p>
    <w:p>
      <w:pPr>
        <w:pStyle w:val="295"/>
        <w:spacing w:before="0" w:beforeLines="0" w:after="0" w:afterLines="0"/>
        <w:rPr>
          <w:rStyle w:val="298"/>
          <w:rFonts w:cs="仿宋" w:asciiTheme="minorEastAsia" w:hAnsiTheme="minorEastAsia" w:eastAsiaTheme="minorEastAsia"/>
          <w:color w:val="auto"/>
          <w:sz w:val="28"/>
          <w:szCs w:val="28"/>
        </w:rPr>
      </w:pPr>
      <w:bookmarkStart w:id="167" w:name="_Toc70840876"/>
      <w:r>
        <w:rPr>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color w:val="auto"/>
          <w:sz w:val="28"/>
          <w:szCs w:val="28"/>
        </w:rPr>
        <w:t>污染物清除位置与面积</w:t>
      </w:r>
      <w:bookmarkEnd w:id="167"/>
    </w:p>
    <w:tbl>
      <w:tblPr>
        <w:tblStyle w:val="43"/>
        <w:tblW w:w="9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2"/>
        <w:gridCol w:w="1417"/>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6692"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石刻彩绘编号</w:t>
            </w:r>
          </w:p>
        </w:tc>
        <w:tc>
          <w:tcPr>
            <w:tcW w:w="14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范围（平方米/米）</w:t>
            </w:r>
          </w:p>
        </w:tc>
        <w:tc>
          <w:tcPr>
            <w:tcW w:w="1440"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92"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BM4-HM-C-4、BM4-QM-A-2、BM9-QS-A-4、BM4-QM-B-12、BM4-QM-C-9、BM4-QM-C-14、BM4-QM-E-1、BM4-QS-A-1、BM4-QS-A-2、BM4-QS-A-3、BM4-ZS-A-2、BM4-ZS-A-3、BM4-ZS-A-4、BM9-HS-B-6、BM9-HS-C-9、BM9-QS-A-2、BM9-QS-A-3、BM2-QS-A-4、BM2-QS-A-5、BM9-QS-B-8、BM9-QS-B-9、BM9-QS-C-11、BM9-ZS-C-12、BM9-QS-C-10、BM9-ZS-B-10、BM9-ZS-A-2、BM9-ZS-A-3、BM9-ZS-A-4、BM3-HM-E-11、BM3-HS-F-18、BM4-HS-F-21、BM4-QM-B-15、BM4-ZM-B-3、BM4-ZM-C-5、CM2-HS-F-22、BM2-QS-A-2、BM2-QS-A-3、BM2-ZM-A-1</w:t>
            </w:r>
          </w:p>
        </w:tc>
        <w:tc>
          <w:tcPr>
            <w:tcW w:w="1417" w:type="dxa"/>
            <w:vAlign w:val="center"/>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szCs w:val="21"/>
              </w:rPr>
              <w:t xml:space="preserve">128.92 </w:t>
            </w:r>
          </w:p>
        </w:tc>
        <w:tc>
          <w:tcPr>
            <w:tcW w:w="1440"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软毛刷、手术刀、去离子水</w:t>
            </w:r>
          </w:p>
        </w:tc>
      </w:tr>
    </w:tbl>
    <w:p>
      <w:pPr>
        <w:pStyle w:val="5"/>
        <w:numPr>
          <w:ilvl w:val="2"/>
          <w:numId w:val="0"/>
        </w:numPr>
        <w:ind w:left="-630" w:leftChars="-300" w:firstLine="3654" w:firstLineChars="1300"/>
        <w:rPr>
          <w:rFonts w:cs="仿宋" w:asciiTheme="minorEastAsia" w:hAnsiTheme="minorEastAsia" w:eastAsiaTheme="minorEastAsia"/>
        </w:rPr>
      </w:pPr>
      <w:bookmarkStart w:id="168" w:name="_Toc72087925"/>
      <w:bookmarkStart w:id="169" w:name="_Toc30038"/>
      <w:r>
        <w:rPr>
          <w:rFonts w:hint="eastAsia" w:cs="仿宋" w:asciiTheme="minorEastAsia" w:hAnsiTheme="minorEastAsia" w:eastAsiaTheme="minorEastAsia"/>
        </w:rPr>
        <w:t>微生物病害治理</w:t>
      </w:r>
      <w:bookmarkEnd w:id="168"/>
      <w:bookmarkEnd w:id="169"/>
    </w:p>
    <w:p>
      <w:pPr>
        <w:ind w:firstLine="481"/>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b/>
          <w:bCs/>
          <w:sz w:val="28"/>
          <w:szCs w:val="28"/>
        </w:rPr>
        <w:t>（1）施工工艺</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①用饱吸0.5‰杀菌剂的化妆棉贴敷菌斑2h或 1‰P91 的化妆棉贴敷菌斑 2h；</w:t>
      </w:r>
      <w:r>
        <w:rPr>
          <w:rStyle w:val="298"/>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Style w:val="298"/>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0.5‰杀菌剂的化妆棉贴敷菌斑 或 1‰P91 轻轻擦刷菌斑；</w:t>
      </w:r>
      <w:r>
        <w:rPr>
          <w:rStyle w:val="298"/>
          <w:rFonts w:hint="eastAsia" w:cs="仿宋" w:asciiTheme="minorEastAsia" w:hAnsiTheme="minorEastAsia" w:eastAsiaTheme="minorEastAsia"/>
          <w:color w:val="0000FF"/>
          <w:sz w:val="28"/>
          <w:szCs w:val="28"/>
        </w:rPr>
        <w:br w:type="textWrapping"/>
      </w:r>
      <w:r>
        <w:rPr>
          <w:rStyle w:val="298"/>
          <w:rFonts w:hint="eastAsia" w:cs="仿宋" w:asciiTheme="minorEastAsia" w:hAnsiTheme="minorEastAsia" w:eastAsiaTheme="minorEastAsia"/>
          <w:sz w:val="28"/>
          <w:szCs w:val="28"/>
        </w:rPr>
        <w:t xml:space="preserve">    ③去除菌斑后，用注射器喷水并结合排笔、化妆棉等擦洗，以尽量清除残余药剂。</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b/>
          <w:bCs/>
          <w:sz w:val="28"/>
          <w:szCs w:val="28"/>
        </w:rPr>
        <w:t xml:space="preserve">   （2）注意事项</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①用于擦拭菌斑的工具，如排笔、棉签、化妆棉、水等，均须消毒或灭菌，工作人员应尽可能穿灭菌超净服，佩戴一次性手套、口罩，以及经消毒处理的防护眼镜等。</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②为避免抗性菌株的富集，处理菌斑时，应尽量缩小抑菌剂使用范围，并在抑菌剂作用有效时间后，及时清除；通过取样检测药剂残留情况，决定清洗次数。</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③由于菌害与人关系密切，其清除之后，必须对进入博物馆的工作人员、游客等的数量、时间、服装加以控制，方可能使治理效果维持较长时间。</w:t>
      </w:r>
    </w:p>
    <w:p>
      <w:pPr>
        <w:pStyle w:val="295"/>
        <w:spacing w:before="0" w:beforeLines="0" w:after="0" w:afterLines="0"/>
        <w:rPr>
          <w:rStyle w:val="298"/>
          <w:rFonts w:cs="仿宋" w:asciiTheme="minorEastAsia" w:hAnsiTheme="minorEastAsia" w:eastAsiaTheme="minorEastAsia"/>
          <w:color w:val="auto"/>
          <w:sz w:val="28"/>
          <w:szCs w:val="28"/>
        </w:rPr>
      </w:pPr>
      <w:bookmarkStart w:id="170" w:name="_Toc70840877"/>
      <w:r>
        <w:rPr>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color w:val="auto"/>
          <w:sz w:val="28"/>
          <w:szCs w:val="28"/>
        </w:rPr>
        <w:t>微生物病害治理位置与面积</w:t>
      </w:r>
      <w:bookmarkEnd w:id="170"/>
    </w:p>
    <w:tbl>
      <w:tblPr>
        <w:tblStyle w:val="43"/>
        <w:tblW w:w="9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9"/>
        <w:gridCol w:w="15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989" w:type="dxa"/>
            <w:vAlign w:val="center"/>
          </w:tcPr>
          <w:p>
            <w:pPr>
              <w:jc w:val="center"/>
              <w:rPr>
                <w:rFonts w:cs="仿宋" w:asciiTheme="minorEastAsia" w:hAnsiTheme="minorEastAsia" w:eastAsiaTheme="minorEastAsia"/>
                <w:b/>
                <w:bCs/>
                <w:szCs w:val="21"/>
              </w:rPr>
            </w:pPr>
            <w:r>
              <w:rPr>
                <w:rFonts w:hint="eastAsia" w:cs="仿宋" w:asciiTheme="minorEastAsia" w:hAnsiTheme="minorEastAsia" w:eastAsiaTheme="minorEastAsia"/>
                <w:szCs w:val="21"/>
              </w:rPr>
              <w:t>石刻彩绘编号</w:t>
            </w:r>
          </w:p>
        </w:tc>
        <w:tc>
          <w:tcPr>
            <w:tcW w:w="1595" w:type="dxa"/>
            <w:vAlign w:val="center"/>
          </w:tcPr>
          <w:p>
            <w:pPr>
              <w:rPr>
                <w:rFonts w:cs="仿宋" w:asciiTheme="minorEastAsia" w:hAnsiTheme="minorEastAsia" w:eastAsiaTheme="minorEastAsia"/>
                <w:b/>
                <w:bCs/>
                <w:szCs w:val="21"/>
              </w:rPr>
            </w:pPr>
            <w:r>
              <w:rPr>
                <w:rFonts w:hint="eastAsia" w:cs="仿宋" w:asciiTheme="minorEastAsia" w:hAnsiTheme="minorEastAsia" w:eastAsiaTheme="minorEastAsia"/>
                <w:szCs w:val="21"/>
              </w:rPr>
              <w:t>范围（平方米/米）</w:t>
            </w:r>
          </w:p>
        </w:tc>
        <w:tc>
          <w:tcPr>
            <w:tcW w:w="1800" w:type="dxa"/>
            <w:vAlign w:val="center"/>
          </w:tcPr>
          <w:p>
            <w:pPr>
              <w:jc w:val="center"/>
              <w:rPr>
                <w:rFonts w:cs="仿宋" w:asciiTheme="minorEastAsia" w:hAnsiTheme="minorEastAsia" w:eastAsiaTheme="minorEastAsia"/>
                <w:b/>
                <w:bCs/>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89"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BM4-QM-A-2、BM4-QM-B-12、BM4-QM-C-9、BM4-QM-E-1、BM4-QS-A-2、BM4-QS-A-3、BM4-ZS-A-2、BM4-ZS-A-3、BM4-ZS-A-4、BM9-HS-B-6、BM9-HS-C-9、BM9-QS-A-2、BM9-QS-A-3、BM2-QS-A-4、BM2-QS-A-5、BM9-QS-B-8、BM9-QS-B-9、BM9-QS-C-11、BM9-ZS-C-12、BM9-QS-C-10、BM9-ZS-B-10、BM9-ZS-A-2、BM9-ZS-A-3、BM9-ZS-A-4、BM3-HM-E-11、BM3-HS-F-18、BM4-HS-F-21、BM4-ZM-C-5、CM2-HS-F-22、BM2-QS-A-2、BM2-QS-A-3、BM2-ZM-A-1</w:t>
            </w:r>
          </w:p>
        </w:tc>
        <w:tc>
          <w:tcPr>
            <w:tcW w:w="1595"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 xml:space="preserve">15.91 </w:t>
            </w:r>
          </w:p>
        </w:tc>
        <w:tc>
          <w:tcPr>
            <w:tcW w:w="1800"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化妆棉、注射器、排笔、棉</w:t>
            </w:r>
            <w:r>
              <w:rPr>
                <w:rFonts w:hint="eastAsia" w:cs="仿宋" w:asciiTheme="minorEastAsia" w:hAnsiTheme="minorEastAsia" w:eastAsiaTheme="minorEastAsia"/>
                <w:color w:val="000000" w:themeColor="text1"/>
                <w:szCs w:val="21"/>
                <w14:textFill>
                  <w14:solidFill>
                    <w14:schemeClr w14:val="tx1"/>
                  </w14:solidFill>
                </w14:textFill>
              </w:rPr>
              <w:t>签、纯净水、0.5‰杀菌剂</w:t>
            </w:r>
            <w:r>
              <w:rPr>
                <w:rFonts w:hint="eastAsia" w:cs="仿宋" w:asciiTheme="minorEastAsia" w:hAnsiTheme="minorEastAsia" w:eastAsiaTheme="minorEastAsia"/>
                <w:szCs w:val="21"/>
              </w:rPr>
              <w:t>的化妆棉或1‰P91</w:t>
            </w:r>
          </w:p>
        </w:tc>
      </w:tr>
    </w:tbl>
    <w:p>
      <w:pPr>
        <w:pStyle w:val="5"/>
        <w:numPr>
          <w:ilvl w:val="2"/>
          <w:numId w:val="0"/>
        </w:numPr>
        <w:ind w:left="1129" w:firstLine="1968" w:firstLineChars="700"/>
        <w:rPr>
          <w:rFonts w:cs="仿宋" w:asciiTheme="minorEastAsia" w:hAnsiTheme="minorEastAsia" w:eastAsiaTheme="minorEastAsia"/>
        </w:rPr>
      </w:pPr>
      <w:bookmarkStart w:id="171" w:name="_Toc72087926"/>
      <w:bookmarkStart w:id="172" w:name="_Toc19111"/>
      <w:r>
        <w:rPr>
          <w:rFonts w:hint="eastAsia" w:cs="仿宋" w:asciiTheme="minorEastAsia" w:hAnsiTheme="minorEastAsia" w:eastAsiaTheme="minorEastAsia"/>
        </w:rPr>
        <w:t>石刻彩绘颜料层加固</w:t>
      </w:r>
      <w:bookmarkEnd w:id="171"/>
      <w:bookmarkEnd w:id="172"/>
    </w:p>
    <w:p>
      <w:pPr>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b/>
          <w:bCs/>
        </w:rPr>
        <w:t xml:space="preserve">   </w:t>
      </w:r>
      <w:r>
        <w:rPr>
          <w:rStyle w:val="298"/>
          <w:rFonts w:hint="eastAsia" w:cs="仿宋" w:asciiTheme="minorEastAsia" w:hAnsiTheme="minorEastAsia" w:eastAsiaTheme="minorEastAsia"/>
          <w:b/>
          <w:bCs/>
          <w:sz w:val="28"/>
          <w:szCs w:val="28"/>
        </w:rPr>
        <w:t xml:space="preserve"> （1）保护材料</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根据实验室模拟加固及现场加固试验效果综合评估，</w:t>
      </w:r>
      <w:r>
        <w:rPr>
          <w:rStyle w:val="297"/>
          <w:rFonts w:hint="default" w:cs="仿宋" w:asciiTheme="minorEastAsia" w:hAnsiTheme="minorEastAsia" w:eastAsiaTheme="minorEastAsia"/>
          <w:sz w:val="28"/>
          <w:szCs w:val="28"/>
        </w:rPr>
        <w:t>石刻彩绘</w:t>
      </w:r>
      <w:r>
        <w:rPr>
          <w:rStyle w:val="298"/>
          <w:rFonts w:hint="eastAsia" w:cs="仿宋" w:asciiTheme="minorEastAsia" w:hAnsiTheme="minorEastAsia" w:eastAsiaTheme="minorEastAsia"/>
          <w:sz w:val="28"/>
          <w:szCs w:val="28"/>
        </w:rPr>
        <w:t>颜料加固材料采用固</w:t>
      </w:r>
      <w:r>
        <w:rPr>
          <w:rStyle w:val="298"/>
          <w:rFonts w:hint="eastAsia" w:cs="仿宋" w:asciiTheme="minorEastAsia" w:hAnsiTheme="minorEastAsia" w:eastAsiaTheme="minorEastAsia"/>
          <w:color w:val="000000" w:themeColor="text1"/>
          <w:sz w:val="28"/>
          <w:szCs w:val="28"/>
          <w14:textFill>
            <w14:solidFill>
              <w14:schemeClr w14:val="tx1"/>
            </w14:solidFill>
          </w14:textFill>
        </w:rPr>
        <w:t>含量为</w:t>
      </w:r>
      <w:r>
        <w:rPr>
          <w:rFonts w:hint="eastAsia" w:cs="仿宋" w:asciiTheme="minorEastAsia" w:hAnsiTheme="minorEastAsia" w:eastAsiaTheme="minorEastAsia"/>
          <w:color w:val="000000" w:themeColor="text1"/>
          <w:sz w:val="28"/>
          <w:szCs w:val="28"/>
          <w14:textFill>
            <w14:solidFill>
              <w14:schemeClr w14:val="tx1"/>
            </w14:solidFill>
          </w14:textFill>
        </w:rPr>
        <w:t>5%的丙烯酸乳液</w:t>
      </w:r>
      <w:r>
        <w:rPr>
          <w:rStyle w:val="298"/>
          <w:rFonts w:hint="eastAsia" w:cs="仿宋" w:asciiTheme="minorEastAsia" w:hAnsiTheme="minorEastAsia" w:eastAsiaTheme="minorEastAsia"/>
          <w:color w:val="000000" w:themeColor="text1"/>
          <w:sz w:val="28"/>
          <w:szCs w:val="28"/>
          <w14:textFill>
            <w14:solidFill>
              <w14:schemeClr w14:val="tx1"/>
            </w14:solidFill>
          </w14:textFill>
        </w:rPr>
        <w:t>。</w:t>
      </w:r>
    </w:p>
    <w:p>
      <w:pPr>
        <w:ind w:firstLine="480"/>
        <w:rPr>
          <w:rStyle w:val="298"/>
          <w:rFonts w:cs="仿宋" w:asciiTheme="minorEastAsia" w:hAnsiTheme="minorEastAsia" w:eastAsiaTheme="minorEastAsia"/>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丙烯酸乳液是</w:t>
      </w:r>
      <w:r>
        <w:rPr>
          <w:rFonts w:hint="eastAsia" w:cs="仿宋" w:asciiTheme="minorEastAsia" w:hAnsiTheme="minorEastAsia" w:eastAsiaTheme="minorEastAsia"/>
          <w:sz w:val="28"/>
          <w:szCs w:val="28"/>
        </w:rPr>
        <w:t>一种纯丙烯酸树脂分散体，乳白色，水溶性材料，具有优良的耐候性、耐粉化与色素结合能力</w:t>
      </w:r>
      <w:r>
        <w:rPr>
          <w:rFonts w:hint="eastAsia" w:cs="仿宋" w:asciiTheme="minorEastAsia" w:hAnsiTheme="minorEastAsia" w:eastAsiaTheme="minorEastAsia"/>
          <w:color w:val="000000" w:themeColor="text1"/>
          <w:sz w:val="28"/>
          <w:szCs w:val="28"/>
          <w14:textFill>
            <w14:solidFill>
              <w14:schemeClr w14:val="tx1"/>
            </w14:solidFill>
          </w14:textFill>
        </w:rPr>
        <w:t>。丙烯酸乳液不含</w:t>
      </w:r>
      <w:r>
        <w:rPr>
          <w:rFonts w:hint="eastAsia" w:cs="仿宋" w:asciiTheme="minorEastAsia" w:hAnsiTheme="minorEastAsia" w:eastAsiaTheme="minorEastAsia"/>
          <w:sz w:val="28"/>
          <w:szCs w:val="28"/>
        </w:rPr>
        <w:t>溶剂、甲醛、氨水、低气味并且非常环保。</w:t>
      </w:r>
      <w:r>
        <w:rPr>
          <w:rFonts w:hint="eastAsia" w:cs="仿宋" w:asciiTheme="minorEastAsia" w:hAnsiTheme="minorEastAsia" w:eastAsiaTheme="minorEastAsia"/>
          <w:color w:val="000000" w:themeColor="text1"/>
          <w:sz w:val="28"/>
          <w:szCs w:val="28"/>
          <w14:textFill>
            <w14:solidFill>
              <w14:schemeClr w14:val="tx1"/>
            </w14:solidFill>
          </w14:textFill>
        </w:rPr>
        <w:t>丙烯酸乳液</w:t>
      </w:r>
      <w:r>
        <w:rPr>
          <w:rFonts w:hint="eastAsia" w:cs="仿宋" w:asciiTheme="minorEastAsia" w:hAnsiTheme="minorEastAsia" w:eastAsiaTheme="minorEastAsia"/>
          <w:sz w:val="28"/>
          <w:szCs w:val="28"/>
        </w:rPr>
        <w:t>主要用于疏松、多孔材质文物的渗透加固。</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b/>
          <w:bCs/>
          <w:sz w:val="28"/>
          <w:szCs w:val="28"/>
        </w:rPr>
        <w:t xml:space="preserve"> </w:t>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b/>
          <w:bCs/>
          <w:sz w:val="28"/>
          <w:szCs w:val="28"/>
        </w:rPr>
        <w:t xml:space="preserve">  （2）施工工艺</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1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①</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彩绘烘干，采用红外线对彩绘进行烘干，以增加材料的渗透性和颜料的加固效果。</w:t>
      </w:r>
    </w:p>
    <w:p>
      <w:pPr>
        <w:ind w:firstLine="480"/>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2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②</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彩绘画面烘干后，用毛刷或小型喷雾器多次喷或均匀涂刷材料。</w:t>
      </w:r>
    </w:p>
    <w:p>
      <w:pPr>
        <w:ind w:firstLine="480"/>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3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③</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淋涂时，喷嘴远离需要加固的岩体表面 10-20mm，反复淋涂直至饱和为止，让保护材料充分渗透到风化岩石的孔隙中，从而达到最大渗透深度。</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4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④</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淋涂时如发生表面流挂和材料聚集时，立即停止淋涂，并用脱脂棉将流挂材料尽可能的吸除，或用乙醇清洗。</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5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⑤</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加固材料处理完毕后，养护 3d 左右，材料即可固化。</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6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⑥</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彩绘经加固材料处理后，进行色差、光泽、颜料固着力等保护加固效果检测，评价保护效果。</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sz w:val="28"/>
          <w:szCs w:val="28"/>
        </w:rPr>
        <w:t xml:space="preserve">    </w:t>
      </w: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7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⑦</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根据实验室及现场加固试验结果及工艺岩石每次加固材料用量为每平方米约 0.5kg，共 3 次，每次间隔时间最少 48h。</w:t>
      </w:r>
      <w:r>
        <w:rPr>
          <w:rStyle w:val="298"/>
          <w:rFonts w:hint="eastAsia" w:cs="仿宋" w:asciiTheme="minorEastAsia" w:hAnsiTheme="minorEastAsia" w:eastAsiaTheme="minorEastAsia"/>
          <w:sz w:val="28"/>
          <w:szCs w:val="28"/>
        </w:rPr>
        <w:br w:type="textWrapping"/>
      </w:r>
      <w:r>
        <w:rPr>
          <w:rStyle w:val="298"/>
          <w:rFonts w:hint="eastAsia" w:cs="仿宋" w:asciiTheme="minorEastAsia" w:hAnsiTheme="minorEastAsia" w:eastAsiaTheme="minorEastAsia"/>
          <w:b/>
          <w:bCs/>
          <w:sz w:val="28"/>
          <w:szCs w:val="28"/>
        </w:rPr>
        <w:t xml:space="preserve">    （3）注意事项</w:t>
      </w:r>
    </w:p>
    <w:p>
      <w:pPr>
        <w:ind w:firstLine="480"/>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1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①</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彩绘加固前要保证画面的干燥，以增加加固材料的渗透深度，如岩石较潮湿，可采用红外线进行烘干。</w:t>
      </w:r>
    </w:p>
    <w:p>
      <w:pPr>
        <w:ind w:firstLine="480"/>
        <w:rPr>
          <w:rStyle w:val="298"/>
          <w:rFonts w:cs="仿宋" w:asciiTheme="minorEastAsia" w:hAnsiTheme="minorEastAsia" w:eastAsiaTheme="minorEastAsia"/>
          <w:sz w:val="28"/>
          <w:szCs w:val="28"/>
        </w:rPr>
      </w:pPr>
      <w:r>
        <w:rPr>
          <w:rStyle w:val="298"/>
          <w:rFonts w:hint="eastAsia" w:cs="仿宋" w:asciiTheme="minorEastAsia" w:hAnsiTheme="minorEastAsia" w:eastAsiaTheme="minorEastAsia"/>
          <w:sz w:val="28"/>
          <w:szCs w:val="28"/>
        </w:rPr>
        <w:fldChar w:fldCharType="begin"/>
      </w:r>
      <w:r>
        <w:rPr>
          <w:rStyle w:val="298"/>
          <w:rFonts w:hint="eastAsia" w:cs="仿宋" w:asciiTheme="minorEastAsia" w:hAnsiTheme="minorEastAsia" w:eastAsiaTheme="minorEastAsia"/>
          <w:sz w:val="28"/>
          <w:szCs w:val="28"/>
        </w:rPr>
        <w:instrText xml:space="preserve"> = 2 \* GB3 </w:instrText>
      </w:r>
      <w:r>
        <w:rPr>
          <w:rStyle w:val="298"/>
          <w:rFonts w:hint="eastAsia" w:cs="仿宋" w:asciiTheme="minorEastAsia" w:hAnsiTheme="minorEastAsia" w:eastAsiaTheme="minorEastAsia"/>
          <w:sz w:val="28"/>
          <w:szCs w:val="28"/>
        </w:rPr>
        <w:fldChar w:fldCharType="separate"/>
      </w:r>
      <w:r>
        <w:rPr>
          <w:rStyle w:val="298"/>
          <w:rFonts w:hint="eastAsia" w:cs="仿宋" w:asciiTheme="minorEastAsia" w:hAnsiTheme="minorEastAsia" w:eastAsiaTheme="minorEastAsia"/>
          <w:sz w:val="28"/>
          <w:szCs w:val="28"/>
        </w:rPr>
        <w:t>②</w:t>
      </w:r>
      <w:r>
        <w:rPr>
          <w:rStyle w:val="298"/>
          <w:rFonts w:hint="eastAsia" w:cs="仿宋" w:asciiTheme="minorEastAsia" w:hAnsiTheme="minorEastAsia" w:eastAsiaTheme="minorEastAsia"/>
          <w:sz w:val="28"/>
          <w:szCs w:val="28"/>
        </w:rPr>
        <w:fldChar w:fldCharType="end"/>
      </w:r>
      <w:r>
        <w:rPr>
          <w:rStyle w:val="298"/>
          <w:rFonts w:hint="eastAsia" w:cs="仿宋" w:asciiTheme="minorEastAsia" w:hAnsiTheme="minorEastAsia" w:eastAsiaTheme="minorEastAsia"/>
          <w:sz w:val="28"/>
          <w:szCs w:val="28"/>
        </w:rPr>
        <w:t>保护材料配制要求严格，必须由专门技术人员视具体情况按需配制，同时要严格控制药液用量及施工进度。</w:t>
      </w:r>
    </w:p>
    <w:p>
      <w:pPr>
        <w:pStyle w:val="295"/>
        <w:spacing w:before="312" w:after="156"/>
        <w:rPr>
          <w:rStyle w:val="298"/>
          <w:rFonts w:cs="仿宋" w:asciiTheme="minorEastAsia" w:hAnsiTheme="minorEastAsia" w:eastAsiaTheme="minorEastAsia"/>
          <w:color w:val="auto"/>
          <w:sz w:val="28"/>
          <w:szCs w:val="28"/>
        </w:rPr>
      </w:pPr>
      <w:bookmarkStart w:id="173" w:name="_Toc70840878"/>
      <w:r>
        <w:rPr>
          <w:rStyle w:val="298"/>
          <w:rFonts w:hint="eastAsia" w:cs="仿宋" w:asciiTheme="minorEastAsia" w:hAnsiTheme="minorEastAsia" w:eastAsiaTheme="minorEastAsia"/>
          <w:color w:val="auto"/>
          <w:sz w:val="28"/>
          <w:szCs w:val="28"/>
        </w:rPr>
        <w:t>石刻彩绘颜料层加固位置与面积</w:t>
      </w:r>
      <w:bookmarkEnd w:id="173"/>
    </w:p>
    <w:tbl>
      <w:tblPr>
        <w:tblStyle w:val="43"/>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9"/>
        <w:gridCol w:w="192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869" w:type="dxa"/>
            <w:vAlign w:val="center"/>
          </w:tcPr>
          <w:p>
            <w:pPr>
              <w:jc w:val="center"/>
              <w:rPr>
                <w:rStyle w:val="298"/>
                <w:rFonts w:cs="仿宋" w:asciiTheme="minorEastAsia" w:hAnsiTheme="minorEastAsia" w:eastAsiaTheme="minorEastAsia"/>
                <w:sz w:val="21"/>
                <w:szCs w:val="21"/>
              </w:rPr>
            </w:pPr>
            <w:r>
              <w:rPr>
                <w:rFonts w:hint="eastAsia" w:cs="仿宋" w:asciiTheme="minorEastAsia" w:hAnsiTheme="minorEastAsia" w:eastAsiaTheme="minorEastAsia"/>
                <w:szCs w:val="21"/>
              </w:rPr>
              <w:t>石刻彩绘编号</w:t>
            </w:r>
          </w:p>
        </w:tc>
        <w:tc>
          <w:tcPr>
            <w:tcW w:w="1925" w:type="dxa"/>
            <w:vAlign w:val="center"/>
          </w:tcPr>
          <w:p>
            <w:pPr>
              <w:jc w:val="center"/>
              <w:rPr>
                <w:rStyle w:val="298"/>
                <w:rFonts w:cs="仿宋" w:asciiTheme="minorEastAsia" w:hAnsiTheme="minorEastAsia" w:eastAsiaTheme="minorEastAsia"/>
                <w:sz w:val="21"/>
                <w:szCs w:val="21"/>
              </w:rPr>
            </w:pPr>
            <w:r>
              <w:rPr>
                <w:rFonts w:hint="eastAsia" w:cs="仿宋" w:asciiTheme="minorEastAsia" w:hAnsiTheme="minorEastAsia" w:eastAsiaTheme="minorEastAsia"/>
                <w:szCs w:val="21"/>
              </w:rPr>
              <w:t>范围（平方米/米）</w:t>
            </w:r>
          </w:p>
        </w:tc>
        <w:tc>
          <w:tcPr>
            <w:tcW w:w="1800" w:type="dxa"/>
            <w:vAlign w:val="center"/>
          </w:tcPr>
          <w:p>
            <w:pPr>
              <w:jc w:val="center"/>
              <w:rPr>
                <w:rStyle w:val="298"/>
                <w:rFonts w:cs="仿宋" w:asciiTheme="minorEastAsia" w:hAnsiTheme="minorEastAsia" w:eastAsiaTheme="minorEastAsia"/>
                <w:sz w:val="21"/>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69" w:type="dxa"/>
            <w:vAlign w:val="center"/>
          </w:tcPr>
          <w:p>
            <w:pPr>
              <w:jc w:val="center"/>
              <w:rPr>
                <w:rStyle w:val="298"/>
                <w:rFonts w:cs="仿宋" w:asciiTheme="minorEastAsia" w:hAnsiTheme="minorEastAsia" w:eastAsiaTheme="minorEastAsia"/>
                <w:sz w:val="21"/>
                <w:szCs w:val="21"/>
              </w:rPr>
            </w:pPr>
            <w:r>
              <w:rPr>
                <w:rFonts w:hint="eastAsia" w:cs="仿宋" w:asciiTheme="minorEastAsia" w:hAnsiTheme="minorEastAsia" w:eastAsiaTheme="minorEastAsia"/>
                <w:szCs w:val="21"/>
              </w:rPr>
              <w:t>BM4-QM-A-2、BM4-QM-B-12、BM4-QM-C-14、BM4-QM-E-1、BM4-QS-A-1、BM4-QS-A-2、BM4-QS-A-3、BM4-ZS-A-2、BM4-ZS-A-3、BM4-ZS-A-4、BM9-HS-B-6、BM9-HS-C-9、BM9-QS-A-2、BM9-QS-A-3、BM2-QS-A-4、BM2-QS-A-5、BM9-QS-B-8、BM9-QS-B-9、BM9-QS-C-11、BM9-ZS-C-12、BM9-QS-C-10、BM9-ZS-B-10、BM9-ZS-A-3、BM9-ZS-A-4、BM3-HM-E-11、BM3-HS-F-18、BM4-HS-F-21、BM4-QM-B-15、BM4-ZM-C-5、CM2-HS-F-22、BM2-QS-A-2、BM2-QS-A-3、BM2-ZM-A-1</w:t>
            </w:r>
          </w:p>
        </w:tc>
        <w:tc>
          <w:tcPr>
            <w:tcW w:w="1925" w:type="dxa"/>
            <w:vAlign w:val="center"/>
          </w:tcPr>
          <w:p>
            <w:pPr>
              <w:jc w:val="center"/>
              <w:rPr>
                <w:rStyle w:val="298"/>
                <w:rFonts w:cs="仿宋" w:asciiTheme="minorEastAsia" w:hAnsiTheme="minorEastAsia" w:eastAsiaTheme="minorEastAsia"/>
                <w:sz w:val="21"/>
                <w:szCs w:val="21"/>
              </w:rPr>
            </w:pPr>
            <w:r>
              <w:rPr>
                <w:rFonts w:hint="eastAsia" w:cs="仿宋" w:asciiTheme="minorEastAsia" w:hAnsiTheme="minorEastAsia" w:eastAsiaTheme="minorEastAsia"/>
                <w:color w:val="000000"/>
                <w:szCs w:val="21"/>
              </w:rPr>
              <w:t xml:space="preserve">16.55 </w:t>
            </w:r>
          </w:p>
        </w:tc>
        <w:tc>
          <w:tcPr>
            <w:tcW w:w="1800" w:type="dxa"/>
            <w:vAlign w:val="center"/>
          </w:tcPr>
          <w:p>
            <w:pPr>
              <w:jc w:val="center"/>
              <w:rPr>
                <w:rStyle w:val="298"/>
                <w:rFonts w:cs="仿宋" w:asciiTheme="minorEastAsia" w:hAnsiTheme="minorEastAsia" w:eastAsiaTheme="minorEastAsia"/>
                <w:sz w:val="21"/>
                <w:szCs w:val="21"/>
              </w:rPr>
            </w:pPr>
            <w:r>
              <w:rPr>
                <w:rStyle w:val="298"/>
                <w:rFonts w:hint="eastAsia" w:cs="仿宋" w:asciiTheme="minorEastAsia" w:hAnsiTheme="minorEastAsia" w:eastAsiaTheme="minorEastAsia"/>
                <w:sz w:val="21"/>
                <w:szCs w:val="21"/>
              </w:rPr>
              <w:t>毛刷、喷壶、</w:t>
            </w:r>
          </w:p>
          <w:p>
            <w:pPr>
              <w:jc w:val="center"/>
              <w:rPr>
                <w:rStyle w:val="298"/>
                <w:rFonts w:cs="仿宋" w:asciiTheme="minorEastAsia" w:hAnsiTheme="minorEastAsia" w:eastAsiaTheme="minorEastAsia"/>
                <w:sz w:val="21"/>
                <w:szCs w:val="21"/>
              </w:rPr>
            </w:pPr>
            <w:r>
              <w:rPr>
                <w:rStyle w:val="298"/>
                <w:rFonts w:hint="eastAsia" w:cs="仿宋" w:asciiTheme="minorEastAsia" w:hAnsiTheme="minorEastAsia" w:eastAsiaTheme="minorEastAsia"/>
                <w:sz w:val="21"/>
                <w:szCs w:val="21"/>
              </w:rPr>
              <w:t>脱脂棉</w:t>
            </w:r>
            <w:r>
              <w:rPr>
                <w:rStyle w:val="298"/>
                <w:rFonts w:hint="eastAsia" w:cs="仿宋" w:asciiTheme="minorEastAsia" w:hAnsiTheme="minorEastAsia" w:eastAsiaTheme="minorEastAsia"/>
                <w:color w:val="000000" w:themeColor="text1"/>
                <w:sz w:val="21"/>
                <w:szCs w:val="21"/>
                <w14:textFill>
                  <w14:solidFill>
                    <w14:schemeClr w14:val="tx1"/>
                  </w14:solidFill>
                </w14:textFill>
              </w:rPr>
              <w:t>、</w:t>
            </w:r>
            <w:r>
              <w:rPr>
                <w:rFonts w:hint="eastAsia" w:cs="仿宋" w:asciiTheme="minorEastAsia" w:hAnsiTheme="minorEastAsia" w:eastAsiaTheme="minorEastAsia"/>
                <w:color w:val="000000" w:themeColor="text1"/>
                <w:szCs w:val="21"/>
                <w14:textFill>
                  <w14:solidFill>
                    <w14:schemeClr w14:val="tx1"/>
                  </w14:solidFill>
                </w14:textFill>
              </w:rPr>
              <w:t>5%丙烯酸乳液</w:t>
            </w:r>
          </w:p>
        </w:tc>
      </w:tr>
    </w:tbl>
    <w:p>
      <w:pPr>
        <w:pStyle w:val="5"/>
        <w:numPr>
          <w:ilvl w:val="2"/>
          <w:numId w:val="0"/>
        </w:numPr>
        <w:ind w:left="562"/>
        <w:jc w:val="center"/>
        <w:rPr>
          <w:rFonts w:cs="仿宋" w:asciiTheme="minorEastAsia" w:hAnsiTheme="minorEastAsia" w:eastAsiaTheme="minorEastAsia"/>
        </w:rPr>
      </w:pPr>
      <w:bookmarkStart w:id="174" w:name="_Toc72087927"/>
      <w:bookmarkStart w:id="175" w:name="_Toc4887"/>
      <w:r>
        <w:rPr>
          <w:rFonts w:hint="eastAsia" w:cs="仿宋" w:asciiTheme="minorEastAsia" w:hAnsiTheme="minorEastAsia" w:eastAsiaTheme="minorEastAsia"/>
        </w:rPr>
        <w:t>脱盐</w:t>
      </w:r>
      <w:bookmarkEnd w:id="174"/>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（1）材料工具</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生宣纸、去离子水、搅拌器、电导率测试仪。</w:t>
      </w:r>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（2）修复工艺</w:t>
      </w:r>
    </w:p>
    <w:p>
      <w:pPr>
        <w:ind w:firstLine="480"/>
        <w:rPr>
          <w:rStyle w:val="299"/>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w:t>
      </w:r>
      <w:r>
        <w:rPr>
          <w:rStyle w:val="299"/>
          <w:rFonts w:hint="eastAsia" w:cs="仿宋" w:asciiTheme="minorEastAsia" w:hAnsiTheme="minorEastAsia" w:eastAsiaTheme="minorEastAsia"/>
          <w:sz w:val="28"/>
          <w:szCs w:val="28"/>
        </w:rPr>
        <w:t>生宣纸撕成碎片，放入装有去离子水的塑料桶内，浸泡2h后，采用搅拌器进行搅拌制成</w:t>
      </w:r>
      <w:r>
        <w:rPr>
          <w:rFonts w:hint="eastAsia" w:cs="仿宋" w:asciiTheme="minorEastAsia" w:hAnsiTheme="minorEastAsia" w:eastAsiaTheme="minorEastAsia"/>
          <w:sz w:val="28"/>
          <w:szCs w:val="28"/>
        </w:rPr>
        <w:t>脱盐</w:t>
      </w:r>
      <w:r>
        <w:rPr>
          <w:rStyle w:val="299"/>
          <w:rFonts w:hint="eastAsia" w:cs="仿宋" w:asciiTheme="minorEastAsia" w:hAnsiTheme="minorEastAsia" w:eastAsiaTheme="minorEastAsia"/>
          <w:sz w:val="28"/>
          <w:szCs w:val="28"/>
        </w:rPr>
        <w:t>纸浆，将脱盐纸浆均匀敷贴；待脱盐纸浆完全干燥后揭下，取少量纸浆进行干燥并测定电导率；反复上述操作2-3次，直至纸浆电导率恒定不变，则脱盐结束。</w:t>
      </w:r>
    </w:p>
    <w:p>
      <w:pPr>
        <w:pStyle w:val="295"/>
        <w:spacing w:before="0" w:beforeLines="0" w:after="0" w:afterLines="0"/>
        <w:rPr>
          <w:rStyle w:val="299"/>
          <w:rFonts w:cs="仿宋" w:asciiTheme="minorEastAsia" w:hAnsiTheme="minorEastAsia" w:eastAsiaTheme="minorEastAsia"/>
          <w:sz w:val="28"/>
          <w:szCs w:val="28"/>
        </w:rPr>
      </w:pPr>
      <w:bookmarkStart w:id="176" w:name="_Toc70840879"/>
      <w:r>
        <w:rPr>
          <w:rStyle w:val="299"/>
          <w:rFonts w:hint="eastAsia" w:cs="仿宋" w:asciiTheme="minorEastAsia" w:hAnsiTheme="minorEastAsia" w:eastAsiaTheme="minorEastAsia"/>
          <w:sz w:val="28"/>
          <w:szCs w:val="28"/>
        </w:rPr>
        <w:t>脱盐位置与面积</w:t>
      </w:r>
      <w:bookmarkEnd w:id="176"/>
    </w:p>
    <w:tbl>
      <w:tblPr>
        <w:tblStyle w:val="4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4"/>
        <w:gridCol w:w="195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794"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石刻彩绘编号</w:t>
            </w:r>
          </w:p>
        </w:tc>
        <w:tc>
          <w:tcPr>
            <w:tcW w:w="1950"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范围（平方米/米）</w:t>
            </w:r>
          </w:p>
        </w:tc>
        <w:tc>
          <w:tcPr>
            <w:tcW w:w="2295"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94"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BM2-QS-A-1、BM2-QS-A-4、BM2-QS-A-5、BM2-ZM-A-1、BM4-HM-C-4、BM4-QM-A-2、BM4-QM-B-11、BM4-QM-B-13、BM4-QM-C-10、BM4-QM-C-8、BM4-QM-E-1、BM4-QS-A-1、BM4-QS-A-2、BM4-QS-A-3、BM4-ZM-C-5、BM4-ZS-A-2、BM4-ZS-A-3、BM4-ZS-A-4、BM9-QS-B-8、BM9-QS-C-10、BM9-ZS-A-2、BM9-ZS-A-3、BM9-ZS-A-4、BM9-ZS-B-10、BM9-ZS-C-12</w:t>
            </w:r>
          </w:p>
        </w:tc>
        <w:tc>
          <w:tcPr>
            <w:tcW w:w="1950"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8.15</w:t>
            </w:r>
          </w:p>
        </w:tc>
        <w:tc>
          <w:tcPr>
            <w:tcW w:w="2295"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生宣纸、去离子水、搅拌器、电导率测试仪</w:t>
            </w:r>
          </w:p>
        </w:tc>
      </w:tr>
    </w:tbl>
    <w:p>
      <w:pPr>
        <w:pStyle w:val="5"/>
        <w:numPr>
          <w:ilvl w:val="2"/>
          <w:numId w:val="0"/>
        </w:numPr>
        <w:ind w:left="562"/>
        <w:jc w:val="center"/>
        <w:rPr>
          <w:rFonts w:cs="仿宋" w:asciiTheme="minorEastAsia" w:hAnsiTheme="minorEastAsia" w:eastAsiaTheme="minorEastAsia"/>
        </w:rPr>
      </w:pPr>
      <w:bookmarkStart w:id="177" w:name="_Toc72087928"/>
      <w:r>
        <w:rPr>
          <w:rFonts w:hint="eastAsia" w:cs="仿宋" w:asciiTheme="minorEastAsia" w:hAnsiTheme="minorEastAsia" w:eastAsiaTheme="minorEastAsia"/>
        </w:rPr>
        <w:t>回贴起甲颜料层</w:t>
      </w:r>
      <w:bookmarkEnd w:id="175"/>
      <w:bookmarkEnd w:id="177"/>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（1）材料工具：</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固含量为5%的丙烯酸乳液、注射器、修复刀、软毛刷、洗耳球、棉签、脱脂棉。</w:t>
      </w:r>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（2）修复工艺：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对于彩绘龟裂的加固，使用5%的丙烯酸乳液，起甲、起翘也使用固含量为5%的丙烯酸乳液。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以起翘为例，首先使用软毛刷和洗耳球将起翘部分表面的污染物清除，用镊子取出颜料层底部的碎块。使用注射器将浓度为5%的丙烯酸乳液注射到颜料层底部，并用脱脂棉吸取多余的试剂。待起翘部分软化后，使用修复刀、棉签轻轻按压，进行回贴。彩绘龟裂及颜料层加固的方式与之类似。</w:t>
      </w:r>
    </w:p>
    <w:p>
      <w:pPr>
        <w:pStyle w:val="295"/>
        <w:spacing w:before="0" w:beforeLines="0" w:after="0" w:afterLines="0"/>
        <w:rPr>
          <w:rFonts w:cs="仿宋" w:asciiTheme="minorEastAsia" w:hAnsiTheme="minorEastAsia" w:eastAsiaTheme="minorEastAsia"/>
          <w:sz w:val="28"/>
          <w:szCs w:val="28"/>
        </w:rPr>
      </w:pPr>
      <w:bookmarkStart w:id="178" w:name="_Toc70840880"/>
      <w:r>
        <w:rPr>
          <w:rFonts w:hint="eastAsia" w:cs="仿宋" w:asciiTheme="minorEastAsia" w:hAnsiTheme="minorEastAsia" w:eastAsiaTheme="minorEastAsia"/>
          <w:sz w:val="28"/>
          <w:szCs w:val="28"/>
        </w:rPr>
        <w:t xml:space="preserve"> 回贴起甲颜料层位置与面积</w:t>
      </w:r>
      <w:bookmarkEnd w:id="178"/>
    </w:p>
    <w:tbl>
      <w:tblPr>
        <w:tblStyle w:val="43"/>
        <w:tblW w:w="9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3"/>
        <w:gridCol w:w="2076"/>
        <w:gridCol w:w="4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413"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石刻彩绘编号</w:t>
            </w:r>
          </w:p>
        </w:tc>
        <w:tc>
          <w:tcPr>
            <w:tcW w:w="2076"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范围（平方米/米）</w:t>
            </w:r>
          </w:p>
        </w:tc>
        <w:tc>
          <w:tcPr>
            <w:tcW w:w="4075"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13"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BM4-QS-A-2</w:t>
            </w:r>
          </w:p>
        </w:tc>
        <w:tc>
          <w:tcPr>
            <w:tcW w:w="2076"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 xml:space="preserve">0.20 </w:t>
            </w:r>
          </w:p>
        </w:tc>
        <w:tc>
          <w:tcPr>
            <w:tcW w:w="4075"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注射器、修复刀、软毛刷、洗耳球、棉签、脱脂棉</w:t>
            </w:r>
            <w:r>
              <w:rPr>
                <w:rFonts w:hint="eastAsia" w:cs="仿宋" w:asciiTheme="minorEastAsia" w:hAnsiTheme="minorEastAsia" w:eastAsiaTheme="minorEastAsia"/>
                <w:color w:val="000000" w:themeColor="text1"/>
                <w:szCs w:val="21"/>
                <w14:textFill>
                  <w14:solidFill>
                    <w14:schemeClr w14:val="tx1"/>
                  </w14:solidFill>
                </w14:textFill>
              </w:rPr>
              <w:t>、5%的丙烯酸乳液</w:t>
            </w:r>
          </w:p>
        </w:tc>
      </w:tr>
    </w:tbl>
    <w:p>
      <w:pPr>
        <w:pStyle w:val="5"/>
        <w:numPr>
          <w:ilvl w:val="2"/>
          <w:numId w:val="0"/>
        </w:numPr>
        <w:ind w:left="562"/>
        <w:jc w:val="center"/>
        <w:rPr>
          <w:rFonts w:cs="仿宋" w:asciiTheme="minorEastAsia" w:hAnsiTheme="minorEastAsia" w:eastAsiaTheme="minorEastAsia"/>
        </w:rPr>
      </w:pPr>
      <w:bookmarkStart w:id="179" w:name="_Toc72087929"/>
      <w:bookmarkStart w:id="180" w:name="_Toc31444"/>
      <w:r>
        <w:rPr>
          <w:rFonts w:hint="eastAsia" w:cs="仿宋" w:asciiTheme="minorEastAsia" w:hAnsiTheme="minorEastAsia" w:eastAsiaTheme="minorEastAsia"/>
        </w:rPr>
        <w:t>金箔的加固、回贴</w:t>
      </w:r>
      <w:bookmarkEnd w:id="179"/>
      <w:bookmarkEnd w:id="180"/>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（1）材料工具：</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丙烯酸乳液、热温枪、日本纸、3A溶液、金箔。</w:t>
      </w:r>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（2）修复工艺：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首先用丙烯酸乳液配合热温枪将龟裂、起甲部位进行回软，</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回软材料以丙烯酸乳液为主，配以热温枪局部加热。可以使用回贴材料直接涂刷与龟裂与起甲部位进行回贴处理，也可以使用日本纸+回贴材料贴于龟裂、起甲部位，局部按压，最后使用3A溶液慢慢去除日本纸以达到加固回贴的效果。</w:t>
      </w:r>
    </w:p>
    <w:p>
      <w:pPr>
        <w:pStyle w:val="5"/>
        <w:numPr>
          <w:ilvl w:val="2"/>
          <w:numId w:val="0"/>
        </w:numPr>
        <w:ind w:left="420" w:leftChars="200"/>
        <w:jc w:val="center"/>
        <w:rPr>
          <w:rFonts w:cs="仿宋" w:asciiTheme="minorEastAsia" w:hAnsiTheme="minorEastAsia" w:eastAsiaTheme="minorEastAsia"/>
        </w:rPr>
      </w:pPr>
      <w:bookmarkStart w:id="181" w:name="_Toc72087930"/>
      <w:r>
        <w:rPr>
          <w:rFonts w:hint="eastAsia" w:cs="仿宋" w:asciiTheme="minorEastAsia" w:hAnsiTheme="minorEastAsia" w:eastAsiaTheme="minorEastAsia"/>
        </w:rPr>
        <w:t>石刻彩绘的表面封护</w:t>
      </w:r>
      <w:bookmarkEnd w:id="181"/>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（1）材料工具：</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去离子水、毛刷、3%的丙烯酸乳液、3%的氟硅</w:t>
      </w:r>
    </w:p>
    <w:p>
      <w:pPr>
        <w:ind w:firstLine="480"/>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（2）修复工艺：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根据前期试验结果，这批石刻彩绘的彩绘层采用</w:t>
      </w:r>
      <w:r>
        <w:rPr>
          <w:rFonts w:hint="eastAsia" w:cs="仿宋" w:asciiTheme="minorEastAsia" w:hAnsiTheme="minorEastAsia" w:eastAsiaTheme="minorEastAsia"/>
          <w:color w:val="000000" w:themeColor="text1"/>
          <w:sz w:val="28"/>
          <w:szCs w:val="28"/>
          <w14:textFill>
            <w14:solidFill>
              <w14:schemeClr w14:val="tx1"/>
            </w14:solidFill>
          </w14:textFill>
        </w:rPr>
        <w:t>3%的丙烯酸乳液进行渗透加固保护，石质基体采用3%的氟硅进行渗透加固保</w:t>
      </w:r>
      <w:r>
        <w:rPr>
          <w:rFonts w:hint="eastAsia" w:cs="仿宋" w:asciiTheme="minorEastAsia" w:hAnsiTheme="minorEastAsia" w:eastAsiaTheme="minorEastAsia"/>
          <w:sz w:val="28"/>
          <w:szCs w:val="28"/>
        </w:rPr>
        <w:t>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首先用去离子水或者毛刷清理表面污染物。待表面干燥后，涂刷前期试验中效果良好的3%的丙烯酸乳液和3%的氟硅分别对彩绘层和石质基体进行渗透加固保护，从下往上涂刷，保证不形成挂流。根据风化程度的不同分别进行1～3次施工。</w:t>
      </w:r>
    </w:p>
    <w:p>
      <w:pPr>
        <w:pStyle w:val="295"/>
        <w:spacing w:before="0" w:beforeLines="0" w:after="0" w:afterLines="0"/>
        <w:rPr>
          <w:rFonts w:cs="仿宋" w:asciiTheme="minorEastAsia" w:hAnsiTheme="minorEastAsia" w:eastAsiaTheme="minorEastAsia"/>
          <w:sz w:val="28"/>
          <w:szCs w:val="28"/>
        </w:rPr>
      </w:pPr>
      <w:bookmarkStart w:id="182" w:name="_Toc70840881"/>
      <w:r>
        <w:rPr>
          <w:rFonts w:hint="eastAsia" w:cs="仿宋" w:asciiTheme="minorEastAsia" w:hAnsiTheme="minorEastAsia" w:eastAsiaTheme="minorEastAsia"/>
          <w:sz w:val="28"/>
          <w:szCs w:val="28"/>
        </w:rPr>
        <w:t>彩绘层封护位置与面积</w:t>
      </w:r>
      <w:bookmarkEnd w:id="182"/>
    </w:p>
    <w:tbl>
      <w:tblPr>
        <w:tblStyle w:val="43"/>
        <w:tblW w:w="9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5"/>
        <w:gridCol w:w="209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trPr>
        <w:tc>
          <w:tcPr>
            <w:tcW w:w="6685"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石刻彩绘编号</w:t>
            </w:r>
          </w:p>
        </w:tc>
        <w:tc>
          <w:tcPr>
            <w:tcW w:w="2099"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范围（平方米/米）</w:t>
            </w:r>
          </w:p>
        </w:tc>
        <w:tc>
          <w:tcPr>
            <w:tcW w:w="1080"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5"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BM4-HM-C-4、BM4-QM-A-2、BM9-QS-A-4、BM4-QM-B-12、BM4-QM-C-9、BM4-QM-C-14、BM4-QM-E-1、BM4-QS-A-1、BM4-QS-A-2、BM4-QS-A-3、BM4-ZS-A-2、BM4-ZS-A-3、BM4-ZS-A-4、BM9-HS-B-6、BM9-HS-C-9、BM9-QS-A-2、BM9-QS-A-3、BM2-QS-A-4、BM2-QS-A-5、BM9-QS-B-8、BM9-QS-B-9、BM9-QS-C-11、BM9-ZS-C-12、BM9-QS-C-10、BM9-ZS-B-10、BM9-ZS-A-2、BM9-ZS-A-3、BM9-ZS-A-4、BM3-HM-E-11、BM3-HS-F-18、BM4-HS-F-21、BM4-QM-B-15、BM4-ZM-B-3、BM4-ZM-C-5、CM2-HS-F-22、BM2-QS-A-2、BM2-QS-A-3、BM2-ZM-A-1</w:t>
            </w:r>
          </w:p>
        </w:tc>
        <w:tc>
          <w:tcPr>
            <w:tcW w:w="2099" w:type="dxa"/>
            <w:vAlign w:val="center"/>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szCs w:val="21"/>
              </w:rPr>
              <w:t>151.94</w:t>
            </w:r>
          </w:p>
        </w:tc>
        <w:tc>
          <w:tcPr>
            <w:tcW w:w="1080"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软毛刷、去离子水、3%</w:t>
            </w:r>
            <w:r>
              <w:rPr>
                <w:rFonts w:hint="eastAsia" w:cs="仿宋" w:asciiTheme="minorEastAsia" w:hAnsiTheme="minorEastAsia" w:eastAsiaTheme="minorEastAsia"/>
                <w:color w:val="000000" w:themeColor="text1"/>
                <w:szCs w:val="21"/>
                <w14:textFill>
                  <w14:solidFill>
                    <w14:schemeClr w14:val="tx1"/>
                  </w14:solidFill>
                </w14:textFill>
              </w:rPr>
              <w:t>的丙烯酸乳液</w:t>
            </w:r>
          </w:p>
        </w:tc>
      </w:tr>
    </w:tbl>
    <w:p>
      <w:pPr>
        <w:rPr>
          <w:rFonts w:cs="仿宋" w:asciiTheme="minorEastAsia" w:hAnsiTheme="minorEastAsia" w:eastAsiaTheme="minorEastAsia"/>
        </w:rPr>
      </w:pPr>
      <w:r>
        <w:rPr>
          <w:rFonts w:hint="eastAsia" w:cs="仿宋" w:asciiTheme="minorEastAsia" w:hAnsiTheme="minorEastAsia" w:eastAsiaTheme="minorEastAsia"/>
        </w:rPr>
        <w:t>注：按封护两次计算封护面积。</w:t>
      </w:r>
    </w:p>
    <w:p>
      <w:pPr>
        <w:pStyle w:val="295"/>
        <w:spacing w:before="312" w:after="156"/>
        <w:rPr>
          <w:rFonts w:cs="仿宋" w:asciiTheme="minorEastAsia" w:hAnsiTheme="minorEastAsia" w:eastAsiaTheme="minorEastAsia"/>
        </w:rPr>
      </w:pPr>
      <w:bookmarkStart w:id="183" w:name="_Toc70840882"/>
      <w:r>
        <w:rPr>
          <w:rFonts w:hint="eastAsia" w:cs="仿宋" w:asciiTheme="minorEastAsia" w:hAnsiTheme="minorEastAsia" w:eastAsiaTheme="minorEastAsia"/>
        </w:rPr>
        <w:t xml:space="preserve">表 </w:t>
      </w:r>
      <w:r>
        <w:rPr>
          <w:rFonts w:hint="eastAsia" w:cs="仿宋" w:asciiTheme="minorEastAsia" w:hAnsiTheme="minorEastAsia" w:eastAsiaTheme="minorEastAsia"/>
        </w:rPr>
        <w:fldChar w:fldCharType="begin"/>
      </w:r>
      <w:r>
        <w:rPr>
          <w:rFonts w:hint="eastAsia" w:cs="仿宋" w:asciiTheme="minorEastAsia" w:hAnsiTheme="minorEastAsia" w:eastAsiaTheme="minorEastAsia"/>
        </w:rPr>
        <w:instrText xml:space="preserve"> STYLEREF 1 \s </w:instrText>
      </w:r>
      <w:r>
        <w:rPr>
          <w:rFonts w:hint="eastAsia" w:cs="仿宋" w:asciiTheme="minorEastAsia" w:hAnsiTheme="minorEastAsia" w:eastAsiaTheme="minorEastAsia"/>
        </w:rPr>
        <w:fldChar w:fldCharType="separate"/>
      </w:r>
      <w:r>
        <w:rPr>
          <w:rFonts w:hint="eastAsia" w:cs="仿宋" w:asciiTheme="minorEastAsia" w:hAnsiTheme="minorEastAsia" w:eastAsiaTheme="minorEastAsia"/>
        </w:rPr>
        <w:t>6</w:t>
      </w:r>
      <w:r>
        <w:rPr>
          <w:rFonts w:hint="eastAsia" w:cs="仿宋" w:asciiTheme="minorEastAsia" w:hAnsiTheme="minorEastAsia" w:eastAsiaTheme="minorEastAsia"/>
        </w:rPr>
        <w:fldChar w:fldCharType="end"/>
      </w:r>
      <w:r>
        <w:rPr>
          <w:rFonts w:hint="eastAsia" w:cs="仿宋" w:asciiTheme="minorEastAsia" w:hAnsiTheme="minorEastAsia" w:eastAsiaTheme="minorEastAsia"/>
        </w:rPr>
        <w:noBreakHyphen/>
      </w:r>
      <w:r>
        <w:rPr>
          <w:rFonts w:hint="eastAsia" w:cs="仿宋" w:asciiTheme="minorEastAsia" w:hAnsiTheme="minorEastAsia" w:eastAsiaTheme="minorEastAsia"/>
        </w:rPr>
        <w:fldChar w:fldCharType="begin"/>
      </w:r>
      <w:r>
        <w:rPr>
          <w:rFonts w:hint="eastAsia" w:cs="仿宋" w:asciiTheme="minorEastAsia" w:hAnsiTheme="minorEastAsia" w:eastAsiaTheme="minorEastAsia"/>
        </w:rPr>
        <w:instrText xml:space="preserve"> SEQ 表 \* ARABIC \s 1 </w:instrText>
      </w:r>
      <w:r>
        <w:rPr>
          <w:rFonts w:hint="eastAsia" w:cs="仿宋" w:asciiTheme="minorEastAsia" w:hAnsiTheme="minorEastAsia" w:eastAsiaTheme="minorEastAsia"/>
        </w:rPr>
        <w:fldChar w:fldCharType="separate"/>
      </w:r>
      <w:r>
        <w:rPr>
          <w:rFonts w:hint="eastAsia" w:cs="仿宋" w:asciiTheme="minorEastAsia" w:hAnsiTheme="minorEastAsia" w:eastAsiaTheme="minorEastAsia"/>
        </w:rPr>
        <w:t>8</w:t>
      </w:r>
      <w:r>
        <w:rPr>
          <w:rFonts w:hint="eastAsia" w:cs="仿宋" w:asciiTheme="minorEastAsia" w:hAnsiTheme="minorEastAsia" w:eastAsiaTheme="minorEastAsia"/>
        </w:rPr>
        <w:fldChar w:fldCharType="end"/>
      </w:r>
      <w:r>
        <w:rPr>
          <w:rFonts w:hint="eastAsia" w:cs="仿宋" w:asciiTheme="minorEastAsia" w:hAnsiTheme="minorEastAsia" w:eastAsiaTheme="minorEastAsia"/>
        </w:rPr>
        <w:t xml:space="preserve"> 石质基体封护位置与面积</w:t>
      </w:r>
      <w:bookmarkEnd w:id="183"/>
    </w:p>
    <w:tbl>
      <w:tblPr>
        <w:tblStyle w:val="4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9"/>
        <w:gridCol w:w="2265"/>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6439"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石刻彩绘编号</w:t>
            </w:r>
          </w:p>
        </w:tc>
        <w:tc>
          <w:tcPr>
            <w:tcW w:w="2265"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范围（平方米/米）</w:t>
            </w:r>
          </w:p>
        </w:tc>
        <w:tc>
          <w:tcPr>
            <w:tcW w:w="1151"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9" w:type="dxa"/>
            <w:vAlign w:val="center"/>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BM4-HM-C-4、BM4-QM-A-2、BM9-QS-A-4、BM4-QM-B-12、BM4-QM-C-9、BM4-QM-C-14、BM4-QM-E-1、BM4-QS-A-1、BM4-QS-A-2、BM4-QS-A-3、BM4-ZS-A-2、BM4-ZS-A-3、BM4-ZS-A-4、BM9-HS-B-6、BM9-HS-C-9、BM9-QS-A-2、BM9-QS-A-3、BM2-QS-A-4、BM2-QS-A-5、BM9-QS-B-8、BM9-QS-B-9、BM9-QS-C-11、BM9-ZS-C-12、BM9-QS-C-10、BM9-ZS-B-10、BM9-ZS-A-2、BM9-ZS-A-3、BM9-ZS-A-4、BM3-HM-E-11、BM3-HS-F-18、BM4-HS-F-21、BM4-QM-B-15、BM4-ZM-B-3、BM4-ZM-C-5、CM2-HS-F-22、BM2-QS-A-2、BM2-QS-A-3、BM2-ZM-A-1</w:t>
            </w:r>
          </w:p>
        </w:tc>
        <w:tc>
          <w:tcPr>
            <w:tcW w:w="2265" w:type="dxa"/>
            <w:vAlign w:val="center"/>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szCs w:val="21"/>
              </w:rPr>
              <w:t>402.62</w:t>
            </w:r>
          </w:p>
        </w:tc>
        <w:tc>
          <w:tcPr>
            <w:tcW w:w="1151" w:type="dxa"/>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软毛刷、去离子水、3%的氟硅</w:t>
            </w:r>
          </w:p>
        </w:tc>
      </w:tr>
    </w:tbl>
    <w:p>
      <w:pPr>
        <w:rPr>
          <w:rFonts w:cs="仿宋" w:asciiTheme="minorEastAsia" w:hAnsiTheme="minorEastAsia" w:eastAsiaTheme="minorEastAsia"/>
        </w:rPr>
      </w:pPr>
      <w:r>
        <w:rPr>
          <w:rFonts w:hint="eastAsia" w:cs="仿宋" w:asciiTheme="minorEastAsia" w:hAnsiTheme="minorEastAsia" w:eastAsiaTheme="minorEastAsia"/>
        </w:rPr>
        <w:t>注：按封护两次计算封护面积。</w:t>
      </w:r>
    </w:p>
    <w:p>
      <w:pPr>
        <w:pStyle w:val="5"/>
        <w:numPr>
          <w:ilvl w:val="2"/>
          <w:numId w:val="0"/>
        </w:numPr>
        <w:ind w:left="420" w:leftChars="200" w:firstLine="3092" w:firstLineChars="1100"/>
        <w:rPr>
          <w:rFonts w:cs="仿宋" w:asciiTheme="minorEastAsia" w:hAnsiTheme="minorEastAsia" w:eastAsiaTheme="minorEastAsia"/>
        </w:rPr>
      </w:pPr>
      <w:bookmarkStart w:id="184" w:name="_Toc72087931"/>
      <w:r>
        <w:rPr>
          <w:rFonts w:hint="eastAsia" w:cs="仿宋" w:asciiTheme="minorEastAsia" w:hAnsiTheme="minorEastAsia" w:eastAsiaTheme="minorEastAsia"/>
        </w:rPr>
        <w:t>搬运与搭建</w:t>
      </w:r>
      <w:bookmarkEnd w:id="184"/>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将修复完成的石质文物进行软性包装隔离，放入定制木箱，使用人工操作倒链，提升所有钢结构底边，脱离地面，转入吊车或载重汽车车辆运输。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石质文物修复后使使用敷经“ 霉敌” 浸泡干燥后的生宣纸1-2层。贴敷为点式粘接在两头采用文物专用保护材料AC33或其升级替代产品10%浓度溶液进行。使用纱布进行包裹，放入壁面添加了软性包装面的箱子内，如果箱子与石刻本体有间隙，可采用软性材料进行填充。装箱后的文物根据重量选取人工运输或车辆运输至新馆展厅内。</w:t>
      </w:r>
    </w:p>
    <w:p>
      <w:pPr>
        <w:ind w:firstLine="480"/>
        <w:rPr>
          <w:rFonts w:hint="eastAsia" w:cs="仿宋" w:asciiTheme="minorEastAsia" w:hAnsiTheme="minorEastAsia" w:eastAsiaTheme="minorEastAsia"/>
          <w:sz w:val="28"/>
          <w:szCs w:val="28"/>
          <w:lang w:eastAsia="zh-CN"/>
        </w:rPr>
      </w:pPr>
      <w:r>
        <w:rPr>
          <w:rFonts w:hint="eastAsia" w:cs="仿宋" w:asciiTheme="minorEastAsia" w:hAnsiTheme="minorEastAsia" w:eastAsiaTheme="minorEastAsia"/>
          <w:sz w:val="28"/>
          <w:szCs w:val="28"/>
        </w:rPr>
        <w:t>根据墓葬搬迁前的结构进行石刻搭建工作。每一个石刻定制一套支撑架，将石刻进行固定，并安放在指定区域。对不能搭建的构件采用氟碳固定架固定</w:t>
      </w:r>
      <w:r>
        <w:rPr>
          <w:rFonts w:hint="eastAsia" w:cs="仿宋" w:asciiTheme="minorEastAsia" w:hAnsiTheme="minorEastAsia" w:eastAsiaTheme="minorEastAsia"/>
          <w:sz w:val="28"/>
          <w:szCs w:val="28"/>
          <w:lang w:eastAsia="zh-CN"/>
        </w:rPr>
        <w:t>。</w:t>
      </w:r>
    </w:p>
    <w:p>
      <w:pPr>
        <w:pStyle w:val="5"/>
        <w:numPr>
          <w:ilvl w:val="2"/>
          <w:numId w:val="0"/>
        </w:numPr>
        <w:ind w:left="420" w:leftChars="200" w:firstLine="3092" w:firstLineChars="1100"/>
        <w:rPr>
          <w:rFonts w:hint="default" w:cs="仿宋" w:asciiTheme="minorEastAsia" w:hAnsiTheme="minorEastAsia" w:eastAsiaTheme="minorEastAsia"/>
          <w:color w:val="auto"/>
          <w:highlight w:val="none"/>
          <w:lang w:val="en-US" w:eastAsia="zh-CN"/>
        </w:rPr>
      </w:pPr>
      <w:r>
        <w:rPr>
          <w:rFonts w:hint="eastAsia" w:cs="仿宋" w:asciiTheme="minorEastAsia" w:hAnsiTheme="minorEastAsia" w:eastAsiaTheme="minorEastAsia"/>
          <w:color w:val="auto"/>
          <w:highlight w:val="none"/>
          <w:lang w:val="en-US" w:eastAsia="zh-CN"/>
        </w:rPr>
        <w:t>三维数据采集</w:t>
      </w:r>
    </w:p>
    <w:p>
      <w:pPr>
        <w:pStyle w:val="2"/>
        <w:ind w:firstLine="560" w:firstLineChars="200"/>
        <w:rPr>
          <w:rFonts w:hint="default" w:eastAsia="宋体"/>
          <w:color w:val="auto"/>
          <w:highlight w:val="none"/>
          <w:lang w:val="en-US" w:eastAsia="zh-CN"/>
        </w:rPr>
      </w:pPr>
      <w:r>
        <w:rPr>
          <w:rFonts w:hint="eastAsia" w:cs="仿宋" w:asciiTheme="minorEastAsia" w:hAnsiTheme="minorEastAsia" w:eastAsiaTheme="minorEastAsia"/>
          <w:color w:val="auto"/>
          <w:sz w:val="28"/>
          <w:szCs w:val="28"/>
          <w:highlight w:val="none"/>
          <w:lang w:val="en-US" w:eastAsia="zh-CN"/>
        </w:rPr>
        <w:t>完成文物拼接后，对拼接好的文物进行三维数据采集。</w:t>
      </w:r>
    </w:p>
    <w:p>
      <w:pPr>
        <w:pStyle w:val="301"/>
        <w:spacing w:before="312"/>
        <w:rPr>
          <w:rFonts w:ascii="仿宋" w:hAnsi="仿宋" w:eastAsia="仿宋" w:cs="仿宋"/>
        </w:rPr>
      </w:pPr>
      <w:r>
        <w:rPr>
          <w:rFonts w:hint="eastAsia" w:ascii="仿宋" w:hAnsi="仿宋" w:eastAsia="仿宋" w:cs="仿宋"/>
        </w:rPr>
        <w:drawing>
          <wp:inline distT="0" distB="0" distL="0" distR="0">
            <wp:extent cx="5894070" cy="4203065"/>
            <wp:effectExtent l="0" t="0" r="11430" b="6985"/>
            <wp:docPr id="2" name="图片 2" descr="C:\Users\lenovo\Desktop\蒲江支架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蒲江支架图.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894070" cy="4203065"/>
                    </a:xfrm>
                    <a:prstGeom prst="rect">
                      <a:avLst/>
                    </a:prstGeom>
                    <a:noFill/>
                    <a:ln>
                      <a:noFill/>
                    </a:ln>
                  </pic:spPr>
                </pic:pic>
              </a:graphicData>
            </a:graphic>
          </wp:inline>
        </w:drawing>
      </w:r>
    </w:p>
    <w:p>
      <w:pPr>
        <w:pStyle w:val="294"/>
        <w:spacing w:after="0" w:afterLines="0"/>
        <w:rPr>
          <w:rFonts w:cs="仿宋" w:asciiTheme="minorEastAsia" w:hAnsiTheme="minorEastAsia"/>
          <w:sz w:val="28"/>
          <w:szCs w:val="28"/>
        </w:rPr>
      </w:pPr>
      <w:bookmarkStart w:id="185" w:name="_Toc70840807"/>
      <w:r>
        <w:rPr>
          <w:rFonts w:hint="eastAsia" w:cs="仿宋" w:asciiTheme="minorEastAsia" w:hAnsiTheme="minorEastAsia"/>
          <w:sz w:val="28"/>
          <w:szCs w:val="28"/>
        </w:rPr>
        <w:t>石刻搭建支架示意图</w:t>
      </w:r>
      <w:bookmarkEnd w:id="185"/>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拟采用工字钢、槽钢，局部加密筋进行框架制作，完成搭建。在施工过程中，可根据石材的重量和形状，对框架形状和材料进行调整，或另行计算。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石质构件搭建完成后，对其进行三维激光扫描，获取墓室结构模型，作为文物基础档案，也可用于后续虚拟展示。</w:t>
      </w:r>
    </w:p>
    <w:p>
      <w:pPr>
        <w:pStyle w:val="5"/>
        <w:numPr>
          <w:ilvl w:val="2"/>
          <w:numId w:val="0"/>
        </w:numPr>
        <w:ind w:left="420" w:leftChars="200" w:firstLine="3373" w:firstLineChars="1200"/>
        <w:rPr>
          <w:rFonts w:cs="仿宋" w:asciiTheme="minorEastAsia" w:hAnsiTheme="minorEastAsia" w:eastAsiaTheme="minorEastAsia"/>
        </w:rPr>
      </w:pPr>
      <w:bookmarkStart w:id="186" w:name="_Toc72087932"/>
      <w:r>
        <w:rPr>
          <w:rFonts w:hint="eastAsia" w:cs="仿宋" w:asciiTheme="minorEastAsia" w:hAnsiTheme="minorEastAsia" w:eastAsiaTheme="minorEastAsia"/>
        </w:rPr>
        <w:t>虚拟修复</w:t>
      </w:r>
      <w:bookmarkEnd w:id="186"/>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资料留取工作中对石质文物已进行三维结构数据采集，数据处理后对其进行还原拼接、调整、色彩校正。在此基础上对其进行数据拼接，完成虚拟修复。系统中将拆卸构件进行拼装，虚拟复原墓葬搬迁前该处构件的原貌。将石质构件搭建完成后所采集的墓室模型建立数据模块，导入虚拟展示系统。展厅内设置高清可触摸液晶展示台。</w:t>
      </w:r>
    </w:p>
    <w:p>
      <w:pPr>
        <w:spacing w:line="360" w:lineRule="auto"/>
        <w:ind w:left="420"/>
        <w:jc w:val="left"/>
        <w:rPr>
          <w:rFonts w:cs="仿宋" w:asciiTheme="minorEastAsia" w:hAnsiTheme="minorEastAsia" w:eastAsiaTheme="minorEastAsia"/>
          <w:b/>
          <w:sz w:val="28"/>
          <w:szCs w:val="28"/>
          <w:lang w:eastAsia="zh-Hans"/>
        </w:rPr>
      </w:pPr>
      <w:bookmarkStart w:id="187" w:name="_Toc29157"/>
      <w:bookmarkStart w:id="188" w:name="_Toc72087933"/>
      <w:r>
        <w:rPr>
          <w:rFonts w:hint="eastAsia" w:cs="仿宋" w:asciiTheme="minorEastAsia" w:hAnsiTheme="minorEastAsia" w:eastAsiaTheme="minorEastAsia"/>
          <w:b/>
          <w:sz w:val="28"/>
          <w:szCs w:val="28"/>
        </w:rPr>
        <w:t>四、</w:t>
      </w:r>
      <w:r>
        <w:rPr>
          <w:rFonts w:hint="eastAsia" w:cs="仿宋" w:asciiTheme="minorEastAsia" w:hAnsiTheme="minorEastAsia" w:eastAsiaTheme="minorEastAsia"/>
          <w:b/>
          <w:sz w:val="28"/>
          <w:szCs w:val="28"/>
          <w:lang w:eastAsia="zh-Hans"/>
        </w:rPr>
        <w:t>保护实施计划及注意事项</w:t>
      </w:r>
      <w:bookmarkEnd w:id="187"/>
      <w:bookmarkEnd w:id="188"/>
    </w:p>
    <w:p>
      <w:pPr>
        <w:pStyle w:val="5"/>
        <w:numPr>
          <w:ilvl w:val="2"/>
          <w:numId w:val="0"/>
        </w:numPr>
        <w:ind w:left="562"/>
        <w:jc w:val="center"/>
        <w:rPr>
          <w:rFonts w:cs="仿宋" w:asciiTheme="minorEastAsia" w:hAnsiTheme="minorEastAsia" w:eastAsiaTheme="minorEastAsia"/>
        </w:rPr>
      </w:pPr>
      <w:bookmarkStart w:id="189" w:name="_Toc28044"/>
      <w:bookmarkStart w:id="190" w:name="_Toc72087934"/>
      <w:r>
        <w:rPr>
          <w:rFonts w:hint="eastAsia" w:cs="仿宋" w:asciiTheme="minorEastAsia" w:hAnsiTheme="minorEastAsia" w:eastAsiaTheme="minorEastAsia"/>
        </w:rPr>
        <w:t>实施计划</w:t>
      </w:r>
      <w:bookmarkEnd w:id="189"/>
      <w:bookmarkEnd w:id="190"/>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 xml:space="preserve">保护修复施工主要包括彩绘颜料层表面污染物清洗、颜料层加固、生物病害的防治等。通过对石刻彩绘的详细勘察，对彩绘存在的病害进行科学分析，并根据实验室模拟保护和现场保护试验结果，对实验室及现场清洗、微生物防治及颜料层加固效果综合评估，所选的保护材料及保护修复工艺都具有较好的效果。  </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石刻彩绘保护修复施工工程技术要求较高，保护修复工程实施人员要求有一定经验的技术工人，在专家带领与指挥下进行保护修复，预计工程共需</w:t>
      </w:r>
      <w:r>
        <w:rPr>
          <w:rStyle w:val="302"/>
          <w:rFonts w:hint="eastAsia" w:cs="仿宋" w:asciiTheme="minorEastAsia" w:hAnsiTheme="minorEastAsia" w:eastAsiaTheme="minorEastAsia"/>
          <w:sz w:val="28"/>
          <w:szCs w:val="28"/>
        </w:rPr>
        <w:t>12</w:t>
      </w:r>
      <w:r>
        <w:rPr>
          <w:rStyle w:val="297"/>
          <w:rFonts w:hint="default" w:cs="仿宋" w:asciiTheme="minorEastAsia" w:hAnsiTheme="minorEastAsia" w:eastAsiaTheme="minorEastAsia"/>
          <w:sz w:val="28"/>
          <w:szCs w:val="28"/>
        </w:rPr>
        <w:t>个月，施工时间选择实施点相对干燥季节。</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保护工程要分阶段进行，边做保护工程边进行保护效果评估和监测。整个保护工程拟分为四个阶段实施。</w:t>
      </w:r>
      <w:r>
        <w:rPr>
          <w:rFonts w:hint="eastAsia" w:cs="仿宋" w:asciiTheme="minorEastAsia" w:hAnsiTheme="minorEastAsia" w:eastAsiaTheme="minorEastAsia"/>
          <w:color w:val="000000"/>
          <w:sz w:val="28"/>
          <w:szCs w:val="28"/>
        </w:rPr>
        <w:br w:type="textWrapping"/>
      </w:r>
      <w:r>
        <w:rPr>
          <w:rStyle w:val="297"/>
          <w:rFonts w:hint="default" w:cs="仿宋" w:asciiTheme="minorEastAsia" w:hAnsiTheme="minorEastAsia" w:eastAsiaTheme="minorEastAsia"/>
          <w:b/>
          <w:bCs/>
          <w:sz w:val="28"/>
          <w:szCs w:val="28"/>
        </w:rPr>
        <w:t xml:space="preserve">    （1）</w:t>
      </w:r>
      <w:r>
        <w:rPr>
          <w:rStyle w:val="297"/>
          <w:rFonts w:hint="default" w:cs="仿宋" w:asciiTheme="minorEastAsia" w:hAnsiTheme="minorEastAsia" w:eastAsiaTheme="minorEastAsia"/>
          <w:sz w:val="28"/>
          <w:szCs w:val="28"/>
        </w:rPr>
        <w:t>第一阶段：施工准备阶段</w:t>
      </w:r>
    </w:p>
    <w:p>
      <w:pPr>
        <w:ind w:firstLine="480"/>
        <w:rPr>
          <w:rStyle w:val="297"/>
          <w:rFonts w:hint="default" w:cs="仿宋" w:asciiTheme="minorEastAsia" w:hAnsiTheme="minorEastAsia" w:eastAsiaTheme="minorEastAsia"/>
          <w:b/>
          <w:bCs/>
          <w:sz w:val="28"/>
          <w:szCs w:val="28"/>
        </w:rPr>
      </w:pPr>
      <w:r>
        <w:rPr>
          <w:rStyle w:val="297"/>
          <w:rFonts w:hint="default" w:cs="仿宋" w:asciiTheme="minorEastAsia" w:hAnsiTheme="minorEastAsia" w:eastAsiaTheme="minorEastAsia"/>
          <w:sz w:val="28"/>
          <w:szCs w:val="28"/>
        </w:rPr>
        <w:t>施工材料的准备、石刻彩绘原始资料留取。</w:t>
      </w:r>
    </w:p>
    <w:p>
      <w:pPr>
        <w:ind w:firstLine="562" w:firstLineChars="20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b/>
          <w:bCs/>
          <w:sz w:val="28"/>
          <w:szCs w:val="28"/>
        </w:rPr>
        <w:t>（2）</w:t>
      </w:r>
      <w:r>
        <w:rPr>
          <w:rStyle w:val="297"/>
          <w:rFonts w:hint="default" w:cs="仿宋" w:asciiTheme="minorEastAsia" w:hAnsiTheme="minorEastAsia" w:eastAsiaTheme="minorEastAsia"/>
          <w:sz w:val="28"/>
          <w:szCs w:val="28"/>
        </w:rPr>
        <w:t>第二阶段：石刻彩绘表面清洗</w:t>
      </w:r>
      <w:r>
        <w:rPr>
          <w:rStyle w:val="297"/>
          <w:rFonts w:hint="default" w:cs="仿宋" w:asciiTheme="minorEastAsia" w:hAnsiTheme="minorEastAsia" w:eastAsiaTheme="minorEastAsia"/>
          <w:sz w:val="28"/>
          <w:szCs w:val="28"/>
        </w:rPr>
        <w:br w:type="textWrapping"/>
      </w:r>
      <w:r>
        <w:rPr>
          <w:rStyle w:val="297"/>
          <w:rFonts w:hint="default" w:cs="仿宋" w:asciiTheme="minorEastAsia" w:hAnsiTheme="minorEastAsia" w:eastAsiaTheme="minorEastAsia"/>
          <w:sz w:val="28"/>
          <w:szCs w:val="28"/>
        </w:rPr>
        <w:t>石刻彩绘表面水渍、泥渍等清理；石刻彩绘表面钙质结壳等污染物的清理。</w:t>
      </w:r>
      <w:r>
        <w:rPr>
          <w:rStyle w:val="297"/>
          <w:rFonts w:hint="default" w:cs="仿宋" w:asciiTheme="minorEastAsia" w:hAnsiTheme="minorEastAsia" w:eastAsiaTheme="minorEastAsia"/>
          <w:sz w:val="28"/>
          <w:szCs w:val="28"/>
        </w:rPr>
        <w:br w:type="textWrapping"/>
      </w:r>
      <w:r>
        <w:rPr>
          <w:rStyle w:val="297"/>
          <w:rFonts w:hint="default" w:cs="仿宋" w:asciiTheme="minorEastAsia" w:hAnsiTheme="minorEastAsia" w:eastAsiaTheme="minorEastAsia"/>
          <w:sz w:val="28"/>
          <w:szCs w:val="28"/>
        </w:rPr>
        <w:t xml:space="preserve">    </w:t>
      </w:r>
      <w:r>
        <w:rPr>
          <w:rStyle w:val="297"/>
          <w:rFonts w:hint="default" w:cs="仿宋" w:asciiTheme="minorEastAsia" w:hAnsiTheme="minorEastAsia" w:eastAsiaTheme="minorEastAsia"/>
          <w:b/>
          <w:bCs/>
          <w:sz w:val="28"/>
          <w:szCs w:val="28"/>
        </w:rPr>
        <w:t>（3）</w:t>
      </w:r>
      <w:r>
        <w:rPr>
          <w:rStyle w:val="297"/>
          <w:rFonts w:hint="default" w:cs="仿宋" w:asciiTheme="minorEastAsia" w:hAnsiTheme="minorEastAsia" w:eastAsiaTheme="minorEastAsia"/>
          <w:sz w:val="28"/>
          <w:szCs w:val="28"/>
        </w:rPr>
        <w:t>第三阶段：石刻彩绘表面生物病害的防治</w:t>
      </w:r>
    </w:p>
    <w:p>
      <w:pPr>
        <w:ind w:firstLine="641" w:firstLineChars="229"/>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石刻彩绘表面藻类的清除与防治；石刻彩绘表面微生物的清除；石刻彩绘表面微生物的防治。</w:t>
      </w:r>
    </w:p>
    <w:p>
      <w:pPr>
        <w:ind w:firstLine="482"/>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b/>
          <w:bCs/>
          <w:sz w:val="28"/>
          <w:szCs w:val="28"/>
        </w:rPr>
        <w:t>（4）</w:t>
      </w:r>
      <w:r>
        <w:rPr>
          <w:rStyle w:val="297"/>
          <w:rFonts w:hint="default" w:cs="仿宋" w:asciiTheme="minorEastAsia" w:hAnsiTheme="minorEastAsia" w:eastAsiaTheme="minorEastAsia"/>
          <w:sz w:val="28"/>
          <w:szCs w:val="28"/>
        </w:rPr>
        <w:t>第四阶段：石刻彩绘颜料层加固</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石刻彩绘颜料层的加固；加固效果检测。</w:t>
      </w:r>
    </w:p>
    <w:p>
      <w:pPr>
        <w:pStyle w:val="5"/>
        <w:numPr>
          <w:ilvl w:val="2"/>
          <w:numId w:val="0"/>
        </w:numPr>
        <w:ind w:left="562"/>
        <w:jc w:val="center"/>
        <w:rPr>
          <w:rFonts w:cs="仿宋" w:asciiTheme="minorEastAsia" w:hAnsiTheme="minorEastAsia" w:eastAsiaTheme="minorEastAsia"/>
        </w:rPr>
      </w:pPr>
      <w:bookmarkStart w:id="191" w:name="_Toc72087935"/>
      <w:bookmarkStart w:id="192" w:name="_Toc21751"/>
      <w:r>
        <w:rPr>
          <w:rFonts w:hint="eastAsia" w:cs="仿宋" w:asciiTheme="minorEastAsia" w:hAnsiTheme="minorEastAsia" w:eastAsiaTheme="minorEastAsia"/>
        </w:rPr>
        <w:t>实施要点及注意事项</w:t>
      </w:r>
      <w:bookmarkEnd w:id="191"/>
      <w:bookmarkEnd w:id="192"/>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本方案所涉及的工作内容具有较高的技术含量，并且人员和设备投入量大，必须在总体方案的指导下，实施全过程、全方位的管理，贯彻 “优化设计，科学组织；严格管理，有效监控”的十六字方针，保证工程实施技术的严格性和科学性。</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（1）施工中要充分作好施工记录和档案；修补、增加部位的记录；特殊工艺和施工方法记录。</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（2）由于大部分保护材料本身有一定的毒副作用，施工时必须做好防护工作。</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（3）在石刻彩绘表面进行施工时，要保证文物安全，不得直接摸、碰石刻彩绘表面，必要时在石刻彩绘表面铺设保护垫层。</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（4）加固材料喷涂要均匀，不留死角，喷涂的压力要把握好，避免压力过大造成石刻彩绘表面的破坏。</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（5）对废弃化学药剂进行统一管理，交由专门机构或单位处理，同时施工周边环境要采取必要的保护措施，以保证周围自然环境不被污染。</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（6）由于这批石刻彩绘病害情况复杂，因此施工过程中根据遇到的实际情况，可设计做适当的变更。把好每个工序的质量关，要建立严格的监理验收制度。</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（7） 施工人员必须要做好安全防护工作，工人上岗之前需要进行专门的文物保护知识及施工安全知识的培训。</w:t>
      </w:r>
    </w:p>
    <w:p>
      <w:pPr>
        <w:ind w:firstLine="480"/>
        <w:rPr>
          <w:rStyle w:val="297"/>
          <w:rFonts w:hint="default" w:cs="仿宋" w:asciiTheme="minorEastAsia" w:hAnsiTheme="minorEastAsia" w:eastAsiaTheme="minorEastAsia"/>
          <w:sz w:val="28"/>
          <w:szCs w:val="28"/>
        </w:rPr>
      </w:pPr>
      <w:r>
        <w:rPr>
          <w:rStyle w:val="297"/>
          <w:rFonts w:hint="default" w:cs="仿宋" w:asciiTheme="minorEastAsia" w:hAnsiTheme="minorEastAsia" w:eastAsiaTheme="minorEastAsia"/>
          <w:sz w:val="28"/>
          <w:szCs w:val="28"/>
        </w:rPr>
        <w:t>（8）施工时严格按照各种材料的施工工艺进行，下个程序的施工要在上一程序检查合格后才能进行。</w:t>
      </w:r>
      <w:bookmarkStart w:id="193" w:name="_Toc72087936"/>
    </w:p>
    <w:p>
      <w:pPr>
        <w:spacing w:line="360" w:lineRule="auto"/>
        <w:ind w:left="420"/>
        <w:jc w:val="left"/>
        <w:rPr>
          <w:rFonts w:cs="仿宋" w:asciiTheme="minorEastAsia" w:hAnsiTheme="minorEastAsia" w:eastAsiaTheme="minorEastAsia"/>
          <w:b/>
          <w:sz w:val="28"/>
          <w:szCs w:val="28"/>
          <w:lang w:eastAsia="zh-Hans"/>
        </w:rPr>
      </w:pPr>
      <w:r>
        <w:rPr>
          <w:rFonts w:hint="eastAsia" w:cs="仿宋" w:asciiTheme="minorEastAsia" w:hAnsiTheme="minorEastAsia" w:eastAsiaTheme="minorEastAsia"/>
          <w:b/>
          <w:sz w:val="28"/>
          <w:szCs w:val="28"/>
        </w:rPr>
        <w:t>五、</w:t>
      </w:r>
      <w:r>
        <w:rPr>
          <w:rFonts w:hint="eastAsia" w:cs="仿宋" w:asciiTheme="minorEastAsia" w:hAnsiTheme="minorEastAsia" w:eastAsiaTheme="minorEastAsia"/>
          <w:b/>
          <w:sz w:val="28"/>
          <w:szCs w:val="28"/>
          <w:lang w:eastAsia="zh-Hans"/>
        </w:rPr>
        <w:t>保护修复的措施、步骤与要求</w:t>
      </w:r>
      <w:bookmarkEnd w:id="193"/>
    </w:p>
    <w:p>
      <w:pPr>
        <w:pStyle w:val="4"/>
        <w:numPr>
          <w:ilvl w:val="1"/>
          <w:numId w:val="0"/>
        </w:numPr>
        <w:jc w:val="center"/>
        <w:rPr>
          <w:rFonts w:cs="仿宋" w:asciiTheme="minorEastAsia" w:hAnsiTheme="minorEastAsia" w:eastAsiaTheme="minorEastAsia"/>
        </w:rPr>
      </w:pPr>
      <w:bookmarkStart w:id="194" w:name="_Toc72087937"/>
      <w:r>
        <w:rPr>
          <w:rFonts w:hint="eastAsia" w:cs="仿宋" w:asciiTheme="minorEastAsia" w:hAnsiTheme="minorEastAsia" w:eastAsiaTheme="minorEastAsia"/>
        </w:rPr>
        <w:t>石刻彩绘保护修复措施</w:t>
      </w:r>
      <w:bookmarkEnd w:id="194"/>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不同石刻彩绘之间有着不同的病害种类、面积，因此下文针对每一件石刻彩绘都制定拟开展的保护修复措施、步骤。</w:t>
      </w:r>
    </w:p>
    <w:p>
      <w:pPr>
        <w:pStyle w:val="5"/>
        <w:numPr>
          <w:ilvl w:val="2"/>
          <w:numId w:val="0"/>
        </w:numPr>
        <w:rPr>
          <w:rFonts w:cs="仿宋" w:asciiTheme="minorEastAsia" w:hAnsiTheme="minorEastAsia" w:eastAsiaTheme="minorEastAsia"/>
        </w:rPr>
      </w:pPr>
      <w:bookmarkStart w:id="195" w:name="_Toc72087938"/>
      <w:bookmarkStart w:id="196" w:name="_Toc67678614"/>
      <w:r>
        <w:rPr>
          <w:rFonts w:hint="eastAsia" w:cs="仿宋" w:asciiTheme="minorEastAsia" w:hAnsiTheme="minorEastAsia" w:eastAsiaTheme="minorEastAsia"/>
        </w:rPr>
        <w:t>17SJ-0022的保护修复步骤</w:t>
      </w:r>
      <w:bookmarkEnd w:id="195"/>
      <w:bookmarkEnd w:id="196"/>
    </w:p>
    <w:tbl>
      <w:tblPr>
        <w:tblStyle w:val="43"/>
        <w:tblW w:w="9032"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61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6" w:type="dxa"/>
            <w:tcBorders>
              <w:top w:val="nil"/>
              <w:left w:val="nil"/>
              <w:bottom w:val="nil"/>
              <w:right w:val="nil"/>
            </w:tcBorders>
            <w:vAlign w:val="center"/>
          </w:tcPr>
          <w:p>
            <w:pPr>
              <w:ind w:firstLine="480"/>
              <w:jc w:val="center"/>
              <w:rPr>
                <w:rFonts w:cs="仿宋" w:asciiTheme="minorEastAsia" w:hAnsiTheme="minorEastAsia" w:eastAsiaTheme="minorEastAsia"/>
                <w:szCs w:val="24"/>
              </w:rPr>
            </w:pPr>
            <w:r>
              <w:rPr>
                <w:rFonts w:hint="eastAsia" w:cs="仿宋" w:asciiTheme="minorEastAsia" w:hAnsiTheme="minorEastAsia" w:eastAsiaTheme="minorEastAsia"/>
                <w:color w:val="000000"/>
              </w:rPr>
              <w:drawing>
                <wp:inline distT="0" distB="0" distL="0" distR="0">
                  <wp:extent cx="2098675" cy="1430020"/>
                  <wp:effectExtent l="0" t="0" r="15875" b="1778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0289" cy="1437982"/>
                          </a:xfrm>
                          <a:prstGeom prst="rect">
                            <a:avLst/>
                          </a:prstGeom>
                        </pic:spPr>
                      </pic:pic>
                    </a:graphicData>
                  </a:graphic>
                </wp:inline>
              </w:drawing>
            </w:r>
          </w:p>
        </w:tc>
        <w:tc>
          <w:tcPr>
            <w:tcW w:w="4616" w:type="dxa"/>
            <w:tcBorders>
              <w:top w:val="nil"/>
              <w:left w:val="nil"/>
              <w:bottom w:val="nil"/>
              <w:right w:val="nil"/>
            </w:tcBorders>
            <w:vAlign w:val="center"/>
          </w:tcPr>
          <w:p>
            <w:pPr>
              <w:ind w:firstLine="480"/>
              <w:jc w:val="center"/>
              <w:rPr>
                <w:rFonts w:cs="仿宋" w:asciiTheme="minorEastAsia" w:hAnsiTheme="minorEastAsia" w:eastAsiaTheme="minorEastAsia"/>
                <w:szCs w:val="24"/>
              </w:rPr>
            </w:pPr>
            <w:r>
              <w:rPr>
                <w:rFonts w:hint="eastAsia" w:cs="仿宋" w:asciiTheme="minorEastAsia" w:hAnsiTheme="minorEastAsia" w:eastAsiaTheme="minorEastAsia"/>
                <w:color w:val="000000"/>
              </w:rPr>
              <w:drawing>
                <wp:inline distT="0" distB="0" distL="0" distR="0">
                  <wp:extent cx="2468245" cy="1389380"/>
                  <wp:effectExtent l="0" t="0" r="8255"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3802" cy="1398026"/>
                          </a:xfrm>
                          <a:prstGeom prst="rect">
                            <a:avLst/>
                          </a:prstGeom>
                        </pic:spPr>
                      </pic:pic>
                    </a:graphicData>
                  </a:graphic>
                </wp:inline>
              </w:drawing>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6" w:type="dxa"/>
            <w:tcBorders>
              <w:top w:val="nil"/>
              <w:left w:val="nil"/>
              <w:bottom w:val="nil"/>
              <w:right w:val="nil"/>
            </w:tcBorders>
            <w:vAlign w:val="center"/>
          </w:tcPr>
          <w:p>
            <w:pPr>
              <w:ind w:firstLine="480"/>
              <w:jc w:val="center"/>
              <w:rPr>
                <w:rFonts w:cs="仿宋" w:asciiTheme="minorEastAsia" w:hAnsiTheme="minorEastAsia" w:eastAsiaTheme="minorEastAsia"/>
                <w:szCs w:val="24"/>
              </w:rPr>
            </w:pPr>
            <w:r>
              <w:rPr>
                <w:rFonts w:hint="eastAsia" w:cs="仿宋" w:asciiTheme="minorEastAsia" w:hAnsiTheme="minorEastAsia" w:eastAsiaTheme="minorEastAsia"/>
                <w:color w:val="000000"/>
              </w:rPr>
              <w:drawing>
                <wp:inline distT="0" distB="0" distL="0" distR="0">
                  <wp:extent cx="2339975" cy="2437130"/>
                  <wp:effectExtent l="0" t="0" r="3175" b="127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000" cy="2437200"/>
                          </a:xfrm>
                          <a:prstGeom prst="rect">
                            <a:avLst/>
                          </a:prstGeom>
                        </pic:spPr>
                      </pic:pic>
                    </a:graphicData>
                  </a:graphic>
                </wp:inline>
              </w:drawing>
            </w:r>
          </w:p>
        </w:tc>
        <w:tc>
          <w:tcPr>
            <w:tcW w:w="4616" w:type="dxa"/>
            <w:tcBorders>
              <w:top w:val="nil"/>
              <w:left w:val="nil"/>
              <w:bottom w:val="nil"/>
              <w:right w:val="nil"/>
            </w:tcBorders>
            <w:vAlign w:val="center"/>
          </w:tcPr>
          <w:p>
            <w:pPr>
              <w:ind w:firstLine="480"/>
              <w:jc w:val="center"/>
              <w:rPr>
                <w:rFonts w:cs="仿宋" w:asciiTheme="minorEastAsia" w:hAnsiTheme="minorEastAsia" w:eastAsiaTheme="minorEastAsia"/>
                <w:szCs w:val="24"/>
              </w:rPr>
            </w:pPr>
            <w:r>
              <w:rPr>
                <w:rFonts w:hint="eastAsia" w:cs="仿宋" w:asciiTheme="minorEastAsia" w:hAnsiTheme="minorEastAsia" w:eastAsiaTheme="minorEastAsia"/>
                <w:color w:val="000000"/>
              </w:rPr>
              <w:drawing>
                <wp:inline distT="0" distB="0" distL="0" distR="0">
                  <wp:extent cx="2339975" cy="2437130"/>
                  <wp:effectExtent l="0" t="0" r="3175" b="127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000" cy="2437200"/>
                          </a:xfrm>
                          <a:prstGeom prst="rect">
                            <a:avLst/>
                          </a:prstGeom>
                        </pic:spPr>
                      </pic:pic>
                    </a:graphicData>
                  </a:graphic>
                </wp:inline>
              </w:drawing>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32" w:type="dxa"/>
            <w:gridSpan w:val="2"/>
            <w:tcBorders>
              <w:top w:val="nil"/>
              <w:left w:val="nil"/>
              <w:bottom w:val="nil"/>
              <w:right w:val="nil"/>
            </w:tcBorders>
            <w:vAlign w:val="center"/>
          </w:tcPr>
          <w:p>
            <w:pPr>
              <w:pStyle w:val="294"/>
              <w:widowControl w:val="0"/>
              <w:spacing w:after="312"/>
              <w:rPr>
                <w:rFonts w:cs="仿宋" w:asciiTheme="minorEastAsia" w:hAnsiTheme="minorEastAsia" w:eastAsiaTheme="minorEastAsia"/>
                <w:sz w:val="22"/>
              </w:rPr>
            </w:pPr>
            <w:bookmarkStart w:id="197" w:name="_Hlk67646175"/>
            <w:bookmarkStart w:id="198" w:name="_Toc70840808"/>
            <w:r>
              <w:rPr>
                <w:rFonts w:hint="eastAsia" w:cs="仿宋" w:asciiTheme="minorEastAsia" w:hAnsiTheme="minorEastAsia" w:eastAsiaTheme="minorEastAsia"/>
              </w:rPr>
              <w:t xml:space="preserve">  17SJ-0022照片</w:t>
            </w:r>
            <w:bookmarkEnd w:id="197"/>
            <w:bookmarkEnd w:id="198"/>
          </w:p>
        </w:tc>
      </w:tr>
    </w:tbl>
    <w:p>
      <w:pPr>
        <w:pStyle w:val="295"/>
        <w:spacing w:before="312" w:after="156"/>
        <w:rPr>
          <w:rFonts w:cs="仿宋" w:asciiTheme="minorEastAsia" w:hAnsiTheme="minorEastAsia" w:eastAsiaTheme="minorEastAsia"/>
        </w:rPr>
      </w:pPr>
      <w:bookmarkStart w:id="199" w:name="_Toc70840883"/>
      <w:r>
        <w:rPr>
          <w:rFonts w:hint="eastAsia" w:cs="仿宋" w:asciiTheme="minorEastAsia" w:hAnsiTheme="minorEastAsia" w:eastAsiaTheme="minorEastAsia"/>
        </w:rPr>
        <w:t>17SJ-0022病害类型及面积</w:t>
      </w:r>
      <w:bookmarkEnd w:id="199"/>
    </w:p>
    <w:tbl>
      <w:tblPr>
        <w:tblStyle w:val="4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2301"/>
        <w:gridCol w:w="3289"/>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640" w:type="dxa"/>
            <w:vAlign w:val="center"/>
          </w:tcPr>
          <w:p>
            <w:pPr>
              <w:widowControl/>
              <w:rPr>
                <w:rFonts w:cs="仿宋" w:asciiTheme="minorEastAsia" w:hAnsiTheme="minorEastAsia" w:eastAsiaTheme="minorEastAsia"/>
                <w:szCs w:val="21"/>
              </w:rPr>
            </w:pPr>
            <w:r>
              <w:rPr>
                <w:rFonts w:hint="eastAsia" w:cs="仿宋" w:asciiTheme="minorEastAsia" w:hAnsiTheme="minorEastAsia" w:eastAsiaTheme="minorEastAsia"/>
                <w:szCs w:val="21"/>
              </w:rPr>
              <w:t>文物编号</w:t>
            </w:r>
          </w:p>
        </w:tc>
        <w:tc>
          <w:tcPr>
            <w:tcW w:w="2301"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表面附着物</w:t>
            </w:r>
          </w:p>
        </w:tc>
        <w:tc>
          <w:tcPr>
            <w:tcW w:w="3289"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积尘</w:t>
            </w:r>
          </w:p>
        </w:tc>
        <w:tc>
          <w:tcPr>
            <w:tcW w:w="2971"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40" w:type="dxa"/>
            <w:noWrap/>
            <w:vAlign w:val="center"/>
          </w:tcPr>
          <w:p>
            <w:pPr>
              <w:widowControl/>
              <w:rPr>
                <w:rFonts w:cs="仿宋" w:asciiTheme="minorEastAsia" w:hAnsiTheme="minorEastAsia" w:eastAsiaTheme="minorEastAsia"/>
                <w:szCs w:val="21"/>
              </w:rPr>
            </w:pPr>
            <w:r>
              <w:rPr>
                <w:rFonts w:hint="eastAsia" w:cs="仿宋" w:asciiTheme="minorEastAsia" w:hAnsiTheme="minorEastAsia" w:eastAsiaTheme="minorEastAsia"/>
                <w:szCs w:val="21"/>
              </w:rPr>
              <w:t>17SJ-0022</w:t>
            </w:r>
          </w:p>
        </w:tc>
        <w:tc>
          <w:tcPr>
            <w:tcW w:w="2301"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2.21</w:t>
            </w:r>
          </w:p>
        </w:tc>
        <w:tc>
          <w:tcPr>
            <w:tcW w:w="3289"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2.56</w:t>
            </w:r>
          </w:p>
        </w:tc>
        <w:tc>
          <w:tcPr>
            <w:tcW w:w="2971" w:type="dxa"/>
            <w:noWrap/>
            <w:vAlign w:val="center"/>
          </w:tcPr>
          <w:p>
            <w:pPr>
              <w:widowControl/>
              <w:ind w:firstLine="420"/>
              <w:jc w:val="center"/>
              <w:rPr>
                <w:rFonts w:cs="仿宋" w:asciiTheme="minorEastAsia" w:hAnsiTheme="minorEastAsia" w:eastAsiaTheme="minorEastAsia"/>
                <w:szCs w:val="21"/>
              </w:rPr>
            </w:pPr>
            <w:r>
              <w:rPr>
                <w:rFonts w:hint="eastAsia" w:cs="仿宋" w:asciiTheme="minorEastAsia" w:hAnsiTheme="minorEastAsia" w:eastAsiaTheme="minorEastAsia"/>
                <w:szCs w:val="21"/>
              </w:rPr>
              <w:t>0.45</w:t>
            </w:r>
          </w:p>
        </w:tc>
      </w:tr>
    </w:tbl>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②待表面干燥后，涂刷前期试验中效果良好的3%的丙烯酸乳液和3%的氟硅分别对彩绘层和石质基体进行渗透加固保护，从下往上涂刷，保证不形成挂流。根据风化程度的不同分别进行1～3次施工。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00" w:name="_Hlk67606838"/>
      <w:bookmarkStart w:id="201" w:name="_Toc67678615"/>
      <w:bookmarkStart w:id="202" w:name="_Toc72087939"/>
      <w:r>
        <w:rPr>
          <w:rFonts w:hint="eastAsia" w:cs="仿宋" w:asciiTheme="minorEastAsia" w:hAnsiTheme="minorEastAsia" w:eastAsiaTheme="minorEastAsia"/>
        </w:rPr>
        <w:t>BM2-QS-A-1</w:t>
      </w:r>
      <w:bookmarkEnd w:id="200"/>
      <w:bookmarkEnd w:id="201"/>
      <w:r>
        <w:rPr>
          <w:rFonts w:hint="eastAsia" w:cs="仿宋" w:asciiTheme="minorEastAsia" w:hAnsiTheme="minorEastAsia" w:eastAsiaTheme="minorEastAsia"/>
        </w:rPr>
        <w:t>的保护修复步骤</w:t>
      </w:r>
      <w:bookmarkEnd w:id="202"/>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521335"/>
            <wp:effectExtent l="0" t="0" r="13335" b="1206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20000" cy="521403"/>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03" w:name="_Toc70840809"/>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BM2-QS-A-1照片</w:t>
      </w:r>
      <w:bookmarkEnd w:id="203"/>
    </w:p>
    <w:p>
      <w:pPr>
        <w:pStyle w:val="295"/>
        <w:spacing w:before="312" w:after="156"/>
        <w:rPr>
          <w:rFonts w:cs="仿宋" w:asciiTheme="minorEastAsia" w:hAnsiTheme="minorEastAsia" w:eastAsiaTheme="minorEastAsia"/>
          <w:sz w:val="28"/>
          <w:szCs w:val="28"/>
        </w:rPr>
      </w:pPr>
      <w:bookmarkStart w:id="204" w:name="_Toc70840884"/>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BM2-QS-A-1病害类型及面积</w:t>
      </w:r>
      <w:bookmarkEnd w:id="204"/>
    </w:p>
    <w:tbl>
      <w:tblPr>
        <w:tblStyle w:val="43"/>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843"/>
        <w:gridCol w:w="1701"/>
        <w:gridCol w:w="2284"/>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843"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1701"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2284"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905" w:type="dxa"/>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 w:hRule="atLeast"/>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BM2-QS-A-1</w:t>
            </w:r>
          </w:p>
        </w:tc>
        <w:tc>
          <w:tcPr>
            <w:tcW w:w="1843"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0.07</w:t>
            </w:r>
          </w:p>
        </w:tc>
        <w:tc>
          <w:tcPr>
            <w:tcW w:w="1701"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1.01</w:t>
            </w:r>
          </w:p>
        </w:tc>
        <w:tc>
          <w:tcPr>
            <w:tcW w:w="2284"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0.22</w:t>
            </w:r>
          </w:p>
        </w:tc>
        <w:tc>
          <w:tcPr>
            <w:tcW w:w="1905" w:type="dxa"/>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w:t>
            </w:r>
          </w:p>
        </w:tc>
      </w:tr>
    </w:tbl>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②待表面干燥后，涂刷前期试验中效果良好的3%的丙烯酸乳液和3%的氟硅分别对彩绘层和石质基体进行渗透加固保护，从下往上涂刷，保证不形成挂流。根据风化程度的不同分别进行1～3次施工。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05" w:name="_Toc67678616"/>
      <w:bookmarkStart w:id="206" w:name="_Toc72087940"/>
      <w:bookmarkStart w:id="207" w:name="_Hlk67608410"/>
      <w:r>
        <w:rPr>
          <w:rFonts w:hint="eastAsia" w:cs="仿宋" w:asciiTheme="minorEastAsia" w:hAnsiTheme="minorEastAsia" w:eastAsiaTheme="minorEastAsia"/>
        </w:rPr>
        <w:t>BM2-QS-A-2</w:t>
      </w:r>
      <w:bookmarkEnd w:id="205"/>
      <w:r>
        <w:rPr>
          <w:rFonts w:hint="eastAsia" w:cs="仿宋" w:asciiTheme="minorEastAsia" w:hAnsiTheme="minorEastAsia" w:eastAsiaTheme="minorEastAsia"/>
        </w:rPr>
        <w:t>的保护修复步骤</w:t>
      </w:r>
      <w:bookmarkEnd w:id="206"/>
    </w:p>
    <w:tbl>
      <w:tblPr>
        <w:tblStyle w:val="43"/>
        <w:tblW w:w="8306" w:type="dxa"/>
        <w:tblInd w:w="672"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tcBorders>
              <w:top w:val="nil"/>
              <w:left w:val="nil"/>
              <w:bottom w:val="nil"/>
              <w:right w:val="nil"/>
            </w:tcBorders>
            <w:vAlign w:val="center"/>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77545"/>
                  <wp:effectExtent l="0" t="0" r="13335" b="825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520000" cy="677508"/>
                          </a:xfrm>
                          <a:prstGeom prst="rect">
                            <a:avLst/>
                          </a:prstGeom>
                          <a:noFill/>
                        </pic:spPr>
                      </pic:pic>
                    </a:graphicData>
                  </a:graphic>
                </wp:inline>
              </w:drawing>
            </w:r>
          </w:p>
          <w:p>
            <w:pPr>
              <w:pStyle w:val="294"/>
              <w:widowControl w:val="0"/>
              <w:spacing w:after="312"/>
              <w:rPr>
                <w:rFonts w:cs="仿宋" w:asciiTheme="minorEastAsia" w:hAnsiTheme="minorEastAsia" w:eastAsiaTheme="minorEastAsia"/>
                <w:sz w:val="28"/>
                <w:szCs w:val="28"/>
              </w:rPr>
            </w:pPr>
            <w:bookmarkStart w:id="208" w:name="_Hlk67665002"/>
            <w:bookmarkStart w:id="209" w:name="_Toc70840810"/>
            <w:r>
              <w:rPr>
                <w:rFonts w:hint="eastAsia" w:cs="仿宋" w:asciiTheme="minorEastAsia" w:hAnsiTheme="minorEastAsia" w:eastAsiaTheme="minorEastAsia"/>
                <w:sz w:val="28"/>
                <w:szCs w:val="28"/>
              </w:rPr>
              <w:t xml:space="preserve">图 </w:t>
            </w:r>
            <w:r>
              <w:rPr>
                <w:rFonts w:hint="eastAsia" w:eastAsia="宋体" w:cs="仿宋" w:asciiTheme="minorEastAsia" w:hAnsi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eastAsia="宋体" w:cs="仿宋" w:asciiTheme="minorEastAsia" w:hAnsiTheme="minorEastAsia"/>
                <w:sz w:val="28"/>
                <w:szCs w:val="28"/>
              </w:rPr>
              <w:fldChar w:fldCharType="separate"/>
            </w:r>
            <w:r>
              <w:rPr>
                <w:rFonts w:hint="eastAsia" w:cs="仿宋" w:asciiTheme="minorEastAsia" w:hAnsiTheme="minorEastAsia" w:eastAsiaTheme="minorEastAsia"/>
                <w:sz w:val="28"/>
                <w:szCs w:val="28"/>
              </w:rPr>
              <w:t>7</w:t>
            </w:r>
            <w:r>
              <w:rPr>
                <w:rFonts w:hint="eastAsia" w:eastAsia="宋体" w:cs="仿宋" w:asciiTheme="minorEastAsia" w:hAnsiTheme="minorEastAsia"/>
                <w:sz w:val="28"/>
                <w:szCs w:val="28"/>
              </w:rPr>
              <w:fldChar w:fldCharType="end"/>
            </w:r>
            <w:r>
              <w:rPr>
                <w:rFonts w:hint="eastAsia" w:cs="仿宋" w:asciiTheme="minorEastAsia" w:hAnsiTheme="minorEastAsia" w:eastAsiaTheme="minorEastAsia"/>
                <w:sz w:val="28"/>
                <w:szCs w:val="28"/>
              </w:rPr>
              <w:noBreakHyphen/>
            </w:r>
            <w:r>
              <w:rPr>
                <w:rFonts w:hint="eastAsia" w:eastAsia="宋体" w:cs="仿宋" w:asciiTheme="minorEastAsia" w:hAnsiTheme="minorEastAsia"/>
                <w:sz w:val="28"/>
                <w:szCs w:val="28"/>
              </w:rPr>
              <w:fldChar w:fldCharType="begin"/>
            </w:r>
            <w:r>
              <w:rPr>
                <w:rFonts w:hint="eastAsia" w:cs="仿宋" w:asciiTheme="minorEastAsia" w:hAnsiTheme="minorEastAsia" w:eastAsiaTheme="minorEastAsia"/>
                <w:sz w:val="28"/>
                <w:szCs w:val="28"/>
              </w:rPr>
              <w:instrText xml:space="preserve"> SEQ 图 \* ARABIC \s 1 </w:instrText>
            </w:r>
            <w:r>
              <w:rPr>
                <w:rFonts w:hint="eastAsia" w:eastAsia="宋体" w:cs="仿宋" w:asciiTheme="minorEastAsia" w:hAnsiTheme="minorEastAsia"/>
                <w:sz w:val="28"/>
                <w:szCs w:val="28"/>
              </w:rPr>
              <w:fldChar w:fldCharType="separate"/>
            </w:r>
            <w:r>
              <w:rPr>
                <w:rFonts w:hint="eastAsia" w:cs="仿宋" w:asciiTheme="minorEastAsia" w:hAnsiTheme="minorEastAsia" w:eastAsiaTheme="minorEastAsia"/>
                <w:sz w:val="28"/>
                <w:szCs w:val="28"/>
              </w:rPr>
              <w:t>3</w:t>
            </w:r>
            <w:r>
              <w:rPr>
                <w:rFonts w:hint="eastAsia" w:eastAsia="宋体" w:cs="仿宋" w:asciiTheme="minorEastAsia" w:hAnsiTheme="minorEastAsia"/>
                <w:sz w:val="28"/>
                <w:szCs w:val="28"/>
              </w:rPr>
              <w:fldChar w:fldCharType="end"/>
            </w:r>
            <w:r>
              <w:rPr>
                <w:rFonts w:hint="eastAsia" w:cs="仿宋" w:asciiTheme="minorEastAsia" w:hAnsiTheme="minorEastAsia" w:eastAsiaTheme="minorEastAsia"/>
                <w:sz w:val="28"/>
                <w:szCs w:val="28"/>
              </w:rPr>
              <w:t xml:space="preserve"> </w:t>
            </w:r>
            <w:bookmarkEnd w:id="208"/>
            <w:r>
              <w:rPr>
                <w:rFonts w:hint="eastAsia" w:cs="仿宋" w:asciiTheme="minorEastAsia" w:hAnsiTheme="minorEastAsia" w:eastAsiaTheme="minorEastAsia"/>
                <w:sz w:val="28"/>
                <w:szCs w:val="28"/>
              </w:rPr>
              <w:t xml:space="preserve">  BM2-QS-A-2照片</w:t>
            </w:r>
            <w:bookmarkEnd w:id="209"/>
          </w:p>
        </w:tc>
      </w:tr>
    </w:tbl>
    <w:p>
      <w:pPr>
        <w:pStyle w:val="295"/>
        <w:spacing w:before="312" w:after="156"/>
        <w:rPr>
          <w:rFonts w:cs="仿宋" w:asciiTheme="minorEastAsia" w:hAnsiTheme="minorEastAsia" w:eastAsiaTheme="minorEastAsia"/>
          <w:sz w:val="28"/>
          <w:szCs w:val="28"/>
        </w:rPr>
      </w:pPr>
      <w:bookmarkStart w:id="210" w:name="_Hlk67665009"/>
      <w:bookmarkStart w:id="211" w:name="_Toc70840885"/>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w:t>
      </w:r>
      <w:bookmarkEnd w:id="210"/>
      <w:r>
        <w:rPr>
          <w:rFonts w:hint="eastAsia" w:cs="仿宋" w:asciiTheme="minorEastAsia" w:hAnsiTheme="minorEastAsia" w:eastAsiaTheme="minorEastAsia"/>
          <w:sz w:val="28"/>
          <w:szCs w:val="28"/>
        </w:rPr>
        <w:t xml:space="preserve"> BM2-QS-A-2病害类型及面积</w:t>
      </w:r>
      <w:bookmarkEnd w:id="211"/>
    </w:p>
    <w:tbl>
      <w:tblPr>
        <w:tblStyle w:val="4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16"/>
        <w:gridCol w:w="939"/>
        <w:gridCol w:w="1427"/>
        <w:gridCol w:w="1750"/>
        <w:gridCol w:w="1913"/>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939"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427"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75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913"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940"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泥渍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BM2-QS-A-2</w:t>
            </w:r>
          </w:p>
        </w:tc>
        <w:tc>
          <w:tcPr>
            <w:tcW w:w="1616" w:type="dxa"/>
            <w:noWrap/>
            <w:vAlign w:val="center"/>
          </w:tcPr>
          <w:p>
            <w:pPr>
              <w:widowControl/>
              <w:ind w:firstLine="42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0.03</w:t>
            </w:r>
          </w:p>
        </w:tc>
        <w:tc>
          <w:tcPr>
            <w:tcW w:w="939"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1.04</w:t>
            </w:r>
          </w:p>
        </w:tc>
        <w:tc>
          <w:tcPr>
            <w:tcW w:w="1427" w:type="dxa"/>
          </w:tcPr>
          <w:p>
            <w:pPr>
              <w:widowControl/>
              <w:ind w:firstLine="232" w:firstLineChars="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0.39</w:t>
            </w:r>
          </w:p>
        </w:tc>
        <w:tc>
          <w:tcPr>
            <w:tcW w:w="1750" w:type="dxa"/>
            <w:noWrap/>
            <w:vAlign w:val="center"/>
          </w:tcPr>
          <w:p>
            <w:pPr>
              <w:widowControl/>
              <w:ind w:firstLine="42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0.06</w:t>
            </w:r>
          </w:p>
        </w:tc>
        <w:tc>
          <w:tcPr>
            <w:tcW w:w="1913" w:type="dxa"/>
          </w:tcPr>
          <w:p>
            <w:pPr>
              <w:widowControl/>
              <w:ind w:firstLine="42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0.004</w:t>
            </w:r>
          </w:p>
        </w:tc>
        <w:tc>
          <w:tcPr>
            <w:tcW w:w="940"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0.61</w:t>
            </w:r>
          </w:p>
        </w:tc>
      </w:tr>
      <w:bookmarkEnd w:id="207"/>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修复措施:</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232" w:firstLineChars="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②待表面干燥后，涂刷前期试验中效果良好的3%的丙烯酸乳液和3%的氟硅分别对彩绘层和石质基体进行渗透加固保护，从下往上涂刷，保证不形成挂流。根据风化程度的不同分别进行1～3次施工。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12" w:name="_Toc67678617"/>
      <w:bookmarkStart w:id="213" w:name="_Toc72087941"/>
      <w:r>
        <w:rPr>
          <w:rFonts w:hint="eastAsia" w:cs="仿宋" w:asciiTheme="minorEastAsia" w:hAnsiTheme="minorEastAsia" w:eastAsiaTheme="minorEastAsia"/>
        </w:rPr>
        <w:t>BM2-QS-A-3</w:t>
      </w:r>
      <w:bookmarkEnd w:id="212"/>
      <w:r>
        <w:rPr>
          <w:rFonts w:hint="eastAsia" w:cs="仿宋" w:asciiTheme="minorEastAsia" w:hAnsiTheme="minorEastAsia" w:eastAsiaTheme="minorEastAsia"/>
        </w:rPr>
        <w:t>的保护修复步骤</w:t>
      </w:r>
      <w:bookmarkEnd w:id="213"/>
    </w:p>
    <w:tbl>
      <w:tblPr>
        <w:tblStyle w:val="4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ind w:firstLine="480"/>
              <w:jc w:val="center"/>
              <w:rPr>
                <w:rFonts w:cs="仿宋" w:asciiTheme="minorEastAsia" w:hAnsiTheme="minorEastAsia" w:eastAsiaTheme="minorEastAsia"/>
                <w:sz w:val="28"/>
                <w:szCs w:val="28"/>
              </w:rPr>
            </w:pPr>
            <w:bookmarkStart w:id="214" w:name="_Hlk67646567"/>
            <w:r>
              <w:rPr>
                <w:rFonts w:hint="eastAsia" w:cs="仿宋" w:asciiTheme="minorEastAsia" w:hAnsiTheme="minorEastAsia" w:eastAsiaTheme="minorEastAsia"/>
                <w:sz w:val="28"/>
                <w:szCs w:val="28"/>
              </w:rPr>
              <w:drawing>
                <wp:inline distT="0" distB="0" distL="0" distR="0">
                  <wp:extent cx="2520315" cy="629920"/>
                  <wp:effectExtent l="0" t="0" r="13335" b="1778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520000" cy="630000"/>
                          </a:xfrm>
                          <a:prstGeom prst="rect">
                            <a:avLst/>
                          </a:prstGeom>
                          <a:noFill/>
                        </pic:spPr>
                      </pic:pic>
                    </a:graphicData>
                  </a:graphic>
                </wp:inline>
              </w:drawing>
            </w:r>
          </w:p>
          <w:p>
            <w:pPr>
              <w:pStyle w:val="294"/>
              <w:widowControl w:val="0"/>
              <w:spacing w:after="312"/>
              <w:rPr>
                <w:rFonts w:cs="仿宋" w:asciiTheme="minorEastAsia" w:hAnsiTheme="minorEastAsia" w:eastAsiaTheme="minorEastAsia"/>
                <w:sz w:val="28"/>
                <w:szCs w:val="28"/>
              </w:rPr>
            </w:pPr>
            <w:bookmarkStart w:id="215" w:name="_Hlk67646547"/>
            <w:bookmarkStart w:id="216" w:name="_Toc70840811"/>
            <w:r>
              <w:rPr>
                <w:rFonts w:hint="eastAsia" w:cs="仿宋" w:asciiTheme="minorEastAsia" w:hAnsiTheme="minorEastAsia" w:eastAsiaTheme="minorEastAsia"/>
                <w:sz w:val="28"/>
                <w:szCs w:val="28"/>
              </w:rPr>
              <w:t xml:space="preserve">图 </w:t>
            </w:r>
            <w:r>
              <w:rPr>
                <w:rFonts w:hint="eastAsia" w:eastAsia="宋体" w:cs="仿宋" w:asciiTheme="minorEastAsia" w:hAnsi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eastAsia="宋体" w:cs="仿宋" w:asciiTheme="minorEastAsia" w:hAnsiTheme="minorEastAsia"/>
                <w:sz w:val="28"/>
                <w:szCs w:val="28"/>
              </w:rPr>
              <w:fldChar w:fldCharType="separate"/>
            </w:r>
            <w:r>
              <w:rPr>
                <w:rFonts w:hint="eastAsia" w:cs="仿宋" w:asciiTheme="minorEastAsia" w:hAnsiTheme="minorEastAsia" w:eastAsiaTheme="minorEastAsia"/>
                <w:sz w:val="28"/>
                <w:szCs w:val="28"/>
              </w:rPr>
              <w:t>7</w:t>
            </w:r>
            <w:r>
              <w:rPr>
                <w:rFonts w:hint="eastAsia" w:eastAsia="宋体" w:cs="仿宋" w:asciiTheme="minorEastAsia" w:hAnsiTheme="minorEastAsia"/>
                <w:sz w:val="28"/>
                <w:szCs w:val="28"/>
              </w:rPr>
              <w:fldChar w:fldCharType="end"/>
            </w:r>
            <w:r>
              <w:rPr>
                <w:rFonts w:hint="eastAsia" w:cs="仿宋" w:asciiTheme="minorEastAsia" w:hAnsiTheme="minorEastAsia" w:eastAsiaTheme="minorEastAsia"/>
                <w:sz w:val="28"/>
                <w:szCs w:val="28"/>
              </w:rPr>
              <w:noBreakHyphen/>
            </w:r>
            <w:r>
              <w:rPr>
                <w:rFonts w:hint="eastAsia" w:eastAsia="宋体" w:cs="仿宋" w:asciiTheme="minorEastAsia" w:hAnsiTheme="minorEastAsia"/>
                <w:sz w:val="28"/>
                <w:szCs w:val="28"/>
              </w:rPr>
              <w:fldChar w:fldCharType="begin"/>
            </w:r>
            <w:r>
              <w:rPr>
                <w:rFonts w:hint="eastAsia" w:cs="仿宋" w:asciiTheme="minorEastAsia" w:hAnsiTheme="minorEastAsia" w:eastAsiaTheme="minorEastAsia"/>
                <w:sz w:val="28"/>
                <w:szCs w:val="28"/>
              </w:rPr>
              <w:instrText xml:space="preserve"> SEQ 图 \* ARABIC \s 1 </w:instrText>
            </w:r>
            <w:r>
              <w:rPr>
                <w:rFonts w:hint="eastAsia" w:eastAsia="宋体" w:cs="仿宋" w:asciiTheme="minorEastAsia" w:hAnsiTheme="minorEastAsia"/>
                <w:sz w:val="28"/>
                <w:szCs w:val="28"/>
              </w:rPr>
              <w:fldChar w:fldCharType="separate"/>
            </w:r>
            <w:r>
              <w:rPr>
                <w:rFonts w:hint="eastAsia" w:cs="仿宋" w:asciiTheme="minorEastAsia" w:hAnsiTheme="minorEastAsia" w:eastAsiaTheme="minorEastAsia"/>
                <w:sz w:val="28"/>
                <w:szCs w:val="28"/>
              </w:rPr>
              <w:t>4</w:t>
            </w:r>
            <w:r>
              <w:rPr>
                <w:rFonts w:hint="eastAsia" w:eastAsia="宋体" w:cs="仿宋" w:asciiTheme="minorEastAsia" w:hAnsiTheme="minorEastAsia"/>
                <w:sz w:val="28"/>
                <w:szCs w:val="28"/>
              </w:rPr>
              <w:fldChar w:fldCharType="end"/>
            </w:r>
            <w:r>
              <w:rPr>
                <w:rFonts w:hint="eastAsia" w:cs="仿宋" w:asciiTheme="minorEastAsia" w:hAnsiTheme="minorEastAsia" w:eastAsiaTheme="minorEastAsia"/>
                <w:sz w:val="28"/>
                <w:szCs w:val="28"/>
              </w:rPr>
              <w:t xml:space="preserve">  BM2-QS-A-3照片</w:t>
            </w:r>
            <w:bookmarkEnd w:id="214"/>
            <w:bookmarkEnd w:id="215"/>
            <w:bookmarkEnd w:id="216"/>
          </w:p>
        </w:tc>
      </w:tr>
    </w:tbl>
    <w:p>
      <w:pPr>
        <w:pStyle w:val="295"/>
        <w:spacing w:before="312" w:after="156"/>
        <w:rPr>
          <w:rFonts w:cs="仿宋" w:asciiTheme="minorEastAsia" w:hAnsiTheme="minorEastAsia" w:eastAsiaTheme="minorEastAsia"/>
          <w:sz w:val="28"/>
          <w:szCs w:val="28"/>
        </w:rPr>
      </w:pPr>
      <w:bookmarkStart w:id="217" w:name="_Toc70840886"/>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BM2-QS-A-3病害类型及面积</w:t>
      </w:r>
      <w:bookmarkEnd w:id="217"/>
    </w:p>
    <w:tbl>
      <w:tblPr>
        <w:tblStyle w:val="43"/>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76"/>
        <w:gridCol w:w="850"/>
        <w:gridCol w:w="1240"/>
        <w:gridCol w:w="1280"/>
        <w:gridCol w:w="1468"/>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240"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28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46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19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BM2-QS-A-3</w:t>
            </w:r>
          </w:p>
        </w:tc>
        <w:tc>
          <w:tcPr>
            <w:tcW w:w="1276"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0.03</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1.04</w:t>
            </w:r>
          </w:p>
        </w:tc>
        <w:tc>
          <w:tcPr>
            <w:tcW w:w="1240" w:type="dxa"/>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0.32</w:t>
            </w:r>
          </w:p>
        </w:tc>
        <w:tc>
          <w:tcPr>
            <w:tcW w:w="1280" w:type="dxa"/>
            <w:noWrap/>
            <w:vAlign w:val="center"/>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1468" w:type="dxa"/>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1196" w:type="dxa"/>
          </w:tcPr>
          <w:p>
            <w:pPr>
              <w:widowControl/>
              <w:ind w:firstLine="42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0.33</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②待表面干燥后，涂刷前期试验中效果良好的3%的丙烯酸乳液和3%的氟硅分别对彩绘层和石质基体进行渗透加固保护，从下往上涂刷，保证不形成挂流。根据风化程度的不同分别进行1～3次施工。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18" w:name="_Toc67678618"/>
      <w:bookmarkStart w:id="219" w:name="_Toc72087942"/>
      <w:r>
        <w:rPr>
          <w:rFonts w:hint="eastAsia" w:cs="仿宋" w:asciiTheme="minorEastAsia" w:hAnsiTheme="minorEastAsia" w:eastAsiaTheme="minorEastAsia"/>
        </w:rPr>
        <w:t>BM2-QS-A-4</w:t>
      </w:r>
      <w:bookmarkEnd w:id="218"/>
      <w:r>
        <w:rPr>
          <w:rFonts w:hint="eastAsia" w:cs="仿宋" w:asciiTheme="minorEastAsia" w:hAnsiTheme="minorEastAsia" w:eastAsiaTheme="minorEastAsia"/>
        </w:rPr>
        <w:t>的保护修复步骤</w:t>
      </w:r>
      <w:bookmarkEnd w:id="219"/>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38175"/>
            <wp:effectExtent l="0" t="0" r="1333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520000" cy="638400"/>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20" w:name="_Toc70840812"/>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5</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BM2-QS-A-4照片</w:t>
      </w:r>
      <w:bookmarkEnd w:id="220"/>
    </w:p>
    <w:p>
      <w:pPr>
        <w:pStyle w:val="295"/>
        <w:spacing w:before="312" w:after="156"/>
        <w:rPr>
          <w:rFonts w:cs="仿宋" w:asciiTheme="minorEastAsia" w:hAnsiTheme="minorEastAsia" w:eastAsiaTheme="minorEastAsia"/>
          <w:sz w:val="28"/>
          <w:szCs w:val="28"/>
        </w:rPr>
      </w:pPr>
      <w:bookmarkStart w:id="221" w:name="_Hlk67665032"/>
      <w:bookmarkStart w:id="222" w:name="_Toc70840887"/>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5</w:t>
      </w:r>
      <w:r>
        <w:rPr>
          <w:rFonts w:hint="eastAsia" w:cs="仿宋" w:asciiTheme="minorEastAsia" w:hAnsiTheme="minorEastAsia" w:eastAsiaTheme="minorEastAsia"/>
          <w:sz w:val="28"/>
          <w:szCs w:val="28"/>
        </w:rPr>
        <w:fldChar w:fldCharType="end"/>
      </w:r>
      <w:bookmarkEnd w:id="221"/>
      <w:r>
        <w:rPr>
          <w:rFonts w:hint="eastAsia" w:cs="仿宋" w:asciiTheme="minorEastAsia" w:hAnsiTheme="minorEastAsia" w:eastAsiaTheme="minorEastAsia"/>
          <w:sz w:val="28"/>
          <w:szCs w:val="28"/>
        </w:rPr>
        <w:t xml:space="preserve">  BM2-QS-A-4病害类型及面积</w:t>
      </w:r>
      <w:bookmarkEnd w:id="222"/>
    </w:p>
    <w:tbl>
      <w:tblPr>
        <w:tblStyle w:val="43"/>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76"/>
        <w:gridCol w:w="1056"/>
        <w:gridCol w:w="776"/>
        <w:gridCol w:w="1012"/>
        <w:gridCol w:w="1701"/>
        <w:gridCol w:w="85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105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7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01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70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85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c>
          <w:tcPr>
            <w:tcW w:w="914"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BM2-QS-A-4</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0.24</w:t>
            </w:r>
          </w:p>
        </w:tc>
        <w:tc>
          <w:tcPr>
            <w:tcW w:w="105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0.0032</w:t>
            </w:r>
          </w:p>
        </w:tc>
        <w:tc>
          <w:tcPr>
            <w:tcW w:w="7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1.91</w:t>
            </w:r>
          </w:p>
        </w:tc>
        <w:tc>
          <w:tcPr>
            <w:tcW w:w="1012"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0.15</w:t>
            </w:r>
          </w:p>
        </w:tc>
        <w:tc>
          <w:tcPr>
            <w:tcW w:w="170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0.09</w:t>
            </w:r>
          </w:p>
        </w:tc>
        <w:tc>
          <w:tcPr>
            <w:tcW w:w="85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0.81</w:t>
            </w:r>
          </w:p>
        </w:tc>
        <w:tc>
          <w:tcPr>
            <w:tcW w:w="914"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0.85</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②待表面干燥后，涂刷前期试验中效果良好的3%的丙烯酸乳液和3%的氟硅分别对彩绘层和石质基体进行渗透加固保护，从下往上涂刷，保证不形成挂流。根据风化程度的不同分别进行1～3次施工。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23" w:name="_Toc67678619"/>
      <w:bookmarkStart w:id="224" w:name="_Toc72087943"/>
      <w:r>
        <w:rPr>
          <w:rFonts w:hint="eastAsia" w:cs="仿宋" w:asciiTheme="minorEastAsia" w:hAnsiTheme="minorEastAsia" w:eastAsiaTheme="minorEastAsia"/>
        </w:rPr>
        <w:t>BM2-QS-A-5</w:t>
      </w:r>
      <w:bookmarkEnd w:id="223"/>
      <w:r>
        <w:rPr>
          <w:rFonts w:hint="eastAsia" w:cs="仿宋" w:asciiTheme="minorEastAsia" w:hAnsiTheme="minorEastAsia" w:eastAsiaTheme="minorEastAsia"/>
        </w:rPr>
        <w:t>的保护修复步骤</w:t>
      </w:r>
      <w:bookmarkEnd w:id="224"/>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62940"/>
            <wp:effectExtent l="0" t="0" r="13335" b="381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520000" cy="66269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25" w:name="_Hlk67665132"/>
      <w:bookmarkStart w:id="226" w:name="_Toc70840813"/>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6</w:t>
      </w:r>
      <w:r>
        <w:rPr>
          <w:rFonts w:hint="eastAsia" w:cs="仿宋" w:asciiTheme="minorEastAsia" w:hAnsiTheme="minorEastAsia"/>
          <w:sz w:val="28"/>
          <w:szCs w:val="28"/>
        </w:rPr>
        <w:fldChar w:fldCharType="end"/>
      </w:r>
      <w:bookmarkEnd w:id="225"/>
      <w:r>
        <w:rPr>
          <w:rFonts w:hint="eastAsia" w:cs="仿宋" w:asciiTheme="minorEastAsia" w:hAnsiTheme="minorEastAsia"/>
          <w:sz w:val="28"/>
          <w:szCs w:val="28"/>
        </w:rPr>
        <w:t xml:space="preserve">  BM2-QS-A-5照片</w:t>
      </w:r>
      <w:bookmarkEnd w:id="226"/>
    </w:p>
    <w:p>
      <w:pPr>
        <w:pStyle w:val="295"/>
        <w:spacing w:before="312" w:after="156"/>
        <w:rPr>
          <w:rFonts w:cs="仿宋" w:asciiTheme="minorEastAsia" w:hAnsiTheme="minorEastAsia" w:eastAsiaTheme="minorEastAsia"/>
          <w:sz w:val="28"/>
          <w:szCs w:val="28"/>
        </w:rPr>
      </w:pPr>
      <w:bookmarkStart w:id="227" w:name="_Toc70840888"/>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6</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BM2-QS-A-5病害类型及面积</w:t>
      </w:r>
      <w:bookmarkEnd w:id="227"/>
    </w:p>
    <w:tbl>
      <w:tblPr>
        <w:tblStyle w:val="43"/>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76"/>
        <w:gridCol w:w="776"/>
        <w:gridCol w:w="850"/>
        <w:gridCol w:w="931"/>
        <w:gridCol w:w="984"/>
        <w:gridCol w:w="928"/>
        <w:gridCol w:w="92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77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931"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984"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92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929"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c>
          <w:tcPr>
            <w:tcW w:w="777"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BM2-QS-A-5</w:t>
            </w:r>
          </w:p>
        </w:tc>
        <w:tc>
          <w:tcPr>
            <w:tcW w:w="12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0.03</w:t>
            </w:r>
          </w:p>
        </w:tc>
        <w:tc>
          <w:tcPr>
            <w:tcW w:w="77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85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1.91</w:t>
            </w:r>
          </w:p>
        </w:tc>
        <w:tc>
          <w:tcPr>
            <w:tcW w:w="931"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0.05</w:t>
            </w:r>
          </w:p>
        </w:tc>
        <w:tc>
          <w:tcPr>
            <w:tcW w:w="984"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0.22</w:t>
            </w:r>
          </w:p>
        </w:tc>
        <w:tc>
          <w:tcPr>
            <w:tcW w:w="928"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0.16</w:t>
            </w:r>
          </w:p>
        </w:tc>
        <w:tc>
          <w:tcPr>
            <w:tcW w:w="929"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0.69</w:t>
            </w:r>
          </w:p>
        </w:tc>
        <w:tc>
          <w:tcPr>
            <w:tcW w:w="777"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0.84</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28" w:name="_Toc67678620"/>
      <w:bookmarkStart w:id="229" w:name="_Toc72087944"/>
      <w:r>
        <w:rPr>
          <w:rFonts w:hint="eastAsia" w:cs="仿宋" w:asciiTheme="minorEastAsia" w:hAnsiTheme="minorEastAsia" w:eastAsiaTheme="minorEastAsia"/>
        </w:rPr>
        <w:t>BM2-ZM-A-1</w:t>
      </w:r>
      <w:bookmarkEnd w:id="228"/>
      <w:r>
        <w:rPr>
          <w:rFonts w:hint="eastAsia" w:cs="仿宋" w:asciiTheme="minorEastAsia" w:hAnsiTheme="minorEastAsia" w:eastAsiaTheme="minorEastAsia"/>
        </w:rPr>
        <w:t>的保护修复步骤</w:t>
      </w:r>
      <w:bookmarkEnd w:id="229"/>
    </w:p>
    <w:tbl>
      <w:tblPr>
        <w:tblStyle w:val="43"/>
        <w:tblW w:w="9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Pr>
          <w:p>
            <w:pPr>
              <w:ind w:firstLine="44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83895"/>
                  <wp:effectExtent l="0" t="0" r="13335" b="190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20000" cy="683707"/>
                          </a:xfrm>
                          <a:prstGeom prst="rect">
                            <a:avLst/>
                          </a:prstGeom>
                          <a:noFill/>
                        </pic:spPr>
                      </pic:pic>
                    </a:graphicData>
                  </a:graphic>
                </wp:inline>
              </w:drawing>
            </w:r>
          </w:p>
        </w:tc>
        <w:tc>
          <w:tcPr>
            <w:tcW w:w="4656" w:type="dxa"/>
          </w:tcPr>
          <w:p>
            <w:pPr>
              <w:ind w:firstLine="44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93420"/>
                  <wp:effectExtent l="0" t="0" r="13335" b="1143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0000" cy="693168"/>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shd w:val="clear" w:color="auto" w:fill="FFFFFF" w:themeFill="background1"/>
          </w:tcPr>
          <w:p>
            <w:pPr>
              <w:tabs>
                <w:tab w:val="left" w:pos="1210"/>
              </w:tabs>
              <w:ind w:firstLine="44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66750"/>
                  <wp:effectExtent l="0" t="0" r="1333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20000" cy="666667"/>
                          </a:xfrm>
                          <a:prstGeom prst="rect">
                            <a:avLst/>
                          </a:prstGeom>
                          <a:noFill/>
                        </pic:spPr>
                      </pic:pic>
                    </a:graphicData>
                  </a:graphic>
                </wp:inline>
              </w:drawing>
            </w:r>
          </w:p>
        </w:tc>
        <w:tc>
          <w:tcPr>
            <w:tcW w:w="4656" w:type="dxa"/>
          </w:tcPr>
          <w:p>
            <w:pPr>
              <w:ind w:firstLine="440"/>
              <w:rPr>
                <w:rFonts w:cs="仿宋" w:asciiTheme="minorEastAsia" w:hAnsiTheme="minorEastAsia" w:eastAsiaTheme="minorEastAsia"/>
                <w:sz w:val="28"/>
                <w:szCs w:val="28"/>
              </w:rPr>
            </w:pPr>
          </w:p>
        </w:tc>
      </w:tr>
    </w:tbl>
    <w:p>
      <w:pPr>
        <w:pStyle w:val="294"/>
        <w:spacing w:after="312"/>
        <w:rPr>
          <w:rFonts w:cs="仿宋" w:asciiTheme="minorEastAsia" w:hAnsiTheme="minorEastAsia"/>
          <w:sz w:val="28"/>
          <w:szCs w:val="28"/>
        </w:rPr>
      </w:pPr>
      <w:bookmarkStart w:id="230" w:name="_Toc70840814"/>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BM2-ZM-A-1照片</w:t>
      </w:r>
      <w:bookmarkEnd w:id="230"/>
    </w:p>
    <w:p>
      <w:pPr>
        <w:pStyle w:val="295"/>
        <w:spacing w:before="312" w:after="156"/>
        <w:rPr>
          <w:rFonts w:cs="仿宋" w:asciiTheme="minorEastAsia" w:hAnsiTheme="minorEastAsia" w:eastAsiaTheme="minorEastAsia"/>
          <w:sz w:val="28"/>
          <w:szCs w:val="28"/>
        </w:rPr>
      </w:pPr>
      <w:bookmarkStart w:id="231" w:name="_Toc70840889"/>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BM2-ZM-A-1病害类型及面积</w:t>
      </w:r>
      <w:bookmarkEnd w:id="231"/>
    </w:p>
    <w:tbl>
      <w:tblPr>
        <w:tblStyle w:val="43"/>
        <w:tblW w:w="9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993"/>
        <w:gridCol w:w="825"/>
        <w:gridCol w:w="1056"/>
        <w:gridCol w:w="800"/>
        <w:gridCol w:w="894"/>
        <w:gridCol w:w="1099"/>
        <w:gridCol w:w="933"/>
        <w:gridCol w:w="932"/>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993"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25"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105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机械裂隙</w:t>
            </w:r>
          </w:p>
        </w:tc>
        <w:tc>
          <w:tcPr>
            <w:tcW w:w="80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894"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099"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933"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93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c>
          <w:tcPr>
            <w:tcW w:w="77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BM2-ZM-A-1</w:t>
            </w:r>
          </w:p>
        </w:tc>
        <w:tc>
          <w:tcPr>
            <w:tcW w:w="993"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0.73</w:t>
            </w:r>
          </w:p>
        </w:tc>
        <w:tc>
          <w:tcPr>
            <w:tcW w:w="825"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0.18</w:t>
            </w:r>
          </w:p>
        </w:tc>
        <w:tc>
          <w:tcPr>
            <w:tcW w:w="105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304.09</w:t>
            </w:r>
          </w:p>
        </w:tc>
        <w:tc>
          <w:tcPr>
            <w:tcW w:w="80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4.48</w:t>
            </w:r>
          </w:p>
        </w:tc>
        <w:tc>
          <w:tcPr>
            <w:tcW w:w="894"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w:t>
            </w:r>
          </w:p>
        </w:tc>
        <w:tc>
          <w:tcPr>
            <w:tcW w:w="1099"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w:t>
            </w:r>
          </w:p>
        </w:tc>
        <w:tc>
          <w:tcPr>
            <w:tcW w:w="933"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0.59</w:t>
            </w:r>
          </w:p>
        </w:tc>
        <w:tc>
          <w:tcPr>
            <w:tcW w:w="932"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0.19</w:t>
            </w:r>
          </w:p>
        </w:tc>
        <w:tc>
          <w:tcPr>
            <w:tcW w:w="77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0.21</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ind w:firstLine="48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sz w:val="28"/>
          <w:szCs w:val="28"/>
        </w:rPr>
        <w:t>①</w:t>
      </w:r>
      <w:r>
        <w:rPr>
          <w:rFonts w:hint="eastAsia" w:cs="仿宋" w:asciiTheme="minorEastAsia" w:hAnsiTheme="minorEastAsia" w:eastAsiaTheme="minorEastAsia"/>
          <w:color w:val="000000" w:themeColor="text1"/>
          <w:sz w:val="28"/>
          <w:szCs w:val="28"/>
          <w14:textFill>
            <w14:solidFill>
              <w14:schemeClr w14:val="tx1"/>
            </w14:solidFill>
          </w14:textFill>
        </w:rPr>
        <w:t>用饱吸0.5‰杀菌剂的化妆棉贴敷菌斑2h 或 1‰P91 的化妆棉贴敷菌斑 2h；</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ind w:firstLine="281" w:firstLineChars="100"/>
        <w:rPr>
          <w:rFonts w:cs="仿宋" w:asciiTheme="minorEastAsia" w:hAnsiTheme="minorEastAsia" w:eastAsiaTheme="minorEastAsia"/>
        </w:rPr>
      </w:pPr>
      <w:bookmarkStart w:id="232" w:name="_Toc67678621"/>
      <w:bookmarkStart w:id="233" w:name="_Toc72087945"/>
      <w:r>
        <w:rPr>
          <w:rFonts w:hint="eastAsia" w:cs="仿宋" w:asciiTheme="minorEastAsia" w:hAnsiTheme="minorEastAsia" w:eastAsiaTheme="minorEastAsia"/>
        </w:rPr>
        <w:t>BM3-HM-E-11</w:t>
      </w:r>
      <w:bookmarkEnd w:id="232"/>
      <w:r>
        <w:rPr>
          <w:rFonts w:hint="eastAsia" w:cs="仿宋" w:asciiTheme="minorEastAsia" w:hAnsiTheme="minorEastAsia" w:eastAsiaTheme="minorEastAsia"/>
        </w:rPr>
        <w:t>的保护修复步骤</w:t>
      </w:r>
      <w:bookmarkEnd w:id="233"/>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587625"/>
            <wp:effectExtent l="0" t="0" r="13335"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20000" cy="2587557"/>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34" w:name="_Toc70840815"/>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8</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BM3-HM-E-11照片</w:t>
      </w:r>
      <w:bookmarkEnd w:id="234"/>
    </w:p>
    <w:p>
      <w:pPr>
        <w:pStyle w:val="295"/>
        <w:spacing w:before="312" w:after="156"/>
        <w:rPr>
          <w:rFonts w:cs="仿宋" w:asciiTheme="minorEastAsia" w:hAnsiTheme="minorEastAsia" w:eastAsiaTheme="minorEastAsia"/>
          <w:sz w:val="28"/>
          <w:szCs w:val="28"/>
        </w:rPr>
      </w:pPr>
      <w:bookmarkStart w:id="235" w:name="_Toc70840890"/>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8</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BM3-HM-E-11病害类型及面积</w:t>
      </w:r>
      <w:bookmarkEnd w:id="235"/>
    </w:p>
    <w:tbl>
      <w:tblPr>
        <w:tblStyle w:val="43"/>
        <w:tblW w:w="92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916"/>
        <w:gridCol w:w="820"/>
        <w:gridCol w:w="916"/>
        <w:gridCol w:w="942"/>
        <w:gridCol w:w="919"/>
        <w:gridCol w:w="1061"/>
        <w:gridCol w:w="1108"/>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5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9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20"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91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机械裂隙</w:t>
            </w:r>
          </w:p>
        </w:tc>
        <w:tc>
          <w:tcPr>
            <w:tcW w:w="942"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919"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061"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10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777"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历史修补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5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BM3-HM-E-11</w:t>
            </w:r>
          </w:p>
        </w:tc>
        <w:tc>
          <w:tcPr>
            <w:tcW w:w="9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0.002</w:t>
            </w:r>
          </w:p>
        </w:tc>
        <w:tc>
          <w:tcPr>
            <w:tcW w:w="820"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0.25</w:t>
            </w:r>
          </w:p>
        </w:tc>
        <w:tc>
          <w:tcPr>
            <w:tcW w:w="91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58.59</w:t>
            </w:r>
          </w:p>
        </w:tc>
        <w:tc>
          <w:tcPr>
            <w:tcW w:w="942"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2.38</w:t>
            </w:r>
          </w:p>
        </w:tc>
        <w:tc>
          <w:tcPr>
            <w:tcW w:w="919"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0.12</w:t>
            </w:r>
          </w:p>
        </w:tc>
        <w:tc>
          <w:tcPr>
            <w:tcW w:w="1061"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w:t>
            </w:r>
          </w:p>
        </w:tc>
        <w:tc>
          <w:tcPr>
            <w:tcW w:w="1108"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0.31</w:t>
            </w:r>
          </w:p>
        </w:tc>
        <w:tc>
          <w:tcPr>
            <w:tcW w:w="777"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ind w:firstLine="560" w:firstLineChars="200"/>
        <w:jc w:val="left"/>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  </w:t>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36" w:name="_Toc67678622"/>
      <w:bookmarkStart w:id="237" w:name="_Toc72087946"/>
      <w:r>
        <w:rPr>
          <w:rFonts w:hint="eastAsia" w:cs="仿宋" w:asciiTheme="minorEastAsia" w:hAnsiTheme="minorEastAsia" w:eastAsiaTheme="minorEastAsia"/>
        </w:rPr>
        <w:t>BM3-HS-F-18</w:t>
      </w:r>
      <w:bookmarkEnd w:id="236"/>
      <w:r>
        <w:rPr>
          <w:rFonts w:hint="eastAsia" w:cs="仿宋" w:asciiTheme="minorEastAsia" w:hAnsiTheme="minorEastAsia" w:eastAsiaTheme="minorEastAsia"/>
        </w:rPr>
        <w:t>的保护修复步骤</w:t>
      </w:r>
      <w:bookmarkEnd w:id="237"/>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621280"/>
            <wp:effectExtent l="0" t="0" r="13335" b="762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520000" cy="2621138"/>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38" w:name="_Toc70840816"/>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9</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BM3-HS-F-18照片</w:t>
      </w:r>
      <w:bookmarkEnd w:id="238"/>
    </w:p>
    <w:p>
      <w:pPr>
        <w:pStyle w:val="295"/>
        <w:spacing w:before="312" w:after="156"/>
        <w:rPr>
          <w:rFonts w:cs="仿宋" w:asciiTheme="minorEastAsia" w:hAnsiTheme="minorEastAsia" w:eastAsiaTheme="minorEastAsia"/>
          <w:sz w:val="28"/>
          <w:szCs w:val="28"/>
        </w:rPr>
      </w:pPr>
      <w:bookmarkStart w:id="239" w:name="_Toc70840891"/>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9</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BM3-HS-F-18病害类型及面积</w:t>
      </w:r>
      <w:bookmarkEnd w:id="239"/>
    </w:p>
    <w:tbl>
      <w:tblPr>
        <w:tblStyle w:val="43"/>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418"/>
        <w:gridCol w:w="848"/>
        <w:gridCol w:w="851"/>
        <w:gridCol w:w="1254"/>
        <w:gridCol w:w="125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5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8"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4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254"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25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26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5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BM3-HS-F-18</w:t>
            </w:r>
          </w:p>
        </w:tc>
        <w:tc>
          <w:tcPr>
            <w:tcW w:w="1418"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0.29</w:t>
            </w:r>
          </w:p>
        </w:tc>
        <w:tc>
          <w:tcPr>
            <w:tcW w:w="848"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85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1.17</w:t>
            </w:r>
          </w:p>
        </w:tc>
        <w:tc>
          <w:tcPr>
            <w:tcW w:w="1254"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w:t>
            </w:r>
          </w:p>
        </w:tc>
        <w:tc>
          <w:tcPr>
            <w:tcW w:w="125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w:t>
            </w:r>
          </w:p>
        </w:tc>
        <w:tc>
          <w:tcPr>
            <w:tcW w:w="1262"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0.33</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pStyle w:val="79"/>
        <w:ind w:left="240" w:firstLine="560" w:firstLineChars="0"/>
        <w:rPr>
          <w:rFonts w:cs="仿宋" w:asciiTheme="minorEastAsia" w:hAnsiTheme="minorEastAsia"/>
          <w:color w:val="000000" w:themeColor="text1"/>
          <w:sz w:val="28"/>
          <w:szCs w:val="28"/>
          <w14:textFill>
            <w14:solidFill>
              <w14:schemeClr w14:val="tx1"/>
            </w14:solidFill>
          </w14:textFill>
        </w:rPr>
      </w:pPr>
      <w:r>
        <w:rPr>
          <w:rFonts w:hint="eastAsia" w:cs="仿宋" w:asciiTheme="minorEastAsia" w:hAnsiTheme="minorEastAsia"/>
          <w:color w:val="000000" w:themeColor="text1"/>
          <w:sz w:val="28"/>
          <w:szCs w:val="28"/>
          <w14:textFill>
            <w14:solidFill>
              <w14:schemeClr w14:val="tx1"/>
            </w14:solidFill>
          </w14:textFill>
        </w:rPr>
        <w:t>①用饱吸0.5‰杀菌剂的化妆棉贴敷菌斑2h 或 1‰P91 的化妆棉贴敷菌斑 2h；</w:t>
      </w:r>
      <w:r>
        <w:rPr>
          <w:rFonts w:hint="eastAsia" w:cs="仿宋" w:asciiTheme="minorEastAsia" w:hAnsiTheme="minorEastAsia"/>
          <w:color w:val="000000" w:themeColor="text1"/>
          <w:sz w:val="28"/>
          <w:szCs w:val="28"/>
          <w14:textFill>
            <w14:solidFill>
              <w14:schemeClr w14:val="tx1"/>
            </w14:solidFill>
          </w14:textFill>
        </w:rPr>
        <w:br w:type="textWrapping"/>
      </w:r>
      <w:r>
        <w:rPr>
          <w:rFonts w:hint="eastAsia" w:cs="仿宋" w:asciiTheme="minorEastAsia" w:hAnsiTheme="minorEastAsia"/>
          <w:color w:val="000000" w:themeColor="text1"/>
          <w:sz w:val="28"/>
          <w:szCs w:val="28"/>
          <w14:textFill>
            <w14:solidFill>
              <w14:schemeClr w14:val="tx1"/>
            </w14:solidFill>
          </w14:textFill>
        </w:rPr>
        <w:t xml:space="preserve">    ②用排笔蘸 0.5‰杀菌剂的化妆棉 或 1‰P91 轻轻擦刷菌斑；</w:t>
      </w:r>
    </w:p>
    <w:p>
      <w:pPr>
        <w:pStyle w:val="79"/>
        <w:ind w:left="240" w:firstLine="560" w:firstLineChars="0"/>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③去除菌斑后，用注射器喷水并结合排笔、化妆棉等擦洗，以尽量清除残余药剂。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基本要求：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40" w:name="_Hlk67649692"/>
      <w:bookmarkStart w:id="241" w:name="_Toc67678623"/>
      <w:bookmarkStart w:id="242" w:name="_Toc72087947"/>
      <w:r>
        <w:rPr>
          <w:rFonts w:hint="eastAsia" w:cs="仿宋" w:asciiTheme="minorEastAsia" w:hAnsiTheme="minorEastAsia" w:eastAsiaTheme="minorEastAsia"/>
        </w:rPr>
        <w:t>BM4-QM-B-15</w:t>
      </w:r>
      <w:bookmarkEnd w:id="240"/>
      <w:bookmarkEnd w:id="241"/>
      <w:r>
        <w:rPr>
          <w:rFonts w:hint="eastAsia" w:cs="仿宋" w:asciiTheme="minorEastAsia" w:hAnsiTheme="minorEastAsia" w:eastAsiaTheme="minorEastAsia"/>
        </w:rPr>
        <w:t>的保护修复步骤</w:t>
      </w:r>
      <w:bookmarkEnd w:id="242"/>
    </w:p>
    <w:tbl>
      <w:tblPr>
        <w:tblStyle w:val="43"/>
        <w:tblW w:w="93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96"/>
        <w:gridCol w:w="4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96" w:type="dxa"/>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1085215"/>
                  <wp:effectExtent l="0" t="0" r="15875" b="63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17775" cy="1085215"/>
                          </a:xfrm>
                          <a:prstGeom prst="rect">
                            <a:avLst/>
                          </a:prstGeom>
                          <a:noFill/>
                        </pic:spPr>
                      </pic:pic>
                    </a:graphicData>
                  </a:graphic>
                </wp:inline>
              </w:drawing>
            </w:r>
          </w:p>
        </w:tc>
        <w:tc>
          <w:tcPr>
            <w:tcW w:w="4696" w:type="dxa"/>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1097280"/>
                  <wp:effectExtent l="0" t="0" r="15875" b="762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17775" cy="1097280"/>
                          </a:xfrm>
                          <a:prstGeom prst="rect">
                            <a:avLst/>
                          </a:prstGeom>
                          <a:noFill/>
                        </pic:spPr>
                      </pic:pic>
                    </a:graphicData>
                  </a:graphic>
                </wp:inline>
              </w:drawing>
            </w:r>
          </w:p>
        </w:tc>
      </w:tr>
    </w:tbl>
    <w:p>
      <w:pPr>
        <w:pStyle w:val="294"/>
        <w:spacing w:after="312"/>
        <w:rPr>
          <w:rFonts w:cs="仿宋" w:asciiTheme="minorEastAsia" w:hAnsiTheme="minorEastAsia"/>
          <w:sz w:val="28"/>
          <w:szCs w:val="28"/>
        </w:rPr>
      </w:pPr>
      <w:bookmarkStart w:id="243" w:name="_Toc70840817"/>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10</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BM4-QM-B-15照片</w:t>
      </w:r>
      <w:bookmarkEnd w:id="243"/>
    </w:p>
    <w:p>
      <w:pPr>
        <w:pStyle w:val="295"/>
        <w:spacing w:before="312" w:after="156"/>
        <w:rPr>
          <w:rFonts w:cs="仿宋" w:asciiTheme="minorEastAsia" w:hAnsiTheme="minorEastAsia" w:eastAsiaTheme="minorEastAsia"/>
          <w:sz w:val="28"/>
          <w:szCs w:val="28"/>
        </w:rPr>
      </w:pPr>
      <w:bookmarkStart w:id="244" w:name="_Toc70840892"/>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10</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BM4-QM-B-15病害类型及面积</w:t>
      </w:r>
      <w:bookmarkEnd w:id="244"/>
    </w:p>
    <w:tbl>
      <w:tblPr>
        <w:tblStyle w:val="43"/>
        <w:tblW w:w="10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417"/>
        <w:gridCol w:w="916"/>
        <w:gridCol w:w="776"/>
        <w:gridCol w:w="1182"/>
        <w:gridCol w:w="1181"/>
        <w:gridCol w:w="1155"/>
        <w:gridCol w:w="106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75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91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7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182"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18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155"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06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c>
          <w:tcPr>
            <w:tcW w:w="895"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泥渍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 w:hRule="atLeast"/>
          <w:jc w:val="center"/>
        </w:trPr>
        <w:tc>
          <w:tcPr>
            <w:tcW w:w="175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BM4-QM-B-15</w:t>
            </w:r>
          </w:p>
        </w:tc>
        <w:tc>
          <w:tcPr>
            <w:tcW w:w="14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1.2</w:t>
            </w:r>
          </w:p>
        </w:tc>
        <w:tc>
          <w:tcPr>
            <w:tcW w:w="91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0.013</w:t>
            </w:r>
          </w:p>
        </w:tc>
        <w:tc>
          <w:tcPr>
            <w:tcW w:w="7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2.37</w:t>
            </w:r>
          </w:p>
        </w:tc>
        <w:tc>
          <w:tcPr>
            <w:tcW w:w="1182"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0.07</w:t>
            </w:r>
          </w:p>
        </w:tc>
        <w:tc>
          <w:tcPr>
            <w:tcW w:w="118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0.21</w:t>
            </w:r>
          </w:p>
        </w:tc>
        <w:tc>
          <w:tcPr>
            <w:tcW w:w="1155"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1.5</w:t>
            </w:r>
          </w:p>
        </w:tc>
        <w:tc>
          <w:tcPr>
            <w:tcW w:w="106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895"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18</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pStyle w:val="79"/>
        <w:ind w:left="240" w:firstLine="0" w:firstLineChars="0"/>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w:t>
      </w:r>
      <w:r>
        <w:rPr>
          <w:rFonts w:hint="eastAsia" w:cs="仿宋" w:asciiTheme="minorEastAsia" w:hAnsi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color w:val="000000" w:themeColor="text1"/>
          <w:sz w:val="28"/>
          <w:szCs w:val="28"/>
          <w14:textFill>
            <w14:solidFill>
              <w14:schemeClr w14:val="tx1"/>
            </w14:solidFill>
          </w14:textFill>
        </w:rPr>
        <w:br w:type="textWrapping"/>
      </w:r>
      <w:r>
        <w:rPr>
          <w:rFonts w:hint="eastAsia" w:cs="仿宋" w:asciiTheme="minorEastAsia" w:hAnsi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color w:val="000000" w:themeColor="text1"/>
          <w:sz w:val="28"/>
          <w:szCs w:val="28"/>
          <w14:textFill>
            <w14:solidFill>
              <w14:schemeClr w14:val="tx1"/>
            </w14:solidFill>
          </w14:textFill>
        </w:rPr>
        <w:br w:type="textWrapping"/>
      </w:r>
      <w:r>
        <w:rPr>
          <w:rFonts w:hint="eastAsia" w:cs="仿宋" w:asciiTheme="minorEastAsia" w:hAnsiTheme="minorEastAsia"/>
          <w:color w:val="000000"/>
          <w:sz w:val="28"/>
          <w:szCs w:val="28"/>
        </w:rPr>
        <w:t xml:space="preserve">    ③去除菌斑后，用注射器喷水并结合排笔、化妆棉等擦洗，以尽量清除残余药剂。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基本要求：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45" w:name="_Toc67678624"/>
      <w:bookmarkStart w:id="246" w:name="_Toc72087948"/>
      <w:r>
        <w:rPr>
          <w:rFonts w:hint="eastAsia" w:cs="仿宋" w:asciiTheme="minorEastAsia" w:hAnsiTheme="minorEastAsia" w:eastAsiaTheme="minorEastAsia"/>
        </w:rPr>
        <w:t>BM4-HM-C-4</w:t>
      </w:r>
      <w:bookmarkEnd w:id="245"/>
      <w:r>
        <w:rPr>
          <w:rFonts w:hint="eastAsia" w:cs="仿宋" w:asciiTheme="minorEastAsia" w:hAnsiTheme="minorEastAsia" w:eastAsiaTheme="minorEastAsia"/>
        </w:rPr>
        <w:t>的保护修复步骤</w:t>
      </w:r>
      <w:bookmarkEnd w:id="246"/>
    </w:p>
    <w:tbl>
      <w:tblPr>
        <w:tblStyle w:val="43"/>
        <w:tblW w:w="911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56" w:type="dxa"/>
            <w:vAlign w:val="center"/>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04440" cy="1151890"/>
                  <wp:effectExtent l="0" t="0" r="10160" b="1016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04210" cy="1152000"/>
                          </a:xfrm>
                          <a:prstGeom prst="rect">
                            <a:avLst/>
                          </a:prstGeom>
                          <a:noFill/>
                        </pic:spPr>
                      </pic:pic>
                    </a:graphicData>
                  </a:graphic>
                </wp:inline>
              </w:drawing>
            </w:r>
          </w:p>
        </w:tc>
        <w:tc>
          <w:tcPr>
            <w:tcW w:w="4456" w:type="dxa"/>
            <w:vAlign w:val="center"/>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386965" cy="1151890"/>
                  <wp:effectExtent l="0" t="0" r="1333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7099" cy="1152000"/>
                          </a:xfrm>
                          <a:prstGeom prst="rect">
                            <a:avLst/>
                          </a:prstGeom>
                          <a:noFill/>
                        </pic:spPr>
                      </pic:pic>
                    </a:graphicData>
                  </a:graphic>
                </wp:inline>
              </w:drawing>
            </w:r>
          </w:p>
        </w:tc>
      </w:tr>
    </w:tbl>
    <w:p>
      <w:pPr>
        <w:pStyle w:val="294"/>
        <w:spacing w:after="312"/>
        <w:rPr>
          <w:rFonts w:cs="仿宋" w:asciiTheme="minorEastAsia" w:hAnsiTheme="minorEastAsia"/>
          <w:sz w:val="28"/>
          <w:szCs w:val="28"/>
        </w:rPr>
      </w:pPr>
      <w:bookmarkStart w:id="247" w:name="_Toc70840818"/>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11</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BM4-HM-C-4照片</w:t>
      </w:r>
      <w:bookmarkEnd w:id="247"/>
    </w:p>
    <w:p>
      <w:pPr>
        <w:pStyle w:val="295"/>
        <w:spacing w:before="312" w:after="156"/>
        <w:rPr>
          <w:rFonts w:cs="仿宋" w:asciiTheme="minorEastAsia" w:hAnsiTheme="minorEastAsia" w:eastAsiaTheme="minorEastAsia"/>
          <w:sz w:val="28"/>
          <w:szCs w:val="28"/>
        </w:rPr>
      </w:pPr>
      <w:bookmarkStart w:id="248" w:name="_Toc70840893"/>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11</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BM4-HM-C-4病害类型及面积</w:t>
      </w:r>
      <w:bookmarkEnd w:id="248"/>
    </w:p>
    <w:tbl>
      <w:tblPr>
        <w:tblStyle w:val="43"/>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776"/>
        <w:gridCol w:w="817"/>
        <w:gridCol w:w="1683"/>
        <w:gridCol w:w="1266"/>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0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8"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77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683"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26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12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0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BM4-HM-C-4</w:t>
            </w:r>
          </w:p>
        </w:tc>
        <w:tc>
          <w:tcPr>
            <w:tcW w:w="1418"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2.02</w:t>
            </w:r>
          </w:p>
        </w:tc>
        <w:tc>
          <w:tcPr>
            <w:tcW w:w="77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0.11</w:t>
            </w:r>
          </w:p>
        </w:tc>
        <w:tc>
          <w:tcPr>
            <w:tcW w:w="8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2.53</w:t>
            </w:r>
          </w:p>
        </w:tc>
        <w:tc>
          <w:tcPr>
            <w:tcW w:w="1683"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0.18</w:t>
            </w:r>
          </w:p>
        </w:tc>
        <w:tc>
          <w:tcPr>
            <w:tcW w:w="126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0.37</w:t>
            </w:r>
          </w:p>
        </w:tc>
        <w:tc>
          <w:tcPr>
            <w:tcW w:w="112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0.09</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232" w:firstLineChars="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49" w:name="_Toc67678625"/>
      <w:bookmarkStart w:id="250" w:name="_Toc72087949"/>
      <w:r>
        <w:rPr>
          <w:rFonts w:hint="eastAsia" w:cs="仿宋" w:asciiTheme="minorEastAsia" w:hAnsiTheme="minorEastAsia" w:eastAsiaTheme="minorEastAsia"/>
        </w:rPr>
        <w:t>BM4-HS-F-21</w:t>
      </w:r>
      <w:bookmarkEnd w:id="249"/>
      <w:r>
        <w:rPr>
          <w:rFonts w:hint="eastAsia" w:cs="仿宋" w:asciiTheme="minorEastAsia" w:hAnsiTheme="minorEastAsia" w:eastAsiaTheme="minorEastAsia"/>
        </w:rPr>
        <w:t>的保护修复步骤</w:t>
      </w:r>
      <w:bookmarkEnd w:id="250"/>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287905"/>
            <wp:effectExtent l="0" t="0" r="133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520000" cy="2287781"/>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51" w:name="_Toc70840819"/>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12</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BM4-HS-F-21照片</w:t>
      </w:r>
      <w:bookmarkEnd w:id="251"/>
    </w:p>
    <w:p>
      <w:pPr>
        <w:pStyle w:val="295"/>
        <w:spacing w:before="312" w:after="156"/>
        <w:rPr>
          <w:rFonts w:cs="仿宋" w:asciiTheme="minorEastAsia" w:hAnsiTheme="minorEastAsia" w:eastAsiaTheme="minorEastAsia"/>
          <w:sz w:val="28"/>
          <w:szCs w:val="28"/>
        </w:rPr>
      </w:pPr>
      <w:bookmarkStart w:id="252" w:name="_Toc70840894"/>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12</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BM4-HS-F-21病害类型及面积</w:t>
      </w:r>
      <w:bookmarkEnd w:id="252"/>
    </w:p>
    <w:tbl>
      <w:tblPr>
        <w:tblStyle w:val="43"/>
        <w:tblW w:w="9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276"/>
        <w:gridCol w:w="847"/>
        <w:gridCol w:w="851"/>
        <w:gridCol w:w="1260"/>
        <w:gridCol w:w="1259"/>
        <w:gridCol w:w="112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5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47"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260"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259"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12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水锈结壳</w:t>
            </w:r>
          </w:p>
        </w:tc>
        <w:tc>
          <w:tcPr>
            <w:tcW w:w="98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泥渍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5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BM4-HS-F-21</w:t>
            </w:r>
          </w:p>
        </w:tc>
        <w:tc>
          <w:tcPr>
            <w:tcW w:w="12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0.48</w:t>
            </w:r>
          </w:p>
        </w:tc>
        <w:tc>
          <w:tcPr>
            <w:tcW w:w="847"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85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1.17</w:t>
            </w:r>
          </w:p>
        </w:tc>
        <w:tc>
          <w:tcPr>
            <w:tcW w:w="1260"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0.15</w:t>
            </w:r>
          </w:p>
        </w:tc>
        <w:tc>
          <w:tcPr>
            <w:tcW w:w="1259"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0.11</w:t>
            </w:r>
          </w:p>
        </w:tc>
        <w:tc>
          <w:tcPr>
            <w:tcW w:w="1122"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0.07</w:t>
            </w:r>
          </w:p>
        </w:tc>
        <w:tc>
          <w:tcPr>
            <w:tcW w:w="98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0.03</w:t>
            </w:r>
          </w:p>
        </w:tc>
      </w:tr>
    </w:tbl>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p>
    <w:p>
      <w:pPr>
        <w:pStyle w:val="79"/>
        <w:ind w:left="240" w:firstLine="0" w:firstLineChars="0"/>
        <w:rPr>
          <w:rFonts w:cs="仿宋" w:asciiTheme="minorEastAsia" w:hAnsiTheme="minorEastAsia"/>
          <w:color w:val="000000" w:themeColor="text1"/>
          <w:sz w:val="28"/>
          <w:szCs w:val="28"/>
          <w14:textFill>
            <w14:solidFill>
              <w14:schemeClr w14:val="tx1"/>
            </w14:solidFill>
          </w14:textFill>
        </w:rPr>
      </w:pPr>
      <w:r>
        <w:rPr>
          <w:rFonts w:hint="eastAsia" w:cs="仿宋" w:asciiTheme="minorEastAsia" w:hAnsi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color w:val="000000" w:themeColor="text1"/>
          <w:sz w:val="28"/>
          <w:szCs w:val="28"/>
          <w14:textFill>
            <w14:solidFill>
              <w14:schemeClr w14:val="tx1"/>
            </w14:solidFill>
          </w14:textFill>
        </w:rPr>
        <w:br w:type="textWrapping"/>
      </w:r>
      <w:r>
        <w:rPr>
          <w:rFonts w:hint="eastAsia" w:cs="仿宋" w:asciiTheme="minorEastAsia" w:hAnsiTheme="minorEastAsia"/>
          <w:color w:val="000000" w:themeColor="text1"/>
          <w:sz w:val="28"/>
          <w:szCs w:val="28"/>
          <w14:textFill>
            <w14:solidFill>
              <w14:schemeClr w14:val="tx1"/>
            </w14:solidFill>
          </w14:textFill>
        </w:rPr>
        <w:t xml:space="preserve">    ②用排笔蘸 0.5‰杀菌剂的化妆棉 或 1‰P91 轻轻擦刷菌斑；</w:t>
      </w:r>
    </w:p>
    <w:p>
      <w:pPr>
        <w:pStyle w:val="79"/>
        <w:ind w:left="240" w:firstLine="560"/>
        <w:rPr>
          <w:rFonts w:cs="仿宋" w:asciiTheme="minorEastAsia" w:hAnsiTheme="minorEastAsia"/>
          <w:color w:val="000000"/>
          <w:sz w:val="28"/>
          <w:szCs w:val="28"/>
        </w:rPr>
      </w:pPr>
      <w:r>
        <w:rPr>
          <w:rFonts w:hint="eastAsia" w:cs="仿宋" w:asciiTheme="minorEastAsia" w:hAnsiTheme="minorEastAsia"/>
          <w:color w:val="000000"/>
          <w:sz w:val="28"/>
          <w:szCs w:val="28"/>
        </w:rPr>
        <w:t>③去除菌斑后，用注射器喷水并结合排笔、化妆棉等擦洗，以尽量清除残余药剂。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基本要求：</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color w:val="000000"/>
          <w:sz w:val="28"/>
          <w:szCs w:val="28"/>
        </w:rPr>
        <w:br w:type="textWrapping"/>
      </w:r>
      <w:r>
        <w:rPr>
          <w:rFonts w:hint="eastAsia" w:cs="仿宋" w:asciiTheme="minorEastAsia" w:hAnsi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53" w:name="_Toc67678626"/>
      <w:bookmarkStart w:id="254" w:name="_Toc72087950"/>
      <w:r>
        <w:rPr>
          <w:rFonts w:hint="eastAsia" w:cs="仿宋" w:asciiTheme="minorEastAsia" w:hAnsiTheme="minorEastAsia" w:eastAsiaTheme="minorEastAsia"/>
        </w:rPr>
        <w:t>BM4-QM-A-2</w:t>
      </w:r>
      <w:bookmarkEnd w:id="253"/>
      <w:r>
        <w:rPr>
          <w:rFonts w:hint="eastAsia" w:cs="仿宋" w:asciiTheme="minorEastAsia" w:hAnsiTheme="minorEastAsia" w:eastAsiaTheme="minorEastAsia"/>
        </w:rPr>
        <w:t>的保护修复步骤</w:t>
      </w:r>
      <w:bookmarkEnd w:id="254"/>
    </w:p>
    <w:tbl>
      <w:tblPr>
        <w:tblStyle w:val="43"/>
        <w:tblW w:w="9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Pr>
          <w:p>
            <w:pPr>
              <w:ind w:firstLine="44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11530"/>
                  <wp:effectExtent l="0" t="0" r="13335" b="762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20000" cy="811612"/>
                          </a:xfrm>
                          <a:prstGeom prst="rect">
                            <a:avLst/>
                          </a:prstGeom>
                          <a:noFill/>
                        </pic:spPr>
                      </pic:pic>
                    </a:graphicData>
                  </a:graphic>
                </wp:inline>
              </w:drawing>
            </w:r>
          </w:p>
        </w:tc>
        <w:tc>
          <w:tcPr>
            <w:tcW w:w="4656" w:type="dxa"/>
          </w:tcPr>
          <w:p>
            <w:pPr>
              <w:ind w:firstLine="44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47065"/>
                  <wp:effectExtent l="0" t="0" r="13335" b="63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20000" cy="647001"/>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Pr>
          <w:p>
            <w:pPr>
              <w:ind w:firstLine="44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694690"/>
                  <wp:effectExtent l="0" t="0" r="15875" b="1016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17775" cy="694690"/>
                          </a:xfrm>
                          <a:prstGeom prst="rect">
                            <a:avLst/>
                          </a:prstGeom>
                          <a:noFill/>
                        </pic:spPr>
                      </pic:pic>
                    </a:graphicData>
                  </a:graphic>
                </wp:inline>
              </w:drawing>
            </w:r>
          </w:p>
        </w:tc>
        <w:tc>
          <w:tcPr>
            <w:tcW w:w="4656" w:type="dxa"/>
          </w:tcPr>
          <w:p>
            <w:pPr>
              <w:ind w:firstLine="440"/>
              <w:jc w:val="center"/>
              <w:rPr>
                <w:rFonts w:cs="仿宋" w:asciiTheme="minorEastAsia" w:hAnsiTheme="minorEastAsia" w:eastAsiaTheme="minorEastAsia"/>
                <w:sz w:val="28"/>
                <w:szCs w:val="28"/>
              </w:rPr>
            </w:pPr>
          </w:p>
        </w:tc>
      </w:tr>
    </w:tbl>
    <w:p>
      <w:pPr>
        <w:pStyle w:val="294"/>
        <w:spacing w:after="312"/>
        <w:rPr>
          <w:rFonts w:cs="仿宋" w:asciiTheme="minorEastAsia" w:hAnsiTheme="minorEastAsia"/>
          <w:sz w:val="28"/>
          <w:szCs w:val="28"/>
        </w:rPr>
      </w:pPr>
      <w:bookmarkStart w:id="255" w:name="_Toc70840820"/>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13</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BM4-QM-A-2照片</w:t>
      </w:r>
      <w:bookmarkEnd w:id="255"/>
    </w:p>
    <w:p>
      <w:pPr>
        <w:pStyle w:val="295"/>
        <w:spacing w:before="312" w:after="156"/>
        <w:rPr>
          <w:rFonts w:cs="仿宋" w:asciiTheme="minorEastAsia" w:hAnsiTheme="minorEastAsia" w:eastAsiaTheme="minorEastAsia"/>
          <w:sz w:val="28"/>
          <w:szCs w:val="28"/>
        </w:rPr>
      </w:pPr>
      <w:bookmarkStart w:id="256" w:name="_Toc70840895"/>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13</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BM4-QM-A-2病害类型及面积</w:t>
      </w:r>
      <w:bookmarkEnd w:id="256"/>
    </w:p>
    <w:tbl>
      <w:tblPr>
        <w:tblStyle w:val="43"/>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76"/>
        <w:gridCol w:w="776"/>
        <w:gridCol w:w="850"/>
        <w:gridCol w:w="1198"/>
        <w:gridCol w:w="1254"/>
        <w:gridCol w:w="1119"/>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77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198"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254"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119"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984"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BM4-QM-A-2</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0.25</w:t>
            </w:r>
          </w:p>
        </w:tc>
        <w:tc>
          <w:tcPr>
            <w:tcW w:w="77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0.33</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6.09</w:t>
            </w:r>
          </w:p>
        </w:tc>
        <w:tc>
          <w:tcPr>
            <w:tcW w:w="119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0.46</w:t>
            </w:r>
          </w:p>
        </w:tc>
        <w:tc>
          <w:tcPr>
            <w:tcW w:w="1254"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0.25</w:t>
            </w:r>
          </w:p>
        </w:tc>
        <w:tc>
          <w:tcPr>
            <w:tcW w:w="1119"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0.49</w:t>
            </w:r>
          </w:p>
        </w:tc>
        <w:tc>
          <w:tcPr>
            <w:tcW w:w="984"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0.69</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57" w:name="_Toc67678627"/>
      <w:bookmarkStart w:id="258" w:name="_Toc72087951"/>
      <w:r>
        <w:rPr>
          <w:rFonts w:hint="eastAsia" w:cs="仿宋" w:asciiTheme="minorEastAsia" w:hAnsiTheme="minorEastAsia" w:eastAsiaTheme="minorEastAsia"/>
        </w:rPr>
        <w:t>BM4-QM-B-11</w:t>
      </w:r>
      <w:bookmarkEnd w:id="257"/>
      <w:r>
        <w:rPr>
          <w:rFonts w:hint="eastAsia" w:cs="仿宋" w:asciiTheme="minorEastAsia" w:hAnsiTheme="minorEastAsia" w:eastAsiaTheme="minorEastAsia"/>
        </w:rPr>
        <w:t>的保护修复步骤</w:t>
      </w:r>
      <w:bookmarkEnd w:id="258"/>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17880"/>
            <wp:effectExtent l="0" t="0" r="13335"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20000" cy="817967"/>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733675"/>
            <wp:effectExtent l="0" t="0" r="13335"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20000" cy="273354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59" w:name="_Toc70840821"/>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14</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BM4-QM-B-11照片</w:t>
      </w:r>
      <w:bookmarkEnd w:id="259"/>
    </w:p>
    <w:p>
      <w:pPr>
        <w:pStyle w:val="295"/>
        <w:spacing w:before="312" w:after="156"/>
        <w:rPr>
          <w:rFonts w:cs="仿宋" w:asciiTheme="minorEastAsia" w:hAnsiTheme="minorEastAsia" w:eastAsiaTheme="minorEastAsia"/>
          <w:sz w:val="28"/>
          <w:szCs w:val="28"/>
        </w:rPr>
      </w:pPr>
      <w:bookmarkStart w:id="260" w:name="_Toc70840896"/>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14</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BM4-QM-B-11病害类型及面积</w:t>
      </w:r>
      <w:bookmarkEnd w:id="260"/>
    </w:p>
    <w:tbl>
      <w:tblPr>
        <w:tblStyle w:val="43"/>
        <w:tblW w:w="72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417"/>
        <w:gridCol w:w="922"/>
        <w:gridCol w:w="1772"/>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43"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7"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922"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77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275"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843"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BM4-QM-B-11</w:t>
            </w:r>
          </w:p>
        </w:tc>
        <w:tc>
          <w:tcPr>
            <w:tcW w:w="1417"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0.25</w:t>
            </w:r>
          </w:p>
        </w:tc>
        <w:tc>
          <w:tcPr>
            <w:tcW w:w="922"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6.09</w:t>
            </w:r>
          </w:p>
        </w:tc>
        <w:tc>
          <w:tcPr>
            <w:tcW w:w="1772"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0.46</w:t>
            </w:r>
          </w:p>
        </w:tc>
        <w:tc>
          <w:tcPr>
            <w:tcW w:w="1275"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0.69</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61" w:name="_Toc67678628"/>
      <w:bookmarkStart w:id="262" w:name="_Toc72087952"/>
      <w:r>
        <w:rPr>
          <w:rFonts w:hint="eastAsia" w:cs="仿宋" w:asciiTheme="minorEastAsia" w:hAnsiTheme="minorEastAsia" w:eastAsiaTheme="minorEastAsia"/>
        </w:rPr>
        <w:t>BM4-QM-B-12</w:t>
      </w:r>
      <w:bookmarkEnd w:id="261"/>
      <w:r>
        <w:rPr>
          <w:rFonts w:hint="eastAsia" w:cs="仿宋" w:asciiTheme="minorEastAsia" w:hAnsiTheme="minorEastAsia" w:eastAsiaTheme="minorEastAsia"/>
        </w:rPr>
        <w:t>的保护修复步骤</w:t>
      </w:r>
      <w:bookmarkEnd w:id="262"/>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1584960"/>
            <wp:effectExtent l="0" t="0" r="15875" b="1524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17775" cy="1584960"/>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294765"/>
            <wp:effectExtent l="0" t="0" r="13335" b="63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20000" cy="1294594"/>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63" w:name="_Toc70840822"/>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15</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BM4-QM-B-12照片</w:t>
      </w:r>
      <w:bookmarkEnd w:id="263"/>
    </w:p>
    <w:p>
      <w:pPr>
        <w:pStyle w:val="295"/>
        <w:spacing w:before="312" w:after="156"/>
        <w:rPr>
          <w:rFonts w:cs="仿宋" w:asciiTheme="minorEastAsia" w:hAnsiTheme="minorEastAsia" w:eastAsiaTheme="minorEastAsia"/>
          <w:sz w:val="28"/>
          <w:szCs w:val="28"/>
        </w:rPr>
      </w:pPr>
      <w:bookmarkStart w:id="264" w:name="_Toc70840897"/>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15</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BM4-QM-B-12病害类型及面积</w:t>
      </w:r>
      <w:bookmarkEnd w:id="264"/>
    </w:p>
    <w:tbl>
      <w:tblPr>
        <w:tblStyle w:val="43"/>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276"/>
        <w:gridCol w:w="841"/>
        <w:gridCol w:w="851"/>
        <w:gridCol w:w="1359"/>
        <w:gridCol w:w="1617"/>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5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4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359"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617"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23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5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BM4-QM-B-12</w:t>
            </w:r>
          </w:p>
        </w:tc>
        <w:tc>
          <w:tcPr>
            <w:tcW w:w="127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0.32</w:t>
            </w:r>
          </w:p>
        </w:tc>
        <w:tc>
          <w:tcPr>
            <w:tcW w:w="841"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0.04</w:t>
            </w:r>
          </w:p>
        </w:tc>
        <w:tc>
          <w:tcPr>
            <w:tcW w:w="85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2.16</w:t>
            </w:r>
          </w:p>
        </w:tc>
        <w:tc>
          <w:tcPr>
            <w:tcW w:w="1359"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0.92</w:t>
            </w:r>
          </w:p>
        </w:tc>
        <w:tc>
          <w:tcPr>
            <w:tcW w:w="1617"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0.08</w:t>
            </w:r>
          </w:p>
        </w:tc>
        <w:tc>
          <w:tcPr>
            <w:tcW w:w="1231"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0.43</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65" w:name="_Toc67678629"/>
      <w:bookmarkStart w:id="266" w:name="_Toc72087953"/>
      <w:r>
        <w:rPr>
          <w:rFonts w:hint="eastAsia" w:cs="仿宋" w:asciiTheme="minorEastAsia" w:hAnsiTheme="minorEastAsia" w:eastAsiaTheme="minorEastAsia"/>
        </w:rPr>
        <w:t>BM4-QM-B-13</w:t>
      </w:r>
      <w:bookmarkEnd w:id="265"/>
      <w:r>
        <w:rPr>
          <w:rFonts w:hint="eastAsia" w:cs="仿宋" w:asciiTheme="minorEastAsia" w:hAnsiTheme="minorEastAsia" w:eastAsiaTheme="minorEastAsia"/>
        </w:rPr>
        <w:t>的保护修复步骤</w:t>
      </w:r>
      <w:bookmarkEnd w:id="266"/>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57885"/>
            <wp:effectExtent l="0" t="0" r="13335" b="1841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20000" cy="857917"/>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004060"/>
            <wp:effectExtent l="0" t="0" r="13335" b="1524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20000" cy="2004133"/>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67" w:name="_Toc70840823"/>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16</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BM4-QM-B-13照片</w:t>
      </w:r>
      <w:bookmarkEnd w:id="267"/>
    </w:p>
    <w:p>
      <w:pPr>
        <w:pStyle w:val="295"/>
        <w:spacing w:before="312" w:after="156"/>
        <w:rPr>
          <w:rFonts w:cs="仿宋" w:asciiTheme="minorEastAsia" w:hAnsiTheme="minorEastAsia" w:eastAsiaTheme="minorEastAsia"/>
          <w:sz w:val="28"/>
          <w:szCs w:val="28"/>
        </w:rPr>
      </w:pPr>
      <w:bookmarkStart w:id="268" w:name="_Toc70840898"/>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16</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BM4-QM-B-13病害类型及面积</w:t>
      </w:r>
      <w:bookmarkEnd w:id="268"/>
    </w:p>
    <w:tbl>
      <w:tblPr>
        <w:tblStyle w:val="43"/>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487"/>
        <w:gridCol w:w="851"/>
        <w:gridCol w:w="1417"/>
        <w:gridCol w:w="14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73"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8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5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417"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418"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27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73"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BM4-QM-B-13</w:t>
            </w:r>
          </w:p>
        </w:tc>
        <w:tc>
          <w:tcPr>
            <w:tcW w:w="148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0.92</w:t>
            </w:r>
          </w:p>
        </w:tc>
        <w:tc>
          <w:tcPr>
            <w:tcW w:w="85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1.16</w:t>
            </w:r>
          </w:p>
        </w:tc>
        <w:tc>
          <w:tcPr>
            <w:tcW w:w="1417"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0.8</w:t>
            </w:r>
          </w:p>
        </w:tc>
        <w:tc>
          <w:tcPr>
            <w:tcW w:w="1418"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0.18</w:t>
            </w:r>
          </w:p>
        </w:tc>
        <w:tc>
          <w:tcPr>
            <w:tcW w:w="127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0.04</w:t>
            </w:r>
          </w:p>
        </w:tc>
      </w:tr>
    </w:tbl>
    <w:p>
      <w:pPr>
        <w:widowControl/>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69" w:name="_Toc67678630"/>
      <w:bookmarkStart w:id="270" w:name="_Toc72087954"/>
      <w:r>
        <w:rPr>
          <w:rFonts w:hint="eastAsia" w:cs="仿宋" w:asciiTheme="minorEastAsia" w:hAnsiTheme="minorEastAsia" w:eastAsiaTheme="minorEastAsia"/>
        </w:rPr>
        <w:t>BM4-QM-C-10</w:t>
      </w:r>
      <w:bookmarkEnd w:id="269"/>
      <w:r>
        <w:rPr>
          <w:rFonts w:hint="eastAsia" w:cs="仿宋" w:asciiTheme="minorEastAsia" w:hAnsiTheme="minorEastAsia" w:eastAsiaTheme="minorEastAsia"/>
        </w:rPr>
        <w:t>的保护修复步骤</w:t>
      </w:r>
      <w:bookmarkEnd w:id="270"/>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68680"/>
            <wp:effectExtent l="0" t="0" r="13335"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520000" cy="868379"/>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028190"/>
            <wp:effectExtent l="0" t="0" r="13335" b="1016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520000" cy="202787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71" w:name="_Toc70840824"/>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17</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BM4-QM-C-10照片</w:t>
      </w:r>
      <w:bookmarkEnd w:id="271"/>
    </w:p>
    <w:p>
      <w:pPr>
        <w:pStyle w:val="295"/>
        <w:spacing w:before="312" w:after="156"/>
        <w:rPr>
          <w:rFonts w:cs="仿宋" w:asciiTheme="minorEastAsia" w:hAnsiTheme="minorEastAsia" w:eastAsiaTheme="minorEastAsia"/>
          <w:sz w:val="28"/>
          <w:szCs w:val="28"/>
        </w:rPr>
      </w:pPr>
      <w:bookmarkStart w:id="272" w:name="_Toc70840899"/>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BM4-QM-C-10病害类型及面积</w:t>
      </w:r>
      <w:bookmarkEnd w:id="272"/>
    </w:p>
    <w:tbl>
      <w:tblPr>
        <w:tblStyle w:val="43"/>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417"/>
        <w:gridCol w:w="846"/>
        <w:gridCol w:w="850"/>
        <w:gridCol w:w="1399"/>
        <w:gridCol w:w="154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5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4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399"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540"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265"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5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BM4-QM-C-10</w:t>
            </w:r>
          </w:p>
        </w:tc>
        <w:tc>
          <w:tcPr>
            <w:tcW w:w="1417"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0.69</w:t>
            </w:r>
          </w:p>
        </w:tc>
        <w:tc>
          <w:tcPr>
            <w:tcW w:w="84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w:t>
            </w:r>
          </w:p>
        </w:tc>
        <w:tc>
          <w:tcPr>
            <w:tcW w:w="85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1.2</w:t>
            </w:r>
          </w:p>
        </w:tc>
        <w:tc>
          <w:tcPr>
            <w:tcW w:w="1399"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w:t>
            </w:r>
          </w:p>
        </w:tc>
        <w:tc>
          <w:tcPr>
            <w:tcW w:w="1540"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0.03</w:t>
            </w:r>
          </w:p>
        </w:tc>
        <w:tc>
          <w:tcPr>
            <w:tcW w:w="1265"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0.19</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73" w:name="_Toc67678631"/>
      <w:bookmarkStart w:id="274" w:name="_Toc72087955"/>
      <w:r>
        <w:rPr>
          <w:rFonts w:hint="eastAsia" w:cs="仿宋" w:asciiTheme="minorEastAsia" w:hAnsiTheme="minorEastAsia" w:eastAsiaTheme="minorEastAsia"/>
        </w:rPr>
        <w:t>BM4-QM-C-14</w:t>
      </w:r>
      <w:bookmarkEnd w:id="273"/>
      <w:r>
        <w:rPr>
          <w:rFonts w:hint="eastAsia" w:cs="仿宋" w:asciiTheme="minorEastAsia" w:hAnsiTheme="minorEastAsia" w:eastAsiaTheme="minorEastAsia"/>
        </w:rPr>
        <w:t>的保护修复步骤</w:t>
      </w:r>
      <w:bookmarkEnd w:id="274"/>
    </w:p>
    <w:tbl>
      <w:tblPr>
        <w:tblStyle w:val="43"/>
        <w:tblW w:w="93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96"/>
        <w:gridCol w:w="4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96" w:type="dxa"/>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1097280"/>
                  <wp:effectExtent l="0" t="0" r="15875" b="762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17775" cy="1097280"/>
                          </a:xfrm>
                          <a:prstGeom prst="rect">
                            <a:avLst/>
                          </a:prstGeom>
                          <a:noFill/>
                        </pic:spPr>
                      </pic:pic>
                    </a:graphicData>
                  </a:graphic>
                </wp:inline>
              </w:drawing>
            </w:r>
          </w:p>
        </w:tc>
        <w:tc>
          <w:tcPr>
            <w:tcW w:w="4696" w:type="dxa"/>
          </w:tcPr>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17775" cy="1115695"/>
                  <wp:effectExtent l="0" t="0" r="15875" b="825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517775" cy="1115695"/>
                          </a:xfrm>
                          <a:prstGeom prst="rect">
                            <a:avLst/>
                          </a:prstGeom>
                          <a:noFill/>
                        </pic:spPr>
                      </pic:pic>
                    </a:graphicData>
                  </a:graphic>
                </wp:inline>
              </w:drawing>
            </w:r>
          </w:p>
        </w:tc>
      </w:tr>
    </w:tbl>
    <w:p>
      <w:pPr>
        <w:pStyle w:val="294"/>
        <w:spacing w:after="312"/>
        <w:rPr>
          <w:rFonts w:cs="仿宋" w:asciiTheme="minorEastAsia" w:hAnsiTheme="minorEastAsia"/>
          <w:sz w:val="28"/>
          <w:szCs w:val="28"/>
        </w:rPr>
      </w:pPr>
      <w:bookmarkStart w:id="275" w:name="_Toc70840825"/>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18</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BM4-QM-C-14照片</w:t>
      </w:r>
      <w:bookmarkEnd w:id="275"/>
    </w:p>
    <w:p>
      <w:pPr>
        <w:pStyle w:val="295"/>
        <w:spacing w:before="312" w:after="156"/>
        <w:rPr>
          <w:rFonts w:cs="仿宋" w:asciiTheme="minorEastAsia" w:hAnsiTheme="minorEastAsia" w:eastAsiaTheme="minorEastAsia"/>
          <w:sz w:val="28"/>
          <w:szCs w:val="28"/>
        </w:rPr>
      </w:pPr>
      <w:bookmarkStart w:id="276" w:name="_Toc70840900"/>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18</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BM4-QM-C-14病害类型及面积</w:t>
      </w:r>
      <w:bookmarkEnd w:id="276"/>
    </w:p>
    <w:tbl>
      <w:tblPr>
        <w:tblStyle w:val="43"/>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701"/>
        <w:gridCol w:w="1134"/>
        <w:gridCol w:w="2127"/>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43"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70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1134"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2127"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84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843"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BM4-QM-C-14</w:t>
            </w:r>
          </w:p>
        </w:tc>
        <w:tc>
          <w:tcPr>
            <w:tcW w:w="1701"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0.54</w:t>
            </w:r>
          </w:p>
        </w:tc>
        <w:tc>
          <w:tcPr>
            <w:tcW w:w="1134"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2.63</w:t>
            </w:r>
          </w:p>
        </w:tc>
        <w:tc>
          <w:tcPr>
            <w:tcW w:w="2127"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1.16</w:t>
            </w:r>
          </w:p>
        </w:tc>
        <w:tc>
          <w:tcPr>
            <w:tcW w:w="1842"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77" w:name="_Toc67678632"/>
      <w:bookmarkStart w:id="278" w:name="_Toc72087956"/>
      <w:r>
        <w:rPr>
          <w:rFonts w:hint="eastAsia" w:cs="仿宋" w:asciiTheme="minorEastAsia" w:hAnsiTheme="minorEastAsia" w:eastAsiaTheme="minorEastAsia"/>
        </w:rPr>
        <w:t>BM4-QM-C-8</w:t>
      </w:r>
      <w:bookmarkEnd w:id="277"/>
      <w:r>
        <w:rPr>
          <w:rFonts w:hint="eastAsia" w:cs="仿宋" w:asciiTheme="minorEastAsia" w:hAnsiTheme="minorEastAsia" w:eastAsiaTheme="minorEastAsia"/>
        </w:rPr>
        <w:t>的保护修复步骤</w:t>
      </w:r>
      <w:bookmarkEnd w:id="278"/>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26135"/>
            <wp:effectExtent l="0" t="0" r="13335" b="1206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20000" cy="825953"/>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924810"/>
            <wp:effectExtent l="0" t="0" r="13335" b="889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20000" cy="292454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79" w:name="_Toc70840826"/>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19</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BM4-QM-C-8照片</w:t>
      </w:r>
      <w:bookmarkEnd w:id="279"/>
    </w:p>
    <w:p>
      <w:pPr>
        <w:pStyle w:val="295"/>
        <w:spacing w:before="312" w:after="156"/>
        <w:rPr>
          <w:rFonts w:cs="仿宋" w:asciiTheme="minorEastAsia" w:hAnsiTheme="minorEastAsia" w:eastAsiaTheme="minorEastAsia"/>
          <w:sz w:val="28"/>
          <w:szCs w:val="28"/>
        </w:rPr>
      </w:pPr>
      <w:bookmarkStart w:id="280" w:name="_Toc70840901"/>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19</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BM4-QM-C-8病害类型及面积</w:t>
      </w:r>
      <w:bookmarkEnd w:id="280"/>
    </w:p>
    <w:tbl>
      <w:tblPr>
        <w:tblStyle w:val="43"/>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417"/>
        <w:gridCol w:w="850"/>
        <w:gridCol w:w="1418"/>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02"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417"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85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418"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559"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27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02"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BM4-QM-C-8</w:t>
            </w:r>
          </w:p>
        </w:tc>
        <w:tc>
          <w:tcPr>
            <w:tcW w:w="1417"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1.15</w:t>
            </w:r>
          </w:p>
        </w:tc>
        <w:tc>
          <w:tcPr>
            <w:tcW w:w="850"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1.17</w:t>
            </w:r>
          </w:p>
        </w:tc>
        <w:tc>
          <w:tcPr>
            <w:tcW w:w="1418"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0.09</w:t>
            </w:r>
          </w:p>
        </w:tc>
        <w:tc>
          <w:tcPr>
            <w:tcW w:w="1559"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0.01</w:t>
            </w:r>
          </w:p>
        </w:tc>
        <w:tc>
          <w:tcPr>
            <w:tcW w:w="1276"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0.05</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bookmarkStart w:id="281" w:name="_Hlk67654581"/>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bookmarkEnd w:id="281"/>
    </w:p>
    <w:p>
      <w:pPr>
        <w:pStyle w:val="5"/>
        <w:numPr>
          <w:ilvl w:val="2"/>
          <w:numId w:val="0"/>
        </w:numPr>
        <w:rPr>
          <w:rFonts w:cs="仿宋" w:asciiTheme="minorEastAsia" w:hAnsiTheme="minorEastAsia" w:eastAsiaTheme="minorEastAsia"/>
        </w:rPr>
      </w:pPr>
      <w:bookmarkStart w:id="282" w:name="_Toc67678633"/>
      <w:bookmarkStart w:id="283" w:name="_Toc72087957"/>
      <w:r>
        <w:rPr>
          <w:rFonts w:hint="eastAsia" w:cs="仿宋" w:asciiTheme="minorEastAsia" w:hAnsiTheme="minorEastAsia" w:eastAsiaTheme="minorEastAsia"/>
        </w:rPr>
        <w:t>BM4-QM-C-9</w:t>
      </w:r>
      <w:bookmarkEnd w:id="282"/>
      <w:r>
        <w:rPr>
          <w:rFonts w:hint="eastAsia" w:cs="仿宋" w:asciiTheme="minorEastAsia" w:hAnsiTheme="minorEastAsia" w:eastAsiaTheme="minorEastAsia"/>
        </w:rPr>
        <w:t>的保护修复步骤</w:t>
      </w:r>
      <w:bookmarkEnd w:id="283"/>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593215"/>
            <wp:effectExtent l="0" t="0" r="13335" b="698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20000" cy="1592910"/>
                    </a:xfrm>
                    <a:prstGeom prst="rect">
                      <a:avLst/>
                    </a:prstGeom>
                    <a:noFill/>
                  </pic:spPr>
                </pic:pic>
              </a:graphicData>
            </a:graphic>
          </wp:inline>
        </w:drawing>
      </w:r>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073785"/>
            <wp:effectExtent l="0" t="0" r="13335" b="1206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20000" cy="107395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84" w:name="_Toc70840827"/>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20</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BM4-QM-C-9照片</w:t>
      </w:r>
      <w:bookmarkEnd w:id="284"/>
    </w:p>
    <w:p>
      <w:pPr>
        <w:pStyle w:val="295"/>
        <w:spacing w:before="312" w:after="156"/>
        <w:rPr>
          <w:rFonts w:cs="仿宋" w:asciiTheme="minorEastAsia" w:hAnsiTheme="minorEastAsia" w:eastAsiaTheme="minorEastAsia"/>
          <w:sz w:val="28"/>
          <w:szCs w:val="28"/>
        </w:rPr>
      </w:pPr>
      <w:bookmarkStart w:id="285" w:name="_Toc70840902"/>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20</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BM4-QM-C-9病害类型及面积</w:t>
      </w:r>
      <w:bookmarkEnd w:id="285"/>
    </w:p>
    <w:tbl>
      <w:tblPr>
        <w:tblStyle w:val="43"/>
        <w:tblW w:w="77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670"/>
        <w:gridCol w:w="1023"/>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70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67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1023"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70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701"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701"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BM4-QM-C-9</w:t>
            </w:r>
          </w:p>
        </w:tc>
        <w:tc>
          <w:tcPr>
            <w:tcW w:w="1670"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1.95</w:t>
            </w:r>
          </w:p>
        </w:tc>
        <w:tc>
          <w:tcPr>
            <w:tcW w:w="1023"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2.23</w:t>
            </w:r>
          </w:p>
        </w:tc>
        <w:tc>
          <w:tcPr>
            <w:tcW w:w="1701"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0.86</w:t>
            </w:r>
          </w:p>
        </w:tc>
        <w:tc>
          <w:tcPr>
            <w:tcW w:w="1701"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0.12</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86" w:name="_Toc67678634"/>
      <w:bookmarkStart w:id="287" w:name="_Toc72087958"/>
      <w:r>
        <w:rPr>
          <w:rFonts w:hint="eastAsia" w:cs="仿宋" w:asciiTheme="minorEastAsia" w:hAnsiTheme="minorEastAsia" w:eastAsiaTheme="minorEastAsia"/>
        </w:rPr>
        <w:t>BM4-QM-E-1</w:t>
      </w:r>
      <w:bookmarkEnd w:id="286"/>
      <w:r>
        <w:rPr>
          <w:rFonts w:hint="eastAsia" w:cs="仿宋" w:asciiTheme="minorEastAsia" w:hAnsiTheme="minorEastAsia" w:eastAsiaTheme="minorEastAsia"/>
        </w:rPr>
        <w:t>的保护修复步骤</w:t>
      </w:r>
      <w:bookmarkEnd w:id="287"/>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08355"/>
            <wp:effectExtent l="0" t="0" r="13335" b="1079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520000" cy="808464"/>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88" w:name="_Toc70840828"/>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21</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BM4-QM-E-1照片</w:t>
      </w:r>
      <w:bookmarkEnd w:id="288"/>
    </w:p>
    <w:p>
      <w:pPr>
        <w:pStyle w:val="295"/>
        <w:spacing w:before="312" w:after="156"/>
        <w:rPr>
          <w:rFonts w:cs="仿宋" w:asciiTheme="minorEastAsia" w:hAnsiTheme="minorEastAsia" w:eastAsiaTheme="minorEastAsia"/>
          <w:sz w:val="28"/>
          <w:szCs w:val="28"/>
        </w:rPr>
      </w:pPr>
      <w:bookmarkStart w:id="289" w:name="_Toc70840903"/>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21</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BM4-QM-E-1病害类型及面积</w:t>
      </w:r>
      <w:bookmarkEnd w:id="289"/>
    </w:p>
    <w:tbl>
      <w:tblPr>
        <w:tblStyle w:val="43"/>
        <w:tblW w:w="9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559"/>
        <w:gridCol w:w="776"/>
        <w:gridCol w:w="1243"/>
        <w:gridCol w:w="1654"/>
        <w:gridCol w:w="1385"/>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559"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表面附着物</w:t>
            </w:r>
          </w:p>
        </w:tc>
        <w:tc>
          <w:tcPr>
            <w:tcW w:w="7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1243"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微生物病害</w:t>
            </w:r>
          </w:p>
        </w:tc>
        <w:tc>
          <w:tcPr>
            <w:tcW w:w="1654"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385" w:type="dxa"/>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981"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BM4-QM-E-1</w:t>
            </w:r>
          </w:p>
        </w:tc>
        <w:tc>
          <w:tcPr>
            <w:tcW w:w="1559"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1.23</w:t>
            </w:r>
          </w:p>
        </w:tc>
        <w:tc>
          <w:tcPr>
            <w:tcW w:w="776" w:type="dxa"/>
            <w:noWrap/>
            <w:vAlign w:val="center"/>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2.25</w:t>
            </w:r>
          </w:p>
        </w:tc>
        <w:tc>
          <w:tcPr>
            <w:tcW w:w="1243"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0.6</w:t>
            </w:r>
          </w:p>
        </w:tc>
        <w:tc>
          <w:tcPr>
            <w:tcW w:w="1654"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0.12</w:t>
            </w:r>
          </w:p>
        </w:tc>
        <w:tc>
          <w:tcPr>
            <w:tcW w:w="1385"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0.23</w:t>
            </w:r>
          </w:p>
        </w:tc>
        <w:tc>
          <w:tcPr>
            <w:tcW w:w="981" w:type="dxa"/>
          </w:tcPr>
          <w:p>
            <w:pPr>
              <w:widowControl/>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0.33</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90" w:name="_Toc67678635"/>
      <w:bookmarkStart w:id="291" w:name="_Toc72087959"/>
      <w:r>
        <w:rPr>
          <w:rFonts w:hint="eastAsia" w:cs="仿宋" w:asciiTheme="minorEastAsia" w:hAnsiTheme="minorEastAsia" w:eastAsiaTheme="minorEastAsia"/>
        </w:rPr>
        <w:t>BM4-QS-A-1</w:t>
      </w:r>
      <w:bookmarkEnd w:id="290"/>
      <w:r>
        <w:rPr>
          <w:rFonts w:hint="eastAsia" w:cs="仿宋" w:asciiTheme="minorEastAsia" w:hAnsiTheme="minorEastAsia" w:eastAsiaTheme="minorEastAsia"/>
        </w:rPr>
        <w:t>的保护修复步骤</w:t>
      </w:r>
      <w:bookmarkEnd w:id="291"/>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36270"/>
            <wp:effectExtent l="0" t="0" r="13335" b="1143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20000" cy="636279"/>
                    </a:xfrm>
                    <a:prstGeom prst="rect">
                      <a:avLst/>
                    </a:prstGeom>
                    <a:noFill/>
                  </pic:spPr>
                </pic:pic>
              </a:graphicData>
            </a:graphic>
          </wp:inline>
        </w:drawing>
      </w:r>
    </w:p>
    <w:p>
      <w:pPr>
        <w:pStyle w:val="294"/>
        <w:spacing w:after="312"/>
        <w:rPr>
          <w:rFonts w:cs="仿宋" w:asciiTheme="minorEastAsia" w:hAnsiTheme="minorEastAsia"/>
          <w:sz w:val="28"/>
          <w:szCs w:val="28"/>
        </w:rPr>
      </w:pPr>
      <w:bookmarkStart w:id="292" w:name="_Toc70840829"/>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22</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BM4-QS-A-1照片</w:t>
      </w:r>
      <w:bookmarkEnd w:id="292"/>
    </w:p>
    <w:p>
      <w:pPr>
        <w:pStyle w:val="295"/>
        <w:spacing w:before="312" w:after="156"/>
        <w:rPr>
          <w:rFonts w:cs="仿宋" w:asciiTheme="minorEastAsia" w:hAnsiTheme="minorEastAsia" w:eastAsiaTheme="minorEastAsia"/>
          <w:sz w:val="28"/>
          <w:szCs w:val="28"/>
        </w:rPr>
      </w:pPr>
      <w:bookmarkStart w:id="293" w:name="_Toc70840904"/>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22</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BM4-QS-A-1病害类型及面积</w:t>
      </w:r>
      <w:bookmarkEnd w:id="293"/>
    </w:p>
    <w:tbl>
      <w:tblPr>
        <w:tblStyle w:val="43"/>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134"/>
        <w:gridCol w:w="992"/>
        <w:gridCol w:w="2236"/>
        <w:gridCol w:w="1265"/>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16"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文物编号</w:t>
            </w:r>
          </w:p>
        </w:tc>
        <w:tc>
          <w:tcPr>
            <w:tcW w:w="1134"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残缺</w:t>
            </w:r>
          </w:p>
        </w:tc>
        <w:tc>
          <w:tcPr>
            <w:tcW w:w="992"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积尘</w:t>
            </w:r>
          </w:p>
        </w:tc>
        <w:tc>
          <w:tcPr>
            <w:tcW w:w="223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颜料层点状脱落</w:t>
            </w:r>
          </w:p>
        </w:tc>
        <w:tc>
          <w:tcPr>
            <w:tcW w:w="1265" w:type="dxa"/>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颜料层脱落</w:t>
            </w:r>
          </w:p>
        </w:tc>
        <w:tc>
          <w:tcPr>
            <w:tcW w:w="1262"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jc w:val="center"/>
        </w:trPr>
        <w:tc>
          <w:tcPr>
            <w:tcW w:w="1616"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BM4-QS-A-1</w:t>
            </w:r>
          </w:p>
        </w:tc>
        <w:tc>
          <w:tcPr>
            <w:tcW w:w="1134"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0.04</w:t>
            </w:r>
          </w:p>
        </w:tc>
        <w:tc>
          <w:tcPr>
            <w:tcW w:w="992" w:type="dxa"/>
            <w:noWrap/>
            <w:vAlign w:val="center"/>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1.98</w:t>
            </w:r>
          </w:p>
        </w:tc>
        <w:tc>
          <w:tcPr>
            <w:tcW w:w="2236"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0.49</w:t>
            </w:r>
          </w:p>
        </w:tc>
        <w:tc>
          <w:tcPr>
            <w:tcW w:w="1265"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0.19</w:t>
            </w:r>
          </w:p>
        </w:tc>
        <w:tc>
          <w:tcPr>
            <w:tcW w:w="1262" w:type="dxa"/>
          </w:tcPr>
          <w:p>
            <w:pPr>
              <w:widowControl/>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0.2</w:t>
            </w:r>
          </w:p>
        </w:tc>
      </w:tr>
    </w:tbl>
    <w:p>
      <w:pPr>
        <w:widowControl/>
        <w:ind w:firstLine="482"/>
        <w:jc w:val="left"/>
        <w:rPr>
          <w:rFonts w:cs="仿宋" w:asciiTheme="minorEastAsia" w:hAnsiTheme="minorEastAsia" w:eastAsiaTheme="minorEastAsia"/>
          <w:b/>
          <w:bCs/>
          <w:sz w:val="28"/>
          <w:szCs w:val="28"/>
        </w:rPr>
      </w:pPr>
    </w:p>
    <w:p>
      <w:pPr>
        <w:widowControl/>
        <w:ind w:firstLine="482"/>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12" w:firstLineChars="183"/>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（2）石刻彩绘颜料层加固</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④淋涂时如发生表面流挂和材料聚集时，立即停止淋涂，并用脱脂棉将流挂材料尽可能的吸除，或用乙醇清洗。</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⑤加固材料处理完毕后，养护 3d 左右，材料即可固化。</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294" w:name="_Hlk67647740"/>
      <w:bookmarkStart w:id="295" w:name="_Hlk67643612"/>
      <w:bookmarkStart w:id="296" w:name="_Toc67678636"/>
      <w:bookmarkStart w:id="297" w:name="_Toc72087960"/>
      <w:r>
        <w:rPr>
          <w:rFonts w:hint="eastAsia" w:cs="仿宋" w:asciiTheme="minorEastAsia" w:hAnsiTheme="minorEastAsia" w:eastAsiaTheme="minorEastAsia"/>
        </w:rPr>
        <w:t>BM4-QS-A-</w:t>
      </w:r>
      <w:bookmarkEnd w:id="294"/>
      <w:r>
        <w:rPr>
          <w:rFonts w:hint="eastAsia" w:cs="仿宋" w:asciiTheme="minorEastAsia" w:hAnsiTheme="minorEastAsia" w:eastAsiaTheme="minorEastAsia"/>
        </w:rPr>
        <w:t>2</w:t>
      </w:r>
      <w:bookmarkEnd w:id="295"/>
      <w:bookmarkEnd w:id="296"/>
      <w:r>
        <w:rPr>
          <w:rFonts w:hint="eastAsia" w:cs="仿宋" w:asciiTheme="minorEastAsia" w:hAnsiTheme="minorEastAsia" w:eastAsiaTheme="minorEastAsia"/>
        </w:rPr>
        <w:t>的保护修复步骤</w:t>
      </w:r>
      <w:bookmarkEnd w:id="297"/>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83895"/>
            <wp:effectExtent l="0" t="0" r="13335" b="190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flipV="1">
                      <a:off x="0" y="0"/>
                      <a:ext cx="2520000" cy="684000"/>
                    </a:xfrm>
                    <a:prstGeom prst="rect">
                      <a:avLst/>
                    </a:prstGeom>
                  </pic:spPr>
                </pic:pic>
              </a:graphicData>
            </a:graphic>
          </wp:inline>
        </w:drawing>
      </w:r>
    </w:p>
    <w:p>
      <w:pPr>
        <w:pStyle w:val="294"/>
        <w:spacing w:after="312"/>
        <w:rPr>
          <w:rFonts w:cs="仿宋" w:asciiTheme="minorEastAsia" w:hAnsiTheme="minorEastAsia"/>
          <w:sz w:val="28"/>
          <w:szCs w:val="28"/>
        </w:rPr>
      </w:pPr>
      <w:bookmarkStart w:id="298" w:name="_Toc70840830"/>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23</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BM4-QS-A-2 照片</w:t>
      </w:r>
      <w:bookmarkEnd w:id="298"/>
    </w:p>
    <w:p>
      <w:pPr>
        <w:pStyle w:val="295"/>
        <w:spacing w:before="312" w:after="156"/>
        <w:rPr>
          <w:rFonts w:cs="仿宋" w:asciiTheme="minorEastAsia" w:hAnsiTheme="minorEastAsia" w:eastAsiaTheme="minorEastAsia"/>
          <w:sz w:val="28"/>
          <w:szCs w:val="28"/>
        </w:rPr>
      </w:pPr>
      <w:bookmarkStart w:id="299" w:name="_Toc70840905"/>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23</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BM4-QS-A-2病害类型及面积</w:t>
      </w:r>
      <w:bookmarkEnd w:id="299"/>
    </w:p>
    <w:tbl>
      <w:tblPr>
        <w:tblStyle w:val="303"/>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09"/>
        <w:gridCol w:w="708"/>
        <w:gridCol w:w="1134"/>
        <w:gridCol w:w="1233"/>
        <w:gridCol w:w="1156"/>
        <w:gridCol w:w="101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709"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08"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13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23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15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01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颜料层起甲</w:t>
            </w:r>
          </w:p>
        </w:tc>
        <w:tc>
          <w:tcPr>
            <w:tcW w:w="930"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BM4-QS-A-2</w:t>
            </w:r>
          </w:p>
        </w:tc>
        <w:tc>
          <w:tcPr>
            <w:tcW w:w="709"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0.03</w:t>
            </w:r>
          </w:p>
        </w:tc>
        <w:tc>
          <w:tcPr>
            <w:tcW w:w="708"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2.22</w:t>
            </w:r>
          </w:p>
        </w:tc>
        <w:tc>
          <w:tcPr>
            <w:tcW w:w="113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0.49</w:t>
            </w:r>
          </w:p>
        </w:tc>
        <w:tc>
          <w:tcPr>
            <w:tcW w:w="123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0.16</w:t>
            </w:r>
          </w:p>
        </w:tc>
        <w:tc>
          <w:tcPr>
            <w:tcW w:w="115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0.03</w:t>
            </w:r>
          </w:p>
        </w:tc>
        <w:tc>
          <w:tcPr>
            <w:tcW w:w="101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w:t>
            </w:r>
          </w:p>
        </w:tc>
        <w:tc>
          <w:tcPr>
            <w:tcW w:w="930"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0.55</w:t>
            </w:r>
          </w:p>
        </w:tc>
      </w:tr>
    </w:tbl>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B0F0"/>
          <w:sz w:val="28"/>
          <w:szCs w:val="28"/>
        </w:rPr>
        <w:t xml:space="preserve">   </w:t>
      </w:r>
      <w:r>
        <w:rPr>
          <w:rFonts w:hint="eastAsia" w:cs="仿宋" w:asciiTheme="minorEastAsia" w:hAnsiTheme="minorEastAsia" w:eastAsiaTheme="minorEastAsia"/>
          <w:sz w:val="28"/>
          <w:szCs w:val="28"/>
        </w:rPr>
        <w:t xml:space="preserve"> ③去除菌斑后，用注射器喷水并结合排笔、化妆棉等擦洗，以尽量清除残余药剂。</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①用于擦拭菌斑的工具，如排笔、棉签、化妆棉、水等，均须消毒或灭菌，工作人员应尽可能穿灭菌超净服，佩戴一次性手套、口罩，以及经消毒处理的防护眼镜等。</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②为避免抗性菌株的富集，处理菌斑时，应尽量缩小抑菌剂使用范围，并在抑菌剂作用有效时间后，及时清除；通过取样检测药剂残留情况，决定清洗次数。</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（5）回贴起甲颜料层</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对于彩绘龟裂的加固，使用5%的丙烯酸乳液，起甲、起翘也使用固含量为5%的丙烯酸乳液。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以起翘为例，首先使用软毛刷和洗耳球将起翘部分表面的污染物清除，用镊子取出颜料层底部的碎块。使用注射器将浓度为5%的丙烯酸乳液注射到颜料层底部，并用脱脂棉吸取多余的试剂。待起翘部分软化后，使用修复刀、棉签轻轻按压，进行回贴。彩绘龟裂及颜料层加固的方式与之类似。</w:t>
      </w:r>
    </w:p>
    <w:p>
      <w:pPr>
        <w:ind w:firstLine="482"/>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（6）石刻彩绘表面封护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00" w:name="_Toc67678637"/>
      <w:bookmarkStart w:id="301" w:name="_Toc72087961"/>
      <w:bookmarkStart w:id="302" w:name="_Hlk67649098"/>
      <w:r>
        <w:rPr>
          <w:rFonts w:hint="eastAsia" w:cs="仿宋" w:asciiTheme="minorEastAsia" w:hAnsiTheme="minorEastAsia" w:eastAsiaTheme="minorEastAsia"/>
        </w:rPr>
        <w:t>BM4 QS-A-3</w:t>
      </w:r>
      <w:bookmarkEnd w:id="300"/>
      <w:r>
        <w:rPr>
          <w:rFonts w:hint="eastAsia" w:cs="仿宋" w:asciiTheme="minorEastAsia" w:hAnsiTheme="minorEastAsia" w:eastAsiaTheme="minorEastAsia"/>
        </w:rPr>
        <w:t>的保护修复步骤</w:t>
      </w:r>
      <w:bookmarkEnd w:id="301"/>
    </w:p>
    <w:p>
      <w:pPr>
        <w:ind w:firstLine="480"/>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734695"/>
            <wp:effectExtent l="0" t="0" r="13335" b="825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000" cy="7344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03" w:name="_Toc70840831"/>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24</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BM4-ZM-B-3照片</w:t>
            </w:r>
            <w:bookmarkEnd w:id="303"/>
          </w:p>
        </w:tc>
      </w:tr>
    </w:tbl>
    <w:p>
      <w:pPr>
        <w:pStyle w:val="295"/>
        <w:spacing w:before="312" w:after="156"/>
        <w:rPr>
          <w:rFonts w:cs="仿宋" w:asciiTheme="minorEastAsia" w:hAnsiTheme="minorEastAsia" w:eastAsiaTheme="minorEastAsia"/>
          <w:sz w:val="28"/>
          <w:szCs w:val="28"/>
        </w:rPr>
      </w:pPr>
      <w:bookmarkStart w:id="304" w:name="_Toc70840906"/>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24</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BM4-ZM-B-3病害类型及面积</w:t>
      </w:r>
      <w:bookmarkEnd w:id="304"/>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561"/>
        <w:gridCol w:w="776"/>
        <w:gridCol w:w="1562"/>
        <w:gridCol w:w="2086"/>
        <w:gridCol w:w="156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561"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56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208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56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03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BM4-QS-A-3</w:t>
            </w:r>
          </w:p>
        </w:tc>
        <w:tc>
          <w:tcPr>
            <w:tcW w:w="1561"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0.34</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2.09</w:t>
            </w:r>
          </w:p>
        </w:tc>
        <w:tc>
          <w:tcPr>
            <w:tcW w:w="1562" w:type="dxa"/>
            <w:vAlign w:val="center"/>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0.11</w:t>
            </w:r>
          </w:p>
        </w:tc>
        <w:tc>
          <w:tcPr>
            <w:tcW w:w="208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0.11</w:t>
            </w:r>
          </w:p>
        </w:tc>
        <w:tc>
          <w:tcPr>
            <w:tcW w:w="156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0.08</w:t>
            </w:r>
          </w:p>
        </w:tc>
        <w:tc>
          <w:tcPr>
            <w:tcW w:w="1038"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sz w:val="28"/>
                <w:szCs w:val="28"/>
              </w:rPr>
              <w:t>0.08</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05" w:name="_Toc67678638"/>
      <w:bookmarkStart w:id="306" w:name="_Toc72087962"/>
      <w:r>
        <w:rPr>
          <w:rFonts w:hint="eastAsia" w:cs="仿宋" w:asciiTheme="minorEastAsia" w:hAnsiTheme="minorEastAsia" w:eastAsiaTheme="minorEastAsia"/>
        </w:rPr>
        <w:t>BM4-ZM-B-3</w:t>
      </w:r>
      <w:bookmarkEnd w:id="302"/>
      <w:bookmarkEnd w:id="305"/>
      <w:r>
        <w:rPr>
          <w:rFonts w:hint="eastAsia" w:cs="仿宋" w:asciiTheme="minorEastAsia" w:hAnsiTheme="minorEastAsia" w:eastAsiaTheme="minorEastAsia"/>
        </w:rPr>
        <w:t>的保护修复步骤</w:t>
      </w:r>
      <w:bookmarkEnd w:id="306"/>
    </w:p>
    <w:tbl>
      <w:tblPr>
        <w:tblStyle w:val="303"/>
        <w:tblW w:w="84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6" w:type="dxa"/>
            <w:tcBorders>
              <w:top w:val="nil"/>
              <w:left w:val="nil"/>
              <w:bottom w:val="nil"/>
              <w:right w:val="nil"/>
            </w:tcBorders>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drawing>
                <wp:inline distT="0" distB="0" distL="0" distR="0">
                  <wp:extent cx="2520315" cy="1083310"/>
                  <wp:effectExtent l="0" t="0" r="13335"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000" cy="1083600"/>
                          </a:xfrm>
                          <a:prstGeom prst="rect">
                            <a:avLst/>
                          </a:prstGeom>
                        </pic:spPr>
                      </pic:pic>
                    </a:graphicData>
                  </a:graphic>
                </wp:inline>
              </w:drawing>
            </w:r>
          </w:p>
        </w:tc>
        <w:tc>
          <w:tcPr>
            <w:tcW w:w="4216" w:type="dxa"/>
            <w:tcBorders>
              <w:top w:val="nil"/>
              <w:left w:val="nil"/>
              <w:bottom w:val="nil"/>
              <w:right w:val="nil"/>
            </w:tcBorders>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drawing>
                <wp:inline distT="0" distB="0" distL="0" distR="0">
                  <wp:extent cx="2520315" cy="1072515"/>
                  <wp:effectExtent l="0" t="0" r="13335" b="133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1072800"/>
                          </a:xfrm>
                          <a:prstGeom prst="rect">
                            <a:avLst/>
                          </a:prstGeom>
                        </pic:spPr>
                      </pic:pic>
                    </a:graphicData>
                  </a:graphic>
                </wp:inline>
              </w:drawing>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2" w:type="dxa"/>
            <w:gridSpan w:val="2"/>
            <w:tcBorders>
              <w:top w:val="nil"/>
              <w:left w:val="nil"/>
              <w:bottom w:val="nil"/>
              <w:right w:val="nil"/>
            </w:tcBorders>
            <w:vAlign w:val="center"/>
          </w:tcPr>
          <w:p>
            <w:pPr>
              <w:pStyle w:val="294"/>
              <w:spacing w:after="312"/>
              <w:rPr>
                <w:rFonts w:cs="仿宋" w:asciiTheme="minorEastAsia" w:hAnsiTheme="minorEastAsia"/>
                <w:sz w:val="28"/>
                <w:szCs w:val="28"/>
              </w:rPr>
            </w:pPr>
            <w:bookmarkStart w:id="307" w:name="_Toc70840832"/>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25</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BM4-ZM-B-3照片</w:t>
            </w:r>
            <w:bookmarkEnd w:id="307"/>
          </w:p>
        </w:tc>
      </w:tr>
    </w:tbl>
    <w:p>
      <w:pPr>
        <w:pStyle w:val="295"/>
        <w:spacing w:before="312" w:after="156"/>
        <w:rPr>
          <w:rFonts w:cs="仿宋" w:asciiTheme="minorEastAsia" w:hAnsiTheme="minorEastAsia" w:eastAsiaTheme="minorEastAsia"/>
          <w:sz w:val="28"/>
          <w:szCs w:val="28"/>
        </w:rPr>
      </w:pPr>
      <w:bookmarkStart w:id="308" w:name="_Toc70840907"/>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25</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BM4-ZM-B-3病害类型及面积</w:t>
      </w:r>
      <w:bookmarkEnd w:id="308"/>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451"/>
        <w:gridCol w:w="776"/>
        <w:gridCol w:w="776"/>
        <w:gridCol w:w="1452"/>
        <w:gridCol w:w="1902"/>
        <w:gridCol w:w="1452"/>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451"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45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90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45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泥渍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BM4-ZM-B-3</w:t>
            </w:r>
          </w:p>
        </w:tc>
        <w:tc>
          <w:tcPr>
            <w:tcW w:w="1451"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1.26</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2.27</w:t>
            </w:r>
          </w:p>
        </w:tc>
        <w:tc>
          <w:tcPr>
            <w:tcW w:w="145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0.13</w:t>
            </w:r>
          </w:p>
        </w:tc>
        <w:tc>
          <w:tcPr>
            <w:tcW w:w="190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0.19</w:t>
            </w:r>
          </w:p>
        </w:tc>
        <w:tc>
          <w:tcPr>
            <w:tcW w:w="145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0.98</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0.95</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 </w:t>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09" w:name="_Toc67678639"/>
      <w:bookmarkStart w:id="310" w:name="_Hlk67648901"/>
      <w:bookmarkStart w:id="311" w:name="_Toc72087963"/>
      <w:r>
        <w:rPr>
          <w:rFonts w:hint="eastAsia" w:cs="仿宋" w:asciiTheme="minorEastAsia" w:hAnsiTheme="minorEastAsia" w:eastAsiaTheme="minorEastAsia"/>
        </w:rPr>
        <w:t>BM4-ZM-C-5</w:t>
      </w:r>
      <w:bookmarkEnd w:id="309"/>
      <w:bookmarkEnd w:id="310"/>
      <w:r>
        <w:rPr>
          <w:rFonts w:hint="eastAsia" w:cs="仿宋" w:asciiTheme="minorEastAsia" w:hAnsiTheme="minorEastAsia" w:eastAsiaTheme="minorEastAsia"/>
        </w:rPr>
        <w:t>的保护修复步骤</w:t>
      </w:r>
      <w:bookmarkEnd w:id="311"/>
    </w:p>
    <w:tbl>
      <w:tblPr>
        <w:tblStyle w:val="303"/>
        <w:tblW w:w="84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6" w:type="dxa"/>
            <w:tcBorders>
              <w:top w:val="nil"/>
              <w:left w:val="nil"/>
              <w:bottom w:val="nil"/>
              <w:right w:val="nil"/>
            </w:tcBorders>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drawing>
                <wp:inline distT="0" distB="0" distL="0" distR="0">
                  <wp:extent cx="2520315" cy="1159510"/>
                  <wp:effectExtent l="0" t="0" r="13335"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0" cy="1159200"/>
                          </a:xfrm>
                          <a:prstGeom prst="rect">
                            <a:avLst/>
                          </a:prstGeom>
                        </pic:spPr>
                      </pic:pic>
                    </a:graphicData>
                  </a:graphic>
                </wp:inline>
              </w:drawing>
            </w:r>
          </w:p>
        </w:tc>
        <w:tc>
          <w:tcPr>
            <w:tcW w:w="4216" w:type="dxa"/>
            <w:tcBorders>
              <w:top w:val="nil"/>
              <w:left w:val="nil"/>
              <w:bottom w:val="nil"/>
              <w:right w:val="nil"/>
            </w:tcBorders>
          </w:tcPr>
          <w:p>
            <w:pPr>
              <w:tabs>
                <w:tab w:val="left" w:pos="816"/>
              </w:tabs>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drawing>
                <wp:inline distT="0" distB="0" distL="0" distR="0">
                  <wp:extent cx="2520315" cy="1097915"/>
                  <wp:effectExtent l="0" t="0" r="13335" b="698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2520000" cy="1098000"/>
                          </a:xfrm>
                          <a:prstGeom prst="rect">
                            <a:avLst/>
                          </a:prstGeom>
                        </pic:spPr>
                      </pic:pic>
                    </a:graphicData>
                  </a:graphic>
                </wp:inline>
              </w:drawing>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2" w:type="dxa"/>
            <w:gridSpan w:val="2"/>
            <w:tcBorders>
              <w:top w:val="nil"/>
              <w:left w:val="nil"/>
              <w:bottom w:val="nil"/>
              <w:right w:val="nil"/>
            </w:tcBorders>
            <w:vAlign w:val="center"/>
          </w:tcPr>
          <w:p>
            <w:pPr>
              <w:pStyle w:val="294"/>
              <w:spacing w:after="312"/>
              <w:rPr>
                <w:rFonts w:cs="仿宋" w:asciiTheme="minorEastAsia" w:hAnsiTheme="minorEastAsia"/>
                <w:sz w:val="28"/>
                <w:szCs w:val="28"/>
              </w:rPr>
            </w:pPr>
            <w:bookmarkStart w:id="312" w:name="_Toc70840833"/>
            <w:bookmarkStart w:id="313" w:name="_Hlk67649078"/>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26</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BM4-ZM-C-5照片</w:t>
            </w:r>
            <w:bookmarkEnd w:id="312"/>
          </w:p>
        </w:tc>
      </w:tr>
    </w:tbl>
    <w:p>
      <w:pPr>
        <w:pStyle w:val="295"/>
        <w:spacing w:before="312" w:after="156"/>
        <w:rPr>
          <w:rFonts w:cs="仿宋" w:asciiTheme="minorEastAsia" w:hAnsiTheme="minorEastAsia" w:eastAsiaTheme="minorEastAsia"/>
          <w:sz w:val="28"/>
          <w:szCs w:val="28"/>
        </w:rPr>
      </w:pPr>
      <w:bookmarkStart w:id="314" w:name="_Toc70840908"/>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26</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BM4-ZM-C-5病害类型及面积</w:t>
      </w:r>
      <w:bookmarkEnd w:id="313"/>
      <w:bookmarkEnd w:id="314"/>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406"/>
        <w:gridCol w:w="776"/>
        <w:gridCol w:w="1407"/>
        <w:gridCol w:w="1827"/>
        <w:gridCol w:w="1407"/>
        <w:gridCol w:w="98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40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40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82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40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98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泥渍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BM4-ZM-C-5</w:t>
            </w:r>
          </w:p>
        </w:tc>
        <w:tc>
          <w:tcPr>
            <w:tcW w:w="140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1.07</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2.42</w:t>
            </w:r>
          </w:p>
        </w:tc>
        <w:tc>
          <w:tcPr>
            <w:tcW w:w="140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0.02</w:t>
            </w:r>
          </w:p>
        </w:tc>
        <w:tc>
          <w:tcPr>
            <w:tcW w:w="182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0.18</w:t>
            </w:r>
          </w:p>
        </w:tc>
        <w:tc>
          <w:tcPr>
            <w:tcW w:w="140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0.93</w:t>
            </w:r>
          </w:p>
        </w:tc>
        <w:tc>
          <w:tcPr>
            <w:tcW w:w="98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0.06</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1.21</w:t>
            </w:r>
          </w:p>
        </w:tc>
      </w:tr>
    </w:tbl>
    <w:p>
      <w:pPr>
        <w:widowControl/>
        <w:jc w:val="left"/>
        <w:rPr>
          <w:rFonts w:cs="仿宋" w:asciiTheme="minorEastAsia" w:hAnsiTheme="minorEastAsia" w:eastAsiaTheme="minorEastAsia"/>
          <w:b/>
          <w:bCs/>
          <w:sz w:val="28"/>
          <w:szCs w:val="28"/>
        </w:rPr>
      </w:pPr>
      <w:bookmarkStart w:id="315" w:name="_Hlk67649319"/>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bookmarkEnd w:id="315"/>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ind w:left="630"/>
        <w:rPr>
          <w:rFonts w:cs="仿宋" w:asciiTheme="minorEastAsia" w:hAnsiTheme="minorEastAsia" w:eastAsiaTheme="minorEastAsia"/>
        </w:rPr>
      </w:pPr>
      <w:bookmarkStart w:id="316" w:name="_Toc67678640"/>
      <w:bookmarkStart w:id="317" w:name="_Hlk67656347"/>
      <w:bookmarkStart w:id="318" w:name="_Toc72087964"/>
      <w:r>
        <w:rPr>
          <w:rFonts w:hint="eastAsia" w:cs="仿宋" w:asciiTheme="minorEastAsia" w:hAnsiTheme="minorEastAsia" w:eastAsiaTheme="minorEastAsia"/>
        </w:rPr>
        <w:t>BM4-ZS-A-2</w:t>
      </w:r>
      <w:bookmarkEnd w:id="316"/>
      <w:bookmarkEnd w:id="317"/>
      <w:r>
        <w:rPr>
          <w:rFonts w:hint="eastAsia" w:cs="仿宋" w:asciiTheme="minorEastAsia" w:hAnsiTheme="minorEastAsia" w:eastAsiaTheme="minorEastAsia"/>
        </w:rPr>
        <w:t>的保护修复步骤</w:t>
      </w:r>
      <w:bookmarkEnd w:id="318"/>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color w:val="000000"/>
          <w:sz w:val="28"/>
          <w:szCs w:val="28"/>
        </w:rPr>
        <w:drawing>
          <wp:inline distT="0" distB="0" distL="0" distR="0">
            <wp:extent cx="2520315" cy="658495"/>
            <wp:effectExtent l="0" t="0" r="13335" b="825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0" cy="6588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19" w:name="_Toc70840834"/>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27</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BM4-ZS-A-2照片</w:t>
            </w:r>
            <w:bookmarkEnd w:id="319"/>
          </w:p>
        </w:tc>
      </w:tr>
    </w:tbl>
    <w:p>
      <w:pPr>
        <w:pStyle w:val="295"/>
        <w:spacing w:before="312" w:after="156"/>
        <w:rPr>
          <w:rFonts w:cs="仿宋" w:asciiTheme="minorEastAsia" w:hAnsiTheme="minorEastAsia" w:eastAsiaTheme="minorEastAsia"/>
          <w:sz w:val="28"/>
          <w:szCs w:val="28"/>
        </w:rPr>
      </w:pPr>
      <w:bookmarkStart w:id="320" w:name="_Toc70840909"/>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BM4-ZS-A-2病害类型及面积</w:t>
      </w:r>
      <w:bookmarkEnd w:id="320"/>
    </w:p>
    <w:tbl>
      <w:tblPr>
        <w:tblStyle w:val="303"/>
        <w:tblW w:w="8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346"/>
        <w:gridCol w:w="926"/>
        <w:gridCol w:w="1298"/>
        <w:gridCol w:w="738"/>
        <w:gridCol w:w="1502"/>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34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92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129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机械裂隙</w:t>
            </w:r>
          </w:p>
        </w:tc>
        <w:tc>
          <w:tcPr>
            <w:tcW w:w="73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50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0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BM4-ZS-A-2</w:t>
            </w:r>
          </w:p>
        </w:tc>
        <w:tc>
          <w:tcPr>
            <w:tcW w:w="134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0.31</w:t>
            </w:r>
          </w:p>
        </w:tc>
        <w:tc>
          <w:tcPr>
            <w:tcW w:w="92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w:t>
            </w:r>
          </w:p>
        </w:tc>
        <w:tc>
          <w:tcPr>
            <w:tcW w:w="129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547.25</w:t>
            </w:r>
          </w:p>
        </w:tc>
        <w:tc>
          <w:tcPr>
            <w:tcW w:w="73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w:t>
            </w:r>
          </w:p>
        </w:tc>
        <w:tc>
          <w:tcPr>
            <w:tcW w:w="150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0.22</w:t>
            </w:r>
          </w:p>
        </w:tc>
        <w:tc>
          <w:tcPr>
            <w:tcW w:w="10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0.53</w:t>
            </w:r>
          </w:p>
        </w:tc>
      </w:tr>
    </w:tbl>
    <w:p>
      <w:pPr>
        <w:widowControl/>
        <w:jc w:val="left"/>
        <w:rPr>
          <w:rFonts w:cs="仿宋" w:asciiTheme="minorEastAsia" w:hAnsiTheme="minorEastAsia" w:eastAsiaTheme="minorEastAsia"/>
          <w:b/>
          <w:bCs/>
          <w:sz w:val="28"/>
          <w:szCs w:val="28"/>
        </w:rPr>
      </w:pPr>
      <w:bookmarkStart w:id="321" w:name="_Hlk67649822"/>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bookmarkEnd w:id="321"/>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22" w:name="_Hlk67657193"/>
      <w:bookmarkStart w:id="323" w:name="_Toc67678641"/>
      <w:bookmarkStart w:id="324" w:name="_Toc72087965"/>
      <w:r>
        <w:rPr>
          <w:rFonts w:hint="eastAsia" w:cs="仿宋" w:asciiTheme="minorEastAsia" w:hAnsiTheme="minorEastAsia" w:eastAsiaTheme="minorEastAsia"/>
        </w:rPr>
        <w:t>BM4-ZS-A-3</w:t>
      </w:r>
      <w:bookmarkEnd w:id="322"/>
      <w:bookmarkEnd w:id="323"/>
      <w:r>
        <w:rPr>
          <w:rFonts w:hint="eastAsia" w:cs="仿宋" w:asciiTheme="minorEastAsia" w:hAnsiTheme="minorEastAsia" w:eastAsiaTheme="minorEastAsia"/>
        </w:rPr>
        <w:t>的保护修复步骤</w:t>
      </w:r>
      <w:bookmarkEnd w:id="324"/>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80085"/>
            <wp:effectExtent l="0" t="0" r="13335" b="571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680400"/>
                    </a:xfrm>
                    <a:prstGeom prst="rect">
                      <a:avLst/>
                    </a:prstGeom>
                  </pic:spPr>
                </pic:pic>
              </a:graphicData>
            </a:graphic>
          </wp:inline>
        </w:drawing>
      </w:r>
    </w:p>
    <w:tbl>
      <w:tblPr>
        <w:tblStyle w:val="303"/>
        <w:tblW w:w="8306"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r>
              <w:rPr>
                <w:rFonts w:hint="eastAsia" w:cs="仿宋" w:asciiTheme="minorEastAsia" w:hAnsiTheme="minorEastAsia"/>
                <w:kern w:val="0"/>
                <w:sz w:val="28"/>
                <w:szCs w:val="28"/>
              </w:rPr>
              <w:t xml:space="preserve">         </w:t>
            </w:r>
            <w:r>
              <w:rPr>
                <w:rFonts w:hint="eastAsia" w:cs="仿宋" w:asciiTheme="minorEastAsia" w:hAnsiTheme="minorEastAsia"/>
                <w:sz w:val="28"/>
                <w:szCs w:val="28"/>
              </w:rPr>
              <w:t xml:space="preserve"> </w:t>
            </w:r>
            <w:bookmarkStart w:id="325" w:name="_Toc70840835"/>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28</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BM4-ZS-A-3照片</w:t>
            </w:r>
            <w:bookmarkEnd w:id="325"/>
          </w:p>
        </w:tc>
      </w:tr>
    </w:tbl>
    <w:p>
      <w:pPr>
        <w:pStyle w:val="295"/>
        <w:spacing w:before="312" w:after="156"/>
        <w:rPr>
          <w:rFonts w:cs="仿宋" w:asciiTheme="minorEastAsia" w:hAnsiTheme="minorEastAsia" w:eastAsiaTheme="minorEastAsia"/>
          <w:sz w:val="28"/>
          <w:szCs w:val="28"/>
        </w:rPr>
      </w:pPr>
      <w:bookmarkStart w:id="326" w:name="_Toc70840910"/>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28</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BM4-ZS-A-3病害类型及面积</w:t>
      </w:r>
      <w:bookmarkEnd w:id="326"/>
    </w:p>
    <w:tbl>
      <w:tblPr>
        <w:tblStyle w:val="303"/>
        <w:tblW w:w="82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776"/>
        <w:gridCol w:w="1465"/>
        <w:gridCol w:w="1925"/>
        <w:gridCol w:w="1466"/>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465"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925"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46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00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BM4-ZS-A-3</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2.11</w:t>
            </w:r>
          </w:p>
        </w:tc>
        <w:tc>
          <w:tcPr>
            <w:tcW w:w="1465"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1.03</w:t>
            </w:r>
          </w:p>
        </w:tc>
        <w:tc>
          <w:tcPr>
            <w:tcW w:w="1925"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0.18</w:t>
            </w:r>
          </w:p>
        </w:tc>
        <w:tc>
          <w:tcPr>
            <w:tcW w:w="146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0.03</w:t>
            </w:r>
          </w:p>
        </w:tc>
        <w:tc>
          <w:tcPr>
            <w:tcW w:w="100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0.38</w:t>
            </w:r>
          </w:p>
        </w:tc>
      </w:tr>
    </w:tbl>
    <w:p>
      <w:pPr>
        <w:widowControl/>
        <w:jc w:val="left"/>
        <w:rPr>
          <w:rFonts w:cs="仿宋" w:asciiTheme="minorEastAsia" w:hAnsiTheme="minorEastAsia" w:eastAsiaTheme="minorEastAsia"/>
          <w:b/>
          <w:bCs/>
          <w:sz w:val="28"/>
          <w:szCs w:val="28"/>
        </w:rPr>
      </w:pPr>
      <w:bookmarkStart w:id="327" w:name="_Hlk67648817"/>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ind w:left="560" w:hanging="560" w:hangingChars="20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sz w:val="28"/>
          <w:szCs w:val="28"/>
        </w:rPr>
        <w:t>修</w:t>
      </w:r>
      <w:r>
        <w:rPr>
          <w:rFonts w:hint="eastAsia" w:cs="仿宋" w:asciiTheme="minorEastAsia" w:hAnsiTheme="minorEastAsia" w:eastAsiaTheme="minorEastAsia"/>
          <w:color w:val="000000" w:themeColor="text1"/>
          <w:sz w:val="28"/>
          <w:szCs w:val="28"/>
          <w14:textFill>
            <w14:solidFill>
              <w14:schemeClr w14:val="tx1"/>
            </w14:solidFill>
          </w14:textFill>
        </w:rPr>
        <w:t>复措施：</w:t>
      </w:r>
    </w:p>
    <w:p>
      <w:pPr>
        <w:ind w:firstLine="560" w:firstLineChars="20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bookmarkEnd w:id="327"/>
    </w:p>
    <w:p>
      <w:pPr>
        <w:pStyle w:val="5"/>
        <w:numPr>
          <w:ilvl w:val="2"/>
          <w:numId w:val="0"/>
        </w:numPr>
        <w:rPr>
          <w:rFonts w:cs="仿宋" w:asciiTheme="minorEastAsia" w:hAnsiTheme="minorEastAsia" w:eastAsiaTheme="minorEastAsia"/>
        </w:rPr>
      </w:pPr>
      <w:bookmarkStart w:id="328" w:name="_Toc67678642"/>
      <w:bookmarkStart w:id="329" w:name="_Hlk67657969"/>
      <w:bookmarkStart w:id="330" w:name="_Toc72087966"/>
      <w:r>
        <w:rPr>
          <w:rFonts w:hint="eastAsia" w:cs="仿宋" w:asciiTheme="minorEastAsia" w:hAnsiTheme="minorEastAsia" w:eastAsiaTheme="minorEastAsia"/>
        </w:rPr>
        <w:t>BM4-ZS-A-4</w:t>
      </w:r>
      <w:bookmarkEnd w:id="328"/>
      <w:bookmarkEnd w:id="329"/>
      <w:r>
        <w:rPr>
          <w:rFonts w:hint="eastAsia" w:cs="仿宋" w:asciiTheme="minorEastAsia" w:hAnsiTheme="minorEastAsia" w:eastAsiaTheme="minorEastAsia"/>
        </w:rPr>
        <w:t>的保护修复步骤</w:t>
      </w:r>
      <w:bookmarkEnd w:id="330"/>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666115"/>
            <wp:effectExtent l="0" t="0" r="13335" b="63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520000" cy="666000"/>
                    </a:xfrm>
                    <a:prstGeom prst="rect">
                      <a:avLst/>
                    </a:prstGeom>
                    <a:noFill/>
                    <a:ln>
                      <a:noFill/>
                    </a:ln>
                  </pic:spPr>
                </pic:pic>
              </a:graphicData>
            </a:graphic>
          </wp:inline>
        </w:drawing>
      </w:r>
    </w:p>
    <w:tbl>
      <w:tblPr>
        <w:tblStyle w:val="303"/>
        <w:tblW w:w="8306"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r>
              <w:rPr>
                <w:rFonts w:hint="eastAsia" w:cs="仿宋" w:asciiTheme="minorEastAsia" w:hAnsiTheme="minorEastAsia"/>
                <w:kern w:val="0"/>
                <w:sz w:val="28"/>
                <w:szCs w:val="28"/>
              </w:rPr>
              <w:t xml:space="preserve">            </w:t>
            </w:r>
            <w:bookmarkStart w:id="331" w:name="_Toc70840836"/>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29</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BM4-ZS-A-4照片</w:t>
            </w:r>
            <w:bookmarkEnd w:id="331"/>
          </w:p>
        </w:tc>
      </w:tr>
    </w:tbl>
    <w:p>
      <w:pPr>
        <w:pStyle w:val="295"/>
        <w:spacing w:before="312" w:after="156"/>
        <w:rPr>
          <w:rFonts w:cs="仿宋" w:asciiTheme="minorEastAsia" w:hAnsiTheme="minorEastAsia" w:eastAsiaTheme="minorEastAsia"/>
          <w:sz w:val="28"/>
          <w:szCs w:val="28"/>
        </w:rPr>
      </w:pPr>
      <w:bookmarkStart w:id="332" w:name="_Toc70840911"/>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29</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BM4-ZS-A-4病害类型及面积</w:t>
      </w:r>
      <w:bookmarkEnd w:id="332"/>
    </w:p>
    <w:tbl>
      <w:tblPr>
        <w:tblStyle w:val="303"/>
        <w:tblW w:w="84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1"/>
        <w:gridCol w:w="788"/>
        <w:gridCol w:w="1641"/>
        <w:gridCol w:w="1641"/>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64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8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07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4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BM4-ZS-A-4</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0.32</w:t>
            </w:r>
          </w:p>
        </w:tc>
        <w:tc>
          <w:tcPr>
            <w:tcW w:w="78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2.07</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0.88</w:t>
            </w:r>
          </w:p>
        </w:tc>
        <w:tc>
          <w:tcPr>
            <w:tcW w:w="164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0.11</w:t>
            </w:r>
          </w:p>
        </w:tc>
        <w:tc>
          <w:tcPr>
            <w:tcW w:w="107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0.53</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33" w:name="_Toc67678643"/>
      <w:bookmarkStart w:id="334" w:name="_Hlk67658396"/>
      <w:bookmarkStart w:id="335" w:name="_Toc72087967"/>
      <w:r>
        <w:rPr>
          <w:rFonts w:hint="eastAsia" w:cs="仿宋" w:asciiTheme="minorEastAsia" w:hAnsiTheme="minorEastAsia" w:eastAsiaTheme="minorEastAsia"/>
        </w:rPr>
        <w:t>BM9-HS-B-6</w:t>
      </w:r>
      <w:bookmarkEnd w:id="333"/>
      <w:bookmarkEnd w:id="334"/>
      <w:r>
        <w:rPr>
          <w:rFonts w:hint="eastAsia" w:cs="仿宋" w:asciiTheme="minorEastAsia" w:hAnsiTheme="minorEastAsia" w:eastAsiaTheme="minorEastAsia"/>
        </w:rPr>
        <w:t>的保护修复步骤</w:t>
      </w:r>
      <w:bookmarkEnd w:id="335"/>
    </w:p>
    <w:tbl>
      <w:tblPr>
        <w:tblStyle w:val="303"/>
        <w:tblW w:w="843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6"/>
        <w:gridCol w:w="4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color w:val="000000"/>
                <w:kern w:val="0"/>
                <w:sz w:val="28"/>
                <w:szCs w:val="28"/>
              </w:rPr>
              <w:drawing>
                <wp:inline distT="0" distB="0" distL="0" distR="0">
                  <wp:extent cx="2520315" cy="784860"/>
                  <wp:effectExtent l="0" t="0" r="13335" b="1524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flipV="1">
                            <a:off x="0" y="0"/>
                            <a:ext cx="2520000" cy="784800"/>
                          </a:xfrm>
                          <a:prstGeom prst="rect">
                            <a:avLst/>
                          </a:prstGeom>
                        </pic:spPr>
                      </pic:pic>
                    </a:graphicData>
                  </a:graphic>
                </wp:inline>
              </w:drawing>
            </w:r>
          </w:p>
        </w:tc>
        <w:tc>
          <w:tcPr>
            <w:tcW w:w="42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color w:val="000000"/>
                <w:kern w:val="0"/>
                <w:sz w:val="28"/>
                <w:szCs w:val="28"/>
              </w:rPr>
              <w:drawing>
                <wp:inline distT="0" distB="0" distL="0" distR="0">
                  <wp:extent cx="2520315" cy="756285"/>
                  <wp:effectExtent l="0" t="0" r="13335" b="57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V="1">
                            <a:off x="0" y="0"/>
                            <a:ext cx="2520000" cy="756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432" w:type="dxa"/>
            <w:gridSpan w:val="2"/>
            <w:vAlign w:val="center"/>
          </w:tcPr>
          <w:p>
            <w:pPr>
              <w:pStyle w:val="294"/>
              <w:spacing w:after="312"/>
              <w:rPr>
                <w:rFonts w:cs="仿宋" w:asciiTheme="minorEastAsia" w:hAnsiTheme="minorEastAsia"/>
                <w:sz w:val="28"/>
                <w:szCs w:val="28"/>
              </w:rPr>
            </w:pPr>
            <w:bookmarkStart w:id="336" w:name="_Toc70840837"/>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30</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BM9-HS-B-6照片</w:t>
            </w:r>
            <w:bookmarkEnd w:id="336"/>
          </w:p>
        </w:tc>
      </w:tr>
    </w:tbl>
    <w:p>
      <w:pPr>
        <w:pStyle w:val="295"/>
        <w:spacing w:before="312" w:after="156"/>
        <w:rPr>
          <w:rFonts w:cs="仿宋" w:asciiTheme="minorEastAsia" w:hAnsiTheme="minorEastAsia" w:eastAsiaTheme="minorEastAsia"/>
          <w:sz w:val="28"/>
          <w:szCs w:val="28"/>
        </w:rPr>
      </w:pPr>
      <w:bookmarkStart w:id="337" w:name="_Toc70840912"/>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30</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BM9-HS-B-6病害类型及面积</w:t>
      </w:r>
      <w:bookmarkEnd w:id="337"/>
    </w:p>
    <w:tbl>
      <w:tblPr>
        <w:tblStyle w:val="303"/>
        <w:tblW w:w="8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094"/>
        <w:gridCol w:w="1255"/>
        <w:gridCol w:w="776"/>
        <w:gridCol w:w="776"/>
        <w:gridCol w:w="1255"/>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09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表面空鼓</w:t>
            </w:r>
          </w:p>
        </w:tc>
        <w:tc>
          <w:tcPr>
            <w:tcW w:w="1255"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255"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57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BM9-HS-B-6</w:t>
            </w:r>
          </w:p>
        </w:tc>
        <w:tc>
          <w:tcPr>
            <w:tcW w:w="109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0.07</w:t>
            </w:r>
          </w:p>
        </w:tc>
        <w:tc>
          <w:tcPr>
            <w:tcW w:w="1255"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0.57</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0.05</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1.28</w:t>
            </w:r>
          </w:p>
        </w:tc>
        <w:tc>
          <w:tcPr>
            <w:tcW w:w="1255"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0.07</w:t>
            </w:r>
          </w:p>
        </w:tc>
        <w:tc>
          <w:tcPr>
            <w:tcW w:w="157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0.16</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38" w:name="_Toc67678644"/>
      <w:bookmarkStart w:id="339" w:name="_Hlk67658845"/>
      <w:bookmarkStart w:id="340" w:name="_Toc72087968"/>
      <w:r>
        <w:rPr>
          <w:rFonts w:hint="eastAsia" w:cs="仿宋" w:asciiTheme="minorEastAsia" w:hAnsiTheme="minorEastAsia" w:eastAsiaTheme="minorEastAsia"/>
        </w:rPr>
        <w:t>BM9-HS-C-9</w:t>
      </w:r>
      <w:bookmarkEnd w:id="338"/>
      <w:bookmarkEnd w:id="339"/>
      <w:r>
        <w:rPr>
          <w:rFonts w:hint="eastAsia" w:cs="仿宋" w:asciiTheme="minorEastAsia" w:hAnsiTheme="minorEastAsia" w:eastAsiaTheme="minorEastAsia"/>
        </w:rPr>
        <w:t>的保护修复步骤</w:t>
      </w:r>
      <w:bookmarkEnd w:id="340"/>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color w:val="000000"/>
          <w:sz w:val="28"/>
          <w:szCs w:val="28"/>
        </w:rPr>
        <w:drawing>
          <wp:inline distT="0" distB="0" distL="0" distR="0">
            <wp:extent cx="2520315" cy="691515"/>
            <wp:effectExtent l="0" t="0" r="13335" b="1333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0" cy="6912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41" w:name="_Toc70840838"/>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31</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BM9-HS-C-9照片</w:t>
            </w:r>
            <w:bookmarkEnd w:id="341"/>
          </w:p>
        </w:tc>
      </w:tr>
    </w:tbl>
    <w:p>
      <w:pPr>
        <w:pStyle w:val="295"/>
        <w:spacing w:before="312" w:after="156"/>
        <w:rPr>
          <w:rFonts w:cs="仿宋" w:asciiTheme="minorEastAsia" w:hAnsiTheme="minorEastAsia" w:eastAsiaTheme="minorEastAsia"/>
          <w:sz w:val="28"/>
          <w:szCs w:val="28"/>
        </w:rPr>
      </w:pPr>
      <w:bookmarkStart w:id="342" w:name="_Toc70840913"/>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31</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BM9-HS-C-9病害类型及面积</w:t>
      </w:r>
      <w:bookmarkEnd w:id="342"/>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170"/>
        <w:gridCol w:w="1367"/>
        <w:gridCol w:w="776"/>
        <w:gridCol w:w="776"/>
        <w:gridCol w:w="1367"/>
        <w:gridCol w:w="1761"/>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17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表层空鼓</w:t>
            </w:r>
          </w:p>
        </w:tc>
        <w:tc>
          <w:tcPr>
            <w:tcW w:w="136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36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76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36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BM9-HS-C-9</w:t>
            </w:r>
          </w:p>
        </w:tc>
        <w:tc>
          <w:tcPr>
            <w:tcW w:w="117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136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0.66</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0.02</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0.89</w:t>
            </w:r>
          </w:p>
        </w:tc>
        <w:tc>
          <w:tcPr>
            <w:tcW w:w="136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0.02</w:t>
            </w:r>
          </w:p>
        </w:tc>
        <w:tc>
          <w:tcPr>
            <w:tcW w:w="176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0.14</w:t>
            </w:r>
          </w:p>
        </w:tc>
        <w:tc>
          <w:tcPr>
            <w:tcW w:w="136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0.12</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43" w:name="_Hlk67659285"/>
      <w:bookmarkStart w:id="344" w:name="_Toc67678645"/>
      <w:bookmarkStart w:id="345" w:name="_Toc72087969"/>
      <w:r>
        <w:rPr>
          <w:rFonts w:hint="eastAsia" w:cs="仿宋" w:asciiTheme="minorEastAsia" w:hAnsiTheme="minorEastAsia" w:eastAsiaTheme="minorEastAsia"/>
        </w:rPr>
        <w:t>BM9-QS-A-2</w:t>
      </w:r>
      <w:bookmarkEnd w:id="343"/>
      <w:bookmarkEnd w:id="344"/>
      <w:r>
        <w:rPr>
          <w:rFonts w:hint="eastAsia" w:cs="仿宋" w:asciiTheme="minorEastAsia" w:hAnsiTheme="minorEastAsia" w:eastAsiaTheme="minorEastAsia"/>
        </w:rPr>
        <w:t>的保护修复步骤</w:t>
      </w:r>
      <w:bookmarkEnd w:id="345"/>
    </w:p>
    <w:tbl>
      <w:tblPr>
        <w:tblStyle w:val="303"/>
        <w:tblW w:w="843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6"/>
        <w:gridCol w:w="4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color w:val="000000"/>
                <w:kern w:val="0"/>
                <w:sz w:val="28"/>
                <w:szCs w:val="28"/>
              </w:rPr>
              <w:drawing>
                <wp:inline distT="0" distB="0" distL="0" distR="0">
                  <wp:extent cx="2520315" cy="1238250"/>
                  <wp:effectExtent l="0" t="0" r="1333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0000" cy="1238400"/>
                          </a:xfrm>
                          <a:prstGeom prst="rect">
                            <a:avLst/>
                          </a:prstGeom>
                        </pic:spPr>
                      </pic:pic>
                    </a:graphicData>
                  </a:graphic>
                </wp:inline>
              </w:drawing>
            </w:r>
          </w:p>
        </w:tc>
        <w:tc>
          <w:tcPr>
            <w:tcW w:w="42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color w:val="000000"/>
                <w:kern w:val="0"/>
                <w:sz w:val="28"/>
                <w:szCs w:val="28"/>
              </w:rPr>
              <w:drawing>
                <wp:inline distT="0" distB="0" distL="0" distR="0">
                  <wp:extent cx="2520315" cy="1904365"/>
                  <wp:effectExtent l="0" t="0" r="13335" b="63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0000" cy="1904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432" w:type="dxa"/>
            <w:gridSpan w:val="2"/>
            <w:vAlign w:val="center"/>
          </w:tcPr>
          <w:p>
            <w:pPr>
              <w:pStyle w:val="294"/>
              <w:spacing w:after="312"/>
              <w:rPr>
                <w:rFonts w:cs="仿宋" w:asciiTheme="minorEastAsia" w:hAnsiTheme="minorEastAsia"/>
                <w:sz w:val="28"/>
                <w:szCs w:val="28"/>
              </w:rPr>
            </w:pPr>
            <w:bookmarkStart w:id="346" w:name="_Toc70840839"/>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32</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BM9-QS-A-2照片</w:t>
            </w:r>
            <w:bookmarkEnd w:id="346"/>
          </w:p>
        </w:tc>
      </w:tr>
    </w:tbl>
    <w:p>
      <w:pPr>
        <w:pStyle w:val="295"/>
        <w:spacing w:before="312" w:after="156"/>
        <w:rPr>
          <w:rFonts w:cs="仿宋" w:asciiTheme="minorEastAsia" w:hAnsiTheme="minorEastAsia" w:eastAsiaTheme="minorEastAsia"/>
          <w:sz w:val="28"/>
          <w:szCs w:val="28"/>
        </w:rPr>
      </w:pPr>
      <w:bookmarkStart w:id="347" w:name="_Toc70840914"/>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32</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BM9-QS-A-2病害类型及面积</w:t>
      </w:r>
      <w:bookmarkEnd w:id="347"/>
    </w:p>
    <w:tbl>
      <w:tblPr>
        <w:tblStyle w:val="303"/>
        <w:tblW w:w="8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18"/>
        <w:gridCol w:w="776"/>
        <w:gridCol w:w="776"/>
        <w:gridCol w:w="1219"/>
        <w:gridCol w:w="151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2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2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51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2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BM9-QS-A-2</w:t>
            </w:r>
          </w:p>
        </w:tc>
        <w:tc>
          <w:tcPr>
            <w:tcW w:w="12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0.69</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1.13</w:t>
            </w:r>
          </w:p>
        </w:tc>
        <w:tc>
          <w:tcPr>
            <w:tcW w:w="12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1.08</w:t>
            </w:r>
          </w:p>
        </w:tc>
        <w:tc>
          <w:tcPr>
            <w:tcW w:w="151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0.38</w:t>
            </w:r>
          </w:p>
        </w:tc>
        <w:tc>
          <w:tcPr>
            <w:tcW w:w="12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0.13</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48" w:name="_Toc67678646"/>
      <w:bookmarkStart w:id="349" w:name="_Toc72087970"/>
      <w:r>
        <w:rPr>
          <w:rFonts w:hint="eastAsia" w:cs="仿宋" w:asciiTheme="minorEastAsia" w:hAnsiTheme="minorEastAsia" w:eastAsiaTheme="minorEastAsia"/>
        </w:rPr>
        <w:t>BM9-QS-A-3</w:t>
      </w:r>
      <w:bookmarkEnd w:id="348"/>
      <w:r>
        <w:rPr>
          <w:rFonts w:hint="eastAsia" w:cs="仿宋" w:asciiTheme="minorEastAsia" w:hAnsiTheme="minorEastAsia" w:eastAsiaTheme="minorEastAsia"/>
        </w:rPr>
        <w:t>的保护修复步骤</w:t>
      </w:r>
      <w:bookmarkEnd w:id="349"/>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color w:val="000000"/>
          <w:sz w:val="28"/>
          <w:szCs w:val="28"/>
        </w:rPr>
        <w:drawing>
          <wp:inline distT="0" distB="0" distL="0" distR="0">
            <wp:extent cx="2520315" cy="935990"/>
            <wp:effectExtent l="0" t="0" r="13335" b="1651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0000" cy="9360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50" w:name="_Toc70840840"/>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33</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BM9-QS-A-3照片</w:t>
            </w:r>
            <w:bookmarkEnd w:id="350"/>
          </w:p>
        </w:tc>
      </w:tr>
    </w:tbl>
    <w:p>
      <w:pPr>
        <w:pStyle w:val="295"/>
        <w:spacing w:before="312" w:after="156"/>
        <w:rPr>
          <w:rFonts w:cs="仿宋" w:asciiTheme="minorEastAsia" w:hAnsiTheme="minorEastAsia" w:eastAsiaTheme="minorEastAsia"/>
          <w:sz w:val="28"/>
          <w:szCs w:val="28"/>
        </w:rPr>
      </w:pPr>
      <w:bookmarkStart w:id="351" w:name="_Toc70840915"/>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33</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BM9-QS-A-3病害类型及面积</w:t>
      </w:r>
      <w:bookmarkEnd w:id="351"/>
    </w:p>
    <w:tbl>
      <w:tblPr>
        <w:tblStyle w:val="303"/>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192"/>
        <w:gridCol w:w="1400"/>
        <w:gridCol w:w="776"/>
        <w:gridCol w:w="776"/>
        <w:gridCol w:w="140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19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表层空鼓</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BM9-QS-A-3</w:t>
            </w:r>
          </w:p>
        </w:tc>
        <w:tc>
          <w:tcPr>
            <w:tcW w:w="119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0.54</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0.03</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0.95</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0.46</w:t>
            </w:r>
          </w:p>
        </w:tc>
        <w:tc>
          <w:tcPr>
            <w:tcW w:w="140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0.07</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52" w:name="_Hlk67660740"/>
      <w:bookmarkStart w:id="353" w:name="_Toc67678647"/>
      <w:bookmarkStart w:id="354" w:name="_Toc72087971"/>
      <w:r>
        <w:rPr>
          <w:rFonts w:hint="eastAsia" w:cs="仿宋" w:asciiTheme="minorEastAsia" w:hAnsiTheme="minorEastAsia" w:eastAsiaTheme="minorEastAsia"/>
        </w:rPr>
        <w:t>BM9-QS-A-4</w:t>
      </w:r>
      <w:bookmarkEnd w:id="352"/>
      <w:bookmarkEnd w:id="353"/>
      <w:r>
        <w:rPr>
          <w:rFonts w:hint="eastAsia" w:cs="仿宋" w:asciiTheme="minorEastAsia" w:hAnsiTheme="minorEastAsia" w:eastAsiaTheme="minorEastAsia"/>
        </w:rPr>
        <w:t>的保护修复步骤</w:t>
      </w:r>
      <w:bookmarkEnd w:id="354"/>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color w:val="000000"/>
          <w:sz w:val="28"/>
          <w:szCs w:val="28"/>
        </w:rPr>
        <w:drawing>
          <wp:inline distT="0" distB="0" distL="0" distR="0">
            <wp:extent cx="2520315" cy="360045"/>
            <wp:effectExtent l="0" t="0" r="13335" b="190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000" cy="3600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55" w:name="_Toc70840841"/>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34</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BM9-QS-A-4照片</w:t>
            </w:r>
            <w:bookmarkEnd w:id="355"/>
          </w:p>
        </w:tc>
      </w:tr>
    </w:tbl>
    <w:p>
      <w:pPr>
        <w:pStyle w:val="295"/>
        <w:spacing w:before="312" w:after="156"/>
        <w:rPr>
          <w:rFonts w:cs="仿宋" w:asciiTheme="minorEastAsia" w:hAnsiTheme="minorEastAsia" w:eastAsiaTheme="minorEastAsia"/>
          <w:sz w:val="28"/>
          <w:szCs w:val="28"/>
        </w:rPr>
      </w:pPr>
      <w:bookmarkStart w:id="356" w:name="_Toc70840916"/>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34</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BM9-QS-A-4病害类型及面积</w:t>
      </w:r>
      <w:bookmarkEnd w:id="356"/>
    </w:p>
    <w:tbl>
      <w:tblPr>
        <w:tblStyle w:val="303"/>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BM9-QS-A-4</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0.27</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2074"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0.79</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509" w:firstLineChars="18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57" w:name="_Hlk67661022"/>
      <w:bookmarkStart w:id="358" w:name="_Toc67678648"/>
      <w:bookmarkStart w:id="359" w:name="_Toc72087972"/>
      <w:r>
        <w:rPr>
          <w:rFonts w:hint="eastAsia" w:cs="仿宋" w:asciiTheme="minorEastAsia" w:hAnsiTheme="minorEastAsia" w:eastAsiaTheme="minorEastAsia"/>
        </w:rPr>
        <w:t>BM9-QS-B-8</w:t>
      </w:r>
      <w:bookmarkEnd w:id="357"/>
      <w:bookmarkEnd w:id="358"/>
      <w:r>
        <w:rPr>
          <w:rFonts w:hint="eastAsia" w:cs="仿宋" w:asciiTheme="minorEastAsia" w:hAnsiTheme="minorEastAsia" w:eastAsiaTheme="minorEastAsia"/>
        </w:rPr>
        <w:t>的保护修复步骤</w:t>
      </w:r>
      <w:bookmarkEnd w:id="359"/>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389380"/>
            <wp:effectExtent l="0" t="0" r="13335" b="127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0000" cy="13896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60" w:name="_Toc70840842"/>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35</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BM9-QS-B-8照片</w:t>
            </w:r>
            <w:bookmarkEnd w:id="360"/>
          </w:p>
        </w:tc>
      </w:tr>
    </w:tbl>
    <w:p>
      <w:pPr>
        <w:pStyle w:val="295"/>
        <w:spacing w:before="312" w:after="156"/>
        <w:rPr>
          <w:rFonts w:cs="仿宋" w:asciiTheme="minorEastAsia" w:hAnsiTheme="minorEastAsia" w:eastAsiaTheme="minorEastAsia"/>
          <w:sz w:val="28"/>
          <w:szCs w:val="28"/>
        </w:rPr>
      </w:pPr>
      <w:bookmarkStart w:id="361" w:name="_Toc70840917"/>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35</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BM9-QS-B-8病害类型及面积</w:t>
      </w:r>
      <w:bookmarkEnd w:id="361"/>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563"/>
        <w:gridCol w:w="776"/>
        <w:gridCol w:w="1554"/>
        <w:gridCol w:w="2089"/>
        <w:gridCol w:w="1564"/>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563"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55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208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56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0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BM9-QS-B-8</w:t>
            </w:r>
          </w:p>
        </w:tc>
        <w:tc>
          <w:tcPr>
            <w:tcW w:w="1563" w:type="dxa"/>
          </w:tcPr>
          <w:p>
            <w:pPr>
              <w:tabs>
                <w:tab w:val="left" w:pos="32"/>
              </w:tabs>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ab/>
            </w:r>
            <w:r>
              <w:rPr>
                <w:rFonts w:hint="eastAsia" w:cs="仿宋" w:asciiTheme="minorEastAsia" w:hAnsiTheme="minorEastAsia" w:eastAsiaTheme="minorEastAsia"/>
                <w:kern w:val="0"/>
                <w:sz w:val="28"/>
                <w:szCs w:val="28"/>
              </w:rPr>
              <w:t>0.45</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1.32</w:t>
            </w:r>
          </w:p>
        </w:tc>
        <w:tc>
          <w:tcPr>
            <w:tcW w:w="155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0.5</w:t>
            </w:r>
          </w:p>
        </w:tc>
        <w:tc>
          <w:tcPr>
            <w:tcW w:w="208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0.08</w:t>
            </w:r>
          </w:p>
        </w:tc>
        <w:tc>
          <w:tcPr>
            <w:tcW w:w="1564"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0.05</w:t>
            </w:r>
          </w:p>
        </w:tc>
        <w:tc>
          <w:tcPr>
            <w:tcW w:w="10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0.14</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62" w:name="_Hlk67661344"/>
      <w:bookmarkStart w:id="363" w:name="_Toc67678649"/>
      <w:bookmarkStart w:id="364" w:name="_Toc72087973"/>
      <w:r>
        <w:rPr>
          <w:rFonts w:hint="eastAsia" w:cs="仿宋" w:asciiTheme="minorEastAsia" w:hAnsiTheme="minorEastAsia" w:eastAsiaTheme="minorEastAsia"/>
        </w:rPr>
        <w:t>BM9-QS-B-9</w:t>
      </w:r>
      <w:bookmarkEnd w:id="362"/>
      <w:bookmarkEnd w:id="363"/>
      <w:r>
        <w:rPr>
          <w:rFonts w:hint="eastAsia" w:cs="仿宋" w:asciiTheme="minorEastAsia" w:hAnsiTheme="minorEastAsia" w:eastAsiaTheme="minorEastAsia"/>
        </w:rPr>
        <w:t>的保护修复步骤</w:t>
      </w:r>
      <w:bookmarkEnd w:id="364"/>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148715"/>
            <wp:effectExtent l="0" t="0" r="13335" b="1333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0000" cy="11484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65" w:name="_Toc70840843"/>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36</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BM9-QS-B-9照片</w:t>
            </w:r>
            <w:bookmarkEnd w:id="365"/>
          </w:p>
        </w:tc>
      </w:tr>
    </w:tbl>
    <w:p>
      <w:pPr>
        <w:pStyle w:val="295"/>
        <w:spacing w:before="312" w:after="156"/>
        <w:rPr>
          <w:rFonts w:cs="仿宋" w:asciiTheme="minorEastAsia" w:hAnsiTheme="minorEastAsia" w:eastAsiaTheme="minorEastAsia"/>
          <w:sz w:val="28"/>
          <w:szCs w:val="28"/>
        </w:rPr>
      </w:pPr>
      <w:bookmarkStart w:id="366" w:name="_Toc70840918"/>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36</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BM9-QS-B-9病害类型及面积</w:t>
      </w:r>
      <w:bookmarkEnd w:id="366"/>
    </w:p>
    <w:tbl>
      <w:tblPr>
        <w:tblStyle w:val="303"/>
        <w:tblW w:w="101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16"/>
        <w:gridCol w:w="776"/>
        <w:gridCol w:w="776"/>
        <w:gridCol w:w="1616"/>
        <w:gridCol w:w="2176"/>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21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BM9-QS-B-9</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0.21</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0.05</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1.04</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0.02</w:t>
            </w:r>
          </w:p>
        </w:tc>
        <w:tc>
          <w:tcPr>
            <w:tcW w:w="21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0.16</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0.21</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67" w:name="_Toc67678650"/>
      <w:bookmarkStart w:id="368" w:name="_Toc72087974"/>
      <w:r>
        <w:rPr>
          <w:rFonts w:hint="eastAsia" w:cs="仿宋" w:asciiTheme="minorEastAsia" w:hAnsiTheme="minorEastAsia" w:eastAsiaTheme="minorEastAsia"/>
        </w:rPr>
        <w:t>BM9-QS-C-10</w:t>
      </w:r>
      <w:bookmarkEnd w:id="367"/>
      <w:r>
        <w:rPr>
          <w:rFonts w:hint="eastAsia" w:cs="仿宋" w:asciiTheme="minorEastAsia" w:hAnsiTheme="minorEastAsia" w:eastAsiaTheme="minorEastAsia"/>
        </w:rPr>
        <w:t>的保护修复步骤</w:t>
      </w:r>
      <w:bookmarkEnd w:id="368"/>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723900"/>
            <wp:effectExtent l="0" t="0" r="13335"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0000" cy="7236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69" w:name="_Toc70840844"/>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37</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BM9-QS-C-10照片</w:t>
            </w:r>
            <w:bookmarkEnd w:id="369"/>
          </w:p>
        </w:tc>
      </w:tr>
    </w:tbl>
    <w:p>
      <w:pPr>
        <w:pStyle w:val="295"/>
        <w:spacing w:before="312" w:after="156"/>
        <w:rPr>
          <w:rFonts w:cs="仿宋" w:asciiTheme="minorEastAsia" w:hAnsiTheme="minorEastAsia" w:eastAsiaTheme="minorEastAsia"/>
          <w:sz w:val="28"/>
          <w:szCs w:val="28"/>
        </w:rPr>
      </w:pPr>
      <w:bookmarkStart w:id="370" w:name="_Toc70840919"/>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BM9-QS-C-10病害类型及面积</w:t>
      </w:r>
      <w:bookmarkEnd w:id="370"/>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146"/>
        <w:gridCol w:w="916"/>
        <w:gridCol w:w="776"/>
        <w:gridCol w:w="1146"/>
        <w:gridCol w:w="1393"/>
        <w:gridCol w:w="1146"/>
        <w:gridCol w:w="899"/>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9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39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899"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c>
          <w:tcPr>
            <w:tcW w:w="102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BM9-QS-C-10</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0.16</w:t>
            </w:r>
          </w:p>
        </w:tc>
        <w:tc>
          <w:tcPr>
            <w:tcW w:w="9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0.003</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1.39</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0.33</w:t>
            </w:r>
          </w:p>
        </w:tc>
        <w:tc>
          <w:tcPr>
            <w:tcW w:w="139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0.11</w:t>
            </w:r>
          </w:p>
        </w:tc>
        <w:tc>
          <w:tcPr>
            <w:tcW w:w="114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0.04</w:t>
            </w:r>
          </w:p>
        </w:tc>
        <w:tc>
          <w:tcPr>
            <w:tcW w:w="899"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0.25</w:t>
            </w:r>
          </w:p>
        </w:tc>
        <w:tc>
          <w:tcPr>
            <w:tcW w:w="102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0.22</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71" w:name="_Toc67678651"/>
      <w:bookmarkStart w:id="372" w:name="_Toc72087975"/>
      <w:r>
        <w:rPr>
          <w:rFonts w:hint="eastAsia" w:cs="仿宋" w:asciiTheme="minorEastAsia" w:hAnsiTheme="minorEastAsia" w:eastAsiaTheme="minorEastAsia"/>
        </w:rPr>
        <w:t>BM9-QS-C-11</w:t>
      </w:r>
      <w:bookmarkEnd w:id="371"/>
      <w:r>
        <w:rPr>
          <w:rFonts w:hint="eastAsia" w:cs="仿宋" w:asciiTheme="minorEastAsia" w:hAnsiTheme="minorEastAsia" w:eastAsiaTheme="minorEastAsia"/>
        </w:rPr>
        <w:t>的保护修复步骤</w:t>
      </w:r>
      <w:bookmarkEnd w:id="372"/>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1296035"/>
            <wp:effectExtent l="0" t="0" r="13335" b="1841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20000" cy="12960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73" w:name="_Toc70840845"/>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38</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BM9-QS-C-11照片</w:t>
            </w:r>
            <w:bookmarkEnd w:id="373"/>
          </w:p>
        </w:tc>
      </w:tr>
    </w:tbl>
    <w:p>
      <w:pPr>
        <w:pStyle w:val="295"/>
        <w:spacing w:before="312" w:after="156"/>
        <w:rPr>
          <w:rFonts w:cs="仿宋" w:asciiTheme="minorEastAsia" w:hAnsiTheme="minorEastAsia" w:eastAsiaTheme="minorEastAsia"/>
          <w:sz w:val="28"/>
          <w:szCs w:val="28"/>
        </w:rPr>
      </w:pPr>
      <w:bookmarkStart w:id="374" w:name="_Toc70840920"/>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38</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BM9-QS-C-11病害类型及面积</w:t>
      </w:r>
      <w:bookmarkEnd w:id="374"/>
    </w:p>
    <w:tbl>
      <w:tblPr>
        <w:tblStyle w:val="303"/>
        <w:tblW w:w="82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519"/>
        <w:gridCol w:w="1056"/>
        <w:gridCol w:w="776"/>
        <w:gridCol w:w="1519"/>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5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10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5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6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BM9-QS-C-11</w:t>
            </w:r>
          </w:p>
        </w:tc>
        <w:tc>
          <w:tcPr>
            <w:tcW w:w="15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0.29</w:t>
            </w:r>
          </w:p>
        </w:tc>
        <w:tc>
          <w:tcPr>
            <w:tcW w:w="10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0.0006</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1.22</w:t>
            </w:r>
          </w:p>
        </w:tc>
        <w:tc>
          <w:tcPr>
            <w:tcW w:w="151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0.16</w:t>
            </w:r>
          </w:p>
        </w:tc>
        <w:tc>
          <w:tcPr>
            <w:tcW w:w="16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0.37</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B0F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75" w:name="_Toc67678652"/>
      <w:bookmarkStart w:id="376" w:name="_Toc72087976"/>
      <w:r>
        <w:rPr>
          <w:rFonts w:hint="eastAsia" w:cs="仿宋" w:asciiTheme="minorEastAsia" w:hAnsiTheme="minorEastAsia" w:eastAsiaTheme="minorEastAsia"/>
        </w:rPr>
        <w:t>BM9-ZS-A-2</w:t>
      </w:r>
      <w:bookmarkEnd w:id="375"/>
      <w:r>
        <w:rPr>
          <w:rFonts w:hint="eastAsia" w:cs="仿宋" w:asciiTheme="minorEastAsia" w:hAnsiTheme="minorEastAsia" w:eastAsiaTheme="minorEastAsia"/>
        </w:rPr>
        <w:t>的保护修复步骤</w:t>
      </w:r>
      <w:bookmarkEnd w:id="376"/>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709295"/>
            <wp:effectExtent l="0" t="0" r="13335" b="146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0000" cy="7092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77" w:name="_Toc70840846"/>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39</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BM9-ZS-A-2照片</w:t>
            </w:r>
            <w:bookmarkEnd w:id="377"/>
          </w:p>
        </w:tc>
      </w:tr>
    </w:tbl>
    <w:p>
      <w:pPr>
        <w:pStyle w:val="295"/>
        <w:spacing w:before="312" w:after="156"/>
        <w:rPr>
          <w:rFonts w:cs="仿宋" w:asciiTheme="minorEastAsia" w:hAnsiTheme="minorEastAsia" w:eastAsiaTheme="minorEastAsia"/>
          <w:sz w:val="28"/>
          <w:szCs w:val="28"/>
        </w:rPr>
      </w:pPr>
      <w:bookmarkStart w:id="378" w:name="_Toc70840921"/>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39</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BM9-ZS-A-2病害类型及面积</w:t>
      </w:r>
      <w:bookmarkEnd w:id="378"/>
    </w:p>
    <w:tbl>
      <w:tblPr>
        <w:tblStyle w:val="303"/>
        <w:tblW w:w="85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382"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BM9-ZS-A-2</w:t>
            </w:r>
          </w:p>
        </w:tc>
        <w:tc>
          <w:tcPr>
            <w:tcW w:w="1382"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0.81</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2.06</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1.07</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0.46</w:t>
            </w:r>
          </w:p>
        </w:tc>
        <w:tc>
          <w:tcPr>
            <w:tcW w:w="1383"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0.36</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560" w:firstLineChars="200"/>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79" w:name="_Toc67678653"/>
      <w:bookmarkStart w:id="380" w:name="_Toc72087977"/>
      <w:r>
        <w:rPr>
          <w:rFonts w:hint="eastAsia" w:cs="仿宋" w:asciiTheme="minorEastAsia" w:hAnsiTheme="minorEastAsia" w:eastAsiaTheme="minorEastAsia"/>
        </w:rPr>
        <w:t>BM9-ZS-A-3</w:t>
      </w:r>
      <w:bookmarkEnd w:id="379"/>
      <w:r>
        <w:rPr>
          <w:rFonts w:hint="eastAsia" w:cs="仿宋" w:asciiTheme="minorEastAsia" w:hAnsiTheme="minorEastAsia" w:eastAsiaTheme="minorEastAsia"/>
        </w:rPr>
        <w:t>的保护修复步骤</w:t>
      </w:r>
      <w:bookmarkEnd w:id="380"/>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558165"/>
            <wp:effectExtent l="0" t="0" r="13335" b="1333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20000" cy="5580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81" w:name="_Toc70840847"/>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40</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BM9-ZS-A-3照片</w:t>
            </w:r>
            <w:bookmarkEnd w:id="381"/>
          </w:p>
        </w:tc>
      </w:tr>
    </w:tbl>
    <w:p>
      <w:pPr>
        <w:pStyle w:val="295"/>
        <w:spacing w:before="312" w:after="156"/>
        <w:rPr>
          <w:rFonts w:cs="仿宋" w:asciiTheme="minorEastAsia" w:hAnsiTheme="minorEastAsia" w:eastAsiaTheme="minorEastAsia"/>
          <w:sz w:val="28"/>
          <w:szCs w:val="28"/>
        </w:rPr>
      </w:pPr>
      <w:bookmarkStart w:id="382" w:name="_Toc70840922"/>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40</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BM9-ZS-A-3病害类型及面积</w:t>
      </w:r>
      <w:bookmarkEnd w:id="382"/>
    </w:p>
    <w:tbl>
      <w:tblPr>
        <w:tblStyle w:val="303"/>
        <w:tblW w:w="101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16"/>
        <w:gridCol w:w="776"/>
        <w:gridCol w:w="1616"/>
        <w:gridCol w:w="2176"/>
        <w:gridCol w:w="105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21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0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c>
          <w:tcPr>
            <w:tcW w:w="133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BM9-ZS-A-3</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0.06</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1.68</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0.98</w:t>
            </w:r>
          </w:p>
        </w:tc>
        <w:tc>
          <w:tcPr>
            <w:tcW w:w="21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10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1.02</w:t>
            </w:r>
          </w:p>
        </w:tc>
        <w:tc>
          <w:tcPr>
            <w:tcW w:w="133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83" w:name="_Toc67678654"/>
      <w:bookmarkStart w:id="384" w:name="_Toc72087978"/>
      <w:r>
        <w:rPr>
          <w:rFonts w:hint="eastAsia" w:cs="仿宋" w:asciiTheme="minorEastAsia" w:hAnsiTheme="minorEastAsia" w:eastAsiaTheme="minorEastAsia"/>
        </w:rPr>
        <w:t>BM9-ZS-A-4</w:t>
      </w:r>
      <w:bookmarkEnd w:id="383"/>
      <w:r>
        <w:rPr>
          <w:rFonts w:hint="eastAsia" w:cs="仿宋" w:asciiTheme="minorEastAsia" w:hAnsiTheme="minorEastAsia" w:eastAsiaTheme="minorEastAsia"/>
        </w:rPr>
        <w:t>的保护修复步骤</w:t>
      </w:r>
      <w:bookmarkEnd w:id="384"/>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586740"/>
            <wp:effectExtent l="0" t="0" r="13335" b="381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20000" cy="5868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85" w:name="_Toc70840848"/>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41</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BM9-ZS-A-4照片</w:t>
            </w:r>
            <w:bookmarkEnd w:id="385"/>
          </w:p>
        </w:tc>
      </w:tr>
    </w:tbl>
    <w:p>
      <w:pPr>
        <w:pStyle w:val="295"/>
        <w:spacing w:before="312" w:after="156"/>
        <w:rPr>
          <w:rFonts w:cs="仿宋" w:asciiTheme="minorEastAsia" w:hAnsiTheme="minorEastAsia" w:eastAsiaTheme="minorEastAsia"/>
          <w:sz w:val="28"/>
          <w:szCs w:val="28"/>
        </w:rPr>
      </w:pPr>
      <w:bookmarkStart w:id="386" w:name="_Toc70840923"/>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41</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BM9-ZS-A-4病害类型及面积</w:t>
      </w:r>
      <w:bookmarkEnd w:id="386"/>
    </w:p>
    <w:tbl>
      <w:tblPr>
        <w:tblStyle w:val="303"/>
        <w:tblW w:w="101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16"/>
        <w:gridCol w:w="776"/>
        <w:gridCol w:w="1616"/>
        <w:gridCol w:w="2176"/>
        <w:gridCol w:w="105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61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217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05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c>
          <w:tcPr>
            <w:tcW w:w="1336" w:type="dxa"/>
          </w:tcPr>
          <w:p>
            <w:pPr>
              <w:jc w:val="cente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BM9-ZS-A-4</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0.06</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1.79</w:t>
            </w:r>
          </w:p>
        </w:tc>
        <w:tc>
          <w:tcPr>
            <w:tcW w:w="16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0.39</w:t>
            </w:r>
          </w:p>
        </w:tc>
        <w:tc>
          <w:tcPr>
            <w:tcW w:w="21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0.25</w:t>
            </w:r>
          </w:p>
        </w:tc>
        <w:tc>
          <w:tcPr>
            <w:tcW w:w="10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0.18</w:t>
            </w:r>
          </w:p>
        </w:tc>
        <w:tc>
          <w:tcPr>
            <w:tcW w:w="133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0.44</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③去除菌斑后，用注射器喷水并结合排笔、化妆棉等擦洗，以尽</w:t>
      </w:r>
      <w:r>
        <w:rPr>
          <w:rFonts w:hint="eastAsia" w:cs="仿宋" w:asciiTheme="minorEastAsia" w:hAnsiTheme="minorEastAsia" w:eastAsiaTheme="minorEastAsia"/>
          <w:color w:val="000000"/>
          <w:sz w:val="28"/>
          <w:szCs w:val="28"/>
        </w:rPr>
        <w:t>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87" w:name="_Hlk67663124"/>
      <w:bookmarkStart w:id="388" w:name="_Toc67678655"/>
      <w:bookmarkStart w:id="389" w:name="_Toc72087979"/>
      <w:r>
        <w:rPr>
          <w:rFonts w:hint="eastAsia" w:cs="仿宋" w:asciiTheme="minorEastAsia" w:hAnsiTheme="minorEastAsia" w:eastAsiaTheme="minorEastAsia"/>
        </w:rPr>
        <w:t>BM9-ZS-B-10</w:t>
      </w:r>
      <w:bookmarkEnd w:id="387"/>
      <w:bookmarkEnd w:id="388"/>
      <w:r>
        <w:rPr>
          <w:rFonts w:hint="eastAsia" w:cs="仿宋" w:asciiTheme="minorEastAsia" w:hAnsiTheme="minorEastAsia" w:eastAsiaTheme="minorEastAsia"/>
        </w:rPr>
        <w:t>的保护修复步骤</w:t>
      </w:r>
      <w:bookmarkEnd w:id="389"/>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78205"/>
            <wp:effectExtent l="0" t="0" r="13335" b="1714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0000" cy="8784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90" w:name="_Toc70840849"/>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42</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BM9-ZS-B-10照片</w:t>
            </w:r>
            <w:bookmarkEnd w:id="390"/>
          </w:p>
        </w:tc>
      </w:tr>
    </w:tbl>
    <w:p>
      <w:pPr>
        <w:pStyle w:val="295"/>
        <w:spacing w:before="312" w:after="156"/>
        <w:rPr>
          <w:rFonts w:cs="仿宋" w:asciiTheme="minorEastAsia" w:hAnsiTheme="minorEastAsia" w:eastAsiaTheme="minorEastAsia"/>
          <w:sz w:val="28"/>
          <w:szCs w:val="28"/>
        </w:rPr>
      </w:pPr>
      <w:bookmarkStart w:id="391" w:name="_Toc70840924"/>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42</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BM9-ZS-B-10病害类型及面积</w:t>
      </w:r>
      <w:bookmarkEnd w:id="391"/>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359"/>
        <w:gridCol w:w="916"/>
        <w:gridCol w:w="776"/>
        <w:gridCol w:w="1359"/>
        <w:gridCol w:w="1748"/>
        <w:gridCol w:w="1316"/>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35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9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35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74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3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97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BM9-ZS-B-10</w:t>
            </w:r>
          </w:p>
        </w:tc>
        <w:tc>
          <w:tcPr>
            <w:tcW w:w="135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0.04</w:t>
            </w:r>
          </w:p>
        </w:tc>
        <w:tc>
          <w:tcPr>
            <w:tcW w:w="9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0.003</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1.33</w:t>
            </w:r>
          </w:p>
        </w:tc>
        <w:tc>
          <w:tcPr>
            <w:tcW w:w="135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0.14</w:t>
            </w:r>
          </w:p>
        </w:tc>
        <w:tc>
          <w:tcPr>
            <w:tcW w:w="174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0.75</w:t>
            </w:r>
          </w:p>
        </w:tc>
        <w:tc>
          <w:tcPr>
            <w:tcW w:w="131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w:t>
            </w:r>
          </w:p>
        </w:tc>
        <w:tc>
          <w:tcPr>
            <w:tcW w:w="971"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0.05</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92" w:name="_Toc67678656"/>
      <w:bookmarkStart w:id="393" w:name="_Toc72087980"/>
      <w:r>
        <w:rPr>
          <w:rFonts w:hint="eastAsia" w:cs="仿宋" w:asciiTheme="minorEastAsia" w:hAnsiTheme="minorEastAsia" w:eastAsiaTheme="minorEastAsia"/>
        </w:rPr>
        <w:t>BM9-ZS-C-12</w:t>
      </w:r>
      <w:bookmarkEnd w:id="392"/>
      <w:r>
        <w:rPr>
          <w:rFonts w:hint="eastAsia" w:cs="仿宋" w:asciiTheme="minorEastAsia" w:hAnsiTheme="minorEastAsia" w:eastAsiaTheme="minorEastAsia"/>
        </w:rPr>
        <w:t>的保护修复步骤</w:t>
      </w:r>
      <w:bookmarkEnd w:id="393"/>
      <w:r>
        <w:rPr>
          <w:rFonts w:hint="eastAsia" w:cs="仿宋" w:asciiTheme="minorEastAsia" w:hAnsiTheme="minorEastAsia" w:eastAsiaTheme="minorEastAsia"/>
        </w:rPr>
        <w:t xml:space="preserve"> </w:t>
      </w:r>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845820"/>
            <wp:effectExtent l="0" t="0" r="13335" b="1143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20000" cy="8460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94" w:name="_Toc70840850"/>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43</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BM9-ZS-C-12照片</w:t>
            </w:r>
            <w:bookmarkEnd w:id="394"/>
          </w:p>
        </w:tc>
      </w:tr>
    </w:tbl>
    <w:p>
      <w:pPr>
        <w:pStyle w:val="295"/>
        <w:spacing w:before="312" w:after="156"/>
        <w:rPr>
          <w:rFonts w:cs="仿宋" w:asciiTheme="minorEastAsia" w:hAnsiTheme="minorEastAsia" w:eastAsiaTheme="minorEastAsia"/>
          <w:sz w:val="28"/>
          <w:szCs w:val="28"/>
        </w:rPr>
      </w:pPr>
      <w:bookmarkStart w:id="395" w:name="_Toc70840925"/>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43</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BM9-ZS-C-12病害类型及面积</w:t>
      </w:r>
      <w:bookmarkEnd w:id="395"/>
    </w:p>
    <w:tbl>
      <w:tblPr>
        <w:tblStyle w:val="303"/>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339"/>
        <w:gridCol w:w="776"/>
        <w:gridCol w:w="776"/>
        <w:gridCol w:w="1418"/>
        <w:gridCol w:w="1780"/>
        <w:gridCol w:w="1379"/>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3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残缺</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4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78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颜料层点状脱落</w:t>
            </w:r>
          </w:p>
        </w:tc>
        <w:tc>
          <w:tcPr>
            <w:tcW w:w="137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97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结晶盐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BM9-ZS-C-12</w:t>
            </w:r>
          </w:p>
        </w:tc>
        <w:tc>
          <w:tcPr>
            <w:tcW w:w="13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0.01</w:t>
            </w:r>
          </w:p>
        </w:tc>
        <w:tc>
          <w:tcPr>
            <w:tcW w:w="776"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1.29</w:t>
            </w:r>
          </w:p>
        </w:tc>
        <w:tc>
          <w:tcPr>
            <w:tcW w:w="141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0.067</w:t>
            </w:r>
          </w:p>
        </w:tc>
        <w:tc>
          <w:tcPr>
            <w:tcW w:w="178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0.42</w:t>
            </w:r>
          </w:p>
        </w:tc>
        <w:tc>
          <w:tcPr>
            <w:tcW w:w="137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0.09</w:t>
            </w:r>
          </w:p>
        </w:tc>
        <w:tc>
          <w:tcPr>
            <w:tcW w:w="977"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0.03</w:t>
            </w:r>
          </w:p>
        </w:tc>
      </w:tr>
    </w:tbl>
    <w:p>
      <w:pPr>
        <w:widowControl/>
        <w:jc w:val="left"/>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修复措施：</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（3）石刻彩绘颜料层加固</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（4）脱盐</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将生宣纸撕成碎片，放入装有去离子水的塑料桶内，浸泡2h后，采用搅拌器进行搅拌制成脱盐纸浆，将脱盐纸浆均匀敷贴；待脱盐纸浆完全干燥后揭下，取少量纸浆进行干燥并测定电导率；反复上述操作2-3次，直至纸浆电导率恒定不变，则脱盐结束。</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（5）石刻彩绘表面封护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5"/>
        <w:numPr>
          <w:ilvl w:val="2"/>
          <w:numId w:val="0"/>
        </w:numPr>
        <w:rPr>
          <w:rFonts w:cs="仿宋" w:asciiTheme="minorEastAsia" w:hAnsiTheme="minorEastAsia" w:eastAsiaTheme="minorEastAsia"/>
        </w:rPr>
      </w:pPr>
      <w:bookmarkStart w:id="396" w:name="_Toc67678657"/>
      <w:bookmarkStart w:id="397" w:name="_Toc72087981"/>
      <w:r>
        <w:rPr>
          <w:rFonts w:hint="eastAsia" w:cs="仿宋" w:asciiTheme="minorEastAsia" w:hAnsiTheme="minorEastAsia" w:eastAsiaTheme="minorEastAsia"/>
        </w:rPr>
        <w:t>CM2-HS-F-22</w:t>
      </w:r>
      <w:bookmarkEnd w:id="396"/>
      <w:r>
        <w:rPr>
          <w:rFonts w:hint="eastAsia" w:cs="仿宋" w:asciiTheme="minorEastAsia" w:hAnsiTheme="minorEastAsia" w:eastAsiaTheme="minorEastAsia"/>
        </w:rPr>
        <w:t>的保护修复步骤</w:t>
      </w:r>
      <w:bookmarkEnd w:id="397"/>
    </w:p>
    <w:p>
      <w:pPr>
        <w:jc w:val="cente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drawing>
          <wp:inline distT="0" distB="0" distL="0" distR="0">
            <wp:extent cx="2520315" cy="2311400"/>
            <wp:effectExtent l="0" t="0" r="13335" b="1270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20000" cy="2311200"/>
                    </a:xfrm>
                    <a:prstGeom prst="rect">
                      <a:avLst/>
                    </a:prstGeom>
                  </pic:spPr>
                </pic:pic>
              </a:graphicData>
            </a:graphic>
          </wp:inline>
        </w:drawing>
      </w:r>
    </w:p>
    <w:tbl>
      <w:tblPr>
        <w:tblStyle w:val="303"/>
        <w:tblW w:w="8306" w:type="dxa"/>
        <w:jc w:val="center"/>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pStyle w:val="294"/>
              <w:spacing w:after="312"/>
              <w:rPr>
                <w:rFonts w:cs="仿宋" w:asciiTheme="minorEastAsia" w:hAnsiTheme="minorEastAsia"/>
                <w:sz w:val="28"/>
                <w:szCs w:val="28"/>
              </w:rPr>
            </w:pPr>
            <w:bookmarkStart w:id="398" w:name="_Toc70840851"/>
            <w:r>
              <w:rPr>
                <w:rFonts w:hint="eastAsia" w:cs="仿宋" w:asciiTheme="minorEastAsia" w:hAnsiTheme="minorEastAsia"/>
                <w:sz w:val="28"/>
                <w:szCs w:val="28"/>
              </w:rPr>
              <w:t xml:space="preserve">图 </w:t>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STYLEREF 1 \s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7</w:t>
            </w:r>
            <w:r>
              <w:rPr>
                <w:rFonts w:hint="eastAsia" w:cs="仿宋" w:asciiTheme="minorEastAsia" w:hAnsiTheme="minorEastAsia"/>
                <w:sz w:val="28"/>
                <w:szCs w:val="28"/>
              </w:rPr>
              <w:fldChar w:fldCharType="end"/>
            </w:r>
            <w:r>
              <w:rPr>
                <w:rFonts w:hint="eastAsia" w:cs="仿宋" w:asciiTheme="minorEastAsia" w:hAnsiTheme="minorEastAsia"/>
                <w:sz w:val="28"/>
                <w:szCs w:val="28"/>
              </w:rPr>
              <w:noBreakHyphen/>
            </w:r>
            <w:r>
              <w:rPr>
                <w:rFonts w:hint="eastAsia" w:cs="仿宋" w:asciiTheme="minorEastAsia" w:hAnsiTheme="minorEastAsia"/>
                <w:sz w:val="28"/>
                <w:szCs w:val="28"/>
              </w:rPr>
              <w:fldChar w:fldCharType="begin"/>
            </w:r>
            <w:r>
              <w:rPr>
                <w:rFonts w:hint="eastAsia" w:cs="仿宋" w:asciiTheme="minorEastAsia" w:hAnsiTheme="minorEastAsia"/>
                <w:sz w:val="28"/>
                <w:szCs w:val="28"/>
              </w:rPr>
              <w:instrText xml:space="preserve"> SEQ 图 \* ARABIC \s 1 </w:instrText>
            </w:r>
            <w:r>
              <w:rPr>
                <w:rFonts w:hint="eastAsia" w:cs="仿宋" w:asciiTheme="minorEastAsia" w:hAnsiTheme="minorEastAsia"/>
                <w:sz w:val="28"/>
                <w:szCs w:val="28"/>
              </w:rPr>
              <w:fldChar w:fldCharType="separate"/>
            </w:r>
            <w:r>
              <w:rPr>
                <w:rFonts w:hint="eastAsia" w:cs="仿宋" w:asciiTheme="minorEastAsia" w:hAnsiTheme="minorEastAsia"/>
                <w:sz w:val="28"/>
                <w:szCs w:val="28"/>
              </w:rPr>
              <w:t>44</w:t>
            </w:r>
            <w:r>
              <w:rPr>
                <w:rFonts w:hint="eastAsia" w:cs="仿宋" w:asciiTheme="minorEastAsia" w:hAnsiTheme="minorEastAsia"/>
                <w:sz w:val="28"/>
                <w:szCs w:val="28"/>
              </w:rPr>
              <w:fldChar w:fldCharType="end"/>
            </w:r>
            <w:r>
              <w:rPr>
                <w:rFonts w:hint="eastAsia" w:cs="仿宋" w:asciiTheme="minorEastAsia" w:hAnsiTheme="minorEastAsia"/>
                <w:sz w:val="28"/>
                <w:szCs w:val="28"/>
              </w:rPr>
              <w:t xml:space="preserve">  CM2-HS-F-22照片</w:t>
            </w:r>
            <w:bookmarkEnd w:id="398"/>
          </w:p>
        </w:tc>
      </w:tr>
    </w:tbl>
    <w:p>
      <w:pPr>
        <w:pStyle w:val="295"/>
        <w:spacing w:before="312" w:after="156"/>
        <w:rPr>
          <w:rFonts w:cs="仿宋" w:asciiTheme="minorEastAsia" w:hAnsiTheme="minorEastAsia" w:eastAsiaTheme="minorEastAsia"/>
          <w:sz w:val="28"/>
          <w:szCs w:val="28"/>
        </w:rPr>
      </w:pPr>
      <w:bookmarkStart w:id="399" w:name="_Toc70840926"/>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44</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CM2-HS-F-22病害类型及面积</w:t>
      </w:r>
      <w:bookmarkEnd w:id="399"/>
    </w:p>
    <w:tbl>
      <w:tblPr>
        <w:tblStyle w:val="303"/>
        <w:tblW w:w="8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620"/>
        <w:gridCol w:w="778"/>
        <w:gridCol w:w="1620"/>
        <w:gridCol w:w="162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76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文物编号</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表面附着物</w:t>
            </w:r>
          </w:p>
        </w:tc>
        <w:tc>
          <w:tcPr>
            <w:tcW w:w="77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积尘</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微生物病害</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颜料层脱落</w:t>
            </w:r>
          </w:p>
        </w:tc>
        <w:tc>
          <w:tcPr>
            <w:tcW w:w="13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水锈结壳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76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CM2-HS-F-22</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0.14</w:t>
            </w:r>
          </w:p>
        </w:tc>
        <w:tc>
          <w:tcPr>
            <w:tcW w:w="778"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1.51</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2.15</w:t>
            </w:r>
          </w:p>
        </w:tc>
        <w:tc>
          <w:tcPr>
            <w:tcW w:w="1620"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1.18</w:t>
            </w:r>
          </w:p>
        </w:tc>
        <w:tc>
          <w:tcPr>
            <w:tcW w:w="1339" w:type="dxa"/>
          </w:tcPr>
          <w:p>
            <w:pPr>
              <w:rPr>
                <w:rFonts w:cs="仿宋" w:asciiTheme="minorEastAsia" w:hAnsiTheme="minorEastAsia" w:eastAsiaTheme="minorEastAsia"/>
                <w:kern w:val="0"/>
                <w:sz w:val="28"/>
                <w:szCs w:val="28"/>
              </w:rPr>
            </w:pPr>
            <w:r>
              <w:rPr>
                <w:rFonts w:hint="eastAsia" w:cs="仿宋" w:asciiTheme="minorEastAsia" w:hAnsiTheme="minorEastAsia" w:eastAsiaTheme="minorEastAsia"/>
                <w:kern w:val="0"/>
                <w:sz w:val="28"/>
                <w:szCs w:val="28"/>
              </w:rPr>
              <w:t>0.35</w:t>
            </w:r>
          </w:p>
        </w:tc>
      </w:tr>
    </w:tbl>
    <w:p>
      <w:pPr>
        <w:rPr>
          <w:rFonts w:cs="仿宋" w:asciiTheme="minorEastAsia" w:hAnsiTheme="minorEastAsia" w:eastAsiaTheme="minorEastAsia"/>
          <w:sz w:val="28"/>
          <w:szCs w:val="28"/>
        </w:rPr>
      </w:pPr>
      <w:r>
        <w:rPr>
          <w:rFonts w:hint="eastAsia" w:cs="仿宋" w:asciiTheme="minorEastAsia" w:hAnsiTheme="minorEastAsia" w:eastAsiaTheme="minorEastAsia"/>
          <w:b/>
          <w:bCs/>
          <w:sz w:val="28"/>
          <w:szCs w:val="28"/>
        </w:rPr>
        <w:t>（1）污染物清除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修复措施：</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①预清理：先用毛刷、手术刀和牙科工具将其表面积聚的泥土和生物遗骸等清除掉，由于这些污染物的附着力不强，用此方法可去除大部分表面污染物。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②水清洗法：用喷雾器喷雾化水润湿表面污染物，待污染物完全润湿后，再用毛刷蘸取去离子水清除表面的污染物，边清洗边用吸水纸或吸水吸尘器除去多余的水分，防止水分渗入岩石内。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蒸汽清洗法：对于石刻彩绘颜料易脱落区域，不能采取水清洗的，可采用雾化水淋洗法。水通过很窄的喷嘴喷出，形成雾化的水。雾化水慢慢地落在石刻彩绘表面，润湿并清洗表面。这种淋洗作用很轻柔，不会产生任何冲击作用，且用水量少，避免水洗造成二次污染。</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基本要求： </w:t>
      </w:r>
    </w:p>
    <w:p>
      <w:pPr>
        <w:ind w:firstLine="480"/>
        <w:rPr>
          <w:rFonts w:cs="仿宋" w:asciiTheme="minorEastAsia" w:hAnsiTheme="minorEastAsia" w:eastAsiaTheme="minorEastAsia"/>
          <w:sz w:val="28"/>
          <w:szCs w:val="28"/>
        </w:rPr>
      </w:pPr>
      <w:bookmarkStart w:id="400" w:name="_Hlk67728551"/>
      <w:r>
        <w:rPr>
          <w:rFonts w:hint="eastAsia" w:cs="仿宋" w:asciiTheme="minorEastAsia" w:hAnsiTheme="minorEastAsia" w:eastAsiaTheme="minorEastAsia"/>
          <w:sz w:val="28"/>
          <w:szCs w:val="28"/>
        </w:rPr>
        <w:t>①清洗方法应能有效地清除掉石质文物表面的有害物质;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 4 \* GB3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④</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不能对石质文物本身尤其是其上的彩绘或字迹造成损伤。</w:t>
      </w:r>
      <w:bookmarkEnd w:id="400"/>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（2）微生物病害治理</w:t>
      </w:r>
    </w:p>
    <w:p>
      <w:pPr>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修</w:t>
      </w:r>
      <w:r>
        <w:rPr>
          <w:rFonts w:hint="eastAsia" w:cs="仿宋" w:asciiTheme="minorEastAsia" w:hAnsiTheme="minorEastAsia" w:eastAsiaTheme="minorEastAsia"/>
          <w:color w:val="000000" w:themeColor="text1"/>
          <w:sz w:val="28"/>
          <w:szCs w:val="28"/>
          <w14:textFill>
            <w14:solidFill>
              <w14:schemeClr w14:val="tx1"/>
            </w14:solidFill>
          </w14:textFill>
        </w:rPr>
        <w:t>复措施：</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①用饱吸0.5‰杀菌剂的化妆棉贴敷菌斑2h 或 1‰P91 的化妆棉贴敷菌斑 2h；</w:t>
      </w:r>
      <w:r>
        <w:rPr>
          <w:rFonts w:hint="eastAsia" w:cs="仿宋" w:asciiTheme="minorEastAsia" w:hAnsiTheme="minorEastAsia" w:eastAsiaTheme="minorEastAsia"/>
          <w:color w:val="000000" w:themeColor="text1"/>
          <w:sz w:val="28"/>
          <w:szCs w:val="28"/>
          <w14:textFill>
            <w14:solidFill>
              <w14:schemeClr w14:val="tx1"/>
            </w14:solidFill>
          </w14:textFill>
        </w:rPr>
        <w:br w:type="textWrapping"/>
      </w:r>
      <w:r>
        <w:rPr>
          <w:rFonts w:hint="eastAsia" w:cs="仿宋" w:asciiTheme="minorEastAsia" w:hAnsiTheme="minorEastAsia" w:eastAsiaTheme="minorEastAsia"/>
          <w:color w:val="000000" w:themeColor="text1"/>
          <w:sz w:val="28"/>
          <w:szCs w:val="28"/>
          <w14:textFill>
            <w14:solidFill>
              <w14:schemeClr w14:val="tx1"/>
            </w14:solidFill>
          </w14:textFill>
        </w:rPr>
        <w:t xml:space="preserve">  ②用排笔蘸 0.5‰杀菌剂的化妆棉 或 1‰P91 轻轻擦刷菌斑； </w:t>
      </w:r>
      <w:r>
        <w:rPr>
          <w:rFonts w:hint="eastAsia" w:cs="仿宋" w:asciiTheme="minorEastAsia" w:hAnsiTheme="minorEastAsia" w:eastAsiaTheme="minorEastAsia"/>
          <w:color w:val="000000"/>
          <w:sz w:val="28"/>
          <w:szCs w:val="28"/>
        </w:rPr>
        <w:t xml:space="preserve">     ③去除菌斑后，用注射器喷水并结合排笔、化妆棉等擦洗，以尽量清除残余药剂。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基本要求：</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①用于擦拭菌斑的工具，如排笔、棉签、化妆棉、水等，均须消毒或灭菌，工作人员应尽可能穿灭菌超净服，佩戴一次性手套、口罩，以及经消毒处理的防护眼镜等。</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②为避免抗性菌株的富集，处理菌斑时，应尽量缩小抑菌剂使用范围，并在抑菌剂作用有效时间后，及时清除；通过取样检测药剂残留情况，决定清洗次数。</w:t>
      </w:r>
      <w:r>
        <w:rPr>
          <w:rFonts w:hint="eastAsia" w:cs="仿宋" w:asciiTheme="minorEastAsia" w:hAnsiTheme="minorEastAsia" w:eastAsiaTheme="minorEastAsia"/>
          <w:color w:val="000000"/>
          <w:sz w:val="28"/>
          <w:szCs w:val="28"/>
        </w:rPr>
        <w:br w:type="textWrapping"/>
      </w:r>
      <w:r>
        <w:rPr>
          <w:rFonts w:hint="eastAsia" w:cs="仿宋" w:asciiTheme="minorEastAsia" w:hAnsiTheme="minorEastAsia" w:eastAsiaTheme="minorEastAsia"/>
          <w:color w:val="000000"/>
          <w:sz w:val="28"/>
          <w:szCs w:val="28"/>
        </w:rPr>
        <w:t xml:space="preserve">    ③由于菌害与人关系密切，其清除之后，必须对进入博物馆的工作人员、游客等的数量、时间、服装加以控制，方可能使治理效果维持较长时间。</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（3）</w:t>
      </w:r>
      <w:bookmarkStart w:id="401" w:name="_Hlk67728622"/>
      <w:r>
        <w:rPr>
          <w:rFonts w:hint="eastAsia" w:cs="仿宋" w:asciiTheme="minorEastAsia" w:hAnsiTheme="minorEastAsia" w:eastAsiaTheme="minorEastAsia"/>
          <w:b/>
          <w:bCs/>
          <w:sz w:val="28"/>
          <w:szCs w:val="28"/>
        </w:rPr>
        <w:t>石刻彩绘颜料层加固</w:t>
      </w:r>
      <w:bookmarkEnd w:id="401"/>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①彩绘烘干，采用红外线对彩绘进行烘干，以增加材料的渗透性和颜料的加固效果。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②彩绘画面烘干后，用毛刷或小型喷雾器多次喷或均匀涂刷材料。</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③淋涂时，喷嘴远离需要加固的岩体表面 10-20mm，反复淋涂直至饱和为止，让保护材料充分渗透到风化岩石的孔隙中，从而达到最大渗透深度。</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④淋涂时如发生表面流挂和材料聚集时，立即停止淋涂，并用脱脂棉将流挂材料尽可能的吸除，或用乙醇清洗。</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⑤加固材料处理完毕后，养护 3d 左右，材料即可固化。</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 xml:space="preserve">    ⑥彩绘经加固材料处理后，进行色差、光泽、颜料固着力等保护加固效果检测，评价保护效果。</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⑦根据实验室及现场加固试验结果及工艺岩石每次加固材料用量为每平方米约 0.5kg，共 3 次，每次间隔时间最少 48h。</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基本要求：</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（4）石刻彩绘表面封护</w:t>
      </w:r>
    </w:p>
    <w:p>
      <w:pPr>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修复步骤：</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①用去离子水或者毛刷清理表面污染物。</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②待表面干燥后，涂刷前期试验中效果良好的3%的丙烯酸乳液和3%氟硅分别对彩绘层和石质基体进行渗透加固保护，从下往上涂刷，保证不形成挂流。根据风化程度的不同分别进行1～3次施工。</w:t>
      </w:r>
    </w:p>
    <w:p>
      <w:pPr>
        <w:pStyle w:val="4"/>
        <w:numPr>
          <w:ilvl w:val="1"/>
          <w:numId w:val="0"/>
        </w:numPr>
        <w:ind w:firstLine="562" w:firstLineChars="200"/>
        <w:rPr>
          <w:rFonts w:cs="仿宋" w:asciiTheme="minorEastAsia" w:hAnsiTheme="minorEastAsia" w:eastAsiaTheme="minorEastAsia"/>
          <w:color w:val="000000" w:themeColor="text1"/>
          <w14:textFill>
            <w14:solidFill>
              <w14:schemeClr w14:val="tx1"/>
            </w14:solidFill>
          </w14:textFill>
        </w:rPr>
      </w:pPr>
      <w:bookmarkStart w:id="402" w:name="_Toc72087982"/>
      <w:r>
        <w:rPr>
          <w:rFonts w:hint="eastAsia" w:cs="仿宋" w:asciiTheme="minorEastAsia" w:hAnsiTheme="minorEastAsia" w:eastAsiaTheme="minorEastAsia"/>
          <w:color w:val="000000" w:themeColor="text1"/>
          <w14:textFill>
            <w14:solidFill>
              <w14:schemeClr w14:val="tx1"/>
            </w14:solidFill>
          </w14:textFill>
        </w:rPr>
        <w:t>六、各措施要求</w:t>
      </w:r>
      <w:bookmarkEnd w:id="402"/>
    </w:p>
    <w:p>
      <w:pPr>
        <w:pStyle w:val="5"/>
        <w:numPr>
          <w:ilvl w:val="2"/>
          <w:numId w:val="0"/>
        </w:numPr>
        <w:ind w:firstLine="562" w:firstLineChars="200"/>
        <w:rPr>
          <w:rFonts w:cs="仿宋" w:asciiTheme="minorEastAsia" w:hAnsiTheme="minorEastAsia" w:eastAsiaTheme="minorEastAsia"/>
          <w:color w:val="000000" w:themeColor="text1"/>
          <w14:textFill>
            <w14:solidFill>
              <w14:schemeClr w14:val="tx1"/>
            </w14:solidFill>
          </w14:textFill>
        </w:rPr>
      </w:pPr>
      <w:bookmarkStart w:id="403" w:name="_Toc72087983"/>
      <w:r>
        <w:rPr>
          <w:rFonts w:hint="eastAsia" w:cs="仿宋" w:asciiTheme="minorEastAsia" w:hAnsiTheme="minorEastAsia" w:eastAsiaTheme="minorEastAsia"/>
          <w:color w:val="000000" w:themeColor="text1"/>
          <w14:textFill>
            <w14:solidFill>
              <w14:schemeClr w14:val="tx1"/>
            </w14:solidFill>
          </w14:textFill>
        </w:rPr>
        <w:t>（1）清洗工作的基本要求</w:t>
      </w:r>
      <w:bookmarkEnd w:id="403"/>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①清洗方法应能有效地清除掉石质文</w:t>
      </w:r>
      <w:r>
        <w:rPr>
          <w:rFonts w:hint="eastAsia" w:cs="仿宋" w:asciiTheme="minorEastAsia" w:hAnsiTheme="minorEastAsia" w:eastAsiaTheme="minorEastAsia"/>
          <w:sz w:val="28"/>
          <w:szCs w:val="28"/>
        </w:rPr>
        <w:t>物表面的有害物质;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②不应伤害石质文物本身，清洗中不应引起任何新的严重划痕、裂隙或其他损伤石质文物表面的现象;</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③在清洗过程中进入文物本体内的化学、生物材料不能存留于文物本体内;</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④不能对石质文物本身尤其是其上的彩绘或字迹造成损伤。</w:t>
      </w:r>
    </w:p>
    <w:p>
      <w:pPr>
        <w:pStyle w:val="295"/>
        <w:spacing w:before="312" w:after="156"/>
        <w:rPr>
          <w:rFonts w:cs="仿宋" w:asciiTheme="minorEastAsia" w:hAnsiTheme="minorEastAsia" w:eastAsiaTheme="minorEastAsia"/>
          <w:sz w:val="28"/>
          <w:szCs w:val="28"/>
        </w:rPr>
      </w:pPr>
      <w:bookmarkStart w:id="404" w:name="_Toc70840927"/>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45</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清洗处理效果评估</w:t>
      </w:r>
      <w:bookmarkEnd w:id="404"/>
    </w:p>
    <w:tbl>
      <w:tblPr>
        <w:tblStyle w:val="4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118"/>
        <w:gridCol w:w="311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性质</w:t>
            </w:r>
          </w:p>
        </w:tc>
        <w:tc>
          <w:tcPr>
            <w:tcW w:w="311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方法</w:t>
            </w:r>
          </w:p>
        </w:tc>
        <w:tc>
          <w:tcPr>
            <w:tcW w:w="311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仪器</w:t>
            </w:r>
          </w:p>
        </w:tc>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视觉方面</w:t>
            </w:r>
          </w:p>
        </w:tc>
        <w:tc>
          <w:tcPr>
            <w:tcW w:w="311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视觉检查照相、超近摄影。</w:t>
            </w:r>
          </w:p>
        </w:tc>
        <w:tc>
          <w:tcPr>
            <w:tcW w:w="311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照相机</w:t>
            </w:r>
          </w:p>
        </w:tc>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44项石刻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显微镜评估</w:t>
            </w:r>
          </w:p>
        </w:tc>
        <w:tc>
          <w:tcPr>
            <w:tcW w:w="311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微观观察</w:t>
            </w:r>
          </w:p>
        </w:tc>
        <w:tc>
          <w:tcPr>
            <w:tcW w:w="311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便携显微镜</w:t>
            </w:r>
          </w:p>
        </w:tc>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颜色</w:t>
            </w:r>
          </w:p>
        </w:tc>
        <w:tc>
          <w:tcPr>
            <w:tcW w:w="311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E计算</w:t>
            </w:r>
          </w:p>
        </w:tc>
        <w:tc>
          <w:tcPr>
            <w:tcW w:w="311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色度仪</w:t>
            </w:r>
          </w:p>
        </w:tc>
        <w:tc>
          <w:tcPr>
            <w:tcW w:w="1809"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100处</w:t>
            </w:r>
          </w:p>
        </w:tc>
      </w:tr>
    </w:tbl>
    <w:p>
      <w:pPr>
        <w:ind w:firstLine="480"/>
        <w:rPr>
          <w:rFonts w:cs="仿宋" w:asciiTheme="minorEastAsia" w:hAnsiTheme="minorEastAsia" w:eastAsiaTheme="minorEastAsia"/>
          <w:sz w:val="28"/>
          <w:szCs w:val="28"/>
        </w:rPr>
      </w:pPr>
    </w:p>
    <w:p>
      <w:pPr>
        <w:pStyle w:val="5"/>
        <w:numPr>
          <w:ilvl w:val="2"/>
          <w:numId w:val="0"/>
        </w:numPr>
        <w:ind w:left="630"/>
        <w:rPr>
          <w:rFonts w:cs="仿宋" w:asciiTheme="minorEastAsia" w:hAnsiTheme="minorEastAsia" w:eastAsiaTheme="minorEastAsia"/>
          <w:color w:val="000000" w:themeColor="text1"/>
          <w14:textFill>
            <w14:solidFill>
              <w14:schemeClr w14:val="tx1"/>
            </w14:solidFill>
          </w14:textFill>
        </w:rPr>
      </w:pPr>
      <w:bookmarkStart w:id="405" w:name="_Toc72087984"/>
      <w:r>
        <w:rPr>
          <w:rFonts w:hint="eastAsia" w:cs="仿宋" w:asciiTheme="minorEastAsia" w:hAnsiTheme="minorEastAsia" w:eastAsiaTheme="minorEastAsia"/>
          <w:color w:val="000000" w:themeColor="text1"/>
          <w14:textFill>
            <w14:solidFill>
              <w14:schemeClr w14:val="tx1"/>
            </w14:solidFill>
          </w14:textFill>
        </w:rPr>
        <w:t>（2）微生物病害治理的基本要求</w:t>
      </w:r>
      <w:bookmarkEnd w:id="405"/>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①用于擦拭菌斑的工具，如排笔、棉签、化妆棉、水等，均须消毒或灭菌，工作人员应尽可能穿灭菌超净服，佩戴一次性手套、口罩，以及经消毒处理的防护眼镜等。</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②为避免抗性菌株的富集，处理菌斑时，应尽量缩小抑菌剂使用范围，并在抑菌剂作用有效时间后，及时清除；通过取样检测药剂残留情况，决定清洗次数。</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③由于菌害与人关系密切，其清除之后，必须对进入博物馆的工作人员、游客等的数量、时间、服装加以控制，方可能使治理效果维持较长时间。</w:t>
      </w:r>
    </w:p>
    <w:p>
      <w:pPr>
        <w:pStyle w:val="295"/>
        <w:spacing w:before="312" w:after="156"/>
        <w:rPr>
          <w:rFonts w:cs="仿宋" w:asciiTheme="minorEastAsia" w:hAnsiTheme="minorEastAsia" w:eastAsiaTheme="minorEastAsia"/>
          <w:sz w:val="28"/>
          <w:szCs w:val="28"/>
        </w:rPr>
      </w:pPr>
      <w:bookmarkStart w:id="406" w:name="_Toc70840928"/>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46</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微生物治理效果评估</w:t>
      </w:r>
      <w:bookmarkEnd w:id="406"/>
    </w:p>
    <w:tbl>
      <w:tblPr>
        <w:tblStyle w:val="4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268"/>
        <w:gridCol w:w="2410"/>
        <w:gridCol w:w="3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性质</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方法</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仪器</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视觉方面</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视觉检查照相、超近摄影。</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照相机</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44项石刻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显微镜评估</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微观观察</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便携显微镜</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菌群鉴定</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显微镜观察、分子生物学检测</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显微镜、测序仪器</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10处（5处为清洗后检测，5处为防霉剂喷涂后检测）</w:t>
            </w:r>
          </w:p>
        </w:tc>
      </w:tr>
    </w:tbl>
    <w:p>
      <w:pPr>
        <w:ind w:firstLine="480"/>
        <w:rPr>
          <w:rFonts w:cs="仿宋" w:asciiTheme="minorEastAsia" w:hAnsiTheme="minorEastAsia" w:eastAsiaTheme="minorEastAsia"/>
          <w:color w:val="FF0000"/>
          <w:sz w:val="28"/>
          <w:szCs w:val="28"/>
        </w:rPr>
      </w:pPr>
    </w:p>
    <w:p>
      <w:pPr>
        <w:pStyle w:val="5"/>
        <w:numPr>
          <w:ilvl w:val="2"/>
          <w:numId w:val="0"/>
        </w:numPr>
        <w:ind w:left="630"/>
        <w:rPr>
          <w:rFonts w:cs="仿宋" w:asciiTheme="minorEastAsia" w:hAnsiTheme="minorEastAsia" w:eastAsiaTheme="minorEastAsia"/>
          <w:color w:val="000000" w:themeColor="text1"/>
          <w14:textFill>
            <w14:solidFill>
              <w14:schemeClr w14:val="tx1"/>
            </w14:solidFill>
          </w14:textFill>
        </w:rPr>
      </w:pPr>
      <w:bookmarkStart w:id="407" w:name="_Toc72087985"/>
      <w:r>
        <w:rPr>
          <w:rFonts w:hint="eastAsia" w:cs="仿宋" w:asciiTheme="minorEastAsia" w:hAnsiTheme="minorEastAsia" w:eastAsiaTheme="minorEastAsia"/>
          <w:color w:val="000000" w:themeColor="text1"/>
          <w14:textFill>
            <w14:solidFill>
              <w14:schemeClr w14:val="tx1"/>
            </w14:solidFill>
          </w14:textFill>
        </w:rPr>
        <w:t>（3）石刻彩绘颜料层加固工作的基本要求</w:t>
      </w:r>
      <w:bookmarkEnd w:id="407"/>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①彩绘加固前要保证画面的干燥，以增加加固材料的渗透深度，如岩石较潮湿，可采用红外线进行烘干。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pStyle w:val="295"/>
        <w:spacing w:before="312" w:after="156"/>
        <w:rPr>
          <w:rFonts w:cs="仿宋" w:asciiTheme="minorEastAsia" w:hAnsiTheme="minorEastAsia" w:eastAsiaTheme="minorEastAsia"/>
          <w:sz w:val="28"/>
          <w:szCs w:val="28"/>
        </w:rPr>
      </w:pPr>
      <w:bookmarkStart w:id="408" w:name="_Toc70840929"/>
      <w:r>
        <w:rPr>
          <w:rFonts w:hint="eastAsia" w:cs="仿宋" w:asciiTheme="minorEastAsia" w:hAnsiTheme="minorEastAsia" w:eastAsiaTheme="minorEastAsia"/>
          <w:sz w:val="28"/>
          <w:szCs w:val="28"/>
        </w:rPr>
        <w:t xml:space="preserve">表 </w:t>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STYLEREF 1 \s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noBreakHyphen/>
      </w:r>
      <w:r>
        <w:rPr>
          <w:rFonts w:hint="eastAsia" w:cs="仿宋" w:asciiTheme="minorEastAsia" w:hAnsiTheme="minorEastAsia" w:eastAsiaTheme="minorEastAsia"/>
          <w:sz w:val="28"/>
          <w:szCs w:val="28"/>
        </w:rPr>
        <w:fldChar w:fldCharType="begin"/>
      </w:r>
      <w:r>
        <w:rPr>
          <w:rFonts w:hint="eastAsia" w:cs="仿宋" w:asciiTheme="minorEastAsia" w:hAnsiTheme="minorEastAsia" w:eastAsiaTheme="minorEastAsia"/>
          <w:sz w:val="28"/>
          <w:szCs w:val="28"/>
        </w:rPr>
        <w:instrText xml:space="preserve"> SEQ 表 \* ARABIC \s 1 </w:instrText>
      </w:r>
      <w:r>
        <w:rPr>
          <w:rFonts w:hint="eastAsia" w:cs="仿宋" w:asciiTheme="minorEastAsia" w:hAnsiTheme="minorEastAsia" w:eastAsiaTheme="minorEastAsia"/>
          <w:sz w:val="28"/>
          <w:szCs w:val="28"/>
        </w:rPr>
        <w:fldChar w:fldCharType="separate"/>
      </w:r>
      <w:r>
        <w:rPr>
          <w:rFonts w:hint="eastAsia" w:cs="仿宋" w:asciiTheme="minorEastAsia" w:hAnsiTheme="minorEastAsia" w:eastAsiaTheme="minorEastAsia"/>
          <w:sz w:val="28"/>
          <w:szCs w:val="28"/>
        </w:rPr>
        <w:t>47</w:t>
      </w:r>
      <w:r>
        <w:rPr>
          <w:rFonts w:hint="eastAsia" w:cs="仿宋" w:asciiTheme="minorEastAsia" w:hAnsiTheme="minorEastAsia" w:eastAsiaTheme="minorEastAsia"/>
          <w:sz w:val="28"/>
          <w:szCs w:val="28"/>
        </w:rPr>
        <w:fldChar w:fldCharType="end"/>
      </w:r>
      <w:r>
        <w:rPr>
          <w:rFonts w:hint="eastAsia" w:cs="仿宋" w:asciiTheme="minorEastAsia" w:hAnsiTheme="minorEastAsia" w:eastAsiaTheme="minorEastAsia"/>
          <w:sz w:val="28"/>
          <w:szCs w:val="28"/>
        </w:rPr>
        <w:t xml:space="preserve">  加固处理效果评估</w:t>
      </w:r>
      <w:bookmarkEnd w:id="408"/>
    </w:p>
    <w:tbl>
      <w:tblPr>
        <w:tblStyle w:val="4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268"/>
        <w:gridCol w:w="2410"/>
        <w:gridCol w:w="3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性质</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方法</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仪器</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颜色</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E计算</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色度仪</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6"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接触角</w:t>
            </w:r>
          </w:p>
        </w:tc>
        <w:tc>
          <w:tcPr>
            <w:tcW w:w="2268"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NORMAL 33/89</w:t>
            </w:r>
          </w:p>
        </w:tc>
        <w:tc>
          <w:tcPr>
            <w:tcW w:w="2410"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接触角测量</w:t>
            </w:r>
          </w:p>
        </w:tc>
        <w:tc>
          <w:tcPr>
            <w:tcW w:w="3651" w:type="dxa"/>
            <w:vAlign w:val="center"/>
          </w:tcPr>
          <w:p>
            <w:pPr>
              <w:pStyle w:val="296"/>
              <w:widowControl w:val="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30处</w:t>
            </w:r>
          </w:p>
        </w:tc>
      </w:tr>
    </w:tbl>
    <w:p>
      <w:pPr>
        <w:ind w:firstLine="480"/>
        <w:rPr>
          <w:rFonts w:cs="仿宋" w:asciiTheme="minorEastAsia" w:hAnsiTheme="minorEastAsia" w:eastAsiaTheme="minorEastAsia"/>
          <w:sz w:val="28"/>
          <w:szCs w:val="28"/>
        </w:rPr>
      </w:pPr>
    </w:p>
    <w:p>
      <w:pPr>
        <w:pStyle w:val="5"/>
        <w:numPr>
          <w:ilvl w:val="2"/>
          <w:numId w:val="0"/>
        </w:numPr>
        <w:ind w:left="630"/>
        <w:rPr>
          <w:rFonts w:cs="仿宋" w:asciiTheme="minorEastAsia" w:hAnsiTheme="minorEastAsia" w:eastAsiaTheme="minorEastAsia"/>
          <w:color w:val="000000" w:themeColor="text1"/>
          <w14:textFill>
            <w14:solidFill>
              <w14:schemeClr w14:val="tx1"/>
            </w14:solidFill>
          </w14:textFill>
        </w:rPr>
      </w:pPr>
      <w:bookmarkStart w:id="409" w:name="_Toc72087986"/>
      <w:r>
        <w:rPr>
          <w:rFonts w:hint="eastAsia" w:cs="仿宋" w:asciiTheme="minorEastAsia" w:hAnsiTheme="minorEastAsia" w:eastAsiaTheme="minorEastAsia"/>
          <w:color w:val="000000" w:themeColor="text1"/>
          <w14:textFill>
            <w14:solidFill>
              <w14:schemeClr w14:val="tx1"/>
            </w14:solidFill>
          </w14:textFill>
        </w:rPr>
        <w:t>（4）脱盐工作的基本要求</w:t>
      </w:r>
      <w:bookmarkEnd w:id="409"/>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①在脱盐过程中一定要使用去离子水，不可用矿泉水等用水进行替代。</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②对于表面结构疏松的石刻彩绘可采用雾化水淋洗法代替吸附脱盐法，让雾化水在空中慢慢地落在石质文物的表面，这种淋洗作用很轻柔，不会产生任何冲击作用。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脱盐处理检测已在“取样分析”中作以要求，此处不再赘述。</w:t>
      </w:r>
    </w:p>
    <w:p>
      <w:pPr>
        <w:pStyle w:val="5"/>
        <w:numPr>
          <w:ilvl w:val="2"/>
          <w:numId w:val="0"/>
        </w:numPr>
        <w:ind w:left="630"/>
        <w:rPr>
          <w:rFonts w:cs="仿宋" w:asciiTheme="minorEastAsia" w:hAnsiTheme="minorEastAsia" w:eastAsiaTheme="minorEastAsia"/>
          <w:color w:val="000000" w:themeColor="text1"/>
          <w14:textFill>
            <w14:solidFill>
              <w14:schemeClr w14:val="tx1"/>
            </w14:solidFill>
          </w14:textFill>
        </w:rPr>
      </w:pPr>
      <w:bookmarkStart w:id="410" w:name="_Toc72087987"/>
      <w:r>
        <w:rPr>
          <w:rFonts w:hint="eastAsia" w:cs="仿宋" w:asciiTheme="minorEastAsia" w:hAnsiTheme="minorEastAsia" w:eastAsiaTheme="minorEastAsia"/>
          <w:color w:val="000000" w:themeColor="text1"/>
          <w14:textFill>
            <w14:solidFill>
              <w14:schemeClr w14:val="tx1"/>
            </w14:solidFill>
          </w14:textFill>
        </w:rPr>
        <w:t>（5）金箔加固、回帖工作的基本要求</w:t>
      </w:r>
      <w:bookmarkEnd w:id="410"/>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①金箔加固、回帖前要保证表面的干燥，以增加加固材料的渗透深度，如表面较潮湿，可采用红外线进行烘干。</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②保护材料配制要求严格，必须由专门技术人员视具体情况按需配制，同时要严格控制药液用量及施工进度。</w:t>
      </w:r>
    </w:p>
    <w:p>
      <w:pPr>
        <w:ind w:firstLine="480"/>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sz w:val="28"/>
          <w:szCs w:val="28"/>
        </w:rPr>
        <w:t>③在对于金箔起甲部位回帖时，要注意按压力度，避免对其造成二次损害。</w:t>
      </w:r>
    </w:p>
    <w:p>
      <w:pPr>
        <w:spacing w:line="360" w:lineRule="auto"/>
        <w:ind w:left="630"/>
        <w:jc w:val="left"/>
        <w:rPr>
          <w:rFonts w:cs="仿宋" w:asciiTheme="minorEastAsia" w:hAnsiTheme="minorEastAsia" w:eastAsiaTheme="minorEastAsia"/>
          <w:b/>
          <w:bCs/>
          <w:sz w:val="28"/>
          <w:szCs w:val="28"/>
          <w:lang w:eastAsia="zh-Hans"/>
        </w:rPr>
      </w:pPr>
      <w:r>
        <w:rPr>
          <w:rFonts w:hint="eastAsia" w:cs="仿宋" w:asciiTheme="minorEastAsia" w:hAnsiTheme="minorEastAsia" w:eastAsiaTheme="minorEastAsia"/>
          <w:b/>
          <w:bCs/>
          <w:sz w:val="28"/>
          <w:szCs w:val="28"/>
        </w:rPr>
        <w:t>七、安全措施</w:t>
      </w:r>
    </w:p>
    <w:p>
      <w:pPr>
        <w:ind w:firstLine="564" w:firstLineChars="200"/>
        <w:rPr>
          <w:rFonts w:cs="仿宋" w:asciiTheme="minorEastAsia" w:hAnsiTheme="minorEastAsia" w:eastAsiaTheme="minorEastAsia"/>
          <w:spacing w:val="1"/>
          <w:kern w:val="0"/>
          <w:sz w:val="28"/>
          <w:szCs w:val="28"/>
        </w:rPr>
      </w:pPr>
      <w:r>
        <w:rPr>
          <w:rFonts w:hint="eastAsia" w:cs="仿宋" w:asciiTheme="minorEastAsia" w:hAnsiTheme="minorEastAsia" w:eastAsiaTheme="minorEastAsia"/>
          <w:spacing w:val="1"/>
          <w:kern w:val="0"/>
          <w:sz w:val="28"/>
          <w:szCs w:val="28"/>
        </w:rPr>
        <w:t>在保护修复现场，应避免因化学及生物材料的使用而造成的对人体及环境可能的危害。保护修复工作场所的空气质量应符合现行国家标准 GB/T 18883-2002的有关规定。保护修复操作过程中排放的污水须符合现行国家标准GB 8978-1996的相关规定。</w:t>
      </w:r>
    </w:p>
    <w:p>
      <w:pPr>
        <w:ind w:firstLine="484"/>
        <w:jc w:val="left"/>
        <w:rPr>
          <w:rFonts w:cs="仿宋" w:asciiTheme="minorEastAsia" w:hAnsiTheme="minorEastAsia" w:eastAsiaTheme="minorEastAsia"/>
          <w:spacing w:val="1"/>
          <w:kern w:val="0"/>
          <w:sz w:val="28"/>
          <w:szCs w:val="28"/>
        </w:rPr>
      </w:pPr>
      <w:r>
        <w:rPr>
          <w:rFonts w:hint="eastAsia" w:cs="仿宋" w:asciiTheme="minorEastAsia" w:hAnsiTheme="minorEastAsia" w:eastAsiaTheme="minorEastAsia"/>
          <w:spacing w:val="1"/>
          <w:kern w:val="0"/>
          <w:sz w:val="28"/>
          <w:szCs w:val="28"/>
        </w:rPr>
        <w:t>（1）人员安全</w:t>
      </w:r>
    </w:p>
    <w:p>
      <w:pPr>
        <w:ind w:firstLine="564" w:firstLineChars="200"/>
        <w:jc w:val="left"/>
        <w:rPr>
          <w:rFonts w:cs="仿宋" w:asciiTheme="minorEastAsia" w:hAnsiTheme="minorEastAsia" w:eastAsiaTheme="minorEastAsia"/>
          <w:spacing w:val="1"/>
          <w:kern w:val="0"/>
          <w:sz w:val="28"/>
          <w:szCs w:val="28"/>
        </w:rPr>
      </w:pPr>
      <w:r>
        <w:rPr>
          <w:rFonts w:hint="eastAsia" w:cs="仿宋" w:asciiTheme="minorEastAsia" w:hAnsiTheme="minorEastAsia" w:eastAsiaTheme="minorEastAsia"/>
          <w:spacing w:val="1"/>
          <w:kern w:val="0"/>
          <w:sz w:val="28"/>
          <w:szCs w:val="28"/>
        </w:rPr>
        <w:t>在保护修复现场应避免因化学及生物材料的使用而造成的对人体及环境可能的危害。如有可能，应在有效的通风设备及安全保障下操作。</w:t>
      </w:r>
    </w:p>
    <w:p>
      <w:pPr>
        <w:ind w:firstLine="484"/>
        <w:rPr>
          <w:rFonts w:cs="仿宋" w:asciiTheme="minorEastAsia" w:hAnsiTheme="minorEastAsia" w:eastAsiaTheme="minorEastAsia"/>
          <w:spacing w:val="1"/>
          <w:kern w:val="0"/>
          <w:sz w:val="28"/>
          <w:szCs w:val="28"/>
        </w:rPr>
      </w:pPr>
      <w:r>
        <w:rPr>
          <w:rFonts w:hint="eastAsia" w:cs="仿宋" w:asciiTheme="minorEastAsia" w:hAnsiTheme="minorEastAsia" w:eastAsiaTheme="minorEastAsia"/>
          <w:spacing w:val="1"/>
          <w:kern w:val="0"/>
          <w:sz w:val="28"/>
          <w:szCs w:val="28"/>
        </w:rPr>
        <w:t>（2）文物安全</w:t>
      </w:r>
    </w:p>
    <w:p>
      <w:p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要在有完善安防措施的保护修复设施内进行石质文物保护修复工作。但在实际工作也要以人防为主、技防为辅。且要建立安全责任制，落实到人。离开实验室检查水电是否已经关闭。购置不同规格的灭火器，建造消防沙坑，储备消防用水。确保石质文物在保护修复过程中，无安全隐患。文物在保护实验室内进行修复，修复工作暂停时要入文物保险柜内保存。</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此外严格挑选项目实施人员。还要确保文物搬移等运输过程中的安全。</w:t>
      </w:r>
    </w:p>
    <w:p>
      <w:pPr>
        <w:ind w:firstLine="48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（3）安全排放</w:t>
      </w:r>
    </w:p>
    <w:p>
      <w:pPr>
        <w:ind w:firstLine="560" w:firstLineChars="200"/>
        <w:rPr>
          <w:rFonts w:asciiTheme="minorEastAsia" w:hAnsiTheme="minorEastAsia" w:eastAsiaTheme="minorEastAsia"/>
          <w:b/>
          <w:bCs/>
          <w:sz w:val="28"/>
          <w:szCs w:val="28"/>
        </w:rPr>
      </w:pPr>
      <w:r>
        <w:rPr>
          <w:rFonts w:hint="eastAsia" w:cs="仿宋" w:asciiTheme="minorEastAsia" w:hAnsiTheme="minorEastAsia" w:eastAsiaTheme="minorEastAsia"/>
          <w:sz w:val="28"/>
          <w:szCs w:val="28"/>
        </w:rPr>
        <w:t>实验室配备有效的通风排放过滤等设备。尽量避免使用产生有害气体的材料，尽量减少产生有害排放液的化学生物材料的使用。尽量减少污水产生。保护修复工作场所的空气质量应符合现行国家标准 GB/T 18883-2002的有关规定。保护修复操作过程中排放的污水须符合现行国家标准 GB8978-1996。</w:t>
      </w:r>
    </w:p>
    <w:p>
      <w:pPr>
        <w:keepNext/>
        <w:keepLines/>
        <w:spacing w:line="360" w:lineRule="auto"/>
        <w:outlineLvl w:val="2"/>
        <w:rPr>
          <w:rFonts w:cs="仿宋" w:asciiTheme="minorEastAsia" w:hAnsiTheme="minorEastAsia" w:eastAsiaTheme="minorEastAsia"/>
          <w:b/>
          <w:bCs/>
          <w:sz w:val="28"/>
          <w:szCs w:val="28"/>
        </w:rPr>
      </w:pPr>
      <w:r>
        <w:rPr>
          <w:rFonts w:hint="eastAsia" w:asciiTheme="minorEastAsia" w:hAnsiTheme="minorEastAsia" w:eastAsiaTheme="minorEastAsia"/>
          <w:b/>
          <w:bCs/>
        </w:rPr>
        <w:t xml:space="preserve">  </w:t>
      </w:r>
      <w:r>
        <w:rPr>
          <w:rFonts w:hint="eastAsia" w:asciiTheme="minorEastAsia" w:hAnsiTheme="minorEastAsia" w:eastAsiaTheme="minorEastAsia"/>
          <w:b/>
          <w:bCs/>
          <w:color w:val="FF0000"/>
        </w:rPr>
        <w:t xml:space="preserve"> </w:t>
      </w:r>
      <w:r>
        <w:rPr>
          <w:rFonts w:hint="eastAsia" w:asciiTheme="minorEastAsia" w:hAnsiTheme="minorEastAsia" w:eastAsiaTheme="minorEastAsia"/>
          <w:b/>
          <w:bCs/>
        </w:rPr>
        <w:t xml:space="preserve"> </w:t>
      </w:r>
      <w:r>
        <w:rPr>
          <w:rFonts w:hint="eastAsia" w:cs="仿宋" w:asciiTheme="minorEastAsia" w:hAnsiTheme="minorEastAsia" w:eastAsiaTheme="minorEastAsia"/>
          <w:b/>
          <w:bCs/>
          <w:sz w:val="28"/>
          <w:szCs w:val="28"/>
        </w:rPr>
        <w:t>八、 人员要求</w:t>
      </w:r>
    </w:p>
    <w:p>
      <w:pPr>
        <w:pStyle w:val="22"/>
        <w:snapToGrid w:val="0"/>
        <w:spacing w:line="360" w:lineRule="auto"/>
        <w:ind w:firstLine="560" w:firstLineChars="200"/>
        <w:jc w:val="left"/>
        <w:rPr>
          <w:rFonts w:cs="仿宋" w:asciiTheme="minorEastAsia" w:hAnsiTheme="minorEastAsia" w:eastAsiaTheme="minorEastAsia"/>
          <w:color w:val="000000" w:themeColor="text1"/>
          <w:kern w:val="2"/>
          <w:sz w:val="28"/>
          <w:szCs w:val="28"/>
          <w:highlight w:val="none"/>
          <w14:textFill>
            <w14:solidFill>
              <w14:schemeClr w14:val="tx1"/>
            </w14:solidFill>
          </w14:textFill>
        </w:rPr>
      </w:pPr>
      <w:r>
        <w:rPr>
          <w:rFonts w:hint="eastAsia" w:cs="仿宋" w:asciiTheme="minorEastAsia" w:hAnsiTheme="minorEastAsia" w:eastAsiaTheme="minorEastAsia"/>
          <w:color w:val="000000" w:themeColor="text1"/>
          <w:kern w:val="2"/>
          <w:sz w:val="28"/>
          <w:szCs w:val="28"/>
          <w:highlight w:val="none"/>
          <w14:textFill>
            <w14:solidFill>
              <w14:schemeClr w14:val="tx1"/>
            </w14:solidFill>
          </w14:textFill>
        </w:rPr>
        <w:t>1、本项目需配备项目负责人1人</w:t>
      </w:r>
      <w:r>
        <w:rPr>
          <w:rFonts w:hint="eastAsia" w:cs="仿宋" w:asciiTheme="minorEastAsia" w:hAnsiTheme="minorEastAsia" w:eastAsiaTheme="minorEastAsia"/>
          <w:color w:val="000000" w:themeColor="text1"/>
          <w:kern w:val="2"/>
          <w:sz w:val="28"/>
          <w:szCs w:val="28"/>
          <w:highlight w:val="none"/>
          <w:lang w:val="en-US" w:eastAsia="zh-CN"/>
          <w14:textFill>
            <w14:solidFill>
              <w14:schemeClr w14:val="tx1"/>
            </w14:solidFill>
          </w14:textFill>
        </w:rPr>
        <w:t>，需具备文博专业副高级及以上职称</w:t>
      </w:r>
      <w:r>
        <w:rPr>
          <w:rFonts w:hint="eastAsia" w:cs="仿宋" w:asciiTheme="minorEastAsia" w:hAnsiTheme="minorEastAsia" w:eastAsiaTheme="minorEastAsia"/>
          <w:color w:val="000000" w:themeColor="text1"/>
          <w:kern w:val="2"/>
          <w:sz w:val="28"/>
          <w:szCs w:val="28"/>
          <w:highlight w:val="none"/>
          <w:lang w:eastAsia="zh-CN"/>
          <w14:textFill>
            <w14:solidFill>
              <w14:schemeClr w14:val="tx1"/>
            </w14:solidFill>
          </w14:textFill>
        </w:rPr>
        <w:t>；</w:t>
      </w:r>
      <w:r>
        <w:rPr>
          <w:rFonts w:hint="eastAsia" w:cs="仿宋" w:asciiTheme="minorEastAsia" w:hAnsiTheme="minorEastAsia" w:eastAsiaTheme="minorEastAsia"/>
          <w:color w:val="000000" w:themeColor="text1"/>
          <w:kern w:val="2"/>
          <w:sz w:val="28"/>
          <w:szCs w:val="28"/>
          <w:highlight w:val="none"/>
          <w14:textFill>
            <w14:solidFill>
              <w14:schemeClr w14:val="tx1"/>
            </w14:solidFill>
          </w14:textFill>
        </w:rPr>
        <w:t>技术负责人1人，</w:t>
      </w:r>
      <w:r>
        <w:rPr>
          <w:rFonts w:hint="eastAsia" w:cs="仿宋" w:asciiTheme="minorEastAsia" w:hAnsiTheme="minorEastAsia" w:eastAsiaTheme="minorEastAsia"/>
          <w:color w:val="000000" w:themeColor="text1"/>
          <w:kern w:val="2"/>
          <w:sz w:val="28"/>
          <w:szCs w:val="28"/>
          <w:highlight w:val="none"/>
          <w:lang w:eastAsia="zh-CN"/>
          <w14:textFill>
            <w14:solidFill>
              <w14:schemeClr w14:val="tx1"/>
            </w14:solidFill>
          </w14:textFill>
        </w:rPr>
        <w:t>需具备文博专业中级及以上职称；</w:t>
      </w:r>
      <w:r>
        <w:rPr>
          <w:rFonts w:hint="eastAsia" w:cs="仿宋" w:asciiTheme="minorEastAsia" w:hAnsiTheme="minorEastAsia" w:eastAsiaTheme="minorEastAsia"/>
          <w:color w:val="000000" w:themeColor="text1"/>
          <w:kern w:val="2"/>
          <w:sz w:val="28"/>
          <w:szCs w:val="28"/>
          <w:highlight w:val="none"/>
          <w14:textFill>
            <w14:solidFill>
              <w14:schemeClr w14:val="tx1"/>
            </w14:solidFill>
          </w14:textFill>
        </w:rPr>
        <w:t>主要修复人员不少于</w:t>
      </w:r>
      <w:r>
        <w:rPr>
          <w:rFonts w:hint="eastAsia" w:cs="仿宋" w:asciiTheme="minorEastAsia" w:hAnsiTheme="minorEastAsia" w:eastAsiaTheme="minorEastAsia"/>
          <w:color w:val="000000" w:themeColor="text1"/>
          <w:kern w:val="2"/>
          <w:sz w:val="28"/>
          <w:szCs w:val="28"/>
          <w:highlight w:val="none"/>
          <w:lang w:val="en-US" w:eastAsia="zh-CN"/>
          <w14:textFill>
            <w14:solidFill>
              <w14:schemeClr w14:val="tx1"/>
            </w14:solidFill>
          </w14:textFill>
        </w:rPr>
        <w:t>6</w:t>
      </w:r>
      <w:r>
        <w:rPr>
          <w:rFonts w:hint="eastAsia" w:cs="仿宋" w:asciiTheme="minorEastAsia" w:hAnsiTheme="minorEastAsia" w:eastAsiaTheme="minorEastAsia"/>
          <w:color w:val="000000" w:themeColor="text1"/>
          <w:kern w:val="2"/>
          <w:sz w:val="28"/>
          <w:szCs w:val="28"/>
          <w:highlight w:val="none"/>
          <w14:textFill>
            <w14:solidFill>
              <w14:schemeClr w14:val="tx1"/>
            </w14:solidFill>
          </w14:textFill>
        </w:rPr>
        <w:t>人</w:t>
      </w:r>
      <w:r>
        <w:rPr>
          <w:rFonts w:hint="eastAsia" w:cs="仿宋" w:asciiTheme="minorEastAsia" w:hAnsiTheme="minorEastAsia" w:eastAsiaTheme="minorEastAsia"/>
          <w:color w:val="000000" w:themeColor="text1"/>
          <w:kern w:val="2"/>
          <w:sz w:val="28"/>
          <w:szCs w:val="28"/>
          <w:highlight w:val="none"/>
          <w:lang w:eastAsia="zh-CN"/>
          <w14:textFill>
            <w14:solidFill>
              <w14:schemeClr w14:val="tx1"/>
            </w14:solidFill>
          </w14:textFill>
        </w:rPr>
        <w:t>，需具备文博专业初级及以上职称</w:t>
      </w:r>
      <w:r>
        <w:rPr>
          <w:rFonts w:hint="eastAsia" w:cs="仿宋" w:asciiTheme="minorEastAsia" w:hAnsiTheme="minorEastAsia" w:eastAsiaTheme="minorEastAsia"/>
          <w:color w:val="000000" w:themeColor="text1"/>
          <w:kern w:val="2"/>
          <w:sz w:val="28"/>
          <w:szCs w:val="28"/>
          <w:highlight w:val="none"/>
          <w14:textFill>
            <w14:solidFill>
              <w14:schemeClr w14:val="tx1"/>
            </w14:solidFill>
          </w14:textFill>
        </w:rPr>
        <w:t>。</w:t>
      </w:r>
    </w:p>
    <w:p>
      <w:pPr>
        <w:pStyle w:val="22"/>
        <w:snapToGrid w:val="0"/>
        <w:spacing w:line="360" w:lineRule="auto"/>
        <w:ind w:firstLine="560" w:firstLineChars="200"/>
        <w:jc w:val="left"/>
        <w:rPr>
          <w:rFonts w:cs="宋体" w:asciiTheme="minorEastAsia" w:hAnsiTheme="minorEastAsia" w:eastAsiaTheme="minorEastAsia"/>
          <w:b/>
          <w:bCs/>
          <w:kern w:val="2"/>
          <w:sz w:val="28"/>
          <w:szCs w:val="28"/>
        </w:rPr>
      </w:pPr>
      <w:r>
        <w:rPr>
          <w:rFonts w:hint="eastAsia" w:cs="仿宋" w:asciiTheme="minorEastAsia" w:hAnsiTheme="minorEastAsia" w:eastAsiaTheme="minorEastAsia"/>
          <w:kern w:val="2"/>
          <w:sz w:val="28"/>
          <w:szCs w:val="28"/>
        </w:rPr>
        <w:t>2、</w:t>
      </w:r>
      <w:r>
        <w:rPr>
          <w:rFonts w:hint="eastAsia" w:cs="仿宋" w:asciiTheme="minorEastAsia" w:hAnsiTheme="minorEastAsia" w:eastAsiaTheme="minorEastAsia"/>
          <w:sz w:val="28"/>
          <w:szCs w:val="28"/>
          <w:shd w:val="clear" w:color="auto" w:fill="FFFFFF"/>
          <w:lang w:bidi="ar"/>
        </w:rPr>
        <w:t>▲</w:t>
      </w:r>
      <w:r>
        <w:rPr>
          <w:rFonts w:hint="eastAsia" w:cs="仿宋" w:asciiTheme="minorEastAsia" w:hAnsiTheme="minorEastAsia" w:eastAsiaTheme="minorEastAsia"/>
          <w:kern w:val="2"/>
          <w:sz w:val="28"/>
          <w:szCs w:val="28"/>
        </w:rPr>
        <w:t>投标人须在投标文件中承诺派出的项目负责人、技术负责人、主要修复人员必须实际参与到本项目。如因实际情况需要更换相应岗位中的人员，必须按照投标人所提供的投标文件中响应或承诺的同专业同级别职称的人员进行替换，且必须经过采购人同意。</w:t>
      </w:r>
      <w:r>
        <w:rPr>
          <w:rFonts w:hint="eastAsia" w:cs="宋体" w:asciiTheme="minorEastAsia" w:hAnsiTheme="minorEastAsia" w:eastAsiaTheme="minorEastAsia"/>
          <w:b/>
          <w:bCs/>
          <w:kern w:val="2"/>
          <w:sz w:val="28"/>
          <w:szCs w:val="28"/>
        </w:rPr>
        <w:t>（说明：投标人</w:t>
      </w:r>
      <w:r>
        <w:rPr>
          <w:rFonts w:hint="eastAsia" w:cs="宋体" w:asciiTheme="minorEastAsia" w:hAnsiTheme="minorEastAsia" w:eastAsiaTheme="minorEastAsia"/>
          <w:b/>
          <w:bCs/>
          <w:kern w:val="2"/>
          <w:sz w:val="28"/>
          <w:szCs w:val="28"/>
          <w:lang w:val="zh-CN"/>
        </w:rPr>
        <w:t>应按招标文件</w:t>
      </w:r>
      <w:r>
        <w:rPr>
          <w:rFonts w:hint="eastAsia" w:cs="宋体" w:asciiTheme="minorEastAsia" w:hAnsiTheme="minorEastAsia" w:eastAsiaTheme="minorEastAsia"/>
          <w:b/>
          <w:bCs/>
          <w:kern w:val="2"/>
          <w:sz w:val="28"/>
          <w:szCs w:val="28"/>
        </w:rPr>
        <w:t>3.3.6</w:t>
      </w:r>
      <w:r>
        <w:rPr>
          <w:rFonts w:hint="eastAsia" w:cs="宋体" w:asciiTheme="minorEastAsia" w:hAnsiTheme="minorEastAsia" w:eastAsiaTheme="minorEastAsia"/>
          <w:b/>
          <w:bCs/>
          <w:kern w:val="2"/>
          <w:sz w:val="28"/>
          <w:szCs w:val="28"/>
          <w:lang w:val="zh-CN"/>
        </w:rPr>
        <w:t>承诺函的格式及要求提供承诺函</w:t>
      </w:r>
      <w:r>
        <w:rPr>
          <w:rFonts w:hint="eastAsia" w:cs="宋体" w:asciiTheme="minorEastAsia" w:hAnsiTheme="minorEastAsia" w:eastAsiaTheme="minorEastAsia"/>
          <w:b/>
          <w:bCs/>
          <w:kern w:val="2"/>
          <w:sz w:val="28"/>
          <w:szCs w:val="28"/>
        </w:rPr>
        <w:t>）</w:t>
      </w:r>
    </w:p>
    <w:p>
      <w:pPr>
        <w:pStyle w:val="22"/>
        <w:snapToGrid w:val="0"/>
        <w:spacing w:line="360" w:lineRule="auto"/>
        <w:ind w:firstLine="560" w:firstLineChars="200"/>
        <w:jc w:val="left"/>
        <w:rPr>
          <w:rFonts w:hint="eastAsia" w:cs="仿宋" w:asciiTheme="minorEastAsia" w:hAnsiTheme="minorEastAsia" w:eastAsiaTheme="minorEastAsia"/>
          <w:kern w:val="2"/>
          <w:sz w:val="28"/>
          <w:szCs w:val="28"/>
          <w:lang w:val="en-US" w:eastAsia="zh-CN" w:bidi="ar-SA"/>
        </w:rPr>
      </w:pPr>
      <w:r>
        <w:rPr>
          <w:rFonts w:hint="eastAsia" w:cs="仿宋" w:asciiTheme="minorEastAsia" w:hAnsiTheme="minorEastAsia" w:eastAsiaTheme="minorEastAsia"/>
          <w:kern w:val="2"/>
          <w:sz w:val="28"/>
          <w:szCs w:val="28"/>
          <w:lang w:val="en-US" w:eastAsia="zh-CN" w:bidi="ar-SA"/>
        </w:rPr>
        <w:t>3、</w:t>
      </w:r>
      <w:r>
        <w:rPr>
          <w:rFonts w:hint="eastAsia" w:cs="仿宋" w:asciiTheme="minorEastAsia" w:hAnsiTheme="minorEastAsia" w:eastAsiaTheme="minorEastAsia"/>
          <w:sz w:val="28"/>
          <w:szCs w:val="28"/>
          <w:shd w:val="clear" w:color="auto" w:fill="FFFFFF"/>
          <w:lang w:bidi="ar"/>
        </w:rPr>
        <w:t>▲</w:t>
      </w:r>
      <w:r>
        <w:rPr>
          <w:rFonts w:hint="eastAsia" w:cs="仿宋" w:asciiTheme="minorEastAsia" w:hAnsiTheme="minorEastAsia" w:eastAsiaTheme="minorEastAsia"/>
          <w:kern w:val="2"/>
          <w:sz w:val="28"/>
          <w:szCs w:val="28"/>
          <w:lang w:val="en-US" w:eastAsia="zh-CN" w:bidi="ar-SA"/>
        </w:rPr>
        <w:t>合同签订前，中标人将项目负责人、技术负责人、主要修复人员的资质证书送采购人进行核验。</w:t>
      </w:r>
      <w:r>
        <w:rPr>
          <w:rFonts w:hint="eastAsia" w:cs="宋体" w:asciiTheme="minorEastAsia" w:hAnsiTheme="minorEastAsia" w:eastAsiaTheme="minorEastAsia"/>
          <w:b/>
          <w:bCs/>
          <w:kern w:val="2"/>
          <w:sz w:val="28"/>
          <w:szCs w:val="28"/>
        </w:rPr>
        <w:t>（说明：投标人</w:t>
      </w:r>
      <w:r>
        <w:rPr>
          <w:rFonts w:hint="eastAsia" w:cs="宋体" w:asciiTheme="minorEastAsia" w:hAnsiTheme="minorEastAsia" w:eastAsiaTheme="minorEastAsia"/>
          <w:b/>
          <w:bCs/>
          <w:kern w:val="2"/>
          <w:sz w:val="28"/>
          <w:szCs w:val="28"/>
          <w:lang w:val="zh-CN"/>
        </w:rPr>
        <w:t>应按招标文件</w:t>
      </w:r>
      <w:r>
        <w:rPr>
          <w:rFonts w:hint="eastAsia" w:cs="宋体" w:asciiTheme="minorEastAsia" w:hAnsiTheme="minorEastAsia" w:eastAsiaTheme="minorEastAsia"/>
          <w:b/>
          <w:bCs/>
          <w:kern w:val="2"/>
          <w:sz w:val="28"/>
          <w:szCs w:val="28"/>
        </w:rPr>
        <w:t>3.3.6</w:t>
      </w:r>
      <w:r>
        <w:rPr>
          <w:rFonts w:hint="eastAsia" w:cs="宋体" w:asciiTheme="minorEastAsia" w:hAnsiTheme="minorEastAsia" w:eastAsiaTheme="minorEastAsia"/>
          <w:b/>
          <w:bCs/>
          <w:kern w:val="2"/>
          <w:sz w:val="28"/>
          <w:szCs w:val="28"/>
          <w:lang w:val="zh-CN"/>
        </w:rPr>
        <w:t>承诺函的格式及要求提供承诺函</w:t>
      </w:r>
      <w:r>
        <w:rPr>
          <w:rFonts w:hint="eastAsia" w:cs="宋体" w:asciiTheme="minorEastAsia" w:hAnsiTheme="minorEastAsia" w:eastAsiaTheme="minorEastAsia"/>
          <w:b/>
          <w:bCs/>
          <w:kern w:val="2"/>
          <w:sz w:val="28"/>
          <w:szCs w:val="28"/>
        </w:rPr>
        <w:t>）</w:t>
      </w:r>
    </w:p>
    <w:bookmarkEnd w:id="155"/>
    <w:p>
      <w:pPr>
        <w:pStyle w:val="4"/>
        <w:numPr>
          <w:ilvl w:val="1"/>
          <w:numId w:val="0"/>
        </w:numPr>
        <w:tabs>
          <w:tab w:val="left" w:pos="426"/>
          <w:tab w:val="left" w:pos="567"/>
        </w:tabs>
        <w:spacing w:before="0" w:after="0"/>
        <w:jc w:val="both"/>
        <w:rPr>
          <w:rFonts w:asciiTheme="minorEastAsia" w:hAnsiTheme="minorEastAsia" w:eastAsiaTheme="minorEastAsia"/>
        </w:rPr>
      </w:pPr>
      <w:bookmarkStart w:id="411" w:name="_Toc70684293"/>
      <w:bookmarkStart w:id="412" w:name="_Toc68097752"/>
      <w:bookmarkStart w:id="413" w:name="_Toc15962"/>
      <w:r>
        <w:rPr>
          <w:rFonts w:hint="eastAsia" w:cs="仿宋" w:asciiTheme="minorEastAsia" w:hAnsiTheme="minorEastAsia" w:eastAsiaTheme="minorEastAsia"/>
          <w:kern w:val="0"/>
          <w:shd w:val="clear" w:color="auto" w:fill="FFFFFF"/>
          <w:lang w:bidi="ar"/>
        </w:rPr>
        <w:t>▲</w:t>
      </w:r>
      <w:r>
        <w:rPr>
          <w:rFonts w:hint="eastAsia" w:cs="Times New Roman" w:asciiTheme="minorEastAsia" w:hAnsiTheme="minorEastAsia" w:eastAsiaTheme="minorEastAsia"/>
        </w:rPr>
        <w:t>4.3</w:t>
      </w:r>
      <w:r>
        <w:rPr>
          <w:rFonts w:hint="eastAsia" w:asciiTheme="minorEastAsia" w:hAnsiTheme="minorEastAsia" w:eastAsiaTheme="minorEastAsia"/>
        </w:rPr>
        <w:t>商务要求</w:t>
      </w:r>
      <w:bookmarkEnd w:id="411"/>
      <w:bookmarkEnd w:id="412"/>
      <w:bookmarkEnd w:id="413"/>
      <w:r>
        <w:rPr>
          <w:rFonts w:hint="eastAsia" w:asciiTheme="minorEastAsia" w:hAnsiTheme="minorEastAsia" w:eastAsiaTheme="minorEastAsia"/>
          <w:lang w:eastAsia="zh-CN"/>
        </w:rPr>
        <w:t>及其他要求</w:t>
      </w:r>
      <w:r>
        <w:rPr>
          <w:rFonts w:hint="eastAsia" w:asciiTheme="minorEastAsia" w:hAnsiTheme="minorEastAsia" w:eastAsiaTheme="minorEastAsia"/>
        </w:rPr>
        <w:t>（实质性要求）（</w:t>
      </w:r>
      <w:r>
        <w:rPr>
          <w:rFonts w:hint="eastAsia" w:asciiTheme="minorEastAsia" w:hAnsiTheme="minorEastAsia" w:eastAsiaTheme="minorEastAsia"/>
          <w:lang w:val="zh-CN"/>
        </w:rPr>
        <w:t>说明：投标人应按招标文件</w:t>
      </w:r>
      <w:r>
        <w:rPr>
          <w:rFonts w:hint="eastAsia" w:asciiTheme="minorEastAsia" w:hAnsiTheme="minorEastAsia" w:eastAsiaTheme="minorEastAsia"/>
        </w:rPr>
        <w:t>3.3.6</w:t>
      </w:r>
      <w:r>
        <w:rPr>
          <w:rFonts w:hint="eastAsia" w:asciiTheme="minorEastAsia" w:hAnsiTheme="minorEastAsia" w:eastAsiaTheme="minorEastAsia"/>
          <w:lang w:val="zh-CN"/>
        </w:rPr>
        <w:t>承诺函的格式及要求提供承诺函</w:t>
      </w:r>
      <w:r>
        <w:rPr>
          <w:rFonts w:hint="eastAsia" w:asciiTheme="minorEastAsia" w:hAnsiTheme="minorEastAsia" w:eastAsiaTheme="minorEastAsia"/>
        </w:rPr>
        <w:t>）</w:t>
      </w:r>
    </w:p>
    <w:p>
      <w:pPr>
        <w:keepNext/>
        <w:keepLines/>
        <w:spacing w:line="360" w:lineRule="auto"/>
        <w:outlineLvl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4.3.1服务地点</w:t>
      </w:r>
    </w:p>
    <w:p>
      <w:pPr>
        <w:spacing w:line="440" w:lineRule="exact"/>
        <w:ind w:firstLine="560" w:firstLineChars="20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采购人提供修复场地以及文物的安全保卫工作。投标人应在采购人指定修复场地开展文物修复工作。</w:t>
      </w:r>
    </w:p>
    <w:p>
      <w:pPr>
        <w:spacing w:line="360" w:lineRule="auto"/>
        <w:rPr>
          <w:rFonts w:asciiTheme="minorEastAsia" w:hAnsiTheme="minorEastAsia" w:eastAsiaTheme="minorEastAsia"/>
          <w:color w:val="000000" w:themeColor="text1"/>
          <w:sz w:val="28"/>
          <w14:textFill>
            <w14:solidFill>
              <w14:schemeClr w14:val="tx1"/>
            </w14:solidFill>
          </w14:textFill>
        </w:rPr>
      </w:pPr>
    </w:p>
    <w:p>
      <w:pPr>
        <w:keepNext/>
        <w:keepLines/>
        <w:spacing w:line="360" w:lineRule="auto"/>
        <w:outlineLvl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4.3.2服务期限</w:t>
      </w:r>
    </w:p>
    <w:p>
      <w:pPr>
        <w:spacing w:line="360" w:lineRule="auto"/>
        <w:rPr>
          <w:rFonts w:asciiTheme="minorEastAsia" w:hAnsiTheme="minorEastAsia" w:eastAsiaTheme="minorEastAsia"/>
          <w:sz w:val="28"/>
        </w:rPr>
      </w:pPr>
      <w:r>
        <w:rPr>
          <w:rFonts w:hint="eastAsia" w:asciiTheme="minorEastAsia" w:hAnsiTheme="minorEastAsia" w:eastAsiaTheme="minorEastAsia"/>
          <w:sz w:val="28"/>
        </w:rPr>
        <w:t>合同签订后1年。</w:t>
      </w:r>
    </w:p>
    <w:p>
      <w:pPr>
        <w:keepNext/>
        <w:keepLines/>
        <w:spacing w:line="360" w:lineRule="auto"/>
        <w:outlineLvl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4.3.3付款方式及时间</w:t>
      </w:r>
    </w:p>
    <w:p>
      <w:pPr>
        <w:spacing w:line="360" w:lineRule="auto"/>
        <w:ind w:right="240" w:firstLine="560" w:firstLineChars="200"/>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本项目按实施进度分期付款。</w:t>
      </w:r>
    </w:p>
    <w:p>
      <w:pPr>
        <w:spacing w:line="360" w:lineRule="auto"/>
        <w:ind w:right="240" w:firstLine="560" w:firstLineChars="200"/>
        <w:jc w:val="left"/>
        <w:rPr>
          <w:rFonts w:hint="eastAsia" w:cs="仿宋" w:asciiTheme="minorEastAsia" w:hAnsiTheme="minorEastAsia" w:eastAsiaTheme="minorEastAsia"/>
          <w:sz w:val="28"/>
          <w:szCs w:val="28"/>
        </w:rPr>
      </w:pPr>
      <w:r>
        <w:rPr>
          <w:rFonts w:hint="eastAsia" w:cs="仿宋" w:asciiTheme="minorEastAsia" w:hAnsiTheme="minorEastAsia" w:eastAsiaTheme="minorEastAsia"/>
          <w:sz w:val="28"/>
          <w:szCs w:val="28"/>
        </w:rPr>
        <w:t>首期付款：合同签订后，投标人凭付款申请书和发票向采购人办理合同总价20%的首期服务款结算手续；</w:t>
      </w:r>
    </w:p>
    <w:p>
      <w:pPr>
        <w:spacing w:line="360" w:lineRule="auto"/>
        <w:ind w:right="240" w:firstLine="560" w:firstLineChars="200"/>
        <w:jc w:val="left"/>
        <w:rPr>
          <w:rFonts w:hint="eastAsia" w:cs="仿宋" w:asciiTheme="minorEastAsia" w:hAnsiTheme="minorEastAsia" w:eastAsiaTheme="minorEastAsia"/>
          <w:sz w:val="28"/>
          <w:szCs w:val="28"/>
        </w:rPr>
      </w:pPr>
      <w:r>
        <w:rPr>
          <w:rFonts w:hint="eastAsia" w:cs="仿宋" w:asciiTheme="minorEastAsia" w:hAnsiTheme="minorEastAsia" w:eastAsiaTheme="minorEastAsia"/>
          <w:sz w:val="28"/>
          <w:szCs w:val="28"/>
        </w:rPr>
        <w:t>进度款项付款：项目通过采购人组织的中期验收后</w:t>
      </w:r>
      <w:r>
        <w:rPr>
          <w:rFonts w:hint="eastAsia" w:cs="仿宋" w:asciiTheme="minorEastAsia" w:hAnsiTheme="minorEastAsia" w:eastAsiaTheme="minorEastAsia"/>
          <w:sz w:val="28"/>
          <w:szCs w:val="28"/>
          <w:lang w:eastAsia="zh-CN"/>
        </w:rPr>
        <w:t>（</w:t>
      </w:r>
      <w:r>
        <w:rPr>
          <w:rFonts w:hint="eastAsia" w:cs="仿宋" w:asciiTheme="minorEastAsia" w:hAnsiTheme="minorEastAsia" w:eastAsiaTheme="minorEastAsia"/>
          <w:sz w:val="28"/>
          <w:szCs w:val="28"/>
          <w:lang w:val="en-US" w:eastAsia="zh-CN"/>
        </w:rPr>
        <w:t>完成修复总量的50%</w:t>
      </w:r>
      <w:r>
        <w:rPr>
          <w:rFonts w:hint="eastAsia" w:cs="仿宋" w:asciiTheme="minorEastAsia" w:hAnsiTheme="minorEastAsia" w:eastAsiaTheme="minorEastAsia"/>
          <w:sz w:val="28"/>
          <w:szCs w:val="28"/>
          <w:lang w:eastAsia="zh-CN"/>
        </w:rPr>
        <w:t>）</w:t>
      </w:r>
      <w:r>
        <w:rPr>
          <w:rFonts w:hint="eastAsia" w:cs="仿宋" w:asciiTheme="minorEastAsia" w:hAnsiTheme="minorEastAsia" w:eastAsiaTheme="minorEastAsia"/>
          <w:sz w:val="28"/>
          <w:szCs w:val="28"/>
        </w:rPr>
        <w:t>，采购人支付合同总价</w:t>
      </w:r>
      <w:r>
        <w:rPr>
          <w:rFonts w:hint="eastAsia" w:cs="仿宋" w:asciiTheme="minorEastAsia" w:hAnsiTheme="minorEastAsia" w:eastAsiaTheme="minorEastAsia"/>
          <w:sz w:val="28"/>
          <w:szCs w:val="28"/>
          <w:lang w:val="en-US" w:eastAsia="zh-CN"/>
        </w:rPr>
        <w:t>25</w:t>
      </w:r>
      <w:r>
        <w:rPr>
          <w:rFonts w:hint="eastAsia" w:cs="仿宋" w:asciiTheme="minorEastAsia" w:hAnsiTheme="minorEastAsia" w:eastAsiaTheme="minorEastAsia"/>
          <w:sz w:val="28"/>
          <w:szCs w:val="28"/>
        </w:rPr>
        <w:t>%的进度款。投标人凭中期验收报告、付款申请书和发票向采购人办理进度款结算手续；完成所有文物的保护修复工作、经采购人组织专家验收通过，投标人凭付款申请书和发票向采购人办理合同总价</w:t>
      </w:r>
      <w:r>
        <w:rPr>
          <w:rFonts w:hint="eastAsia" w:cs="仿宋" w:asciiTheme="minorEastAsia" w:hAnsiTheme="minorEastAsia" w:eastAsiaTheme="minorEastAsia"/>
          <w:sz w:val="28"/>
          <w:szCs w:val="28"/>
          <w:lang w:val="en-US" w:eastAsia="zh-CN"/>
        </w:rPr>
        <w:t>25</w:t>
      </w:r>
      <w:r>
        <w:rPr>
          <w:rFonts w:hint="eastAsia" w:cs="仿宋" w:asciiTheme="minorEastAsia" w:hAnsiTheme="minorEastAsia" w:eastAsiaTheme="minorEastAsia"/>
          <w:sz w:val="28"/>
          <w:szCs w:val="28"/>
        </w:rPr>
        <w:t>%的结算手续。</w:t>
      </w:r>
    </w:p>
    <w:p>
      <w:pPr>
        <w:spacing w:line="360" w:lineRule="auto"/>
        <w:ind w:right="240" w:firstLine="560" w:firstLineChars="200"/>
        <w:jc w:val="left"/>
        <w:rPr>
          <w:rFonts w:hint="eastAsia" w:cs="仿宋" w:asciiTheme="minorEastAsia" w:hAnsiTheme="minorEastAsia" w:eastAsiaTheme="minorEastAsia"/>
          <w:sz w:val="28"/>
          <w:szCs w:val="28"/>
        </w:rPr>
      </w:pPr>
      <w:r>
        <w:rPr>
          <w:rFonts w:hint="eastAsia" w:cs="仿宋" w:asciiTheme="minorEastAsia" w:hAnsiTheme="minorEastAsia" w:eastAsiaTheme="minorEastAsia"/>
          <w:sz w:val="28"/>
          <w:szCs w:val="28"/>
        </w:rPr>
        <w:t>完成文物搬迁、组装</w:t>
      </w:r>
      <w:r>
        <w:rPr>
          <w:rFonts w:hint="eastAsia" w:cs="仿宋" w:asciiTheme="minorEastAsia" w:hAnsiTheme="minorEastAsia" w:eastAsiaTheme="minorEastAsia"/>
          <w:sz w:val="28"/>
          <w:szCs w:val="28"/>
          <w:lang w:eastAsia="zh-CN"/>
        </w:rPr>
        <w:t>，</w:t>
      </w:r>
      <w:r>
        <w:rPr>
          <w:rFonts w:hint="eastAsia" w:cs="仿宋" w:asciiTheme="minorEastAsia" w:hAnsiTheme="minorEastAsia" w:eastAsiaTheme="minorEastAsia"/>
          <w:sz w:val="28"/>
          <w:szCs w:val="28"/>
        </w:rPr>
        <w:t>虚拟修复</w:t>
      </w:r>
      <w:r>
        <w:rPr>
          <w:rFonts w:hint="eastAsia" w:cs="仿宋" w:asciiTheme="minorEastAsia" w:hAnsiTheme="minorEastAsia" w:eastAsiaTheme="minorEastAsia"/>
          <w:sz w:val="28"/>
          <w:szCs w:val="28"/>
          <w:lang w:val="en-US" w:eastAsia="zh-CN"/>
        </w:rPr>
        <w:t>和精细化扫描</w:t>
      </w:r>
      <w:r>
        <w:rPr>
          <w:rFonts w:hint="eastAsia" w:cs="仿宋" w:asciiTheme="minorEastAsia" w:hAnsiTheme="minorEastAsia" w:eastAsiaTheme="minorEastAsia"/>
          <w:sz w:val="28"/>
          <w:szCs w:val="28"/>
        </w:rPr>
        <w:t>，项目通过市级验收</w:t>
      </w:r>
      <w:r>
        <w:rPr>
          <w:rFonts w:hint="eastAsia" w:cs="仿宋" w:asciiTheme="minorEastAsia" w:hAnsiTheme="minorEastAsia" w:eastAsiaTheme="minorEastAsia"/>
          <w:sz w:val="28"/>
          <w:szCs w:val="28"/>
          <w:lang w:val="en-US" w:eastAsia="zh-CN"/>
        </w:rPr>
        <w:t>后</w:t>
      </w:r>
      <w:r>
        <w:rPr>
          <w:rFonts w:hint="eastAsia" w:cs="仿宋" w:asciiTheme="minorEastAsia" w:hAnsiTheme="minorEastAsia" w:eastAsiaTheme="minorEastAsia"/>
          <w:sz w:val="28"/>
          <w:szCs w:val="28"/>
        </w:rPr>
        <w:t>,支付</w:t>
      </w:r>
      <w:r>
        <w:rPr>
          <w:rFonts w:hint="eastAsia" w:cs="仿宋" w:asciiTheme="minorEastAsia" w:hAnsiTheme="minorEastAsia" w:eastAsiaTheme="minorEastAsia"/>
          <w:sz w:val="28"/>
          <w:szCs w:val="28"/>
          <w:lang w:val="en-US" w:eastAsia="zh-CN"/>
        </w:rPr>
        <w:t>合同总价</w:t>
      </w:r>
      <w:r>
        <w:rPr>
          <w:rFonts w:hint="eastAsia" w:cs="仿宋" w:asciiTheme="minorEastAsia" w:hAnsiTheme="minorEastAsia" w:eastAsiaTheme="minorEastAsia"/>
          <w:sz w:val="28"/>
          <w:szCs w:val="28"/>
        </w:rPr>
        <w:t>的25%。</w:t>
      </w:r>
    </w:p>
    <w:p>
      <w:pPr>
        <w:spacing w:line="360" w:lineRule="auto"/>
        <w:ind w:right="240" w:firstLine="560" w:firstLineChars="200"/>
        <w:jc w:val="left"/>
        <w:rPr>
          <w:rFonts w:hint="eastAsia" w:cs="仿宋" w:asciiTheme="minorEastAsia" w:hAnsiTheme="minorEastAsia" w:eastAsiaTheme="minorEastAsia"/>
          <w:sz w:val="28"/>
          <w:szCs w:val="28"/>
        </w:rPr>
      </w:pPr>
      <w:r>
        <w:rPr>
          <w:rFonts w:hint="eastAsia" w:cs="仿宋" w:asciiTheme="minorEastAsia" w:hAnsiTheme="minorEastAsia" w:eastAsiaTheme="minorEastAsia"/>
          <w:sz w:val="28"/>
          <w:szCs w:val="28"/>
        </w:rPr>
        <w:t>展出后跟踪监测文物状况，1季度出一份监测报告，3年期满，经验收符合质量要求支付余款5%。</w:t>
      </w:r>
    </w:p>
    <w:p>
      <w:pPr>
        <w:keepNext/>
        <w:keepLines/>
        <w:spacing w:line="360" w:lineRule="auto"/>
        <w:outlineLvl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4.3.4验收办法及标准</w:t>
      </w:r>
    </w:p>
    <w:p>
      <w:pPr>
        <w:pStyle w:val="39"/>
        <w:spacing w:before="0" w:beforeAutospacing="0" w:after="0" w:afterAutospacing="0" w:line="360" w:lineRule="auto"/>
        <w:ind w:firstLine="560" w:firstLineChars="200"/>
        <w:rPr>
          <w:rFonts w:cs="仿宋" w:asciiTheme="minorEastAsia" w:hAnsiTheme="minorEastAsia" w:eastAsiaTheme="minorEastAsia"/>
        </w:rPr>
      </w:pPr>
      <w:r>
        <w:rPr>
          <w:rFonts w:hint="eastAsia" w:cs="仿宋" w:asciiTheme="minorEastAsia" w:hAnsiTheme="minorEastAsia" w:eastAsiaTheme="minorEastAsia"/>
          <w:sz w:val="28"/>
          <w:szCs w:val="28"/>
          <w:shd w:val="clear" w:color="auto" w:fill="FFFFFF"/>
          <w:lang w:bidi="ar"/>
        </w:rPr>
        <w:t>严格按照《财政部关于进一步加强政府采购需求和履约验收管理的指导意见》（财库〔2016〕205号）的要求及行业标准进行验收。</w:t>
      </w:r>
    </w:p>
    <w:p>
      <w:pPr>
        <w:pStyle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4.3.5报价要求</w:t>
      </w:r>
    </w:p>
    <w:p>
      <w:pPr>
        <w:spacing w:line="360" w:lineRule="auto"/>
        <w:ind w:right="240" w:firstLine="560" w:firstLineChars="200"/>
        <w:jc w:val="left"/>
        <w:rPr>
          <w:rFonts w:asciiTheme="minorEastAsia" w:hAnsiTheme="minorEastAsia" w:eastAsiaTheme="minorEastAsia"/>
          <w:b/>
          <w:bCs/>
          <w:sz w:val="28"/>
          <w:szCs w:val="28"/>
        </w:rPr>
      </w:pPr>
      <w:r>
        <w:rPr>
          <w:rFonts w:hint="eastAsia" w:cs="仿宋" w:asciiTheme="minorEastAsia" w:hAnsiTheme="minorEastAsia" w:eastAsiaTheme="minorEastAsia"/>
          <w:color w:val="000000"/>
          <w:sz w:val="28"/>
          <w:szCs w:val="28"/>
        </w:rPr>
        <w:t>项目报价应当包括完成本项目可能发生的各项费用的价格体现，本项目为包干价，如人工费、保险费、培训费、食宿及差旅费、税金、管理费用等一切费用的体现，采购文件未列明而</w:t>
      </w:r>
      <w:r>
        <w:rPr>
          <w:rFonts w:cs="仿宋" w:asciiTheme="minorEastAsia" w:hAnsiTheme="minorEastAsia" w:eastAsiaTheme="minorEastAsia"/>
          <w:color w:val="000000"/>
          <w:sz w:val="28"/>
          <w:szCs w:val="28"/>
        </w:rPr>
        <w:t>投标人</w:t>
      </w:r>
      <w:r>
        <w:rPr>
          <w:rFonts w:hint="eastAsia" w:cs="仿宋" w:asciiTheme="minorEastAsia" w:hAnsiTheme="minorEastAsia" w:eastAsiaTheme="minorEastAsia"/>
          <w:color w:val="000000"/>
          <w:sz w:val="28"/>
          <w:szCs w:val="28"/>
        </w:rPr>
        <w:t>认为其他必需的费用也须列入报价内。</w:t>
      </w:r>
    </w:p>
    <w:p>
      <w:pPr>
        <w:keepNext/>
        <w:keepLines/>
        <w:spacing w:line="360" w:lineRule="auto"/>
        <w:outlineLvl w:val="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4.3.6违约责任</w:t>
      </w:r>
    </w:p>
    <w:p>
      <w:pPr>
        <w:numPr>
          <w:ilvl w:val="0"/>
          <w:numId w:val="32"/>
        </w:numPr>
        <w:tabs>
          <w:tab w:val="left" w:pos="644"/>
        </w:tabs>
        <w:adjustRightInd w:val="0"/>
        <w:snapToGrid w:val="0"/>
        <w:spacing w:line="360" w:lineRule="auto"/>
        <w:ind w:firstLine="560" w:firstLineChars="20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甲乙双方必须遵守本合同并执行合同中的各项规定，保证本合同的正常履行。</w:t>
      </w:r>
    </w:p>
    <w:p>
      <w:pPr>
        <w:numPr>
          <w:ilvl w:val="0"/>
          <w:numId w:val="32"/>
        </w:numPr>
        <w:tabs>
          <w:tab w:val="left" w:pos="644"/>
        </w:tabs>
        <w:adjustRightInd w:val="0"/>
        <w:snapToGrid w:val="0"/>
        <w:spacing w:line="360" w:lineRule="auto"/>
        <w:ind w:firstLine="560" w:firstLineChars="200"/>
        <w:rPr>
          <w:rFonts w:asciiTheme="minorEastAsia" w:hAnsiTheme="minorEastAsia" w:eastAsiaTheme="minorEastAsia"/>
          <w:color w:val="000000" w:themeColor="text1"/>
          <w:szCs w:val="21"/>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如因乙方工作人员在履行职务过程中的疏忽、失职、过错等故意或者过失原因给甲方、服务对象或第三人造成损失或侵害，包括但不限于甲方本身的财产损失，由此而导致的甲方对任何第三方的法律责任等，乙方对此均应承担全部的赔偿责任。</w:t>
      </w:r>
    </w:p>
    <w:p>
      <w:pPr>
        <w:numPr>
          <w:ilvl w:val="0"/>
          <w:numId w:val="32"/>
        </w:numPr>
        <w:spacing w:line="360" w:lineRule="auto"/>
        <w:ind w:right="240" w:firstLine="560" w:firstLineChars="200"/>
        <w:jc w:val="left"/>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乙方未经甲方书面同意，擅自以任何形式将本合同项目转包</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或分包</w:t>
      </w:r>
      <w:r>
        <w:rPr>
          <w:rFonts w:hint="eastAsia" w:cs="仿宋" w:asciiTheme="minorEastAsia" w:hAnsiTheme="minorEastAsia" w:eastAsiaTheme="minorEastAsia"/>
          <w:color w:val="000000"/>
          <w:sz w:val="28"/>
          <w:szCs w:val="28"/>
        </w:rPr>
        <w:t>，给甲方造成损失的，乙方承担赔偿责任，甲方有权解除合同。</w:t>
      </w:r>
    </w:p>
    <w:p>
      <w:pPr>
        <w:numPr>
          <w:ilvl w:val="0"/>
          <w:numId w:val="32"/>
        </w:numPr>
        <w:spacing w:line="360" w:lineRule="auto"/>
        <w:ind w:right="240" w:firstLine="560" w:firstLineChars="200"/>
        <w:jc w:val="left"/>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sz w:val="28"/>
          <w:szCs w:val="28"/>
        </w:rPr>
        <w:t>乙方在服务期内无质量问题和违约行为的，甲方应准时支付乙方服务费，</w:t>
      </w:r>
      <w:r>
        <w:rPr>
          <w:rFonts w:hint="eastAsia" w:cs="仿宋" w:asciiTheme="minorEastAsia" w:hAnsiTheme="minorEastAsia" w:eastAsiaTheme="minorEastAsia"/>
          <w:color w:val="000000" w:themeColor="text1"/>
          <w:sz w:val="28"/>
          <w:szCs w:val="28"/>
          <w14:textFill>
            <w14:solidFill>
              <w14:schemeClr w14:val="tx1"/>
            </w14:solidFill>
          </w14:textFill>
        </w:rPr>
        <w:t>如逾期，则按</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合同</w:t>
      </w:r>
      <w:r>
        <w:rPr>
          <w:rFonts w:hint="eastAsia" w:cs="仿宋" w:asciiTheme="minorEastAsia" w:hAnsiTheme="minorEastAsia" w:eastAsiaTheme="minorEastAsia"/>
          <w:color w:val="000000" w:themeColor="text1"/>
          <w:sz w:val="28"/>
          <w:szCs w:val="28"/>
          <w14:textFill>
            <w14:solidFill>
              <w14:schemeClr w14:val="tx1"/>
            </w14:solidFill>
          </w14:textFill>
        </w:rPr>
        <w:t>金额每日1‰标准向乙方赔付违约金。</w:t>
      </w:r>
    </w:p>
    <w:p>
      <w:pPr>
        <w:numPr>
          <w:ilvl w:val="0"/>
          <w:numId w:val="32"/>
        </w:numPr>
        <w:spacing w:line="360" w:lineRule="auto"/>
        <w:ind w:left="0" w:leftChars="0" w:right="240" w:firstLine="560" w:firstLineChars="20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bookmarkStart w:id="414" w:name="_Toc22904121"/>
      <w:bookmarkStart w:id="415" w:name="_Toc529520237"/>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若</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逾期，则按</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合同</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金额每日1‰标准向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赔付违约金。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 xml:space="preserve">逾期超过  </w:t>
      </w:r>
      <w:r>
        <w:rPr>
          <w:rFonts w:hint="eastAsia" w:asciiTheme="minorEastAsia" w:hAnsiTheme="minorEastAsia" w:eastAsiaTheme="minorEastAsia" w:cstheme="minorEastAsia"/>
          <w:color w:val="000000" w:themeColor="text1"/>
          <w:sz w:val="28"/>
          <w:szCs w:val="28"/>
          <w:highlight w:val="none"/>
          <w:u w:val="single"/>
          <w:lang w:val="en-US" w:eastAsia="zh-CN"/>
          <w14:textFill>
            <w14:solidFill>
              <w14:schemeClr w14:val="tx1"/>
            </w14:solidFill>
          </w14:textFill>
        </w:rPr>
        <w:t xml:space="preserve">30 </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天，甲方有权解除本合同。</w:t>
      </w:r>
    </w:p>
    <w:p>
      <w:pPr>
        <w:numPr>
          <w:ilvl w:val="0"/>
          <w:numId w:val="32"/>
        </w:numPr>
        <w:spacing w:line="360" w:lineRule="auto"/>
        <w:ind w:left="0" w:leftChars="0" w:right="240" w:firstLine="560" w:firstLineChars="20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因</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原因导致变更、中止或者终止政府采购合同的，</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依照合同约定对</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受到的损失予以赔偿或者补偿。</w:t>
      </w:r>
    </w:p>
    <w:p>
      <w:pPr>
        <w:numPr>
          <w:ilvl w:val="0"/>
          <w:numId w:val="32"/>
        </w:numPr>
        <w:spacing w:line="360" w:lineRule="auto"/>
        <w:ind w:left="0" w:leftChars="0" w:right="240" w:firstLine="560" w:firstLineChars="20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双方合同约定或法律法规规定违约方应当承担的其他违约责任。</w:t>
      </w:r>
    </w:p>
    <w:p>
      <w:pPr>
        <w:keepNext/>
        <w:keepLines/>
        <w:spacing w:line="360" w:lineRule="auto"/>
        <w:outlineLvl w:val="2"/>
        <w:rPr>
          <w:rFonts w:asciiTheme="minorEastAsia" w:hAnsiTheme="minorEastAsia" w:eastAsiaTheme="minorEastAsia"/>
          <w:b/>
          <w:bCs/>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4.3.7其他要求</w:t>
      </w:r>
      <w:bookmarkEnd w:id="414"/>
      <w:bookmarkEnd w:id="415"/>
    </w:p>
    <w:p>
      <w:pPr>
        <w:pStyle w:val="79"/>
        <w:spacing w:line="500" w:lineRule="exact"/>
        <w:ind w:firstLine="560"/>
        <w:rPr>
          <w:rFonts w:cs="宋体" w:asciiTheme="minorEastAsia" w:hAnsiTheme="minorEastAsia"/>
          <w:color w:val="000000" w:themeColor="text1"/>
          <w:sz w:val="28"/>
          <w:szCs w:val="28"/>
          <w14:textFill>
            <w14:solidFill>
              <w14:schemeClr w14:val="tx1"/>
            </w14:solidFill>
          </w14:textFill>
        </w:rPr>
      </w:pPr>
      <w:r>
        <w:rPr>
          <w:rFonts w:hint="eastAsia" w:cs="宋体" w:asciiTheme="minorEastAsia" w:hAnsiTheme="minorEastAsia"/>
          <w:bCs/>
          <w:sz w:val="28"/>
          <w:szCs w:val="28"/>
          <w:lang w:bidi="ar"/>
        </w:rPr>
        <w:t>供应商应承诺</w:t>
      </w:r>
      <w:r>
        <w:rPr>
          <w:rFonts w:hint="eastAsia" w:cs="宋体" w:asciiTheme="minorEastAsia" w:hAnsiTheme="minorEastAsia"/>
          <w:sz w:val="28"/>
          <w:szCs w:val="28"/>
        </w:rPr>
        <w:t>为本项目</w:t>
      </w:r>
      <w:r>
        <w:rPr>
          <w:rFonts w:hint="eastAsia" w:cs="宋体" w:asciiTheme="minorEastAsia" w:hAnsiTheme="minorEastAsia"/>
          <w:color w:val="000000" w:themeColor="text1"/>
          <w:sz w:val="28"/>
          <w:szCs w:val="28"/>
          <w:lang w:eastAsia="zh-Hans"/>
          <w14:textFill>
            <w14:solidFill>
              <w14:schemeClr w14:val="tx1"/>
            </w14:solidFill>
          </w14:textFill>
        </w:rPr>
        <w:t>提供的服务符合现行的强制性国家相关标准、行业标准</w:t>
      </w:r>
      <w:r>
        <w:rPr>
          <w:rFonts w:hint="eastAsia" w:cs="宋体" w:asciiTheme="minorEastAsia" w:hAnsiTheme="minorEastAsia"/>
          <w:color w:val="000000" w:themeColor="text1"/>
          <w:sz w:val="28"/>
          <w:szCs w:val="28"/>
          <w14:textFill>
            <w14:solidFill>
              <w14:schemeClr w14:val="tx1"/>
            </w14:solidFill>
          </w14:textFill>
        </w:rPr>
        <w:t>。</w:t>
      </w:r>
    </w:p>
    <w:p>
      <w:pPr>
        <w:pStyle w:val="79"/>
        <w:tabs>
          <w:tab w:val="left" w:pos="993"/>
          <w:tab w:val="left" w:pos="1134"/>
        </w:tabs>
        <w:spacing w:before="60" w:line="560" w:lineRule="exact"/>
        <w:ind w:left="210" w:right="210" w:firstLine="568" w:firstLineChars="202"/>
        <w:rPr>
          <w:rFonts w:cs="仿宋" w:asciiTheme="minorEastAsia" w:hAnsiTheme="minorEastAsia"/>
          <w:b/>
          <w:kern w:val="0"/>
          <w:sz w:val="28"/>
          <w:szCs w:val="28"/>
          <w:lang w:bidi="ar"/>
        </w:rPr>
      </w:pPr>
    </w:p>
    <w:p>
      <w:pPr>
        <w:pStyle w:val="79"/>
        <w:tabs>
          <w:tab w:val="left" w:pos="993"/>
          <w:tab w:val="left" w:pos="1134"/>
        </w:tabs>
        <w:spacing w:before="60" w:line="560" w:lineRule="exact"/>
        <w:ind w:left="210" w:right="210" w:firstLine="568" w:firstLineChars="202"/>
        <w:rPr>
          <w:rFonts w:asciiTheme="minorEastAsia" w:hAnsiTheme="minorEastAsia"/>
          <w:b/>
          <w:sz w:val="28"/>
          <w:szCs w:val="28"/>
          <w:lang w:val="zh-CN"/>
        </w:rPr>
      </w:pPr>
      <w:r>
        <w:rPr>
          <w:rFonts w:hint="eastAsia" w:cs="仿宋" w:asciiTheme="minorEastAsia" w:hAnsiTheme="minorEastAsia"/>
          <w:b/>
          <w:kern w:val="0"/>
          <w:sz w:val="28"/>
          <w:szCs w:val="28"/>
          <w:lang w:bidi="ar"/>
        </w:rPr>
        <w:t>注：标注“</w:t>
      </w:r>
      <w:r>
        <w:rPr>
          <w:rFonts w:hint="eastAsia" w:cs="仿宋" w:asciiTheme="minorEastAsia" w:hAnsiTheme="minorEastAsia"/>
          <w:kern w:val="0"/>
          <w:sz w:val="28"/>
          <w:szCs w:val="28"/>
          <w:shd w:val="clear" w:color="auto" w:fill="FFFFFF"/>
          <w:lang w:bidi="ar"/>
        </w:rPr>
        <w:t>▲</w:t>
      </w:r>
      <w:r>
        <w:rPr>
          <w:rFonts w:hint="eastAsia" w:cs="仿宋" w:asciiTheme="minorEastAsia" w:hAnsiTheme="minorEastAsia"/>
          <w:b/>
          <w:kern w:val="0"/>
          <w:sz w:val="28"/>
          <w:szCs w:val="28"/>
          <w:lang w:bidi="ar"/>
        </w:rPr>
        <w:t>”号</w:t>
      </w:r>
      <w:r>
        <w:rPr>
          <w:rFonts w:hint="eastAsia" w:cs="仿宋" w:asciiTheme="minorEastAsia" w:hAnsiTheme="minorEastAsia"/>
          <w:b/>
          <w:kern w:val="0"/>
          <w:sz w:val="28"/>
          <w:szCs w:val="28"/>
          <w:shd w:val="clear" w:color="auto" w:fill="FFFFFF"/>
          <w:lang w:bidi="ar"/>
        </w:rPr>
        <w:t>条款</w:t>
      </w:r>
      <w:r>
        <w:rPr>
          <w:rFonts w:hint="eastAsia" w:cs="仿宋" w:asciiTheme="minorEastAsia" w:hAnsiTheme="minorEastAsia"/>
          <w:b/>
          <w:kern w:val="0"/>
          <w:sz w:val="28"/>
          <w:szCs w:val="28"/>
          <w:lang w:bidi="ar"/>
        </w:rPr>
        <w:t>为本项目实质性条款，不允许负偏离，否则作无效投标处理</w:t>
      </w:r>
      <w:r>
        <w:rPr>
          <w:rFonts w:hint="eastAsia" w:cs="仿宋" w:asciiTheme="minorEastAsia" w:hAnsiTheme="minorEastAsia"/>
          <w:b/>
          <w:bCs/>
          <w:sz w:val="28"/>
          <w:szCs w:val="28"/>
          <w:lang w:bidi="ar"/>
        </w:rPr>
        <w:t>。</w:t>
      </w:r>
    </w:p>
    <w:p>
      <w:pPr>
        <w:pStyle w:val="79"/>
        <w:tabs>
          <w:tab w:val="left" w:pos="993"/>
          <w:tab w:val="left" w:pos="1134"/>
        </w:tabs>
        <w:spacing w:before="60" w:line="560" w:lineRule="exact"/>
        <w:ind w:left="210" w:right="210" w:firstLine="568" w:firstLineChars="202"/>
        <w:rPr>
          <w:rFonts w:asciiTheme="minorEastAsia" w:hAnsiTheme="minorEastAsia"/>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p>
      <w:pPr>
        <w:pStyle w:val="79"/>
        <w:tabs>
          <w:tab w:val="left" w:pos="993"/>
          <w:tab w:val="left" w:pos="1134"/>
        </w:tabs>
        <w:spacing w:before="60" w:line="560" w:lineRule="exact"/>
        <w:ind w:right="210" w:firstLine="0" w:firstLineChars="0"/>
        <w:rPr>
          <w:rFonts w:ascii="宋体" w:hAnsi="宋体" w:eastAsia="宋体"/>
          <w:b/>
          <w:sz w:val="28"/>
          <w:szCs w:val="28"/>
          <w:lang w:val="zh-CN"/>
        </w:rPr>
      </w:pPr>
    </w:p>
    <w:bookmarkEnd w:id="156"/>
    <w:bookmarkEnd w:id="157"/>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16" w:name="_Toc70684294"/>
      <w:r>
        <w:rPr>
          <w:rFonts w:hint="eastAsia" w:ascii="宋体" w:hAnsi="宋体"/>
          <w:b/>
          <w:bCs/>
          <w:spacing w:val="-20"/>
          <w:kern w:val="44"/>
          <w:sz w:val="32"/>
          <w:szCs w:val="32"/>
        </w:rPr>
        <w:t>资格性审查</w:t>
      </w:r>
      <w:bookmarkEnd w:id="416"/>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资格性审查由采购人组建的资格审查小组依据法律法规和招标文件的规定，对投标保证金(县公资交易中心出具的</w:t>
      </w:r>
      <w:r>
        <w:rPr>
          <w:rFonts w:hint="eastAsia" w:ascii="宋体" w:hAnsi="宋体"/>
          <w:b/>
          <w:sz w:val="28"/>
          <w:szCs w:val="28"/>
        </w:rPr>
        <w:t>《蒲江县政府采购项目供应商报名及保证金交纳情况表》或投标人递交的投标保函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县公资交易中心将以电子邮件形式通知各投标人。资格性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3"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资格性审查项</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营业执照复印件（正本或副本）或法人证书复印件（正本或副本）。【说明：①营业执照或法人证书载明有期限的，应在有效期限内；②在中华人民共和国境内注册，具有独立法人资格。】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投标人具有良好的商业信誉的书面声明材料。【说明：①按招标文件第</w:t>
            </w:r>
            <w:r>
              <w:rPr>
                <w:rFonts w:asciiTheme="minorEastAsia" w:hAnsiTheme="minorEastAsia" w:eastAsiaTheme="minorEastAsia"/>
                <w:sz w:val="24"/>
                <w:szCs w:val="24"/>
              </w:rPr>
              <w:t>3</w:t>
            </w:r>
            <w:r>
              <w:rPr>
                <w:rFonts w:hint="eastAsia" w:asciiTheme="minorEastAsia" w:hAnsiTheme="minorEastAsia" w:eastAsiaTheme="minorEastAsia"/>
                <w:sz w:val="24"/>
                <w:szCs w:val="24"/>
              </w:rPr>
              <w:t>章的格式及要求提供书面声明材料；②供应商具有良好的商业信誉。】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投标人参加政府采购活动前三年内，在经营活动中没有重大违法记录的书面声明材料。【说明：①按第</w:t>
            </w:r>
            <w:r>
              <w:rPr>
                <w:rFonts w:asciiTheme="minorEastAsia" w:hAnsiTheme="minorEastAsia" w:eastAsiaTheme="minorEastAsia"/>
                <w:sz w:val="24"/>
                <w:szCs w:val="24"/>
              </w:rPr>
              <w:t>3</w:t>
            </w:r>
            <w:r>
              <w:rPr>
                <w:rFonts w:hint="eastAsia" w:asciiTheme="minorEastAsia" w:hAnsiTheme="minorEastAsia" w:eastAsiaTheme="minorEastAsia"/>
                <w:sz w:val="24"/>
                <w:szCs w:val="24"/>
              </w:rPr>
              <w:t>章的格式及要求提供书面声明材料；②供应商参加政府采购活动前三年内，在经营活动中没有重大违法记录。】</w:t>
            </w:r>
          </w:p>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资格审查小组根据</w:t>
            </w:r>
            <w:r>
              <w:rPr>
                <w:rFonts w:asciiTheme="minorEastAsia" w:hAnsiTheme="minorEastAsia" w:eastAsiaTheme="minorEastAsia"/>
                <w:sz w:val="24"/>
                <w:szCs w:val="24"/>
              </w:rPr>
              <w:t>“</w:t>
            </w:r>
            <w:r>
              <w:rPr>
                <w:rFonts w:hint="eastAsia" w:asciiTheme="minorEastAsia" w:hAnsiTheme="minorEastAsia" w:eastAsiaTheme="minorEastAsia"/>
                <w:sz w:val="24"/>
                <w:szCs w:val="24"/>
              </w:rPr>
              <w:t>信用中国</w:t>
            </w:r>
            <w:r>
              <w:rPr>
                <w:rFonts w:asciiTheme="minorEastAsia" w:hAnsiTheme="minorEastAsia" w:eastAsiaTheme="minorEastAsia"/>
                <w:sz w:val="24"/>
                <w:szCs w:val="24"/>
              </w:rPr>
              <w:t>”</w:t>
            </w:r>
            <w:r>
              <w:rPr>
                <w:rFonts w:hint="eastAsia" w:asciiTheme="minorEastAsia" w:hAnsiTheme="minorEastAsia" w:eastAsiaTheme="minorEastAsia"/>
                <w:sz w:val="24"/>
                <w:szCs w:val="24"/>
              </w:rPr>
              <w:t>和</w:t>
            </w:r>
            <w:r>
              <w:rPr>
                <w:rFonts w:asciiTheme="minorEastAsia" w:hAnsiTheme="minorEastAsia" w:eastAsiaTheme="minorEastAsia"/>
                <w:sz w:val="24"/>
                <w:szCs w:val="24"/>
              </w:rPr>
              <w:t>“</w:t>
            </w:r>
            <w:r>
              <w:rPr>
                <w:rFonts w:hint="eastAsia" w:asciiTheme="minorEastAsia" w:hAnsiTheme="minorEastAsia" w:eastAsiaTheme="minorEastAsia"/>
                <w:sz w:val="24"/>
                <w:szCs w:val="24"/>
              </w:rPr>
              <w:t>中国政府采购网</w:t>
            </w:r>
            <w:r>
              <w:rPr>
                <w:rFonts w:asciiTheme="minorEastAsia" w:hAnsiTheme="minorEastAsia" w:eastAsiaTheme="minorEastAsia"/>
                <w:sz w:val="24"/>
                <w:szCs w:val="24"/>
              </w:rPr>
              <w:t>”</w:t>
            </w:r>
            <w:r>
              <w:rPr>
                <w:rFonts w:hint="eastAsia" w:asciiTheme="minorEastAsia" w:hAnsiTheme="minorEastAsia" w:eastAsiaTheme="minorEastAsia"/>
                <w:sz w:val="24"/>
                <w:szCs w:val="24"/>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第</w:t>
            </w:r>
            <w:r>
              <w:rPr>
                <w:rFonts w:asciiTheme="minorEastAsia" w:hAnsiTheme="minorEastAsia" w:eastAsiaTheme="minorEastAsia"/>
                <w:sz w:val="24"/>
                <w:szCs w:val="24"/>
              </w:rPr>
              <w:t>3</w:t>
            </w:r>
            <w:r>
              <w:rPr>
                <w:rFonts w:hint="eastAsia" w:asciiTheme="minorEastAsia" w:hAnsiTheme="minorEastAsia" w:eastAsiaTheme="minorEastAsia"/>
                <w:sz w:val="24"/>
                <w:szCs w:val="24"/>
              </w:rPr>
              <w:t>章的格式及要求提供书面声明材料。】</w:t>
            </w:r>
          </w:p>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资格审查小组根据</w:t>
            </w:r>
            <w:r>
              <w:rPr>
                <w:rFonts w:asciiTheme="minorEastAsia" w:hAnsiTheme="minorEastAsia" w:eastAsiaTheme="minorEastAsia"/>
                <w:sz w:val="24"/>
                <w:szCs w:val="24"/>
              </w:rPr>
              <w:t>“</w:t>
            </w:r>
            <w:r>
              <w:rPr>
                <w:rFonts w:hint="eastAsia" w:asciiTheme="minorEastAsia" w:hAnsiTheme="minorEastAsia" w:eastAsiaTheme="minorEastAsia"/>
                <w:sz w:val="24"/>
                <w:szCs w:val="24"/>
              </w:rPr>
              <w:t>信用中国</w:t>
            </w:r>
            <w:r>
              <w:rPr>
                <w:rFonts w:asciiTheme="minorEastAsia" w:hAnsiTheme="minorEastAsia" w:eastAsiaTheme="minorEastAsia"/>
                <w:sz w:val="24"/>
                <w:szCs w:val="24"/>
              </w:rPr>
              <w:t>”</w:t>
            </w:r>
            <w:r>
              <w:rPr>
                <w:rFonts w:hint="eastAsia" w:asciiTheme="minorEastAsia" w:hAnsiTheme="minorEastAsia" w:eastAsiaTheme="minorEastAsia"/>
                <w:sz w:val="24"/>
                <w:szCs w:val="24"/>
              </w:rPr>
              <w:t>和</w:t>
            </w:r>
            <w:r>
              <w:rPr>
                <w:rFonts w:asciiTheme="minorEastAsia" w:hAnsiTheme="minorEastAsia" w:eastAsiaTheme="minorEastAsia"/>
                <w:sz w:val="24"/>
                <w:szCs w:val="24"/>
              </w:rPr>
              <w:t>“</w:t>
            </w:r>
            <w:r>
              <w:rPr>
                <w:rFonts w:hint="eastAsia" w:asciiTheme="minorEastAsia" w:hAnsiTheme="minorEastAsia" w:eastAsiaTheme="minorEastAsia"/>
                <w:sz w:val="24"/>
                <w:szCs w:val="24"/>
              </w:rPr>
              <w:t>中国政府采购网</w:t>
            </w:r>
            <w:r>
              <w:rPr>
                <w:rFonts w:asciiTheme="minorEastAsia" w:hAnsiTheme="minorEastAsia" w:eastAsiaTheme="minorEastAsia"/>
                <w:sz w:val="24"/>
                <w:szCs w:val="24"/>
              </w:rPr>
              <w:t>”</w:t>
            </w:r>
            <w:r>
              <w:rPr>
                <w:rFonts w:hint="eastAsia" w:asciiTheme="minorEastAsia" w:hAnsiTheme="minorEastAsia" w:eastAsiaTheme="minorEastAsia"/>
                <w:sz w:val="24"/>
                <w:szCs w:val="24"/>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投标人未处于被行政部门禁止参与政府采购活动的期限内。【说明：①按招标文件第</w:t>
            </w:r>
            <w:r>
              <w:rPr>
                <w:rFonts w:asciiTheme="minorEastAsia" w:hAnsiTheme="minorEastAsia" w:eastAsiaTheme="minorEastAsia"/>
                <w:sz w:val="24"/>
                <w:szCs w:val="24"/>
              </w:rPr>
              <w:t>3</w:t>
            </w:r>
            <w:r>
              <w:rPr>
                <w:rFonts w:hint="eastAsia" w:asciiTheme="minorEastAsia" w:hAnsiTheme="minorEastAsia" w:eastAsiaTheme="minorEastAsia"/>
                <w:sz w:val="24"/>
                <w:szCs w:val="24"/>
              </w:rPr>
              <w:t>章的格式及要求提供书面声明材料；②供应商未处于被行政部门禁止参与政府采购活动的期限内。】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在行贿犯罪信息查询期限内，投标人及其现任法定代表人、主要负责人没有行贿犯罪记录的书面声明材料。【说明：①按招标文件第</w:t>
            </w:r>
            <w:r>
              <w:rPr>
                <w:rFonts w:asciiTheme="minorEastAsia" w:hAnsiTheme="minorEastAsia" w:eastAsiaTheme="minorEastAsia"/>
                <w:sz w:val="24"/>
                <w:szCs w:val="24"/>
              </w:rPr>
              <w:t>3</w:t>
            </w:r>
            <w:r>
              <w:rPr>
                <w:rFonts w:hint="eastAsia" w:asciiTheme="minorEastAsia" w:hAnsiTheme="minorEastAsia" w:eastAsiaTheme="minorEastAsia"/>
                <w:sz w:val="24"/>
                <w:szCs w:val="24"/>
              </w:rPr>
              <w:t>章的格式及要求提供书面声明材料，投标文件中不需提供中国裁判文书网（</w:t>
            </w:r>
            <w:r>
              <w:rPr>
                <w:rFonts w:asciiTheme="minorEastAsia" w:hAnsiTheme="minorEastAsia" w:eastAsiaTheme="minorEastAsia"/>
                <w:sz w:val="24"/>
                <w:szCs w:val="24"/>
              </w:rPr>
              <w:t>https://wenshu.court.gov.cn</w:t>
            </w:r>
            <w:r>
              <w:rPr>
                <w:rFonts w:hint="eastAsia" w:asciiTheme="minorEastAsia" w:hAnsiTheme="minorEastAsia" w:eastAsiaTheme="minorEastAsia"/>
                <w:sz w:val="24"/>
                <w:szCs w:val="24"/>
              </w:rPr>
              <w:t>）查询结果的证明材料；②在行贿犯罪信息查询期限内，供应商及其现任法定代表人、主要负责人没有行贿犯罪记录。】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采购人对投标人履行合同所必须的设备和专业技术能力无其他特殊要求，投标人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采购人对法律、行政法规规定的其他条件无其他特殊要求，投标人具有有效的营业执照或法人证书即可，可不提供其他证明材料。【说明：无须提供证明材料，上传空白页即可，不对本项上传的材料作资格审查】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、根据招标文件的要求不属于禁止参加投标或投标无效的供应商；</w:t>
            </w:r>
          </w:p>
          <w:p>
            <w:pPr>
              <w:tabs>
                <w:tab w:val="left" w:pos="851"/>
              </w:tabs>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、资格审查小组未发现或者未知晓投标人存在属于国家相关法律法规规定的禁止参加投标或投标无效的供应商。</w:t>
            </w:r>
          </w:p>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除因断电、断网、系统故障或其他不可抗力等因素，导致系统无法使用外，投标文件已成功解密。【说明：无须提供证明材料，上传空白页即可，不对本项上传的材料作资格审查】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投标文件资格性审查部分签章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符合招标文件</w:t>
            </w:r>
            <w:r>
              <w:rPr>
                <w:rFonts w:asciiTheme="minorEastAsia" w:hAnsiTheme="minorEastAsia" w:eastAsiaTheme="minorEastAsia"/>
                <w:sz w:val="24"/>
                <w:szCs w:val="24"/>
              </w:rPr>
              <w:t>“2.4.6</w:t>
            </w:r>
            <w:r>
              <w:rPr>
                <w:rFonts w:hint="eastAsia" w:asciiTheme="minorEastAsia" w:hAnsiTheme="minorEastAsia" w:eastAsiaTheme="minorEastAsia"/>
                <w:sz w:val="24"/>
                <w:szCs w:val="24"/>
              </w:rPr>
              <w:t>投标文件的组成</w:t>
            </w:r>
            <w:r>
              <w:rPr>
                <w:rFonts w:asciiTheme="minorEastAsia" w:hAnsiTheme="minorEastAsia" w:eastAsiaTheme="minorEastAsia"/>
                <w:sz w:val="24"/>
                <w:szCs w:val="24"/>
              </w:rPr>
              <w:t>”</w:t>
            </w:r>
            <w:r>
              <w:rPr>
                <w:rFonts w:hint="eastAsia" w:asciiTheme="minorEastAsia" w:hAnsiTheme="minorEastAsia" w:eastAsiaTheme="minorEastAsia"/>
                <w:sz w:val="24"/>
                <w:szCs w:val="24"/>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4</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2019或2020年度审计报告复印件(含资产负债表、利润表、现金流量表、财务报表附注</w:t>
            </w:r>
            <w:r>
              <w:rPr>
                <w:rFonts w:hint="eastAsia"/>
                <w:color w:val="000000" w:themeColor="text1"/>
                <w:sz w:val="20"/>
                <w:highlight w:val="none"/>
                <w14:textFill>
                  <w14:solidFill>
                    <w14:schemeClr w14:val="tx1"/>
                  </w14:solidFill>
                </w14:textFill>
              </w:rPr>
              <w:t>)</w:t>
            </w:r>
            <w:r>
              <w:rPr>
                <w:rFonts w:hint="eastAsia" w:asciiTheme="minorEastAsia" w:hAnsiTheme="minorEastAsia" w:eastAsiaTheme="minorEastAsia"/>
                <w:color w:val="000000" w:themeColor="text1"/>
                <w:sz w:val="24"/>
                <w:szCs w:val="24"/>
                <w:highlight w:val="none"/>
                <w14:textFill>
                  <w14:solidFill>
                    <w14:schemeClr w14:val="tx1"/>
                  </w14:solidFill>
                </w14:textFill>
              </w:rPr>
              <w:t>。【说明：投标人成立时间至投标截止时间止不足一年的，提供成立后任意时段的资产负债表复印件。】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投标人缴纳</w:t>
            </w:r>
            <w:r>
              <w:rPr>
                <w:rFonts w:asciiTheme="minorEastAsia" w:hAnsiTheme="minorEastAsia" w:eastAsiaTheme="minorEastAsia"/>
                <w:sz w:val="24"/>
                <w:szCs w:val="24"/>
              </w:rPr>
              <w:t>2020</w:t>
            </w:r>
            <w:r>
              <w:rPr>
                <w:rFonts w:hint="eastAsia" w:asciiTheme="minorEastAsia" w:hAnsiTheme="minorEastAsia" w:eastAsiaTheme="minorEastAsia"/>
                <w:sz w:val="24"/>
                <w:szCs w:val="24"/>
              </w:rPr>
              <w:t>或</w:t>
            </w:r>
            <w:r>
              <w:rPr>
                <w:rFonts w:asciiTheme="minorEastAsia" w:hAnsiTheme="minorEastAsia" w:eastAsiaTheme="minorEastAsia"/>
                <w:sz w:val="24"/>
                <w:szCs w:val="24"/>
              </w:rPr>
              <w:t>2021</w:t>
            </w:r>
            <w:r>
              <w:rPr>
                <w:rFonts w:hint="eastAsia" w:asciiTheme="minorEastAsia" w:hAnsiTheme="minorEastAsia" w:eastAsiaTheme="minorEastAsia"/>
                <w:sz w:val="24"/>
                <w:szCs w:val="24"/>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投标人缴纳</w:t>
            </w:r>
            <w:r>
              <w:rPr>
                <w:rFonts w:asciiTheme="minorEastAsia" w:hAnsiTheme="minorEastAsia" w:eastAsiaTheme="minorEastAsia"/>
                <w:sz w:val="24"/>
                <w:szCs w:val="24"/>
              </w:rPr>
              <w:t>2020</w:t>
            </w:r>
            <w:r>
              <w:rPr>
                <w:rFonts w:hint="eastAsia" w:asciiTheme="minorEastAsia" w:hAnsiTheme="minorEastAsia" w:eastAsiaTheme="minorEastAsia"/>
                <w:sz w:val="24"/>
                <w:szCs w:val="24"/>
              </w:rPr>
              <w:t>或</w:t>
            </w:r>
            <w:r>
              <w:rPr>
                <w:rFonts w:asciiTheme="minorEastAsia" w:hAnsiTheme="minorEastAsia" w:eastAsiaTheme="minorEastAsia"/>
                <w:sz w:val="24"/>
                <w:szCs w:val="24"/>
              </w:rPr>
              <w:t>2021</w:t>
            </w:r>
            <w:r>
              <w:rPr>
                <w:rFonts w:hint="eastAsia" w:asciiTheme="minorEastAsia" w:hAnsiTheme="minorEastAsia" w:eastAsiaTheme="minorEastAsia"/>
                <w:sz w:val="24"/>
                <w:szCs w:val="24"/>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具备国家行业主管部门颁发的可移动文物修复资质证书（业务范围包含石器、石刻类文物）</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国家行业主管部门颁发的可移动文物修复资质证书（业务范围包含石器、石刻类文物）复印件。</w:t>
            </w:r>
          </w:p>
          <w:p>
            <w:pPr>
              <w:tabs>
                <w:tab w:val="left" w:pos="851"/>
              </w:tabs>
              <w:spacing w:line="360" w:lineRule="auto"/>
              <w:rPr>
                <w:rFonts w:asciiTheme="minorEastAsia" w:hAnsiTheme="minorEastAsia" w:eastAsiaTheme="minorEastAsia"/>
                <w:sz w:val="24"/>
                <w:szCs w:val="24"/>
              </w:rPr>
            </w:pP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县公资交易中心将通知投标人（以短信、现场公示、电话、“政府采购云平台”等任一方式）。投标人如对资格审查结论有异议的，应及时向县公资交易中心反馈意见。县公资交易中心将及时告知资格审查小组。（说明：无论投标人是否收到通知或提供反馈意见，均不影响资格审查和评标工作，且县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pPr>
    </w:p>
    <w:p>
      <w:pPr>
        <w:keepNext/>
        <w:keepLines/>
        <w:numPr>
          <w:ilvl w:val="0"/>
          <w:numId w:val="5"/>
        </w:numPr>
        <w:spacing w:line="360" w:lineRule="auto"/>
        <w:ind w:left="1260" w:firstLine="0"/>
        <w:jc w:val="center"/>
        <w:outlineLvl w:val="0"/>
        <w:rPr>
          <w:rFonts w:ascii="宋体" w:hAnsi="宋体"/>
          <w:b/>
          <w:bCs/>
          <w:spacing w:val="-20"/>
          <w:kern w:val="44"/>
          <w:sz w:val="32"/>
          <w:szCs w:val="32"/>
        </w:rPr>
      </w:pPr>
      <w:bookmarkStart w:id="417" w:name="_Toc70684295"/>
      <w:r>
        <w:rPr>
          <w:rFonts w:hint="eastAsia" w:ascii="宋体" w:hAnsi="宋体"/>
          <w:b/>
          <w:bCs/>
          <w:spacing w:val="-20"/>
          <w:kern w:val="44"/>
          <w:sz w:val="32"/>
          <w:szCs w:val="32"/>
        </w:rPr>
        <w:t>评标办法</w:t>
      </w:r>
      <w:bookmarkEnd w:id="417"/>
    </w:p>
    <w:p>
      <w:pPr>
        <w:keepNext/>
        <w:keepLines/>
        <w:numPr>
          <w:ilvl w:val="1"/>
          <w:numId w:val="5"/>
        </w:numPr>
        <w:spacing w:line="360" w:lineRule="auto"/>
        <w:jc w:val="left"/>
        <w:outlineLvl w:val="1"/>
        <w:rPr>
          <w:rFonts w:ascii="宋体" w:hAnsi="宋体"/>
          <w:b/>
          <w:bCs/>
          <w:sz w:val="28"/>
          <w:szCs w:val="28"/>
        </w:rPr>
      </w:pPr>
      <w:bookmarkStart w:id="418" w:name="_Toc70684296"/>
      <w:r>
        <w:rPr>
          <w:rFonts w:hint="eastAsia" w:ascii="宋体" w:hAnsi="宋体"/>
          <w:b/>
          <w:bCs/>
          <w:sz w:val="28"/>
          <w:szCs w:val="28"/>
        </w:rPr>
        <w:t>总则</w:t>
      </w:r>
      <w:bookmarkEnd w:id="418"/>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rPr>
        <w:t>县公资交易中心</w:t>
      </w:r>
      <w:r>
        <w:rPr>
          <w:rFonts w:hint="eastAsia" w:ascii="宋体" w:hAnsi="宋体"/>
          <w:sz w:val="28"/>
          <w:szCs w:val="28"/>
        </w:rPr>
        <w:t>负责组织，具体评标事务由采购人或</w:t>
      </w:r>
      <w:r>
        <w:rPr>
          <w:rFonts w:hint="eastAsia" w:cs="Arial"/>
          <w:sz w:val="28"/>
          <w:szCs w:val="28"/>
        </w:rPr>
        <w:t>县公资交易中心</w:t>
      </w:r>
      <w:r>
        <w:rPr>
          <w:rFonts w:hint="eastAsia" w:ascii="宋体" w:hAnsi="宋体"/>
          <w:sz w:val="28"/>
          <w:szCs w:val="28"/>
        </w:rPr>
        <w:t>依法组建的评标委员会负责。评标委员会由采购人代表和评审专家组成。</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34"/>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34"/>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34"/>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34"/>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34"/>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34"/>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34"/>
        </w:numPr>
        <w:spacing w:line="360" w:lineRule="auto"/>
        <w:ind w:left="0" w:firstLine="567"/>
        <w:rPr>
          <w:rFonts w:ascii="宋体" w:hAnsi="宋体"/>
          <w:sz w:val="28"/>
          <w:szCs w:val="28"/>
        </w:rPr>
      </w:pPr>
      <w:r>
        <w:rPr>
          <w:rFonts w:hint="eastAsia" w:ascii="宋体" w:hAnsi="宋体"/>
          <w:sz w:val="28"/>
          <w:szCs w:val="28"/>
        </w:rPr>
        <w:t>向采购人、县公资交易中心或者财政、监察等有关部门报告或举报非法干预评标工作的行为；</w:t>
      </w:r>
    </w:p>
    <w:p>
      <w:pPr>
        <w:numPr>
          <w:ilvl w:val="1"/>
          <w:numId w:val="34"/>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县公资交易中心</w:t>
      </w:r>
      <w:r>
        <w:rPr>
          <w:rFonts w:hint="eastAsia" w:ascii="宋体" w:hAnsi="宋体"/>
          <w:sz w:val="28"/>
          <w:szCs w:val="28"/>
        </w:rPr>
        <w:t>或者有关部门报告评标中发现的违法行为。</w:t>
      </w:r>
    </w:p>
    <w:p>
      <w:pPr>
        <w:numPr>
          <w:ilvl w:val="1"/>
          <w:numId w:val="34"/>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评标委员会发现招标文件表述不明确或需要说明的事项，可提请采购人和县公资交易中心书面解释说明。</w:t>
      </w:r>
    </w:p>
    <w:p>
      <w:pPr>
        <w:keepNext/>
        <w:keepLines/>
        <w:numPr>
          <w:ilvl w:val="1"/>
          <w:numId w:val="5"/>
        </w:numPr>
        <w:spacing w:line="360" w:lineRule="auto"/>
        <w:jc w:val="left"/>
        <w:outlineLvl w:val="1"/>
        <w:rPr>
          <w:rFonts w:ascii="宋体" w:hAnsi="宋体"/>
          <w:b/>
          <w:bCs/>
          <w:sz w:val="28"/>
          <w:szCs w:val="28"/>
        </w:rPr>
      </w:pPr>
      <w:bookmarkStart w:id="419" w:name="_Toc70684297"/>
      <w:r>
        <w:rPr>
          <w:rFonts w:hint="eastAsia" w:ascii="宋体" w:hAnsi="宋体"/>
          <w:b/>
          <w:bCs/>
          <w:sz w:val="28"/>
          <w:szCs w:val="28"/>
        </w:rPr>
        <w:t>评标方法</w:t>
      </w:r>
      <w:bookmarkEnd w:id="419"/>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420" w:name="_Toc70684298"/>
      <w:r>
        <w:rPr>
          <w:rFonts w:hint="eastAsia" w:ascii="宋体" w:hAnsi="宋体"/>
          <w:b/>
          <w:bCs/>
          <w:sz w:val="28"/>
          <w:szCs w:val="28"/>
        </w:rPr>
        <w:t>评标程序</w:t>
      </w:r>
      <w:bookmarkEnd w:id="420"/>
    </w:p>
    <w:p>
      <w:pPr>
        <w:keepNext/>
        <w:keepLines/>
        <w:numPr>
          <w:ilvl w:val="2"/>
          <w:numId w:val="5"/>
        </w:numPr>
        <w:spacing w:line="360" w:lineRule="auto"/>
        <w:ind w:left="458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投标文件技术、服务、商务及其他要求响应部分、报价要求响应部分组成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投标文件技术、服务、商务及其他要求响应部分、报价要求响应部分签章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投标文件技术、服务、商务及其他要求响应部分、报价要求响应部分的计量单位、语言、报价货币、投标有效期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单价金额小数点或者百分比有明显错位的，以总价为准，并修改单价；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w:t>
            </w:r>
            <w:r>
              <w:rPr>
                <w:rFonts w:hint="eastAsia" w:ascii="仿宋" w:hAnsi="仿宋" w:eastAsia="仿宋" w:cs="仿宋"/>
                <w:kern w:val="0"/>
                <w:sz w:val="28"/>
                <w:szCs w:val="28"/>
                <w:shd w:val="clear" w:color="auto" w:fill="FFFFFF"/>
                <w:lang w:bidi="ar"/>
              </w:rPr>
              <w:t>▲</w:t>
            </w:r>
            <w:r>
              <w:rPr>
                <w:rFonts w:hint="eastAsia" w:ascii="宋体" w:hAnsi="宋体"/>
                <w:sz w:val="24"/>
                <w:szCs w:val="28"/>
              </w:rPr>
              <w:t>号的服务、商务和其他要求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w:t>
            </w:r>
            <w:r>
              <w:rPr>
                <w:rFonts w:hint="eastAsia" w:ascii="仿宋" w:hAnsi="仿宋" w:eastAsia="仿宋" w:cs="仿宋"/>
                <w:kern w:val="0"/>
                <w:sz w:val="28"/>
                <w:szCs w:val="28"/>
                <w:shd w:val="clear" w:color="auto" w:fill="FFFFFF"/>
                <w:lang w:bidi="ar"/>
              </w:rPr>
              <w:t>▲</w:t>
            </w:r>
            <w:r>
              <w:rPr>
                <w:rFonts w:hint="eastAsia" w:ascii="宋体" w:hAnsi="宋体"/>
                <w:sz w:val="24"/>
                <w:szCs w:val="28"/>
              </w:rPr>
              <w:t>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县公资交易中心将通知投标人（以短信、现场公示、电话、“政府采购云平台”等任一方式）。投标人如对评审结论有异议的，应及时向县公资交易中心反馈意见。县公资交易中心在评审结束前将收到的反馈意见及时告知评标委员会。（说明：无论投标人是否收到通知或提供反馈意见，均不影响评标委员会的评标工作，且县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解释、澄清有关问题</w:t>
      </w:r>
    </w:p>
    <w:p>
      <w:pPr>
        <w:numPr>
          <w:ilvl w:val="0"/>
          <w:numId w:val="35"/>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县公资交易中心书面解释。县公资交易中心的解释不得改变招标文件的原义或者影响公平、公正，解释事项如果涉及投标人权益的以有利于投标人的原则进行解释。</w:t>
      </w:r>
    </w:p>
    <w:p>
      <w:pPr>
        <w:numPr>
          <w:ilvl w:val="0"/>
          <w:numId w:val="35"/>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6"/>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36"/>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36"/>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35"/>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县公资交易中心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37"/>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37"/>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37"/>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37"/>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keepNext/>
        <w:keepLines/>
        <w:numPr>
          <w:ilvl w:val="2"/>
          <w:numId w:val="5"/>
        </w:numPr>
        <w:spacing w:before="240" w:line="360" w:lineRule="auto"/>
        <w:ind w:left="147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38"/>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421" w:name="_Toc70684299"/>
      <w:r>
        <w:rPr>
          <w:rFonts w:hint="eastAsia" w:ascii="宋体" w:hAnsi="宋体"/>
          <w:b/>
          <w:bCs/>
          <w:sz w:val="28"/>
          <w:szCs w:val="28"/>
        </w:rPr>
        <w:t>评标争议处理规则</w:t>
      </w:r>
      <w:bookmarkEnd w:id="421"/>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县公资交易中心</w:t>
      </w:r>
      <w:r>
        <w:rPr>
          <w:rFonts w:hint="eastAsia" w:ascii="宋体" w:hAnsi="宋体"/>
          <w:sz w:val="28"/>
          <w:szCs w:val="28"/>
        </w:rPr>
        <w:t>书面反映。采购人或</w:t>
      </w:r>
      <w:r>
        <w:rPr>
          <w:rFonts w:hint="eastAsia" w:cs="Arial"/>
          <w:sz w:val="28"/>
          <w:szCs w:val="28"/>
        </w:rPr>
        <w:t>县公资交易中心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422" w:name="_Toc70684300"/>
      <w:r>
        <w:rPr>
          <w:rFonts w:hint="eastAsia" w:ascii="宋体" w:hAnsi="宋体"/>
          <w:b/>
          <w:bCs/>
          <w:sz w:val="28"/>
          <w:szCs w:val="28"/>
        </w:rPr>
        <w:t>评标细则及标准</w:t>
      </w:r>
      <w:bookmarkEnd w:id="422"/>
    </w:p>
    <w:p>
      <w:pPr>
        <w:numPr>
          <w:ilvl w:val="0"/>
          <w:numId w:val="39"/>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39"/>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39"/>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评分标准</w:t>
      </w:r>
    </w:p>
    <w:tbl>
      <w:tblPr>
        <w:tblStyle w:val="42"/>
        <w:tblW w:w="10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703"/>
        <w:gridCol w:w="1273"/>
        <w:gridCol w:w="5454"/>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3" w:hRule="atLeast"/>
          <w:jc w:val="center"/>
        </w:trPr>
        <w:tc>
          <w:tcPr>
            <w:tcW w:w="577" w:type="dxa"/>
            <w:vAlign w:val="center"/>
          </w:tcPr>
          <w:p>
            <w:pPr>
              <w:spacing w:after="160"/>
              <w:ind w:firstLine="28"/>
              <w:jc w:val="center"/>
              <w:rPr>
                <w:rFonts w:cs="仿宋" w:asciiTheme="minorEastAsia" w:hAnsiTheme="minorEastAsia" w:eastAsiaTheme="minorEastAsia"/>
                <w:b/>
                <w:bCs/>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序号</w:t>
            </w:r>
          </w:p>
        </w:tc>
        <w:tc>
          <w:tcPr>
            <w:tcW w:w="1119" w:type="dxa"/>
            <w:vAlign w:val="center"/>
          </w:tcPr>
          <w:p>
            <w:pPr>
              <w:spacing w:after="160"/>
              <w:ind w:firstLine="28"/>
              <w:jc w:val="center"/>
              <w:rPr>
                <w:rFonts w:cs="仿宋" w:asciiTheme="minorEastAsia" w:hAnsiTheme="minorEastAsia" w:eastAsiaTheme="minorEastAsia"/>
                <w:b/>
                <w:bCs/>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评分</w:t>
            </w:r>
          </w:p>
          <w:p>
            <w:pPr>
              <w:spacing w:after="160"/>
              <w:ind w:firstLine="28"/>
              <w:jc w:val="center"/>
              <w:rPr>
                <w:rFonts w:cs="仿宋" w:asciiTheme="minorEastAsia" w:hAnsiTheme="minorEastAsia" w:eastAsiaTheme="minorEastAsia"/>
                <w:b/>
                <w:bCs/>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因素</w:t>
            </w:r>
          </w:p>
        </w:tc>
        <w:tc>
          <w:tcPr>
            <w:tcW w:w="703" w:type="dxa"/>
            <w:vAlign w:val="center"/>
          </w:tcPr>
          <w:p>
            <w:pPr>
              <w:spacing w:after="160"/>
              <w:ind w:firstLine="28"/>
              <w:jc w:val="center"/>
              <w:rPr>
                <w:rFonts w:cs="仿宋" w:asciiTheme="minorEastAsia" w:hAnsiTheme="minorEastAsia" w:eastAsiaTheme="minorEastAsia"/>
                <w:b/>
                <w:bCs/>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分　值</w:t>
            </w:r>
          </w:p>
        </w:tc>
        <w:tc>
          <w:tcPr>
            <w:tcW w:w="6727" w:type="dxa"/>
            <w:gridSpan w:val="2"/>
            <w:vAlign w:val="center"/>
          </w:tcPr>
          <w:p>
            <w:pPr>
              <w:spacing w:after="160"/>
              <w:ind w:firstLine="28"/>
              <w:jc w:val="center"/>
              <w:rPr>
                <w:rFonts w:cs="仿宋" w:asciiTheme="minorEastAsia" w:hAnsiTheme="minorEastAsia" w:eastAsiaTheme="minorEastAsia"/>
                <w:b/>
                <w:bCs/>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评分标准</w:t>
            </w:r>
          </w:p>
        </w:tc>
        <w:tc>
          <w:tcPr>
            <w:tcW w:w="1141" w:type="dxa"/>
            <w:vAlign w:val="center"/>
          </w:tcPr>
          <w:p>
            <w:pPr>
              <w:spacing w:after="160"/>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b/>
                <w:bCs/>
                <w:color w:val="000000" w:themeColor="text1"/>
                <w:sz w:val="24"/>
                <w:szCs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577"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1</w:t>
            </w:r>
          </w:p>
        </w:tc>
        <w:tc>
          <w:tcPr>
            <w:tcW w:w="1119"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报价</w:t>
            </w:r>
            <w:r>
              <w:rPr>
                <w:rFonts w:cs="仿宋" w:asciiTheme="minorEastAsia" w:hAnsiTheme="minorEastAsia" w:eastAsiaTheme="minorEastAsia"/>
                <w:color w:val="000000" w:themeColor="text1"/>
                <w:sz w:val="24"/>
                <w:szCs w:val="24"/>
                <w14:textFill>
                  <w14:solidFill>
                    <w14:schemeClr w14:val="tx1"/>
                  </w14:solidFill>
                </w14:textFill>
              </w:rPr>
              <w:t>1</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5</w:t>
            </w:r>
            <w:r>
              <w:rPr>
                <w:rFonts w:cs="仿宋" w:asciiTheme="minorEastAsia" w:hAnsiTheme="minorEastAsia" w:eastAsiaTheme="minorEastAsia"/>
                <w:color w:val="000000" w:themeColor="text1"/>
                <w:sz w:val="24"/>
                <w:szCs w:val="24"/>
                <w14:textFill>
                  <w14:solidFill>
                    <w14:schemeClr w14:val="tx1"/>
                  </w14:solidFill>
                </w14:textFill>
              </w:rPr>
              <w:t>%</w:t>
            </w:r>
          </w:p>
        </w:tc>
        <w:tc>
          <w:tcPr>
            <w:tcW w:w="703"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15</w:t>
            </w:r>
            <w:r>
              <w:rPr>
                <w:rFonts w:hint="eastAsia" w:cs="仿宋" w:asciiTheme="minorEastAsia" w:hAnsiTheme="minorEastAsia" w:eastAsiaTheme="minorEastAsia"/>
                <w:color w:val="000000" w:themeColor="text1"/>
                <w:sz w:val="24"/>
                <w:szCs w:val="24"/>
                <w14:textFill>
                  <w14:solidFill>
                    <w14:schemeClr w14:val="tx1"/>
                  </w14:solidFill>
                </w14:textFill>
              </w:rPr>
              <w:t>分</w:t>
            </w:r>
          </w:p>
        </w:tc>
        <w:tc>
          <w:tcPr>
            <w:tcW w:w="6727" w:type="dxa"/>
            <w:gridSpan w:val="2"/>
            <w:vAlign w:val="center"/>
          </w:tcPr>
          <w:p>
            <w:pPr>
              <w:spacing w:after="160" w:line="259" w:lineRule="auto"/>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满足招标文件要求且投标价格最低的报价为基准价，其价格分为满分。其他投标人的价格分统一按照下列公式计算：报价得分=(基准价／</w:t>
            </w:r>
            <w:r>
              <w:rPr>
                <w:rFonts w:cs="仿宋" w:asciiTheme="minorEastAsia" w:hAnsiTheme="minorEastAsia" w:eastAsiaTheme="minorEastAsia"/>
                <w:color w:val="000000" w:themeColor="text1"/>
                <w:sz w:val="24"/>
                <w:szCs w:val="24"/>
                <w14:textFill>
                  <w14:solidFill>
                    <w14:schemeClr w14:val="tx1"/>
                  </w14:solidFill>
                </w14:textFill>
              </w:rPr>
              <w:t>投标</w:t>
            </w:r>
            <w:r>
              <w:rPr>
                <w:rFonts w:hint="eastAsia" w:cs="仿宋" w:asciiTheme="minorEastAsia" w:hAnsiTheme="minorEastAsia" w:eastAsiaTheme="minorEastAsia"/>
                <w:color w:val="000000" w:themeColor="text1"/>
                <w:sz w:val="24"/>
                <w:szCs w:val="24"/>
                <w14:textFill>
                  <w14:solidFill>
                    <w14:schemeClr w14:val="tx1"/>
                  </w14:solidFill>
                </w14:textFill>
              </w:rPr>
              <w:t xml:space="preserve">报价)* </w:t>
            </w:r>
            <w:r>
              <w:rPr>
                <w:rFonts w:cs="仿宋" w:asciiTheme="minorEastAsia" w:hAnsiTheme="minorEastAsia" w:eastAsiaTheme="minorEastAsia"/>
                <w:color w:val="000000" w:themeColor="text1"/>
                <w:sz w:val="24"/>
                <w:szCs w:val="24"/>
                <w14:textFill>
                  <w14:solidFill>
                    <w14:schemeClr w14:val="tx1"/>
                  </w14:solidFill>
                </w14:textFill>
              </w:rPr>
              <w:t>1</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5</w:t>
            </w:r>
            <w:r>
              <w:rPr>
                <w:rFonts w:hint="eastAsia" w:cs="仿宋" w:asciiTheme="minorEastAsia" w:hAnsiTheme="minorEastAsia" w:eastAsiaTheme="minorEastAsia"/>
                <w:color w:val="000000" w:themeColor="text1"/>
                <w:sz w:val="24"/>
                <w:szCs w:val="24"/>
                <w14:textFill>
                  <w14:solidFill>
                    <w14:schemeClr w14:val="tx1"/>
                  </w14:solidFill>
                </w14:textFill>
              </w:rPr>
              <w:t>%*100</w:t>
            </w:r>
          </w:p>
          <w:p>
            <w:pPr>
              <w:spacing w:after="160" w:line="259" w:lineRule="auto"/>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注：小微企业(残疾人福利性单位、监狱企业视同小微企业)价格扣除按照投标人须知附表的相关要求执行。</w:t>
            </w:r>
          </w:p>
        </w:tc>
        <w:tc>
          <w:tcPr>
            <w:tcW w:w="1141"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4" w:hRule="atLeast"/>
          <w:jc w:val="center"/>
        </w:trPr>
        <w:tc>
          <w:tcPr>
            <w:tcW w:w="577" w:type="dxa"/>
            <w:vMerge w:val="restart"/>
            <w:vAlign w:val="center"/>
          </w:tcPr>
          <w:p>
            <w:pPr>
              <w:spacing w:after="160" w:line="400" w:lineRule="exact"/>
              <w:ind w:firstLine="28"/>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2</w:t>
            </w:r>
          </w:p>
        </w:tc>
        <w:tc>
          <w:tcPr>
            <w:tcW w:w="1119" w:type="dxa"/>
            <w:vMerge w:val="restart"/>
            <w:vAlign w:val="center"/>
          </w:tcPr>
          <w:p>
            <w:pPr>
              <w:spacing w:after="160"/>
              <w:jc w:val="center"/>
              <w:rPr>
                <w:rFonts w:cs="仿宋" w:asciiTheme="minorEastAsia" w:hAnsiTheme="minorEastAsia" w:eastAsiaTheme="minorEastAsia"/>
                <w:color w:val="000000" w:themeColor="text1"/>
                <w:sz w:val="24"/>
                <w:szCs w:val="24"/>
                <w14:textFill>
                  <w14:solidFill>
                    <w14:schemeClr w14:val="tx1"/>
                  </w14:solidFill>
                </w14:textFill>
              </w:rPr>
            </w:pPr>
            <w:r>
              <w:rPr>
                <w:rFonts w:cs="仿宋" w:asciiTheme="minorEastAsia" w:hAnsiTheme="minorEastAsia" w:eastAsiaTheme="minorEastAsia"/>
                <w:color w:val="000000" w:themeColor="text1"/>
                <w:sz w:val="24"/>
                <w:szCs w:val="24"/>
                <w14:textFill>
                  <w14:solidFill>
                    <w14:schemeClr w14:val="tx1"/>
                  </w14:solidFill>
                </w14:textFill>
              </w:rPr>
              <w:t>实施</w:t>
            </w:r>
          </w:p>
          <w:p>
            <w:pPr>
              <w:spacing w:after="160"/>
              <w:jc w:val="center"/>
              <w:rPr>
                <w:rFonts w:cs="仿宋" w:asciiTheme="minorEastAsia" w:hAnsiTheme="minorEastAsia" w:eastAsiaTheme="minorEastAsia"/>
                <w:color w:val="000000" w:themeColor="text1"/>
                <w:sz w:val="24"/>
                <w:szCs w:val="24"/>
                <w14:textFill>
                  <w14:solidFill>
                    <w14:schemeClr w14:val="tx1"/>
                  </w14:solidFill>
                </w14:textFill>
              </w:rPr>
            </w:pPr>
            <w:r>
              <w:rPr>
                <w:rFonts w:cs="仿宋" w:asciiTheme="minorEastAsia" w:hAnsiTheme="minorEastAsia" w:eastAsiaTheme="minorEastAsia"/>
                <w:color w:val="000000" w:themeColor="text1"/>
                <w:sz w:val="24"/>
                <w:szCs w:val="24"/>
                <w14:textFill>
                  <w14:solidFill>
                    <w14:schemeClr w14:val="tx1"/>
                  </w14:solidFill>
                </w14:textFill>
              </w:rPr>
              <w:t>方案4</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5</w:t>
            </w:r>
            <w:r>
              <w:rPr>
                <w:rFonts w:cs="仿宋" w:asciiTheme="minorEastAsia" w:hAnsiTheme="minorEastAsia" w:eastAsiaTheme="minorEastAsia"/>
                <w:color w:val="000000" w:themeColor="text1"/>
                <w:sz w:val="24"/>
                <w:szCs w:val="24"/>
                <w14:textFill>
                  <w14:solidFill>
                    <w14:schemeClr w14:val="tx1"/>
                  </w14:solidFill>
                </w14:textFill>
              </w:rPr>
              <w:t>%</w:t>
            </w:r>
          </w:p>
        </w:tc>
        <w:tc>
          <w:tcPr>
            <w:tcW w:w="703" w:type="dxa"/>
            <w:vMerge w:val="restart"/>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cs="仿宋" w:asciiTheme="minorEastAsia" w:hAnsiTheme="minorEastAsia" w:eastAsiaTheme="minorEastAsia"/>
                <w:color w:val="000000" w:themeColor="text1"/>
                <w:sz w:val="24"/>
                <w:szCs w:val="24"/>
                <w14:textFill>
                  <w14:solidFill>
                    <w14:schemeClr w14:val="tx1"/>
                  </w14:solidFill>
                </w14:textFill>
              </w:rPr>
              <w:t>4</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5</w:t>
            </w:r>
            <w:r>
              <w:rPr>
                <w:rFonts w:hint="eastAsia" w:cs="仿宋" w:asciiTheme="minorEastAsia" w:hAnsiTheme="minorEastAsia" w:eastAsiaTheme="minorEastAsia"/>
                <w:color w:val="000000" w:themeColor="text1"/>
                <w:sz w:val="24"/>
                <w:szCs w:val="24"/>
                <w14:textFill>
                  <w14:solidFill>
                    <w14:schemeClr w14:val="tx1"/>
                  </w14:solidFill>
                </w14:textFill>
              </w:rPr>
              <w:t>分</w:t>
            </w:r>
          </w:p>
        </w:tc>
        <w:tc>
          <w:tcPr>
            <w:tcW w:w="1273" w:type="dxa"/>
            <w:vAlign w:val="center"/>
          </w:tcPr>
          <w:p>
            <w:pPr>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项目概况及修复目标</w:t>
            </w:r>
          </w:p>
        </w:tc>
        <w:tc>
          <w:tcPr>
            <w:tcW w:w="5454" w:type="dxa"/>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项目概况、修复目标、修复步骤清晰明确的，每项得1分，本项最多3分。</w:t>
            </w:r>
          </w:p>
        </w:tc>
        <w:tc>
          <w:tcPr>
            <w:tcW w:w="1141" w:type="dxa"/>
            <w:vMerge w:val="restart"/>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0" w:hRule="atLeast"/>
          <w:jc w:val="center"/>
        </w:trPr>
        <w:tc>
          <w:tcPr>
            <w:tcW w:w="577" w:type="dxa"/>
            <w:vMerge w:val="continue"/>
            <w:vAlign w:val="center"/>
          </w:tcPr>
          <w:p>
            <w:pPr>
              <w:jc w:val="left"/>
              <w:rPr>
                <w:rFonts w:asciiTheme="minorEastAsia" w:hAnsiTheme="minorEastAsia" w:eastAsiaTheme="minorEastAsia"/>
                <w:sz w:val="24"/>
                <w:szCs w:val="24"/>
              </w:rPr>
            </w:pPr>
          </w:p>
        </w:tc>
        <w:tc>
          <w:tcPr>
            <w:tcW w:w="1119" w:type="dxa"/>
            <w:vMerge w:val="continue"/>
            <w:vAlign w:val="center"/>
          </w:tcPr>
          <w:p>
            <w:pPr>
              <w:jc w:val="left"/>
              <w:rPr>
                <w:rFonts w:asciiTheme="minorEastAsia" w:hAnsiTheme="minorEastAsia" w:eastAsiaTheme="minorEastAsia"/>
                <w:sz w:val="24"/>
                <w:szCs w:val="24"/>
              </w:rPr>
            </w:pPr>
          </w:p>
        </w:tc>
        <w:tc>
          <w:tcPr>
            <w:tcW w:w="703" w:type="dxa"/>
            <w:vMerge w:val="continue"/>
            <w:vAlign w:val="center"/>
          </w:tcPr>
          <w:p>
            <w:pPr>
              <w:jc w:val="left"/>
              <w:rPr>
                <w:rFonts w:asciiTheme="minorEastAsia" w:hAnsiTheme="minorEastAsia" w:eastAsiaTheme="minorEastAsia"/>
                <w:sz w:val="24"/>
                <w:szCs w:val="24"/>
              </w:rPr>
            </w:pPr>
          </w:p>
        </w:tc>
        <w:tc>
          <w:tcPr>
            <w:tcW w:w="1273" w:type="dxa"/>
            <w:vAlign w:val="center"/>
          </w:tcPr>
          <w:p>
            <w:pPr>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石刻文物修复</w:t>
            </w:r>
          </w:p>
        </w:tc>
        <w:tc>
          <w:tcPr>
            <w:tcW w:w="5454" w:type="dxa"/>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根据招标文件中第4章4.2中第五、第六点中关于文物修复措施要求，提供</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清洗工作</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微生物病害治理</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石刻彩绘颜料层加固</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脱盐</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金箔加固、回帖</w:t>
            </w:r>
            <w:r>
              <w:rPr>
                <w:rFonts w:hint="eastAsia" w:cs="仿宋" w:asciiTheme="minorEastAsia" w:hAnsiTheme="minorEastAsia" w:eastAsiaTheme="minorEastAsia"/>
                <w:color w:val="000000" w:themeColor="text1"/>
                <w:sz w:val="24"/>
                <w:szCs w:val="24"/>
                <w14:textFill>
                  <w14:solidFill>
                    <w14:schemeClr w14:val="tx1"/>
                  </w14:solidFill>
                </w14:textFill>
              </w:rPr>
              <w:t>，石刻表面彩绘封护6项基本措施，每具有一项措施且满足采购需求的，得4分，本项最多等得24分。</w:t>
            </w:r>
          </w:p>
        </w:tc>
        <w:tc>
          <w:tcPr>
            <w:tcW w:w="1141"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68" w:hRule="atLeast"/>
          <w:jc w:val="center"/>
        </w:trPr>
        <w:tc>
          <w:tcPr>
            <w:tcW w:w="577"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1119"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703"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1273" w:type="dxa"/>
            <w:vAlign w:val="center"/>
          </w:tcPr>
          <w:p>
            <w:pPr>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石刻文物搬运与搭建及虚拟修复</w:t>
            </w:r>
          </w:p>
        </w:tc>
        <w:tc>
          <w:tcPr>
            <w:tcW w:w="5454" w:type="dxa"/>
            <w:vAlign w:val="center"/>
          </w:tcPr>
          <w:p>
            <w:pPr>
              <w:spacing w:after="160" w:line="259" w:lineRule="auto"/>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根据招标文件第4章4.2中第三点中关于文物搬运，搭建以及虚拟修复要求，提</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供石刻文物搬运</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和</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搭建，虚拟修复</w:t>
            </w:r>
            <w:r>
              <w:rPr>
                <w:rFonts w:hint="eastAsia" w:cs="仿宋"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三维数据采集</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3个</w:t>
            </w:r>
            <w:r>
              <w:rPr>
                <w:rFonts w:hint="eastAsia" w:cs="仿宋" w:asciiTheme="minorEastAsia" w:hAnsiTheme="minorEastAsia" w:eastAsiaTheme="minorEastAsia"/>
                <w:color w:val="000000" w:themeColor="text1"/>
                <w:sz w:val="24"/>
                <w:szCs w:val="24"/>
                <w14:textFill>
                  <w14:solidFill>
                    <w14:schemeClr w14:val="tx1"/>
                  </w14:solidFill>
                </w14:textFill>
              </w:rPr>
              <w:t>方案，每具有1个方案且满足采购需求的，得4分，本项最多12分。</w:t>
            </w:r>
          </w:p>
        </w:tc>
        <w:tc>
          <w:tcPr>
            <w:tcW w:w="1141"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28" w:hRule="atLeast"/>
          <w:jc w:val="center"/>
        </w:trPr>
        <w:tc>
          <w:tcPr>
            <w:tcW w:w="577"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1119"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703"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c>
          <w:tcPr>
            <w:tcW w:w="1273"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应急保护</w:t>
            </w:r>
            <w:r>
              <w:rPr>
                <w:rFonts w:hint="eastAsia" w:cs="仿宋" w:asciiTheme="minorEastAsia" w:hAnsiTheme="minorEastAsia" w:eastAsiaTheme="minorEastAsia"/>
                <w:color w:val="000000" w:themeColor="text1"/>
                <w:sz w:val="24"/>
                <w:szCs w:val="24"/>
                <w14:textFill>
                  <w14:solidFill>
                    <w14:schemeClr w14:val="tx1"/>
                  </w14:solidFill>
                </w14:textFill>
              </w:rPr>
              <w:t>措施</w:t>
            </w:r>
          </w:p>
        </w:tc>
        <w:tc>
          <w:tcPr>
            <w:tcW w:w="5454" w:type="dxa"/>
            <w:vAlign w:val="center"/>
          </w:tcPr>
          <w:p>
            <w:pPr>
              <w:spacing w:after="160" w:line="259" w:lineRule="auto"/>
              <w:jc w:val="left"/>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根据招标文件第4章4.2中第七点关于安全措施要求，提供</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人员安全</w:t>
            </w:r>
            <w:r>
              <w:rPr>
                <w:rFonts w:cs="仿宋" w:asciiTheme="minorEastAsia" w:hAnsiTheme="minorEastAsia" w:eastAsiaTheme="minorEastAsia"/>
                <w:color w:val="000000" w:themeColor="text1"/>
                <w:sz w:val="24"/>
                <w:szCs w:val="24"/>
                <w:lang w:eastAsia="zh-Hans"/>
                <w14:textFill>
                  <w14:solidFill>
                    <w14:schemeClr w14:val="tx1"/>
                  </w14:solidFill>
                </w14:textFill>
              </w:rPr>
              <w:t>，</w:t>
            </w:r>
            <w:r>
              <w:rPr>
                <w:rFonts w:hint="eastAsia" w:cs="仿宋" w:asciiTheme="minorEastAsia" w:hAnsiTheme="minorEastAsia" w:eastAsiaTheme="minorEastAsia"/>
                <w:color w:val="000000" w:themeColor="text1"/>
                <w:sz w:val="24"/>
                <w:szCs w:val="24"/>
                <w14:textFill>
                  <w14:solidFill>
                    <w14:schemeClr w14:val="tx1"/>
                  </w14:solidFill>
                </w14:textFill>
              </w:rPr>
              <w:t>文物</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保护</w:t>
            </w:r>
            <w:r>
              <w:rPr>
                <w:rFonts w:cs="仿宋" w:asciiTheme="minorEastAsia" w:hAnsiTheme="minorEastAsia" w:eastAsiaTheme="minorEastAsia"/>
                <w:color w:val="000000" w:themeColor="text1"/>
                <w:sz w:val="24"/>
                <w:szCs w:val="24"/>
                <w:lang w:eastAsia="zh-Hans"/>
                <w14:textFill>
                  <w14:solidFill>
                    <w14:schemeClr w14:val="tx1"/>
                  </w14:solidFill>
                </w14:textFill>
              </w:rPr>
              <w:t>，</w:t>
            </w:r>
            <w:r>
              <w:rPr>
                <w:rFonts w:hint="eastAsia" w:cs="仿宋" w:asciiTheme="minorEastAsia" w:hAnsiTheme="minorEastAsia" w:eastAsiaTheme="minorEastAsia"/>
                <w:color w:val="000000" w:themeColor="text1"/>
                <w:sz w:val="24"/>
                <w:szCs w:val="24"/>
                <w14:textFill>
                  <w14:solidFill>
                    <w14:schemeClr w14:val="tx1"/>
                  </w14:solidFill>
                </w14:textFill>
              </w:rPr>
              <w:t>环境</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保护</w:t>
            </w:r>
            <w:r>
              <w:rPr>
                <w:rFonts w:hint="eastAsia" w:cs="仿宋" w:asciiTheme="minorEastAsia" w:hAnsiTheme="minorEastAsia" w:eastAsiaTheme="minorEastAsia"/>
                <w:color w:val="000000" w:themeColor="text1"/>
                <w:sz w:val="24"/>
                <w:szCs w:val="24"/>
                <w14:textFill>
                  <w14:solidFill>
                    <w14:schemeClr w14:val="tx1"/>
                  </w14:solidFill>
                </w14:textFill>
              </w:rPr>
              <w:t>3个方案，每具有1个方案且满足采购需求的，得</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w:t>
            </w:r>
            <w:r>
              <w:rPr>
                <w:rFonts w:hint="eastAsia" w:cs="仿宋" w:asciiTheme="minorEastAsia" w:hAnsiTheme="minorEastAsia" w:eastAsiaTheme="minorEastAsia"/>
                <w:color w:val="000000" w:themeColor="text1"/>
                <w:sz w:val="24"/>
                <w:szCs w:val="24"/>
                <w14:textFill>
                  <w14:solidFill>
                    <w14:schemeClr w14:val="tx1"/>
                  </w14:solidFill>
                </w14:textFill>
              </w:rPr>
              <w:t>分，本项最多</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6</w:t>
            </w:r>
            <w:r>
              <w:rPr>
                <w:rFonts w:hint="eastAsia" w:cs="仿宋" w:asciiTheme="minorEastAsia" w:hAnsiTheme="minorEastAsia" w:eastAsiaTheme="minorEastAsia"/>
                <w:color w:val="000000" w:themeColor="text1"/>
                <w:sz w:val="24"/>
                <w:szCs w:val="24"/>
                <w14:textFill>
                  <w14:solidFill>
                    <w14:schemeClr w14:val="tx1"/>
                  </w14:solidFill>
                </w14:textFill>
              </w:rPr>
              <w:t>分。</w:t>
            </w:r>
          </w:p>
        </w:tc>
        <w:tc>
          <w:tcPr>
            <w:tcW w:w="1141" w:type="dxa"/>
            <w:vMerge w:val="continue"/>
            <w:vAlign w:val="center"/>
          </w:tcPr>
          <w:p>
            <w:pPr>
              <w:jc w:val="left"/>
              <w:rPr>
                <w:rFonts w:cs="仿宋" w:asciiTheme="minorEastAsia" w:hAnsiTheme="minorEastAsia"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6" w:hRule="atLeast"/>
          <w:jc w:val="center"/>
        </w:trPr>
        <w:tc>
          <w:tcPr>
            <w:tcW w:w="577" w:type="dxa"/>
            <w:vAlign w:val="center"/>
          </w:tcPr>
          <w:p>
            <w:pPr>
              <w:spacing w:after="160" w:line="400" w:lineRule="exact"/>
              <w:ind w:firstLine="28"/>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3</w:t>
            </w:r>
          </w:p>
        </w:tc>
        <w:tc>
          <w:tcPr>
            <w:tcW w:w="1119"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项目人员配置</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26</w:t>
            </w:r>
            <w:r>
              <w:rPr>
                <w:rFonts w:cs="仿宋" w:asciiTheme="minorEastAsia" w:hAnsiTheme="minorEastAsia" w:eastAsiaTheme="minorEastAsia"/>
                <w:color w:val="000000" w:themeColor="text1"/>
                <w:sz w:val="24"/>
                <w:szCs w:val="24"/>
                <w14:textFill>
                  <w14:solidFill>
                    <w14:schemeClr w14:val="tx1"/>
                  </w14:solidFill>
                </w14:textFill>
              </w:rPr>
              <w:t>%</w:t>
            </w:r>
          </w:p>
        </w:tc>
        <w:tc>
          <w:tcPr>
            <w:tcW w:w="703"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26</w:t>
            </w:r>
            <w:r>
              <w:rPr>
                <w:rFonts w:hint="eastAsia" w:cs="仿宋" w:asciiTheme="minorEastAsia" w:hAnsiTheme="minorEastAsia" w:eastAsiaTheme="minorEastAsia"/>
                <w:color w:val="000000" w:themeColor="text1"/>
                <w:sz w:val="24"/>
                <w:szCs w:val="24"/>
                <w14:textFill>
                  <w14:solidFill>
                    <w14:schemeClr w14:val="tx1"/>
                  </w14:solidFill>
                </w14:textFill>
              </w:rPr>
              <w:t>分</w:t>
            </w:r>
          </w:p>
        </w:tc>
        <w:tc>
          <w:tcPr>
            <w:tcW w:w="6727" w:type="dxa"/>
            <w:gridSpan w:val="2"/>
            <w:vAlign w:val="center"/>
          </w:tcPr>
          <w:p>
            <w:pPr>
              <w:jc w:val="left"/>
              <w:rPr>
                <w:rFonts w:cs="仿宋" w:asciiTheme="minorEastAsia" w:hAnsiTheme="minorEastAsia" w:eastAsiaTheme="minorEastAsia"/>
                <w:color w:val="000000" w:themeColor="text1"/>
                <w:sz w:val="24"/>
                <w:szCs w:val="24"/>
                <w:highlight w:val="none"/>
                <w14:textFill>
                  <w14:solidFill>
                    <w14:schemeClr w14:val="tx1"/>
                  </w14:solidFill>
                </w14:textFill>
              </w:rPr>
            </w:pPr>
            <w:r>
              <w:rPr>
                <w:rFonts w:hint="eastAsia" w:cs="仿宋" w:asciiTheme="minorEastAsia" w:hAnsiTheme="minorEastAsia" w:eastAsiaTheme="minorEastAsia"/>
                <w:color w:val="000000" w:themeColor="text1"/>
                <w:sz w:val="24"/>
                <w:szCs w:val="24"/>
                <w:highlight w:val="none"/>
                <w14:textFill>
                  <w14:solidFill>
                    <w14:schemeClr w14:val="tx1"/>
                  </w14:solidFill>
                </w14:textFill>
              </w:rPr>
              <w:t>（1）项目负责人具备文博专业正高级职称的得</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8</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分</w:t>
            </w:r>
            <w:r>
              <w:rPr>
                <w:rFonts w:hint="eastAsia" w:cs="仿宋"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副高级职称的得5分</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w:t>
            </w:r>
          </w:p>
          <w:p>
            <w:pPr>
              <w:jc w:val="left"/>
              <w:rPr>
                <w:rFonts w:cs="仿宋" w:asciiTheme="minorEastAsia" w:hAnsiTheme="minorEastAsia" w:eastAsiaTheme="minorEastAsia"/>
                <w:color w:val="000000" w:themeColor="text1"/>
                <w:sz w:val="24"/>
                <w:szCs w:val="24"/>
                <w:highlight w:val="none"/>
                <w14:textFill>
                  <w14:solidFill>
                    <w14:schemeClr w14:val="tx1"/>
                  </w14:solidFill>
                </w14:textFill>
              </w:rPr>
            </w:pPr>
            <w:r>
              <w:rPr>
                <w:rFonts w:hint="eastAsia" w:cs="仿宋" w:asciiTheme="minorEastAsia" w:hAnsiTheme="minorEastAsia" w:eastAsiaTheme="minorEastAsia"/>
                <w:color w:val="000000" w:themeColor="text1"/>
                <w:sz w:val="24"/>
                <w:szCs w:val="24"/>
                <w:highlight w:val="none"/>
                <w14:textFill>
                  <w14:solidFill>
                    <w14:schemeClr w14:val="tx1"/>
                  </w14:solidFill>
                </w14:textFill>
              </w:rPr>
              <w:t>（</w:t>
            </w:r>
            <w:r>
              <w:rPr>
                <w:rFonts w:cs="仿宋" w:asciiTheme="minorEastAsia" w:hAnsiTheme="minorEastAsia" w:eastAsiaTheme="minorEastAsia"/>
                <w:color w:val="000000" w:themeColor="text1"/>
                <w:sz w:val="24"/>
                <w:szCs w:val="24"/>
                <w:highlight w:val="none"/>
                <w14:textFill>
                  <w14:solidFill>
                    <w14:schemeClr w14:val="tx1"/>
                  </w14:solidFill>
                </w14:textFill>
              </w:rPr>
              <w:t>2</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）技术负责人具备文博专业副高级</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及以上</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的得</w:t>
            </w: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8</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分；具备文博专业中级职称得5分。</w:t>
            </w:r>
          </w:p>
          <w:p>
            <w:pPr>
              <w:jc w:val="left"/>
              <w:rPr>
                <w:rFonts w:cs="仿宋" w:asciiTheme="minorEastAsia" w:hAnsiTheme="minorEastAsia" w:eastAsiaTheme="minorEastAsia"/>
                <w:color w:val="000000" w:themeColor="text1"/>
                <w:sz w:val="24"/>
                <w:szCs w:val="24"/>
                <w:highlight w:val="none"/>
                <w14:textFill>
                  <w14:solidFill>
                    <w14:schemeClr w14:val="tx1"/>
                  </w14:solidFill>
                </w14:textFill>
              </w:rPr>
            </w:pPr>
            <w:r>
              <w:rPr>
                <w:rFonts w:cs="仿宋" w:asciiTheme="minorEastAsia" w:hAnsiTheme="minorEastAsia" w:eastAsiaTheme="minorEastAsia"/>
                <w:color w:val="000000" w:themeColor="text1"/>
                <w:sz w:val="24"/>
                <w:szCs w:val="24"/>
                <w:highlight w:val="none"/>
                <w14:textFill>
                  <w14:solidFill>
                    <w14:schemeClr w14:val="tx1"/>
                  </w14:solidFill>
                </w14:textFill>
              </w:rPr>
              <w:t>（3）</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投标人主要修复人员具备文博专业副高级</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及以上</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职称每提供一个</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得</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3分；文博专业中级职称每提供一个</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得</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2分；文博专业初级职称每提供一个</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得</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1分；</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本项最多得</w:t>
            </w:r>
            <w:r>
              <w:rPr>
                <w:rFonts w:cs="仿宋" w:asciiTheme="minorEastAsia" w:hAnsiTheme="minorEastAsia" w:eastAsiaTheme="minorEastAsia"/>
                <w:color w:val="000000" w:themeColor="text1"/>
                <w:sz w:val="24"/>
                <w:szCs w:val="24"/>
                <w:highlight w:val="none"/>
                <w:lang w:eastAsia="zh-Hans"/>
                <w14:textFill>
                  <w14:solidFill>
                    <w14:schemeClr w14:val="tx1"/>
                  </w14:solidFill>
                </w14:textFill>
              </w:rPr>
              <w:t>10</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分</w:t>
            </w:r>
            <w:r>
              <w:rPr>
                <w:rFonts w:cs="仿宋" w:asciiTheme="minorEastAsia" w:hAnsiTheme="minorEastAsia" w:eastAsiaTheme="minorEastAsia"/>
                <w:color w:val="000000" w:themeColor="text1"/>
                <w:sz w:val="24"/>
                <w:szCs w:val="24"/>
                <w:highlight w:val="none"/>
                <w:lang w:eastAsia="zh-Hans"/>
                <w14:textFill>
                  <w14:solidFill>
                    <w14:schemeClr w14:val="tx1"/>
                  </w14:solidFill>
                </w14:textFill>
              </w:rPr>
              <w:t>。</w:t>
            </w:r>
          </w:p>
          <w:p>
            <w:pPr>
              <w:jc w:val="left"/>
              <w:rPr>
                <w:rFonts w:asciiTheme="minorEastAsia" w:hAnsiTheme="minorEastAsia" w:eastAsiaTheme="minorEastAsia"/>
                <w:color w:val="000000" w:themeColor="text1"/>
                <w:sz w:val="24"/>
                <w:szCs w:val="24"/>
                <w:lang w:eastAsia="zh-Hans"/>
                <w14:textFill>
                  <w14:solidFill>
                    <w14:schemeClr w14:val="tx1"/>
                  </w14:solidFill>
                </w14:textFill>
              </w:rPr>
            </w:pP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注</w:t>
            </w:r>
            <w:r>
              <w:rPr>
                <w:rFonts w:cs="仿宋" w:asciiTheme="minorEastAsia" w:hAnsiTheme="minorEastAsia" w:eastAsiaTheme="minorEastAsia"/>
                <w:color w:val="000000" w:themeColor="text1"/>
                <w:sz w:val="24"/>
                <w:szCs w:val="24"/>
                <w:highlight w:val="none"/>
                <w:lang w:eastAsia="zh-Hans"/>
                <w14:textFill>
                  <w14:solidFill>
                    <w14:schemeClr w14:val="tx1"/>
                  </w14:solidFill>
                </w14:textFill>
              </w:rPr>
              <w:t>：</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以上人员不重复计分</w:t>
            </w:r>
            <w:r>
              <w:rPr>
                <w:rFonts w:cs="仿宋" w:asciiTheme="minorEastAsia" w:hAnsiTheme="minorEastAsia" w:eastAsiaTheme="minorEastAsia"/>
                <w:color w:val="000000" w:themeColor="text1"/>
                <w:sz w:val="24"/>
                <w:szCs w:val="24"/>
                <w:highlight w:val="none"/>
                <w:lang w:eastAsia="zh-Hans"/>
                <w14:textFill>
                  <w14:solidFill>
                    <w14:schemeClr w14:val="tx1"/>
                  </w14:solidFill>
                </w14:textFill>
              </w:rPr>
              <w:t>，</w:t>
            </w:r>
            <w:r>
              <w:rPr>
                <w:rFonts w:hint="eastAsia" w:cs="仿宋" w:asciiTheme="minorEastAsia" w:hAnsiTheme="minorEastAsia" w:eastAsiaTheme="minorEastAsia"/>
                <w:color w:val="000000" w:themeColor="text1"/>
                <w:sz w:val="24"/>
                <w:szCs w:val="24"/>
                <w:highlight w:val="none"/>
                <w:lang w:eastAsia="zh-Hans"/>
                <w14:textFill>
                  <w14:solidFill>
                    <w14:schemeClr w14:val="tx1"/>
                  </w14:solidFill>
                </w14:textFill>
              </w:rPr>
              <w:t>提供人员证书复印件及在职证明</w:t>
            </w:r>
            <w:r>
              <w:rPr>
                <w:rFonts w:hint="eastAsia" w:cs="仿宋" w:asciiTheme="minorEastAsia" w:hAnsiTheme="minorEastAsia" w:eastAsiaTheme="minorEastAsia"/>
                <w:color w:val="000000" w:themeColor="text1"/>
                <w:sz w:val="24"/>
                <w:szCs w:val="24"/>
                <w:highlight w:val="none"/>
                <w14:textFill>
                  <w14:solidFill>
                    <w14:schemeClr w14:val="tx1"/>
                  </w14:solidFill>
                </w14:textFill>
              </w:rPr>
              <w:t>材料</w:t>
            </w:r>
            <w:r>
              <w:rPr>
                <w:rFonts w:cs="仿宋" w:asciiTheme="minorEastAsia" w:hAnsiTheme="minorEastAsia" w:eastAsiaTheme="minorEastAsia"/>
                <w:color w:val="000000" w:themeColor="text1"/>
                <w:sz w:val="24"/>
                <w:szCs w:val="24"/>
                <w:highlight w:val="none"/>
                <w:lang w:eastAsia="zh-Hans"/>
                <w14:textFill>
                  <w14:solidFill>
                    <w14:schemeClr w14:val="tx1"/>
                  </w14:solidFill>
                </w14:textFill>
              </w:rPr>
              <w:t>。</w:t>
            </w:r>
          </w:p>
        </w:tc>
        <w:tc>
          <w:tcPr>
            <w:tcW w:w="1141"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共同</w:t>
            </w:r>
            <w:r>
              <w:rPr>
                <w:rFonts w:hint="eastAsia" w:cs="仿宋" w:asciiTheme="minorEastAsia" w:hAnsiTheme="minorEastAsia" w:eastAsiaTheme="minorEastAsia"/>
                <w:color w:val="000000" w:themeColor="text1"/>
                <w:sz w:val="24"/>
                <w:szCs w:val="24"/>
                <w14:textFill>
                  <w14:solidFill>
                    <w14:schemeClr w14:val="tx1"/>
                  </w14:solidFill>
                </w14:textFill>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577" w:type="dxa"/>
            <w:vAlign w:val="center"/>
          </w:tcPr>
          <w:p>
            <w:pPr>
              <w:spacing w:after="160" w:line="400" w:lineRule="exact"/>
              <w:ind w:firstLine="28"/>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4</w:t>
            </w:r>
          </w:p>
        </w:tc>
        <w:tc>
          <w:tcPr>
            <w:tcW w:w="1119"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业绩</w:t>
            </w:r>
            <w:r>
              <w:rPr>
                <w:rFonts w:cs="仿宋" w:asciiTheme="minorEastAsia" w:hAnsiTheme="minorEastAsia" w:eastAsiaTheme="minorEastAsia"/>
                <w:color w:val="000000" w:themeColor="text1"/>
                <w:sz w:val="24"/>
                <w:szCs w:val="24"/>
                <w14:textFill>
                  <w14:solidFill>
                    <w14:schemeClr w14:val="tx1"/>
                  </w14:solidFill>
                </w14:textFill>
              </w:rPr>
              <w:t>1</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w:t>
            </w:r>
            <w:r>
              <w:rPr>
                <w:rFonts w:cs="仿宋" w:asciiTheme="minorEastAsia" w:hAnsiTheme="minorEastAsia" w:eastAsiaTheme="minorEastAsia"/>
                <w:color w:val="000000" w:themeColor="text1"/>
                <w:sz w:val="24"/>
                <w:szCs w:val="24"/>
                <w14:textFill>
                  <w14:solidFill>
                    <w14:schemeClr w14:val="tx1"/>
                  </w14:solidFill>
                </w14:textFill>
              </w:rPr>
              <w:t>%</w:t>
            </w:r>
          </w:p>
        </w:tc>
        <w:tc>
          <w:tcPr>
            <w:tcW w:w="703"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1</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w:t>
            </w:r>
            <w:r>
              <w:rPr>
                <w:rFonts w:hint="eastAsia" w:cs="仿宋" w:asciiTheme="minorEastAsia" w:hAnsiTheme="minorEastAsia" w:eastAsiaTheme="minorEastAsia"/>
                <w:color w:val="000000" w:themeColor="text1"/>
                <w:sz w:val="24"/>
                <w:szCs w:val="24"/>
                <w14:textFill>
                  <w14:solidFill>
                    <w14:schemeClr w14:val="tx1"/>
                  </w14:solidFill>
                </w14:textFill>
              </w:rPr>
              <w:t>分</w:t>
            </w:r>
          </w:p>
        </w:tc>
        <w:tc>
          <w:tcPr>
            <w:tcW w:w="6727" w:type="dxa"/>
            <w:gridSpan w:val="2"/>
            <w:vAlign w:val="center"/>
          </w:tcPr>
          <w:p>
            <w:pPr>
              <w:spacing w:after="160" w:line="259"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投标人提供</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2018</w:t>
            </w:r>
            <w:r>
              <w:rPr>
                <w:rFonts w:hint="eastAsia" w:cs="仿宋" w:asciiTheme="minorEastAsia" w:hAnsiTheme="minorEastAsia" w:eastAsiaTheme="minorEastAsia"/>
                <w:color w:val="000000" w:themeColor="text1"/>
                <w:sz w:val="24"/>
                <w:szCs w:val="24"/>
                <w14:textFill>
                  <w14:solidFill>
                    <w14:schemeClr w14:val="tx1"/>
                  </w14:solidFill>
                </w14:textFill>
              </w:rPr>
              <w:t>年1月1日以来的石刻类文物修复项目业绩或者包含石刻类文物的修复项目业绩，每提供1个得</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3</w:t>
            </w:r>
            <w:r>
              <w:rPr>
                <w:rFonts w:hint="eastAsia" w:cs="仿宋" w:asciiTheme="minorEastAsia" w:hAnsiTheme="minorEastAsia" w:eastAsiaTheme="minorEastAsia"/>
                <w:color w:val="000000" w:themeColor="text1"/>
                <w:sz w:val="24"/>
                <w:szCs w:val="24"/>
                <w14:textFill>
                  <w14:solidFill>
                    <w14:schemeClr w14:val="tx1"/>
                  </w14:solidFill>
                </w14:textFill>
              </w:rPr>
              <w:t>分，最多的</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12</w:t>
            </w:r>
            <w:r>
              <w:rPr>
                <w:rFonts w:hint="eastAsia" w:cs="仿宋" w:asciiTheme="minorEastAsia" w:hAnsiTheme="minorEastAsia" w:eastAsiaTheme="minorEastAsia"/>
                <w:color w:val="000000" w:themeColor="text1"/>
                <w:sz w:val="24"/>
                <w:szCs w:val="24"/>
                <w14:textFill>
                  <w14:solidFill>
                    <w14:schemeClr w14:val="tx1"/>
                  </w14:solidFill>
                </w14:textFill>
              </w:rPr>
              <w:t>分。</w:t>
            </w:r>
          </w:p>
          <w:p>
            <w:pPr>
              <w:pStyle w:val="2"/>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注：提供合同</w:t>
            </w:r>
            <w:r>
              <w:rPr>
                <w:rFonts w:hint="eastAsia" w:cs="仿宋" w:asciiTheme="minorEastAsia" w:hAnsiTheme="minorEastAsia" w:eastAsiaTheme="minorEastAsia"/>
                <w:color w:val="000000" w:themeColor="text1"/>
                <w:sz w:val="24"/>
                <w:szCs w:val="24"/>
                <w:lang w:eastAsia="zh-Hans"/>
                <w14:textFill>
                  <w14:solidFill>
                    <w14:schemeClr w14:val="tx1"/>
                  </w14:solidFill>
                </w14:textFill>
              </w:rPr>
              <w:t>复印件或</w:t>
            </w:r>
            <w:r>
              <w:rPr>
                <w:rFonts w:hint="eastAsia" w:cs="仿宋" w:asciiTheme="minorEastAsia" w:hAnsiTheme="minorEastAsia" w:eastAsiaTheme="minorEastAsia"/>
                <w:color w:val="000000" w:themeColor="text1"/>
                <w:sz w:val="24"/>
                <w:szCs w:val="24"/>
                <w14:textFill>
                  <w14:solidFill>
                    <w14:schemeClr w14:val="tx1"/>
                  </w14:solidFill>
                </w14:textFill>
              </w:rPr>
              <w:t>中标（成交）通知书复印件。</w:t>
            </w:r>
          </w:p>
        </w:tc>
        <w:tc>
          <w:tcPr>
            <w:tcW w:w="1141"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577" w:type="dxa"/>
            <w:vAlign w:val="center"/>
          </w:tcPr>
          <w:p>
            <w:pPr>
              <w:spacing w:after="160" w:line="400" w:lineRule="exact"/>
              <w:ind w:firstLine="28"/>
              <w:jc w:val="center"/>
              <w:rPr>
                <w:rFonts w:cs="仿宋" w:asciiTheme="minorEastAsia" w:hAnsiTheme="minorEastAsia" w:eastAsiaTheme="minorEastAsia"/>
                <w:color w:val="000000" w:themeColor="text1"/>
                <w:sz w:val="24"/>
                <w:szCs w:val="24"/>
                <w14:textFill>
                  <w14:solidFill>
                    <w14:schemeClr w14:val="tx1"/>
                  </w14:solidFill>
                </w14:textFill>
              </w:rPr>
            </w:pPr>
            <w:r>
              <w:rPr>
                <w:rFonts w:cs="仿宋" w:asciiTheme="minorEastAsia" w:hAnsiTheme="minorEastAsia" w:eastAsiaTheme="minorEastAsia"/>
                <w:color w:val="000000" w:themeColor="text1"/>
                <w:sz w:val="24"/>
                <w:szCs w:val="24"/>
                <w14:textFill>
                  <w14:solidFill>
                    <w14:schemeClr w14:val="tx1"/>
                  </w14:solidFill>
                </w14:textFill>
              </w:rPr>
              <w:t>5</w:t>
            </w:r>
          </w:p>
        </w:tc>
        <w:tc>
          <w:tcPr>
            <w:tcW w:w="1119"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扶持少数民族不发达地区2</w:t>
            </w:r>
            <w:r>
              <w:rPr>
                <w:rFonts w:cs="仿宋" w:asciiTheme="minorEastAsia" w:hAnsiTheme="minorEastAsia" w:eastAsiaTheme="minorEastAsia"/>
                <w:color w:val="000000" w:themeColor="text1"/>
                <w:sz w:val="24"/>
                <w:szCs w:val="24"/>
                <w14:textFill>
                  <w14:solidFill>
                    <w14:schemeClr w14:val="tx1"/>
                  </w14:solidFill>
                </w14:textFill>
              </w:rPr>
              <w:t>%</w:t>
            </w:r>
          </w:p>
        </w:tc>
        <w:tc>
          <w:tcPr>
            <w:tcW w:w="703" w:type="dxa"/>
            <w:vAlign w:val="center"/>
          </w:tcPr>
          <w:p>
            <w:pPr>
              <w:spacing w:after="160" w:line="259"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2分</w:t>
            </w:r>
          </w:p>
        </w:tc>
        <w:tc>
          <w:tcPr>
            <w:tcW w:w="6727" w:type="dxa"/>
            <w:gridSpan w:val="2"/>
            <w:vAlign w:val="center"/>
          </w:tcPr>
          <w:p>
            <w:pPr>
              <w:spacing w:after="160" w:line="259"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投标人属于不发达地区或少数</w:t>
            </w:r>
            <w:r>
              <w:rPr>
                <w:rFonts w:hint="eastAsia" w:cs="仿宋" w:asciiTheme="minorEastAsia" w:hAnsiTheme="minorEastAsia" w:eastAsiaTheme="minorEastAsia"/>
                <w:color w:val="000000" w:themeColor="text1"/>
                <w:sz w:val="24"/>
                <w:szCs w:val="24"/>
                <w:lang w:eastAsia="zh-CN"/>
                <w14:textFill>
                  <w14:solidFill>
                    <w14:schemeClr w14:val="tx1"/>
                  </w14:solidFill>
                </w14:textFill>
              </w:rPr>
              <w:t>民</w:t>
            </w:r>
            <w:r>
              <w:rPr>
                <w:rFonts w:hint="eastAsia" w:cs="仿宋" w:asciiTheme="minorEastAsia" w:hAnsiTheme="minorEastAsia" w:eastAsiaTheme="minorEastAsia"/>
                <w:color w:val="000000" w:themeColor="text1"/>
                <w:sz w:val="24"/>
                <w:szCs w:val="24"/>
                <w14:textFill>
                  <w14:solidFill>
                    <w14:schemeClr w14:val="tx1"/>
                  </w14:solidFill>
                </w14:textFill>
              </w:rPr>
              <w:t>族地区的得2分。（少数民族地区的以营业执照注册地为准，不发达地区以提供相关文件为准，不提供不得分）</w:t>
            </w:r>
          </w:p>
          <w:p>
            <w:pPr>
              <w:spacing w:after="160" w:line="259"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注：提供营业执照或相关证书复印件。</w:t>
            </w:r>
            <w:bookmarkStart w:id="467" w:name="_GoBack"/>
            <w:bookmarkEnd w:id="467"/>
          </w:p>
        </w:tc>
        <w:tc>
          <w:tcPr>
            <w:tcW w:w="1141" w:type="dxa"/>
            <w:vAlign w:val="center"/>
          </w:tcPr>
          <w:p>
            <w:pPr>
              <w:spacing w:after="160" w:line="259" w:lineRule="auto"/>
              <w:jc w:val="center"/>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共同评分因素</w:t>
            </w:r>
          </w:p>
        </w:tc>
      </w:tr>
    </w:tbl>
    <w:p>
      <w:pPr>
        <w:rPr>
          <w:rFonts w:asciiTheme="minorEastAsia" w:hAnsiTheme="minorEastAsia" w:eastAsiaTheme="minorEastAsia"/>
          <w:sz w:val="24"/>
          <w:szCs w:val="24"/>
        </w:rPr>
      </w:pPr>
    </w:p>
    <w:p>
      <w:pPr>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423" w:name="_Toc70684301"/>
      <w:r>
        <w:rPr>
          <w:rFonts w:hint="eastAsia" w:ascii="宋体" w:hAnsi="宋体"/>
          <w:b/>
          <w:bCs/>
          <w:sz w:val="28"/>
          <w:szCs w:val="28"/>
        </w:rPr>
        <w:t>废标</w:t>
      </w:r>
      <w:bookmarkEnd w:id="423"/>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废标后，县公资交易中心将在“四川政府采购网”和“成都市公共资源交易服务中心”网站上公告。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424" w:name="_Toc70684302"/>
      <w:r>
        <w:rPr>
          <w:rFonts w:hint="eastAsia" w:ascii="宋体" w:hAnsi="宋体"/>
          <w:b/>
          <w:bCs/>
          <w:sz w:val="28"/>
          <w:szCs w:val="28"/>
        </w:rPr>
        <w:t>定标</w:t>
      </w:r>
      <w:bookmarkEnd w:id="424"/>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147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二、县公资交易中心在评审结束之日起2个工作日内将评审报告送采购人。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四、根据采购人确定的中标（成交）人，县公资交易中心在“四川政府采购网”和“成都市公共资源交易服务中心”网站上发布中标（成交）公告，同时向中标（成交）人发出中标（成交）通知书。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五、采购人、县公资交易中心不解释中标（成交）或未中标（成交）原因，不退回投标文件和其他投标资料。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425" w:name="_Toc70684303"/>
      <w:r>
        <w:rPr>
          <w:rFonts w:hint="eastAsia" w:ascii="宋体" w:hAnsi="宋体"/>
          <w:b/>
          <w:bCs/>
          <w:sz w:val="28"/>
          <w:szCs w:val="28"/>
        </w:rPr>
        <w:t>评标专家在政府采购活动中承担以下义务</w:t>
      </w:r>
      <w:bookmarkEnd w:id="425"/>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发现采购人、县公资交易中心及其工作人员在政府采购活动中有干预评审、发表倾向性和歧视性言论、受贿或者接受投标人的其他好处及其他违法违规行为，及时向财政部门报告。</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解答有关方面对政府采购评审工作中有关问题的询问，配合采购人或者县公资交易中心答复投标人的询问、质疑，配合财政部门的投诉处理工作等事宜。</w:t>
      </w:r>
    </w:p>
    <w:p>
      <w:pPr>
        <w:numPr>
          <w:ilvl w:val="0"/>
          <w:numId w:val="41"/>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426" w:name="_Toc70684304"/>
      <w:r>
        <w:rPr>
          <w:rFonts w:hint="eastAsia" w:ascii="宋体" w:hAnsi="宋体"/>
          <w:b/>
          <w:bCs/>
          <w:sz w:val="28"/>
          <w:szCs w:val="28"/>
        </w:rPr>
        <w:t>评标委员会及其成员不得有下列行为</w:t>
      </w:r>
      <w:bookmarkEnd w:id="426"/>
    </w:p>
    <w:p>
      <w:pPr>
        <w:numPr>
          <w:ilvl w:val="0"/>
          <w:numId w:val="42"/>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2"/>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2"/>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2"/>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2"/>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2"/>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2"/>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427" w:name="_Toc70684305"/>
      <w:r>
        <w:rPr>
          <w:rFonts w:hint="eastAsia" w:ascii="宋体" w:hAnsi="宋体"/>
          <w:b/>
          <w:bCs/>
          <w:sz w:val="28"/>
          <w:szCs w:val="28"/>
        </w:rPr>
        <w:t>评审专家在政府采购活动中应当遵守以下工作纪律</w:t>
      </w:r>
      <w:bookmarkEnd w:id="427"/>
    </w:p>
    <w:p>
      <w:pPr>
        <w:numPr>
          <w:ilvl w:val="0"/>
          <w:numId w:val="43"/>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县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rPr>
        <w:t>县公资交易中心</w:t>
      </w:r>
      <w:r>
        <w:rPr>
          <w:rFonts w:hint="eastAsia" w:ascii="宋体" w:hAnsi="宋体"/>
          <w:sz w:val="28"/>
          <w:szCs w:val="28"/>
        </w:rPr>
        <w:t>，不得私自转托他人。</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rPr>
        <w:t>县公资交易中心</w:t>
      </w:r>
      <w:r>
        <w:rPr>
          <w:rFonts w:hint="eastAsia" w:ascii="宋体" w:hAnsi="宋体"/>
          <w:sz w:val="28"/>
          <w:szCs w:val="28"/>
        </w:rPr>
        <w:t>也可要求该评审专家回避。</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评审过程中关闭通讯设备，不得与外界联系。因发生不可预见情况，确实需要与外界联系的，应告知评标区值守人员，使用评标区内由县公资交易中心提供的通信设备，在监督人员监督之下办理。</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rPr>
        <w:t>市公资交易中心</w:t>
      </w:r>
      <w:r>
        <w:rPr>
          <w:rFonts w:hint="eastAsia" w:ascii="宋体" w:hAnsi="宋体"/>
          <w:sz w:val="28"/>
          <w:szCs w:val="28"/>
        </w:rPr>
        <w:t>的现场秩序管理，接受评标现场监督人员的合法监督。</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3"/>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3"/>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pPr>
    </w:p>
    <w:bookmarkEnd w:id="152"/>
    <w:bookmarkEnd w:id="153"/>
    <w:p>
      <w:pPr>
        <w:keepNext/>
        <w:keepLines/>
        <w:numPr>
          <w:ilvl w:val="0"/>
          <w:numId w:val="5"/>
        </w:numPr>
        <w:spacing w:before="340" w:after="330" w:line="400" w:lineRule="exact"/>
        <w:jc w:val="center"/>
        <w:outlineLvl w:val="0"/>
      </w:pPr>
      <w:bookmarkStart w:id="428" w:name="_Toc70684306"/>
      <w:r>
        <w:rPr>
          <w:rFonts w:hint="eastAsia" w:asciiTheme="minorEastAsia" w:hAnsiTheme="minorEastAsia" w:eastAsiaTheme="minorEastAsia"/>
          <w:b/>
          <w:bCs/>
          <w:spacing w:val="-20"/>
          <w:kern w:val="44"/>
          <w:sz w:val="28"/>
          <w:szCs w:val="28"/>
        </w:rPr>
        <w:t>拟签订合同</w:t>
      </w:r>
      <w:bookmarkEnd w:id="0"/>
      <w:bookmarkEnd w:id="1"/>
      <w:bookmarkEnd w:id="2"/>
      <w:bookmarkEnd w:id="3"/>
      <w:bookmarkStart w:id="429" w:name="_Toc316475673"/>
      <w:bookmarkEnd w:id="429"/>
      <w:bookmarkStart w:id="430" w:name="_Toc299975364"/>
      <w:bookmarkEnd w:id="430"/>
      <w:bookmarkStart w:id="431" w:name="_Toc316475675"/>
      <w:bookmarkEnd w:id="431"/>
      <w:bookmarkStart w:id="432" w:name="_Toc277152522"/>
      <w:bookmarkEnd w:id="432"/>
      <w:bookmarkStart w:id="433" w:name="_Toc316475667"/>
      <w:bookmarkEnd w:id="433"/>
      <w:bookmarkStart w:id="434" w:name="_Toc316475676"/>
      <w:bookmarkEnd w:id="434"/>
      <w:bookmarkStart w:id="435" w:name="_Toc316475672"/>
      <w:bookmarkEnd w:id="435"/>
      <w:bookmarkStart w:id="436" w:name="_Toc316475758"/>
      <w:bookmarkEnd w:id="436"/>
      <w:bookmarkStart w:id="437" w:name="_Toc316475666"/>
      <w:bookmarkEnd w:id="437"/>
      <w:bookmarkStart w:id="438" w:name="_Toc316475756"/>
      <w:bookmarkEnd w:id="438"/>
      <w:bookmarkStart w:id="439" w:name="_Toc316475751"/>
      <w:bookmarkEnd w:id="439"/>
      <w:bookmarkStart w:id="440" w:name="_Toc316475671"/>
      <w:bookmarkEnd w:id="440"/>
      <w:bookmarkStart w:id="441" w:name="_Toc316475665"/>
      <w:bookmarkEnd w:id="441"/>
      <w:bookmarkStart w:id="442" w:name="_Toc214858832"/>
      <w:bookmarkEnd w:id="442"/>
      <w:bookmarkStart w:id="443" w:name="_Toc316475674"/>
      <w:bookmarkEnd w:id="443"/>
      <w:bookmarkStart w:id="444" w:name="_Toc316475753"/>
      <w:bookmarkEnd w:id="444"/>
      <w:bookmarkStart w:id="445" w:name="_Toc316475668"/>
      <w:bookmarkEnd w:id="445"/>
      <w:bookmarkStart w:id="446" w:name="_Toc316475677"/>
      <w:bookmarkEnd w:id="446"/>
      <w:bookmarkStart w:id="447" w:name="_Toc316475763"/>
      <w:bookmarkEnd w:id="447"/>
      <w:bookmarkStart w:id="448" w:name="_Toc316475669"/>
      <w:bookmarkEnd w:id="448"/>
      <w:bookmarkStart w:id="449" w:name="_Toc316475762"/>
      <w:bookmarkEnd w:id="449"/>
      <w:bookmarkStart w:id="450" w:name="_Toc316475761"/>
      <w:bookmarkEnd w:id="450"/>
      <w:bookmarkStart w:id="451" w:name="_Toc316475755"/>
      <w:bookmarkEnd w:id="451"/>
      <w:bookmarkStart w:id="452" w:name="_Toc316475752"/>
      <w:bookmarkEnd w:id="452"/>
      <w:bookmarkStart w:id="453" w:name="_Toc316475760"/>
      <w:bookmarkEnd w:id="453"/>
      <w:bookmarkStart w:id="454" w:name="_Toc277152523"/>
      <w:bookmarkEnd w:id="454"/>
      <w:bookmarkStart w:id="455" w:name="_Toc316475759"/>
      <w:bookmarkEnd w:id="455"/>
      <w:bookmarkStart w:id="456" w:name="_Toc316475664"/>
      <w:bookmarkEnd w:id="456"/>
      <w:bookmarkStart w:id="457" w:name="_Toc316475764"/>
      <w:bookmarkEnd w:id="457"/>
      <w:bookmarkStart w:id="458" w:name="_Toc277152520"/>
      <w:bookmarkEnd w:id="458"/>
      <w:bookmarkStart w:id="459" w:name="_Toc277152521"/>
      <w:bookmarkEnd w:id="459"/>
      <w:bookmarkStart w:id="460" w:name="_Toc316475670"/>
      <w:bookmarkEnd w:id="460"/>
      <w:bookmarkStart w:id="461" w:name="_Toc316475754"/>
      <w:bookmarkEnd w:id="461"/>
      <w:bookmarkStart w:id="462" w:name="_Toc299975392"/>
      <w:bookmarkEnd w:id="462"/>
      <w:bookmarkStart w:id="463" w:name="_Toc316475757"/>
      <w:bookmarkEnd w:id="463"/>
      <w:bookmarkStart w:id="464" w:name="_Toc217446108"/>
      <w:bookmarkStart w:id="465" w:name="_Toc8573798"/>
      <w:bookmarkStart w:id="466" w:name="_Toc34729074"/>
      <w:r>
        <w:rPr>
          <w:rFonts w:hint="eastAsia" w:asciiTheme="minorEastAsia" w:hAnsiTheme="minorEastAsia" w:eastAsiaTheme="minorEastAsia"/>
          <w:b/>
          <w:bCs/>
          <w:spacing w:val="-20"/>
          <w:kern w:val="44"/>
          <w:sz w:val="28"/>
          <w:szCs w:val="28"/>
        </w:rPr>
        <w:t>文本</w:t>
      </w:r>
      <w:bookmarkEnd w:id="428"/>
      <w:r>
        <w:rPr>
          <w:rFonts w:hint="eastAsia" w:asciiTheme="minorEastAsia" w:hAnsiTheme="minorEastAsia" w:eastAsiaTheme="minorEastAsia"/>
          <w:b/>
          <w:bCs/>
          <w:spacing w:val="-20"/>
          <w:kern w:val="44"/>
          <w:sz w:val="28"/>
          <w:szCs w:val="28"/>
        </w:rPr>
        <w:t xml:space="preserve">  (仅供参考）</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政府采购合同编号：XXXX。</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签订地点：XXXX。</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签订时间：XXXX年XX月XX日。</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采购人（甲方）：蒲江县文化体育和旅游局</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统一社会信用代码：</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法定代表人：</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                       联系电话：</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供应商（乙方）：</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统一社会信用代码：</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法定代表人：</w:t>
      </w:r>
    </w:p>
    <w:p>
      <w:pPr>
        <w:tabs>
          <w:tab w:val="left" w:pos="644"/>
        </w:tabs>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                       联系电话：</w:t>
      </w:r>
    </w:p>
    <w:p>
      <w:pPr>
        <w:tabs>
          <w:tab w:val="left" w:pos="644"/>
        </w:tabs>
        <w:adjustRightInd w:val="0"/>
        <w:snapToGrid w:val="0"/>
        <w:spacing w:line="360" w:lineRule="auto"/>
        <w:rPr>
          <w:rFonts w:cs="仿宋" w:asciiTheme="minorEastAsia" w:hAnsiTheme="minorEastAsia" w:eastAsiaTheme="minorEastAsia"/>
          <w:sz w:val="28"/>
          <w:szCs w:val="28"/>
        </w:rPr>
      </w:pPr>
    </w:p>
    <w:p>
      <w:pPr>
        <w:tabs>
          <w:tab w:val="left" w:pos="644"/>
        </w:tabs>
        <w:adjustRightInd w:val="0"/>
        <w:snapToGrid w:val="0"/>
        <w:spacing w:line="360" w:lineRule="auto"/>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根据《中华人民共和国政府采购法》、《中华人民共和国民法典》及本项目《招标文件》、乙方的《投标文件》及《中标通知书》，甲、乙双方严格按照投标文件签订本合同。详细技术说明及其他有关合同项目的特定信息由合同附件予以说明，合同附件及本项目的招标文件、投标文件、《中标通知书》等均为本合同不可分割的部分。双方同意共同遵守如下条款：</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第一条 项目基本情况</w:t>
      </w:r>
    </w:p>
    <w:p>
      <w:pPr>
        <w:spacing w:line="440" w:lineRule="exact"/>
        <w:ind w:firstLine="560" w:firstLineChars="200"/>
        <w:jc w:val="left"/>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lang w:eastAsia="zh-Hans"/>
        </w:rPr>
        <w:t>蒲江县博物馆馆藏一批石刻彩绘文物。为加强保护和宣传展示，采购人（蒲江县文化体育和旅游局）拟于蒲江县博物馆新馆建造特展厅，选取部分石刻彩绘文物充实展陈。</w:t>
      </w:r>
      <w:r>
        <w:rPr>
          <w:rFonts w:hint="eastAsia" w:cs="仿宋" w:asciiTheme="minorEastAsia" w:hAnsiTheme="minorEastAsia" w:eastAsiaTheme="minorEastAsia"/>
          <w:bCs/>
          <w:sz w:val="28"/>
          <w:szCs w:val="28"/>
        </w:rPr>
        <w:t>因历史原因，这批石刻彩绘文物存在断裂、缺失、表面污染物遮盖、彩绘脱落、盐析以及表面生长微生物等多种病害，严重影响了文物的保存状态和展示效果。</w:t>
      </w:r>
      <w:r>
        <w:rPr>
          <w:rFonts w:hint="eastAsia" w:cs="仿宋" w:asciiTheme="minorEastAsia" w:hAnsiTheme="minorEastAsia" w:eastAsiaTheme="minorEastAsia"/>
          <w:bCs/>
          <w:sz w:val="28"/>
          <w:szCs w:val="28"/>
          <w:lang w:eastAsia="zh-Hans"/>
        </w:rPr>
        <w:t>为此，采购人</w:t>
      </w:r>
      <w:r>
        <w:rPr>
          <w:rFonts w:hint="eastAsia" w:cs="仿宋" w:asciiTheme="minorEastAsia" w:hAnsiTheme="minorEastAsia" w:eastAsiaTheme="minorEastAsia"/>
          <w:bCs/>
          <w:sz w:val="28"/>
          <w:szCs w:val="28"/>
        </w:rPr>
        <w:t>拟通过实施文物修复项目改善文物本体健康状况，恢复文物历史文化信息，满足其保存和展陈需求。</w:t>
      </w:r>
    </w:p>
    <w:p>
      <w:pPr>
        <w:pStyle w:val="2"/>
        <w:ind w:firstLine="560" w:firstLineChars="200"/>
        <w:rPr>
          <w:rFonts w:cs="仿宋" w:asciiTheme="minorEastAsia" w:hAnsiTheme="minorEastAsia" w:eastAsiaTheme="minorEastAsia"/>
          <w:b/>
          <w:sz w:val="28"/>
          <w:szCs w:val="28"/>
        </w:rPr>
      </w:pPr>
      <w:r>
        <w:rPr>
          <w:rFonts w:hint="eastAsia" w:cs="仿宋" w:asciiTheme="minorEastAsia" w:hAnsiTheme="minorEastAsia" w:eastAsiaTheme="minorEastAsia"/>
          <w:sz w:val="28"/>
          <w:szCs w:val="28"/>
        </w:rPr>
        <w:t>本项目涉及的石刻文物共计40余件，总重量86吨，表面积76平方米，保存在蒲江县博物馆文物库房。</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第二条 合同期限</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合同签订后1年。</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第三条 服务标准：以招标文件中载明的内容为准。</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第四条 付款方式及时间</w:t>
      </w:r>
    </w:p>
    <w:p>
      <w:pPr>
        <w:spacing w:line="360" w:lineRule="auto"/>
        <w:ind w:right="240" w:firstLine="800" w:firstLineChars="25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本项目按实施进度分期付款。</w:t>
      </w:r>
    </w:p>
    <w:p>
      <w:pPr>
        <w:spacing w:line="360" w:lineRule="auto"/>
        <w:ind w:right="240" w:firstLine="800" w:firstLineChars="25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首期付款：合同签订后，投标人凭付款申请书和发票向采购人办理合同总价20%的首期服务款结算手续；</w:t>
      </w:r>
    </w:p>
    <w:p>
      <w:pPr>
        <w:spacing w:line="360" w:lineRule="auto"/>
        <w:ind w:right="240" w:firstLine="800" w:firstLineChars="25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进度款项付款：项目通过采购人组织的中期验收后</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完成修复总量的50%</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，采购人支付合同总价</w:t>
      </w:r>
      <w:r>
        <w:rPr>
          <w:rFonts w:hint="eastAsia" w:ascii="仿宋" w:hAnsi="仿宋" w:eastAsia="仿宋" w:cs="仿宋"/>
          <w:color w:val="000000" w:themeColor="text1"/>
          <w:sz w:val="32"/>
          <w:szCs w:val="32"/>
          <w:lang w:val="en-US" w:eastAsia="zh-CN"/>
          <w14:textFill>
            <w14:solidFill>
              <w14:schemeClr w14:val="tx1"/>
            </w14:solidFill>
          </w14:textFill>
        </w:rPr>
        <w:t>25</w:t>
      </w:r>
      <w:r>
        <w:rPr>
          <w:rFonts w:hint="eastAsia" w:ascii="仿宋" w:hAnsi="仿宋" w:eastAsia="仿宋" w:cs="仿宋"/>
          <w:color w:val="000000" w:themeColor="text1"/>
          <w:sz w:val="32"/>
          <w:szCs w:val="32"/>
          <w14:textFill>
            <w14:solidFill>
              <w14:schemeClr w14:val="tx1"/>
            </w14:solidFill>
          </w14:textFill>
        </w:rPr>
        <w:t>%的进度款。投标人凭中期验收报告、付款申请书和发票向采购人办理进度款结算手续；完成所有文物的保护修复工作、经采购人组织专家验收通过，投标人凭付款申请书和发票向采购人办理合同总价</w:t>
      </w:r>
      <w:r>
        <w:rPr>
          <w:rFonts w:hint="eastAsia" w:ascii="仿宋" w:hAnsi="仿宋" w:eastAsia="仿宋" w:cs="仿宋"/>
          <w:color w:val="000000" w:themeColor="text1"/>
          <w:sz w:val="32"/>
          <w:szCs w:val="32"/>
          <w:lang w:val="en-US" w:eastAsia="zh-CN"/>
          <w14:textFill>
            <w14:solidFill>
              <w14:schemeClr w14:val="tx1"/>
            </w14:solidFill>
          </w14:textFill>
        </w:rPr>
        <w:t>25</w:t>
      </w:r>
      <w:r>
        <w:rPr>
          <w:rFonts w:hint="eastAsia" w:ascii="仿宋" w:hAnsi="仿宋" w:eastAsia="仿宋" w:cs="仿宋"/>
          <w:color w:val="000000" w:themeColor="text1"/>
          <w:sz w:val="32"/>
          <w:szCs w:val="32"/>
          <w14:textFill>
            <w14:solidFill>
              <w14:schemeClr w14:val="tx1"/>
            </w14:solidFill>
          </w14:textFill>
        </w:rPr>
        <w:t>%的结算手续。</w:t>
      </w:r>
    </w:p>
    <w:p>
      <w:pPr>
        <w:spacing w:line="360" w:lineRule="auto"/>
        <w:ind w:right="240"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完成文物搬迁、组装</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虚拟修复</w:t>
      </w:r>
      <w:r>
        <w:rPr>
          <w:rFonts w:hint="eastAsia" w:ascii="仿宋" w:hAnsi="仿宋" w:eastAsia="仿宋" w:cs="仿宋"/>
          <w:color w:val="000000" w:themeColor="text1"/>
          <w:sz w:val="32"/>
          <w:szCs w:val="32"/>
          <w:lang w:val="en-US" w:eastAsia="zh-CN"/>
          <w14:textFill>
            <w14:solidFill>
              <w14:schemeClr w14:val="tx1"/>
            </w14:solidFill>
          </w14:textFill>
        </w:rPr>
        <w:t>和精细化扫描</w:t>
      </w:r>
      <w:r>
        <w:rPr>
          <w:rFonts w:hint="eastAsia" w:ascii="仿宋" w:hAnsi="仿宋" w:eastAsia="仿宋" w:cs="仿宋"/>
          <w:color w:val="000000" w:themeColor="text1"/>
          <w:sz w:val="32"/>
          <w:szCs w:val="32"/>
          <w14:textFill>
            <w14:solidFill>
              <w14:schemeClr w14:val="tx1"/>
            </w14:solidFill>
          </w14:textFill>
        </w:rPr>
        <w:t>，项目通过市级验收</w:t>
      </w:r>
      <w:r>
        <w:rPr>
          <w:rFonts w:hint="eastAsia" w:ascii="仿宋" w:hAnsi="仿宋" w:eastAsia="仿宋" w:cs="仿宋"/>
          <w:color w:val="000000" w:themeColor="text1"/>
          <w:sz w:val="32"/>
          <w:szCs w:val="32"/>
          <w:lang w:val="en-US" w:eastAsia="zh-CN"/>
          <w14:textFill>
            <w14:solidFill>
              <w14:schemeClr w14:val="tx1"/>
            </w14:solidFill>
          </w14:textFill>
        </w:rPr>
        <w:t>后</w:t>
      </w:r>
      <w:r>
        <w:rPr>
          <w:rFonts w:hint="eastAsia" w:ascii="仿宋" w:hAnsi="仿宋" w:eastAsia="仿宋" w:cs="仿宋"/>
          <w:color w:val="000000" w:themeColor="text1"/>
          <w:sz w:val="32"/>
          <w:szCs w:val="32"/>
          <w14:textFill>
            <w14:solidFill>
              <w14:schemeClr w14:val="tx1"/>
            </w14:solidFill>
          </w14:textFill>
        </w:rPr>
        <w:t>,支付</w:t>
      </w:r>
      <w:r>
        <w:rPr>
          <w:rFonts w:hint="eastAsia" w:ascii="仿宋" w:hAnsi="仿宋" w:eastAsia="仿宋" w:cs="仿宋"/>
          <w:color w:val="000000" w:themeColor="text1"/>
          <w:sz w:val="32"/>
          <w:szCs w:val="32"/>
          <w:lang w:val="en-US" w:eastAsia="zh-CN"/>
          <w14:textFill>
            <w14:solidFill>
              <w14:schemeClr w14:val="tx1"/>
            </w14:solidFill>
          </w14:textFill>
        </w:rPr>
        <w:t>合同总价</w:t>
      </w:r>
      <w:r>
        <w:rPr>
          <w:rFonts w:hint="eastAsia" w:ascii="仿宋" w:hAnsi="仿宋" w:eastAsia="仿宋" w:cs="仿宋"/>
          <w:color w:val="000000" w:themeColor="text1"/>
          <w:sz w:val="32"/>
          <w:szCs w:val="32"/>
          <w14:textFill>
            <w14:solidFill>
              <w14:schemeClr w14:val="tx1"/>
            </w14:solidFill>
          </w14:textFill>
        </w:rPr>
        <w:t>的25%。</w:t>
      </w:r>
    </w:p>
    <w:p>
      <w:pPr>
        <w:pStyle w:val="2"/>
        <w:ind w:firstLine="64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展出后跟踪监测文物状况，1季度出一份监测报告，3年期满，经验收符合质量要求支付余款5%。</w:t>
      </w:r>
    </w:p>
    <w:p>
      <w:pPr>
        <w:ind w:firstLine="640"/>
        <w:rPr>
          <w:rFonts w:hint="eastAsia"/>
        </w:rPr>
      </w:pPr>
    </w:p>
    <w:p>
      <w:pPr>
        <w:pStyle w:val="2"/>
        <w:rPr>
          <w:rFonts w:hint="eastAsia"/>
        </w:rPr>
      </w:pP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第五条 知识产权</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乙方应保证所提供的服务或其任何一部分均不会侵犯任何第三方的专利权、商标权或著作权。</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第六条 无产权瑕疵条款</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乙方保证所提供的服务的所有权完全属于乙方且无任何抵押、查封等产权瑕疵。如有产权瑕疵的，视为乙方违约。乙方应负担由此而产生的一切损失。</w:t>
      </w:r>
    </w:p>
    <w:p>
      <w:pPr>
        <w:spacing w:line="440" w:lineRule="exact"/>
        <w:ind w:left="426"/>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第七条 履约保证金</w:t>
      </w:r>
    </w:p>
    <w:p>
      <w:pPr>
        <w:adjustRightInd w:val="0"/>
        <w:spacing w:line="360" w:lineRule="auto"/>
        <w:ind w:firstLine="560" w:firstLineChars="200"/>
        <w:jc w:val="left"/>
        <w:textAlignment w:val="baseline"/>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（一）履约保证金为合同总价的5%。</w:t>
      </w:r>
    </w:p>
    <w:p>
      <w:pPr>
        <w:adjustRightInd w:val="0"/>
        <w:spacing w:line="360" w:lineRule="auto"/>
        <w:ind w:firstLine="560" w:firstLineChars="200"/>
        <w:jc w:val="left"/>
        <w:textAlignment w:val="baseline"/>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（二）履约保证金作为违约金的一部分及用于补偿甲方因乙方不能履行合同义务而蒙受的损失。</w:t>
      </w:r>
    </w:p>
    <w:p>
      <w:pPr>
        <w:pStyle w:val="2"/>
        <w:ind w:firstLine="419" w:firstLineChars="149"/>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第八条 双方的权利和义务</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（一）甲方权利和义务</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2、负责检查监督乙方管理工作的实施及制度的执行情况。</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3、根据本合同规定，按时向乙方支付应付服务费用。</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4、国家法律、法规所规定由甲方承担的其它责任。</w:t>
      </w:r>
    </w:p>
    <w:p>
      <w:pPr>
        <w:pStyle w:val="2"/>
        <w:numPr>
          <w:ilvl w:val="0"/>
          <w:numId w:val="44"/>
        </w:numPr>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乙方权利和义务</w:t>
      </w:r>
    </w:p>
    <w:p>
      <w:pPr>
        <w:pStyle w:val="2"/>
        <w:rPr>
          <w:rFonts w:cs="仿宋"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hint="eastAsia" w:cs="仿宋" w:asciiTheme="minorEastAsia" w:hAnsiTheme="minorEastAsia" w:eastAsiaTheme="minorEastAsia"/>
          <w:sz w:val="28"/>
          <w:szCs w:val="28"/>
        </w:rPr>
        <w:t>1、对本合同规定的委托服务范围内的项目享有管理权及服务义务。</w:t>
      </w:r>
    </w:p>
    <w:p>
      <w:pPr>
        <w:pStyle w:val="2"/>
        <w:ind w:firstLine="700" w:firstLineChars="25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2、及时向甲方通告本项目服务范围内有关服务的重大事项。</w:t>
      </w:r>
    </w:p>
    <w:p>
      <w:pPr>
        <w:pStyle w:val="2"/>
        <w:ind w:firstLine="700" w:firstLineChars="25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3、接受项目行业管理部门及政府有关部门的指导，接受甲方的监督。</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4、国家法律、法规所规定由乙方承担的其它责任。</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5、乙方应依法与其员工签订《劳动合同》，自行处理好与其员工的劳动报酬、保险、福利等所有费用的支付，必要时甲方有权要求乙方提供《劳动合同》原件。乙方不得因未能规范处理劳动用工问题给甲方的经济或名誉造成任何影响，以及影响服务质量和效果。</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第九条 违约责任</w:t>
      </w:r>
    </w:p>
    <w:p>
      <w:pPr>
        <w:tabs>
          <w:tab w:val="left" w:pos="644"/>
        </w:tabs>
        <w:adjustRightInd w:val="0"/>
        <w:snapToGrid w:val="0"/>
        <w:spacing w:line="360" w:lineRule="auto"/>
        <w:ind w:firstLine="560" w:firstLineChars="20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一、甲乙双方必须遵守本合同并执行合同中的各项规定，保证本合同的正常履行。</w:t>
      </w:r>
    </w:p>
    <w:p>
      <w:pPr>
        <w:tabs>
          <w:tab w:val="left" w:pos="644"/>
        </w:tabs>
        <w:adjustRightInd w:val="0"/>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二、如因乙方工作人员在履行职务过程中的疏忽、失职、过错等故意或者过失原因给甲方、服务对象或第三人造成损失或侵害，包括但不限于甲方本身的财产损失，由此而导致的甲方对任何第三方的法律责任等，乙方对此均应承担全部的赔偿责任。</w:t>
      </w:r>
    </w:p>
    <w:p>
      <w:pPr>
        <w:spacing w:line="360" w:lineRule="auto"/>
        <w:ind w:right="240" w:firstLine="560" w:firstLineChars="200"/>
        <w:jc w:val="left"/>
        <w:rPr>
          <w:rFonts w:cs="仿宋" w:asciiTheme="minorEastAsia" w:hAnsiTheme="minorEastAsia" w:eastAsiaTheme="minorEastAsia"/>
          <w:color w:val="000000"/>
          <w:sz w:val="28"/>
          <w:szCs w:val="28"/>
        </w:rPr>
      </w:pPr>
      <w:r>
        <w:rPr>
          <w:rFonts w:hint="eastAsia" w:cs="仿宋" w:asciiTheme="minorEastAsia" w:hAnsiTheme="minorEastAsia" w:eastAsiaTheme="minorEastAsia"/>
          <w:color w:val="000000" w:themeColor="text1"/>
          <w:sz w:val="28"/>
          <w:szCs w:val="28"/>
          <w14:textFill>
            <w14:solidFill>
              <w14:schemeClr w14:val="tx1"/>
            </w14:solidFill>
          </w14:textFill>
        </w:rPr>
        <w:t>三、乙方未经甲方书面同意，擅自以任何形式将本合同项目转包</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或分包</w:t>
      </w:r>
      <w:r>
        <w:rPr>
          <w:rFonts w:hint="eastAsia" w:cs="仿宋" w:asciiTheme="minorEastAsia" w:hAnsiTheme="minorEastAsia" w:eastAsiaTheme="minorEastAsia"/>
          <w:color w:val="000000"/>
          <w:sz w:val="28"/>
          <w:szCs w:val="28"/>
        </w:rPr>
        <w:t>，给甲方造成损失的，乙方承担赔偿责任，甲方有权解除合同。</w:t>
      </w:r>
    </w:p>
    <w:p>
      <w:pPr>
        <w:numPr>
          <w:ilvl w:val="0"/>
          <w:numId w:val="0"/>
        </w:numPr>
        <w:spacing w:line="360" w:lineRule="auto"/>
        <w:ind w:right="240" w:rightChars="0" w:firstLine="560" w:firstLineChars="20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四、乙方</w:t>
      </w:r>
      <w:r>
        <w:rPr>
          <w:rFonts w:hint="eastAsia" w:asciiTheme="minorEastAsia" w:hAnsiTheme="minorEastAsia" w:eastAsiaTheme="minorEastAsia" w:cstheme="minorEastAsia"/>
          <w:color w:val="000000" w:themeColor="text1"/>
          <w:sz w:val="28"/>
          <w:szCs w:val="28"/>
          <w14:textFill>
            <w14:solidFill>
              <w14:schemeClr w14:val="tx1"/>
            </w14:solidFill>
          </w14:textFill>
        </w:rPr>
        <w:t>在服务期内无质量问题和违约行为的，</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14:textFill>
            <w14:solidFill>
              <w14:schemeClr w14:val="tx1"/>
            </w14:solidFill>
          </w14:textFill>
        </w:rPr>
        <w:t>应准时支付</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14:textFill>
            <w14:solidFill>
              <w14:schemeClr w14:val="tx1"/>
            </w14:solidFill>
          </w14:textFill>
        </w:rPr>
        <w:t>服务费，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如逾期，则按</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合同</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金额每日1‰标准向</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赔付违约金。</w:t>
      </w:r>
    </w:p>
    <w:p>
      <w:pPr>
        <w:pStyle w:val="2"/>
        <w:ind w:firstLine="560" w:firstLineChars="200"/>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五、</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若</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逾期，则按</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合同</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金额每日1‰标准向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赔付违约金。</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逾期超过</w:t>
      </w:r>
      <w:r>
        <w:rPr>
          <w:rFonts w:hint="eastAsia" w:asciiTheme="minorEastAsia" w:hAnsiTheme="minorEastAsia" w:eastAsiaTheme="minorEastAsia" w:cstheme="minorEastAsia"/>
          <w:color w:val="000000" w:themeColor="text1"/>
          <w:sz w:val="28"/>
          <w:szCs w:val="28"/>
          <w:highlight w:val="none"/>
          <w:u w:val="single"/>
          <w:lang w:val="en-US" w:eastAsia="zh-CN"/>
          <w14:textFill>
            <w14:solidFill>
              <w14:schemeClr w14:val="tx1"/>
            </w14:solidFill>
          </w14:textFill>
        </w:rPr>
        <w:t xml:space="preserve">30 </w:t>
      </w:r>
      <w:r>
        <w:rPr>
          <w:rFonts w:hint="eastAsia" w:asciiTheme="minorEastAsia" w:hAnsiTheme="minorEastAsia" w:eastAsiaTheme="minorEastAsia" w:cstheme="minorEastAsia"/>
          <w:color w:val="000000" w:themeColor="text1"/>
          <w:sz w:val="28"/>
          <w:szCs w:val="28"/>
          <w:highlight w:val="none"/>
          <w:u w:val="none"/>
          <w:lang w:val="en-US" w:eastAsia="zh-CN"/>
          <w14:textFill>
            <w14:solidFill>
              <w14:schemeClr w14:val="tx1"/>
            </w14:solidFill>
          </w14:textFill>
        </w:rPr>
        <w:t>天，甲方有权解除本合同。</w:t>
      </w:r>
    </w:p>
    <w:p>
      <w:pPr>
        <w:spacing w:line="360" w:lineRule="auto"/>
        <w:ind w:right="240" w:firstLine="560" w:firstLineChars="20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因</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原因导致变更、中止或者终止政府采购合同的，</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依照合同约定对</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受到的损失予以赔偿或者补偿。</w:t>
      </w:r>
    </w:p>
    <w:p>
      <w:pPr>
        <w:pStyle w:val="2"/>
        <w:numPr>
          <w:ilvl w:val="0"/>
          <w:numId w:val="0"/>
        </w:numPr>
        <w:ind w:firstLine="560" w:firstLineChars="200"/>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七、双方合同约定或法律法规规定违约方应当承担的其他违约责任。</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第十条 争议的解决方式</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发生与本合同有关的争议，双方应通过友好协商的方式解决，如协商不成，应向甲方所在地（成都市蒲江县）人民法院提起诉讼。</w:t>
      </w:r>
    </w:p>
    <w:p>
      <w:pPr>
        <w:pStyle w:val="2"/>
        <w:ind w:firstLine="562" w:firstLineChars="20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第十一条 其它事项</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（一）本合同未尽事宜,经双方协商一致后可签订书面补充协议。</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（二）本合同在双方法定代表人或授权代表签字并加盖单位公章或合同专用章后生效。若委托代理人签署本合同，必须持有加盖公章的法定代表人签字盖手印的委托授权书原件以及委托代理人身份证复印件。</w:t>
      </w:r>
    </w:p>
    <w:p>
      <w:pPr>
        <w:pStyle w:val="2"/>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（三）本合同一式柒份，甲方叁份，乙方贰份，蒲江县公共资源交易中心壹份，</w:t>
      </w:r>
      <w:r>
        <w:rPr>
          <w:rFonts w:hint="eastAsia" w:cs="方正仿宋简体" w:asciiTheme="minorEastAsia" w:hAnsiTheme="minorEastAsia" w:eastAsiaTheme="minorEastAsia"/>
          <w:sz w:val="28"/>
          <w:szCs w:val="28"/>
        </w:rPr>
        <w:t>县财政局备案壹份，</w:t>
      </w:r>
      <w:r>
        <w:rPr>
          <w:rFonts w:hint="eastAsia" w:cs="仿宋" w:asciiTheme="minorEastAsia" w:hAnsiTheme="minorEastAsia" w:eastAsiaTheme="minorEastAsia"/>
          <w:sz w:val="28"/>
          <w:szCs w:val="28"/>
        </w:rPr>
        <w:t>具有相同的法律效力。</w:t>
      </w:r>
    </w:p>
    <w:p>
      <w:pPr>
        <w:pStyle w:val="2"/>
        <w:rPr>
          <w:rFonts w:cs="仿宋" w:asciiTheme="minorEastAsia" w:hAnsiTheme="minorEastAsia" w:eastAsiaTheme="minorEastAsia"/>
          <w:sz w:val="28"/>
          <w:szCs w:val="28"/>
        </w:rPr>
      </w:pP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甲方：（盖章）</w:t>
      </w:r>
      <w:r>
        <w:rPr>
          <w:rFonts w:hint="eastAsia" w:cs="仿宋" w:asciiTheme="minorEastAsia" w:hAnsiTheme="minorEastAsia" w:eastAsiaTheme="minorEastAsia"/>
          <w:sz w:val="28"/>
          <w:szCs w:val="28"/>
        </w:rPr>
        <w:tab/>
      </w:r>
      <w:r>
        <w:rPr>
          <w:rFonts w:hint="eastAsia" w:cs="仿宋" w:asciiTheme="minorEastAsia" w:hAnsiTheme="minorEastAsia" w:eastAsiaTheme="minorEastAsia"/>
          <w:sz w:val="28"/>
          <w:szCs w:val="28"/>
        </w:rPr>
        <w:tab/>
      </w:r>
      <w:r>
        <w:rPr>
          <w:rFonts w:hint="eastAsia" w:cs="仿宋" w:asciiTheme="minorEastAsia" w:hAnsiTheme="minorEastAsia" w:eastAsiaTheme="minorEastAsia"/>
          <w:sz w:val="28"/>
          <w:szCs w:val="28"/>
        </w:rPr>
        <w:tab/>
      </w:r>
      <w:r>
        <w:rPr>
          <w:rFonts w:hint="eastAsia" w:cs="仿宋" w:asciiTheme="minorEastAsia" w:hAnsiTheme="minorEastAsia" w:eastAsiaTheme="minorEastAsia"/>
          <w:sz w:val="28"/>
          <w:szCs w:val="28"/>
        </w:rPr>
        <w:t xml:space="preserve">              乙方：（盖章）</w:t>
      </w: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法定代表人（授权代表）：            法定代表人（授权代表）：</w:t>
      </w: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                             地址：</w:t>
      </w: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开户银行：                         开户银行：</w:t>
      </w: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账号：                             账号：</w:t>
      </w:r>
    </w:p>
    <w:p>
      <w:pPr>
        <w:pStyle w:val="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电话：                             电话：</w:t>
      </w:r>
    </w:p>
    <w:p>
      <w:pPr>
        <w:pStyle w:val="2"/>
        <w:rPr>
          <w:rFonts w:asciiTheme="minorEastAsia" w:hAnsiTheme="minorEastAsia" w:eastAsiaTheme="minorEastAsia"/>
          <w:b/>
          <w:bCs/>
          <w:spacing w:val="-20"/>
          <w:kern w:val="44"/>
          <w:sz w:val="28"/>
          <w:szCs w:val="28"/>
        </w:rPr>
      </w:pPr>
      <w:r>
        <w:rPr>
          <w:rFonts w:hint="eastAsia" w:cs="仿宋" w:asciiTheme="minorEastAsia" w:hAnsiTheme="minorEastAsia" w:eastAsiaTheme="minorEastAsia"/>
          <w:sz w:val="28"/>
          <w:szCs w:val="28"/>
        </w:rPr>
        <w:t>签约日期：  年  月  日</w:t>
      </w:r>
      <w:r>
        <w:rPr>
          <w:rFonts w:hint="eastAsia" w:cs="仿宋" w:asciiTheme="minorEastAsia" w:hAnsiTheme="minorEastAsia" w:eastAsiaTheme="minorEastAsia"/>
          <w:sz w:val="28"/>
          <w:szCs w:val="28"/>
        </w:rPr>
        <w:tab/>
      </w:r>
      <w:r>
        <w:rPr>
          <w:rFonts w:hint="eastAsia" w:cs="仿宋" w:asciiTheme="minorEastAsia" w:hAnsiTheme="minorEastAsia" w:eastAsiaTheme="minorEastAsia"/>
          <w:sz w:val="28"/>
          <w:szCs w:val="28"/>
        </w:rPr>
        <w:t xml:space="preserve">           签约日期：年 月 日</w:t>
      </w:r>
    </w:p>
    <w:p>
      <w:pPr>
        <w:rPr>
          <w:rFonts w:cs="Tahoma" w:asciiTheme="minorEastAsia" w:hAnsiTheme="minorEastAsia" w:eastAsiaTheme="minorEastAsia"/>
          <w:b/>
          <w:sz w:val="28"/>
          <w:szCs w:val="28"/>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b/>
          <w:bCs/>
          <w:sz w:val="32"/>
          <w:szCs w:val="32"/>
        </w:rPr>
      </w:pPr>
      <w:r>
        <w:rPr>
          <w:rFonts w:hint="eastAsia"/>
          <w:b/>
          <w:bCs/>
          <w:sz w:val="32"/>
          <w:szCs w:val="32"/>
        </w:rPr>
        <w:t>附件：</w:t>
      </w:r>
    </w:p>
    <w:p>
      <w:pPr>
        <w:rPr>
          <w:rFonts w:ascii="仿宋" w:hAnsi="仿宋" w:eastAsia="仿宋"/>
          <w:sz w:val="30"/>
          <w:szCs w:val="32"/>
        </w:rPr>
      </w:pPr>
      <w:r>
        <w:rPr>
          <w:rFonts w:hint="eastAsia"/>
        </w:rPr>
        <w:drawing>
          <wp:inline distT="0" distB="0" distL="114300" distR="114300">
            <wp:extent cx="5937885" cy="8166735"/>
            <wp:effectExtent l="0" t="0" r="5715" b="5715"/>
            <wp:docPr id="1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信用融资实施方案 001"/>
                    <pic:cNvPicPr>
                      <a:picLocks noChangeAspect="1"/>
                    </pic:cNvPicPr>
                  </pic:nvPicPr>
                  <pic:blipFill>
                    <a:blip r:embed="rId70"/>
                    <a:stretch>
                      <a:fillRect/>
                    </a:stretch>
                  </pic:blipFill>
                  <pic:spPr>
                    <a:xfrm>
                      <a:off x="0" y="0"/>
                      <a:ext cx="5937885" cy="8166735"/>
                    </a:xfrm>
                    <a:prstGeom prst="rect">
                      <a:avLst/>
                    </a:prstGeom>
                    <a:noFill/>
                    <a:ln>
                      <a:noFill/>
                    </a:ln>
                  </pic:spPr>
                </pic:pic>
              </a:graphicData>
            </a:graphic>
          </wp:inline>
        </w:drawing>
      </w:r>
    </w:p>
    <w:p>
      <w:pPr>
        <w:rPr>
          <w:rFonts w:ascii="仿宋" w:hAnsi="仿宋" w:eastAsia="仿宋"/>
          <w:sz w:val="30"/>
          <w:szCs w:val="32"/>
        </w:rPr>
      </w:pPr>
    </w:p>
    <w:p>
      <w:pPr>
        <w:tabs>
          <w:tab w:val="left" w:pos="703"/>
        </w:tabs>
        <w:jc w:val="left"/>
      </w:pPr>
    </w:p>
    <w:p>
      <w:r>
        <w:rPr>
          <w:rFonts w:hint="eastAsia"/>
        </w:rPr>
        <w:drawing>
          <wp:inline distT="0" distB="0" distL="114300" distR="114300">
            <wp:extent cx="5937885" cy="8166735"/>
            <wp:effectExtent l="0" t="0" r="5715" b="5715"/>
            <wp:docPr id="11"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信用融资实施方案 002"/>
                    <pic:cNvPicPr>
                      <a:picLocks noChangeAspect="1"/>
                    </pic:cNvPicPr>
                  </pic:nvPicPr>
                  <pic:blipFill>
                    <a:blip r:embed="rId71"/>
                    <a:stretch>
                      <a:fillRect/>
                    </a:stretch>
                  </pic:blipFill>
                  <pic:spPr>
                    <a:xfrm>
                      <a:off x="0" y="0"/>
                      <a:ext cx="5937885" cy="8166735"/>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2"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信用融资实施方案 003"/>
                    <pic:cNvPicPr>
                      <a:picLocks noChangeAspect="1"/>
                    </pic:cNvPicPr>
                  </pic:nvPicPr>
                  <pic:blipFill>
                    <a:blip r:embed="rId72"/>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3"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信用融资实施方案 004"/>
                    <pic:cNvPicPr>
                      <a:picLocks noChangeAspect="1"/>
                    </pic:cNvPicPr>
                  </pic:nvPicPr>
                  <pic:blipFill>
                    <a:blip r:embed="rId73"/>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4"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信用融资实施方案 005"/>
                    <pic:cNvPicPr>
                      <a:picLocks noChangeAspect="1"/>
                    </pic:cNvPicPr>
                  </pic:nvPicPr>
                  <pic:blipFill>
                    <a:blip r:embed="rId74"/>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5"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信用融资实施方案 006"/>
                    <pic:cNvPicPr>
                      <a:picLocks noChangeAspect="1"/>
                    </pic:cNvPicPr>
                  </pic:nvPicPr>
                  <pic:blipFill>
                    <a:blip r:embed="rId75"/>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6"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信用融资实施方案 007"/>
                    <pic:cNvPicPr>
                      <a:picLocks noChangeAspect="1"/>
                    </pic:cNvPicPr>
                  </pic:nvPicPr>
                  <pic:blipFill>
                    <a:blip r:embed="rId76"/>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rPr>
          <w:rFonts w:hint="eastAsia"/>
        </w:rPr>
        <w:drawing>
          <wp:inline distT="0" distB="0" distL="114300" distR="114300">
            <wp:extent cx="5937885" cy="9780270"/>
            <wp:effectExtent l="0" t="0" r="5715" b="11430"/>
            <wp:docPr id="17"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信用融资实施方案 008"/>
                    <pic:cNvPicPr>
                      <a:picLocks noChangeAspect="1"/>
                    </pic:cNvPicPr>
                  </pic:nvPicPr>
                  <pic:blipFill>
                    <a:blip r:embed="rId77"/>
                    <a:stretch>
                      <a:fillRect/>
                    </a:stretch>
                  </pic:blipFill>
                  <pic:spPr>
                    <a:xfrm>
                      <a:off x="0" y="0"/>
                      <a:ext cx="5937885" cy="978027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4981575" cy="7143750"/>
            <wp:effectExtent l="0" t="0" r="9525" b="0"/>
            <wp:docPr id="18"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D:\我的文档\Tencent Files\1977470554\Image\C2C\DA7640OOIH`S[ANR9A1{5PM.png"/>
                    <pic:cNvPicPr>
                      <a:picLocks noChangeAspect="1"/>
                    </pic:cNvPicPr>
                  </pic:nvPicPr>
                  <pic:blipFill>
                    <a:blip r:embed="rId78"/>
                    <a:stretch>
                      <a:fillRect/>
                    </a:stretch>
                  </pic:blipFill>
                  <pic:spPr>
                    <a:xfrm>
                      <a:off x="0" y="0"/>
                      <a:ext cx="4981575" cy="7143750"/>
                    </a:xfrm>
                    <a:prstGeom prst="rect">
                      <a:avLst/>
                    </a:prstGeom>
                    <a:noFill/>
                    <a:ln>
                      <a:noFill/>
                    </a:ln>
                  </pic:spPr>
                </pic:pic>
              </a:graphicData>
            </a:graphic>
          </wp:inline>
        </w:drawing>
      </w:r>
    </w:p>
    <w:p>
      <w:pPr>
        <w:rPr>
          <w:rFonts w:ascii="仿宋" w:hAnsi="仿宋" w:eastAsia="仿宋"/>
          <w:sz w:val="30"/>
          <w:szCs w:val="32"/>
        </w:rPr>
      </w:pPr>
    </w:p>
    <w:p>
      <w:pPr>
        <w:rPr>
          <w:rFonts w:ascii="仿宋" w:hAnsi="仿宋" w:eastAsia="仿宋"/>
          <w:sz w:val="30"/>
          <w:szCs w:val="32"/>
        </w:rPr>
      </w:pPr>
    </w:p>
    <w:p>
      <w:pPr>
        <w:rPr>
          <w:rFonts w:ascii="仿宋" w:hAnsi="仿宋" w:eastAsia="仿宋"/>
          <w:sz w:val="30"/>
          <w:szCs w:val="32"/>
        </w:rPr>
      </w:pPr>
    </w:p>
    <w:p>
      <w:pPr>
        <w:rPr>
          <w:rFonts w:ascii="仿宋" w:hAnsi="仿宋" w:eastAsia="仿宋"/>
          <w:sz w:val="30"/>
          <w:szCs w:val="32"/>
        </w:rPr>
      </w:pPr>
    </w:p>
    <w:p>
      <w:pPr>
        <w:rPr>
          <w:rFonts w:ascii="仿宋" w:hAnsi="仿宋" w:eastAsia="仿宋"/>
          <w:sz w:val="30"/>
          <w:szCs w:val="32"/>
        </w:rPr>
      </w:pPr>
      <w:r>
        <w:drawing>
          <wp:inline distT="0" distB="0" distL="114300" distR="114300">
            <wp:extent cx="5274310" cy="8686800"/>
            <wp:effectExtent l="0" t="0" r="2540" b="0"/>
            <wp:docPr id="19"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79"/>
                    <a:stretch>
                      <a:fillRect/>
                    </a:stretch>
                  </pic:blipFill>
                  <pic:spPr>
                    <a:xfrm>
                      <a:off x="0" y="0"/>
                      <a:ext cx="5274310" cy="868680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5274310" cy="8686800"/>
            <wp:effectExtent l="0" t="0" r="2540" b="0"/>
            <wp:docPr id="20"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80"/>
                    <a:stretch>
                      <a:fillRect/>
                    </a:stretch>
                  </pic:blipFill>
                  <pic:spPr>
                    <a:xfrm>
                      <a:off x="0" y="0"/>
                      <a:ext cx="5274310" cy="868680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5274310" cy="8686800"/>
            <wp:effectExtent l="0" t="0" r="2540" b="0"/>
            <wp:docPr id="21"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81"/>
                    <a:stretch>
                      <a:fillRect/>
                    </a:stretch>
                  </pic:blipFill>
                  <pic:spPr>
                    <a:xfrm>
                      <a:off x="0" y="0"/>
                      <a:ext cx="5274310" cy="868680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5274310" cy="8686800"/>
            <wp:effectExtent l="0" t="0" r="2540" b="0"/>
            <wp:docPr id="22"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82"/>
                    <a:stretch>
                      <a:fillRect/>
                    </a:stretch>
                  </pic:blipFill>
                  <pic:spPr>
                    <a:xfrm>
                      <a:off x="0" y="0"/>
                      <a:ext cx="5274310" cy="868680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5274310" cy="8686800"/>
            <wp:effectExtent l="0" t="0" r="2540" b="0"/>
            <wp:docPr id="23"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83"/>
                    <a:stretch>
                      <a:fillRect/>
                    </a:stretch>
                  </pic:blipFill>
                  <pic:spPr>
                    <a:xfrm>
                      <a:off x="0" y="0"/>
                      <a:ext cx="5274310" cy="8686800"/>
                    </a:xfrm>
                    <a:prstGeom prst="rect">
                      <a:avLst/>
                    </a:prstGeom>
                    <a:noFill/>
                    <a:ln>
                      <a:noFill/>
                    </a:ln>
                  </pic:spPr>
                </pic:pic>
              </a:graphicData>
            </a:graphic>
          </wp:inline>
        </w:drawing>
      </w:r>
    </w:p>
    <w:p>
      <w:pPr>
        <w:rPr>
          <w:rFonts w:ascii="仿宋" w:hAnsi="仿宋" w:eastAsia="仿宋"/>
          <w:sz w:val="30"/>
          <w:szCs w:val="32"/>
        </w:rPr>
      </w:pPr>
      <w:r>
        <w:drawing>
          <wp:inline distT="0" distB="0" distL="114300" distR="114300">
            <wp:extent cx="5274310" cy="8686800"/>
            <wp:effectExtent l="0" t="0" r="2540" b="0"/>
            <wp:docPr id="24"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84"/>
                    <a:stretch>
                      <a:fillRect/>
                    </a:stretch>
                  </pic:blipFill>
                  <pic:spPr>
                    <a:xfrm>
                      <a:off x="0" y="0"/>
                      <a:ext cx="5274310" cy="8686800"/>
                    </a:xfrm>
                    <a:prstGeom prst="rect">
                      <a:avLst/>
                    </a:prstGeom>
                    <a:noFill/>
                    <a:ln>
                      <a:noFill/>
                    </a:ln>
                  </pic:spPr>
                </pic:pic>
              </a:graphicData>
            </a:graphic>
          </wp:inline>
        </w:drawing>
      </w:r>
    </w:p>
    <w:p>
      <w:r>
        <w:drawing>
          <wp:inline distT="0" distB="0" distL="114300" distR="114300">
            <wp:extent cx="5274310" cy="8686800"/>
            <wp:effectExtent l="0" t="0" r="2540" b="0"/>
            <wp:docPr id="25"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85"/>
                    <a:stretch>
                      <a:fillRect/>
                    </a:stretch>
                  </pic:blipFill>
                  <pic:spPr>
                    <a:xfrm>
                      <a:off x="0" y="0"/>
                      <a:ext cx="5274310" cy="8686800"/>
                    </a:xfrm>
                    <a:prstGeom prst="rect">
                      <a:avLst/>
                    </a:prstGeom>
                    <a:noFill/>
                    <a:ln>
                      <a:noFill/>
                    </a:ln>
                  </pic:spPr>
                </pic:pic>
              </a:graphicData>
            </a:graphic>
          </wp:inline>
        </w:drawing>
      </w: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pPr>
    </w:p>
    <w:p>
      <w:pPr>
        <w:tabs>
          <w:tab w:val="left" w:pos="1155"/>
          <w:tab w:val="left" w:pos="1276"/>
          <w:tab w:val="left" w:pos="1418"/>
        </w:tabs>
        <w:spacing w:line="580" w:lineRule="exact"/>
        <w:rPr>
          <w:rFonts w:ascii="宋体" w:hAnsi="宋体"/>
          <w:b/>
          <w:bCs/>
          <w:spacing w:val="-20"/>
          <w:kern w:val="44"/>
          <w:szCs w:val="32"/>
        </w:rPr>
      </w:pPr>
    </w:p>
    <w:p>
      <w:pPr>
        <w:tabs>
          <w:tab w:val="left" w:pos="1155"/>
          <w:tab w:val="left" w:pos="1276"/>
          <w:tab w:val="left" w:pos="1418"/>
        </w:tabs>
        <w:spacing w:line="580" w:lineRule="exact"/>
        <w:rPr>
          <w:rFonts w:ascii="宋体" w:hAnsi="宋体"/>
          <w:b/>
          <w:bCs/>
          <w:spacing w:val="-20"/>
          <w:kern w:val="44"/>
          <w:szCs w:val="32"/>
        </w:rPr>
      </w:pPr>
    </w:p>
    <w:p>
      <w:pPr>
        <w:tabs>
          <w:tab w:val="left" w:pos="1155"/>
          <w:tab w:val="left" w:pos="1276"/>
          <w:tab w:val="left" w:pos="1418"/>
        </w:tabs>
        <w:spacing w:line="580" w:lineRule="exact"/>
        <w:rPr>
          <w:rFonts w:ascii="宋体" w:hAnsi="宋体"/>
          <w:b/>
          <w:bCs/>
          <w:spacing w:val="-20"/>
          <w:kern w:val="44"/>
          <w:szCs w:val="32"/>
        </w:rPr>
      </w:pPr>
    </w:p>
    <w:bookmarkEnd w:id="464"/>
    <w:bookmarkEnd w:id="465"/>
    <w:bookmarkEnd w:id="46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40001"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MS-PGothic">
    <w:altName w:val="Segoe Print"/>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1" w:usb3="00000000" w:csb0="400001BF" w:csb1="DFF7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1C7B42"/>
    <w:multiLevelType w:val="singleLevel"/>
    <w:tmpl w:val="F01C7B42"/>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3"/>
      <w:lvlText w:val="第%1章"/>
      <w:lvlJc w:val="left"/>
      <w:pPr>
        <w:ind w:left="154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203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4">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E"/>
    <w:multiLevelType w:val="multilevel"/>
    <w:tmpl w:val="0000003E"/>
    <w:lvl w:ilvl="0" w:tentative="0">
      <w:start w:val="1"/>
      <w:numFmt w:val="chineseCountingThousand"/>
      <w:suff w:val="nothing"/>
      <w:lvlText w:val="%1、"/>
      <w:lvlJc w:val="left"/>
      <w:pPr>
        <w:ind w:left="1760"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2A817C06"/>
    <w:multiLevelType w:val="singleLevel"/>
    <w:tmpl w:val="2A817C06"/>
    <w:lvl w:ilvl="0" w:tentative="0">
      <w:start w:val="1"/>
      <w:numFmt w:val="chineseCounting"/>
      <w:suff w:val="nothing"/>
      <w:lvlText w:val="%1、"/>
      <w:lvlJc w:val="left"/>
      <w:rPr>
        <w:rFonts w:hint="eastAsia"/>
      </w:rPr>
    </w:lvl>
  </w:abstractNum>
  <w:abstractNum w:abstractNumId="26">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7">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866FAA"/>
    <w:multiLevelType w:val="multilevel"/>
    <w:tmpl w:val="4C866FAA"/>
    <w:lvl w:ilvl="0" w:tentative="0">
      <w:start w:val="1"/>
      <w:numFmt w:val="chineseCountingThousand"/>
      <w:lvlText w:val="%1、"/>
      <w:lvlJc w:val="left"/>
      <w:pPr>
        <w:ind w:left="105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613"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0">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174E4"/>
    <w:rsid w:val="00026B21"/>
    <w:rsid w:val="00027703"/>
    <w:rsid w:val="0005344D"/>
    <w:rsid w:val="00057FB4"/>
    <w:rsid w:val="000777D1"/>
    <w:rsid w:val="00086E37"/>
    <w:rsid w:val="000B33FA"/>
    <w:rsid w:val="000B3D82"/>
    <w:rsid w:val="000B7BB3"/>
    <w:rsid w:val="000C4E6A"/>
    <w:rsid w:val="000C688A"/>
    <w:rsid w:val="00122AC9"/>
    <w:rsid w:val="001346A7"/>
    <w:rsid w:val="0014601E"/>
    <w:rsid w:val="0016758C"/>
    <w:rsid w:val="00181E34"/>
    <w:rsid w:val="001B7C8D"/>
    <w:rsid w:val="001D56CD"/>
    <w:rsid w:val="001F73B0"/>
    <w:rsid w:val="00200382"/>
    <w:rsid w:val="00202454"/>
    <w:rsid w:val="002067B1"/>
    <w:rsid w:val="0021701C"/>
    <w:rsid w:val="00242AFD"/>
    <w:rsid w:val="00261E2C"/>
    <w:rsid w:val="00262359"/>
    <w:rsid w:val="00272459"/>
    <w:rsid w:val="002B2023"/>
    <w:rsid w:val="002C764F"/>
    <w:rsid w:val="002D060B"/>
    <w:rsid w:val="002E123D"/>
    <w:rsid w:val="002E4801"/>
    <w:rsid w:val="00305097"/>
    <w:rsid w:val="003420BA"/>
    <w:rsid w:val="00374619"/>
    <w:rsid w:val="003D27CA"/>
    <w:rsid w:val="003D2A89"/>
    <w:rsid w:val="003D2F7D"/>
    <w:rsid w:val="003D7BD8"/>
    <w:rsid w:val="003E2110"/>
    <w:rsid w:val="003F0EDE"/>
    <w:rsid w:val="00411516"/>
    <w:rsid w:val="0043700B"/>
    <w:rsid w:val="00445184"/>
    <w:rsid w:val="00445E0E"/>
    <w:rsid w:val="00463CD3"/>
    <w:rsid w:val="0047177D"/>
    <w:rsid w:val="00497555"/>
    <w:rsid w:val="004F4893"/>
    <w:rsid w:val="00504133"/>
    <w:rsid w:val="00523994"/>
    <w:rsid w:val="00527044"/>
    <w:rsid w:val="00531A79"/>
    <w:rsid w:val="00531B44"/>
    <w:rsid w:val="00546F2E"/>
    <w:rsid w:val="00556F88"/>
    <w:rsid w:val="0056027F"/>
    <w:rsid w:val="00564FA0"/>
    <w:rsid w:val="0059336C"/>
    <w:rsid w:val="005D7B75"/>
    <w:rsid w:val="005E269C"/>
    <w:rsid w:val="00611A72"/>
    <w:rsid w:val="00624151"/>
    <w:rsid w:val="00633F88"/>
    <w:rsid w:val="006A5E19"/>
    <w:rsid w:val="006B54C4"/>
    <w:rsid w:val="006C10D5"/>
    <w:rsid w:val="006C3900"/>
    <w:rsid w:val="006D1218"/>
    <w:rsid w:val="006D4AEC"/>
    <w:rsid w:val="006F40F1"/>
    <w:rsid w:val="007407F8"/>
    <w:rsid w:val="00761A8D"/>
    <w:rsid w:val="0076339F"/>
    <w:rsid w:val="0076602A"/>
    <w:rsid w:val="00780DA1"/>
    <w:rsid w:val="007B1592"/>
    <w:rsid w:val="007B3BB8"/>
    <w:rsid w:val="007F27F0"/>
    <w:rsid w:val="007F6422"/>
    <w:rsid w:val="00812794"/>
    <w:rsid w:val="008361D5"/>
    <w:rsid w:val="00865873"/>
    <w:rsid w:val="00872312"/>
    <w:rsid w:val="00872B11"/>
    <w:rsid w:val="00890F59"/>
    <w:rsid w:val="0089574F"/>
    <w:rsid w:val="008A78E9"/>
    <w:rsid w:val="00922252"/>
    <w:rsid w:val="00932889"/>
    <w:rsid w:val="0096458D"/>
    <w:rsid w:val="00965A4C"/>
    <w:rsid w:val="00986924"/>
    <w:rsid w:val="009D0BEB"/>
    <w:rsid w:val="009D62EA"/>
    <w:rsid w:val="009F3945"/>
    <w:rsid w:val="00A0136A"/>
    <w:rsid w:val="00A43C7A"/>
    <w:rsid w:val="00A54D8A"/>
    <w:rsid w:val="00AE029F"/>
    <w:rsid w:val="00B14E7F"/>
    <w:rsid w:val="00B412D3"/>
    <w:rsid w:val="00B86086"/>
    <w:rsid w:val="00C04ECC"/>
    <w:rsid w:val="00C42B43"/>
    <w:rsid w:val="00C47F50"/>
    <w:rsid w:val="00C61D38"/>
    <w:rsid w:val="00C71725"/>
    <w:rsid w:val="00C801CB"/>
    <w:rsid w:val="00CA2CC5"/>
    <w:rsid w:val="00CB719B"/>
    <w:rsid w:val="00CC6F6B"/>
    <w:rsid w:val="00CD5760"/>
    <w:rsid w:val="00D04283"/>
    <w:rsid w:val="00D325E8"/>
    <w:rsid w:val="00D64A9C"/>
    <w:rsid w:val="00DA2476"/>
    <w:rsid w:val="00DF6252"/>
    <w:rsid w:val="00E13610"/>
    <w:rsid w:val="00E170E6"/>
    <w:rsid w:val="00E27149"/>
    <w:rsid w:val="00E37998"/>
    <w:rsid w:val="00E572D4"/>
    <w:rsid w:val="00E6373B"/>
    <w:rsid w:val="00EA3447"/>
    <w:rsid w:val="00EC75AF"/>
    <w:rsid w:val="00ED469C"/>
    <w:rsid w:val="00F00A4F"/>
    <w:rsid w:val="00F04B7A"/>
    <w:rsid w:val="00F1576F"/>
    <w:rsid w:val="00F27900"/>
    <w:rsid w:val="00F44A63"/>
    <w:rsid w:val="00F62EAD"/>
    <w:rsid w:val="00F72F70"/>
    <w:rsid w:val="00F816F3"/>
    <w:rsid w:val="00F85A7B"/>
    <w:rsid w:val="00FB7100"/>
    <w:rsid w:val="00FC21C2"/>
    <w:rsid w:val="01641D83"/>
    <w:rsid w:val="016A412D"/>
    <w:rsid w:val="019C3DA4"/>
    <w:rsid w:val="01AF6E65"/>
    <w:rsid w:val="01BD36AD"/>
    <w:rsid w:val="01D9587D"/>
    <w:rsid w:val="01ED41EB"/>
    <w:rsid w:val="02006379"/>
    <w:rsid w:val="021A4899"/>
    <w:rsid w:val="02522F25"/>
    <w:rsid w:val="025B323C"/>
    <w:rsid w:val="027267CA"/>
    <w:rsid w:val="027E5865"/>
    <w:rsid w:val="02856F1F"/>
    <w:rsid w:val="02D60AA2"/>
    <w:rsid w:val="02E37340"/>
    <w:rsid w:val="03821964"/>
    <w:rsid w:val="03854011"/>
    <w:rsid w:val="039734EC"/>
    <w:rsid w:val="03980B4C"/>
    <w:rsid w:val="03CA0E17"/>
    <w:rsid w:val="03DB1788"/>
    <w:rsid w:val="04233931"/>
    <w:rsid w:val="043F589A"/>
    <w:rsid w:val="044376AD"/>
    <w:rsid w:val="044F21CE"/>
    <w:rsid w:val="045D4F28"/>
    <w:rsid w:val="046E3809"/>
    <w:rsid w:val="049A646C"/>
    <w:rsid w:val="04C12C94"/>
    <w:rsid w:val="04E648A7"/>
    <w:rsid w:val="04F35896"/>
    <w:rsid w:val="050D052B"/>
    <w:rsid w:val="05893BF3"/>
    <w:rsid w:val="059273D9"/>
    <w:rsid w:val="059B5382"/>
    <w:rsid w:val="05AD563F"/>
    <w:rsid w:val="05CC4EA8"/>
    <w:rsid w:val="0609670D"/>
    <w:rsid w:val="06360973"/>
    <w:rsid w:val="065019E6"/>
    <w:rsid w:val="06605E3E"/>
    <w:rsid w:val="066F22B7"/>
    <w:rsid w:val="067968A7"/>
    <w:rsid w:val="06851970"/>
    <w:rsid w:val="068F7B36"/>
    <w:rsid w:val="06D57767"/>
    <w:rsid w:val="06F02FB8"/>
    <w:rsid w:val="06F275A1"/>
    <w:rsid w:val="07064C91"/>
    <w:rsid w:val="070919E6"/>
    <w:rsid w:val="07094C5A"/>
    <w:rsid w:val="075241E7"/>
    <w:rsid w:val="075845F2"/>
    <w:rsid w:val="0782693D"/>
    <w:rsid w:val="07A900CB"/>
    <w:rsid w:val="07FC2403"/>
    <w:rsid w:val="081D58DC"/>
    <w:rsid w:val="084C12E4"/>
    <w:rsid w:val="08662C32"/>
    <w:rsid w:val="089B2D6F"/>
    <w:rsid w:val="08A14DA0"/>
    <w:rsid w:val="08DA030D"/>
    <w:rsid w:val="08E02227"/>
    <w:rsid w:val="08E6716A"/>
    <w:rsid w:val="08E81817"/>
    <w:rsid w:val="0921159E"/>
    <w:rsid w:val="09296FC6"/>
    <w:rsid w:val="092C7929"/>
    <w:rsid w:val="098446DD"/>
    <w:rsid w:val="09890BFD"/>
    <w:rsid w:val="09937D7C"/>
    <w:rsid w:val="099660DA"/>
    <w:rsid w:val="099B14E9"/>
    <w:rsid w:val="099C071D"/>
    <w:rsid w:val="09A401C4"/>
    <w:rsid w:val="09B06B5E"/>
    <w:rsid w:val="09B76D6C"/>
    <w:rsid w:val="09D42677"/>
    <w:rsid w:val="09D61C9F"/>
    <w:rsid w:val="09EE2DCE"/>
    <w:rsid w:val="09F7588B"/>
    <w:rsid w:val="0A7B4C25"/>
    <w:rsid w:val="0A832370"/>
    <w:rsid w:val="0A9C2E8A"/>
    <w:rsid w:val="0AA3479C"/>
    <w:rsid w:val="0ADB029B"/>
    <w:rsid w:val="0AF976F4"/>
    <w:rsid w:val="0B304684"/>
    <w:rsid w:val="0B89010F"/>
    <w:rsid w:val="0B9C1680"/>
    <w:rsid w:val="0BAE448A"/>
    <w:rsid w:val="0BB15AB6"/>
    <w:rsid w:val="0BB2320C"/>
    <w:rsid w:val="0BC34BD3"/>
    <w:rsid w:val="0BD514B5"/>
    <w:rsid w:val="0BDE2B65"/>
    <w:rsid w:val="0BE157CD"/>
    <w:rsid w:val="0BEE4646"/>
    <w:rsid w:val="0C056BAF"/>
    <w:rsid w:val="0C2D266F"/>
    <w:rsid w:val="0C3A0544"/>
    <w:rsid w:val="0C52087B"/>
    <w:rsid w:val="0C5F17F0"/>
    <w:rsid w:val="0C7458B5"/>
    <w:rsid w:val="0C7B3248"/>
    <w:rsid w:val="0C850868"/>
    <w:rsid w:val="0C986976"/>
    <w:rsid w:val="0CB04910"/>
    <w:rsid w:val="0CB9698E"/>
    <w:rsid w:val="0CBE252D"/>
    <w:rsid w:val="0CCF68DD"/>
    <w:rsid w:val="0CE01EB6"/>
    <w:rsid w:val="0CE91B89"/>
    <w:rsid w:val="0D0560FD"/>
    <w:rsid w:val="0D2A0821"/>
    <w:rsid w:val="0D5F0F6E"/>
    <w:rsid w:val="0D721CF6"/>
    <w:rsid w:val="0D7D3CA2"/>
    <w:rsid w:val="0D7E04B6"/>
    <w:rsid w:val="0DB7110D"/>
    <w:rsid w:val="0DDB0ADF"/>
    <w:rsid w:val="0DE14C26"/>
    <w:rsid w:val="0E1423DA"/>
    <w:rsid w:val="0E2D04FD"/>
    <w:rsid w:val="0E2D1041"/>
    <w:rsid w:val="0E415DAB"/>
    <w:rsid w:val="0E4232F8"/>
    <w:rsid w:val="0E6825B4"/>
    <w:rsid w:val="0E775350"/>
    <w:rsid w:val="0EA52082"/>
    <w:rsid w:val="0EB8710C"/>
    <w:rsid w:val="0EC11CAA"/>
    <w:rsid w:val="0ECB6693"/>
    <w:rsid w:val="0EF62140"/>
    <w:rsid w:val="0F0A1FB9"/>
    <w:rsid w:val="0F0B2CA7"/>
    <w:rsid w:val="0F14062A"/>
    <w:rsid w:val="0F2B2CB0"/>
    <w:rsid w:val="0F632F7E"/>
    <w:rsid w:val="0F641D4A"/>
    <w:rsid w:val="0FAB76BB"/>
    <w:rsid w:val="0FB91F11"/>
    <w:rsid w:val="10036D95"/>
    <w:rsid w:val="1024074F"/>
    <w:rsid w:val="102B1F1F"/>
    <w:rsid w:val="1072377A"/>
    <w:rsid w:val="107F2684"/>
    <w:rsid w:val="108620BF"/>
    <w:rsid w:val="109F0DA4"/>
    <w:rsid w:val="10AB47B8"/>
    <w:rsid w:val="10BB6C12"/>
    <w:rsid w:val="10C713B7"/>
    <w:rsid w:val="10CA6D30"/>
    <w:rsid w:val="10EE401F"/>
    <w:rsid w:val="11366325"/>
    <w:rsid w:val="114E0367"/>
    <w:rsid w:val="11742E6B"/>
    <w:rsid w:val="11755A22"/>
    <w:rsid w:val="119555FF"/>
    <w:rsid w:val="11A13643"/>
    <w:rsid w:val="11A22EC8"/>
    <w:rsid w:val="11A61501"/>
    <w:rsid w:val="11DF5454"/>
    <w:rsid w:val="11F514E1"/>
    <w:rsid w:val="11FA64D5"/>
    <w:rsid w:val="12027D2E"/>
    <w:rsid w:val="1225502D"/>
    <w:rsid w:val="12303D09"/>
    <w:rsid w:val="12632B5F"/>
    <w:rsid w:val="1266300F"/>
    <w:rsid w:val="12B23130"/>
    <w:rsid w:val="12B91AD9"/>
    <w:rsid w:val="12C04E1F"/>
    <w:rsid w:val="12E2139A"/>
    <w:rsid w:val="12FA17E6"/>
    <w:rsid w:val="130821E9"/>
    <w:rsid w:val="130841ED"/>
    <w:rsid w:val="1332762B"/>
    <w:rsid w:val="134031C0"/>
    <w:rsid w:val="13610E03"/>
    <w:rsid w:val="139041F0"/>
    <w:rsid w:val="13946B27"/>
    <w:rsid w:val="13A03BD7"/>
    <w:rsid w:val="13E55BF3"/>
    <w:rsid w:val="13F236AE"/>
    <w:rsid w:val="14384830"/>
    <w:rsid w:val="144C365A"/>
    <w:rsid w:val="148C33E6"/>
    <w:rsid w:val="148D3F4C"/>
    <w:rsid w:val="149212BD"/>
    <w:rsid w:val="14F848D7"/>
    <w:rsid w:val="151126F3"/>
    <w:rsid w:val="154D018B"/>
    <w:rsid w:val="15657985"/>
    <w:rsid w:val="1598281A"/>
    <w:rsid w:val="15DD31C2"/>
    <w:rsid w:val="1606517F"/>
    <w:rsid w:val="16127605"/>
    <w:rsid w:val="16234E70"/>
    <w:rsid w:val="162B0FA3"/>
    <w:rsid w:val="16435A54"/>
    <w:rsid w:val="165B217A"/>
    <w:rsid w:val="16645613"/>
    <w:rsid w:val="166710E0"/>
    <w:rsid w:val="1671239E"/>
    <w:rsid w:val="16785B53"/>
    <w:rsid w:val="16910C11"/>
    <w:rsid w:val="16D42BD9"/>
    <w:rsid w:val="16DF7269"/>
    <w:rsid w:val="174C4401"/>
    <w:rsid w:val="175725E8"/>
    <w:rsid w:val="176F50C1"/>
    <w:rsid w:val="17753E28"/>
    <w:rsid w:val="177749EA"/>
    <w:rsid w:val="179A2955"/>
    <w:rsid w:val="17D94FDD"/>
    <w:rsid w:val="17F76B8F"/>
    <w:rsid w:val="181021DC"/>
    <w:rsid w:val="18786950"/>
    <w:rsid w:val="18E33351"/>
    <w:rsid w:val="18EC1EE4"/>
    <w:rsid w:val="18F52D8B"/>
    <w:rsid w:val="19146B3C"/>
    <w:rsid w:val="1965143D"/>
    <w:rsid w:val="1994660A"/>
    <w:rsid w:val="19A50866"/>
    <w:rsid w:val="19BE262D"/>
    <w:rsid w:val="19BE7548"/>
    <w:rsid w:val="19E42438"/>
    <w:rsid w:val="19E7294B"/>
    <w:rsid w:val="19E87149"/>
    <w:rsid w:val="1A462A4B"/>
    <w:rsid w:val="1A727726"/>
    <w:rsid w:val="1A7F0D4D"/>
    <w:rsid w:val="1A9C60B9"/>
    <w:rsid w:val="1AB75962"/>
    <w:rsid w:val="1AC55A61"/>
    <w:rsid w:val="1B292313"/>
    <w:rsid w:val="1B3A300E"/>
    <w:rsid w:val="1B450AAC"/>
    <w:rsid w:val="1B8876EF"/>
    <w:rsid w:val="1BA50EE0"/>
    <w:rsid w:val="1BC710B7"/>
    <w:rsid w:val="1BE63EF9"/>
    <w:rsid w:val="1BF903D1"/>
    <w:rsid w:val="1C136982"/>
    <w:rsid w:val="1C246B6C"/>
    <w:rsid w:val="1C301CB1"/>
    <w:rsid w:val="1C371BFA"/>
    <w:rsid w:val="1C3F2F14"/>
    <w:rsid w:val="1C5C7380"/>
    <w:rsid w:val="1C6075D5"/>
    <w:rsid w:val="1C674F78"/>
    <w:rsid w:val="1C7B1792"/>
    <w:rsid w:val="1C7C1398"/>
    <w:rsid w:val="1CA76E4E"/>
    <w:rsid w:val="1CBC5635"/>
    <w:rsid w:val="1CD17CBC"/>
    <w:rsid w:val="1CD25264"/>
    <w:rsid w:val="1D0836EE"/>
    <w:rsid w:val="1D1246CD"/>
    <w:rsid w:val="1D2041CA"/>
    <w:rsid w:val="1D2625AF"/>
    <w:rsid w:val="1D3315A8"/>
    <w:rsid w:val="1D525BD1"/>
    <w:rsid w:val="1D6B21C7"/>
    <w:rsid w:val="1D770F62"/>
    <w:rsid w:val="1D796250"/>
    <w:rsid w:val="1D8D74A2"/>
    <w:rsid w:val="1D9A7359"/>
    <w:rsid w:val="1DAA162E"/>
    <w:rsid w:val="1DD75A17"/>
    <w:rsid w:val="1DD8549C"/>
    <w:rsid w:val="1DD93CF8"/>
    <w:rsid w:val="1DF1380E"/>
    <w:rsid w:val="1DF62502"/>
    <w:rsid w:val="1E4B3908"/>
    <w:rsid w:val="1E7B2F99"/>
    <w:rsid w:val="1E7D3586"/>
    <w:rsid w:val="1E9421B3"/>
    <w:rsid w:val="1E970AFD"/>
    <w:rsid w:val="1E990126"/>
    <w:rsid w:val="1EA341D3"/>
    <w:rsid w:val="1F0F3857"/>
    <w:rsid w:val="1F217879"/>
    <w:rsid w:val="1F5C5746"/>
    <w:rsid w:val="1F916F30"/>
    <w:rsid w:val="1F96771D"/>
    <w:rsid w:val="1F9F5537"/>
    <w:rsid w:val="1FA96F8A"/>
    <w:rsid w:val="1FC65A78"/>
    <w:rsid w:val="1FDF7C55"/>
    <w:rsid w:val="204F7955"/>
    <w:rsid w:val="20602C49"/>
    <w:rsid w:val="20C87BA6"/>
    <w:rsid w:val="20E91C64"/>
    <w:rsid w:val="20F237E1"/>
    <w:rsid w:val="21533CD6"/>
    <w:rsid w:val="2173400E"/>
    <w:rsid w:val="21773527"/>
    <w:rsid w:val="21931AFE"/>
    <w:rsid w:val="21A94F71"/>
    <w:rsid w:val="21B83E0A"/>
    <w:rsid w:val="21D33AE6"/>
    <w:rsid w:val="21D817EA"/>
    <w:rsid w:val="21EC4CD4"/>
    <w:rsid w:val="22380ADE"/>
    <w:rsid w:val="224A3A4A"/>
    <w:rsid w:val="2255490B"/>
    <w:rsid w:val="22694CA2"/>
    <w:rsid w:val="22E14D57"/>
    <w:rsid w:val="22EF38F3"/>
    <w:rsid w:val="22F5009E"/>
    <w:rsid w:val="232F0ED3"/>
    <w:rsid w:val="233B4D6F"/>
    <w:rsid w:val="235A6BD8"/>
    <w:rsid w:val="23716411"/>
    <w:rsid w:val="23BE0AEF"/>
    <w:rsid w:val="23CD3D9B"/>
    <w:rsid w:val="23EA437C"/>
    <w:rsid w:val="24030FCA"/>
    <w:rsid w:val="24071941"/>
    <w:rsid w:val="240E19D3"/>
    <w:rsid w:val="24215D3E"/>
    <w:rsid w:val="24250220"/>
    <w:rsid w:val="24AC6796"/>
    <w:rsid w:val="24B329AC"/>
    <w:rsid w:val="24FF6EE3"/>
    <w:rsid w:val="251C6E6D"/>
    <w:rsid w:val="252F018A"/>
    <w:rsid w:val="25706B45"/>
    <w:rsid w:val="25A14D87"/>
    <w:rsid w:val="25CD1C4F"/>
    <w:rsid w:val="25D07003"/>
    <w:rsid w:val="25DC15EC"/>
    <w:rsid w:val="25DC6DCF"/>
    <w:rsid w:val="25E949A0"/>
    <w:rsid w:val="260E148D"/>
    <w:rsid w:val="26260B11"/>
    <w:rsid w:val="26863C99"/>
    <w:rsid w:val="2695726A"/>
    <w:rsid w:val="26C25BF9"/>
    <w:rsid w:val="278354FD"/>
    <w:rsid w:val="27AB0584"/>
    <w:rsid w:val="27D567C4"/>
    <w:rsid w:val="27E97D8F"/>
    <w:rsid w:val="27FE2F08"/>
    <w:rsid w:val="281D07D6"/>
    <w:rsid w:val="282758A0"/>
    <w:rsid w:val="2866560C"/>
    <w:rsid w:val="28FE2331"/>
    <w:rsid w:val="290E5A31"/>
    <w:rsid w:val="2924449C"/>
    <w:rsid w:val="292D30E0"/>
    <w:rsid w:val="29363217"/>
    <w:rsid w:val="295B3CE4"/>
    <w:rsid w:val="297743B8"/>
    <w:rsid w:val="29C641CF"/>
    <w:rsid w:val="29EF52E8"/>
    <w:rsid w:val="2A0F2DAC"/>
    <w:rsid w:val="2A477DD5"/>
    <w:rsid w:val="2A811718"/>
    <w:rsid w:val="2A995388"/>
    <w:rsid w:val="2AA15E63"/>
    <w:rsid w:val="2AA81F4C"/>
    <w:rsid w:val="2AFF6224"/>
    <w:rsid w:val="2B236227"/>
    <w:rsid w:val="2B301575"/>
    <w:rsid w:val="2B3D4C59"/>
    <w:rsid w:val="2B6723CB"/>
    <w:rsid w:val="2B841C61"/>
    <w:rsid w:val="2BA805E6"/>
    <w:rsid w:val="2BBE726F"/>
    <w:rsid w:val="2BE736A9"/>
    <w:rsid w:val="2BF64198"/>
    <w:rsid w:val="2C475F08"/>
    <w:rsid w:val="2C4A0499"/>
    <w:rsid w:val="2C5E6878"/>
    <w:rsid w:val="2C6464D7"/>
    <w:rsid w:val="2C654E67"/>
    <w:rsid w:val="2C854F20"/>
    <w:rsid w:val="2C8F1BF6"/>
    <w:rsid w:val="2C993C07"/>
    <w:rsid w:val="2C9E7109"/>
    <w:rsid w:val="2CBA2501"/>
    <w:rsid w:val="2CD43742"/>
    <w:rsid w:val="2D1E1A01"/>
    <w:rsid w:val="2D8B0897"/>
    <w:rsid w:val="2DA94D5A"/>
    <w:rsid w:val="2DB429F6"/>
    <w:rsid w:val="2DC06CDA"/>
    <w:rsid w:val="2DD71AC0"/>
    <w:rsid w:val="2E02236A"/>
    <w:rsid w:val="2E07755B"/>
    <w:rsid w:val="2E7E6BFA"/>
    <w:rsid w:val="2EC11723"/>
    <w:rsid w:val="2ECA7838"/>
    <w:rsid w:val="2ECE10D0"/>
    <w:rsid w:val="2F15227C"/>
    <w:rsid w:val="2F2116F6"/>
    <w:rsid w:val="2F5E0C33"/>
    <w:rsid w:val="2F72321C"/>
    <w:rsid w:val="2F904F42"/>
    <w:rsid w:val="2FD52936"/>
    <w:rsid w:val="30041001"/>
    <w:rsid w:val="300E71E9"/>
    <w:rsid w:val="301527C0"/>
    <w:rsid w:val="301A0D05"/>
    <w:rsid w:val="302559C0"/>
    <w:rsid w:val="303B48D8"/>
    <w:rsid w:val="304F2441"/>
    <w:rsid w:val="30541F6E"/>
    <w:rsid w:val="30853F52"/>
    <w:rsid w:val="30BC22AB"/>
    <w:rsid w:val="30E739D7"/>
    <w:rsid w:val="30FD584D"/>
    <w:rsid w:val="315B7389"/>
    <w:rsid w:val="3172145F"/>
    <w:rsid w:val="31751DD7"/>
    <w:rsid w:val="317553A6"/>
    <w:rsid w:val="319D337D"/>
    <w:rsid w:val="31C30BF1"/>
    <w:rsid w:val="31D52788"/>
    <w:rsid w:val="320149DC"/>
    <w:rsid w:val="320D71A2"/>
    <w:rsid w:val="32292A4B"/>
    <w:rsid w:val="32863DA1"/>
    <w:rsid w:val="32A10222"/>
    <w:rsid w:val="32B73F85"/>
    <w:rsid w:val="32C80477"/>
    <w:rsid w:val="32EA242F"/>
    <w:rsid w:val="3334027A"/>
    <w:rsid w:val="33441F14"/>
    <w:rsid w:val="334812D1"/>
    <w:rsid w:val="33521F2F"/>
    <w:rsid w:val="339219F5"/>
    <w:rsid w:val="33954AA0"/>
    <w:rsid w:val="33A6621B"/>
    <w:rsid w:val="33EF5299"/>
    <w:rsid w:val="33F52918"/>
    <w:rsid w:val="34031860"/>
    <w:rsid w:val="3405031E"/>
    <w:rsid w:val="34291C49"/>
    <w:rsid w:val="34300211"/>
    <w:rsid w:val="344E4FF8"/>
    <w:rsid w:val="34577BBD"/>
    <w:rsid w:val="34877821"/>
    <w:rsid w:val="34AB2D8D"/>
    <w:rsid w:val="34AC471D"/>
    <w:rsid w:val="34BE0E8A"/>
    <w:rsid w:val="34C12225"/>
    <w:rsid w:val="34C75542"/>
    <w:rsid w:val="35022D8A"/>
    <w:rsid w:val="35304437"/>
    <w:rsid w:val="35336104"/>
    <w:rsid w:val="354A0E3E"/>
    <w:rsid w:val="35574E68"/>
    <w:rsid w:val="356F0BB5"/>
    <w:rsid w:val="35925125"/>
    <w:rsid w:val="3599298A"/>
    <w:rsid w:val="35BA41DA"/>
    <w:rsid w:val="35D718B2"/>
    <w:rsid w:val="35DB5913"/>
    <w:rsid w:val="36013041"/>
    <w:rsid w:val="36181D15"/>
    <w:rsid w:val="36305713"/>
    <w:rsid w:val="364E7CC9"/>
    <w:rsid w:val="36871003"/>
    <w:rsid w:val="370055FF"/>
    <w:rsid w:val="37771770"/>
    <w:rsid w:val="377D7854"/>
    <w:rsid w:val="37A263E9"/>
    <w:rsid w:val="37D809C8"/>
    <w:rsid w:val="37DE6D32"/>
    <w:rsid w:val="37E0227A"/>
    <w:rsid w:val="37EC6D0A"/>
    <w:rsid w:val="37F17A6F"/>
    <w:rsid w:val="37FC6B4A"/>
    <w:rsid w:val="38142D45"/>
    <w:rsid w:val="381A4789"/>
    <w:rsid w:val="384473E1"/>
    <w:rsid w:val="386B60CA"/>
    <w:rsid w:val="38965823"/>
    <w:rsid w:val="38B21C1C"/>
    <w:rsid w:val="38B63099"/>
    <w:rsid w:val="38C3687B"/>
    <w:rsid w:val="38DC49D0"/>
    <w:rsid w:val="38FA4837"/>
    <w:rsid w:val="39054689"/>
    <w:rsid w:val="39233120"/>
    <w:rsid w:val="39692FBA"/>
    <w:rsid w:val="399F443D"/>
    <w:rsid w:val="399F565E"/>
    <w:rsid w:val="39C41FA8"/>
    <w:rsid w:val="39CC0972"/>
    <w:rsid w:val="39D26844"/>
    <w:rsid w:val="39D4116F"/>
    <w:rsid w:val="39FE7007"/>
    <w:rsid w:val="3A027AB6"/>
    <w:rsid w:val="3A0A7320"/>
    <w:rsid w:val="3A1E4CDA"/>
    <w:rsid w:val="3AA32298"/>
    <w:rsid w:val="3AAB3BC3"/>
    <w:rsid w:val="3AC64208"/>
    <w:rsid w:val="3AFD7AF3"/>
    <w:rsid w:val="3B047B15"/>
    <w:rsid w:val="3B1A0934"/>
    <w:rsid w:val="3B1D7E79"/>
    <w:rsid w:val="3B317029"/>
    <w:rsid w:val="3B5A71D4"/>
    <w:rsid w:val="3B77515B"/>
    <w:rsid w:val="3B7F2D06"/>
    <w:rsid w:val="3B9C5215"/>
    <w:rsid w:val="3BAC0084"/>
    <w:rsid w:val="3BC61F96"/>
    <w:rsid w:val="3C28229F"/>
    <w:rsid w:val="3C3E58C4"/>
    <w:rsid w:val="3C8C4141"/>
    <w:rsid w:val="3CA45F29"/>
    <w:rsid w:val="3CAF73C9"/>
    <w:rsid w:val="3CB53DE1"/>
    <w:rsid w:val="3CC2335D"/>
    <w:rsid w:val="3CFD1F62"/>
    <w:rsid w:val="3D036885"/>
    <w:rsid w:val="3D1C5F2C"/>
    <w:rsid w:val="3D5D6904"/>
    <w:rsid w:val="3D82686C"/>
    <w:rsid w:val="3D994D75"/>
    <w:rsid w:val="3D9B5233"/>
    <w:rsid w:val="3DA1317B"/>
    <w:rsid w:val="3E03413F"/>
    <w:rsid w:val="3E06425A"/>
    <w:rsid w:val="3E0761B5"/>
    <w:rsid w:val="3E076EA5"/>
    <w:rsid w:val="3E1E7DD7"/>
    <w:rsid w:val="3E215DB8"/>
    <w:rsid w:val="3E317BF5"/>
    <w:rsid w:val="3E56436E"/>
    <w:rsid w:val="3E76669C"/>
    <w:rsid w:val="3E8C175F"/>
    <w:rsid w:val="3EBF2325"/>
    <w:rsid w:val="3EC3014A"/>
    <w:rsid w:val="3EE801ED"/>
    <w:rsid w:val="3EFE12FA"/>
    <w:rsid w:val="3F0D7C23"/>
    <w:rsid w:val="3F252185"/>
    <w:rsid w:val="3F253B18"/>
    <w:rsid w:val="3F5E7E07"/>
    <w:rsid w:val="3F683006"/>
    <w:rsid w:val="3F81256F"/>
    <w:rsid w:val="3F852FFA"/>
    <w:rsid w:val="3F8C0DAE"/>
    <w:rsid w:val="3F934041"/>
    <w:rsid w:val="3F9953BD"/>
    <w:rsid w:val="3F9A4E0D"/>
    <w:rsid w:val="3F9E14F4"/>
    <w:rsid w:val="3FB7583B"/>
    <w:rsid w:val="3FC3634F"/>
    <w:rsid w:val="3FC849F9"/>
    <w:rsid w:val="3FCF5B26"/>
    <w:rsid w:val="4023190D"/>
    <w:rsid w:val="404E60A1"/>
    <w:rsid w:val="409B77B4"/>
    <w:rsid w:val="40A62E7B"/>
    <w:rsid w:val="40AB4A25"/>
    <w:rsid w:val="40B150C3"/>
    <w:rsid w:val="40D905D9"/>
    <w:rsid w:val="40E572A2"/>
    <w:rsid w:val="40F27412"/>
    <w:rsid w:val="40FB492F"/>
    <w:rsid w:val="41215A72"/>
    <w:rsid w:val="41552407"/>
    <w:rsid w:val="415C3E5D"/>
    <w:rsid w:val="4167711F"/>
    <w:rsid w:val="41993D02"/>
    <w:rsid w:val="41A36B6B"/>
    <w:rsid w:val="41A83AE8"/>
    <w:rsid w:val="41AA709D"/>
    <w:rsid w:val="41B9012A"/>
    <w:rsid w:val="41BA4C78"/>
    <w:rsid w:val="41C06FEF"/>
    <w:rsid w:val="41C26B6F"/>
    <w:rsid w:val="41D01BDE"/>
    <w:rsid w:val="41D941CE"/>
    <w:rsid w:val="41E0023E"/>
    <w:rsid w:val="41FB58B9"/>
    <w:rsid w:val="4231292C"/>
    <w:rsid w:val="425713F1"/>
    <w:rsid w:val="425B45F1"/>
    <w:rsid w:val="42651E02"/>
    <w:rsid w:val="42683D27"/>
    <w:rsid w:val="4268747E"/>
    <w:rsid w:val="426A2806"/>
    <w:rsid w:val="4270578B"/>
    <w:rsid w:val="428A345D"/>
    <w:rsid w:val="4291616A"/>
    <w:rsid w:val="42E4600F"/>
    <w:rsid w:val="42F420AF"/>
    <w:rsid w:val="42F857AD"/>
    <w:rsid w:val="433854A9"/>
    <w:rsid w:val="434141D6"/>
    <w:rsid w:val="43A71B13"/>
    <w:rsid w:val="43AA4BEA"/>
    <w:rsid w:val="43C23A42"/>
    <w:rsid w:val="43D66331"/>
    <w:rsid w:val="440F724A"/>
    <w:rsid w:val="44AE3386"/>
    <w:rsid w:val="44AF2A58"/>
    <w:rsid w:val="44CC61ED"/>
    <w:rsid w:val="44DF74A4"/>
    <w:rsid w:val="44F410B1"/>
    <w:rsid w:val="44FC7252"/>
    <w:rsid w:val="45861154"/>
    <w:rsid w:val="45863E74"/>
    <w:rsid w:val="45EC2661"/>
    <w:rsid w:val="46411523"/>
    <w:rsid w:val="46540AFF"/>
    <w:rsid w:val="467E6043"/>
    <w:rsid w:val="469E72C9"/>
    <w:rsid w:val="46BA7057"/>
    <w:rsid w:val="46CD357F"/>
    <w:rsid w:val="46D726B9"/>
    <w:rsid w:val="46DC385C"/>
    <w:rsid w:val="46E23ADC"/>
    <w:rsid w:val="470971E6"/>
    <w:rsid w:val="47513E5B"/>
    <w:rsid w:val="47627888"/>
    <w:rsid w:val="477367B3"/>
    <w:rsid w:val="477C2BE7"/>
    <w:rsid w:val="47A87FC0"/>
    <w:rsid w:val="47AD0A7B"/>
    <w:rsid w:val="47C30F05"/>
    <w:rsid w:val="47E652B9"/>
    <w:rsid w:val="48100BA7"/>
    <w:rsid w:val="48296C93"/>
    <w:rsid w:val="489845E0"/>
    <w:rsid w:val="48AD021E"/>
    <w:rsid w:val="48AF1F5B"/>
    <w:rsid w:val="48CF3715"/>
    <w:rsid w:val="48E81B75"/>
    <w:rsid w:val="48FE6C5F"/>
    <w:rsid w:val="492D022F"/>
    <w:rsid w:val="496A3929"/>
    <w:rsid w:val="4972086F"/>
    <w:rsid w:val="497D1B09"/>
    <w:rsid w:val="49CB147B"/>
    <w:rsid w:val="49CD7777"/>
    <w:rsid w:val="4A0C11DB"/>
    <w:rsid w:val="4A0C20C4"/>
    <w:rsid w:val="4A0F4F5E"/>
    <w:rsid w:val="4A156D11"/>
    <w:rsid w:val="4A4D0446"/>
    <w:rsid w:val="4A7A0F13"/>
    <w:rsid w:val="4AAB230F"/>
    <w:rsid w:val="4AD952C4"/>
    <w:rsid w:val="4AEB5363"/>
    <w:rsid w:val="4B092073"/>
    <w:rsid w:val="4B816B31"/>
    <w:rsid w:val="4B8F05F8"/>
    <w:rsid w:val="4B9060CF"/>
    <w:rsid w:val="4BBC3489"/>
    <w:rsid w:val="4BBE7D51"/>
    <w:rsid w:val="4BE56023"/>
    <w:rsid w:val="4BF24B07"/>
    <w:rsid w:val="4C29379C"/>
    <w:rsid w:val="4C3032CE"/>
    <w:rsid w:val="4C751539"/>
    <w:rsid w:val="4C825730"/>
    <w:rsid w:val="4C93098F"/>
    <w:rsid w:val="4CCF09AF"/>
    <w:rsid w:val="4D404A03"/>
    <w:rsid w:val="4D7B11C2"/>
    <w:rsid w:val="4D7D7578"/>
    <w:rsid w:val="4D91672C"/>
    <w:rsid w:val="4DAA63BE"/>
    <w:rsid w:val="4DCB6BBB"/>
    <w:rsid w:val="4DD453DE"/>
    <w:rsid w:val="4DDA0641"/>
    <w:rsid w:val="4DDD5F9F"/>
    <w:rsid w:val="4DF26D98"/>
    <w:rsid w:val="4E5629F9"/>
    <w:rsid w:val="4E5C6467"/>
    <w:rsid w:val="4E6138C7"/>
    <w:rsid w:val="4EA27FD0"/>
    <w:rsid w:val="4EBC16C5"/>
    <w:rsid w:val="4EBD792C"/>
    <w:rsid w:val="4EC56D52"/>
    <w:rsid w:val="4EF10AD2"/>
    <w:rsid w:val="4EFB1C01"/>
    <w:rsid w:val="4F2261CA"/>
    <w:rsid w:val="4F7163C1"/>
    <w:rsid w:val="4F7321C2"/>
    <w:rsid w:val="4F7555B6"/>
    <w:rsid w:val="4F975F78"/>
    <w:rsid w:val="4FD23CF2"/>
    <w:rsid w:val="4FE8162F"/>
    <w:rsid w:val="4FF0023F"/>
    <w:rsid w:val="50193F56"/>
    <w:rsid w:val="50201964"/>
    <w:rsid w:val="50B30CB3"/>
    <w:rsid w:val="50B862EC"/>
    <w:rsid w:val="50EF458D"/>
    <w:rsid w:val="50F97B26"/>
    <w:rsid w:val="51080D3C"/>
    <w:rsid w:val="5118204A"/>
    <w:rsid w:val="514E1B93"/>
    <w:rsid w:val="515C5CD9"/>
    <w:rsid w:val="51662C17"/>
    <w:rsid w:val="516E61D8"/>
    <w:rsid w:val="51834191"/>
    <w:rsid w:val="519F0749"/>
    <w:rsid w:val="51AA17EB"/>
    <w:rsid w:val="51D56C8E"/>
    <w:rsid w:val="524714CC"/>
    <w:rsid w:val="52732DB6"/>
    <w:rsid w:val="52933533"/>
    <w:rsid w:val="529F4493"/>
    <w:rsid w:val="52A6604D"/>
    <w:rsid w:val="52B043FA"/>
    <w:rsid w:val="52C647E6"/>
    <w:rsid w:val="52C944CF"/>
    <w:rsid w:val="52DE0728"/>
    <w:rsid w:val="52FC5D4E"/>
    <w:rsid w:val="530D502E"/>
    <w:rsid w:val="533204CD"/>
    <w:rsid w:val="53362CF5"/>
    <w:rsid w:val="53376035"/>
    <w:rsid w:val="53796C89"/>
    <w:rsid w:val="537C613C"/>
    <w:rsid w:val="537D7B26"/>
    <w:rsid w:val="53AC7279"/>
    <w:rsid w:val="53B13B9F"/>
    <w:rsid w:val="53CF72DB"/>
    <w:rsid w:val="53ED7234"/>
    <w:rsid w:val="53F160AE"/>
    <w:rsid w:val="53FF4040"/>
    <w:rsid w:val="54042DE0"/>
    <w:rsid w:val="541C6328"/>
    <w:rsid w:val="5439685A"/>
    <w:rsid w:val="54674E9F"/>
    <w:rsid w:val="54843AF7"/>
    <w:rsid w:val="54904F0E"/>
    <w:rsid w:val="54A5773C"/>
    <w:rsid w:val="54A60CF5"/>
    <w:rsid w:val="54AA3ADF"/>
    <w:rsid w:val="54AD56EB"/>
    <w:rsid w:val="54BF2606"/>
    <w:rsid w:val="54E814AB"/>
    <w:rsid w:val="54EE53D9"/>
    <w:rsid w:val="551051F4"/>
    <w:rsid w:val="552E20C8"/>
    <w:rsid w:val="55360038"/>
    <w:rsid w:val="55403669"/>
    <w:rsid w:val="557C1F13"/>
    <w:rsid w:val="55891892"/>
    <w:rsid w:val="55DF3F0F"/>
    <w:rsid w:val="55E27791"/>
    <w:rsid w:val="55F26C6F"/>
    <w:rsid w:val="560F040C"/>
    <w:rsid w:val="563568F7"/>
    <w:rsid w:val="56401DC2"/>
    <w:rsid w:val="564E2209"/>
    <w:rsid w:val="5650253F"/>
    <w:rsid w:val="56531B24"/>
    <w:rsid w:val="568A5950"/>
    <w:rsid w:val="56923E5F"/>
    <w:rsid w:val="56971DC9"/>
    <w:rsid w:val="56D95DB5"/>
    <w:rsid w:val="56EF08E4"/>
    <w:rsid w:val="56FE4245"/>
    <w:rsid w:val="56FF6052"/>
    <w:rsid w:val="570406E7"/>
    <w:rsid w:val="57291B0C"/>
    <w:rsid w:val="5750687F"/>
    <w:rsid w:val="576648D9"/>
    <w:rsid w:val="57725AD5"/>
    <w:rsid w:val="579B0717"/>
    <w:rsid w:val="57B52600"/>
    <w:rsid w:val="57C40FCA"/>
    <w:rsid w:val="58307625"/>
    <w:rsid w:val="58524685"/>
    <w:rsid w:val="58686A36"/>
    <w:rsid w:val="58845B73"/>
    <w:rsid w:val="58846965"/>
    <w:rsid w:val="588B266E"/>
    <w:rsid w:val="58BC14FC"/>
    <w:rsid w:val="58CB281D"/>
    <w:rsid w:val="59031FF5"/>
    <w:rsid w:val="5927358A"/>
    <w:rsid w:val="592D6577"/>
    <w:rsid w:val="593727F9"/>
    <w:rsid w:val="594D1AE7"/>
    <w:rsid w:val="595271EA"/>
    <w:rsid w:val="59530450"/>
    <w:rsid w:val="59820BA6"/>
    <w:rsid w:val="59997DDF"/>
    <w:rsid w:val="59A918A0"/>
    <w:rsid w:val="59B64E10"/>
    <w:rsid w:val="59C372B8"/>
    <w:rsid w:val="59E10E5D"/>
    <w:rsid w:val="59F601C8"/>
    <w:rsid w:val="5A1453A8"/>
    <w:rsid w:val="5A1727B0"/>
    <w:rsid w:val="5A2F5A03"/>
    <w:rsid w:val="5A34737D"/>
    <w:rsid w:val="5A3F0998"/>
    <w:rsid w:val="5A844F90"/>
    <w:rsid w:val="5A9C1790"/>
    <w:rsid w:val="5AA720DB"/>
    <w:rsid w:val="5AB56A5E"/>
    <w:rsid w:val="5AD05DD9"/>
    <w:rsid w:val="5AEE0B6B"/>
    <w:rsid w:val="5B133B99"/>
    <w:rsid w:val="5B3E5B7E"/>
    <w:rsid w:val="5B953B59"/>
    <w:rsid w:val="5C655966"/>
    <w:rsid w:val="5C6D07F7"/>
    <w:rsid w:val="5CA259A3"/>
    <w:rsid w:val="5CB21E14"/>
    <w:rsid w:val="5CFB35DF"/>
    <w:rsid w:val="5D6E3BD1"/>
    <w:rsid w:val="5D806CE2"/>
    <w:rsid w:val="5D852325"/>
    <w:rsid w:val="5DD37389"/>
    <w:rsid w:val="5DD37889"/>
    <w:rsid w:val="5DE73198"/>
    <w:rsid w:val="5E3517E8"/>
    <w:rsid w:val="5E576ED1"/>
    <w:rsid w:val="5E603519"/>
    <w:rsid w:val="5E7C6A97"/>
    <w:rsid w:val="5E843441"/>
    <w:rsid w:val="5E945114"/>
    <w:rsid w:val="5E9A1FEC"/>
    <w:rsid w:val="5EC22A85"/>
    <w:rsid w:val="5EF740E0"/>
    <w:rsid w:val="5EFC5448"/>
    <w:rsid w:val="5F251E1A"/>
    <w:rsid w:val="5F265BEC"/>
    <w:rsid w:val="5F3C5B34"/>
    <w:rsid w:val="5F74155B"/>
    <w:rsid w:val="5F7A20C9"/>
    <w:rsid w:val="5F82782A"/>
    <w:rsid w:val="5FAE15C5"/>
    <w:rsid w:val="5FBE1714"/>
    <w:rsid w:val="5FC4535B"/>
    <w:rsid w:val="5FD5763F"/>
    <w:rsid w:val="5FF83A4C"/>
    <w:rsid w:val="601806A5"/>
    <w:rsid w:val="601F5B18"/>
    <w:rsid w:val="604E4A75"/>
    <w:rsid w:val="606F22F8"/>
    <w:rsid w:val="60A126EF"/>
    <w:rsid w:val="61042B32"/>
    <w:rsid w:val="61187D68"/>
    <w:rsid w:val="611B7D96"/>
    <w:rsid w:val="614C3600"/>
    <w:rsid w:val="61A62736"/>
    <w:rsid w:val="61D0777D"/>
    <w:rsid w:val="61D11A7A"/>
    <w:rsid w:val="61D1271D"/>
    <w:rsid w:val="61EE23FD"/>
    <w:rsid w:val="621870A8"/>
    <w:rsid w:val="623F5136"/>
    <w:rsid w:val="62425BC8"/>
    <w:rsid w:val="62990F59"/>
    <w:rsid w:val="629D6DE6"/>
    <w:rsid w:val="62C4791F"/>
    <w:rsid w:val="62FC20D2"/>
    <w:rsid w:val="62FE4A25"/>
    <w:rsid w:val="63086050"/>
    <w:rsid w:val="631006C4"/>
    <w:rsid w:val="63385314"/>
    <w:rsid w:val="63574507"/>
    <w:rsid w:val="63C6692E"/>
    <w:rsid w:val="63CE6D01"/>
    <w:rsid w:val="63F019EE"/>
    <w:rsid w:val="63F37F91"/>
    <w:rsid w:val="641A0EDE"/>
    <w:rsid w:val="64294E37"/>
    <w:rsid w:val="6431719B"/>
    <w:rsid w:val="64A4798E"/>
    <w:rsid w:val="64C37D8A"/>
    <w:rsid w:val="64C949F5"/>
    <w:rsid w:val="64CA02A4"/>
    <w:rsid w:val="64D214F7"/>
    <w:rsid w:val="64D911C4"/>
    <w:rsid w:val="64DE72EC"/>
    <w:rsid w:val="650A73E1"/>
    <w:rsid w:val="656D64AE"/>
    <w:rsid w:val="659D3458"/>
    <w:rsid w:val="65AE5DB9"/>
    <w:rsid w:val="65B26555"/>
    <w:rsid w:val="65BB294A"/>
    <w:rsid w:val="65C67056"/>
    <w:rsid w:val="65C8358D"/>
    <w:rsid w:val="65D222A3"/>
    <w:rsid w:val="65F13F44"/>
    <w:rsid w:val="65FD1E91"/>
    <w:rsid w:val="661812CC"/>
    <w:rsid w:val="66226622"/>
    <w:rsid w:val="664752B9"/>
    <w:rsid w:val="66506FE1"/>
    <w:rsid w:val="66564D43"/>
    <w:rsid w:val="665E6846"/>
    <w:rsid w:val="66784235"/>
    <w:rsid w:val="667C4883"/>
    <w:rsid w:val="67373066"/>
    <w:rsid w:val="673853B8"/>
    <w:rsid w:val="67657C9C"/>
    <w:rsid w:val="67AA587A"/>
    <w:rsid w:val="67CC4AC8"/>
    <w:rsid w:val="6802097B"/>
    <w:rsid w:val="681973C3"/>
    <w:rsid w:val="681A558E"/>
    <w:rsid w:val="68304B07"/>
    <w:rsid w:val="684E37D2"/>
    <w:rsid w:val="685B2E87"/>
    <w:rsid w:val="685D14AE"/>
    <w:rsid w:val="686A5AAD"/>
    <w:rsid w:val="68AC1D55"/>
    <w:rsid w:val="68D932D9"/>
    <w:rsid w:val="68FA07B9"/>
    <w:rsid w:val="690C7D37"/>
    <w:rsid w:val="69171ABE"/>
    <w:rsid w:val="695F69A2"/>
    <w:rsid w:val="696F13D9"/>
    <w:rsid w:val="69714536"/>
    <w:rsid w:val="69762381"/>
    <w:rsid w:val="698538E4"/>
    <w:rsid w:val="69935BD8"/>
    <w:rsid w:val="69B02EBB"/>
    <w:rsid w:val="69C95C3C"/>
    <w:rsid w:val="6A2304CF"/>
    <w:rsid w:val="6A2422E4"/>
    <w:rsid w:val="6A2E5A00"/>
    <w:rsid w:val="6A447E29"/>
    <w:rsid w:val="6A45281F"/>
    <w:rsid w:val="6A563264"/>
    <w:rsid w:val="6A5F5ABE"/>
    <w:rsid w:val="6AD25C2B"/>
    <w:rsid w:val="6AF74177"/>
    <w:rsid w:val="6B0A1533"/>
    <w:rsid w:val="6B147F61"/>
    <w:rsid w:val="6B1A07D6"/>
    <w:rsid w:val="6B307CDF"/>
    <w:rsid w:val="6B571E82"/>
    <w:rsid w:val="6B6626F4"/>
    <w:rsid w:val="6B6E56A1"/>
    <w:rsid w:val="6B736945"/>
    <w:rsid w:val="6C010317"/>
    <w:rsid w:val="6C15199D"/>
    <w:rsid w:val="6C210FAB"/>
    <w:rsid w:val="6C2B2197"/>
    <w:rsid w:val="6C791DDF"/>
    <w:rsid w:val="6C7B25A8"/>
    <w:rsid w:val="6C8B7990"/>
    <w:rsid w:val="6C9914BC"/>
    <w:rsid w:val="6CC345E8"/>
    <w:rsid w:val="6CC73B36"/>
    <w:rsid w:val="6CE367F2"/>
    <w:rsid w:val="6CF747A1"/>
    <w:rsid w:val="6CFD3E53"/>
    <w:rsid w:val="6D4D73E2"/>
    <w:rsid w:val="6D662E4B"/>
    <w:rsid w:val="6D700C89"/>
    <w:rsid w:val="6D9E561E"/>
    <w:rsid w:val="6DA24B38"/>
    <w:rsid w:val="6DC81402"/>
    <w:rsid w:val="6DDD4F93"/>
    <w:rsid w:val="6E416B11"/>
    <w:rsid w:val="6E800EBF"/>
    <w:rsid w:val="6E8135C6"/>
    <w:rsid w:val="6E8F6BA5"/>
    <w:rsid w:val="6E976272"/>
    <w:rsid w:val="6EC73EFA"/>
    <w:rsid w:val="6EE01527"/>
    <w:rsid w:val="6F2767E3"/>
    <w:rsid w:val="6F2B5231"/>
    <w:rsid w:val="6F9F4701"/>
    <w:rsid w:val="6FAA3144"/>
    <w:rsid w:val="6FB82B35"/>
    <w:rsid w:val="6FB97900"/>
    <w:rsid w:val="6FD840D3"/>
    <w:rsid w:val="6FE76C77"/>
    <w:rsid w:val="6FF77C33"/>
    <w:rsid w:val="70025E7F"/>
    <w:rsid w:val="70192016"/>
    <w:rsid w:val="70461A7E"/>
    <w:rsid w:val="705831F1"/>
    <w:rsid w:val="709075D4"/>
    <w:rsid w:val="70907FC3"/>
    <w:rsid w:val="709E03A8"/>
    <w:rsid w:val="70BA49C9"/>
    <w:rsid w:val="70D352C1"/>
    <w:rsid w:val="70DC4DFF"/>
    <w:rsid w:val="70E97237"/>
    <w:rsid w:val="70ED7ED0"/>
    <w:rsid w:val="71131DE5"/>
    <w:rsid w:val="71167F3D"/>
    <w:rsid w:val="711F3231"/>
    <w:rsid w:val="7130404D"/>
    <w:rsid w:val="71375009"/>
    <w:rsid w:val="714D56EC"/>
    <w:rsid w:val="71583D0E"/>
    <w:rsid w:val="716F2D24"/>
    <w:rsid w:val="717C2107"/>
    <w:rsid w:val="718A6ACD"/>
    <w:rsid w:val="719D3201"/>
    <w:rsid w:val="71E06A91"/>
    <w:rsid w:val="71E64418"/>
    <w:rsid w:val="71EE714F"/>
    <w:rsid w:val="71FB78DD"/>
    <w:rsid w:val="72271977"/>
    <w:rsid w:val="728765CC"/>
    <w:rsid w:val="72891406"/>
    <w:rsid w:val="729D3341"/>
    <w:rsid w:val="72B810E2"/>
    <w:rsid w:val="72E0672A"/>
    <w:rsid w:val="730C6214"/>
    <w:rsid w:val="731B1CF1"/>
    <w:rsid w:val="735129A2"/>
    <w:rsid w:val="73570AAE"/>
    <w:rsid w:val="7383028C"/>
    <w:rsid w:val="73895EC6"/>
    <w:rsid w:val="739F01EE"/>
    <w:rsid w:val="73AC4674"/>
    <w:rsid w:val="73C5156F"/>
    <w:rsid w:val="73CB1E4A"/>
    <w:rsid w:val="73CC1936"/>
    <w:rsid w:val="73DA3245"/>
    <w:rsid w:val="73EA61C8"/>
    <w:rsid w:val="73ED19F0"/>
    <w:rsid w:val="741B51B9"/>
    <w:rsid w:val="741C5AB4"/>
    <w:rsid w:val="74567F3E"/>
    <w:rsid w:val="74671343"/>
    <w:rsid w:val="746813F2"/>
    <w:rsid w:val="749B1D0F"/>
    <w:rsid w:val="74BB65AD"/>
    <w:rsid w:val="74DA1471"/>
    <w:rsid w:val="74DD2334"/>
    <w:rsid w:val="74FA650F"/>
    <w:rsid w:val="750714C9"/>
    <w:rsid w:val="750A3825"/>
    <w:rsid w:val="750B6C81"/>
    <w:rsid w:val="755C4F07"/>
    <w:rsid w:val="75612B0C"/>
    <w:rsid w:val="757F2706"/>
    <w:rsid w:val="758B23D0"/>
    <w:rsid w:val="75A860C4"/>
    <w:rsid w:val="75CC34C2"/>
    <w:rsid w:val="75CE0EE9"/>
    <w:rsid w:val="761E13FB"/>
    <w:rsid w:val="762737BA"/>
    <w:rsid w:val="764A425F"/>
    <w:rsid w:val="765820E8"/>
    <w:rsid w:val="766D1999"/>
    <w:rsid w:val="767A4AA3"/>
    <w:rsid w:val="767F343A"/>
    <w:rsid w:val="76827FD2"/>
    <w:rsid w:val="769547AD"/>
    <w:rsid w:val="76B806F1"/>
    <w:rsid w:val="76B92D87"/>
    <w:rsid w:val="76C31256"/>
    <w:rsid w:val="76C91941"/>
    <w:rsid w:val="76D13F77"/>
    <w:rsid w:val="76D93BAA"/>
    <w:rsid w:val="77125DB3"/>
    <w:rsid w:val="77414CC4"/>
    <w:rsid w:val="77474E96"/>
    <w:rsid w:val="77744C20"/>
    <w:rsid w:val="77824A94"/>
    <w:rsid w:val="7799608A"/>
    <w:rsid w:val="779A0B33"/>
    <w:rsid w:val="77BA4377"/>
    <w:rsid w:val="77D906F8"/>
    <w:rsid w:val="77E66BCB"/>
    <w:rsid w:val="77FC7689"/>
    <w:rsid w:val="7806384F"/>
    <w:rsid w:val="782E1C74"/>
    <w:rsid w:val="786A389F"/>
    <w:rsid w:val="787C0557"/>
    <w:rsid w:val="788410B0"/>
    <w:rsid w:val="78947061"/>
    <w:rsid w:val="78BE56F5"/>
    <w:rsid w:val="78E94795"/>
    <w:rsid w:val="79041C83"/>
    <w:rsid w:val="791F15B2"/>
    <w:rsid w:val="79B6541D"/>
    <w:rsid w:val="79E8751E"/>
    <w:rsid w:val="79FA4DB2"/>
    <w:rsid w:val="7A067FAF"/>
    <w:rsid w:val="7A4C7FA5"/>
    <w:rsid w:val="7A6B6EA8"/>
    <w:rsid w:val="7AA630B4"/>
    <w:rsid w:val="7B164D0B"/>
    <w:rsid w:val="7B3C3CF8"/>
    <w:rsid w:val="7B4828CD"/>
    <w:rsid w:val="7B593864"/>
    <w:rsid w:val="7B714C16"/>
    <w:rsid w:val="7B83677B"/>
    <w:rsid w:val="7C206F58"/>
    <w:rsid w:val="7C422E85"/>
    <w:rsid w:val="7C4B24E3"/>
    <w:rsid w:val="7C511685"/>
    <w:rsid w:val="7CAB4ADB"/>
    <w:rsid w:val="7D102848"/>
    <w:rsid w:val="7D662903"/>
    <w:rsid w:val="7DB0257C"/>
    <w:rsid w:val="7DC40E5B"/>
    <w:rsid w:val="7DED4DCB"/>
    <w:rsid w:val="7E102AF4"/>
    <w:rsid w:val="7E1D7F06"/>
    <w:rsid w:val="7E2F683A"/>
    <w:rsid w:val="7E3703DC"/>
    <w:rsid w:val="7E6162B0"/>
    <w:rsid w:val="7E7628EA"/>
    <w:rsid w:val="7E7A6AB1"/>
    <w:rsid w:val="7EA24903"/>
    <w:rsid w:val="7EB266DD"/>
    <w:rsid w:val="7EBF27C8"/>
    <w:rsid w:val="7EE6265F"/>
    <w:rsid w:val="7EF563A1"/>
    <w:rsid w:val="7F0641E4"/>
    <w:rsid w:val="7F086B8C"/>
    <w:rsid w:val="7F694CB2"/>
    <w:rsid w:val="7FBA2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name="heading 5"/>
    <w:lsdException w:qFormat="1" w:uiPriority="0" w:name="heading 6"/>
    <w:lsdException w:qFormat="1" w:uiPriority="99" w:name="heading 7"/>
    <w:lsdException w:qFormat="1" w:uiPriority="99" w:name="heading 8"/>
    <w:lsdException w:qFormat="1"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semiHidden/>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semiHidden/>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semiHidden/>
    <w:unhideWhenUsed/>
    <w:qFormat/>
    <w:uiPriority w:val="9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semiHidden/>
    <w:unhideWhenUsed/>
    <w:qFormat/>
    <w:uiPriority w:val="99"/>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semiHidden/>
    <w:unhideWhenUsed/>
    <w:qFormat/>
    <w:uiPriority w:val="9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5"/>
    <w:unhideWhenUsed/>
    <w:qFormat/>
    <w:uiPriority w:val="99"/>
    <w:pPr>
      <w:spacing w:after="120"/>
    </w:pPr>
  </w:style>
  <w:style w:type="paragraph" w:styleId="12">
    <w:name w:val="toc 7"/>
    <w:basedOn w:val="1"/>
    <w:next w:val="1"/>
    <w:semiHidden/>
    <w:unhideWhenUsed/>
    <w:qFormat/>
    <w:uiPriority w:val="99"/>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5">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99"/>
    <w:pPr>
      <w:jc w:val="left"/>
    </w:pPr>
    <w:rPr>
      <w:rFonts w:ascii="Times New Roman" w:hAnsi="Times New Roman"/>
      <w:kern w:val="0"/>
      <w:sz w:val="18"/>
      <w:szCs w:val="18"/>
    </w:rPr>
  </w:style>
  <w:style w:type="paragraph" w:styleId="17">
    <w:name w:val="Body Text 3"/>
    <w:basedOn w:val="1"/>
    <w:link w:val="70"/>
    <w:semiHidden/>
    <w:unhideWhenUsed/>
    <w:qFormat/>
    <w:uiPriority w:val="99"/>
    <w:pPr>
      <w:jc w:val="center"/>
    </w:pPr>
    <w:rPr>
      <w:rFonts w:ascii="Times New Roman" w:hAnsi="Times New Roman" w:eastAsia="黑体"/>
      <w:sz w:val="44"/>
      <w:szCs w:val="24"/>
    </w:rPr>
  </w:style>
  <w:style w:type="paragraph" w:styleId="18">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99"/>
    <w:pPr>
      <w:ind w:left="1680" w:leftChars="800"/>
    </w:pPr>
    <w:rPr>
      <w:rFonts w:ascii="Times New Roman" w:hAnsi="Times New Roman"/>
      <w:sz w:val="18"/>
      <w:szCs w:val="18"/>
    </w:rPr>
  </w:style>
  <w:style w:type="paragraph" w:styleId="21">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0"/>
    <w:semiHidden/>
    <w:unhideWhenUsed/>
    <w:qFormat/>
    <w:uiPriority w:val="99"/>
    <w:rPr>
      <w:rFonts w:ascii="宋体" w:hAnsi="Courier New"/>
      <w:kern w:val="0"/>
      <w:sz w:val="20"/>
      <w:szCs w:val="18"/>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5"/>
    <w:semiHidden/>
    <w:unhideWhenUsed/>
    <w:qFormat/>
    <w:uiPriority w:val="99"/>
    <w:rPr>
      <w:rFonts w:ascii="Calibri" w:hAnsi="Calibri"/>
      <w:b/>
      <w:bCs/>
      <w:kern w:val="2"/>
      <w:sz w:val="21"/>
      <w:szCs w:val="22"/>
    </w:rPr>
  </w:style>
  <w:style w:type="paragraph" w:styleId="41">
    <w:name w:val="Body Text First Indent"/>
    <w:basedOn w:val="2"/>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5">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6">
    <w:name w:val="Hyperlink"/>
    <w:unhideWhenUsed/>
    <w:qFormat/>
    <w:uiPriority w:val="99"/>
    <w:rPr>
      <w:color w:val="0000FF"/>
      <w:u w:val="single"/>
    </w:rPr>
  </w:style>
  <w:style w:type="character" w:styleId="47">
    <w:name w:val="annotation reference"/>
    <w:unhideWhenUsed/>
    <w:qFormat/>
    <w:uiPriority w:val="99"/>
    <w:rPr>
      <w:sz w:val="21"/>
      <w:szCs w:val="21"/>
    </w:rPr>
  </w:style>
  <w:style w:type="character" w:styleId="48">
    <w:name w:val="footnote reference"/>
    <w:semiHidden/>
    <w:unhideWhenUsed/>
    <w:qFormat/>
    <w:uiPriority w:val="0"/>
    <w:rPr>
      <w:vertAlign w:val="superscript"/>
    </w:rPr>
  </w:style>
  <w:style w:type="paragraph" w:customStyle="1" w:styleId="49">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character" w:customStyle="1" w:styleId="50">
    <w:name w:val="标题 1 Char"/>
    <w:basedOn w:val="44"/>
    <w:link w:val="3"/>
    <w:qFormat/>
    <w:uiPriority w:val="0"/>
    <w:rPr>
      <w:rFonts w:ascii="宋体" w:hAnsi="宋体" w:eastAsia="宋体" w:cs="宋体"/>
      <w:b/>
      <w:bCs/>
      <w:spacing w:val="-20"/>
      <w:kern w:val="44"/>
      <w:sz w:val="32"/>
      <w:szCs w:val="32"/>
    </w:rPr>
  </w:style>
  <w:style w:type="character" w:customStyle="1" w:styleId="51">
    <w:name w:val="标题 2 Char"/>
    <w:basedOn w:val="44"/>
    <w:link w:val="4"/>
    <w:qFormat/>
    <w:uiPriority w:val="9"/>
    <w:rPr>
      <w:rFonts w:ascii="宋体" w:hAnsi="宋体" w:eastAsia="宋体" w:cs="宋体"/>
      <w:b/>
      <w:bCs/>
      <w:sz w:val="28"/>
      <w:szCs w:val="28"/>
    </w:rPr>
  </w:style>
  <w:style w:type="character" w:customStyle="1" w:styleId="52">
    <w:name w:val="标题 3 Char"/>
    <w:basedOn w:val="44"/>
    <w:link w:val="5"/>
    <w:qFormat/>
    <w:uiPriority w:val="99"/>
    <w:rPr>
      <w:rFonts w:ascii="宋体" w:hAnsi="宋体" w:eastAsia="宋体" w:cs="宋体"/>
      <w:b/>
      <w:bCs/>
      <w:color w:val="000000"/>
      <w:kern w:val="0"/>
      <w:sz w:val="28"/>
      <w:szCs w:val="28"/>
    </w:rPr>
  </w:style>
  <w:style w:type="character" w:customStyle="1" w:styleId="53">
    <w:name w:val="标题 4 Char"/>
    <w:basedOn w:val="44"/>
    <w:link w:val="6"/>
    <w:semiHidden/>
    <w:qFormat/>
    <w:uiPriority w:val="0"/>
    <w:rPr>
      <w:rFonts w:ascii="Arial" w:hAnsi="Arial" w:eastAsia="宋体" w:cs="Times New Roman"/>
      <w:b/>
      <w:bCs/>
      <w:kern w:val="0"/>
      <w:sz w:val="28"/>
      <w:szCs w:val="28"/>
    </w:rPr>
  </w:style>
  <w:style w:type="character" w:customStyle="1" w:styleId="54">
    <w:name w:val="标题 5 Char"/>
    <w:basedOn w:val="44"/>
    <w:link w:val="7"/>
    <w:semiHidden/>
    <w:qFormat/>
    <w:uiPriority w:val="0"/>
    <w:rPr>
      <w:rFonts w:ascii="Calibri" w:hAnsi="Calibri" w:eastAsia="宋体" w:cs="宋体"/>
      <w:b/>
      <w:bCs/>
      <w:kern w:val="0"/>
      <w:sz w:val="28"/>
      <w:szCs w:val="28"/>
    </w:rPr>
  </w:style>
  <w:style w:type="character" w:customStyle="1" w:styleId="55">
    <w:name w:val="标题 6 Char"/>
    <w:basedOn w:val="44"/>
    <w:link w:val="8"/>
    <w:semiHidden/>
    <w:qFormat/>
    <w:uiPriority w:val="0"/>
    <w:rPr>
      <w:rFonts w:ascii="Arial" w:hAnsi="Arial" w:eastAsia="宋体" w:cs="Times New Roman"/>
      <w:b/>
      <w:bCs/>
      <w:kern w:val="0"/>
      <w:sz w:val="28"/>
      <w:szCs w:val="18"/>
    </w:rPr>
  </w:style>
  <w:style w:type="character" w:customStyle="1" w:styleId="56">
    <w:name w:val="标题 7 Char"/>
    <w:basedOn w:val="44"/>
    <w:link w:val="9"/>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10"/>
    <w:semiHidden/>
    <w:qFormat/>
    <w:uiPriority w:val="99"/>
    <w:rPr>
      <w:rFonts w:ascii="Arial" w:hAnsi="Arial" w:eastAsia="黑体" w:cs="Times New Roman"/>
      <w:kern w:val="0"/>
      <w:sz w:val="24"/>
      <w:szCs w:val="24"/>
    </w:rPr>
  </w:style>
  <w:style w:type="character" w:customStyle="1" w:styleId="58">
    <w:name w:val="标题 9 Char"/>
    <w:basedOn w:val="44"/>
    <w:link w:val="11"/>
    <w:semiHidden/>
    <w:qFormat/>
    <w:uiPriority w:val="99"/>
    <w:rPr>
      <w:rFonts w:ascii="Arial" w:hAnsi="Arial" w:eastAsia="黑体" w:cs="Times New Roman"/>
      <w:kern w:val="0"/>
      <w:sz w:val="20"/>
      <w:szCs w:val="21"/>
    </w:rPr>
  </w:style>
  <w:style w:type="character" w:customStyle="1" w:styleId="59">
    <w:name w:val="正文缩进 Char1"/>
    <w:link w:val="13"/>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6"/>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99"/>
    <w:rPr>
      <w:rFonts w:ascii="Calibri" w:hAnsi="Calibri" w:eastAsia="宋体" w:cs="Times New Roman"/>
    </w:rPr>
  </w:style>
  <w:style w:type="character" w:customStyle="1" w:styleId="65">
    <w:name w:val="正文文本缩进 Char"/>
    <w:basedOn w:val="44"/>
    <w:link w:val="18"/>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7"/>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5"/>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8"/>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8"/>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4"/>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10"/>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99"/>
    <w:pPr>
      <w:tabs>
        <w:tab w:val="left" w:pos="425"/>
      </w:tabs>
    </w:pPr>
    <w:rPr>
      <w:rFonts w:cs="Times New Roman"/>
      <w:sz w:val="44"/>
    </w:rPr>
  </w:style>
  <w:style w:type="paragraph" w:customStyle="1" w:styleId="125">
    <w:name w:val="样式 标题 5 + 倾斜"/>
    <w:basedOn w:val="7"/>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9"/>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99"/>
    <w:rPr>
      <w:rFonts w:ascii="Tahoma" w:hAnsi="Tahoma"/>
      <w:sz w:val="24"/>
      <w:szCs w:val="24"/>
    </w:rPr>
  </w:style>
  <w:style w:type="paragraph" w:customStyle="1" w:styleId="136">
    <w:name w:val="MM Topic 3"/>
    <w:basedOn w:val="5"/>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99"/>
    <w:pPr>
      <w:tabs>
        <w:tab w:val="left" w:pos="5102"/>
      </w:tabs>
    </w:pPr>
  </w:style>
  <w:style w:type="paragraph" w:customStyle="1" w:styleId="142">
    <w:name w:val="MM Topic 5"/>
    <w:basedOn w:val="7"/>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99"/>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2"/>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22"/>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4"/>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 w:type="paragraph" w:customStyle="1" w:styleId="294">
    <w:name w:val="图名"/>
    <w:next w:val="1"/>
    <w:qFormat/>
    <w:uiPriority w:val="0"/>
    <w:pPr>
      <w:spacing w:after="100" w:afterLines="100"/>
      <w:jc w:val="center"/>
    </w:pPr>
    <w:rPr>
      <w:rFonts w:asciiTheme="minorHAnsi" w:hAnsiTheme="minorHAnsi" w:eastAsiaTheme="minorEastAsia" w:cstheme="minorBidi"/>
      <w:b/>
      <w:kern w:val="2"/>
      <w:sz w:val="21"/>
      <w:szCs w:val="22"/>
      <w:lang w:val="en-US" w:eastAsia="zh-CN" w:bidi="ar-SA"/>
    </w:rPr>
  </w:style>
  <w:style w:type="paragraph" w:customStyle="1" w:styleId="295">
    <w:name w:val="表名"/>
    <w:qFormat/>
    <w:uiPriority w:val="0"/>
    <w:pPr>
      <w:spacing w:before="100" w:beforeLines="100" w:after="50" w:afterLines="50"/>
      <w:jc w:val="center"/>
    </w:pPr>
    <w:rPr>
      <w:rFonts w:asciiTheme="majorHAnsi" w:hAnsiTheme="majorHAnsi" w:eastAsiaTheme="majorEastAsia" w:cstheme="majorBidi"/>
      <w:b/>
      <w:bCs/>
      <w:kern w:val="2"/>
      <w:sz w:val="21"/>
      <w:szCs w:val="32"/>
      <w:lang w:val="en-US" w:eastAsia="zh-CN" w:bidi="ar-SA"/>
    </w:rPr>
  </w:style>
  <w:style w:type="paragraph" w:customStyle="1" w:styleId="296">
    <w:name w:val="表格内容"/>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97">
    <w:name w:val="fontstyle31"/>
    <w:basedOn w:val="44"/>
    <w:qFormat/>
    <w:uiPriority w:val="0"/>
    <w:rPr>
      <w:rFonts w:hint="eastAsia" w:ascii="宋体" w:hAnsi="宋体" w:eastAsia="宋体"/>
      <w:color w:val="000000"/>
      <w:sz w:val="24"/>
      <w:szCs w:val="24"/>
    </w:rPr>
  </w:style>
  <w:style w:type="character" w:customStyle="1" w:styleId="298">
    <w:name w:val="fontstyle51"/>
    <w:basedOn w:val="44"/>
    <w:qFormat/>
    <w:uiPriority w:val="0"/>
    <w:rPr>
      <w:rFonts w:hint="default" w:ascii="MS-PGothic" w:hAnsi="MS-PGothic"/>
      <w:color w:val="000000"/>
      <w:sz w:val="24"/>
      <w:szCs w:val="24"/>
    </w:rPr>
  </w:style>
  <w:style w:type="character" w:customStyle="1" w:styleId="299">
    <w:name w:val="u正文 Char"/>
    <w:basedOn w:val="44"/>
    <w:link w:val="300"/>
    <w:qFormat/>
    <w:uiPriority w:val="0"/>
    <w:rPr>
      <w:rFonts w:ascii="Times New Roman" w:hAnsi="Times New Roman" w:eastAsia="宋体" w:cs="宋体"/>
      <w:szCs w:val="20"/>
    </w:rPr>
  </w:style>
  <w:style w:type="paragraph" w:customStyle="1" w:styleId="300">
    <w:name w:val="u正文"/>
    <w:basedOn w:val="1"/>
    <w:link w:val="299"/>
    <w:qFormat/>
    <w:uiPriority w:val="0"/>
    <w:pPr>
      <w:spacing w:beforeLines="10" w:afterLines="10" w:line="312" w:lineRule="auto"/>
    </w:pPr>
    <w:rPr>
      <w:rFonts w:ascii="Times New Roman" w:hAnsi="Times New Roman" w:cs="宋体"/>
      <w:szCs w:val="20"/>
    </w:rPr>
  </w:style>
  <w:style w:type="paragraph" w:customStyle="1" w:styleId="301">
    <w:name w:val="图片"/>
    <w:next w:val="294"/>
    <w:qFormat/>
    <w:uiPriority w:val="0"/>
    <w:pPr>
      <w:spacing w:before="100" w:beforeLines="100" w:line="360" w:lineRule="auto"/>
      <w:jc w:val="center"/>
    </w:pPr>
    <w:rPr>
      <w:rFonts w:asciiTheme="minorHAnsi" w:hAnsiTheme="minorHAnsi" w:eastAsiaTheme="minorEastAsia" w:cstheme="minorBidi"/>
      <w:kern w:val="2"/>
      <w:sz w:val="24"/>
      <w:szCs w:val="22"/>
      <w:lang w:val="en-US" w:eastAsia="zh-CN" w:bidi="ar-SA"/>
    </w:rPr>
  </w:style>
  <w:style w:type="character" w:customStyle="1" w:styleId="302">
    <w:name w:val="fontstyle41"/>
    <w:basedOn w:val="44"/>
    <w:qFormat/>
    <w:uiPriority w:val="0"/>
    <w:rPr>
      <w:rFonts w:hint="default" w:ascii="TimesNewRomanPSMT" w:hAnsi="TimesNewRomanPSMT"/>
      <w:color w:val="000000"/>
      <w:sz w:val="24"/>
      <w:szCs w:val="24"/>
    </w:rPr>
  </w:style>
  <w:style w:type="table" w:customStyle="1" w:styleId="303">
    <w:name w:val="网格型1"/>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04">
    <w:name w:val="正文（首行缩进2字符）"/>
    <w:basedOn w:val="1"/>
    <w:qFormat/>
    <w:uiPriority w:val="0"/>
    <w:pPr>
      <w:spacing w:line="360" w:lineRule="auto"/>
      <w:ind w:firstLine="20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pn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BADAED-D1DF-4C8B-8531-D9C4DB6F0DF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256</Pages>
  <Words>95505</Words>
  <Characters>103478</Characters>
  <Lines>834</Lines>
  <Paragraphs>234</Paragraphs>
  <TotalTime>146</TotalTime>
  <ScaleCrop>false</ScaleCrop>
  <LinksUpToDate>false</LinksUpToDate>
  <CharactersWithSpaces>106369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2021-04-13T07:57:00Z</dcterms:created>
  <dc:creator>陶伟</dc:creator>
  <cp:lastModifiedBy>Administrator</cp:lastModifiedBy>
  <cp:lastPrinted>2021-07-22T05:37:00Z</cp:lastPrinted>
  <dcterms:modified xsi:type="dcterms:W3CDTF">2021-08-02T06:12:25Z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KSOSaveFontToCloudKey">
    <vt:lpwstr>467061929_btnclosed</vt:lpwstr>
  </property>
  <property fmtid="{D5CDD505-2E9C-101B-9397-08002B2CF9AE}" pid="4" name="ICV">
    <vt:lpwstr>EB06E8A0122240AC979C60335CB93213</vt:lpwstr>
  </property>
</Properties>
</file>