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Theme="minorEastAsia" w:hAnsiTheme="minorEastAsia" w:eastAsiaTheme="minorEastAsia" w:cstheme="minorEastAsia"/>
          <w:spacing w:val="42"/>
          <w:sz w:val="84"/>
          <w:lang w:eastAsia="zh-CN"/>
        </w:rPr>
      </w:pPr>
    </w:p>
    <w:p>
      <w:pPr>
        <w:pStyle w:val="6"/>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2"/>
          <w:sz w:val="130"/>
          <w:szCs w:val="130"/>
        </w:rPr>
      </w:pPr>
      <w:r>
        <w:rPr>
          <w:rFonts w:hint="eastAsia" w:asciiTheme="minorEastAsia" w:hAnsiTheme="minorEastAsia" w:eastAsiaTheme="minorEastAsia" w:cstheme="minorEastAsia"/>
          <w:spacing w:val="42"/>
          <w:sz w:val="130"/>
          <w:szCs w:val="130"/>
        </w:rPr>
        <w:t>招 标 文 件</w:t>
      </w:r>
    </w:p>
    <w:p>
      <w:pPr>
        <w:spacing w:line="360" w:lineRule="auto"/>
        <w:jc w:val="center"/>
        <w:rPr>
          <w:rFonts w:hint="eastAsia" w:asciiTheme="minorEastAsia" w:hAnsiTheme="minorEastAsia" w:eastAsiaTheme="minorEastAsia" w:cstheme="minorEastAsia"/>
          <w:sz w:val="32"/>
          <w:szCs w:val="32"/>
        </w:rPr>
      </w:pPr>
    </w:p>
    <w:p>
      <w:pPr>
        <w:spacing w:line="360" w:lineRule="auto"/>
        <w:jc w:val="center"/>
        <w:rPr>
          <w:rFonts w:hint="eastAsia" w:asciiTheme="minorEastAsia" w:hAnsiTheme="minorEastAsia" w:eastAsiaTheme="minorEastAsia" w:cstheme="minorEastAsia"/>
          <w:sz w:val="32"/>
          <w:szCs w:val="32"/>
        </w:rPr>
      </w:pPr>
    </w:p>
    <w:p>
      <w:pPr>
        <w:spacing w:line="360" w:lineRule="auto"/>
        <w:rPr>
          <w:rFonts w:hint="eastAsia" w:asciiTheme="minorEastAsia" w:hAnsiTheme="minorEastAsia" w:eastAsiaTheme="minorEastAsia" w:cstheme="minorEastAsia"/>
        </w:rPr>
      </w:pPr>
    </w:p>
    <w:p>
      <w:pPr>
        <w:spacing w:line="360" w:lineRule="auto"/>
        <w:ind w:left="2416" w:leftChars="338" w:hanging="1706" w:hangingChars="531"/>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rPr>
        <w:t>项目名称：</w:t>
      </w:r>
      <w:r>
        <w:rPr>
          <w:rFonts w:hint="eastAsia" w:asciiTheme="minorEastAsia" w:hAnsiTheme="minorEastAsia" w:eastAsiaTheme="minorEastAsia" w:cstheme="minorEastAsia"/>
          <w:b/>
          <w:bCs/>
          <w:sz w:val="32"/>
          <w:szCs w:val="32"/>
          <w:lang w:eastAsia="zh-CN"/>
        </w:rPr>
        <w:t>丹景街道新民家园一期征地拆迁安置小区物业管理服务采购项目</w:t>
      </w:r>
    </w:p>
    <w:p>
      <w:pPr>
        <w:spacing w:line="360" w:lineRule="auto"/>
        <w:ind w:left="2416" w:leftChars="338" w:hanging="1706" w:hangingChars="531"/>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rPr>
        <w:t>项目编号：</w:t>
      </w:r>
      <w:r>
        <w:rPr>
          <w:rFonts w:hint="eastAsia" w:asciiTheme="minorEastAsia" w:hAnsiTheme="minorEastAsia" w:eastAsiaTheme="minorEastAsia" w:cstheme="minorEastAsia"/>
          <w:b/>
          <w:bCs/>
          <w:sz w:val="32"/>
          <w:szCs w:val="32"/>
          <w:lang w:eastAsia="zh-CN"/>
        </w:rPr>
        <w:t>东部新区政采（2021）A0065号</w:t>
      </w:r>
    </w:p>
    <w:p>
      <w:pPr>
        <w:spacing w:line="360" w:lineRule="auto"/>
        <w:ind w:firstLine="1280" w:firstLineChars="400"/>
        <w:rPr>
          <w:rFonts w:hint="eastAsia" w:asciiTheme="minorEastAsia" w:hAnsiTheme="minorEastAsia" w:eastAsiaTheme="minorEastAsia" w:cstheme="minorEastAsia"/>
          <w:sz w:val="32"/>
          <w:szCs w:val="32"/>
        </w:rPr>
      </w:pPr>
    </w:p>
    <w:p>
      <w:pPr>
        <w:spacing w:line="360" w:lineRule="auto"/>
        <w:ind w:firstLine="1256" w:firstLineChars="349"/>
        <w:rPr>
          <w:rFonts w:hint="eastAsia" w:asciiTheme="minorEastAsia" w:hAnsiTheme="minorEastAsia" w:eastAsiaTheme="minorEastAsia" w:cstheme="minorEastAsia"/>
          <w:spacing w:val="20"/>
          <w:sz w:val="32"/>
          <w:szCs w:val="32"/>
        </w:rPr>
      </w:pPr>
    </w:p>
    <w:p>
      <w:pPr>
        <w:spacing w:line="360" w:lineRule="auto"/>
        <w:rPr>
          <w:rFonts w:hint="eastAsia" w:asciiTheme="minorEastAsia" w:hAnsiTheme="minorEastAsia" w:eastAsiaTheme="minorEastAsia" w:cstheme="minorEastAsia"/>
          <w:kern w:val="24"/>
          <w:sz w:val="32"/>
          <w:szCs w:val="32"/>
          <w:lang w:eastAsia="zh-CN"/>
        </w:rPr>
      </w:pPr>
    </w:p>
    <w:p>
      <w:pPr>
        <w:spacing w:line="360" w:lineRule="auto"/>
        <w:rPr>
          <w:rFonts w:hint="eastAsia" w:asciiTheme="minorEastAsia" w:hAnsiTheme="minorEastAsia" w:eastAsiaTheme="minorEastAsia" w:cstheme="minorEastAsia"/>
          <w:kern w:val="24"/>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成都东部新区丹景街道办事处</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成都东部新区党工委管委会（成都市东部新城办）综合部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共同编制</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8"/>
          <w:szCs w:val="32"/>
        </w:rPr>
      </w:pPr>
      <w:r>
        <w:rPr>
          <w:rFonts w:hint="eastAsia" w:asciiTheme="minorEastAsia" w:hAnsiTheme="minorEastAsia" w:eastAsiaTheme="minorEastAsia" w:cstheme="minorEastAsia"/>
          <w:b/>
          <w:bCs/>
          <w:sz w:val="32"/>
          <w:szCs w:val="32"/>
        </w:rPr>
        <w:t>二〇二</w:t>
      </w:r>
      <w:r>
        <w:rPr>
          <w:rFonts w:hint="eastAsia" w:asciiTheme="minorEastAsia" w:hAnsiTheme="minorEastAsia" w:eastAsiaTheme="minorEastAsia" w:cstheme="minorEastAsia"/>
          <w:b/>
          <w:bCs/>
          <w:sz w:val="32"/>
          <w:szCs w:val="32"/>
          <w:lang w:eastAsia="zh-CN"/>
        </w:rPr>
        <w:t>一</w:t>
      </w:r>
      <w:r>
        <w:rPr>
          <w:rFonts w:hint="eastAsia" w:asciiTheme="minorEastAsia" w:hAnsiTheme="minorEastAsia" w:eastAsiaTheme="minorEastAsia" w:cstheme="minorEastAsia"/>
          <w:b/>
          <w:bCs/>
          <w:sz w:val="32"/>
          <w:szCs w:val="32"/>
        </w:rPr>
        <w:t>年</w:t>
      </w:r>
      <w:r>
        <w:rPr>
          <w:rFonts w:hint="eastAsia" w:asciiTheme="minorEastAsia" w:hAnsiTheme="minorEastAsia" w:eastAsiaTheme="minorEastAsia" w:cstheme="minorEastAsia"/>
          <w:b/>
          <w:bCs/>
          <w:sz w:val="32"/>
          <w:szCs w:val="32"/>
          <w:lang w:eastAsia="zh-CN"/>
        </w:rPr>
        <w:t>十</w:t>
      </w:r>
      <w:r>
        <w:rPr>
          <w:rFonts w:hint="eastAsia" w:asciiTheme="minorEastAsia" w:hAnsiTheme="minorEastAsia" w:eastAsiaTheme="minorEastAsia" w:cstheme="minorEastAsia"/>
          <w:b/>
          <w:bCs/>
          <w:sz w:val="32"/>
          <w:szCs w:val="32"/>
          <w:lang w:val="en-US" w:eastAsia="zh-CN"/>
        </w:rPr>
        <w:t>二</w:t>
      </w:r>
      <w:r>
        <w:rPr>
          <w:rFonts w:hint="eastAsia" w:asciiTheme="minorEastAsia" w:hAnsiTheme="minorEastAsia" w:eastAsiaTheme="minorEastAsia" w:cstheme="minorEastAsia"/>
          <w:b/>
          <w:bCs/>
          <w:sz w:val="32"/>
          <w:szCs w:val="32"/>
        </w:rPr>
        <w:t>月</w:t>
      </w:r>
    </w:p>
    <w:p>
      <w:pPr>
        <w:spacing w:line="360" w:lineRule="auto"/>
        <w:jc w:val="center"/>
        <w:rPr>
          <w:rFonts w:hint="eastAsia" w:asciiTheme="minorEastAsia" w:hAnsiTheme="minorEastAsia" w:eastAsiaTheme="minorEastAsia" w:cstheme="minorEastAsia"/>
          <w:sz w:val="32"/>
          <w:szCs w:val="32"/>
        </w:rPr>
      </w:pPr>
    </w:p>
    <w:p>
      <w:pPr>
        <w:pStyle w:val="2"/>
        <w:rPr>
          <w:rFonts w:hint="eastAsia" w:asciiTheme="minorEastAsia" w:hAnsiTheme="minorEastAsia" w:eastAsiaTheme="minorEastAsia" w:cstheme="minorEastAsia"/>
        </w:rPr>
      </w:pPr>
    </w:p>
    <w:p>
      <w:pPr>
        <w:spacing w:line="360" w:lineRule="auto"/>
        <w:jc w:val="center"/>
        <w:rPr>
          <w:rFonts w:hint="eastAsia" w:asciiTheme="minorEastAsia" w:hAnsiTheme="minorEastAsia" w:eastAsiaTheme="minorEastAsia" w:cstheme="minorEastAsia"/>
          <w:b/>
          <w:sz w:val="36"/>
        </w:rPr>
      </w:pPr>
      <w:bookmarkStart w:id="0" w:name="_Toc101328520"/>
      <w:bookmarkStart w:id="1" w:name="_Toc101247312"/>
      <w:bookmarkStart w:id="2" w:name="_Toc148505181"/>
      <w:bookmarkStart w:id="3" w:name="_Toc101234248"/>
      <w:r>
        <w:rPr>
          <w:rFonts w:hint="eastAsia" w:asciiTheme="minorEastAsia" w:hAnsiTheme="minorEastAsia" w:eastAsiaTheme="minorEastAsia" w:cstheme="minorEastAsia"/>
          <w:b/>
          <w:sz w:val="32"/>
          <w:szCs w:val="32"/>
        </w:rPr>
        <w:t>目 录</w:t>
      </w:r>
    </w:p>
    <w:p>
      <w:pPr>
        <w:pStyle w:val="11"/>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mallCaps/>
          <w:sz w:val="28"/>
          <w:szCs w:val="28"/>
        </w:rPr>
        <w:instrText xml:space="preserve"> TOC \o "1-2" \h \z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_Toc30196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第1章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投标邀请</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_Toc30196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1"/>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_Toc27007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第2章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投标人须知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_Toc27007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1"/>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_Toc15550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第3章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投标文件格式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_Toc15550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620"/>
          <w:tab w:val="clear" w:pos="8364"/>
        </w:tabs>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_Toc21205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z w:val="28"/>
          <w:szCs w:val="28"/>
        </w:rPr>
        <w:t xml:space="preserve">3.1 </w:t>
      </w:r>
      <w:r>
        <w:rPr>
          <w:rFonts w:hint="eastAsia" w:asciiTheme="minorEastAsia" w:hAnsiTheme="minorEastAsia" w:eastAsiaTheme="minorEastAsia" w:cstheme="minorEastAsia"/>
          <w:bCs/>
          <w:sz w:val="28"/>
          <w:szCs w:val="28"/>
        </w:rPr>
        <w:t>投标文件封面格式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_Toc21205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620"/>
          <w:tab w:val="clear" w:pos="8364"/>
        </w:tabs>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_Toc12491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z w:val="28"/>
          <w:szCs w:val="28"/>
        </w:rPr>
        <w:t xml:space="preserve">3.2 </w:t>
      </w:r>
      <w:r>
        <w:rPr>
          <w:rFonts w:hint="eastAsia" w:asciiTheme="minorEastAsia" w:hAnsiTheme="minorEastAsia" w:eastAsiaTheme="minorEastAsia" w:cstheme="minorEastAsia"/>
          <w:bCs/>
          <w:sz w:val="28"/>
          <w:szCs w:val="28"/>
        </w:rPr>
        <w:t>资格响应文件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_Toc12491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620"/>
          <w:tab w:val="clear" w:pos="8364"/>
        </w:tabs>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_Toc19113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z w:val="28"/>
          <w:szCs w:val="28"/>
        </w:rPr>
        <w:t xml:space="preserve">3.3 </w:t>
      </w:r>
      <w:r>
        <w:rPr>
          <w:rFonts w:hint="eastAsia" w:asciiTheme="minorEastAsia" w:hAnsiTheme="minorEastAsia" w:eastAsiaTheme="minorEastAsia" w:cstheme="minorEastAsia"/>
          <w:bCs/>
          <w:sz w:val="28"/>
          <w:szCs w:val="28"/>
        </w:rPr>
        <w:t>商务技术响应文件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_Toc19113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620"/>
          <w:tab w:val="clear" w:pos="8364"/>
        </w:tabs>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_Toc25724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i w:val="0"/>
          <w:sz w:val="28"/>
          <w:szCs w:val="28"/>
        </w:rPr>
        <w:t xml:space="preserve">3.4 </w:t>
      </w:r>
      <w:r>
        <w:rPr>
          <w:rFonts w:hint="eastAsia" w:asciiTheme="minorEastAsia" w:hAnsiTheme="minorEastAsia" w:eastAsiaTheme="minorEastAsia" w:cstheme="minorEastAsia"/>
          <w:sz w:val="28"/>
          <w:szCs w:val="28"/>
        </w:rPr>
        <w:t>报价</w:t>
      </w:r>
      <w:r>
        <w:rPr>
          <w:rFonts w:hint="eastAsia" w:asciiTheme="minorEastAsia" w:hAnsiTheme="minorEastAsia" w:eastAsiaTheme="minorEastAsia" w:cstheme="minorEastAsia"/>
          <w:bCs/>
          <w:sz w:val="28"/>
          <w:szCs w:val="28"/>
        </w:rPr>
        <w:t>要求</w:t>
      </w:r>
      <w:r>
        <w:rPr>
          <w:rFonts w:hint="eastAsia" w:asciiTheme="minorEastAsia" w:hAnsiTheme="minorEastAsia" w:eastAsiaTheme="minorEastAsia" w:cstheme="minorEastAsia"/>
          <w:sz w:val="28"/>
          <w:szCs w:val="28"/>
        </w:rPr>
        <w:t>响应文件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_Toc25724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1"/>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_Toc6316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第4章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招标项目技术、服务、商务及其他要求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_Toc6316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1"/>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_Toc3924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第5章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资格性审查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_Toc3924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1"/>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_Toc26919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第6章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评标办法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_Toc26919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1"/>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_Toc13383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第</w:t>
      </w:r>
      <w:r>
        <w:rPr>
          <w:rFonts w:hint="eastAsia" w:asciiTheme="minorEastAsia" w:hAnsiTheme="minorEastAsia" w:eastAsiaTheme="minorEastAsia" w:cstheme="minorEastAsia"/>
          <w:bCs/>
          <w:i w:val="0"/>
          <w:spacing w:val="-20"/>
          <w:kern w:val="44"/>
          <w:sz w:val="28"/>
          <w:szCs w:val="28"/>
          <w:lang w:val="en-US" w:eastAsia="zh-CN"/>
        </w:rPr>
        <w:t>7</w:t>
      </w:r>
      <w:r>
        <w:rPr>
          <w:rFonts w:hint="eastAsia" w:asciiTheme="minorEastAsia" w:hAnsiTheme="minorEastAsia" w:eastAsiaTheme="minorEastAsia" w:cstheme="minorEastAsia"/>
          <w:bCs/>
          <w:i w:val="0"/>
          <w:spacing w:val="-20"/>
          <w:kern w:val="44"/>
          <w:sz w:val="28"/>
          <w:szCs w:val="28"/>
        </w:rPr>
        <w:t>章</w:t>
      </w:r>
      <w:r>
        <w:rPr>
          <w:rFonts w:hint="eastAsia" w:asciiTheme="minorEastAsia" w:hAnsiTheme="minorEastAsia" w:eastAsiaTheme="minorEastAsia" w:cstheme="minorEastAsia"/>
          <w:i w:val="0"/>
          <w:sz w:val="28"/>
          <w:szCs w:val="28"/>
        </w:rPr>
        <w:t xml:space="preserve"> </w:t>
      </w:r>
      <w:r>
        <w:rPr>
          <w:rFonts w:hint="eastAsia" w:asciiTheme="minorEastAsia" w:hAnsiTheme="minorEastAsia" w:eastAsiaTheme="minorEastAsia" w:cstheme="minorEastAsia"/>
          <w:i w:val="0"/>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拟签订合同文本</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_Toc13383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tabs>
          <w:tab w:val="left" w:pos="620"/>
          <w:tab w:val="right" w:leader="dot" w:pos="8364"/>
        </w:tabs>
        <w:spacing w:line="360" w:lineRule="auto"/>
        <w:ind w:left="180"/>
        <w:rPr>
          <w:rFonts w:hint="eastAsia" w:asciiTheme="minorEastAsia" w:hAnsiTheme="minorEastAsia" w:eastAsiaTheme="minorEastAsia" w:cstheme="minorEastAsia"/>
          <w:b/>
          <w:bCs/>
          <w:caps/>
          <w:smallCaps/>
          <w:sz w:val="20"/>
          <w:szCs w:val="20"/>
        </w:rPr>
      </w:pPr>
      <w:r>
        <w:rPr>
          <w:rFonts w:hint="eastAsia" w:asciiTheme="minorEastAsia" w:hAnsiTheme="minorEastAsia" w:eastAsiaTheme="minorEastAsia" w:cstheme="minorEastAsia"/>
          <w:sz w:val="28"/>
          <w:szCs w:val="28"/>
        </w:rPr>
        <w:fldChar w:fldCharType="end"/>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keepNext/>
        <w:keepLines/>
        <w:numPr>
          <w:ilvl w:val="0"/>
          <w:numId w:val="3"/>
        </w:numPr>
        <w:spacing w:before="340" w:after="330" w:line="400" w:lineRule="exact"/>
        <w:jc w:val="center"/>
        <w:outlineLvl w:val="0"/>
        <w:rPr>
          <w:rFonts w:hint="eastAsia" w:asciiTheme="minorEastAsia" w:hAnsiTheme="minorEastAsia" w:eastAsiaTheme="minorEastAsia" w:cstheme="minorEastAsia"/>
          <w:b/>
          <w:bCs/>
          <w:spacing w:val="-20"/>
          <w:kern w:val="44"/>
          <w:sz w:val="32"/>
          <w:szCs w:val="32"/>
        </w:rPr>
      </w:pPr>
      <w:bookmarkStart w:id="4" w:name="_Toc181610856"/>
      <w:bookmarkStart w:id="5" w:name="_Toc30196"/>
      <w:bookmarkStart w:id="6" w:name="_Toc204575871"/>
      <w:bookmarkStart w:id="7" w:name="_Toc181591102"/>
      <w:r>
        <w:rPr>
          <w:rFonts w:hint="eastAsia" w:asciiTheme="minorEastAsia" w:hAnsiTheme="minorEastAsia" w:eastAsiaTheme="minorEastAsia" w:cstheme="minorEastAsia"/>
          <w:b/>
          <w:bCs/>
          <w:spacing w:val="-20"/>
          <w:kern w:val="44"/>
          <w:sz w:val="32"/>
          <w:szCs w:val="32"/>
        </w:rPr>
        <w:t>投标邀请</w:t>
      </w:r>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372"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受</w:t>
      </w:r>
      <w:r>
        <w:rPr>
          <w:rFonts w:hint="eastAsia" w:asciiTheme="minorEastAsia" w:hAnsiTheme="minorEastAsia" w:eastAsiaTheme="minorEastAsia" w:cstheme="minorEastAsia"/>
          <w:sz w:val="28"/>
          <w:szCs w:val="28"/>
          <w:u w:val="none"/>
          <w:lang w:eastAsia="zh-CN"/>
        </w:rPr>
        <w:t>成都东部新区丹景街道办事处</w:t>
      </w:r>
      <w:r>
        <w:rPr>
          <w:rFonts w:hint="eastAsia" w:asciiTheme="minorEastAsia" w:hAnsiTheme="minorEastAsia" w:eastAsiaTheme="minorEastAsia" w:cstheme="minorEastAsia"/>
          <w:sz w:val="28"/>
          <w:szCs w:val="28"/>
        </w:rPr>
        <w:t>委托，拟对</w:t>
      </w:r>
      <w:r>
        <w:rPr>
          <w:rFonts w:hint="eastAsia" w:asciiTheme="minorEastAsia" w:hAnsiTheme="minorEastAsia" w:eastAsiaTheme="minorEastAsia" w:cstheme="minorEastAsia"/>
          <w:b/>
          <w:bCs/>
          <w:sz w:val="28"/>
          <w:szCs w:val="28"/>
          <w:lang w:eastAsia="zh-CN"/>
        </w:rPr>
        <w:t>丹景街道新民家园一期征地拆迁安置小区物业管理服务采购项目</w:t>
      </w:r>
      <w:r>
        <w:rPr>
          <w:rFonts w:hint="eastAsia" w:asciiTheme="minorEastAsia" w:hAnsiTheme="minorEastAsia" w:eastAsiaTheme="minorEastAsia" w:cstheme="minorEastAsia"/>
          <w:sz w:val="28"/>
          <w:szCs w:val="28"/>
        </w:rPr>
        <w:t>进行国内公开招标，兹邀请符合本次招标要求的供应商参加投标。</w:t>
      </w:r>
    </w:p>
    <w:p>
      <w:pPr>
        <w:keepNext w:val="0"/>
        <w:keepLines w:val="0"/>
        <w:pageBreakBefore w:val="0"/>
        <w:widowControl w:val="0"/>
        <w:numPr>
          <w:ilvl w:val="0"/>
          <w:numId w:val="4"/>
        </w:numPr>
        <w:kinsoku/>
        <w:wordWrap/>
        <w:overflowPunct/>
        <w:topLinePunct w:val="0"/>
        <w:autoSpaceDE/>
        <w:autoSpaceDN/>
        <w:bidi w:val="0"/>
        <w:adjustRightInd/>
        <w:snapToGrid/>
        <w:spacing w:line="372"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项目编号：</w:t>
      </w:r>
      <w:r>
        <w:rPr>
          <w:rFonts w:hint="eastAsia" w:asciiTheme="minorEastAsia" w:hAnsiTheme="minorEastAsia" w:eastAsiaTheme="minorEastAsia" w:cstheme="minorEastAsia"/>
          <w:b/>
          <w:sz w:val="28"/>
          <w:szCs w:val="28"/>
          <w:lang w:eastAsia="zh-CN"/>
        </w:rPr>
        <w:t>东部新区政采（2021）A0065号</w:t>
      </w:r>
    </w:p>
    <w:p>
      <w:pPr>
        <w:keepNext w:val="0"/>
        <w:keepLines w:val="0"/>
        <w:pageBreakBefore w:val="0"/>
        <w:widowControl w:val="0"/>
        <w:kinsoku/>
        <w:wordWrap/>
        <w:overflowPunct/>
        <w:topLinePunct w:val="0"/>
        <w:autoSpaceDE/>
        <w:autoSpaceDN/>
        <w:bidi w:val="0"/>
        <w:adjustRightInd/>
        <w:snapToGrid/>
        <w:spacing w:line="372" w:lineRule="auto"/>
        <w:ind w:left="0" w:firstLine="843" w:firstLineChars="3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（采购项目编号</w:t>
      </w:r>
      <w:r>
        <w:rPr>
          <w:rFonts w:hint="eastAsia" w:asciiTheme="minorEastAsia" w:hAnsiTheme="minorEastAsia" w:eastAsiaTheme="minorEastAsia" w:cstheme="minorEastAsia"/>
          <w:b/>
          <w:sz w:val="28"/>
          <w:szCs w:val="28"/>
          <w:lang w:eastAsia="zh-CN"/>
        </w:rPr>
        <w:t>：</w:t>
      </w:r>
      <w:r>
        <w:rPr>
          <w:rFonts w:hint="eastAsia" w:asciiTheme="minorEastAsia" w:hAnsiTheme="minorEastAsia" w:eastAsiaTheme="minorEastAsia" w:cstheme="minorEastAsia"/>
          <w:b/>
          <w:sz w:val="28"/>
          <w:szCs w:val="28"/>
        </w:rPr>
        <w:t>510118202100231）</w:t>
      </w:r>
    </w:p>
    <w:p>
      <w:pPr>
        <w:keepNext w:val="0"/>
        <w:keepLines w:val="0"/>
        <w:pageBreakBefore w:val="0"/>
        <w:widowControl w:val="0"/>
        <w:numPr>
          <w:ilvl w:val="0"/>
          <w:numId w:val="4"/>
        </w:numPr>
        <w:kinsoku/>
        <w:wordWrap/>
        <w:overflowPunct/>
        <w:topLinePunct w:val="0"/>
        <w:autoSpaceDE/>
        <w:autoSpaceDN/>
        <w:bidi w:val="0"/>
        <w:adjustRightInd/>
        <w:snapToGrid/>
        <w:spacing w:line="372"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项目名称：</w:t>
      </w:r>
      <w:r>
        <w:rPr>
          <w:rFonts w:hint="eastAsia" w:asciiTheme="minorEastAsia" w:hAnsiTheme="minorEastAsia" w:eastAsiaTheme="minorEastAsia" w:cstheme="minorEastAsia"/>
          <w:b/>
          <w:bCs/>
          <w:sz w:val="28"/>
          <w:szCs w:val="28"/>
          <w:lang w:eastAsia="zh-CN"/>
        </w:rPr>
        <w:t>丹景街道新民家园一期征地拆迁安置小区物业管理服务采购项目</w:t>
      </w:r>
      <w:r>
        <w:rPr>
          <w:rFonts w:hint="eastAsia" w:asciiTheme="minorEastAsia" w:hAnsiTheme="minorEastAsia" w:eastAsiaTheme="minorEastAsia" w:cstheme="minorEastAsia"/>
          <w:b/>
          <w:sz w:val="28"/>
          <w:szCs w:val="28"/>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72"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资金来源、预算金额及最高限价：</w:t>
      </w:r>
      <w:r>
        <w:rPr>
          <w:rFonts w:hint="eastAsia" w:asciiTheme="minorEastAsia" w:hAnsiTheme="minorEastAsia" w:eastAsiaTheme="minorEastAsia" w:cstheme="minorEastAsia"/>
          <w:sz w:val="28"/>
          <w:szCs w:val="28"/>
        </w:rPr>
        <w:t>财政性资金</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政府采购实施计划备案表号：（202</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0763</w:t>
      </w:r>
      <w:r>
        <w:rPr>
          <w:rFonts w:hint="eastAsia" w:asciiTheme="minorEastAsia" w:hAnsiTheme="minorEastAsia" w:eastAsiaTheme="minorEastAsia" w:cstheme="minorEastAsia"/>
          <w:sz w:val="28"/>
          <w:szCs w:val="28"/>
        </w:rPr>
        <w:t>号；预算品目：</w:t>
      </w:r>
      <w:r>
        <w:rPr>
          <w:rFonts w:hint="eastAsia" w:asciiTheme="minorEastAsia" w:hAnsiTheme="minorEastAsia" w:eastAsiaTheme="minorEastAsia" w:cstheme="minorEastAsia"/>
          <w:sz w:val="28"/>
          <w:szCs w:val="28"/>
          <w:lang w:val="en-US" w:eastAsia="zh-CN"/>
        </w:rPr>
        <w:t>C1204物业管理服务</w:t>
      </w:r>
      <w:r>
        <w:rPr>
          <w:rFonts w:hint="eastAsia" w:asciiTheme="minorEastAsia" w:hAnsiTheme="minorEastAsia" w:eastAsiaTheme="minorEastAsia" w:cstheme="minorEastAsia"/>
          <w:sz w:val="28"/>
          <w:szCs w:val="28"/>
        </w:rPr>
        <w:t>；预算金额：</w:t>
      </w:r>
      <w:r>
        <w:rPr>
          <w:rFonts w:hint="eastAsia" w:asciiTheme="minorEastAsia" w:hAnsiTheme="minorEastAsia" w:eastAsiaTheme="minorEastAsia" w:cstheme="minorEastAsia"/>
          <w:sz w:val="28"/>
          <w:szCs w:val="28"/>
          <w:lang w:val="en-US" w:eastAsia="zh-CN"/>
        </w:rPr>
        <w:t>786290.30元</w:t>
      </w:r>
      <w:r>
        <w:rPr>
          <w:rFonts w:hint="eastAsia" w:asciiTheme="minorEastAsia" w:hAnsiTheme="minorEastAsia" w:eastAsiaTheme="minorEastAsia" w:cstheme="minorEastAsia"/>
          <w:sz w:val="28"/>
          <w:szCs w:val="28"/>
        </w:rPr>
        <w:t>；最高限价：</w:t>
      </w:r>
      <w:r>
        <w:rPr>
          <w:rFonts w:hint="eastAsia" w:asciiTheme="minorEastAsia" w:hAnsiTheme="minorEastAsia" w:eastAsiaTheme="minorEastAsia" w:cstheme="minorEastAsia"/>
          <w:sz w:val="28"/>
          <w:szCs w:val="28"/>
          <w:lang w:val="en-US" w:eastAsia="zh-CN"/>
        </w:rPr>
        <w:t>786290.30元/年</w:t>
      </w:r>
      <w:r>
        <w:rPr>
          <w:rFonts w:hint="eastAsia" w:asciiTheme="minorEastAsia" w:hAnsiTheme="minorEastAsia" w:eastAsiaTheme="minorEastAsia" w:cstheme="minorEastAsia"/>
          <w:sz w:val="28"/>
          <w:szCs w:val="28"/>
        </w:rPr>
        <w:t>；采购标的：</w:t>
      </w:r>
      <w:r>
        <w:rPr>
          <w:rFonts w:hint="eastAsia" w:asciiTheme="minorEastAsia" w:hAnsiTheme="minorEastAsia" w:eastAsiaTheme="minorEastAsia" w:cstheme="minorEastAsia"/>
          <w:sz w:val="28"/>
          <w:szCs w:val="28"/>
          <w:lang w:eastAsia="zh-CN"/>
        </w:rPr>
        <w:t>物业管理服务</w:t>
      </w:r>
      <w:r>
        <w:rPr>
          <w:rFonts w:hint="eastAsia" w:asciiTheme="minorEastAsia" w:hAnsiTheme="minorEastAsia" w:eastAsiaTheme="minorEastAsia" w:cstheme="minorEastAsia"/>
          <w:sz w:val="28"/>
          <w:szCs w:val="28"/>
        </w:rPr>
        <w:t>；所属行业：</w:t>
      </w:r>
      <w:r>
        <w:rPr>
          <w:rFonts w:hint="eastAsia" w:asciiTheme="minorEastAsia" w:hAnsiTheme="minorEastAsia" w:eastAsiaTheme="minorEastAsia" w:cstheme="minorEastAsia"/>
          <w:sz w:val="28"/>
          <w:szCs w:val="28"/>
          <w:lang w:eastAsia="zh-CN"/>
        </w:rPr>
        <w:t>物业管理</w:t>
      </w:r>
      <w:r>
        <w:rPr>
          <w:rFonts w:hint="eastAsia" w:asciiTheme="minorEastAsia" w:hAnsiTheme="minorEastAsia" w:eastAsiaTheme="minorEastAsia" w:cstheme="minorEastAsia"/>
          <w:sz w:val="28"/>
          <w:szCs w:val="28"/>
        </w:rPr>
        <w:t>。</w:t>
      </w:r>
    </w:p>
    <w:p>
      <w:pPr>
        <w:keepNext w:val="0"/>
        <w:keepLines w:val="0"/>
        <w:pageBreakBefore w:val="0"/>
        <w:widowControl w:val="0"/>
        <w:numPr>
          <w:ilvl w:val="0"/>
          <w:numId w:val="4"/>
        </w:numPr>
        <w:kinsoku/>
        <w:wordWrap/>
        <w:overflowPunct/>
        <w:topLinePunct w:val="0"/>
        <w:autoSpaceDE/>
        <w:autoSpaceDN/>
        <w:bidi w:val="0"/>
        <w:adjustRightInd/>
        <w:snapToGrid/>
        <w:spacing w:line="372" w:lineRule="auto"/>
        <w:ind w:left="0" w:firstLine="562"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招标项目简介</w:t>
      </w:r>
    </w:p>
    <w:p>
      <w:pPr>
        <w:keepNext w:val="0"/>
        <w:keepLines w:val="0"/>
        <w:pageBreakBefore w:val="0"/>
        <w:widowControl w:val="0"/>
        <w:kinsoku/>
        <w:wordWrap/>
        <w:overflowPunct/>
        <w:topLinePunct w:val="0"/>
        <w:autoSpaceDE/>
        <w:autoSpaceDN/>
        <w:bidi w:val="0"/>
        <w:adjustRightInd/>
        <w:snapToGrid/>
        <w:spacing w:line="372" w:lineRule="auto"/>
        <w:ind w:left="0" w:firstLine="560"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本次采购服务内容为</w:t>
      </w:r>
      <w:r>
        <w:rPr>
          <w:rFonts w:hint="eastAsia" w:asciiTheme="minorEastAsia" w:hAnsiTheme="minorEastAsia" w:eastAsiaTheme="minorEastAsia" w:cstheme="minorEastAsia"/>
          <w:sz w:val="28"/>
          <w:szCs w:val="28"/>
          <w:lang w:eastAsia="zh-CN"/>
        </w:rPr>
        <w:t>丹景街道新民家园一期征地拆迁安置小区物业管理服务。</w:t>
      </w:r>
    </w:p>
    <w:p>
      <w:pPr>
        <w:keepNext w:val="0"/>
        <w:keepLines w:val="0"/>
        <w:pageBreakBefore w:val="0"/>
        <w:widowControl w:val="0"/>
        <w:kinsoku/>
        <w:wordWrap/>
        <w:overflowPunct/>
        <w:topLinePunct w:val="0"/>
        <w:autoSpaceDE/>
        <w:autoSpaceDN/>
        <w:bidi w:val="0"/>
        <w:adjustRightInd/>
        <w:snapToGrid/>
        <w:spacing w:line="372"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详细的技术、服务、商务及其他要求见招标文件第4章。</w:t>
      </w:r>
    </w:p>
    <w:p>
      <w:pPr>
        <w:keepNext w:val="0"/>
        <w:keepLines w:val="0"/>
        <w:pageBreakBefore w:val="0"/>
        <w:widowControl w:val="0"/>
        <w:numPr>
          <w:ilvl w:val="0"/>
          <w:numId w:val="4"/>
        </w:numPr>
        <w:kinsoku/>
        <w:wordWrap/>
        <w:overflowPunct/>
        <w:topLinePunct w:val="0"/>
        <w:autoSpaceDE/>
        <w:autoSpaceDN/>
        <w:bidi w:val="0"/>
        <w:adjustRightInd/>
        <w:snapToGrid/>
        <w:spacing w:line="372"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供应商参加本次政府采购活动应具备的条件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符合《政府采购法》第二十二条第一款规定的条件；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（二）</w:t>
      </w:r>
      <w:r>
        <w:rPr>
          <w:rFonts w:hint="eastAsia" w:asciiTheme="minorEastAsia" w:hAnsiTheme="minorEastAsia" w:eastAsiaTheme="minorEastAsia" w:cstheme="minorEastAsia"/>
          <w:b/>
          <w:sz w:val="28"/>
          <w:szCs w:val="28"/>
        </w:rPr>
        <w:t>本项目为专门面向中小企业采购项目，服务全部由符合政策要求的中小企业承接（说明：监狱企业、残疾人福利性单位视同小型、微型企业）；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（三）投标人截至投标截止日</w:t>
      </w:r>
      <w:r>
        <w:rPr>
          <w:rFonts w:hint="eastAsia" w:asciiTheme="minorEastAsia" w:hAnsiTheme="minorEastAsia" w:eastAsiaTheme="minorEastAsia" w:cstheme="minorEastAsia"/>
          <w:sz w:val="28"/>
          <w:szCs w:val="28"/>
        </w:rPr>
        <w:t xml:space="preserve">未被列入失信被执行人、重大税收违法案件当事人名单、政府采购严重违法失信行为记录名单；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（四）</w:t>
      </w:r>
      <w:r>
        <w:rPr>
          <w:rFonts w:hint="eastAsia" w:asciiTheme="minorEastAsia" w:hAnsiTheme="minorEastAsia" w:eastAsiaTheme="minorEastAsia" w:cstheme="minorEastAsia"/>
          <w:sz w:val="28"/>
          <w:szCs w:val="28"/>
        </w:rPr>
        <w:t>在行贿犯罪信息查询期限内，投标人及其现任法定代表人、主要负责人没有行贿犯罪记录；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（五）</w:t>
      </w:r>
      <w:r>
        <w:rPr>
          <w:rFonts w:hint="eastAsia" w:asciiTheme="minorEastAsia" w:hAnsiTheme="minorEastAsia" w:eastAsiaTheme="minorEastAsia" w:cstheme="minorEastAsia"/>
          <w:sz w:val="28"/>
          <w:szCs w:val="28"/>
        </w:rPr>
        <w:t>未处于被行政部门禁止参与政府采购活动的期限内；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（六）</w:t>
      </w:r>
      <w:r>
        <w:rPr>
          <w:rFonts w:hint="eastAsia" w:asciiTheme="minorEastAsia" w:hAnsiTheme="minorEastAsia" w:eastAsiaTheme="minorEastAsia" w:cstheme="minorEastAsia"/>
          <w:sz w:val="28"/>
          <w:szCs w:val="28"/>
        </w:rPr>
        <w:t>不属于其他国家相关法律法规规定的禁止参加投标的供应商；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lang w:eastAsia="zh-CN"/>
        </w:rPr>
      </w:pPr>
      <w:r>
        <w:rPr>
          <w:rFonts w:hint="eastAsia" w:hAnsi="宋体" w:cs="宋体" w:eastAsiaTheme="minorEastAsia"/>
          <w:sz w:val="28"/>
          <w:szCs w:val="28"/>
          <w:lang w:eastAsia="zh-CN"/>
        </w:rPr>
        <w:t>（七）投标人</w:t>
      </w:r>
      <w:r>
        <w:rPr>
          <w:rFonts w:hint="eastAsia" w:asciiTheme="minorEastAsia" w:hAnsiTheme="minorEastAsia" w:eastAsiaTheme="minorEastAsia" w:cstheme="minorEastAsia"/>
          <w:sz w:val="28"/>
          <w:szCs w:val="28"/>
        </w:rPr>
        <w:t>与其他</w:t>
      </w:r>
      <w:r>
        <w:rPr>
          <w:rFonts w:hint="eastAsia" w:asciiTheme="minorEastAsia" w:hAnsiTheme="minorEastAsia" w:eastAsiaTheme="minorEastAsia" w:cstheme="minorEastAsia"/>
          <w:sz w:val="28"/>
          <w:szCs w:val="28"/>
          <w:lang w:eastAsia="zh-CN"/>
        </w:rPr>
        <w:t>投标人</w:t>
      </w:r>
      <w:r>
        <w:rPr>
          <w:rFonts w:hint="eastAsia" w:asciiTheme="minorEastAsia" w:hAnsiTheme="minorEastAsia" w:eastAsiaTheme="minorEastAsia" w:cstheme="minorEastAsia"/>
          <w:sz w:val="28"/>
          <w:szCs w:val="28"/>
        </w:rPr>
        <w:t>之间，单位负责人不为同一人而且不存在直接控股、管理关系</w:t>
      </w:r>
      <w:r>
        <w:rPr>
          <w:rFonts w:hint="eastAsia" w:asciiTheme="minorEastAsia" w:hAnsiTheme="minorEastAsia" w:eastAsiaTheme="minorEastAsia" w:cstheme="minorEastAsia"/>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（八）</w:t>
      </w:r>
      <w:r>
        <w:rPr>
          <w:rFonts w:hint="eastAsia" w:asciiTheme="minorEastAsia" w:hAnsiTheme="minorEastAsia" w:eastAsiaTheme="minorEastAsia" w:cstheme="minorEastAsia"/>
          <w:sz w:val="28"/>
          <w:szCs w:val="28"/>
        </w:rPr>
        <w:t>本项目</w:t>
      </w:r>
      <w:r>
        <w:rPr>
          <w:rFonts w:hint="eastAsia" w:asciiTheme="minorEastAsia" w:hAnsiTheme="minorEastAsia" w:eastAsiaTheme="minorEastAsia" w:cstheme="minorEastAsia"/>
          <w:b/>
          <w:bCs/>
          <w:sz w:val="28"/>
          <w:szCs w:val="28"/>
        </w:rPr>
        <w:t>不接受</w:t>
      </w:r>
      <w:r>
        <w:rPr>
          <w:rFonts w:hint="eastAsia" w:asciiTheme="minorEastAsia" w:hAnsiTheme="minorEastAsia" w:eastAsiaTheme="minorEastAsia" w:cstheme="minorEastAsia"/>
          <w:sz w:val="28"/>
          <w:szCs w:val="28"/>
        </w:rPr>
        <w:t>联合体投标。</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i/>
          <w:sz w:val="28"/>
          <w:szCs w:val="28"/>
        </w:rPr>
      </w:pPr>
      <w:r>
        <w:rPr>
          <w:rFonts w:hint="eastAsia" w:asciiTheme="minorEastAsia" w:hAnsiTheme="minorEastAsia" w:eastAsiaTheme="minorEastAsia" w:cstheme="minorEastAsia"/>
          <w:b/>
          <w:sz w:val="28"/>
          <w:szCs w:val="28"/>
        </w:rPr>
        <w:t>招标文件获取时间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left"/>
        <w:textAlignment w:val="auto"/>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lang w:eastAsia="zh-CN"/>
        </w:rPr>
        <w:t>（一）</w:t>
      </w:r>
      <w:r>
        <w:rPr>
          <w:rFonts w:hint="eastAsia" w:asciiTheme="minorEastAsia" w:hAnsiTheme="minorEastAsia" w:eastAsiaTheme="minorEastAsia" w:cstheme="minorEastAsia"/>
          <w:b/>
          <w:sz w:val="28"/>
          <w:szCs w:val="28"/>
          <w:highlight w:val="none"/>
        </w:rPr>
        <w:t>招标文件获取时间：202</w:t>
      </w:r>
      <w:r>
        <w:rPr>
          <w:rFonts w:hint="eastAsia" w:asciiTheme="minorEastAsia" w:hAnsiTheme="minorEastAsia" w:eastAsiaTheme="minorEastAsia" w:cstheme="minorEastAsia"/>
          <w:b/>
          <w:sz w:val="28"/>
          <w:szCs w:val="28"/>
          <w:highlight w:val="none"/>
          <w:lang w:val="en-US" w:eastAsia="zh-CN"/>
        </w:rPr>
        <w:t>1</w:t>
      </w:r>
      <w:r>
        <w:rPr>
          <w:rFonts w:hint="eastAsia" w:asciiTheme="minorEastAsia" w:hAnsiTheme="minorEastAsia" w:eastAsiaTheme="minorEastAsia" w:cstheme="minorEastAsia"/>
          <w:b/>
          <w:sz w:val="28"/>
          <w:szCs w:val="28"/>
          <w:highlight w:val="none"/>
        </w:rPr>
        <w:t>年</w:t>
      </w:r>
      <w:r>
        <w:rPr>
          <w:rFonts w:hint="eastAsia" w:asciiTheme="minorEastAsia" w:hAnsiTheme="minorEastAsia" w:eastAsiaTheme="minorEastAsia" w:cstheme="minorEastAsia"/>
          <w:b/>
          <w:sz w:val="28"/>
          <w:szCs w:val="28"/>
          <w:highlight w:val="none"/>
          <w:lang w:val="en-US" w:eastAsia="zh-CN"/>
        </w:rPr>
        <w:t>12</w:t>
      </w:r>
      <w:r>
        <w:rPr>
          <w:rFonts w:hint="eastAsia" w:asciiTheme="minorEastAsia" w:hAnsiTheme="minorEastAsia" w:eastAsiaTheme="minorEastAsia" w:cstheme="minorEastAsia"/>
          <w:b/>
          <w:sz w:val="28"/>
          <w:szCs w:val="28"/>
          <w:highlight w:val="none"/>
        </w:rPr>
        <w:t>月</w:t>
      </w:r>
      <w:r>
        <w:rPr>
          <w:rFonts w:hint="eastAsia" w:asciiTheme="minorEastAsia" w:hAnsiTheme="minorEastAsia" w:eastAsiaTheme="minorEastAsia" w:cstheme="minorEastAsia"/>
          <w:b/>
          <w:sz w:val="28"/>
          <w:szCs w:val="28"/>
          <w:highlight w:val="none"/>
          <w:lang w:val="en-US" w:eastAsia="zh-CN"/>
        </w:rPr>
        <w:t>04</w:t>
      </w:r>
      <w:r>
        <w:rPr>
          <w:rFonts w:hint="eastAsia" w:asciiTheme="minorEastAsia" w:hAnsiTheme="minorEastAsia" w:eastAsiaTheme="minorEastAsia" w:cstheme="minorEastAsia"/>
          <w:b/>
          <w:sz w:val="28"/>
          <w:szCs w:val="28"/>
          <w:highlight w:val="none"/>
        </w:rPr>
        <w:t>日至</w:t>
      </w:r>
      <w:r>
        <w:rPr>
          <w:rFonts w:hint="eastAsia" w:asciiTheme="minorEastAsia" w:hAnsiTheme="minorEastAsia" w:eastAsiaTheme="minorEastAsia" w:cstheme="minorEastAsia"/>
          <w:b/>
          <w:sz w:val="28"/>
          <w:szCs w:val="28"/>
          <w:highlight w:val="none"/>
          <w:lang w:val="en-US" w:eastAsia="zh-CN"/>
        </w:rPr>
        <w:t>12</w:t>
      </w:r>
      <w:r>
        <w:rPr>
          <w:rFonts w:hint="eastAsia" w:asciiTheme="minorEastAsia" w:hAnsiTheme="minorEastAsia" w:eastAsiaTheme="minorEastAsia" w:cstheme="minorEastAsia"/>
          <w:b/>
          <w:sz w:val="28"/>
          <w:szCs w:val="28"/>
          <w:highlight w:val="none"/>
        </w:rPr>
        <w:t>月</w:t>
      </w:r>
      <w:r>
        <w:rPr>
          <w:rFonts w:hint="eastAsia" w:asciiTheme="minorEastAsia" w:hAnsiTheme="minorEastAsia" w:eastAsiaTheme="minorEastAsia" w:cstheme="minorEastAsia"/>
          <w:b/>
          <w:sz w:val="28"/>
          <w:szCs w:val="28"/>
          <w:highlight w:val="none"/>
          <w:lang w:val="en-US" w:eastAsia="zh-CN"/>
        </w:rPr>
        <w:t>10</w:t>
      </w:r>
      <w:r>
        <w:rPr>
          <w:rFonts w:hint="eastAsia" w:asciiTheme="minorEastAsia" w:hAnsiTheme="minorEastAsia" w:eastAsiaTheme="minorEastAsia" w:cstheme="minorEastAsia"/>
          <w:b/>
          <w:sz w:val="28"/>
          <w:szCs w:val="28"/>
          <w:highlight w:val="none"/>
        </w:rPr>
        <w:t>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left"/>
        <w:textAlignment w:val="auto"/>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lang w:eastAsia="zh-CN"/>
        </w:rPr>
        <w:t>（二）</w:t>
      </w:r>
      <w:r>
        <w:rPr>
          <w:rFonts w:hint="eastAsia" w:asciiTheme="minorEastAsia" w:hAnsiTheme="minorEastAsia" w:eastAsiaTheme="minorEastAsia" w:cstheme="minorEastAsia"/>
          <w:b/>
          <w:sz w:val="28"/>
          <w:szCs w:val="28"/>
          <w:highlight w:val="none"/>
        </w:rPr>
        <w:t>公告期限：202</w:t>
      </w:r>
      <w:r>
        <w:rPr>
          <w:rFonts w:hint="eastAsia" w:asciiTheme="minorEastAsia" w:hAnsiTheme="minorEastAsia" w:eastAsiaTheme="minorEastAsia" w:cstheme="minorEastAsia"/>
          <w:b/>
          <w:sz w:val="28"/>
          <w:szCs w:val="28"/>
          <w:highlight w:val="none"/>
          <w:lang w:val="en-US" w:eastAsia="zh-CN"/>
        </w:rPr>
        <w:t>1</w:t>
      </w:r>
      <w:r>
        <w:rPr>
          <w:rFonts w:hint="eastAsia" w:asciiTheme="minorEastAsia" w:hAnsiTheme="minorEastAsia" w:eastAsiaTheme="minorEastAsia" w:cstheme="minorEastAsia"/>
          <w:b/>
          <w:sz w:val="28"/>
          <w:szCs w:val="28"/>
          <w:highlight w:val="none"/>
        </w:rPr>
        <w:t>年</w:t>
      </w:r>
      <w:r>
        <w:rPr>
          <w:rFonts w:hint="eastAsia" w:asciiTheme="minorEastAsia" w:hAnsiTheme="minorEastAsia" w:eastAsiaTheme="minorEastAsia" w:cstheme="minorEastAsia"/>
          <w:b/>
          <w:sz w:val="28"/>
          <w:szCs w:val="28"/>
          <w:highlight w:val="none"/>
          <w:lang w:val="en-US" w:eastAsia="zh-CN"/>
        </w:rPr>
        <w:t>12</w:t>
      </w:r>
      <w:r>
        <w:rPr>
          <w:rFonts w:hint="eastAsia" w:asciiTheme="minorEastAsia" w:hAnsiTheme="minorEastAsia" w:eastAsiaTheme="minorEastAsia" w:cstheme="minorEastAsia"/>
          <w:b/>
          <w:sz w:val="28"/>
          <w:szCs w:val="28"/>
          <w:highlight w:val="none"/>
        </w:rPr>
        <w:t>月</w:t>
      </w:r>
      <w:r>
        <w:rPr>
          <w:rFonts w:hint="eastAsia" w:asciiTheme="minorEastAsia" w:hAnsiTheme="minorEastAsia" w:eastAsiaTheme="minorEastAsia" w:cstheme="minorEastAsia"/>
          <w:b/>
          <w:sz w:val="28"/>
          <w:szCs w:val="28"/>
          <w:highlight w:val="none"/>
          <w:lang w:val="en-US" w:eastAsia="zh-CN"/>
        </w:rPr>
        <w:t>04</w:t>
      </w:r>
      <w:r>
        <w:rPr>
          <w:rFonts w:hint="eastAsia" w:asciiTheme="minorEastAsia" w:hAnsiTheme="minorEastAsia" w:eastAsiaTheme="minorEastAsia" w:cstheme="minorEastAsia"/>
          <w:b/>
          <w:sz w:val="28"/>
          <w:szCs w:val="28"/>
          <w:highlight w:val="none"/>
        </w:rPr>
        <w:t>日至</w:t>
      </w:r>
      <w:r>
        <w:rPr>
          <w:rFonts w:hint="eastAsia" w:asciiTheme="minorEastAsia" w:hAnsiTheme="minorEastAsia" w:eastAsiaTheme="minorEastAsia" w:cstheme="minorEastAsia"/>
          <w:b/>
          <w:sz w:val="28"/>
          <w:szCs w:val="28"/>
          <w:highlight w:val="none"/>
          <w:lang w:val="en-US" w:eastAsia="zh-CN"/>
        </w:rPr>
        <w:t>12</w:t>
      </w:r>
      <w:r>
        <w:rPr>
          <w:rFonts w:hint="eastAsia" w:asciiTheme="minorEastAsia" w:hAnsiTheme="minorEastAsia" w:eastAsiaTheme="minorEastAsia" w:cstheme="minorEastAsia"/>
          <w:b/>
          <w:sz w:val="28"/>
          <w:szCs w:val="28"/>
          <w:highlight w:val="none"/>
        </w:rPr>
        <w:t>月</w:t>
      </w:r>
      <w:r>
        <w:rPr>
          <w:rFonts w:hint="eastAsia" w:asciiTheme="minorEastAsia" w:hAnsiTheme="minorEastAsia" w:eastAsiaTheme="minorEastAsia" w:cstheme="minorEastAsia"/>
          <w:b/>
          <w:sz w:val="28"/>
          <w:szCs w:val="28"/>
          <w:highlight w:val="none"/>
          <w:lang w:val="en-US" w:eastAsia="zh-CN"/>
        </w:rPr>
        <w:t>10</w:t>
      </w:r>
      <w:r>
        <w:rPr>
          <w:rFonts w:hint="eastAsia" w:asciiTheme="minorEastAsia" w:hAnsiTheme="minorEastAsia" w:eastAsiaTheme="minorEastAsia" w:cstheme="minorEastAsia"/>
          <w:b/>
          <w:sz w:val="28"/>
          <w:szCs w:val="28"/>
          <w:highlight w:val="none"/>
        </w:rPr>
        <w:t>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8"/>
          <w:szCs w:val="28"/>
          <w:highlight w:val="none"/>
          <w:lang w:eastAsia="zh-CN"/>
        </w:rPr>
        <w:t>（三）投标人</w:t>
      </w:r>
      <w:r>
        <w:rPr>
          <w:rFonts w:hint="eastAsia" w:asciiTheme="minorEastAsia" w:hAnsiTheme="minorEastAsia" w:eastAsiaTheme="minorEastAsia" w:cstheme="minorEastAsia"/>
          <w:color w:val="auto"/>
          <w:sz w:val="28"/>
          <w:szCs w:val="28"/>
          <w:highlight w:val="none"/>
        </w:rPr>
        <w:t>如对招标文件有质疑的，应于自招标文件公告期限届满之日起七个工作日内以书面形式提出。</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招标文件获取方式</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投标人要参加投标，应在成都市公共资源交易服务中心“政府采购云平台（www.zcygov.cn）”获取采购文件。登录政府采购云平台(www.zcygov.cn)—我的工作台—项目采购—获取采购文件—申请获取采购文件。</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提示：</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（1）本项目采购文件免费获取。</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（3）首次登录政府采购云平台(www.zcygov.cn)的新用户, 应先点击网页左上角切换至“成都市本级”，再点击“供应商入驻”，注册成功后即可登录。</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本项目为电子招标投标项目，投标人参与本项目全过程中凡涉及系统操作请详见《成都市全流程电子化采购系统操作指南——供应商版》（操作指南请登录政府采购云平台后，点击“前台大厅—操作指南—供应商”处下载查看）。</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招标文件获取地点</w:t>
      </w:r>
    </w:p>
    <w:p>
      <w:pPr>
        <w:keepNext w:val="0"/>
        <w:keepLines w:val="0"/>
        <w:pageBreakBefore w:val="0"/>
        <w:widowControl w:val="0"/>
        <w:kinsoku/>
        <w:wordWrap w:val="0"/>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登录政府采购云平台（www.zcygov.cn）获取。</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bookmarkStart w:id="8" w:name="_Toc180051012"/>
      <w:bookmarkStart w:id="9" w:name="_Toc186274101"/>
      <w:bookmarkStart w:id="10" w:name="_Toc174185149"/>
      <w:bookmarkStart w:id="11" w:name="_Toc184023104"/>
      <w:bookmarkStart w:id="12" w:name="_Toc184013605"/>
      <w:r>
        <w:rPr>
          <w:rFonts w:hint="eastAsia" w:asciiTheme="minorEastAsia" w:hAnsiTheme="minorEastAsia" w:eastAsiaTheme="minorEastAsia" w:cstheme="minorEastAsia"/>
          <w:b/>
          <w:sz w:val="28"/>
          <w:szCs w:val="28"/>
        </w:rPr>
        <w:t>投标文件提交截止时间及开标时间</w:t>
      </w:r>
      <w:bookmarkEnd w:id="8"/>
      <w:bookmarkEnd w:id="9"/>
      <w:bookmarkEnd w:id="10"/>
      <w:bookmarkEnd w:id="11"/>
      <w:bookmarkEnd w:id="12"/>
      <w:r>
        <w:rPr>
          <w:rFonts w:hint="eastAsia" w:asciiTheme="minorEastAsia" w:hAnsiTheme="minorEastAsia" w:eastAsiaTheme="minorEastAsia" w:cstheme="minorEastAsia"/>
          <w:b/>
          <w:sz w:val="28"/>
          <w:szCs w:val="28"/>
        </w:rPr>
        <w:t>(北京时间)、地点、方式</w:t>
      </w:r>
    </w:p>
    <w:p>
      <w:pPr>
        <w:keepNext w:val="0"/>
        <w:keepLines w:val="0"/>
        <w:pageBreakBefore w:val="0"/>
        <w:widowControl w:val="0"/>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（一）投标文件提交截止时间及开标时间：202</w:t>
      </w:r>
      <w:r>
        <w:rPr>
          <w:rFonts w:hint="eastAsia" w:asciiTheme="minorEastAsia" w:hAnsiTheme="minorEastAsia" w:eastAsiaTheme="minorEastAsia" w:cstheme="minorEastAsia"/>
          <w:b/>
          <w:sz w:val="28"/>
          <w:szCs w:val="28"/>
          <w:lang w:val="en-US" w:eastAsia="zh-CN"/>
        </w:rPr>
        <w:t>1</w:t>
      </w:r>
      <w:r>
        <w:rPr>
          <w:rFonts w:hint="eastAsia" w:asciiTheme="minorEastAsia" w:hAnsiTheme="minorEastAsia" w:eastAsiaTheme="minorEastAsia" w:cstheme="minorEastAsia"/>
          <w:b/>
          <w:sz w:val="28"/>
          <w:szCs w:val="28"/>
        </w:rPr>
        <w:t>年</w:t>
      </w:r>
      <w:r>
        <w:rPr>
          <w:rFonts w:hint="eastAsia" w:asciiTheme="minorEastAsia" w:hAnsiTheme="minorEastAsia" w:eastAsiaTheme="minorEastAsia" w:cstheme="minorEastAsia"/>
          <w:b/>
          <w:sz w:val="28"/>
          <w:szCs w:val="28"/>
          <w:lang w:val="en-US" w:eastAsia="zh-CN"/>
        </w:rPr>
        <w:t>12</w:t>
      </w:r>
      <w:r>
        <w:rPr>
          <w:rFonts w:hint="eastAsia" w:asciiTheme="minorEastAsia" w:hAnsiTheme="minorEastAsia" w:eastAsiaTheme="minorEastAsia" w:cstheme="minorEastAsia"/>
          <w:b/>
          <w:sz w:val="28"/>
          <w:szCs w:val="28"/>
        </w:rPr>
        <w:t>月</w:t>
      </w:r>
      <w:r>
        <w:rPr>
          <w:rFonts w:hint="eastAsia" w:asciiTheme="minorEastAsia" w:hAnsiTheme="minorEastAsia" w:eastAsiaTheme="minorEastAsia" w:cstheme="minorEastAsia"/>
          <w:b/>
          <w:sz w:val="28"/>
          <w:szCs w:val="28"/>
          <w:lang w:val="en-US" w:eastAsia="zh-CN"/>
        </w:rPr>
        <w:t>27</w:t>
      </w:r>
      <w:r>
        <w:rPr>
          <w:rFonts w:hint="eastAsia" w:asciiTheme="minorEastAsia" w:hAnsiTheme="minorEastAsia" w:eastAsiaTheme="minorEastAsia" w:cstheme="minorEastAsia"/>
          <w:b/>
          <w:sz w:val="28"/>
          <w:szCs w:val="28"/>
        </w:rPr>
        <w:t>日上午</w:t>
      </w:r>
      <w:r>
        <w:rPr>
          <w:rFonts w:hint="eastAsia" w:asciiTheme="minorEastAsia" w:hAnsiTheme="minorEastAsia" w:eastAsiaTheme="minorEastAsia" w:cstheme="minorEastAsia"/>
          <w:b/>
          <w:sz w:val="28"/>
          <w:szCs w:val="28"/>
          <w:lang w:val="en-US" w:eastAsia="zh-CN"/>
        </w:rPr>
        <w:t>09</w:t>
      </w: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b/>
          <w:sz w:val="28"/>
          <w:szCs w:val="28"/>
          <w:lang w:val="en-US" w:eastAsia="zh-CN"/>
        </w:rPr>
        <w:t>3</w:t>
      </w:r>
      <w:r>
        <w:rPr>
          <w:rFonts w:hint="eastAsia" w:asciiTheme="minorEastAsia" w:hAnsiTheme="minorEastAsia" w:eastAsiaTheme="minorEastAsia" w:cstheme="minorEastAsia"/>
          <w:b/>
          <w:sz w:val="28"/>
          <w:szCs w:val="28"/>
        </w:rPr>
        <w:t>0。</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（二）投标文件提交方式、地点：投标截止时间前，投标人应将加密的电子投标文件提交至“政府采购云平台”对应项目（包件）。</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开标地点</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本项目为不见面开标项目。</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开标地点为：政府采购云平台（www.zcygov.cn）。</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本项目只接受投标人加密并递交至“政府采购云平台”的投标文件。</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政采中小企业政府采购信用融资</w:t>
      </w:r>
    </w:p>
    <w:p>
      <w:pPr>
        <w:keepNext w:val="0"/>
        <w:keepLines w:val="0"/>
        <w:pageBreakBefore w:val="0"/>
        <w:widowControl w:val="0"/>
        <w:numPr>
          <w:ilvl w:val="0"/>
          <w:numId w:val="0"/>
        </w:numPr>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本项目支持成交中小企业凭借政府采购合同向相关金融机构申请信用融资。具体内容详见招标文件附件《成都市财政局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pPr>
        <w:keepNext w:val="0"/>
        <w:keepLines w:val="0"/>
        <w:pageBreakBefore w:val="0"/>
        <w:widowControl w:val="0"/>
        <w:numPr>
          <w:ilvl w:val="0"/>
          <w:numId w:val="0"/>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十二、</w:t>
      </w:r>
      <w:r>
        <w:rPr>
          <w:rFonts w:hint="eastAsia" w:asciiTheme="minorEastAsia" w:hAnsiTheme="minorEastAsia" w:eastAsiaTheme="minorEastAsia" w:cstheme="minorEastAsia"/>
          <w:b/>
          <w:sz w:val="28"/>
          <w:szCs w:val="28"/>
        </w:rPr>
        <w:t>本投标邀请在“四川政府采购网”和“成都市公共资源交易服务中心”网站上以公告形式发布</w:t>
      </w:r>
      <w:r>
        <w:rPr>
          <w:rFonts w:hint="eastAsia" w:asciiTheme="minorEastAsia" w:hAnsiTheme="minorEastAsia" w:eastAsiaTheme="minorEastAsia" w:cstheme="minorEastAsia"/>
          <w:b/>
          <w:sz w:val="28"/>
          <w:szCs w:val="28"/>
          <w:lang w:eastAsia="zh-CN"/>
        </w:rPr>
        <w:t>。</w:t>
      </w:r>
    </w:p>
    <w:p>
      <w:pPr>
        <w:keepNext w:val="0"/>
        <w:keepLines w:val="0"/>
        <w:pageBreakBefore w:val="0"/>
        <w:widowControl w:val="0"/>
        <w:numPr>
          <w:ilvl w:val="0"/>
          <w:numId w:val="0"/>
        </w:numPr>
        <w:kinsoku/>
        <w:overflowPunct/>
        <w:topLinePunct w:val="0"/>
        <w:autoSpaceDE/>
        <w:autoSpaceDN/>
        <w:bidi w:val="0"/>
        <w:adjustRightInd/>
        <w:snapToGrid/>
        <w:spacing w:line="360" w:lineRule="auto"/>
        <w:ind w:left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十三、</w:t>
      </w:r>
      <w:r>
        <w:rPr>
          <w:rFonts w:hint="eastAsia" w:asciiTheme="minorEastAsia" w:hAnsiTheme="minorEastAsia" w:eastAsiaTheme="minorEastAsia" w:cstheme="minorEastAsia"/>
          <w:b/>
          <w:sz w:val="28"/>
          <w:szCs w:val="28"/>
        </w:rPr>
        <w:t>联系方式</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bCs w:val="0"/>
          <w:sz w:val="28"/>
          <w:szCs w:val="28"/>
          <w:lang w:eastAsia="zh-CN"/>
        </w:rPr>
      </w:pPr>
      <w:r>
        <w:rPr>
          <w:rFonts w:hint="eastAsia" w:asciiTheme="minorEastAsia" w:hAnsiTheme="minorEastAsia" w:eastAsiaTheme="minorEastAsia" w:cstheme="minorEastAsia"/>
          <w:b/>
          <w:bCs w:val="0"/>
          <w:sz w:val="28"/>
          <w:szCs w:val="28"/>
        </w:rPr>
        <w:t>采购人：</w:t>
      </w:r>
      <w:r>
        <w:rPr>
          <w:rFonts w:hint="eastAsia" w:asciiTheme="minorEastAsia" w:hAnsiTheme="minorEastAsia" w:eastAsiaTheme="minorEastAsia" w:cstheme="minorEastAsia"/>
          <w:b/>
          <w:bCs w:val="0"/>
          <w:sz w:val="28"/>
          <w:szCs w:val="28"/>
          <w:lang w:eastAsia="zh-CN"/>
        </w:rPr>
        <w:t>成都东部新区丹景街道办事处</w:t>
      </w:r>
    </w:p>
    <w:p>
      <w:pPr>
        <w:pStyle w:val="22"/>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default"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rPr>
        <w:t>地  址：</w:t>
      </w:r>
      <w:r>
        <w:rPr>
          <w:rFonts w:hint="eastAsia" w:asciiTheme="minorEastAsia" w:hAnsiTheme="minorEastAsia" w:eastAsiaTheme="minorEastAsia" w:cstheme="minorEastAsia"/>
          <w:sz w:val="28"/>
          <w:szCs w:val="28"/>
        </w:rPr>
        <w:t>成都东部新区新湖街社区天府路80号</w:t>
      </w:r>
    </w:p>
    <w:p>
      <w:pPr>
        <w:pStyle w:val="22"/>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kern w:val="0"/>
          <w:sz w:val="28"/>
          <w:szCs w:val="28"/>
        </w:rPr>
        <w:t>联系人：</w:t>
      </w:r>
      <w:r>
        <w:rPr>
          <w:rFonts w:hint="eastAsia" w:asciiTheme="minorEastAsia" w:hAnsiTheme="minorEastAsia" w:eastAsiaTheme="minorEastAsia" w:cstheme="minorEastAsia"/>
          <w:kern w:val="0"/>
          <w:sz w:val="28"/>
          <w:szCs w:val="28"/>
          <w:lang w:eastAsia="zh-CN"/>
        </w:rPr>
        <w:t>罗钧</w:t>
      </w:r>
    </w:p>
    <w:p>
      <w:pPr>
        <w:pStyle w:val="22"/>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sz w:val="28"/>
          <w:szCs w:val="28"/>
        </w:rPr>
        <w:t>邮编：</w:t>
      </w:r>
      <w:r>
        <w:rPr>
          <w:rFonts w:hint="eastAsia" w:asciiTheme="minorEastAsia" w:hAnsiTheme="minorEastAsia" w:eastAsiaTheme="minorEastAsia" w:cstheme="minorEastAsia"/>
          <w:sz w:val="28"/>
          <w:szCs w:val="28"/>
          <w:lang w:val="en-US" w:eastAsia="zh-CN"/>
        </w:rPr>
        <w:t>641400</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rPr>
        <w:t>联系电话：</w:t>
      </w:r>
      <w:r>
        <w:rPr>
          <w:rFonts w:hint="eastAsia" w:asciiTheme="minorEastAsia" w:hAnsiTheme="minorEastAsia" w:eastAsiaTheme="minorEastAsia" w:cstheme="minorEastAsia"/>
          <w:sz w:val="28"/>
          <w:szCs w:val="28"/>
          <w:highlight w:val="none"/>
          <w:lang w:val="en-US" w:eastAsia="zh-CN"/>
        </w:rPr>
        <w:t>18380228256</w:t>
      </w:r>
    </w:p>
    <w:p>
      <w:pPr>
        <w:keepNext w:val="0"/>
        <w:keepLines w:val="0"/>
        <w:pageBreakBefore w:val="0"/>
        <w:widowControl w:val="0"/>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集中采购机构：</w:t>
      </w:r>
      <w:r>
        <w:rPr>
          <w:rFonts w:hint="eastAsia" w:asciiTheme="minorEastAsia" w:hAnsiTheme="minorEastAsia" w:eastAsiaTheme="minorEastAsia" w:cstheme="minorEastAsia"/>
          <w:b/>
          <w:kern w:val="0"/>
          <w:sz w:val="28"/>
          <w:szCs w:val="28"/>
        </w:rPr>
        <w:t>成都东部新区党工委管委会（成都市东部新城办）综合部</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  址：成都东部新区三岔街道板桥村 2 组 166 号</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邮  编：</w:t>
      </w:r>
      <w:r>
        <w:rPr>
          <w:rFonts w:hint="eastAsia" w:asciiTheme="minorEastAsia" w:hAnsiTheme="minorEastAsia" w:eastAsiaTheme="minorEastAsia" w:cstheme="minorEastAsia"/>
          <w:sz w:val="28"/>
          <w:szCs w:val="28"/>
          <w:lang w:val="en-US" w:eastAsia="zh-CN"/>
        </w:rPr>
        <w:t>641400</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联系人：邓涵丹</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联系电话：028-86360238</w:t>
      </w:r>
    </w:p>
    <w:p>
      <w:pPr>
        <w:keepNext w:val="0"/>
        <w:keepLines w:val="0"/>
        <w:pageBreakBefore w:val="0"/>
        <w:widowControl w:val="0"/>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bCs w:val="0"/>
          <w:sz w:val="28"/>
          <w:szCs w:val="28"/>
        </w:rPr>
      </w:pPr>
      <w:r>
        <w:rPr>
          <w:rFonts w:hint="eastAsia" w:asciiTheme="minorEastAsia" w:hAnsiTheme="minorEastAsia" w:eastAsiaTheme="minorEastAsia" w:cstheme="minorEastAsia"/>
          <w:b/>
          <w:bCs w:val="0"/>
          <w:sz w:val="28"/>
          <w:szCs w:val="28"/>
        </w:rPr>
        <w:t>技术支持联系电话：400-8817190</w:t>
      </w:r>
    </w:p>
    <w:p>
      <w:pPr>
        <w:pStyle w:val="27"/>
        <w:keepNext w:val="0"/>
        <w:keepLines w:val="0"/>
        <w:pageBreakBefore w:val="0"/>
        <w:widowControl w:val="0"/>
        <w:tabs>
          <w:tab w:val="left" w:pos="900"/>
        </w:tabs>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集中采购监督机构：成都东部新区党工委管委会(成都市东部新城办)财政金融局</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 址：</w:t>
      </w:r>
      <w:r>
        <w:rPr>
          <w:rFonts w:hint="eastAsia" w:asciiTheme="minorEastAsia" w:hAnsiTheme="minorEastAsia" w:eastAsiaTheme="minorEastAsia" w:cstheme="minorEastAsia"/>
          <w:bCs/>
          <w:sz w:val="28"/>
          <w:szCs w:val="28"/>
        </w:rPr>
        <w:t>成都东部新区三岔街道板桥村 2 组 166 号东部新区市民中心</w:t>
      </w:r>
    </w:p>
    <w:p>
      <w:pPr>
        <w:keepNext w:val="0"/>
        <w:keepLines w:val="0"/>
        <w:pageBreakBefore w:val="0"/>
        <w:widowControl w:val="0"/>
        <w:tabs>
          <w:tab w:val="left" w:pos="900"/>
        </w:tabs>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联系电话：028-</w:t>
      </w:r>
      <w:r>
        <w:rPr>
          <w:rFonts w:hint="eastAsia" w:asciiTheme="minorEastAsia" w:hAnsiTheme="minorEastAsia" w:eastAsiaTheme="minorEastAsia" w:cstheme="minorEastAsia"/>
          <w:bCs/>
          <w:sz w:val="28"/>
          <w:szCs w:val="28"/>
        </w:rPr>
        <w:t>86360129</w:t>
      </w: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widowControl/>
        <w:jc w:val="left"/>
        <w:rPr>
          <w:rFonts w:hint="eastAsia" w:asciiTheme="minorEastAsia" w:hAnsiTheme="minorEastAsia" w:eastAsiaTheme="minorEastAsia" w:cstheme="minorEastAsia"/>
          <w:b/>
          <w:bCs/>
          <w:spacing w:val="-20"/>
          <w:kern w:val="44"/>
          <w:sz w:val="32"/>
          <w:szCs w:val="32"/>
        </w:rPr>
      </w:pPr>
      <w:r>
        <w:rPr>
          <w:rFonts w:hint="eastAsia" w:asciiTheme="minorEastAsia" w:hAnsiTheme="minorEastAsia" w:eastAsiaTheme="minorEastAsia" w:cstheme="minorEastAsia"/>
          <w:b/>
          <w:bCs/>
          <w:spacing w:val="-20"/>
          <w:kern w:val="44"/>
          <w:sz w:val="32"/>
          <w:szCs w:val="32"/>
        </w:rPr>
        <w:br w:type="page"/>
      </w:r>
    </w:p>
    <w:p>
      <w:pPr>
        <w:keepNext/>
        <w:keepLines/>
        <w:numPr>
          <w:ilvl w:val="0"/>
          <w:numId w:val="3"/>
        </w:numPr>
        <w:spacing w:before="340" w:after="330" w:line="400" w:lineRule="exact"/>
        <w:ind w:left="0" w:firstLine="0"/>
        <w:jc w:val="center"/>
        <w:outlineLvl w:val="0"/>
        <w:rPr>
          <w:rFonts w:hint="eastAsia" w:asciiTheme="minorEastAsia" w:hAnsiTheme="minorEastAsia" w:eastAsiaTheme="minorEastAsia" w:cstheme="minorEastAsia"/>
          <w:b/>
          <w:bCs/>
          <w:spacing w:val="-20"/>
          <w:kern w:val="44"/>
          <w:sz w:val="32"/>
          <w:szCs w:val="32"/>
        </w:rPr>
      </w:pPr>
      <w:bookmarkStart w:id="13" w:name="_Toc27007"/>
      <w:r>
        <w:rPr>
          <w:rFonts w:hint="eastAsia" w:asciiTheme="minorEastAsia" w:hAnsiTheme="minorEastAsia" w:eastAsiaTheme="minorEastAsia" w:cstheme="minorEastAsia"/>
          <w:b/>
          <w:bCs/>
          <w:spacing w:val="-20"/>
          <w:kern w:val="44"/>
          <w:sz w:val="32"/>
          <w:szCs w:val="32"/>
        </w:rPr>
        <w:t>投标人须知</w:t>
      </w:r>
      <w:bookmarkEnd w:id="13"/>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14" w:name="_Toc189727030"/>
      <w:bookmarkStart w:id="15" w:name="_Toc213397010"/>
      <w:bookmarkStart w:id="16" w:name="_Toc213396946"/>
      <w:bookmarkStart w:id="17" w:name="_Toc213396760"/>
      <w:bookmarkStart w:id="18" w:name="_Toc316462344"/>
      <w:bookmarkStart w:id="19" w:name="_Toc217446032"/>
      <w:bookmarkStart w:id="20" w:name="_Toc12618"/>
      <w:bookmarkStart w:id="21" w:name="_Toc213496268"/>
      <w:r>
        <w:rPr>
          <w:rFonts w:hint="eastAsia" w:asciiTheme="minorEastAsia" w:hAnsiTheme="minorEastAsia" w:eastAsiaTheme="minorEastAsia" w:cstheme="minorEastAsia"/>
          <w:b/>
          <w:bCs/>
          <w:sz w:val="28"/>
          <w:szCs w:val="28"/>
        </w:rPr>
        <w:t>投标人须知前附表</w:t>
      </w:r>
      <w:bookmarkEnd w:id="14"/>
      <w:bookmarkEnd w:id="15"/>
      <w:bookmarkEnd w:id="16"/>
      <w:bookmarkEnd w:id="17"/>
      <w:bookmarkEnd w:id="18"/>
      <w:bookmarkEnd w:id="19"/>
      <w:bookmarkEnd w:id="20"/>
      <w:bookmarkEnd w:id="21"/>
    </w:p>
    <w:tbl>
      <w:tblPr>
        <w:tblStyle w:val="15"/>
        <w:tblW w:w="9319"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937"/>
        <w:gridCol w:w="6498"/>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firstLine="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zh-CN"/>
              </w:rPr>
              <w:t>序号</w:t>
            </w:r>
          </w:p>
        </w:tc>
        <w:tc>
          <w:tcPr>
            <w:tcW w:w="1937" w:type="dxa"/>
            <w:tcBorders>
              <w:top w:val="single" w:color="auto" w:sz="1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60" w:lineRule="auto"/>
              <w:ind w:left="0" w:right="0" w:rightChars="0"/>
              <w:jc w:val="center"/>
              <w:textAlignment w:val="auto"/>
              <w:rPr>
                <w:rFonts w:hint="eastAsia" w:asciiTheme="minorEastAsia" w:hAnsiTheme="minorEastAsia" w:eastAsiaTheme="minorEastAsia" w:cstheme="minorEastAsia"/>
                <w:b/>
                <w:sz w:val="24"/>
                <w:szCs w:val="24"/>
                <w:lang w:val="zh-CN"/>
              </w:rPr>
            </w:pPr>
            <w:r>
              <w:rPr>
                <w:rFonts w:hint="eastAsia" w:asciiTheme="minorEastAsia" w:hAnsiTheme="minorEastAsia" w:eastAsiaTheme="minorEastAsia" w:cstheme="minorEastAsia"/>
                <w:b/>
                <w:sz w:val="24"/>
                <w:szCs w:val="24"/>
                <w:lang w:val="zh-CN"/>
              </w:rPr>
              <w:t>应知事项</w:t>
            </w:r>
          </w:p>
        </w:tc>
        <w:tc>
          <w:tcPr>
            <w:tcW w:w="6498" w:type="dxa"/>
            <w:tcBorders>
              <w:top w:val="single" w:color="auto" w:sz="1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lang w:val="zh-CN"/>
              </w:rPr>
            </w:pPr>
            <w:r>
              <w:rPr>
                <w:rFonts w:hint="eastAsia" w:asciiTheme="minorEastAsia" w:hAnsiTheme="minorEastAsia" w:eastAsiaTheme="minorEastAsia" w:cstheme="minorEastAsia"/>
                <w:b/>
                <w:sz w:val="24"/>
                <w:szCs w:val="24"/>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spacing w:line="360" w:lineRule="auto"/>
              <w:ind w:firstLine="0" w:firstLineChars="0"/>
              <w:jc w:val="center"/>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color w:val="000000" w:themeColor="text1"/>
                <w:kern w:val="2"/>
                <w:sz w:val="24"/>
                <w:szCs w:val="24"/>
                <w:highlight w:val="none"/>
                <w:lang w:val="en-US" w:eastAsia="zh-CN"/>
                <w14:textFill>
                  <w14:solidFill>
                    <w14:schemeClr w14:val="tx1"/>
                  </w14:solidFill>
                </w14:textFill>
              </w:rPr>
              <w:t>1</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spacing w:line="336"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采购预算</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val="0"/>
              <w:autoSpaceDN w:val="0"/>
              <w:bidi w:val="0"/>
              <w:adjustRightInd w:val="0"/>
              <w:spacing w:line="360" w:lineRule="auto"/>
              <w:ind w:right="0" w:rightChars="0" w:firstLine="482" w:firstLineChars="200"/>
              <w:jc w:val="left"/>
              <w:textAlignment w:val="auto"/>
              <w:rPr>
                <w:rFonts w:hint="eastAsia" w:asciiTheme="minorEastAsia" w:hAnsiTheme="minorEastAsia" w:eastAsiaTheme="minorEastAsia" w:cstheme="minorEastAsia"/>
                <w:b/>
                <w:sz w:val="24"/>
                <w:szCs w:val="24"/>
                <w:lang w:val="zh-CN"/>
              </w:rPr>
            </w:pPr>
            <w:r>
              <w:rPr>
                <w:rFonts w:hint="eastAsia" w:asciiTheme="minorEastAsia" w:hAnsiTheme="minorEastAsia" w:eastAsiaTheme="minorEastAsia" w:cstheme="minorEastAsia"/>
                <w:b/>
                <w:sz w:val="24"/>
                <w:szCs w:val="24"/>
                <w:lang w:val="en-US" w:eastAsia="zh-CN"/>
              </w:rPr>
              <w:t>786290.30元</w:t>
            </w:r>
            <w:r>
              <w:rPr>
                <w:rFonts w:hint="eastAsia" w:asciiTheme="minorEastAsia" w:hAnsiTheme="minorEastAsia" w:eastAsiaTheme="minorEastAsia" w:cstheme="minorEastAsia"/>
                <w:b/>
                <w:sz w:val="24"/>
                <w:szCs w:val="24"/>
                <w:lang w:eastAsia="zh-CN"/>
              </w:rPr>
              <w:t>（大写：</w:t>
            </w:r>
            <w:r>
              <w:rPr>
                <w:rFonts w:hint="eastAsia" w:asciiTheme="minorEastAsia" w:hAnsiTheme="minorEastAsia" w:eastAsiaTheme="minorEastAsia" w:cstheme="minorEastAsia"/>
                <w:b/>
                <w:sz w:val="24"/>
                <w:szCs w:val="24"/>
                <w:lang w:val="en-US" w:eastAsia="zh-CN"/>
              </w:rPr>
              <w:t>柒拾捌万陆仟贰佰玖拾元叁角整</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27"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kinsoku/>
              <w:wordWrap/>
              <w:overflowPunct/>
              <w:topLinePunct w:val="0"/>
              <w:bidi w:val="0"/>
              <w:spacing w:line="360" w:lineRule="auto"/>
              <w:jc w:val="center"/>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最高限价</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2" w:firstLineChars="200"/>
              <w:jc w:val="left"/>
              <w:textAlignment w:val="auto"/>
              <w:rPr>
                <w:rFonts w:hint="eastAsia" w:asciiTheme="minorEastAsia" w:hAnsiTheme="minorEastAsia" w:eastAsiaTheme="minorEastAsia" w:cstheme="minorEastAsia"/>
                <w:b/>
                <w:sz w:val="24"/>
                <w:szCs w:val="24"/>
                <w:lang w:val="zh-CN"/>
              </w:rPr>
            </w:pPr>
            <w:r>
              <w:rPr>
                <w:rFonts w:hint="eastAsia" w:asciiTheme="minorEastAsia" w:hAnsiTheme="minorEastAsia" w:eastAsiaTheme="minorEastAsia" w:cstheme="minorEastAsia"/>
                <w:b/>
                <w:bCs w:val="0"/>
                <w:sz w:val="24"/>
                <w:szCs w:val="24"/>
                <w:lang w:val="zh-CN"/>
              </w:rPr>
              <w:t>本项目最高限价为人民币</w:t>
            </w:r>
            <w:r>
              <w:rPr>
                <w:rFonts w:hint="eastAsia" w:asciiTheme="minorEastAsia" w:hAnsiTheme="minorEastAsia" w:eastAsiaTheme="minorEastAsia" w:cstheme="minorEastAsia"/>
                <w:b/>
                <w:bCs w:val="0"/>
                <w:sz w:val="24"/>
                <w:szCs w:val="24"/>
                <w:lang w:val="en-US" w:eastAsia="zh-CN"/>
              </w:rPr>
              <w:t>786290.30元/年（大写：柒拾捌万陆仟贰佰玖拾元叁角整/年）</w:t>
            </w:r>
            <w:r>
              <w:rPr>
                <w:rFonts w:hint="eastAsia" w:asciiTheme="minorEastAsia" w:hAnsiTheme="minorEastAsia" w:eastAsiaTheme="minorEastAsia" w:cstheme="minorEastAsia"/>
                <w:b/>
                <w:bCs w:val="0"/>
                <w:sz w:val="24"/>
                <w:szCs w:val="24"/>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采购方式</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评标方法</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低于成本价不正当竞争预防措施</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投标保证金</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spacing w:line="336" w:lineRule="auto"/>
              <w:ind w:left="0" w:right="0" w:rightChars="0"/>
              <w:jc w:val="center"/>
              <w:textAlignment w:val="auto"/>
              <w:rPr>
                <w:rFonts w:hint="eastAsia" w:asciiTheme="minorEastAsia" w:hAnsiTheme="minorEastAsia" w:eastAsiaTheme="minorEastAsia" w:cstheme="minorEastAsia"/>
                <w:sz w:val="24"/>
                <w:szCs w:val="24"/>
                <w:highlight w:val="none"/>
                <w:lang w:val="zh-CN"/>
              </w:rPr>
            </w:pPr>
            <w:r>
              <w:rPr>
                <w:rFonts w:hint="eastAsia" w:asciiTheme="minorEastAsia" w:hAnsiTheme="minorEastAsia" w:eastAsiaTheme="minorEastAsia" w:cstheme="minorEastAsia"/>
                <w:sz w:val="24"/>
                <w:szCs w:val="24"/>
                <w:highlight w:val="none"/>
                <w:lang w:val="zh-CN"/>
              </w:rPr>
              <w:t>履约保证金</w:t>
            </w:r>
          </w:p>
        </w:tc>
        <w:tc>
          <w:tcPr>
            <w:tcW w:w="6498" w:type="dxa"/>
            <w:tcBorders>
              <w:top w:val="single" w:color="auto" w:sz="8" w:space="0"/>
              <w:left w:val="single" w:color="auto" w:sz="8" w:space="0"/>
              <w:bottom w:val="single" w:color="auto" w:sz="8" w:space="0"/>
              <w:right w:val="single" w:color="auto" w:sz="18"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本项目履约保证金为政府合同金额的</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%（实质性要求）。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具体要求如下：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中标</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应在中标通知书发放后，政府采购合同签订前，向采购人交纳本项目合同金额的</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%数额的履约保证金。</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交款方式：履约保证金可以以支票、汇票、本票或者金融机构、担保机构出具的保函等非现金形式提交（包括网银转账，电汇等方式）。</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收款单位：</w:t>
            </w:r>
            <w:r>
              <w:rPr>
                <w:rFonts w:hint="eastAsia" w:asciiTheme="minorEastAsia" w:hAnsiTheme="minorEastAsia" w:eastAsiaTheme="minorEastAsia" w:cstheme="minorEastAsia"/>
                <w:sz w:val="24"/>
                <w:szCs w:val="24"/>
                <w:u w:val="single"/>
                <w:lang w:eastAsia="zh-CN"/>
              </w:rPr>
              <w:t>成都东部新区丹景街道办事处</w:t>
            </w: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 户 行：</w:t>
            </w:r>
            <w:r>
              <w:rPr>
                <w:rFonts w:hint="eastAsia" w:asciiTheme="minorEastAsia" w:hAnsiTheme="minorEastAsia" w:eastAsiaTheme="minorEastAsia" w:cstheme="minorEastAsia"/>
                <w:sz w:val="24"/>
                <w:szCs w:val="24"/>
                <w:u w:val="single"/>
                <w:lang w:eastAsia="zh-CN"/>
              </w:rPr>
              <w:t>中国银行股份有限公司成都东部新区支行</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银行账号：</w:t>
            </w:r>
            <w:r>
              <w:rPr>
                <w:rFonts w:hint="eastAsia" w:asciiTheme="minorEastAsia" w:hAnsiTheme="minorEastAsia" w:eastAsiaTheme="minorEastAsia" w:cstheme="minorEastAsia"/>
                <w:sz w:val="24"/>
                <w:szCs w:val="24"/>
                <w:u w:val="single"/>
                <w:lang w:val="en-US" w:eastAsia="zh-CN"/>
              </w:rPr>
              <w:t>115863089273</w:t>
            </w: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注：出具保函的主体应当是金融机构、保险机构、担保机构等依法成立且具有相关资质和偿付能力的机构，否则将取消中标</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的中标资格，采购人将重新确定中标</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，并依法追究法律责任。</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履约保证金退还方式、时间：中标</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凭履约保证金缴纳凭证原件或保函与采购人签订政府采购合同；缴款单需注明项目名称或编号（履约保证金）。在项目履约完成并经验收合格后，由采购人凭</w:t>
            </w:r>
            <w:r>
              <w:rPr>
                <w:rFonts w:hint="eastAsia" w:asciiTheme="minorEastAsia" w:hAnsiTheme="minorEastAsia" w:eastAsiaTheme="minorEastAsia" w:cstheme="minorEastAsia"/>
                <w:sz w:val="24"/>
                <w:szCs w:val="24"/>
                <w:lang w:eastAsia="zh-CN"/>
              </w:rPr>
              <w:t>中标人缴款凭证</w:t>
            </w: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lang w:val="en-US" w:eastAsia="zh-CN"/>
              </w:rPr>
              <w:t>10个</w:t>
            </w:r>
            <w:r>
              <w:rPr>
                <w:rFonts w:hint="eastAsia" w:asciiTheme="minorEastAsia" w:hAnsiTheme="minorEastAsia" w:eastAsiaTheme="minorEastAsia" w:cstheme="minorEastAsia"/>
                <w:sz w:val="24"/>
                <w:szCs w:val="24"/>
              </w:rPr>
              <w:t>工作日内以非现金形式退还中标</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的履约保证金。</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履约保证金不予退还情形：</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1.中标</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单方面原因（自然灾害和国家政策因素等不可抗力除外）不履行政府采购合同的；</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2.中标</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提供的服务不符合采购文件要求、国家及行业验收合格标准的；</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3.中标</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z w:val="24"/>
                <w:szCs w:val="24"/>
              </w:rPr>
              <w:t>在规定的质保期间或售后服务中，被查实有被采购人举报服务质量问题且不妥善处理的</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lang w:val="zh-CN"/>
              </w:rPr>
            </w:pPr>
            <w:r>
              <w:rPr>
                <w:rFonts w:hint="eastAsia" w:asciiTheme="minorEastAsia" w:hAnsiTheme="minorEastAsia" w:eastAsiaTheme="minorEastAsia" w:cstheme="minorEastAsia"/>
                <w:sz w:val="24"/>
                <w:szCs w:val="24"/>
              </w:rPr>
              <w:t>4.履约保证金不予退还的，将按照有关规定上缴国库。逾期退还履约保证金的，将依法承担法律责任，并赔偿供应商损失。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投标有效期</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bidi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提交投标文件的截止之日起</w:t>
            </w:r>
            <w:r>
              <w:rPr>
                <w:rFonts w:hint="eastAsia" w:asciiTheme="minorEastAsia" w:hAnsiTheme="minorEastAsia" w:eastAsiaTheme="minorEastAsia" w:cstheme="minorEastAsia"/>
                <w:sz w:val="24"/>
                <w:szCs w:val="24"/>
                <w:u w:val="single"/>
                <w:lang w:val="zh-CN"/>
              </w:rPr>
              <w:t>120</w:t>
            </w:r>
            <w:r>
              <w:rPr>
                <w:rFonts w:hint="eastAsia" w:asciiTheme="minorEastAsia" w:hAnsiTheme="minorEastAsia" w:eastAsiaTheme="minorEastAsia" w:cstheme="minorEastAsia"/>
                <w:sz w:val="24"/>
                <w:szCs w:val="24"/>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bidi w:val="0"/>
              <w:snapToGrid w:val="0"/>
              <w:spacing w:line="336"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投标文件的制作和签章、加密</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10</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bidi w:val="0"/>
              <w:snapToGrid w:val="0"/>
              <w:spacing w:line="336"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投标文件的提交</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详见投标人须知2.4.12</w:t>
            </w:r>
          </w:p>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注：投标人使用CA证书在投标截止时间前，将电子投标文件上传至政府采购云平台，上传前须对电子投标文件是否有电子签章等进行核对。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72"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11</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bidi w:val="0"/>
              <w:snapToGrid w:val="0"/>
              <w:spacing w:line="372"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投标文件的补充、修改</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72"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12</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bidi w:val="0"/>
              <w:snapToGrid w:val="0"/>
              <w:spacing w:line="372"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投标文件的撤回</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72"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13</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bidi w:val="0"/>
              <w:snapToGrid w:val="0"/>
              <w:spacing w:line="372"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开标及开标程序</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bidi w:val="0"/>
              <w:snapToGrid w:val="0"/>
              <w:spacing w:line="360" w:lineRule="auto"/>
              <w:ind w:left="0" w:leftChars="0" w:right="0" w:rightChars="0" w:firstLine="482" w:firstLineChars="20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详见投标人须知2.5.1。</w:t>
            </w:r>
          </w:p>
          <w:p>
            <w:pPr>
              <w:keepNext w:val="0"/>
              <w:keepLines w:val="0"/>
              <w:pageBreakBefore w:val="0"/>
              <w:widowControl w:val="0"/>
              <w:kinsoku/>
              <w:wordWrap/>
              <w:overflowPunct/>
              <w:topLinePunct w:val="0"/>
              <w:bidi w:val="0"/>
              <w:snapToGrid w:val="0"/>
              <w:spacing w:line="360" w:lineRule="auto"/>
              <w:ind w:left="0" w:leftChars="0" w:right="0" w:rightChars="0" w:firstLine="482" w:firstLineChars="20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投标文件解密：开启解密后，投标人应在系统提示的解密开始时间后60分钟内，使用对投标文件进行加密的CA证书在线完成对投标人提交至政府采购云平台的投标文件的解密。</w:t>
            </w:r>
          </w:p>
          <w:p>
            <w:pPr>
              <w:keepNext w:val="0"/>
              <w:keepLines w:val="0"/>
              <w:pageBreakBefore w:val="0"/>
              <w:widowControl w:val="0"/>
              <w:kinsoku/>
              <w:wordWrap/>
              <w:overflowPunct/>
              <w:topLinePunct w:val="0"/>
              <w:bidi w:val="0"/>
              <w:snapToGrid w:val="0"/>
              <w:spacing w:line="360" w:lineRule="auto"/>
              <w:ind w:left="0" w:leftChars="0" w:right="0" w:rightChars="0" w:firstLine="482" w:firstLineChars="20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投标人电脑终端等硬件设备和软件系统配置：投标人电脑终端等硬件设备和软件系统配置应符合开标大厅投标人电脑终端配置要求并运行正常，投标人承担因未尽职责产生的不利后果。</w:t>
            </w:r>
          </w:p>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2"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72"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14</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对招标文件中供应商参加本次政府采购活动应当具备的条件,招标项目技术、服务、商务及其他要求,评标细则及标准,以及关于资格审查的询问、质疑</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向采购人提出，并由采购人按相关规定作出答复（详见投标人须知2.8）。</w:t>
            </w:r>
          </w:p>
          <w:p>
            <w:pPr>
              <w:pStyle w:val="6"/>
              <w:keepNext w:val="0"/>
              <w:keepLines w:val="0"/>
              <w:pageBreakBefore w:val="0"/>
              <w:widowControl w:val="0"/>
              <w:kinsoku/>
              <w:wordWrap/>
              <w:overflowPunct/>
              <w:topLinePunct w:val="0"/>
              <w:autoSpaceDE/>
              <w:autoSpaceDN/>
              <w:bidi w:val="0"/>
              <w:adjustRightInd/>
              <w:spacing w:line="360" w:lineRule="auto"/>
              <w:ind w:left="0" w:leftChars="0" w:right="0" w:rightChars="0" w:firstLine="420" w:firstLineChars="200"/>
              <w:jc w:val="left"/>
              <w:textAlignment w:val="auto"/>
              <w:rPr>
                <w:rFonts w:hint="eastAsia" w:asciiTheme="minorEastAsia" w:hAnsiTheme="minorEastAsia" w:eastAsiaTheme="minorEastAsia" w:cstheme="minorEastAsia"/>
                <w:lang w:val="en-US" w:eastAsia="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72"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对招标文件中的其他内容、采购过程及中标结果（除资格审查）的询问、质疑</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向成都东部新区党工委管委会（成都市东部新城办）综合部提出，并由成都东部新区党工委管委会（成都市东部新城办）综合部按相关规定作出答复（详见投标人须知2.8）。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16</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投标人投诉</w:t>
            </w:r>
          </w:p>
        </w:tc>
        <w:tc>
          <w:tcPr>
            <w:tcW w:w="6498" w:type="dxa"/>
            <w:tcBorders>
              <w:top w:val="single" w:color="auto" w:sz="8" w:space="0"/>
              <w:left w:val="single" w:color="auto" w:sz="8" w:space="0"/>
              <w:bottom w:val="single" w:color="auto" w:sz="8" w:space="0"/>
              <w:right w:val="single" w:color="auto" w:sz="18" w:space="0"/>
            </w:tcBorders>
            <w:vAlign w:val="center"/>
          </w:tcPr>
          <w:p>
            <w:pPr>
              <w:pStyle w:val="27"/>
              <w:keepNext w:val="0"/>
              <w:keepLines w:val="0"/>
              <w:pageBreakBefore w:val="0"/>
              <w:widowControl w:val="0"/>
              <w:tabs>
                <w:tab w:val="left" w:pos="900"/>
              </w:tabs>
              <w:kinsoku/>
              <w:wordWrap/>
              <w:overflowPunct/>
              <w:topLinePunct w:val="0"/>
              <w:bidi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投诉受理单位：本项目同级财政部门，即成都东部新区党工委管委会(成都市东部新城办)财政金融局。</w:t>
            </w:r>
          </w:p>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联系电话：028-</w:t>
            </w:r>
            <w:r>
              <w:rPr>
                <w:rFonts w:hint="eastAsia" w:asciiTheme="minorEastAsia" w:hAnsiTheme="minorEastAsia" w:eastAsiaTheme="minorEastAsia" w:cstheme="minorEastAsia"/>
                <w:bCs/>
                <w:sz w:val="24"/>
                <w:szCs w:val="24"/>
              </w:rPr>
              <w:t>86360129</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bidi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bCs/>
                <w:sz w:val="24"/>
                <w:szCs w:val="24"/>
              </w:rPr>
              <w:t>成都东部新区三岔街道板桥村 2 组 166 号东部新区市民中心</w:t>
            </w:r>
            <w:r>
              <w:rPr>
                <w:rFonts w:hint="eastAsia" w:asciiTheme="minorEastAsia" w:hAnsiTheme="minorEastAsia" w:eastAsiaTheme="minorEastAsia" w:cstheme="minorEastAsia"/>
                <w:sz w:val="24"/>
                <w:szCs w:val="24"/>
              </w:rPr>
              <w:t>。</w:t>
            </w:r>
          </w:p>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邮编：6</w:t>
            </w:r>
            <w:r>
              <w:rPr>
                <w:rFonts w:hint="eastAsia" w:asciiTheme="minorEastAsia" w:hAnsiTheme="minorEastAsia" w:eastAsiaTheme="minorEastAsia" w:cstheme="minorEastAsia"/>
                <w:sz w:val="24"/>
                <w:szCs w:val="24"/>
                <w:lang w:val="en-US" w:eastAsia="zh-CN"/>
              </w:rPr>
              <w:t>41400</w:t>
            </w:r>
            <w:r>
              <w:rPr>
                <w:rFonts w:hint="eastAsia" w:asciiTheme="minorEastAsia" w:hAnsiTheme="minorEastAsia" w:eastAsiaTheme="minorEastAsia" w:cstheme="minorEastAsia"/>
                <w:sz w:val="24"/>
                <w:szCs w:val="24"/>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17</w:t>
            </w:r>
          </w:p>
        </w:tc>
        <w:tc>
          <w:tcPr>
            <w:tcW w:w="1937"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评标情况公告</w:t>
            </w:r>
          </w:p>
        </w:tc>
        <w:tc>
          <w:tcPr>
            <w:tcW w:w="6498"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bidi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所有</w:t>
            </w: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lang w:val="zh-CN"/>
              </w:rPr>
              <w:t>投标文件资格性、符合性审查情况、采用综合评分法时的得分情况、评标结果等将在成都市公共资源交易服务中心网、四川政府采购网上采购结果公告栏中予以公告。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18</w:t>
            </w:r>
          </w:p>
        </w:tc>
        <w:tc>
          <w:tcPr>
            <w:tcW w:w="1937"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中标通知书</w:t>
            </w:r>
          </w:p>
        </w:tc>
        <w:tc>
          <w:tcPr>
            <w:tcW w:w="6498"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中标公告在四川政府采购网上公告后，中标供应商应携带</w:t>
            </w:r>
            <w:r>
              <w:rPr>
                <w:rFonts w:hint="eastAsia" w:asciiTheme="minorEastAsia" w:hAnsiTheme="minorEastAsia" w:eastAsiaTheme="minorEastAsia" w:cstheme="minorEastAsia"/>
                <w:sz w:val="24"/>
                <w:szCs w:val="24"/>
              </w:rPr>
              <w:t>介绍信</w:t>
            </w:r>
            <w:r>
              <w:rPr>
                <w:rFonts w:hint="eastAsia" w:asciiTheme="minorEastAsia" w:hAnsiTheme="minorEastAsia" w:eastAsiaTheme="minorEastAsia" w:cstheme="minorEastAsia"/>
                <w:sz w:val="24"/>
                <w:szCs w:val="24"/>
                <w:lang w:eastAsia="zh-CN"/>
              </w:rPr>
              <w:t>和经办人身份证复印件加盖公章，前往</w:t>
            </w:r>
            <w:r>
              <w:rPr>
                <w:rFonts w:hint="eastAsia" w:asciiTheme="minorEastAsia" w:hAnsiTheme="minorEastAsia" w:eastAsiaTheme="minorEastAsia" w:cstheme="minorEastAsia"/>
                <w:sz w:val="24"/>
                <w:szCs w:val="24"/>
              </w:rPr>
              <w:t>成都东部新区党工委管委会（成都市东部新城办）综合部领取中标通知书。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19</w:t>
            </w:r>
          </w:p>
        </w:tc>
        <w:tc>
          <w:tcPr>
            <w:tcW w:w="1937"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合同签订地点</w:t>
            </w:r>
          </w:p>
        </w:tc>
        <w:tc>
          <w:tcPr>
            <w:tcW w:w="6498"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20</w:t>
            </w:r>
          </w:p>
        </w:tc>
        <w:tc>
          <w:tcPr>
            <w:tcW w:w="1937"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政府采购合同公告、备案</w:t>
            </w:r>
          </w:p>
        </w:tc>
        <w:tc>
          <w:tcPr>
            <w:tcW w:w="6498"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Theme="minorEastAsia" w:hAnsiTheme="minorEastAsia" w:eastAsiaTheme="minorEastAsia" w:cstheme="minorEastAsia"/>
                <w:b/>
                <w:sz w:val="24"/>
                <w:szCs w:val="24"/>
              </w:rPr>
              <w:t>成都东部新区党工委管委会(成都市东部新城办)财政金融局</w:t>
            </w:r>
            <w:r>
              <w:rPr>
                <w:rFonts w:hint="eastAsia" w:asciiTheme="minorEastAsia" w:hAnsiTheme="minorEastAsia" w:eastAsiaTheme="minorEastAsia" w:cstheme="minorEastAsia"/>
                <w:sz w:val="24"/>
                <w:szCs w:val="24"/>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kinsoku/>
              <w:wordWrap/>
              <w:overflowPunct/>
              <w:topLinePunct w:val="0"/>
              <w:bidi w:val="0"/>
              <w:spacing w:line="360" w:lineRule="auto"/>
              <w:ind w:firstLine="0" w:firstLineChars="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21</w:t>
            </w:r>
          </w:p>
        </w:tc>
        <w:tc>
          <w:tcPr>
            <w:tcW w:w="1937"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进口产品</w:t>
            </w:r>
          </w:p>
        </w:tc>
        <w:tc>
          <w:tcPr>
            <w:tcW w:w="6498"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招标文件中未载明“允许采购进口产品”的产品，拒绝进口产品的投标。招标文件中载明“允许采购进口产品”的产品，允许国产产品参与投标竞争。</w:t>
            </w:r>
          </w:p>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2"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本项目为服务采购项目，不涉及。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pStyle w:val="23"/>
              <w:keepNext w:val="0"/>
              <w:keepLines w:val="0"/>
              <w:pageBreakBefore w:val="0"/>
              <w:widowControl w:val="0"/>
              <w:kinsoku/>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22</w:t>
            </w:r>
          </w:p>
        </w:tc>
        <w:tc>
          <w:tcPr>
            <w:tcW w:w="8435"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22" w:name="_Toc22930"/>
      <w:r>
        <w:rPr>
          <w:rFonts w:hint="eastAsia" w:asciiTheme="minorEastAsia" w:hAnsiTheme="minorEastAsia" w:eastAsiaTheme="minorEastAsia" w:cstheme="minorEastAsia"/>
          <w:b/>
          <w:bCs/>
          <w:sz w:val="28"/>
          <w:szCs w:val="28"/>
        </w:rPr>
        <w:t>总则</w:t>
      </w:r>
      <w:bookmarkEnd w:id="22"/>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适用范围</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本招标文件仅适用于本次公开招标采购项目。</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8"/>
          <w:szCs w:val="28"/>
        </w:rPr>
        <w:t>二、本招标文件的最终解释权由采购人或</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负责解释。</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有关定义</w:t>
      </w:r>
    </w:p>
    <w:p>
      <w:pPr>
        <w:keepNext w:val="0"/>
        <w:keepLines w:val="0"/>
        <w:pageBreakBefore w:val="0"/>
        <w:widowControl w:val="0"/>
        <w:numPr>
          <w:ilvl w:val="0"/>
          <w:numId w:val="5"/>
        </w:numPr>
        <w:tabs>
          <w:tab w:val="left" w:pos="1134"/>
        </w:tabs>
        <w:kinsoku/>
        <w:wordWrap/>
        <w:overflowPunct/>
        <w:topLinePunct w:val="0"/>
        <w:autoSpaceDE/>
        <w:autoSpaceDN/>
        <w:bidi w:val="0"/>
        <w:adjustRightInd/>
        <w:snapToGrid/>
        <w:spacing w:line="360" w:lineRule="auto"/>
        <w:ind w:left="0" w:firstLine="560"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“采购人”和“甲方”系指依法进行政府采购的成都市级机关、事业单位、团体组织。本次招标的采购人是</w:t>
      </w:r>
      <w:r>
        <w:rPr>
          <w:rFonts w:hint="eastAsia" w:asciiTheme="minorEastAsia" w:hAnsiTheme="minorEastAsia" w:eastAsiaTheme="minorEastAsia" w:cstheme="minorEastAsia"/>
          <w:b/>
          <w:bCs/>
          <w:sz w:val="28"/>
          <w:szCs w:val="28"/>
          <w:u w:val="none"/>
          <w:lang w:eastAsia="zh-CN"/>
        </w:rPr>
        <w:t>成都东部新区丹景街道办事处</w:t>
      </w:r>
      <w:r>
        <w:rPr>
          <w:rFonts w:hint="eastAsia" w:asciiTheme="minorEastAsia" w:hAnsiTheme="minorEastAsia" w:eastAsiaTheme="minorEastAsia" w:cstheme="minorEastAsia"/>
          <w:b/>
          <w:bCs/>
          <w:sz w:val="28"/>
          <w:szCs w:val="28"/>
        </w:rPr>
        <w:t>。</w:t>
      </w:r>
    </w:p>
    <w:p>
      <w:pPr>
        <w:keepNext w:val="0"/>
        <w:keepLines w:val="0"/>
        <w:pageBreakBefore w:val="0"/>
        <w:widowControl w:val="0"/>
        <w:numPr>
          <w:ilvl w:val="0"/>
          <w:numId w:val="5"/>
        </w:numPr>
        <w:tabs>
          <w:tab w:val="left" w:pos="1134"/>
        </w:tabs>
        <w:kinsoku/>
        <w:wordWrap/>
        <w:overflowPunct/>
        <w:topLinePunct w:val="0"/>
        <w:autoSpaceDE/>
        <w:autoSpaceDN/>
        <w:bidi w:val="0"/>
        <w:adjustRightInd/>
        <w:snapToGrid/>
        <w:spacing w:line="360" w:lineRule="auto"/>
        <w:ind w:left="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“投标人”系指在按照招标文件“投标邀请”中第六、七、八条规定获取了招标文件，拟参加投标和向采购人提供服务的供应商。“乙方”是指本项目的中标供应商。</w:t>
      </w:r>
    </w:p>
    <w:p>
      <w:pPr>
        <w:keepNext w:val="0"/>
        <w:keepLines w:val="0"/>
        <w:pageBreakBefore w:val="0"/>
        <w:widowControl w:val="0"/>
        <w:numPr>
          <w:ilvl w:val="0"/>
          <w:numId w:val="5"/>
        </w:numPr>
        <w:tabs>
          <w:tab w:val="left" w:pos="1134"/>
        </w:tabs>
        <w:kinsoku/>
        <w:wordWrap/>
        <w:overflowPunct/>
        <w:topLinePunct w:val="0"/>
        <w:autoSpaceDE/>
        <w:autoSpaceDN/>
        <w:bidi w:val="0"/>
        <w:adjustRightInd/>
        <w:snapToGrid/>
        <w:spacing w:line="360" w:lineRule="auto"/>
        <w:ind w:left="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本招标文件各部分规定的期间以时、日、月、年计算。期间开始的时和日，不计算在期间内，而从次日开始计算。期间届满的最后一天是节假日的，以节假日后的第一日为期间届满的日期。</w:t>
      </w:r>
    </w:p>
    <w:p>
      <w:pPr>
        <w:keepNext w:val="0"/>
        <w:keepLines w:val="0"/>
        <w:pageBreakBefore w:val="0"/>
        <w:widowControl w:val="0"/>
        <w:numPr>
          <w:ilvl w:val="0"/>
          <w:numId w:val="5"/>
        </w:numPr>
        <w:tabs>
          <w:tab w:val="left" w:pos="1134"/>
        </w:tabs>
        <w:kinsoku/>
        <w:wordWrap/>
        <w:overflowPunct/>
        <w:topLinePunct w:val="0"/>
        <w:autoSpaceDE/>
        <w:autoSpaceDN/>
        <w:bidi w:val="0"/>
        <w:adjustRightInd/>
        <w:snapToGrid/>
        <w:spacing w:line="360" w:lineRule="auto"/>
        <w:ind w:left="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本招标文件各部分规定的“以上”、“以下”、“内”、“以内”，包括本数；所称的“不足”，不包括本数。</w:t>
      </w:r>
    </w:p>
    <w:p>
      <w:pPr>
        <w:keepNext w:val="0"/>
        <w:keepLines w:val="0"/>
        <w:pageBreakBefore w:val="0"/>
        <w:widowControl w:val="0"/>
        <w:numPr>
          <w:ilvl w:val="0"/>
          <w:numId w:val="5"/>
        </w:numPr>
        <w:tabs>
          <w:tab w:val="left" w:pos="1134"/>
        </w:tabs>
        <w:kinsoku/>
        <w:wordWrap/>
        <w:overflowPunct/>
        <w:topLinePunct w:val="0"/>
        <w:autoSpaceDE/>
        <w:autoSpaceDN/>
        <w:bidi w:val="0"/>
        <w:adjustRightInd/>
        <w:snapToGrid/>
        <w:spacing w:line="360" w:lineRule="auto"/>
        <w:ind w:left="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重大违法记录是指供应商因违法经营受到刑事处罚或者责令停产停业、吊销许可证或者执照、较大数额罚款等行政处罚。</w:t>
      </w:r>
    </w:p>
    <w:p>
      <w:pPr>
        <w:keepNext w:val="0"/>
        <w:keepLines w:val="0"/>
        <w:pageBreakBefore w:val="0"/>
        <w:widowControl w:val="0"/>
        <w:numPr>
          <w:ilvl w:val="0"/>
          <w:numId w:val="0"/>
        </w:numPr>
        <w:tabs>
          <w:tab w:val="left" w:pos="120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六、</w:t>
      </w:r>
      <w:r>
        <w:rPr>
          <w:rFonts w:hint="eastAsia" w:asciiTheme="minorEastAsia" w:hAnsiTheme="minorEastAsia" w:eastAsiaTheme="minorEastAsia" w:cstheme="minorEastAsia"/>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七、</w:t>
      </w:r>
      <w:r>
        <w:rPr>
          <w:rFonts w:hint="eastAsia" w:asciiTheme="minorEastAsia" w:hAnsiTheme="minorEastAsia" w:eastAsiaTheme="minorEastAsia" w:cstheme="minorEastAsia"/>
          <w:sz w:val="28"/>
          <w:szCs w:val="28"/>
        </w:rPr>
        <w:t>不见面开标是指，</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依托政府采购云平台组织开标活动，供应商在线参与开标的一种组织形式。</w:t>
      </w:r>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bookmarkStart w:id="23" w:name="_Toc183582207"/>
      <w:bookmarkStart w:id="24" w:name="_Toc183682344"/>
      <w:bookmarkStart w:id="25" w:name="_Toc217446036"/>
      <w:bookmarkStart w:id="26" w:name="_Toc217390843"/>
      <w:r>
        <w:rPr>
          <w:rFonts w:hint="eastAsia" w:asciiTheme="minorEastAsia" w:hAnsiTheme="minorEastAsia" w:eastAsiaTheme="minorEastAsia" w:cstheme="minorEastAsia"/>
          <w:b/>
          <w:bCs/>
          <w:sz w:val="28"/>
          <w:szCs w:val="28"/>
        </w:rPr>
        <w:t>合格的投标人</w:t>
      </w:r>
      <w:bookmarkEnd w:id="23"/>
      <w:bookmarkEnd w:id="24"/>
      <w:bookmarkEnd w:id="25"/>
      <w:bookmarkEnd w:id="26"/>
    </w:p>
    <w:p>
      <w:pPr>
        <w:tabs>
          <w:tab w:val="left" w:pos="7665"/>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合格的投标人应具备以下条件：</w:t>
      </w:r>
    </w:p>
    <w:p>
      <w:pPr>
        <w:numPr>
          <w:ilvl w:val="0"/>
          <w:numId w:val="6"/>
        </w:numPr>
        <w:tabs>
          <w:tab w:val="left" w:pos="113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本招标文件“投标邀请”第五条规定的条件；</w:t>
      </w:r>
    </w:p>
    <w:p>
      <w:pPr>
        <w:numPr>
          <w:ilvl w:val="0"/>
          <w:numId w:val="6"/>
        </w:numPr>
        <w:tabs>
          <w:tab w:val="left" w:pos="1134"/>
        </w:tabs>
        <w:spacing w:line="360" w:lineRule="auto"/>
        <w:ind w:left="0" w:firstLine="56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按照招标文件“投标邀请”中第六、七、八条规定获取了招标文件。</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投标费用</w:t>
      </w:r>
    </w:p>
    <w:p>
      <w:pPr>
        <w:spacing w:line="360" w:lineRule="auto"/>
        <w:ind w:firstLine="660" w:firstLineChars="23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投标人应自行承担参加投标的全部费用。</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充分、公平竞争保障措施</w:t>
      </w:r>
    </w:p>
    <w:p>
      <w:pPr>
        <w:numPr>
          <w:ilvl w:val="0"/>
          <w:numId w:val="7"/>
        </w:numPr>
        <w:tabs>
          <w:tab w:val="left" w:pos="1134"/>
        </w:tabs>
        <w:adjustRightInd w:val="0"/>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单位负责人为同一人或者存在直接控股、管理关系的不同供应商，不得参加同一项目的投标。</w:t>
      </w:r>
    </w:p>
    <w:p>
      <w:pPr>
        <w:numPr>
          <w:ilvl w:val="0"/>
          <w:numId w:val="7"/>
        </w:numPr>
        <w:tabs>
          <w:tab w:val="left" w:pos="1134"/>
        </w:tabs>
        <w:adjustRightInd w:val="0"/>
        <w:spacing w:line="360" w:lineRule="auto"/>
        <w:ind w:left="0" w:firstLine="567"/>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sz w:val="28"/>
          <w:szCs w:val="28"/>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Theme="minorEastAsia" w:hAnsiTheme="minorEastAsia" w:eastAsiaTheme="minorEastAsia" w:cstheme="minorEastAsia"/>
          <w:b/>
          <w:sz w:val="28"/>
          <w:szCs w:val="28"/>
          <w:highlight w:val="none"/>
        </w:rPr>
        <w:t>（说明：无供应商为本项目提供整体设计、规范编制或者项目管理、监理、检测等服务。）</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27" w:name="_Toc217446039"/>
      <w:bookmarkStart w:id="28" w:name="_Toc183582210"/>
      <w:bookmarkStart w:id="29" w:name="_Toc27886"/>
      <w:bookmarkStart w:id="30" w:name="_Toc183682347"/>
      <w:r>
        <w:rPr>
          <w:rFonts w:hint="eastAsia" w:asciiTheme="minorEastAsia" w:hAnsiTheme="minorEastAsia" w:eastAsiaTheme="minorEastAsia" w:cstheme="minorEastAsia"/>
          <w:b/>
          <w:bCs/>
          <w:sz w:val="28"/>
          <w:szCs w:val="28"/>
        </w:rPr>
        <w:t>招标文件</w:t>
      </w:r>
      <w:bookmarkEnd w:id="27"/>
      <w:bookmarkEnd w:id="28"/>
      <w:bookmarkEnd w:id="29"/>
      <w:bookmarkEnd w:id="30"/>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招标文件的构成</w:t>
      </w:r>
    </w:p>
    <w:p>
      <w:pPr>
        <w:numPr>
          <w:ilvl w:val="0"/>
          <w:numId w:val="8"/>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投标邀请；</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投标人须知；</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投标文件格式；</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招标项目技术、服务、商务及其他要求；</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资格性审查；</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评标办法；</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拟签订合同文本。</w:t>
      </w:r>
    </w:p>
    <w:p>
      <w:pPr>
        <w:numPr>
          <w:ilvl w:val="0"/>
          <w:numId w:val="8"/>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31" w:name="_Toc183582211"/>
      <w:bookmarkStart w:id="32" w:name="_Toc183682348"/>
      <w:bookmarkStart w:id="33" w:name="_Toc217446040"/>
      <w:r>
        <w:rPr>
          <w:rFonts w:hint="eastAsia" w:asciiTheme="minorEastAsia" w:hAnsiTheme="minorEastAsia" w:eastAsiaTheme="minorEastAsia" w:cstheme="minorEastAsia"/>
          <w:b/>
          <w:bCs/>
          <w:sz w:val="28"/>
          <w:szCs w:val="28"/>
        </w:rPr>
        <w:t>招标文件的澄清</w:t>
      </w:r>
      <w:bookmarkEnd w:id="31"/>
      <w:bookmarkEnd w:id="32"/>
      <w:r>
        <w:rPr>
          <w:rFonts w:hint="eastAsia" w:asciiTheme="minorEastAsia" w:hAnsiTheme="minorEastAsia" w:eastAsiaTheme="minorEastAsia" w:cstheme="minorEastAsia"/>
          <w:b/>
          <w:bCs/>
          <w:sz w:val="28"/>
          <w:szCs w:val="28"/>
        </w:rPr>
        <w:t>和修改</w:t>
      </w:r>
      <w:bookmarkEnd w:id="33"/>
      <w:bookmarkStart w:id="34" w:name="_Toc183582214"/>
      <w:bookmarkStart w:id="35" w:name="_Toc217446042"/>
      <w:bookmarkStart w:id="36" w:name="_Toc77400780"/>
      <w:bookmarkStart w:id="37" w:name="_Toc183682351"/>
      <w:bookmarkStart w:id="38" w:name="_Toc89075876"/>
    </w:p>
    <w:p>
      <w:pPr>
        <w:numPr>
          <w:ilvl w:val="0"/>
          <w:numId w:val="10"/>
        </w:numPr>
        <w:tabs>
          <w:tab w:val="left" w:pos="142"/>
          <w:tab w:val="left" w:pos="1134"/>
        </w:tabs>
        <w:spacing w:after="200" w:line="360" w:lineRule="auto"/>
        <w:ind w:left="0"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在投标截止时间前，采购人或者成都东部新区党工委管委会（成都市东部新城办）综合部可以对已发出的招标文件进行必要的澄清或者修改。</w:t>
      </w:r>
    </w:p>
    <w:p>
      <w:pPr>
        <w:numPr>
          <w:ilvl w:val="0"/>
          <w:numId w:val="0"/>
        </w:numPr>
        <w:spacing w:after="20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二、</w:t>
      </w:r>
      <w:r>
        <w:rPr>
          <w:rFonts w:hint="eastAsia" w:asciiTheme="minorEastAsia" w:hAnsiTheme="minorEastAsia" w:eastAsiaTheme="minorEastAsia" w:cstheme="minorEastAsia"/>
          <w:sz w:val="28"/>
          <w:szCs w:val="28"/>
        </w:rPr>
        <w:t>澄清或者修改的内容，成都东部新区党工委管委会（成都市东部新城办）综合部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Theme="minorEastAsia" w:hAnsiTheme="minorEastAsia" w:eastAsiaTheme="minorEastAsia" w:cstheme="minorEastAsia"/>
          <w:sz w:val="28"/>
          <w:szCs w:val="28"/>
          <w:lang w:eastAsia="zh-CN"/>
        </w:rPr>
        <w:t>。</w:t>
      </w:r>
    </w:p>
    <w:p>
      <w:pPr>
        <w:numPr>
          <w:ilvl w:val="0"/>
          <w:numId w:val="10"/>
        </w:numPr>
        <w:tabs>
          <w:tab w:val="left" w:pos="142"/>
          <w:tab w:val="left" w:pos="1134"/>
        </w:tabs>
        <w:spacing w:after="200" w:line="360" w:lineRule="auto"/>
        <w:ind w:left="0"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澄清或者修改的内容可能影响投标文件编制的，</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应当在投标截止时间至少15日前，通过政府采购云平台通知所有已获取招标文件的潜在投标人；不足15日的，采购人或</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应当顺延提交投标文件的截止时间。</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39" w:name="_Toc11437"/>
      <w:r>
        <w:rPr>
          <w:rFonts w:hint="eastAsia" w:asciiTheme="minorEastAsia" w:hAnsiTheme="minorEastAsia" w:eastAsiaTheme="minorEastAsia" w:cstheme="minorEastAsia"/>
          <w:b/>
          <w:bCs/>
          <w:sz w:val="28"/>
          <w:szCs w:val="28"/>
        </w:rPr>
        <w:t>投标文件</w:t>
      </w:r>
      <w:bookmarkEnd w:id="34"/>
      <w:bookmarkEnd w:id="35"/>
      <w:bookmarkEnd w:id="36"/>
      <w:bookmarkEnd w:id="37"/>
      <w:bookmarkEnd w:id="38"/>
      <w:bookmarkEnd w:id="39"/>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0" w:name="_Toc183582215"/>
      <w:bookmarkStart w:id="41" w:name="_Toc217446043"/>
      <w:bookmarkStart w:id="42" w:name="_Toc183682352"/>
      <w:r>
        <w:rPr>
          <w:rFonts w:hint="eastAsia" w:asciiTheme="minorEastAsia" w:hAnsiTheme="minorEastAsia" w:eastAsiaTheme="minorEastAsia" w:cstheme="minorEastAsia"/>
          <w:b/>
          <w:bCs/>
          <w:sz w:val="28"/>
          <w:szCs w:val="28"/>
        </w:rPr>
        <w:t>投标文件的语言</w:t>
      </w:r>
      <w:bookmarkEnd w:id="40"/>
      <w:bookmarkEnd w:id="41"/>
      <w:bookmarkEnd w:id="42"/>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一、投标人提交的投标文件以及投标人与采购人或</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二、翻译的中文资料与外文资料如果出现差异和矛盾时，以中文为准。涉嫌提供虚假材料的按照相关法律法规处理。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三、如因未翻译而造成对供应商的不利后果，由供应商承担。</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3" w:name="_Toc217446044"/>
      <w:bookmarkStart w:id="44" w:name="_Toc183682353"/>
      <w:bookmarkStart w:id="45" w:name="_Toc183582216"/>
      <w:r>
        <w:rPr>
          <w:rFonts w:hint="eastAsia" w:asciiTheme="minorEastAsia" w:hAnsiTheme="minorEastAsia" w:eastAsiaTheme="minorEastAsia" w:cstheme="minorEastAsia"/>
          <w:b/>
          <w:bCs/>
          <w:sz w:val="28"/>
          <w:szCs w:val="28"/>
        </w:rPr>
        <w:t>计量单位</w:t>
      </w:r>
      <w:bookmarkEnd w:id="43"/>
      <w:bookmarkEnd w:id="44"/>
      <w:bookmarkEnd w:id="45"/>
    </w:p>
    <w:p>
      <w:pPr>
        <w:tabs>
          <w:tab w:val="left" w:pos="7665"/>
        </w:tabs>
        <w:spacing w:line="360" w:lineRule="auto"/>
        <w:ind w:left="13" w:firstLine="5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除招标文件中另有规定外，本次采购项目所有合同项下的投标均采用国家法定的计量单位。</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6" w:name="_Toc217446045"/>
      <w:r>
        <w:rPr>
          <w:rFonts w:hint="eastAsia" w:asciiTheme="minorEastAsia" w:hAnsiTheme="minorEastAsia" w:eastAsiaTheme="minorEastAsia" w:cstheme="minorEastAsia"/>
          <w:b/>
          <w:bCs/>
          <w:sz w:val="28"/>
          <w:szCs w:val="28"/>
        </w:rPr>
        <w:t>投标货币</w:t>
      </w:r>
      <w:bookmarkEnd w:id="46"/>
    </w:p>
    <w:p>
      <w:pPr>
        <w:tabs>
          <w:tab w:val="left" w:pos="7665"/>
        </w:tabs>
        <w:spacing w:line="360" w:lineRule="auto"/>
        <w:ind w:left="13" w:firstLine="5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本次招标项目的投标均以人民币报价。</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7" w:name="_Toc217446046"/>
      <w:r>
        <w:rPr>
          <w:rFonts w:hint="eastAsia" w:asciiTheme="minorEastAsia" w:hAnsiTheme="minorEastAsia" w:eastAsiaTheme="minorEastAsia" w:cstheme="minorEastAsia"/>
          <w:b/>
          <w:bCs/>
          <w:sz w:val="28"/>
          <w:szCs w:val="28"/>
        </w:rPr>
        <w:t>联合体投标</w:t>
      </w:r>
      <w:bookmarkEnd w:id="47"/>
    </w:p>
    <w:p>
      <w:pPr>
        <w:tabs>
          <w:tab w:val="left" w:pos="1134"/>
        </w:tabs>
        <w:spacing w:line="360" w:lineRule="auto"/>
        <w:ind w:left="54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本次政府采购活动</w:t>
      </w:r>
      <w:r>
        <w:rPr>
          <w:rFonts w:hint="eastAsia" w:asciiTheme="minorEastAsia" w:hAnsiTheme="minorEastAsia" w:eastAsiaTheme="minorEastAsia" w:cstheme="minorEastAsia"/>
          <w:b/>
          <w:sz w:val="28"/>
          <w:szCs w:val="28"/>
        </w:rPr>
        <w:t>不接受</w:t>
      </w:r>
      <w:r>
        <w:rPr>
          <w:rFonts w:hint="eastAsia" w:asciiTheme="minorEastAsia" w:hAnsiTheme="minorEastAsia" w:eastAsiaTheme="minorEastAsia" w:cstheme="minorEastAsia"/>
          <w:sz w:val="28"/>
          <w:szCs w:val="28"/>
        </w:rPr>
        <w:t>联合体投标。</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8" w:name="_Toc217446047"/>
      <w:r>
        <w:rPr>
          <w:rFonts w:hint="eastAsia" w:asciiTheme="minorEastAsia" w:hAnsiTheme="minorEastAsia" w:eastAsiaTheme="minorEastAsia" w:cstheme="minorEastAsia"/>
          <w:b/>
          <w:bCs/>
          <w:sz w:val="28"/>
          <w:szCs w:val="28"/>
        </w:rPr>
        <w:t>知识产权</w:t>
      </w:r>
      <w:bookmarkEnd w:id="48"/>
    </w:p>
    <w:p>
      <w:pPr>
        <w:pStyle w:val="23"/>
        <w:spacing w:line="360" w:lineRule="auto"/>
        <w:ind w:firstLine="560" w:firstLineChars="200"/>
        <w:jc w:val="both"/>
        <w:rPr>
          <w:rFonts w:hint="eastAsia" w:asciiTheme="minorEastAsia" w:hAnsiTheme="minorEastAsia" w:eastAsiaTheme="minorEastAsia" w:cstheme="minorEastAsia"/>
          <w:kern w:val="2"/>
          <w:sz w:val="28"/>
          <w:szCs w:val="28"/>
        </w:rPr>
      </w:pPr>
      <w:r>
        <w:rPr>
          <w:rFonts w:hint="eastAsia" w:asciiTheme="minorEastAsia" w:hAnsiTheme="minorEastAsia" w:eastAsiaTheme="minorEastAsia" w:cstheme="minorEastAsia"/>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三、如采用投标人所不拥有的知识产权，则在投标报价中必须包括合法获取该知识产权的相关费用。</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9" w:name="_Toc183682354"/>
      <w:bookmarkStart w:id="50" w:name="_Toc183582217"/>
      <w:bookmarkStart w:id="51" w:name="_Toc217446048"/>
      <w:r>
        <w:rPr>
          <w:rFonts w:hint="eastAsia" w:asciiTheme="minorEastAsia" w:hAnsiTheme="minorEastAsia" w:eastAsiaTheme="minorEastAsia" w:cstheme="minorEastAsia"/>
          <w:b/>
          <w:bCs/>
          <w:sz w:val="28"/>
          <w:szCs w:val="28"/>
        </w:rPr>
        <w:t>投标文件的组成</w:t>
      </w:r>
      <w:bookmarkEnd w:id="49"/>
      <w:bookmarkEnd w:id="50"/>
      <w:bookmarkEnd w:id="51"/>
    </w:p>
    <w:p>
      <w:pPr>
        <w:spacing w:line="360" w:lineRule="auto"/>
        <w:ind w:firstLine="548" w:firstLineChars="19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5"/>
        <w:ind w:hanging="2410"/>
        <w:rPr>
          <w:rFonts w:hint="eastAsia" w:asciiTheme="minorEastAsia" w:hAnsiTheme="minorEastAsia" w:eastAsiaTheme="minorEastAsia" w:cstheme="minorEastAsia"/>
        </w:rPr>
      </w:pPr>
      <w:r>
        <w:rPr>
          <w:rFonts w:hint="eastAsia" w:asciiTheme="minorEastAsia" w:hAnsiTheme="minorEastAsia" w:eastAsiaTheme="minorEastAsia" w:cstheme="minorEastAsia"/>
        </w:rPr>
        <w:t>资格响应文件</w:t>
      </w:r>
    </w:p>
    <w:p>
      <w:pPr>
        <w:pStyle w:val="24"/>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一、</w:t>
      </w:r>
      <w:r>
        <w:rPr>
          <w:rFonts w:hint="eastAsia" w:asciiTheme="minorEastAsia" w:hAnsiTheme="minorEastAsia" w:eastAsiaTheme="minorEastAsia" w:cstheme="minorEastAsia"/>
          <w:b/>
          <w:bCs/>
          <w:kern w:val="0"/>
          <w:sz w:val="28"/>
          <w:szCs w:val="28"/>
        </w:rPr>
        <w:t>关于投标人申明的函；</w:t>
      </w:r>
    </w:p>
    <w:p>
      <w:pPr>
        <w:pStyle w:val="24"/>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二、</w:t>
      </w:r>
      <w:r>
        <w:rPr>
          <w:rFonts w:hint="eastAsia" w:asciiTheme="minorEastAsia" w:hAnsiTheme="minorEastAsia" w:eastAsiaTheme="minorEastAsia" w:cstheme="minorEastAsia"/>
          <w:b/>
          <w:bCs/>
          <w:kern w:val="0"/>
          <w:sz w:val="28"/>
          <w:szCs w:val="28"/>
        </w:rPr>
        <w:t>声明；</w:t>
      </w:r>
    </w:p>
    <w:p>
      <w:pPr>
        <w:pStyle w:val="24"/>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sz w:val="28"/>
          <w:szCs w:val="28"/>
          <w:lang w:eastAsia="zh-CN"/>
        </w:rPr>
        <w:t>三、</w:t>
      </w:r>
      <w:r>
        <w:rPr>
          <w:rFonts w:hint="eastAsia" w:asciiTheme="minorEastAsia" w:hAnsiTheme="minorEastAsia" w:eastAsiaTheme="minorEastAsia" w:cstheme="minorEastAsia"/>
          <w:b/>
          <w:sz w:val="28"/>
          <w:szCs w:val="28"/>
        </w:rPr>
        <w:t>中小企业声明函（说明：提供了《残疾人福利性单位声明函》或监狱企业证明文件复印件的不需提供）；</w:t>
      </w:r>
    </w:p>
    <w:p>
      <w:pPr>
        <w:pStyle w:val="24"/>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sz w:val="28"/>
          <w:szCs w:val="28"/>
          <w:lang w:eastAsia="zh-CN"/>
        </w:rPr>
        <w:t>四、</w:t>
      </w:r>
      <w:r>
        <w:rPr>
          <w:rFonts w:hint="eastAsia" w:asciiTheme="minorEastAsia" w:hAnsiTheme="minorEastAsia" w:eastAsiaTheme="minorEastAsia" w:cstheme="minorEastAsia"/>
          <w:b/>
          <w:sz w:val="28"/>
          <w:szCs w:val="28"/>
        </w:rPr>
        <w:t>残疾人福利性单位声明函（说明：提供了《中小企业声明函》或监狱企业证明文件复印件的不需提供）；</w:t>
      </w:r>
    </w:p>
    <w:p>
      <w:pPr>
        <w:pStyle w:val="24"/>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84" w:lineRule="auto"/>
        <w:ind w:firstLine="562" w:firstLineChars="200"/>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五、</w:t>
      </w:r>
      <w:r>
        <w:rPr>
          <w:rFonts w:hint="eastAsia" w:asciiTheme="minorEastAsia" w:hAnsiTheme="minorEastAsia" w:eastAsiaTheme="minorEastAsia" w:cstheme="minorEastAsia"/>
          <w:b/>
          <w:bCs/>
          <w:kern w:val="0"/>
          <w:sz w:val="28"/>
          <w:szCs w:val="28"/>
        </w:rPr>
        <w:t>投标人应提交的相关资格证明材料：</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sz w:val="28"/>
          <w:szCs w:val="28"/>
          <w:lang w:eastAsia="zh-CN"/>
        </w:rPr>
        <w:t>（一）</w:t>
      </w:r>
      <w:r>
        <w:rPr>
          <w:rFonts w:hint="eastAsia" w:asciiTheme="minorEastAsia" w:hAnsiTheme="minorEastAsia" w:eastAsiaTheme="minorEastAsia" w:cstheme="minorEastAsia"/>
          <w:b/>
          <w:sz w:val="28"/>
          <w:szCs w:val="28"/>
        </w:rPr>
        <w:t>由省级以上监狱管理局、戒毒管理局（含新疆生产建设兵团）出具的投标人属于监狱企业的证明文件复印件（说明：提供了《中小企业声明函》或《残疾人福利性单位声明函》的不需提供）；</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（二）</w:t>
      </w:r>
      <w:r>
        <w:rPr>
          <w:rFonts w:hint="eastAsia" w:asciiTheme="minorEastAsia" w:hAnsiTheme="minorEastAsia" w:eastAsiaTheme="minorEastAsia" w:cstheme="minorEastAsia"/>
          <w:b/>
          <w:bCs/>
          <w:kern w:val="0"/>
          <w:sz w:val="28"/>
          <w:szCs w:val="28"/>
        </w:rPr>
        <w:t>营业执照复印件（正本或副本）或法人证书复印件（正本或副本）</w:t>
      </w:r>
      <w:r>
        <w:rPr>
          <w:rFonts w:hint="eastAsia" w:asciiTheme="minorEastAsia" w:hAnsiTheme="minorEastAsia" w:eastAsiaTheme="minorEastAsia" w:cstheme="minorEastAsia"/>
          <w:b/>
          <w:sz w:val="28"/>
          <w:szCs w:val="28"/>
        </w:rPr>
        <w:t>或其他能够证明供应商具有独立承担民事责任能力的相关证明材料复印件</w:t>
      </w:r>
      <w:r>
        <w:rPr>
          <w:rFonts w:hint="eastAsia" w:asciiTheme="minorEastAsia" w:hAnsiTheme="minorEastAsia" w:eastAsiaTheme="minorEastAsia" w:cstheme="minorEastAsia"/>
          <w:b/>
          <w:bCs/>
          <w:kern w:val="0"/>
          <w:sz w:val="28"/>
          <w:szCs w:val="28"/>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highlight w:val="none"/>
        </w:rPr>
      </w:pPr>
      <w:r>
        <w:rPr>
          <w:rFonts w:hint="eastAsia" w:asciiTheme="minorEastAsia" w:hAnsiTheme="minorEastAsia" w:eastAsiaTheme="minorEastAsia" w:cstheme="minorEastAsia"/>
          <w:b/>
          <w:bCs/>
          <w:kern w:val="0"/>
          <w:sz w:val="28"/>
          <w:szCs w:val="28"/>
          <w:highlight w:val="none"/>
          <w:lang w:eastAsia="zh-CN"/>
        </w:rPr>
        <w:t>（三）</w:t>
      </w:r>
      <w:r>
        <w:rPr>
          <w:rFonts w:hint="eastAsia" w:asciiTheme="minorEastAsia" w:hAnsiTheme="minorEastAsia" w:eastAsiaTheme="minorEastAsia" w:cstheme="minorEastAsia"/>
          <w:b/>
          <w:bCs/>
          <w:kern w:val="0"/>
          <w:sz w:val="28"/>
          <w:szCs w:val="28"/>
          <w:highlight w:val="none"/>
          <w:lang w:val="en-US" w:eastAsia="zh-CN"/>
        </w:rPr>
        <w:t>2019年或</w:t>
      </w:r>
      <w:r>
        <w:rPr>
          <w:rFonts w:hint="eastAsia" w:asciiTheme="minorEastAsia" w:hAnsiTheme="minorEastAsia" w:eastAsiaTheme="minorEastAsia" w:cstheme="minorEastAsia"/>
          <w:b/>
          <w:bCs/>
          <w:kern w:val="0"/>
          <w:sz w:val="28"/>
          <w:szCs w:val="28"/>
          <w:highlight w:val="none"/>
        </w:rPr>
        <w:t>2020会计年度资产负债表复印件</w:t>
      </w:r>
      <w:r>
        <w:rPr>
          <w:rFonts w:hint="eastAsia" w:asciiTheme="minorEastAsia" w:hAnsiTheme="minorEastAsia" w:eastAsiaTheme="minorEastAsia" w:cstheme="minorEastAsia"/>
          <w:b/>
          <w:bCs/>
          <w:kern w:val="0"/>
          <w:sz w:val="28"/>
          <w:szCs w:val="28"/>
          <w:highlight w:val="none"/>
          <w:lang w:eastAsia="zh-CN"/>
        </w:rPr>
        <w:t>（</w:t>
      </w:r>
      <w:r>
        <w:rPr>
          <w:rFonts w:hint="eastAsia" w:asciiTheme="minorEastAsia" w:hAnsiTheme="minorEastAsia" w:eastAsiaTheme="minorEastAsia" w:cstheme="minorEastAsia"/>
          <w:b/>
          <w:bCs/>
          <w:kern w:val="0"/>
          <w:sz w:val="28"/>
          <w:szCs w:val="28"/>
          <w:highlight w:val="none"/>
        </w:rPr>
        <w:t>说明</w:t>
      </w:r>
      <w:r>
        <w:rPr>
          <w:rFonts w:hint="eastAsia" w:asciiTheme="minorEastAsia" w:hAnsiTheme="minorEastAsia" w:eastAsiaTheme="minorEastAsia" w:cstheme="minorEastAsia"/>
          <w:b/>
          <w:bCs/>
          <w:kern w:val="0"/>
          <w:sz w:val="28"/>
          <w:szCs w:val="28"/>
          <w:highlight w:val="none"/>
          <w:lang w:eastAsia="zh-CN"/>
        </w:rPr>
        <w:t>：</w:t>
      </w:r>
      <w:r>
        <w:rPr>
          <w:rFonts w:hint="eastAsia" w:asciiTheme="minorEastAsia" w:hAnsiTheme="minorEastAsia" w:eastAsiaTheme="minorEastAsia" w:cstheme="minorEastAsia"/>
          <w:b/>
          <w:bCs/>
          <w:kern w:val="0"/>
          <w:sz w:val="28"/>
          <w:szCs w:val="28"/>
          <w:highlight w:val="none"/>
        </w:rPr>
        <w:t>投标人成立时间至递交投标文件截止时间止不足一年的，提供成立后任意时段的资产负债表复印件</w:t>
      </w:r>
      <w:r>
        <w:rPr>
          <w:rFonts w:hint="eastAsia" w:asciiTheme="minorEastAsia" w:hAnsiTheme="minorEastAsia" w:eastAsiaTheme="minorEastAsia" w:cstheme="minorEastAsia"/>
          <w:b/>
          <w:bCs/>
          <w:kern w:val="0"/>
          <w:sz w:val="28"/>
          <w:szCs w:val="28"/>
          <w:highlight w:val="none"/>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（四）</w:t>
      </w:r>
      <w:r>
        <w:rPr>
          <w:rFonts w:hint="eastAsia" w:asciiTheme="minorEastAsia" w:hAnsiTheme="minorEastAsia" w:eastAsiaTheme="minorEastAsia" w:cstheme="minorEastAsia"/>
          <w:b/>
          <w:bCs/>
          <w:kern w:val="0"/>
          <w:sz w:val="28"/>
          <w:szCs w:val="28"/>
        </w:rPr>
        <w:t>采购人对投标人履行合同所必须的设备和专业技术能力无其他特殊要求，投标人</w:t>
      </w:r>
      <w:r>
        <w:rPr>
          <w:rFonts w:hint="eastAsia" w:asciiTheme="minorEastAsia" w:hAnsiTheme="minorEastAsia" w:eastAsiaTheme="minorEastAsia" w:cstheme="minorEastAsia"/>
          <w:b/>
          <w:bCs/>
          <w:kern w:val="0"/>
          <w:sz w:val="28"/>
          <w:szCs w:val="28"/>
          <w:lang w:eastAsia="zh-CN"/>
        </w:rPr>
        <w:t>具有有效的营业执照或法人证书，</w:t>
      </w:r>
      <w:r>
        <w:rPr>
          <w:rFonts w:hint="eastAsia" w:asciiTheme="minorEastAsia" w:hAnsiTheme="minorEastAsia" w:eastAsiaTheme="minorEastAsia" w:cstheme="minorEastAsia"/>
          <w:b/>
          <w:bCs/>
          <w:kern w:val="0"/>
          <w:sz w:val="28"/>
          <w:szCs w:val="28"/>
        </w:rPr>
        <w:t>可不提供</w:t>
      </w:r>
      <w:r>
        <w:rPr>
          <w:rFonts w:hint="eastAsia" w:asciiTheme="minorEastAsia" w:hAnsiTheme="minorEastAsia" w:eastAsiaTheme="minorEastAsia" w:cstheme="minorEastAsia"/>
          <w:b/>
          <w:bCs/>
          <w:kern w:val="0"/>
          <w:sz w:val="28"/>
          <w:szCs w:val="28"/>
          <w:lang w:eastAsia="zh-CN"/>
        </w:rPr>
        <w:t>其他</w:t>
      </w:r>
      <w:r>
        <w:rPr>
          <w:rFonts w:hint="eastAsia" w:asciiTheme="minorEastAsia" w:hAnsiTheme="minorEastAsia" w:eastAsiaTheme="minorEastAsia" w:cstheme="minorEastAsia"/>
          <w:b/>
          <w:bCs/>
          <w:kern w:val="0"/>
          <w:sz w:val="28"/>
          <w:szCs w:val="28"/>
        </w:rPr>
        <w:t>证明材料；</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（五）</w:t>
      </w:r>
      <w:r>
        <w:rPr>
          <w:rFonts w:hint="eastAsia" w:asciiTheme="minorEastAsia" w:hAnsiTheme="minorEastAsia" w:eastAsiaTheme="minorEastAsia" w:cstheme="minorEastAsia"/>
          <w:b/>
          <w:bCs/>
          <w:kern w:val="0"/>
          <w:sz w:val="28"/>
          <w:szCs w:val="28"/>
        </w:rPr>
        <w:t>投标人缴纳</w:t>
      </w:r>
      <w:r>
        <w:rPr>
          <w:rFonts w:hint="eastAsia" w:asciiTheme="minorEastAsia" w:hAnsiTheme="minorEastAsia" w:eastAsiaTheme="minorEastAsia" w:cstheme="minorEastAsia"/>
          <w:b/>
          <w:bCs/>
          <w:kern w:val="0"/>
          <w:sz w:val="28"/>
          <w:szCs w:val="28"/>
          <w:lang w:val="en-US" w:eastAsia="zh-CN"/>
        </w:rPr>
        <w:t>2020或</w:t>
      </w:r>
      <w:r>
        <w:rPr>
          <w:rFonts w:hint="eastAsia" w:asciiTheme="minorEastAsia" w:hAnsiTheme="minorEastAsia" w:eastAsiaTheme="minorEastAsia" w:cstheme="minorEastAsia"/>
          <w:b/>
          <w:bCs/>
          <w:kern w:val="0"/>
          <w:sz w:val="28"/>
          <w:szCs w:val="28"/>
        </w:rPr>
        <w:t>2021年任意时段的</w:t>
      </w:r>
      <w:r>
        <w:rPr>
          <w:rFonts w:hint="eastAsia" w:asciiTheme="minorEastAsia" w:hAnsiTheme="minorEastAsia" w:eastAsiaTheme="minorEastAsia" w:cstheme="minorEastAsia"/>
          <w:b/>
          <w:bCs/>
          <w:kern w:val="0"/>
          <w:sz w:val="28"/>
          <w:szCs w:val="28"/>
          <w:lang w:eastAsia="zh-CN"/>
        </w:rPr>
        <w:t>税收</w:t>
      </w:r>
      <w:r>
        <w:rPr>
          <w:rFonts w:hint="eastAsia" w:asciiTheme="minorEastAsia" w:hAnsiTheme="minorEastAsia" w:eastAsiaTheme="minorEastAsia" w:cstheme="minorEastAsia"/>
          <w:b/>
          <w:bCs/>
          <w:kern w:val="0"/>
          <w:sz w:val="28"/>
          <w:szCs w:val="28"/>
        </w:rPr>
        <w:t>的银行电子回单或者行政部门出具的纳税证明或完税证明复印件</w:t>
      </w:r>
      <w:r>
        <w:rPr>
          <w:rFonts w:hint="eastAsia" w:asciiTheme="minorEastAsia" w:hAnsiTheme="minorEastAsia" w:eastAsiaTheme="minorEastAsia" w:cstheme="minorEastAsia"/>
          <w:b/>
          <w:bCs/>
          <w:kern w:val="0"/>
          <w:sz w:val="28"/>
          <w:szCs w:val="28"/>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（六）</w:t>
      </w:r>
      <w:r>
        <w:rPr>
          <w:rFonts w:hint="eastAsia" w:asciiTheme="minorEastAsia" w:hAnsiTheme="minorEastAsia" w:eastAsiaTheme="minorEastAsia" w:cstheme="minorEastAsia"/>
          <w:b/>
          <w:bCs/>
          <w:kern w:val="0"/>
          <w:sz w:val="28"/>
          <w:szCs w:val="28"/>
        </w:rPr>
        <w:t>投标人缴纳</w:t>
      </w:r>
      <w:r>
        <w:rPr>
          <w:rFonts w:hint="eastAsia" w:asciiTheme="minorEastAsia" w:hAnsiTheme="minorEastAsia" w:eastAsiaTheme="minorEastAsia" w:cstheme="minorEastAsia"/>
          <w:b/>
          <w:bCs/>
          <w:kern w:val="0"/>
          <w:sz w:val="28"/>
          <w:szCs w:val="28"/>
          <w:lang w:val="en-US" w:eastAsia="zh-CN"/>
        </w:rPr>
        <w:t>2020或</w:t>
      </w:r>
      <w:r>
        <w:rPr>
          <w:rFonts w:hint="eastAsia" w:asciiTheme="minorEastAsia" w:hAnsiTheme="minorEastAsia" w:eastAsiaTheme="minorEastAsia" w:cstheme="minorEastAsia"/>
          <w:b/>
          <w:bCs/>
          <w:kern w:val="0"/>
          <w:sz w:val="28"/>
          <w:szCs w:val="28"/>
        </w:rPr>
        <w:t>2021年任意时段的</w:t>
      </w:r>
      <w:r>
        <w:rPr>
          <w:rFonts w:hint="eastAsia" w:asciiTheme="minorEastAsia" w:hAnsiTheme="minorEastAsia" w:eastAsiaTheme="minorEastAsia" w:cstheme="minorEastAsia"/>
          <w:b/>
          <w:bCs/>
          <w:kern w:val="0"/>
          <w:sz w:val="28"/>
          <w:szCs w:val="28"/>
          <w:lang w:eastAsia="zh-CN"/>
        </w:rPr>
        <w:t>社保</w:t>
      </w:r>
      <w:r>
        <w:rPr>
          <w:rFonts w:hint="eastAsia" w:asciiTheme="minorEastAsia" w:hAnsiTheme="minorEastAsia" w:eastAsiaTheme="minorEastAsia" w:cstheme="minorEastAsia"/>
          <w:b/>
          <w:bCs/>
          <w:kern w:val="0"/>
          <w:sz w:val="28"/>
          <w:szCs w:val="28"/>
        </w:rPr>
        <w:t>的银行电子回单或者行政部门出具的</w:t>
      </w:r>
      <w:r>
        <w:rPr>
          <w:rFonts w:hint="eastAsia" w:asciiTheme="minorEastAsia" w:hAnsiTheme="minorEastAsia" w:eastAsiaTheme="minorEastAsia" w:cstheme="minorEastAsia"/>
          <w:b/>
          <w:bCs/>
          <w:kern w:val="0"/>
          <w:sz w:val="28"/>
          <w:szCs w:val="28"/>
          <w:lang w:eastAsia="zh-CN"/>
        </w:rPr>
        <w:t>社保缴纳证明材料</w:t>
      </w:r>
      <w:r>
        <w:rPr>
          <w:rFonts w:hint="eastAsia" w:asciiTheme="minorEastAsia" w:hAnsiTheme="minorEastAsia" w:eastAsiaTheme="minorEastAsia" w:cstheme="minorEastAsia"/>
          <w:b/>
          <w:bCs/>
          <w:kern w:val="0"/>
          <w:sz w:val="28"/>
          <w:szCs w:val="28"/>
        </w:rPr>
        <w:t>复印件</w:t>
      </w:r>
      <w:r>
        <w:rPr>
          <w:rFonts w:hint="eastAsia" w:asciiTheme="minorEastAsia" w:hAnsiTheme="minorEastAsia" w:eastAsiaTheme="minorEastAsia" w:cstheme="minorEastAsia"/>
          <w:b/>
          <w:bCs/>
          <w:kern w:val="0"/>
          <w:sz w:val="28"/>
          <w:szCs w:val="28"/>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（七）</w:t>
      </w:r>
      <w:r>
        <w:rPr>
          <w:rFonts w:hint="eastAsia" w:asciiTheme="minorEastAsia" w:hAnsiTheme="minorEastAsia" w:eastAsiaTheme="minorEastAsia" w:cstheme="minorEastAsia"/>
          <w:b/>
          <w:bCs/>
          <w:kern w:val="0"/>
          <w:sz w:val="28"/>
          <w:szCs w:val="28"/>
        </w:rPr>
        <w:t>采购人对法律、行政法规规定的其他条件无其他特殊要求，投标人</w:t>
      </w:r>
      <w:r>
        <w:rPr>
          <w:rFonts w:hint="eastAsia" w:asciiTheme="minorEastAsia" w:hAnsiTheme="minorEastAsia" w:eastAsiaTheme="minorEastAsia" w:cstheme="minorEastAsia"/>
          <w:b/>
          <w:bCs/>
          <w:kern w:val="0"/>
          <w:sz w:val="28"/>
          <w:szCs w:val="28"/>
          <w:lang w:eastAsia="zh-CN"/>
        </w:rPr>
        <w:t>具有有效的营业执照或法人证书，</w:t>
      </w:r>
      <w:r>
        <w:rPr>
          <w:rFonts w:hint="eastAsia" w:asciiTheme="minorEastAsia" w:hAnsiTheme="minorEastAsia" w:eastAsiaTheme="minorEastAsia" w:cstheme="minorEastAsia"/>
          <w:b/>
          <w:bCs/>
          <w:kern w:val="0"/>
          <w:sz w:val="28"/>
          <w:szCs w:val="28"/>
        </w:rPr>
        <w:t>可不提供</w:t>
      </w:r>
      <w:r>
        <w:rPr>
          <w:rFonts w:hint="eastAsia" w:asciiTheme="minorEastAsia" w:hAnsiTheme="minorEastAsia" w:eastAsiaTheme="minorEastAsia" w:cstheme="minorEastAsia"/>
          <w:b/>
          <w:bCs/>
          <w:kern w:val="0"/>
          <w:sz w:val="28"/>
          <w:szCs w:val="28"/>
          <w:lang w:eastAsia="zh-CN"/>
        </w:rPr>
        <w:t>其他</w:t>
      </w:r>
      <w:r>
        <w:rPr>
          <w:rFonts w:hint="eastAsia" w:asciiTheme="minorEastAsia" w:hAnsiTheme="minorEastAsia" w:eastAsiaTheme="minorEastAsia" w:cstheme="minorEastAsia"/>
          <w:b/>
          <w:bCs/>
          <w:kern w:val="0"/>
          <w:sz w:val="28"/>
          <w:szCs w:val="28"/>
        </w:rPr>
        <w:t>证明材料。</w:t>
      </w:r>
    </w:p>
    <w:p>
      <w:pPr>
        <w:pStyle w:val="5"/>
        <w:pageBreakBefore w:val="0"/>
        <w:widowControl w:val="0"/>
        <w:kinsoku/>
        <w:wordWrap/>
        <w:overflowPunct/>
        <w:topLinePunct w:val="0"/>
        <w:autoSpaceDE/>
        <w:autoSpaceDN/>
        <w:bidi w:val="0"/>
        <w:adjustRightInd/>
        <w:snapToGrid/>
        <w:spacing w:line="384" w:lineRule="auto"/>
        <w:ind w:hanging="241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商务技术响应文件</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一、</w:t>
      </w:r>
      <w:r>
        <w:rPr>
          <w:rFonts w:hint="eastAsia" w:asciiTheme="minorEastAsia" w:hAnsiTheme="minorEastAsia" w:eastAsiaTheme="minorEastAsia" w:cstheme="minorEastAsia"/>
          <w:b/>
          <w:sz w:val="28"/>
          <w:szCs w:val="28"/>
        </w:rPr>
        <w:t>投标函；</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二、</w:t>
      </w:r>
      <w:r>
        <w:rPr>
          <w:rFonts w:hint="eastAsia" w:asciiTheme="minorEastAsia" w:hAnsiTheme="minorEastAsia" w:eastAsiaTheme="minorEastAsia" w:cstheme="minorEastAsia"/>
          <w:b/>
          <w:sz w:val="28"/>
          <w:szCs w:val="28"/>
        </w:rPr>
        <w:t>法定代表人或主要负责人身份证明书（说明：</w:t>
      </w:r>
      <w:r>
        <w:rPr>
          <w:rFonts w:hint="eastAsia" w:asciiTheme="minorEastAsia" w:hAnsiTheme="minorEastAsia" w:eastAsiaTheme="minorEastAsia" w:cstheme="minorEastAsia"/>
          <w:b/>
          <w:sz w:val="28"/>
          <w:szCs w:val="28"/>
          <w:lang w:val="zh-CN"/>
        </w:rPr>
        <w:t>主要负责人为投标人提供的其具有独立承担民事责任能力的证明材料中的主要负责人员</w:t>
      </w:r>
      <w:r>
        <w:rPr>
          <w:rFonts w:hint="eastAsia" w:asciiTheme="minorEastAsia" w:hAnsiTheme="minorEastAsia" w:eastAsiaTheme="minorEastAsia" w:cstheme="minorEastAsia"/>
          <w:b/>
          <w:sz w:val="28"/>
          <w:szCs w:val="28"/>
        </w:rPr>
        <w:t>）。</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三、</w:t>
      </w:r>
      <w:r>
        <w:rPr>
          <w:rFonts w:hint="eastAsia" w:asciiTheme="minorEastAsia" w:hAnsiTheme="minorEastAsia" w:eastAsiaTheme="minorEastAsia" w:cstheme="minorEastAsia"/>
          <w:b/>
          <w:sz w:val="28"/>
          <w:szCs w:val="28"/>
        </w:rPr>
        <w:t>投标人基本情况表；</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kern w:val="0"/>
          <w:sz w:val="28"/>
          <w:szCs w:val="28"/>
          <w:lang w:eastAsia="zh-CN"/>
        </w:rPr>
        <w:t>四、</w:t>
      </w:r>
      <w:r>
        <w:rPr>
          <w:rFonts w:hint="eastAsia" w:asciiTheme="minorEastAsia" w:hAnsiTheme="minorEastAsia" w:eastAsiaTheme="minorEastAsia" w:cstheme="minorEastAsia"/>
          <w:b/>
          <w:kern w:val="0"/>
          <w:sz w:val="28"/>
          <w:szCs w:val="28"/>
        </w:rPr>
        <w:t>服务方案及服务承诺</w:t>
      </w:r>
      <w:r>
        <w:rPr>
          <w:rFonts w:hint="eastAsia" w:asciiTheme="minorEastAsia" w:hAnsiTheme="minorEastAsia" w:eastAsiaTheme="minorEastAsia" w:cstheme="minorEastAsia"/>
          <w:b/>
          <w:sz w:val="28"/>
          <w:szCs w:val="28"/>
        </w:rPr>
        <w:t>；</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五、</w:t>
      </w:r>
      <w:r>
        <w:rPr>
          <w:rFonts w:hint="eastAsia" w:asciiTheme="minorEastAsia" w:hAnsiTheme="minorEastAsia" w:eastAsiaTheme="minorEastAsia" w:cstheme="minorEastAsia"/>
          <w:b/>
          <w:sz w:val="28"/>
          <w:szCs w:val="28"/>
        </w:rPr>
        <w:t>承诺函</w:t>
      </w:r>
      <w:r>
        <w:rPr>
          <w:rFonts w:hint="eastAsia" w:asciiTheme="minorEastAsia" w:hAnsiTheme="minorEastAsia" w:eastAsiaTheme="minorEastAsia" w:cstheme="minorEastAsia"/>
          <w:b/>
          <w:sz w:val="28"/>
          <w:szCs w:val="28"/>
          <w:lang w:eastAsia="zh-CN"/>
        </w:rPr>
        <w:t>。</w:t>
      </w:r>
    </w:p>
    <w:p>
      <w:pPr>
        <w:pStyle w:val="5"/>
        <w:pageBreakBefore w:val="0"/>
        <w:widowControl w:val="0"/>
        <w:kinsoku/>
        <w:wordWrap/>
        <w:overflowPunct/>
        <w:topLinePunct w:val="0"/>
        <w:autoSpaceDE/>
        <w:autoSpaceDN/>
        <w:bidi w:val="0"/>
        <w:adjustRightInd/>
        <w:snapToGrid/>
        <w:spacing w:before="0" w:after="0" w:line="384" w:lineRule="auto"/>
        <w:ind w:left="0" w:firstLine="562"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报价要求响应文件</w:t>
      </w:r>
    </w:p>
    <w:p>
      <w:pPr>
        <w:pageBreakBefore w:val="0"/>
        <w:widowControl w:val="0"/>
        <w:tabs>
          <w:tab w:val="left" w:pos="1134"/>
        </w:tabs>
        <w:kinsoku/>
        <w:wordWrap/>
        <w:overflowPunct/>
        <w:topLinePunct w:val="0"/>
        <w:autoSpaceDE/>
        <w:autoSpaceDN/>
        <w:bidi w:val="0"/>
        <w:adjustRightInd/>
        <w:snapToGrid/>
        <w:spacing w:line="384" w:lineRule="auto"/>
        <w:ind w:left="0" w:firstLine="562" w:firstLineChars="200"/>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一、</w:t>
      </w:r>
      <w:r>
        <w:rPr>
          <w:rFonts w:hint="eastAsia" w:asciiTheme="minorEastAsia" w:hAnsiTheme="minorEastAsia" w:eastAsiaTheme="minorEastAsia" w:cstheme="minorEastAsia"/>
          <w:b/>
          <w:sz w:val="28"/>
          <w:szCs w:val="28"/>
        </w:rPr>
        <w:t>开标一览表</w:t>
      </w:r>
      <w:r>
        <w:rPr>
          <w:rFonts w:hint="eastAsia" w:asciiTheme="minorEastAsia" w:hAnsiTheme="minorEastAsia" w:eastAsiaTheme="minorEastAsia" w:cstheme="minorEastAsia"/>
          <w:b/>
          <w:sz w:val="28"/>
          <w:szCs w:val="28"/>
          <w:lang w:eastAsia="zh-CN"/>
        </w:rPr>
        <w:t>（</w:t>
      </w:r>
      <w:r>
        <w:rPr>
          <w:rFonts w:hint="eastAsia" w:asciiTheme="minorEastAsia" w:hAnsiTheme="minorEastAsia" w:eastAsiaTheme="minorEastAsia" w:cstheme="minorEastAsia"/>
          <w:b/>
          <w:sz w:val="28"/>
          <w:szCs w:val="28"/>
        </w:rPr>
        <w:t>投标报价以投标人在政府采购云平台开标一览表中填写的报价为准</w:t>
      </w:r>
      <w:r>
        <w:rPr>
          <w:rFonts w:hint="eastAsia" w:asciiTheme="minorEastAsia" w:hAnsiTheme="minorEastAsia" w:eastAsiaTheme="minorEastAsia" w:cstheme="minorEastAsia"/>
          <w:b/>
          <w:sz w:val="28"/>
          <w:szCs w:val="28"/>
          <w:lang w:eastAsia="zh-CN"/>
        </w:rPr>
        <w:t>）</w:t>
      </w:r>
      <w:r>
        <w:rPr>
          <w:rFonts w:hint="eastAsia" w:asciiTheme="minorEastAsia" w:hAnsiTheme="minorEastAsia" w:eastAsiaTheme="minorEastAsia" w:cstheme="minorEastAsia"/>
          <w:b/>
          <w:sz w:val="28"/>
          <w:szCs w:val="28"/>
        </w:rPr>
        <w:t>；</w:t>
      </w:r>
    </w:p>
    <w:p>
      <w:pPr>
        <w:pageBreakBefore w:val="0"/>
        <w:widowControl w:val="0"/>
        <w:numPr>
          <w:ilvl w:val="0"/>
          <w:numId w:val="0"/>
        </w:numPr>
        <w:tabs>
          <w:tab w:val="left" w:pos="1134"/>
        </w:tabs>
        <w:kinsoku/>
        <w:wordWrap/>
        <w:overflowPunct/>
        <w:topLinePunct w:val="0"/>
        <w:autoSpaceDE/>
        <w:autoSpaceDN/>
        <w:bidi w:val="0"/>
        <w:adjustRightInd/>
        <w:snapToGrid/>
        <w:spacing w:line="384" w:lineRule="auto"/>
        <w:ind w:left="0" w:leftChars="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二、</w:t>
      </w:r>
      <w:r>
        <w:rPr>
          <w:rFonts w:hint="eastAsia" w:asciiTheme="minorEastAsia" w:hAnsiTheme="minorEastAsia" w:eastAsiaTheme="minorEastAsia" w:cstheme="minorEastAsia"/>
          <w:b/>
          <w:sz w:val="28"/>
          <w:szCs w:val="28"/>
        </w:rPr>
        <w:t>分项报价明细表。</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52" w:name="_Toc316292020"/>
      <w:bookmarkEnd w:id="52"/>
      <w:bookmarkStart w:id="53" w:name="_Toc316291396"/>
      <w:bookmarkEnd w:id="53"/>
      <w:bookmarkStart w:id="54" w:name="_Toc316291395"/>
      <w:bookmarkEnd w:id="54"/>
      <w:bookmarkStart w:id="55" w:name="_Toc316292019"/>
      <w:bookmarkEnd w:id="55"/>
      <w:bookmarkStart w:id="56" w:name="_Toc217446049"/>
      <w:bookmarkStart w:id="57" w:name="_Toc183682355"/>
      <w:bookmarkStart w:id="58" w:name="_Toc183582218"/>
      <w:r>
        <w:rPr>
          <w:rFonts w:hint="eastAsia" w:asciiTheme="minorEastAsia" w:hAnsiTheme="minorEastAsia" w:eastAsiaTheme="minorEastAsia" w:cstheme="minorEastAsia"/>
          <w:b/>
          <w:bCs/>
          <w:sz w:val="28"/>
          <w:szCs w:val="28"/>
        </w:rPr>
        <w:t>投标文件格式</w:t>
      </w:r>
      <w:bookmarkEnd w:id="56"/>
      <w:bookmarkEnd w:id="57"/>
      <w:bookmarkEnd w:id="58"/>
      <w:r>
        <w:rPr>
          <w:rFonts w:hint="eastAsia" w:asciiTheme="minorEastAsia" w:hAnsiTheme="minorEastAsia" w:eastAsiaTheme="minorEastAsia" w:cstheme="minorEastAsia"/>
          <w:b/>
          <w:bCs/>
          <w:sz w:val="28"/>
          <w:szCs w:val="28"/>
        </w:rPr>
        <w:tab/>
      </w:r>
    </w:p>
    <w:p>
      <w:pPr>
        <w:numPr>
          <w:ilvl w:val="0"/>
          <w:numId w:val="11"/>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投标人应按照招标文件第3章中提供的“投标文件格式”填写相关内容。</w:t>
      </w:r>
    </w:p>
    <w:p>
      <w:pPr>
        <w:numPr>
          <w:ilvl w:val="0"/>
          <w:numId w:val="11"/>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对于没有格式要求的投标文件由投标人自行编写。</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投标报价</w:t>
      </w:r>
    </w:p>
    <w:p>
      <w:pPr>
        <w:numPr>
          <w:ilvl w:val="0"/>
          <w:numId w:val="12"/>
        </w:numPr>
        <w:tabs>
          <w:tab w:val="left" w:pos="1134"/>
        </w:tabs>
        <w:spacing w:line="360" w:lineRule="auto"/>
        <w:ind w:left="0"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投标人的报价是投标人响应招标项目要求的全部工作内容的价格体现，包括投标人完成本项目所需的一切费用。</w:t>
      </w:r>
    </w:p>
    <w:p>
      <w:pPr>
        <w:numPr>
          <w:ilvl w:val="0"/>
          <w:numId w:val="12"/>
        </w:numPr>
        <w:tabs>
          <w:tab w:val="left" w:pos="1134"/>
        </w:tabs>
        <w:spacing w:line="360" w:lineRule="auto"/>
        <w:ind w:left="0"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rPr>
        <w:t>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hint="eastAsia" w:asciiTheme="minorEastAsia" w:hAnsiTheme="minorEastAsia" w:eastAsiaTheme="minorEastAsia" w:cstheme="minorEastAsia"/>
          <w:sz w:val="28"/>
          <w:szCs w:val="28"/>
        </w:rPr>
      </w:pPr>
      <w:bookmarkStart w:id="59" w:name="_Toc217446050"/>
      <w:bookmarkStart w:id="60" w:name="_Toc183682360"/>
      <w:bookmarkStart w:id="61" w:name="_Toc183582223"/>
      <w:r>
        <w:rPr>
          <w:rFonts w:hint="eastAsia" w:asciiTheme="minorEastAsia" w:hAnsiTheme="minorEastAsia" w:eastAsiaTheme="minorEastAsia" w:cstheme="minorEastAsia"/>
          <w:sz w:val="28"/>
          <w:szCs w:val="28"/>
        </w:rPr>
        <w:t>三、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同时出现两种以上不一致的，按照前款规定的顺序修正。修正后的报价经投标人以书面形式通过政府采购云平台进行确认，并加盖投标人（法定名称）电子签章，投标人逾时确认的，其投标无效。如因断电、断网、系统故障或其他不可抗力等因素，导致系统无法使用的，由投标人按评标委员会的要求进行澄清或者说明。</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投标保证金</w:t>
      </w:r>
      <w:bookmarkEnd w:id="59"/>
      <w:bookmarkEnd w:id="60"/>
      <w:bookmarkEnd w:id="61"/>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本项目不收取投标保证金。</w:t>
      </w:r>
    </w:p>
    <w:p>
      <w:pPr>
        <w:keepNext/>
        <w:keepLines/>
        <w:numPr>
          <w:ilvl w:val="2"/>
          <w:numId w:val="3"/>
        </w:numPr>
        <w:tabs>
          <w:tab w:val="left" w:pos="851"/>
        </w:tabs>
        <w:spacing w:line="360" w:lineRule="auto"/>
        <w:ind w:left="0" w:firstLine="0"/>
        <w:outlineLvl w:val="2"/>
        <w:rPr>
          <w:rFonts w:hint="eastAsia" w:asciiTheme="minorEastAsia" w:hAnsiTheme="minorEastAsia" w:eastAsiaTheme="minorEastAsia" w:cstheme="minorEastAsia"/>
          <w:b/>
          <w:bCs/>
          <w:sz w:val="28"/>
          <w:szCs w:val="28"/>
        </w:rPr>
      </w:pPr>
      <w:bookmarkStart w:id="62" w:name="_Toc316291400"/>
      <w:bookmarkEnd w:id="62"/>
      <w:bookmarkStart w:id="63" w:name="_Toc316292024"/>
      <w:bookmarkEnd w:id="63"/>
      <w:bookmarkStart w:id="64" w:name="_Toc183582224"/>
      <w:bookmarkStart w:id="65" w:name="_Toc217446051"/>
      <w:bookmarkStart w:id="66" w:name="_Toc183682361"/>
      <w:r>
        <w:rPr>
          <w:rFonts w:hint="eastAsia" w:asciiTheme="minorEastAsia" w:hAnsiTheme="minorEastAsia" w:eastAsiaTheme="minorEastAsia" w:cstheme="minorEastAsia"/>
          <w:b/>
          <w:bCs/>
          <w:sz w:val="28"/>
          <w:szCs w:val="28"/>
        </w:rPr>
        <w:t>投标有效期</w:t>
      </w:r>
      <w:bookmarkEnd w:id="64"/>
      <w:bookmarkEnd w:id="65"/>
      <w:bookmarkEnd w:id="66"/>
    </w:p>
    <w:p>
      <w:pPr>
        <w:numPr>
          <w:ilvl w:val="0"/>
          <w:numId w:val="13"/>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投标有效期为提交投标文件的截止之日起</w:t>
      </w:r>
      <w:r>
        <w:rPr>
          <w:rFonts w:hint="eastAsia" w:asciiTheme="minorEastAsia" w:hAnsiTheme="minorEastAsia" w:eastAsiaTheme="minorEastAsia" w:cstheme="minorEastAsia"/>
          <w:sz w:val="28"/>
          <w:szCs w:val="28"/>
          <w:u w:val="single"/>
        </w:rPr>
        <w:t>120</w:t>
      </w:r>
      <w:r>
        <w:rPr>
          <w:rFonts w:hint="eastAsia" w:asciiTheme="minorEastAsia" w:hAnsiTheme="minorEastAsia" w:eastAsiaTheme="minorEastAsia" w:cstheme="minorEastAsia"/>
          <w:sz w:val="28"/>
          <w:szCs w:val="28"/>
        </w:rPr>
        <w:t>天。投标有效期短于此规定期限的或不作响应的，则其投标文件将按无效投标文件处理。</w:t>
      </w:r>
    </w:p>
    <w:p>
      <w:pPr>
        <w:numPr>
          <w:ilvl w:val="0"/>
          <w:numId w:val="13"/>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4"/>
        <w:numPr>
          <w:ilvl w:val="2"/>
          <w:numId w:val="3"/>
        </w:numPr>
        <w:tabs>
          <w:tab w:val="left" w:pos="851"/>
        </w:tabs>
        <w:spacing w:after="200" w:line="240" w:lineRule="auto"/>
        <w:ind w:left="0" w:firstLine="0"/>
        <w:rPr>
          <w:rFonts w:hint="eastAsia" w:asciiTheme="minorEastAsia" w:hAnsiTheme="minorEastAsia" w:eastAsiaTheme="minorEastAsia" w:cstheme="minorEastAsia"/>
          <w:color w:val="auto"/>
        </w:rPr>
      </w:pPr>
      <w:bookmarkStart w:id="67" w:name="_Toc217446054"/>
      <w:bookmarkStart w:id="68" w:name="_Toc183582227"/>
      <w:bookmarkStart w:id="69" w:name="_Toc183682364"/>
      <w:r>
        <w:rPr>
          <w:rFonts w:hint="eastAsia" w:asciiTheme="minorEastAsia" w:hAnsiTheme="minorEastAsia" w:eastAsiaTheme="minorEastAsia" w:cstheme="minorEastAsia"/>
          <w:color w:val="auto"/>
        </w:rPr>
        <w:t>投标文件的制作和签章、加密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二、投标文件制作详情：</w:t>
      </w:r>
    </w:p>
    <w:p>
      <w:pPr>
        <w:keepNext w:val="0"/>
        <w:keepLines w:val="0"/>
        <w:pageBreakBefore w:val="0"/>
        <w:widowControl w:val="0"/>
        <w:kinsoku/>
        <w:wordWrap w:val="0"/>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投标人应按招标文件要求，通过“政采云投标客户端”制作、加密并提交投标文件。</w:t>
      </w:r>
    </w:p>
    <w:p>
      <w:pPr>
        <w:spacing w:line="360" w:lineRule="auto"/>
        <w:ind w:firstLine="562"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3、投标人应使用本企业CA数字证书对投标文件进行加密。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6、政府采购云平台所支持的CA证书及签章：四川CA及金格签章，天威CA（金润版）及金润签章，CFCA及金格签章。</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8、CA技术支持：四川CA：400-0281130；天威CA： 028-86694886、1592864708；CFCA：028-65785326、18033549468。</w:t>
      </w:r>
    </w:p>
    <w:p>
      <w:pPr>
        <w:pStyle w:val="4"/>
        <w:numPr>
          <w:ilvl w:val="2"/>
          <w:numId w:val="3"/>
        </w:numPr>
        <w:spacing w:after="200" w:line="240" w:lineRule="auto"/>
        <w:ind w:left="0" w:firstLine="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投标文件的</w:t>
      </w:r>
      <w:bookmarkEnd w:id="67"/>
      <w:bookmarkEnd w:id="68"/>
      <w:bookmarkEnd w:id="69"/>
      <w:r>
        <w:rPr>
          <w:rFonts w:hint="eastAsia" w:asciiTheme="minorEastAsia" w:hAnsiTheme="minorEastAsia" w:eastAsiaTheme="minorEastAsia" w:cstheme="minorEastAsia"/>
          <w:color w:val="auto"/>
        </w:rPr>
        <w:t>提交</w:t>
      </w:r>
    </w:p>
    <w:p>
      <w:pPr>
        <w:tabs>
          <w:tab w:val="left" w:pos="0"/>
        </w:tabs>
        <w:spacing w:line="360" w:lineRule="auto"/>
        <w:ind w:firstLine="420" w:firstLineChars="150"/>
        <w:rPr>
          <w:rFonts w:hint="eastAsia" w:asciiTheme="minorEastAsia" w:hAnsiTheme="minorEastAsia" w:eastAsiaTheme="minorEastAsia" w:cstheme="minorEastAsia"/>
          <w:bCs/>
          <w:sz w:val="28"/>
          <w:szCs w:val="28"/>
        </w:rPr>
      </w:pPr>
      <w:bookmarkStart w:id="70" w:name="_Toc316475587"/>
      <w:bookmarkEnd w:id="70"/>
      <w:bookmarkStart w:id="71" w:name="_Toc316475586"/>
      <w:bookmarkEnd w:id="71"/>
      <w:bookmarkStart w:id="72" w:name="_Toc217446055"/>
      <w:bookmarkStart w:id="73" w:name="_Toc183682365"/>
      <w:bookmarkStart w:id="74" w:name="_Toc183582228"/>
      <w:r>
        <w:rPr>
          <w:rFonts w:hint="eastAsia" w:asciiTheme="minorEastAsia" w:hAnsiTheme="minorEastAsia" w:eastAsiaTheme="minorEastAsia" w:cstheme="minorEastAsia"/>
          <w:bCs/>
          <w:sz w:val="28"/>
          <w:szCs w:val="28"/>
        </w:rPr>
        <w:t>一、投标人应当在投标文件提交截止时间前，将生成的已加密的电子投标文件成功提交至“政府采购云平台”。</w:t>
      </w:r>
    </w:p>
    <w:p>
      <w:pPr>
        <w:tabs>
          <w:tab w:val="left" w:pos="0"/>
        </w:tabs>
        <w:spacing w:line="360" w:lineRule="auto"/>
        <w:ind w:firstLine="420" w:firstLineChars="15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二、因招标文件的修改推迟投标截止日期的，投标人按</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bCs/>
          <w:sz w:val="28"/>
          <w:szCs w:val="28"/>
        </w:rPr>
        <w:t>在“四川政府采购网”和“成都市公共资源交易服务中心”网站上发布的澄清公告中修改的时间提交投标文件。</w:t>
      </w:r>
    </w:p>
    <w:p>
      <w:pPr>
        <w:tabs>
          <w:tab w:val="left" w:pos="0"/>
        </w:tabs>
        <w:spacing w:line="360" w:lineRule="auto"/>
        <w:ind w:firstLine="420" w:firstLineChars="15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三、投标人应充分考虑提交文件的不可预见因素，未在投标截止时间前完成提交的，在投标截止时间后将无法提交。</w:t>
      </w:r>
    </w:p>
    <w:p>
      <w:pPr>
        <w:pStyle w:val="4"/>
        <w:numPr>
          <w:ilvl w:val="2"/>
          <w:numId w:val="3"/>
        </w:numPr>
        <w:spacing w:after="200" w:line="276" w:lineRule="auto"/>
        <w:ind w:left="0" w:firstLine="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投标文件的</w:t>
      </w:r>
      <w:bookmarkEnd w:id="72"/>
      <w:bookmarkEnd w:id="73"/>
      <w:bookmarkEnd w:id="74"/>
      <w:r>
        <w:rPr>
          <w:rFonts w:hint="eastAsia" w:asciiTheme="minorEastAsia" w:hAnsiTheme="minorEastAsia" w:eastAsiaTheme="minorEastAsia" w:cstheme="minorEastAsia"/>
          <w:color w:val="auto"/>
        </w:rPr>
        <w:t>补充、修改</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二、</w:t>
      </w:r>
      <w:r>
        <w:rPr>
          <w:rFonts w:hint="eastAsia" w:asciiTheme="minorEastAsia" w:hAnsiTheme="minorEastAsia" w:eastAsiaTheme="minorEastAsia" w:cstheme="minorEastAsia"/>
          <w:sz w:val="28"/>
          <w:szCs w:val="28"/>
        </w:rPr>
        <w:t>在投标截止时间之后，投标人不得对其提交的投标文件做任何补充、修改。</w:t>
      </w:r>
    </w:p>
    <w:p>
      <w:pPr>
        <w:pStyle w:val="4"/>
        <w:numPr>
          <w:ilvl w:val="2"/>
          <w:numId w:val="3"/>
        </w:numPr>
        <w:spacing w:after="200" w:line="276" w:lineRule="auto"/>
        <w:ind w:left="0" w:firstLine="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投标文件的撤回</w:t>
      </w:r>
    </w:p>
    <w:p>
      <w:pPr>
        <w:spacing w:before="120" w:after="200" w:line="360" w:lineRule="auto"/>
        <w:ind w:firstLine="565" w:firstLineChars="202"/>
        <w:rPr>
          <w:rFonts w:hint="eastAsia" w:asciiTheme="minorEastAsia" w:hAnsiTheme="minorEastAsia" w:eastAsiaTheme="minorEastAsia" w:cstheme="minorEastAsia"/>
          <w:bCs/>
          <w:sz w:val="28"/>
          <w:szCs w:val="28"/>
        </w:rPr>
      </w:pPr>
      <w:bookmarkStart w:id="75" w:name="_Toc217446056"/>
      <w:bookmarkStart w:id="76" w:name="_Toc89075878"/>
      <w:bookmarkStart w:id="77" w:name="_Toc183582231"/>
      <w:bookmarkStart w:id="78" w:name="_Toc77400782"/>
      <w:bookmarkStart w:id="79" w:name="_Toc183682368"/>
      <w:r>
        <w:rPr>
          <w:rFonts w:hint="eastAsia" w:asciiTheme="minorEastAsia" w:hAnsiTheme="minorEastAsia" w:eastAsiaTheme="minorEastAsia" w:cstheme="minorEastAsia"/>
          <w:bCs/>
          <w:sz w:val="28"/>
          <w:szCs w:val="28"/>
        </w:rPr>
        <w:t>在投标截止时间之前，投标人可对已提交的投标文件进行撤回。在投标截止时间之后，投标人不得撤回投标文件。</w:t>
      </w:r>
    </w:p>
    <w:p>
      <w:pPr>
        <w:pStyle w:val="4"/>
        <w:numPr>
          <w:ilvl w:val="2"/>
          <w:numId w:val="3"/>
        </w:numPr>
        <w:spacing w:after="200" w:line="276" w:lineRule="auto"/>
        <w:ind w:left="0" w:firstLine="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投标文件的解密</w:t>
      </w:r>
    </w:p>
    <w:p>
      <w:pPr>
        <w:tabs>
          <w:tab w:val="left" w:pos="1134"/>
        </w:tabs>
        <w:spacing w:before="120" w:line="360" w:lineRule="auto"/>
        <w:ind w:firstLine="565" w:firstLineChars="202"/>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投标人</w:t>
      </w:r>
      <w:r>
        <w:rPr>
          <w:rFonts w:hint="eastAsia" w:asciiTheme="minorEastAsia" w:hAnsiTheme="minorEastAsia" w:eastAsiaTheme="minorEastAsia" w:cstheme="minorEastAsia"/>
          <w:sz w:val="28"/>
          <w:szCs w:val="28"/>
        </w:rPr>
        <w:t>登录政府采购云平台，点击“项目采购—开标评标”模块，找到对应项目，进入“开标大厅”，等待</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开启解密后，进行线上解密。</w:t>
      </w:r>
      <w:r>
        <w:rPr>
          <w:rFonts w:hint="eastAsia" w:asciiTheme="minorEastAsia" w:hAnsiTheme="minorEastAsia" w:eastAsiaTheme="minorEastAsia" w:cstheme="minorEastAsia"/>
          <w:bCs/>
          <w:sz w:val="28"/>
          <w:szCs w:val="28"/>
        </w:rPr>
        <w:t>除因</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bCs/>
          <w:sz w:val="28"/>
          <w:szCs w:val="28"/>
        </w:rPr>
        <w:t>断电、断网、系统故障或其他不可抗力等因素，导致系统无法使用外，投标人在规定的解密时间内，未成功解密的投标文件将视为无效投标文件。</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80" w:name="_Toc25772"/>
      <w:r>
        <w:rPr>
          <w:rFonts w:hint="eastAsia" w:asciiTheme="minorEastAsia" w:hAnsiTheme="minorEastAsia" w:eastAsiaTheme="minorEastAsia" w:cstheme="minorEastAsia"/>
          <w:b/>
          <w:bCs/>
          <w:sz w:val="28"/>
          <w:szCs w:val="28"/>
        </w:rPr>
        <w:t>开标、资格审查、评标和中标</w:t>
      </w:r>
      <w:bookmarkEnd w:id="75"/>
      <w:bookmarkEnd w:id="76"/>
      <w:bookmarkEnd w:id="77"/>
      <w:bookmarkEnd w:id="78"/>
      <w:bookmarkEnd w:id="79"/>
      <w:bookmarkEnd w:id="80"/>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81" w:name="_Toc183682369"/>
      <w:bookmarkStart w:id="82" w:name="_Toc217446057"/>
      <w:bookmarkStart w:id="83" w:name="_Toc183582232"/>
      <w:r>
        <w:rPr>
          <w:rFonts w:hint="eastAsia" w:asciiTheme="minorEastAsia" w:hAnsiTheme="minorEastAsia" w:eastAsiaTheme="minorEastAsia" w:cstheme="minorEastAsia"/>
          <w:b/>
          <w:bCs/>
          <w:sz w:val="28"/>
          <w:szCs w:val="28"/>
        </w:rPr>
        <w:t>开标</w:t>
      </w:r>
      <w:bookmarkEnd w:id="81"/>
      <w:bookmarkEnd w:id="82"/>
      <w:bookmarkEnd w:id="83"/>
      <w:r>
        <w:rPr>
          <w:rFonts w:hint="eastAsia" w:asciiTheme="minorEastAsia" w:hAnsiTheme="minorEastAsia" w:eastAsiaTheme="minorEastAsia" w:cstheme="minorEastAsia"/>
          <w:b/>
          <w:bCs/>
          <w:sz w:val="28"/>
          <w:szCs w:val="28"/>
        </w:rPr>
        <w:t>及开标程序</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本项目为不见面开标项目。提交电子投标文件的投标人不足3家的，不予开标。</w:t>
      </w:r>
    </w:p>
    <w:p>
      <w:pPr>
        <w:pStyle w:val="25"/>
        <w:numPr>
          <w:ilvl w:val="0"/>
          <w:numId w:val="14"/>
        </w:numPr>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解密投标文件。</w:t>
      </w:r>
      <w:r>
        <w:rPr>
          <w:rFonts w:hint="eastAsia" w:asciiTheme="minorEastAsia" w:hAnsiTheme="minorEastAsia" w:eastAsiaTheme="minorEastAsia" w:cstheme="minorEastAsia"/>
          <w:b/>
          <w:bCs w:val="0"/>
          <w:sz w:val="28"/>
          <w:szCs w:val="28"/>
        </w:rPr>
        <w:t>等待</w:t>
      </w:r>
      <w:r>
        <w:rPr>
          <w:rFonts w:hint="eastAsia" w:asciiTheme="minorEastAsia" w:hAnsiTheme="minorEastAsia" w:eastAsiaTheme="minorEastAsia" w:cstheme="minorEastAsia"/>
          <w:b/>
          <w:bCs w:val="0"/>
          <w:sz w:val="28"/>
          <w:szCs w:val="28"/>
          <w:u w:val="none"/>
        </w:rPr>
        <w:t>成都东部新区党工委管委会（成都市东部新城办）综合部</w:t>
      </w:r>
      <w:r>
        <w:rPr>
          <w:rFonts w:hint="eastAsia" w:asciiTheme="minorEastAsia" w:hAnsiTheme="minorEastAsia" w:eastAsiaTheme="minorEastAsia" w:cstheme="minorEastAsia"/>
          <w:b/>
          <w:bCs w:val="0"/>
          <w:sz w:val="28"/>
          <w:szCs w:val="28"/>
        </w:rPr>
        <w:t>开启解密后</w:t>
      </w:r>
      <w:r>
        <w:rPr>
          <w:rFonts w:hint="eastAsia" w:asciiTheme="minorEastAsia" w:hAnsiTheme="minorEastAsia" w:eastAsiaTheme="minorEastAsia" w:cstheme="minorEastAsia"/>
          <w:b/>
          <w:sz w:val="28"/>
          <w:szCs w:val="28"/>
        </w:rPr>
        <w:t>，投标人进行线上解密。开启解密后，投标人应在60分钟内，使用加密该投标文件的CA数字证书在线完成投标文件的解密。除因</w:t>
      </w:r>
      <w:r>
        <w:rPr>
          <w:rFonts w:hint="eastAsia" w:asciiTheme="minorEastAsia" w:hAnsiTheme="minorEastAsia" w:eastAsiaTheme="minorEastAsia" w:cstheme="minorEastAsia"/>
          <w:b/>
          <w:bCs/>
          <w:sz w:val="28"/>
          <w:szCs w:val="28"/>
          <w:u w:val="none"/>
        </w:rPr>
        <w:t>成都东部新区党工委管委会（成都市东部新城办）综合部</w:t>
      </w:r>
      <w:r>
        <w:rPr>
          <w:rFonts w:hint="eastAsia" w:asciiTheme="minorEastAsia" w:hAnsiTheme="minorEastAsia" w:eastAsiaTheme="minorEastAsia" w:cstheme="minorEastAsia"/>
          <w:b/>
          <w:bCs/>
          <w:sz w:val="28"/>
          <w:szCs w:val="28"/>
        </w:rPr>
        <w:t>断电、断网、</w:t>
      </w:r>
      <w:r>
        <w:rPr>
          <w:rFonts w:hint="eastAsia" w:asciiTheme="minorEastAsia" w:hAnsiTheme="minorEastAsia" w:eastAsiaTheme="minorEastAsia" w:cstheme="minorEastAsia"/>
          <w:b/>
          <w:sz w:val="28"/>
          <w:szCs w:val="28"/>
        </w:rPr>
        <w:t>系统故障或其他不可抗力等因素，导致系统无法使用外，投标人在规定的解密时间内，未成功解密的投标文件将视为无效投标文件。</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25"/>
        <w:numPr>
          <w:ilvl w:val="0"/>
          <w:numId w:val="14"/>
        </w:numPr>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bCs w:val="0"/>
          <w:sz w:val="28"/>
          <w:szCs w:val="28"/>
        </w:rPr>
        <w:t>投标人对开标过程和开标记录有疑义，以及认为采购人、成都东部新区党工委管委会（成都市东部新城办）综合</w:t>
      </w:r>
      <w:r>
        <w:rPr>
          <w:rFonts w:hint="eastAsia" w:asciiTheme="minorEastAsia" w:hAnsiTheme="minorEastAsia" w:eastAsiaTheme="minorEastAsia" w:cstheme="minorEastAsia"/>
          <w:b/>
          <w:bCs/>
          <w:sz w:val="28"/>
          <w:szCs w:val="28"/>
        </w:rPr>
        <w:t>部</w:t>
      </w:r>
      <w:r>
        <w:rPr>
          <w:rFonts w:hint="eastAsia" w:asciiTheme="minorEastAsia" w:hAnsiTheme="minorEastAsia" w:eastAsiaTheme="minorEastAsia" w:cstheme="minorEastAsia"/>
          <w:b/>
          <w:sz w:val="28"/>
          <w:szCs w:val="28"/>
        </w:rPr>
        <w:t>相关工作人员有需要回避的情形的，及时向工作人员提出询问或者回避申请。</w:t>
      </w:r>
      <w:r>
        <w:rPr>
          <w:rFonts w:hint="eastAsia" w:asciiTheme="minorEastAsia" w:hAnsiTheme="minorEastAsia" w:eastAsiaTheme="minorEastAsia" w:cstheme="minorEastAsia"/>
          <w:b/>
          <w:bCs w:val="0"/>
          <w:sz w:val="28"/>
          <w:szCs w:val="28"/>
        </w:rPr>
        <w:t>采购人、</w:t>
      </w:r>
      <w:r>
        <w:rPr>
          <w:rFonts w:hint="eastAsia" w:asciiTheme="minorEastAsia" w:hAnsiTheme="minorEastAsia" w:eastAsiaTheme="minorEastAsia" w:cstheme="minorEastAsia"/>
          <w:b/>
          <w:bCs w:val="0"/>
          <w:sz w:val="28"/>
          <w:szCs w:val="28"/>
          <w:u w:val="none"/>
        </w:rPr>
        <w:t>成都东部新区党工委管委会（成都市东部新城办）综合部</w:t>
      </w:r>
      <w:r>
        <w:rPr>
          <w:rFonts w:hint="eastAsia" w:asciiTheme="minorEastAsia" w:hAnsiTheme="minorEastAsia" w:eastAsiaTheme="minorEastAsia" w:cstheme="minorEastAsia"/>
          <w:b/>
          <w:bCs w:val="0"/>
          <w:sz w:val="28"/>
          <w:szCs w:val="28"/>
        </w:rPr>
        <w:t>对投标</w:t>
      </w:r>
      <w:r>
        <w:rPr>
          <w:rFonts w:hint="eastAsia" w:asciiTheme="minorEastAsia" w:hAnsiTheme="minorEastAsia" w:eastAsiaTheme="minorEastAsia" w:cstheme="minorEastAsia"/>
          <w:b/>
          <w:sz w:val="28"/>
          <w:szCs w:val="28"/>
        </w:rPr>
        <w:t>人提出的询问或者回避申请应当及时处理。</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政府采购云平台运行基本环境要求：电脑应安装并顺利运行64位win7以上操作系统，谷歌浏览器；正确的CA及签章驱动等；能流畅访问互联网。</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bCs w:val="0"/>
          <w:sz w:val="28"/>
          <w:szCs w:val="28"/>
        </w:rPr>
        <w:t>因</w:t>
      </w:r>
      <w:r>
        <w:rPr>
          <w:rFonts w:hint="eastAsia" w:asciiTheme="minorEastAsia" w:hAnsiTheme="minorEastAsia" w:eastAsiaTheme="minorEastAsia" w:cstheme="minorEastAsia"/>
          <w:b/>
          <w:bCs w:val="0"/>
          <w:sz w:val="28"/>
          <w:szCs w:val="28"/>
          <w:highlight w:val="none"/>
          <w:u w:val="none"/>
        </w:rPr>
        <w:t>成都东部新区党工委管委会（成都市东部新城办）综合部</w:t>
      </w:r>
      <w:r>
        <w:rPr>
          <w:rFonts w:hint="eastAsia" w:asciiTheme="minorEastAsia" w:hAnsiTheme="minorEastAsia" w:eastAsiaTheme="minorEastAsia" w:cstheme="minorEastAsia"/>
          <w:b/>
          <w:bCs w:val="0"/>
          <w:sz w:val="28"/>
          <w:szCs w:val="28"/>
          <w:highlight w:val="none"/>
        </w:rPr>
        <w:t>断电、断网</w:t>
      </w:r>
      <w:r>
        <w:rPr>
          <w:rFonts w:hint="eastAsia" w:asciiTheme="minorEastAsia" w:hAnsiTheme="minorEastAsia" w:eastAsiaTheme="minorEastAsia" w:cstheme="minorEastAsia"/>
          <w:b/>
          <w:sz w:val="28"/>
          <w:szCs w:val="28"/>
          <w:highlight w:val="none"/>
        </w:rPr>
        <w:t>、</w:t>
      </w:r>
      <w:r>
        <w:rPr>
          <w:rFonts w:hint="eastAsia" w:asciiTheme="minorEastAsia" w:hAnsiTheme="minorEastAsia" w:eastAsiaTheme="minorEastAsia" w:cstheme="minorEastAsia"/>
          <w:b/>
          <w:sz w:val="28"/>
          <w:szCs w:val="28"/>
        </w:rPr>
        <w:t>系统故障或其他不可抗力等因素导致不见面开标系统无法正常运行的，开标活动中止或延迟，待系统恢复正常后继续进行开标活动。</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不见面开标过程中，各方主体均应遵守互联网有关规定，不得发表与交易活动无关的言论。</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资格审查</w:t>
      </w:r>
    </w:p>
    <w:p>
      <w:pPr>
        <w:spacing w:line="360" w:lineRule="auto"/>
        <w:ind w:firstLine="49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详见招标文件第5章。</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评标</w:t>
      </w:r>
    </w:p>
    <w:p>
      <w:pPr>
        <w:spacing w:line="360" w:lineRule="auto"/>
        <w:ind w:firstLine="49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详见招标文件第6章。</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84" w:name="_Toc183682375"/>
      <w:bookmarkStart w:id="85" w:name="_Toc183582238"/>
      <w:bookmarkStart w:id="86" w:name="_Toc217446063"/>
      <w:r>
        <w:rPr>
          <w:rFonts w:hint="eastAsia" w:asciiTheme="minorEastAsia" w:hAnsiTheme="minorEastAsia" w:eastAsiaTheme="minorEastAsia" w:cstheme="minorEastAsia"/>
          <w:b/>
          <w:bCs/>
          <w:sz w:val="28"/>
          <w:szCs w:val="28"/>
        </w:rPr>
        <w:t>中标通知</w:t>
      </w:r>
      <w:bookmarkEnd w:id="84"/>
      <w:bookmarkEnd w:id="85"/>
      <w:r>
        <w:rPr>
          <w:rFonts w:hint="eastAsia" w:asciiTheme="minorEastAsia" w:hAnsiTheme="minorEastAsia" w:eastAsiaTheme="minorEastAsia" w:cstheme="minorEastAsia"/>
          <w:b/>
          <w:bCs/>
          <w:sz w:val="28"/>
          <w:szCs w:val="28"/>
        </w:rPr>
        <w:t>书</w:t>
      </w:r>
      <w:bookmarkEnd w:id="86"/>
    </w:p>
    <w:p>
      <w:pPr>
        <w:spacing w:line="580" w:lineRule="exact"/>
        <w:ind w:right="210" w:firstLine="560" w:firstLineChars="200"/>
        <w:rPr>
          <w:rFonts w:hint="eastAsia" w:asciiTheme="minorEastAsia" w:hAnsiTheme="minorEastAsia" w:eastAsiaTheme="minorEastAsia" w:cstheme="minorEastAsia"/>
          <w:sz w:val="28"/>
          <w:szCs w:val="28"/>
        </w:rPr>
      </w:pPr>
      <w:bookmarkStart w:id="87" w:name="_Toc217446064"/>
      <w:bookmarkStart w:id="88" w:name="_Toc183682377"/>
      <w:bookmarkStart w:id="89" w:name="_Toc183582240"/>
      <w:r>
        <w:rPr>
          <w:rFonts w:hint="eastAsia" w:asciiTheme="minorEastAsia" w:hAnsiTheme="minorEastAsia" w:eastAsiaTheme="minorEastAsia" w:cstheme="minor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二、中标通知书对采购人和中标人均具有法律效力。</w:t>
      </w:r>
    </w:p>
    <w:p>
      <w:pPr>
        <w:spacing w:line="58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三、中标公告在四川政府采购网上公告后，</w:t>
      </w:r>
      <w:r>
        <w:rPr>
          <w:rFonts w:hint="eastAsia" w:asciiTheme="minorEastAsia" w:hAnsiTheme="minorEastAsia" w:eastAsiaTheme="minorEastAsia" w:cstheme="minorEastAsia"/>
          <w:sz w:val="28"/>
          <w:szCs w:val="28"/>
          <w:lang w:val="zh-CN"/>
        </w:rPr>
        <w:t>中标供应商应携带</w:t>
      </w:r>
      <w:r>
        <w:rPr>
          <w:rFonts w:hint="eastAsia" w:asciiTheme="minorEastAsia" w:hAnsiTheme="minorEastAsia" w:eastAsiaTheme="minorEastAsia" w:cstheme="minorEastAsia"/>
          <w:sz w:val="28"/>
          <w:szCs w:val="28"/>
        </w:rPr>
        <w:t>介绍信</w:t>
      </w:r>
      <w:r>
        <w:rPr>
          <w:rFonts w:hint="eastAsia" w:asciiTheme="minorEastAsia" w:hAnsiTheme="minorEastAsia" w:eastAsiaTheme="minorEastAsia" w:cstheme="minorEastAsia"/>
          <w:sz w:val="28"/>
          <w:szCs w:val="28"/>
          <w:lang w:eastAsia="zh-CN"/>
        </w:rPr>
        <w:t>和经办人身份证复印件加盖公章，前往</w:t>
      </w:r>
      <w:r>
        <w:rPr>
          <w:rFonts w:hint="eastAsia" w:asciiTheme="minorEastAsia" w:hAnsiTheme="minorEastAsia" w:eastAsiaTheme="minorEastAsia" w:cstheme="minorEastAsia"/>
          <w:sz w:val="28"/>
          <w:szCs w:val="28"/>
        </w:rPr>
        <w:t>成都东部新区党工委管委会（成都市东部新城办）综合部领取中标通知书。</w:t>
      </w:r>
    </w:p>
    <w:p>
      <w:pPr>
        <w:keepNext/>
        <w:keepLines/>
        <w:numPr>
          <w:ilvl w:val="1"/>
          <w:numId w:val="3"/>
        </w:numPr>
        <w:spacing w:before="240" w:line="360" w:lineRule="auto"/>
        <w:jc w:val="left"/>
        <w:outlineLvl w:val="1"/>
        <w:rPr>
          <w:rFonts w:hint="eastAsia" w:asciiTheme="minorEastAsia" w:hAnsiTheme="minorEastAsia" w:eastAsiaTheme="minorEastAsia" w:cstheme="minorEastAsia"/>
          <w:b/>
          <w:bCs/>
          <w:sz w:val="28"/>
          <w:szCs w:val="28"/>
        </w:rPr>
      </w:pPr>
      <w:bookmarkStart w:id="90" w:name="_Toc26859"/>
      <w:r>
        <w:rPr>
          <w:rFonts w:hint="eastAsia" w:asciiTheme="minorEastAsia" w:hAnsiTheme="minorEastAsia" w:eastAsiaTheme="minorEastAsia" w:cstheme="minorEastAsia"/>
          <w:b/>
          <w:bCs/>
          <w:sz w:val="28"/>
          <w:szCs w:val="28"/>
        </w:rPr>
        <w:t>签订及履行合同和验收</w:t>
      </w:r>
      <w:bookmarkEnd w:id="87"/>
      <w:bookmarkEnd w:id="90"/>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91" w:name="_Toc217446065"/>
      <w:r>
        <w:rPr>
          <w:rFonts w:hint="eastAsia" w:asciiTheme="minorEastAsia" w:hAnsiTheme="minorEastAsia" w:eastAsiaTheme="minorEastAsia" w:cstheme="minorEastAsia"/>
          <w:b/>
          <w:bCs/>
          <w:sz w:val="28"/>
          <w:szCs w:val="28"/>
        </w:rPr>
        <w:t>签订合同</w:t>
      </w:r>
      <w:bookmarkEnd w:id="91"/>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四、询问或者质疑事项可能影响中标、成交结果的，采购人应当暂停签订合同，已经签订合同的，应当中止履行合同。</w:t>
      </w:r>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bookmarkStart w:id="92" w:name="_Toc315871033"/>
      <w:bookmarkEnd w:id="92"/>
      <w:bookmarkStart w:id="93" w:name="_Toc217446066"/>
      <w:r>
        <w:rPr>
          <w:rFonts w:hint="eastAsia" w:asciiTheme="minorEastAsia" w:hAnsiTheme="minorEastAsia" w:eastAsiaTheme="minorEastAsia" w:cstheme="minorEastAsia"/>
          <w:b/>
          <w:bCs/>
          <w:sz w:val="28"/>
          <w:szCs w:val="28"/>
        </w:rPr>
        <w:t>合同分包</w:t>
      </w:r>
      <w:bookmarkEnd w:id="93"/>
      <w:r>
        <w:rPr>
          <w:rFonts w:hint="eastAsia" w:asciiTheme="minorEastAsia" w:hAnsiTheme="minorEastAsia" w:eastAsiaTheme="minorEastAsia" w:cstheme="minorEastAsia"/>
          <w:b/>
          <w:bCs/>
          <w:sz w:val="28"/>
          <w:szCs w:val="28"/>
        </w:rPr>
        <w:t>和转包</w:t>
      </w:r>
    </w:p>
    <w:p>
      <w:pPr>
        <w:keepNext/>
        <w:keepLines/>
        <w:numPr>
          <w:ilvl w:val="3"/>
          <w:numId w:val="3"/>
        </w:numPr>
        <w:spacing w:line="360" w:lineRule="auto"/>
        <w:ind w:left="1695" w:hanging="1275"/>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合同分包</w:t>
      </w:r>
    </w:p>
    <w:p>
      <w:pPr>
        <w:pStyle w:val="23"/>
        <w:spacing w:line="360" w:lineRule="auto"/>
        <w:ind w:firstLine="560" w:firstLineChars="200"/>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本项目不允许分包。</w:t>
      </w:r>
    </w:p>
    <w:p>
      <w:pPr>
        <w:keepNext/>
        <w:keepLines/>
        <w:numPr>
          <w:ilvl w:val="3"/>
          <w:numId w:val="3"/>
        </w:numPr>
        <w:spacing w:line="360" w:lineRule="auto"/>
        <w:ind w:left="1695" w:hanging="1275"/>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合同转包</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一、严禁中标供应商将本项目转包。本项目所称转包，是指将本项目转给他人或者将本项目全部肢解以后以分包的名义分别转给他人的行为。 </w:t>
      </w:r>
    </w:p>
    <w:p>
      <w:pPr>
        <w:spacing w:line="360" w:lineRule="auto"/>
        <w:ind w:firstLine="49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二、中标供应商转包的，视同拒绝履行政府采购合同，将依法追究法律责任。</w:t>
      </w:r>
    </w:p>
    <w:p>
      <w:pPr>
        <w:keepNext/>
        <w:keepLines/>
        <w:numPr>
          <w:ilvl w:val="2"/>
          <w:numId w:val="3"/>
        </w:numPr>
        <w:spacing w:before="240" w:line="360" w:lineRule="auto"/>
        <w:ind w:left="0" w:firstLine="0"/>
        <w:outlineLvl w:val="2"/>
        <w:rPr>
          <w:rFonts w:hint="eastAsia" w:asciiTheme="minorEastAsia" w:hAnsiTheme="minorEastAsia" w:eastAsiaTheme="minorEastAsia" w:cstheme="minorEastAsia"/>
          <w:b/>
          <w:bCs/>
          <w:sz w:val="28"/>
          <w:szCs w:val="28"/>
        </w:rPr>
      </w:pPr>
      <w:bookmarkStart w:id="94" w:name="_Toc217446067"/>
      <w:r>
        <w:rPr>
          <w:rFonts w:hint="eastAsia" w:asciiTheme="minorEastAsia" w:hAnsiTheme="minorEastAsia" w:eastAsiaTheme="minorEastAsia" w:cstheme="minorEastAsia"/>
          <w:b/>
          <w:bCs/>
          <w:sz w:val="28"/>
          <w:szCs w:val="28"/>
        </w:rPr>
        <w:t>采购人增加合同标的的权</w:t>
      </w:r>
      <w:bookmarkEnd w:id="94"/>
      <w:r>
        <w:rPr>
          <w:rFonts w:hint="eastAsia" w:asciiTheme="minorEastAsia" w:hAnsiTheme="minorEastAsia" w:eastAsiaTheme="minorEastAsia" w:cstheme="minorEastAsia"/>
          <w:b/>
          <w:bCs/>
          <w:sz w:val="28"/>
          <w:szCs w:val="28"/>
        </w:rPr>
        <w:t>利</w:t>
      </w:r>
    </w:p>
    <w:p>
      <w:pPr>
        <w:spacing w:after="18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采购合同履行过程中，采购人需要追加与合同标的相同的服务的，在不改变合同其他条款的前提下，可以与中标人协商签订补充合同，但所有补充合同的采购金额不得超过原合同采购金额的百分之十。</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highlight w:val="none"/>
        </w:rPr>
      </w:pPr>
      <w:bookmarkStart w:id="95" w:name="_Toc217446068"/>
      <w:r>
        <w:rPr>
          <w:rFonts w:hint="eastAsia" w:asciiTheme="minorEastAsia" w:hAnsiTheme="minorEastAsia" w:eastAsiaTheme="minorEastAsia" w:cstheme="minorEastAsia"/>
          <w:b/>
          <w:bCs/>
          <w:sz w:val="28"/>
          <w:szCs w:val="28"/>
          <w:highlight w:val="none"/>
        </w:rPr>
        <w:t>履约保证金</w:t>
      </w:r>
      <w:bookmarkEnd w:id="95"/>
    </w:p>
    <w:p>
      <w:pPr>
        <w:spacing w:line="360" w:lineRule="auto"/>
        <w:ind w:firstLine="495"/>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详见第</w:t>
      </w:r>
      <w:r>
        <w:rPr>
          <w:rFonts w:hint="eastAsia" w:asciiTheme="minorEastAsia" w:hAnsiTheme="minorEastAsia" w:eastAsiaTheme="minorEastAsia" w:cstheme="minorEastAsia"/>
          <w:sz w:val="28"/>
          <w:szCs w:val="28"/>
          <w:highlight w:val="none"/>
          <w:lang w:val="en-US" w:eastAsia="zh-CN"/>
        </w:rPr>
        <w:t>2章投标人须知前附表</w:t>
      </w:r>
      <w:r>
        <w:rPr>
          <w:rFonts w:hint="eastAsia" w:asciiTheme="minorEastAsia" w:hAnsiTheme="minorEastAsia" w:eastAsiaTheme="minorEastAsia" w:cstheme="minorEastAsia"/>
          <w:sz w:val="28"/>
          <w:szCs w:val="28"/>
          <w:highlight w:val="none"/>
        </w:rPr>
        <w:t>。</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96" w:name="_Toc217446069"/>
      <w:r>
        <w:rPr>
          <w:rFonts w:hint="eastAsia" w:asciiTheme="minorEastAsia" w:hAnsiTheme="minorEastAsia" w:eastAsiaTheme="minorEastAsia" w:cstheme="minorEastAsia"/>
          <w:b/>
          <w:bCs/>
          <w:sz w:val="28"/>
          <w:szCs w:val="28"/>
        </w:rPr>
        <w:t>合同公告</w:t>
      </w:r>
    </w:p>
    <w:p>
      <w:pPr>
        <w:spacing w:after="18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采购人应当自政府采购合同签订之日起2个工作日内，在四川政府采购网公告，但政府采购合同中涉及国家秘密、商业秘密的内容除外。</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合同备案</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疫情防控期间，采购人原则上在5个工作日内与供应商签订政府采购合同及按</w:t>
      </w:r>
      <w:r>
        <w:rPr>
          <w:rFonts w:hint="eastAsia" w:asciiTheme="minorEastAsia" w:hAnsiTheme="minorEastAsia" w:eastAsiaTheme="minorEastAsia" w:cstheme="minorEastAsia"/>
          <w:b/>
          <w:sz w:val="28"/>
        </w:rPr>
        <w:t>成都东部新区党工委管委会(成都市东部新城办)财政金融局</w:t>
      </w:r>
      <w:r>
        <w:rPr>
          <w:rFonts w:hint="eastAsia" w:asciiTheme="minorEastAsia" w:hAnsiTheme="minorEastAsia" w:eastAsiaTheme="minorEastAsia" w:cstheme="minorEastAsia"/>
          <w:sz w:val="28"/>
          <w:szCs w:val="28"/>
        </w:rPr>
        <w:t>的要求完成合同备案工作。</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履行合同</w:t>
      </w:r>
      <w:bookmarkEnd w:id="96"/>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一、合同一经签订，双方应严格履行合同规定的义务。</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二、在合同履行过程中，如发生合同纠纷，合同双方应按照《中华人民共和国民法典》及合同条款的有关规定进行处理。</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97" w:name="_Toc217446070"/>
      <w:r>
        <w:rPr>
          <w:rFonts w:hint="eastAsia" w:asciiTheme="minorEastAsia" w:hAnsiTheme="minorEastAsia" w:eastAsiaTheme="minorEastAsia" w:cstheme="minorEastAsia"/>
          <w:b/>
          <w:bCs/>
          <w:sz w:val="28"/>
          <w:szCs w:val="28"/>
        </w:rPr>
        <w:t>验收</w:t>
      </w:r>
      <w:bookmarkEnd w:id="97"/>
      <w:r>
        <w:rPr>
          <w:rFonts w:hint="eastAsia" w:asciiTheme="minorEastAsia" w:hAnsiTheme="minorEastAsia" w:eastAsiaTheme="minorEastAsia" w:cstheme="minorEastAsia"/>
          <w:b/>
          <w:bCs/>
          <w:sz w:val="28"/>
          <w:szCs w:val="28"/>
        </w:rPr>
        <w:t>考核</w:t>
      </w:r>
    </w:p>
    <w:bookmarkEnd w:id="88"/>
    <w:bookmarkEnd w:id="89"/>
    <w:p>
      <w:pPr>
        <w:pStyle w:val="8"/>
        <w:spacing w:line="360" w:lineRule="auto"/>
        <w:ind w:left="0" w:leftChars="0" w:firstLine="565" w:firstLineChars="202"/>
        <w:rPr>
          <w:rFonts w:hint="eastAsia" w:asciiTheme="minorEastAsia" w:hAnsiTheme="minorEastAsia" w:eastAsiaTheme="minorEastAsia" w:cstheme="minorEastAsia"/>
          <w:sz w:val="28"/>
          <w:szCs w:val="28"/>
        </w:rPr>
      </w:pPr>
      <w:bookmarkStart w:id="98" w:name="_Toc217446074"/>
      <w:bookmarkStart w:id="99" w:name="_Toc183682380"/>
      <w:bookmarkStart w:id="100" w:name="_Toc183582243"/>
      <w:r>
        <w:rPr>
          <w:rFonts w:hint="eastAsia" w:asciiTheme="minorEastAsia" w:hAnsiTheme="minorEastAsia" w:eastAsiaTheme="minorEastAsia" w:cstheme="minorEastAsia"/>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资金支付</w:t>
      </w:r>
    </w:p>
    <w:p>
      <w:pPr>
        <w:shd w:val="clear" w:color="auto" w:fill="FFFFFF"/>
        <w:spacing w:line="360" w:lineRule="auto"/>
        <w:ind w:firstLine="57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采购人按财政部门的相关规定及采购合同的约定进行支付。</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01" w:name="_Toc25001"/>
      <w:r>
        <w:rPr>
          <w:rFonts w:hint="eastAsia" w:asciiTheme="minorEastAsia" w:hAnsiTheme="minorEastAsia" w:eastAsiaTheme="minorEastAsia" w:cstheme="minorEastAsia"/>
          <w:b/>
          <w:bCs/>
          <w:sz w:val="28"/>
          <w:szCs w:val="28"/>
        </w:rPr>
        <w:t>投标纪律要求</w:t>
      </w:r>
      <w:bookmarkEnd w:id="98"/>
      <w:bookmarkEnd w:id="101"/>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102" w:name="_Toc217446075"/>
      <w:r>
        <w:rPr>
          <w:rFonts w:hint="eastAsia" w:asciiTheme="minorEastAsia" w:hAnsiTheme="minorEastAsia" w:eastAsiaTheme="minorEastAsia" w:cstheme="minorEastAsia"/>
          <w:b/>
          <w:bCs/>
          <w:sz w:val="28"/>
          <w:szCs w:val="28"/>
        </w:rPr>
        <w:t>投标人不得具有的情形</w:t>
      </w:r>
      <w:bookmarkEnd w:id="102"/>
    </w:p>
    <w:p>
      <w:pPr>
        <w:spacing w:after="180" w:line="360" w:lineRule="auto"/>
        <w:ind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投标人参加投标不得有下列情形：</w:t>
      </w:r>
    </w:p>
    <w:p>
      <w:pPr>
        <w:numPr>
          <w:ilvl w:val="1"/>
          <w:numId w:val="15"/>
        </w:numPr>
        <w:tabs>
          <w:tab w:val="left" w:pos="1134"/>
        </w:tabs>
        <w:spacing w:line="360" w:lineRule="auto"/>
        <w:ind w:left="420" w:firstLine="14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有下列情形之一的，视为投标人串通投标：</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（一）不同投标人的投标文件由同一单位或者个人编制；</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（二）不同投标人委托同一单位或者个人办理投标事宜；</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（三）不同投标人的投标文件载明的项目管理成员或者联系人员为同一人；</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（四）不同投标人的投标文件异常一致或者投标报价呈规律性差异；</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（五）不同投标人的投标文件相互混装；</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（六）不同投标人的投标保证金从同一单位或者个人的账户转出；</w:t>
      </w:r>
    </w:p>
    <w:p>
      <w:pPr>
        <w:numPr>
          <w:ilvl w:val="1"/>
          <w:numId w:val="15"/>
        </w:numPr>
        <w:tabs>
          <w:tab w:val="left" w:pos="1134"/>
        </w:tabs>
        <w:spacing w:line="360" w:lineRule="auto"/>
        <w:ind w:left="420" w:firstLine="14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提供虚假材料谋取中标；</w:t>
      </w:r>
    </w:p>
    <w:p>
      <w:pPr>
        <w:numPr>
          <w:ilvl w:val="1"/>
          <w:numId w:val="15"/>
        </w:numPr>
        <w:tabs>
          <w:tab w:val="left" w:pos="1134"/>
        </w:tabs>
        <w:spacing w:line="360" w:lineRule="auto"/>
        <w:ind w:left="420" w:firstLine="14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采取不正当手段诋毁、排挤其他投标人；</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四、</w:t>
      </w:r>
      <w:r>
        <w:rPr>
          <w:rFonts w:hint="eastAsia" w:asciiTheme="minorEastAsia" w:hAnsiTheme="minorEastAsia" w:eastAsiaTheme="minorEastAsia" w:cstheme="minorEastAsia"/>
          <w:sz w:val="28"/>
          <w:szCs w:val="28"/>
        </w:rPr>
        <w:t>与采购人或成都东部新区党工委管委会（成都市东部新城办）综合部、其他投标人恶意串通；</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五、</w:t>
      </w:r>
      <w:r>
        <w:rPr>
          <w:rFonts w:hint="eastAsia" w:asciiTheme="minorEastAsia" w:hAnsiTheme="minorEastAsia" w:eastAsiaTheme="minorEastAsia" w:cstheme="minorEastAsia"/>
          <w:sz w:val="28"/>
          <w:szCs w:val="28"/>
        </w:rPr>
        <w:t>向采购人或成都东部新区党工委管委会（成都市东部新城办）综合部、评标委员会成员行贿或者提供其他不正当利益；</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六、</w:t>
      </w:r>
      <w:r>
        <w:rPr>
          <w:rFonts w:hint="eastAsia" w:asciiTheme="minorEastAsia" w:hAnsiTheme="minorEastAsia" w:eastAsiaTheme="minorEastAsia" w:cstheme="minorEastAsia"/>
          <w:sz w:val="28"/>
          <w:szCs w:val="28"/>
        </w:rPr>
        <w:t>在招标过程中与采购人或成都东部新区党工委管委会（成都市东部新城办）综合部进行协商谈判；</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七、</w:t>
      </w:r>
      <w:r>
        <w:rPr>
          <w:rFonts w:hint="eastAsia" w:asciiTheme="minorEastAsia" w:hAnsiTheme="minorEastAsia" w:eastAsiaTheme="minorEastAsia" w:cstheme="minorEastAsia"/>
          <w:sz w:val="28"/>
          <w:szCs w:val="28"/>
        </w:rPr>
        <w:t>中标后无正当理由拒不与采购人签订政府采购合同；</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八、</w:t>
      </w:r>
      <w:r>
        <w:rPr>
          <w:rFonts w:hint="eastAsia" w:asciiTheme="minorEastAsia" w:hAnsiTheme="minorEastAsia" w:eastAsiaTheme="minorEastAsia" w:cstheme="minorEastAsia"/>
          <w:sz w:val="28"/>
          <w:szCs w:val="28"/>
        </w:rPr>
        <w:t>未按照采购文件确定的事项签订政府采购合同；</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九、</w:t>
      </w:r>
      <w:r>
        <w:rPr>
          <w:rFonts w:hint="eastAsia" w:asciiTheme="minorEastAsia" w:hAnsiTheme="minorEastAsia" w:eastAsiaTheme="minorEastAsia" w:cstheme="minorEastAsia"/>
          <w:sz w:val="28"/>
          <w:szCs w:val="28"/>
        </w:rPr>
        <w:t>将政府采购合同转包或者违规分包；</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十、</w:t>
      </w:r>
      <w:r>
        <w:rPr>
          <w:rFonts w:hint="eastAsia" w:asciiTheme="minorEastAsia" w:hAnsiTheme="minorEastAsia" w:eastAsiaTheme="minorEastAsia" w:cstheme="minorEastAsia"/>
          <w:sz w:val="28"/>
          <w:szCs w:val="28"/>
        </w:rPr>
        <w:t>提供假冒伪劣产品；</w:t>
      </w:r>
    </w:p>
    <w:p>
      <w:pPr>
        <w:keepNext w:val="0"/>
        <w:keepLines w:val="0"/>
        <w:pageBreakBefore w:val="0"/>
        <w:widowControl w:val="0"/>
        <w:numPr>
          <w:ilvl w:val="0"/>
          <w:numId w:val="0"/>
        </w:numPr>
        <w:tabs>
          <w:tab w:val="left" w:pos="1134"/>
          <w:tab w:val="left" w:pos="1418"/>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十一、</w:t>
      </w:r>
      <w:r>
        <w:rPr>
          <w:rFonts w:hint="eastAsia" w:asciiTheme="minorEastAsia" w:hAnsiTheme="minorEastAsia" w:eastAsiaTheme="minorEastAsia" w:cstheme="minorEastAsia"/>
          <w:sz w:val="28"/>
          <w:szCs w:val="28"/>
        </w:rPr>
        <w:t>擅自变更、中止或者终止政府采购合同；</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十二、拒绝有关部门的监督检查或者向监督检查部门提供虚假情况；</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十三、法律法规规定的其他禁止情形。</w:t>
      </w:r>
    </w:p>
    <w:p>
      <w:pPr>
        <w:spacing w:after="180" w:line="360" w:lineRule="auto"/>
        <w:ind w:firstLine="568" w:firstLineChars="20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投标人有上述情形的，按照规定追究法律责任，具备一至十条情形之一的，其投标文件无效，或取消被确认为中标供应商的资格或认定中标无效。</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回避</w:t>
      </w:r>
    </w:p>
    <w:p>
      <w:pPr>
        <w:shd w:val="clear" w:color="auto" w:fill="FFFFFF"/>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政府采购活动中，采购人员（如采购人内部负责采购项目的具体经办工作人员或直接分管采购项目的负责人、成都东部新区党工委管委会（成都市东部新城办）综合部负责采购项目的具体经办工作人员或直接分管采购活动的负责人等）及相关人员（包括评标委员会的组成人员）与供应商有下列利害关系之一的，应当回避：</w:t>
      </w:r>
    </w:p>
    <w:p>
      <w:pPr>
        <w:shd w:val="clear" w:color="auto" w:fill="FFFFFF"/>
        <w:spacing w:line="360" w:lineRule="auto"/>
        <w:ind w:left="708" w:hanging="708" w:hangingChars="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（一）参加采购活动前3年内与供应商存在劳动关系；</w:t>
      </w:r>
    </w:p>
    <w:p>
      <w:pPr>
        <w:shd w:val="clear" w:color="auto" w:fill="FFFFFF"/>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（二）参加采购活动前3年内担任供应商的董事、监事；</w:t>
      </w:r>
    </w:p>
    <w:p>
      <w:pPr>
        <w:shd w:val="clear" w:color="auto" w:fill="FFFFFF"/>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（三）参加采购活动前3年内是供应商的控股股东或者实际控制人；</w:t>
      </w:r>
    </w:p>
    <w:p>
      <w:pPr>
        <w:shd w:val="clear" w:color="auto" w:fill="FFFFFF"/>
        <w:spacing w:line="360" w:lineRule="auto"/>
        <w:ind w:firstLine="57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（四）与供应商的法定代表人或者负责人有夫妻、直系血亲、三代以内旁系血亲或者近姻亲关系；</w:t>
      </w:r>
    </w:p>
    <w:p>
      <w:pPr>
        <w:shd w:val="clear" w:color="auto" w:fill="FFFFFF"/>
        <w:spacing w:line="360" w:lineRule="auto"/>
        <w:ind w:firstLine="57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（五）与供应商有其他可能影响政府采购活动公平、公正进行的关系。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pageBreakBefore w:val="0"/>
        <w:numPr>
          <w:ilvl w:val="1"/>
          <w:numId w:val="3"/>
        </w:numPr>
        <w:kinsoku/>
        <w:wordWrap/>
        <w:overflowPunct/>
        <w:topLinePunct w:val="0"/>
        <w:autoSpaceDE/>
        <w:autoSpaceDN/>
        <w:bidi w:val="0"/>
        <w:adjustRightInd/>
        <w:snapToGrid/>
        <w:spacing w:line="360" w:lineRule="auto"/>
        <w:ind w:left="0"/>
        <w:jc w:val="left"/>
        <w:textAlignment w:val="auto"/>
        <w:outlineLvl w:val="1"/>
        <w:rPr>
          <w:rFonts w:hint="eastAsia" w:asciiTheme="minorEastAsia" w:hAnsiTheme="minorEastAsia" w:eastAsiaTheme="minorEastAsia" w:cstheme="minorEastAsia"/>
          <w:b/>
          <w:bCs/>
          <w:sz w:val="28"/>
          <w:szCs w:val="28"/>
        </w:rPr>
      </w:pPr>
      <w:bookmarkStart w:id="103" w:name="_Toc2162"/>
      <w:bookmarkStart w:id="104" w:name="_Toc217446078"/>
      <w:r>
        <w:rPr>
          <w:rFonts w:hint="eastAsia" w:asciiTheme="minorEastAsia" w:hAnsiTheme="minorEastAsia" w:eastAsiaTheme="minorEastAsia" w:cstheme="minorEastAsia"/>
          <w:b/>
          <w:bCs/>
          <w:sz w:val="28"/>
          <w:szCs w:val="28"/>
        </w:rPr>
        <w:t>询问、质疑和投诉</w:t>
      </w:r>
      <w:bookmarkEnd w:id="103"/>
      <w:bookmarkEnd w:id="104"/>
      <w:bookmarkStart w:id="105" w:name="_Toc217446079"/>
    </w:p>
    <w:bookmarkEnd w:id="99"/>
    <w:bookmarkEnd w:id="100"/>
    <w:bookmarkEnd w:id="105"/>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询问、质疑、投诉的接收和处理严格按照《中华人民共和国政府采购法》、《中华人民共和国政府采购法实施条例》《中华人民共和国财政部货物和服务招投标管理办法》（财政部第87号令）和《政府采购质疑和投诉办法》（财政部94号令）的规定办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二、</w:t>
      </w:r>
      <w:r>
        <w:rPr>
          <w:rFonts w:hint="eastAsia" w:asciiTheme="minorEastAsia" w:hAnsiTheme="minorEastAsia" w:eastAsiaTheme="minorEastAsia" w:cstheme="minorEastAsia"/>
          <w:sz w:val="28"/>
          <w:szCs w:val="28"/>
        </w:rPr>
        <w:t>供应商询问、质疑的对象</w:t>
      </w:r>
    </w:p>
    <w:p>
      <w:pPr>
        <w:keepNext w:val="0"/>
        <w:keepLines w:val="0"/>
        <w:pageBreakBefore w:val="0"/>
        <w:widowControl w:val="0"/>
        <w:numPr>
          <w:ilvl w:val="1"/>
          <w:numId w:val="16"/>
        </w:numPr>
        <w:tabs>
          <w:tab w:val="left" w:pos="0"/>
          <w:tab w:val="left" w:pos="1276"/>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供应商对招标文件中供应商参加本次政府采购活动应当具备的条件，招标项目技术、服务、商务及其他要求，评标细则及标准，和中标结果中关于资格审查提出询问或质疑的，向采购人提出；</w:t>
      </w:r>
    </w:p>
    <w:p>
      <w:pPr>
        <w:keepNext w:val="0"/>
        <w:keepLines w:val="0"/>
        <w:pageBreakBefore w:val="0"/>
        <w:widowControl w:val="0"/>
        <w:numPr>
          <w:ilvl w:val="1"/>
          <w:numId w:val="16"/>
        </w:numPr>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供应商对除上述招标文件中的其他内容，采购过程及中标结果（除资格审查）提出询问或质疑的，向成都东部新区党工委管委会（成都市东部新城办）综合部提出。</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三、</w:t>
      </w:r>
      <w:r>
        <w:rPr>
          <w:rFonts w:hint="eastAsia" w:asciiTheme="minorEastAsia" w:hAnsiTheme="minorEastAsia" w:eastAsiaTheme="minorEastAsia" w:cstheme="minorEastAsia"/>
          <w:sz w:val="28"/>
          <w:szCs w:val="28"/>
        </w:rPr>
        <w:t>供应商提出的询问，应当明确询问事项，如以书面形式提出的，应由供应商签字并加盖公章。</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四、</w:t>
      </w:r>
      <w:r>
        <w:rPr>
          <w:rFonts w:hint="eastAsia" w:asciiTheme="minorEastAsia" w:hAnsiTheme="minorEastAsia" w:eastAsiaTheme="minorEastAsia" w:cstheme="minorEastAsia"/>
          <w:sz w:val="28"/>
          <w:szCs w:val="28"/>
        </w:rPr>
        <w:t>供应商应在法定质疑期内一次性提出针对同一采购程序环节的质疑。</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五、</w:t>
      </w:r>
      <w:r>
        <w:rPr>
          <w:rFonts w:hint="eastAsia" w:asciiTheme="minorEastAsia" w:hAnsiTheme="minorEastAsia" w:eastAsiaTheme="minorEastAsia" w:cstheme="minorEastAsia"/>
          <w:sz w:val="28"/>
          <w:szCs w:val="28"/>
          <w:highlight w:val="none"/>
        </w:rPr>
        <w:t>供应商可通过“政府采购云平台”，或现场向采购人或成都东部新区党工委管委会（成都市东部新城办）综合部提交质疑资料。</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六、</w:t>
      </w:r>
      <w:r>
        <w:rPr>
          <w:rFonts w:hint="eastAsia" w:asciiTheme="minorEastAsia" w:hAnsiTheme="minorEastAsia" w:eastAsiaTheme="minorEastAsia" w:cstheme="minorEastAsia"/>
          <w:sz w:val="28"/>
          <w:szCs w:val="28"/>
        </w:rPr>
        <w:t>供应商提出质疑时应当准备的资料</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0" w:firstLine="560" w:firstLineChars="200"/>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（一）质疑书正本1份；</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0" w:firstLine="560" w:firstLineChars="200"/>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（二）法定代表人或主要负责人授权委托书1份（委托代理人办理质疑事宜的需提供）；</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0" w:firstLine="560" w:firstLineChars="200"/>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（三）法定代表人或主要负责人身份证复印件1份；</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0" w:firstLine="560" w:firstLineChars="200"/>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（四）委托代理人身份证复印件1份（委托代理人办理质疑事宜的需提供）；</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0" w:firstLine="560" w:firstLineChars="200"/>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（五）针对质疑事项必要的证明材料。</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七、</w:t>
      </w:r>
      <w:r>
        <w:rPr>
          <w:rFonts w:hint="eastAsia" w:asciiTheme="minorEastAsia" w:hAnsiTheme="minorEastAsia" w:eastAsiaTheme="minorEastAsia" w:cstheme="minorEastAsia"/>
          <w:sz w:val="28"/>
          <w:szCs w:val="28"/>
        </w:rPr>
        <w:t>供应商对采购人或成都东部新区党工委管委会（成都市东部新城办）综合部的质疑答复不满意，或者采购人或成都东部新区党工委管委会（成都市东部新城办）综合部</w:t>
      </w:r>
      <w:r>
        <w:rPr>
          <w:rFonts w:hint="eastAsia" w:asciiTheme="minorEastAsia" w:hAnsiTheme="minorEastAsia" w:eastAsiaTheme="minorEastAsia" w:cstheme="minorEastAsia"/>
          <w:sz w:val="28"/>
          <w:szCs w:val="28"/>
          <w:lang w:eastAsia="zh-CN"/>
        </w:rPr>
        <w:t>未</w:t>
      </w:r>
      <w:r>
        <w:rPr>
          <w:rFonts w:hint="eastAsia" w:asciiTheme="minorEastAsia" w:hAnsiTheme="minorEastAsia" w:eastAsiaTheme="minorEastAsia" w:cstheme="minorEastAsia"/>
          <w:sz w:val="28"/>
          <w:szCs w:val="28"/>
        </w:rPr>
        <w:t>在规定期限内作出答复的，供应商可以在答复期满后15个工作日内向同级财政部门提起投诉。</w:t>
      </w:r>
    </w:p>
    <w:p>
      <w:pPr>
        <w:pageBreakBefore w:val="0"/>
        <w:tabs>
          <w:tab w:val="left" w:pos="1276"/>
        </w:tabs>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pPr>
        <w:keepNext/>
        <w:keepLines/>
        <w:numPr>
          <w:ilvl w:val="0"/>
          <w:numId w:val="3"/>
        </w:numPr>
        <w:spacing w:before="340" w:after="330" w:line="400" w:lineRule="exact"/>
        <w:jc w:val="center"/>
        <w:outlineLvl w:val="0"/>
        <w:rPr>
          <w:rFonts w:hint="eastAsia" w:asciiTheme="minorEastAsia" w:hAnsiTheme="minorEastAsia" w:eastAsiaTheme="minorEastAsia" w:cstheme="minorEastAsia"/>
          <w:b/>
          <w:bCs/>
          <w:spacing w:val="-20"/>
          <w:kern w:val="44"/>
          <w:sz w:val="32"/>
          <w:szCs w:val="32"/>
        </w:rPr>
      </w:pPr>
      <w:bookmarkStart w:id="106" w:name="_Toc15550"/>
      <w:r>
        <w:rPr>
          <w:rFonts w:hint="eastAsia" w:asciiTheme="minorEastAsia" w:hAnsiTheme="minorEastAsia" w:eastAsiaTheme="minorEastAsia" w:cstheme="minorEastAsia"/>
          <w:b/>
          <w:bCs/>
          <w:spacing w:val="-20"/>
          <w:kern w:val="44"/>
          <w:sz w:val="32"/>
          <w:szCs w:val="32"/>
        </w:rPr>
        <w:t>投标文件格式</w:t>
      </w:r>
      <w:bookmarkEnd w:id="106"/>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107" w:name="_Toc21205"/>
      <w:r>
        <w:rPr>
          <w:rFonts w:hint="eastAsia" w:asciiTheme="minorEastAsia" w:hAnsiTheme="minorEastAsia" w:eastAsiaTheme="minorEastAsia" w:cstheme="minorEastAsia"/>
          <w:b/>
          <w:bCs/>
          <w:sz w:val="28"/>
          <w:szCs w:val="28"/>
        </w:rPr>
        <w:t>投标文件封面格式</w:t>
      </w:r>
      <w:bookmarkEnd w:id="107"/>
    </w:p>
    <w:p>
      <w:pPr>
        <w:spacing w:line="360" w:lineRule="auto"/>
        <w:rPr>
          <w:rFonts w:hint="eastAsia" w:asciiTheme="minorEastAsia" w:hAnsiTheme="minorEastAsia" w:eastAsiaTheme="minorEastAsia" w:cstheme="minorEastAsia"/>
          <w:bCs/>
          <w:szCs w:val="21"/>
        </w:rPr>
      </w:pPr>
    </w:p>
    <w:p>
      <w:pPr>
        <w:spacing w:line="360" w:lineRule="auto"/>
        <w:rPr>
          <w:rFonts w:hint="eastAsia" w:asciiTheme="minorEastAsia" w:hAnsiTheme="minorEastAsia" w:eastAsiaTheme="minorEastAsia" w:cstheme="minorEastAsia"/>
          <w:bCs/>
          <w:szCs w:val="21"/>
        </w:rPr>
      </w:pPr>
    </w:p>
    <w:p>
      <w:pPr>
        <w:spacing w:line="360" w:lineRule="auto"/>
        <w:jc w:val="right"/>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sz w:val="96"/>
          <w:szCs w:val="96"/>
        </w:rPr>
      </w:pPr>
      <w:r>
        <w:rPr>
          <w:rFonts w:hint="eastAsia" w:asciiTheme="minorEastAsia" w:hAnsiTheme="minorEastAsia" w:eastAsiaTheme="minorEastAsia" w:cstheme="minorEastAsia"/>
          <w:sz w:val="96"/>
          <w:szCs w:val="96"/>
        </w:rPr>
        <w:t>投标文件</w:t>
      </w:r>
    </w:p>
    <w:p>
      <w:pPr>
        <w:spacing w:line="360" w:lineRule="auto"/>
        <w:jc w:val="center"/>
        <w:rPr>
          <w:rFonts w:hint="eastAsia" w:asciiTheme="minorEastAsia" w:hAnsiTheme="minorEastAsia" w:eastAsiaTheme="minorEastAsia" w:cstheme="minorEastAsia"/>
          <w:bCs/>
          <w:sz w:val="36"/>
        </w:rPr>
      </w:pPr>
    </w:p>
    <w:p>
      <w:pPr>
        <w:spacing w:line="360" w:lineRule="auto"/>
        <w:jc w:val="center"/>
        <w:rPr>
          <w:rFonts w:hint="eastAsia" w:asciiTheme="minorEastAsia" w:hAnsiTheme="minorEastAsia" w:eastAsiaTheme="minorEastAsia" w:cstheme="minorEastAsia"/>
          <w:bCs/>
          <w:sz w:val="36"/>
        </w:rPr>
      </w:pPr>
    </w:p>
    <w:p>
      <w:pPr>
        <w:rPr>
          <w:rFonts w:hint="eastAsia" w:asciiTheme="minorEastAsia" w:hAnsiTheme="minorEastAsia" w:eastAsiaTheme="minorEastAsia" w:cstheme="minorEastAsia"/>
          <w:b/>
          <w:sz w:val="32"/>
          <w:szCs w:val="32"/>
        </w:rPr>
      </w:pPr>
    </w:p>
    <w:p>
      <w:pPr>
        <w:spacing w:line="360" w:lineRule="auto"/>
        <w:ind w:left="1606" w:hanging="1606" w:hangingChars="500"/>
        <w:rPr>
          <w:rFonts w:hint="eastAsia" w:asciiTheme="minorEastAsia" w:hAnsiTheme="minorEastAsia" w:eastAsiaTheme="minorEastAsia" w:cstheme="minorEastAsia"/>
          <w:b/>
          <w:sz w:val="32"/>
          <w:szCs w:val="32"/>
          <w:lang w:eastAsia="zh-CN"/>
        </w:rPr>
      </w:pPr>
      <w:r>
        <w:rPr>
          <w:rFonts w:hint="eastAsia" w:asciiTheme="minorEastAsia" w:hAnsiTheme="minorEastAsia" w:eastAsiaTheme="minorEastAsia" w:cstheme="minorEastAsia"/>
          <w:b/>
          <w:sz w:val="32"/>
          <w:szCs w:val="32"/>
        </w:rPr>
        <w:t>项目名称：</w:t>
      </w:r>
      <w:r>
        <w:rPr>
          <w:rFonts w:hint="eastAsia" w:asciiTheme="minorEastAsia" w:hAnsiTheme="minorEastAsia" w:eastAsiaTheme="minorEastAsia" w:cstheme="minorEastAsia"/>
          <w:b/>
          <w:sz w:val="32"/>
          <w:szCs w:val="32"/>
          <w:lang w:eastAsia="zh-CN"/>
        </w:rPr>
        <w:t>丹景街道新民家园一期征地拆迁安置小区物业管理服务采购项目</w:t>
      </w:r>
    </w:p>
    <w:p>
      <w:pPr>
        <w:spacing w:line="360" w:lineRule="auto"/>
        <w:rPr>
          <w:rFonts w:hint="eastAsia" w:asciiTheme="minorEastAsia" w:hAnsiTheme="minorEastAsia" w:eastAsiaTheme="minorEastAsia" w:cstheme="minorEastAsia"/>
          <w:b/>
          <w:sz w:val="32"/>
          <w:szCs w:val="32"/>
          <w:lang w:eastAsia="zh-CN"/>
        </w:rPr>
      </w:pPr>
      <w:r>
        <w:rPr>
          <w:rFonts w:hint="eastAsia" w:asciiTheme="minorEastAsia" w:hAnsiTheme="minorEastAsia" w:eastAsiaTheme="minorEastAsia" w:cstheme="minorEastAsia"/>
          <w:b/>
          <w:sz w:val="32"/>
          <w:szCs w:val="32"/>
        </w:rPr>
        <w:t>项目编号：</w:t>
      </w:r>
      <w:r>
        <w:rPr>
          <w:rFonts w:hint="eastAsia" w:asciiTheme="minorEastAsia" w:hAnsiTheme="minorEastAsia" w:eastAsiaTheme="minorEastAsia" w:cstheme="minorEastAsia"/>
          <w:b/>
          <w:sz w:val="32"/>
          <w:szCs w:val="32"/>
          <w:lang w:eastAsia="zh-CN"/>
        </w:rPr>
        <w:t>东部新区政采（2021）A0065号</w:t>
      </w:r>
    </w:p>
    <w:p>
      <w:pPr>
        <w:spacing w:line="360" w:lineRule="auto"/>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b/>
          <w:sz w:val="32"/>
          <w:szCs w:val="32"/>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spacing w:line="360" w:lineRule="auto"/>
        <w:rPr>
          <w:rFonts w:hint="eastAsia" w:asciiTheme="minorEastAsia" w:hAnsiTheme="minorEastAsia" w:eastAsiaTheme="minorEastAsia" w:cstheme="minorEastAsia"/>
        </w:rPr>
      </w:pPr>
    </w:p>
    <w:p>
      <w:pPr>
        <w:spacing w:line="360" w:lineRule="auto"/>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投标人名称：XXXX</w:t>
      </w:r>
    </w:p>
    <w:p>
      <w:pPr>
        <w:spacing w:line="360" w:lineRule="auto"/>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日       期：202X年XX月XX日</w:t>
      </w:r>
    </w:p>
    <w:p>
      <w:pPr>
        <w:rPr>
          <w:rFonts w:hint="eastAsia" w:asciiTheme="minorEastAsia" w:hAnsiTheme="minorEastAsia" w:eastAsiaTheme="minorEastAsia" w:cstheme="minorEastAsia"/>
          <w:b/>
          <w:sz w:val="32"/>
          <w:szCs w:val="32"/>
        </w:rPr>
      </w:pPr>
    </w:p>
    <w:p>
      <w:pPr>
        <w:spacing w:line="360" w:lineRule="auto"/>
        <w:ind w:firstLine="569" w:firstLineChars="177"/>
        <w:rPr>
          <w:rFonts w:hint="eastAsia" w:asciiTheme="minorEastAsia" w:hAnsiTheme="minorEastAsia" w:eastAsiaTheme="minorEastAsia" w:cstheme="minorEastAsia"/>
          <w:b/>
          <w:bCs/>
          <w:sz w:val="32"/>
          <w:szCs w:val="32"/>
        </w:rPr>
      </w:pPr>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108" w:name="_Toc12491"/>
      <w:r>
        <w:rPr>
          <w:rFonts w:hint="eastAsia" w:asciiTheme="minorEastAsia" w:hAnsiTheme="minorEastAsia" w:eastAsiaTheme="minorEastAsia" w:cstheme="minorEastAsia"/>
          <w:b/>
          <w:bCs/>
          <w:sz w:val="28"/>
          <w:szCs w:val="28"/>
        </w:rPr>
        <w:t>资格响应文件</w:t>
      </w:r>
      <w:bookmarkEnd w:id="108"/>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关于投标人申明的函</w:t>
      </w:r>
    </w:p>
    <w:p>
      <w:pPr>
        <w:spacing w:line="360" w:lineRule="auto"/>
        <w:rPr>
          <w:rFonts w:hint="eastAsia" w:asciiTheme="minorEastAsia" w:hAnsiTheme="minorEastAsia" w:eastAsiaTheme="minorEastAsia" w:cstheme="minorEastAsia"/>
          <w:sz w:val="28"/>
          <w:szCs w:val="28"/>
        </w:rPr>
      </w:pPr>
      <w:bookmarkStart w:id="109" w:name="_Toc238581782"/>
      <w:bookmarkStart w:id="110" w:name="_Toc52184753"/>
      <w:bookmarkStart w:id="111" w:name="_Toc119203988"/>
      <w:bookmarkStart w:id="112" w:name="_Toc119296788"/>
      <w:bookmarkStart w:id="113" w:name="_Toc119295087"/>
      <w:bookmarkStart w:id="114" w:name="_Toc146903609"/>
      <w:r>
        <w:rPr>
          <w:rFonts w:hint="eastAsia" w:asciiTheme="minorEastAsia" w:hAnsiTheme="minorEastAsia" w:eastAsiaTheme="minorEastAsia" w:cstheme="minorEastAsia"/>
          <w:sz w:val="28"/>
          <w:szCs w:val="28"/>
        </w:rPr>
        <w:t>致：</w:t>
      </w:r>
      <w:bookmarkEnd w:id="109"/>
      <w:r>
        <w:rPr>
          <w:rFonts w:hint="eastAsia" w:asciiTheme="minorEastAsia" w:hAnsiTheme="minorEastAsia" w:eastAsiaTheme="minorEastAsia" w:cstheme="minorEastAsia"/>
          <w:sz w:val="28"/>
          <w:szCs w:val="28"/>
        </w:rPr>
        <w:t>成都东部新区党工委管委会（成都市东部新城办）综合部</w:t>
      </w:r>
    </w:p>
    <w:p>
      <w:pPr>
        <w:spacing w:line="360" w:lineRule="auto"/>
        <w:ind w:firstLine="565" w:firstLineChars="202"/>
        <w:rPr>
          <w:rFonts w:hint="eastAsia" w:asciiTheme="minorEastAsia" w:hAnsiTheme="minorEastAsia" w:eastAsiaTheme="minorEastAsia" w:cstheme="minorEastAsia"/>
          <w:sz w:val="28"/>
          <w:szCs w:val="28"/>
        </w:rPr>
      </w:pPr>
      <w:bookmarkStart w:id="115" w:name="_Toc238581783"/>
      <w:r>
        <w:rPr>
          <w:rFonts w:hint="eastAsia" w:asciiTheme="minorEastAsia" w:hAnsiTheme="minorEastAsia" w:eastAsiaTheme="minorEastAsia" w:cstheme="minorEastAsia"/>
          <w:sz w:val="28"/>
          <w:szCs w:val="28"/>
        </w:rPr>
        <w:t>关于我方对</w:t>
      </w:r>
      <w:r>
        <w:rPr>
          <w:rFonts w:hint="eastAsia" w:asciiTheme="minorEastAsia" w:hAnsiTheme="minorEastAsia" w:eastAsiaTheme="minorEastAsia" w:cstheme="minorEastAsia"/>
          <w:b/>
          <w:sz w:val="28"/>
          <w:szCs w:val="28"/>
          <w:u w:val="single"/>
          <w:lang w:eastAsia="zh-CN"/>
        </w:rPr>
        <w:t>丹景街道新民家园一期征地拆迁安置小区物业管理服务采购项目</w:t>
      </w:r>
      <w:r>
        <w:rPr>
          <w:rFonts w:hint="eastAsia" w:asciiTheme="minorEastAsia" w:hAnsiTheme="minorEastAsia" w:eastAsiaTheme="minorEastAsia" w:cstheme="minorEastAsia"/>
          <w:b/>
          <w:sz w:val="28"/>
          <w:szCs w:val="28"/>
          <w:u w:val="single"/>
        </w:rPr>
        <w:t>（项目编号：</w:t>
      </w:r>
      <w:r>
        <w:rPr>
          <w:rFonts w:hint="eastAsia" w:asciiTheme="minorEastAsia" w:hAnsiTheme="minorEastAsia" w:eastAsiaTheme="minorEastAsia" w:cstheme="minorEastAsia"/>
          <w:b/>
          <w:sz w:val="28"/>
          <w:szCs w:val="28"/>
          <w:u w:val="single"/>
          <w:lang w:eastAsia="zh-CN"/>
        </w:rPr>
        <w:t>东部新区政采（2021）A0065号</w:t>
      </w:r>
      <w:r>
        <w:rPr>
          <w:rFonts w:hint="eastAsia" w:asciiTheme="minorEastAsia" w:hAnsiTheme="minorEastAsia" w:eastAsiaTheme="minorEastAsia" w:cstheme="minorEastAsia"/>
          <w:b/>
          <w:sz w:val="28"/>
          <w:szCs w:val="28"/>
          <w:u w:val="single"/>
        </w:rPr>
        <w:t>）</w:t>
      </w:r>
      <w:r>
        <w:rPr>
          <w:rFonts w:hint="eastAsia" w:asciiTheme="minorEastAsia" w:hAnsiTheme="minorEastAsia" w:eastAsiaTheme="minorEastAsia" w:cstheme="minorEastAsia"/>
          <w:sz w:val="28"/>
          <w:szCs w:val="28"/>
        </w:rPr>
        <w:t>的公开招标，提交的下列文件和说明是准确的和真实的。</w:t>
      </w:r>
      <w:bookmarkEnd w:id="115"/>
    </w:p>
    <w:p>
      <w:pPr>
        <w:widowControl/>
        <w:numPr>
          <w:ilvl w:val="2"/>
          <w:numId w:val="17"/>
        </w:numPr>
        <w:spacing w:line="360" w:lineRule="auto"/>
        <w:ind w:left="0" w:firstLine="560" w:firstLineChars="200"/>
        <w:rPr>
          <w:rFonts w:hint="eastAsia" w:asciiTheme="minorEastAsia" w:hAnsiTheme="minorEastAsia" w:eastAsiaTheme="minorEastAsia" w:cstheme="minorEastAsia"/>
          <w:sz w:val="28"/>
          <w:szCs w:val="28"/>
        </w:rPr>
      </w:pPr>
      <w:bookmarkStart w:id="116" w:name="_Toc238581784"/>
      <w:r>
        <w:rPr>
          <w:rFonts w:hint="eastAsia" w:asciiTheme="minorEastAsia" w:hAnsiTheme="minorEastAsia" w:eastAsiaTheme="minorEastAsia" w:cstheme="minorEastAsia"/>
          <w:sz w:val="28"/>
          <w:szCs w:val="28"/>
        </w:rPr>
        <w:t>投标人名称及概况：</w:t>
      </w:r>
      <w:bookmarkEnd w:id="110"/>
      <w:bookmarkEnd w:id="111"/>
      <w:bookmarkEnd w:id="112"/>
      <w:bookmarkEnd w:id="113"/>
      <w:bookmarkEnd w:id="114"/>
      <w:bookmarkEnd w:id="116"/>
    </w:p>
    <w:p>
      <w:pPr>
        <w:widowControl/>
        <w:numPr>
          <w:ilvl w:val="0"/>
          <w:numId w:val="18"/>
        </w:numPr>
        <w:spacing w:line="360" w:lineRule="auto"/>
        <w:ind w:left="0"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投标人名称：XXXX</w:t>
      </w:r>
    </w:p>
    <w:p>
      <w:pPr>
        <w:widowControl/>
        <w:numPr>
          <w:ilvl w:val="0"/>
          <w:numId w:val="18"/>
        </w:numPr>
        <w:spacing w:line="360" w:lineRule="auto"/>
        <w:ind w:left="0"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地址：XXXX           邮编：XXXX</w:t>
      </w:r>
    </w:p>
    <w:p>
      <w:pPr>
        <w:spacing w:line="360" w:lineRule="auto"/>
        <w:ind w:firstLine="700" w:firstLineChars="25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传真/电话：XXXX</w:t>
      </w:r>
    </w:p>
    <w:p>
      <w:pPr>
        <w:widowControl/>
        <w:numPr>
          <w:ilvl w:val="0"/>
          <w:numId w:val="18"/>
        </w:numPr>
        <w:spacing w:line="360" w:lineRule="auto"/>
        <w:ind w:left="0"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成立日期或注册日期：XXXX</w:t>
      </w:r>
    </w:p>
    <w:p>
      <w:pPr>
        <w:widowControl/>
        <w:numPr>
          <w:ilvl w:val="0"/>
          <w:numId w:val="18"/>
        </w:numPr>
        <w:spacing w:line="360" w:lineRule="auto"/>
        <w:ind w:left="0" w:firstLine="560" w:firstLineChars="200"/>
        <w:jc w:val="left"/>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法定代表人或主要负责人姓名：XXXX</w:t>
      </w:r>
    </w:p>
    <w:p>
      <w:pPr>
        <w:widowControl/>
        <w:numPr>
          <w:ilvl w:val="2"/>
          <w:numId w:val="17"/>
        </w:numPr>
        <w:tabs>
          <w:tab w:val="left" w:pos="1276"/>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开户银行名称：XXXX</w:t>
      </w:r>
    </w:p>
    <w:p>
      <w:pPr>
        <w:spacing w:line="360" w:lineRule="auto"/>
        <w:ind w:firstLine="1260" w:firstLineChars="45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地址：XXXX</w:t>
      </w:r>
    </w:p>
    <w:p>
      <w:pPr>
        <w:spacing w:line="360" w:lineRule="auto"/>
        <w:ind w:firstLine="1260" w:firstLineChars="4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账号：XXXX</w:t>
      </w:r>
    </w:p>
    <w:p>
      <w:pPr>
        <w:spacing w:line="360" w:lineRule="auto"/>
        <w:ind w:left="560"/>
        <w:rPr>
          <w:rFonts w:hint="eastAsia" w:asciiTheme="minorEastAsia" w:hAnsiTheme="minorEastAsia" w:eastAsiaTheme="minorEastAsia" w:cstheme="minorEastAsia"/>
          <w:sz w:val="28"/>
          <w:szCs w:val="28"/>
        </w:rPr>
      </w:pPr>
    </w:p>
    <w:p>
      <w:pPr>
        <w:spacing w:line="360" w:lineRule="auto"/>
        <w:ind w:left="560"/>
        <w:rPr>
          <w:rFonts w:hint="eastAsia" w:asciiTheme="minorEastAsia" w:hAnsiTheme="minorEastAsia" w:eastAsiaTheme="minorEastAsia" w:cstheme="minorEastAsia"/>
          <w:sz w:val="28"/>
          <w:szCs w:val="28"/>
        </w:rPr>
      </w:pPr>
    </w:p>
    <w:p>
      <w:pPr>
        <w:spacing w:line="360" w:lineRule="auto"/>
        <w:ind w:left="560"/>
        <w:rPr>
          <w:rFonts w:hint="eastAsia" w:asciiTheme="minorEastAsia" w:hAnsiTheme="minorEastAsia" w:eastAsiaTheme="minorEastAsia" w:cstheme="minorEastAsia"/>
          <w:sz w:val="28"/>
          <w:szCs w:val="28"/>
        </w:rPr>
      </w:pPr>
    </w:p>
    <w:p>
      <w:pPr>
        <w:spacing w:line="360" w:lineRule="auto"/>
        <w:ind w:left="560"/>
        <w:rPr>
          <w:rFonts w:hint="eastAsia" w:asciiTheme="minorEastAsia" w:hAnsiTheme="minorEastAsia" w:eastAsiaTheme="minorEastAsia" w:cstheme="minorEastAsia"/>
          <w:sz w:val="28"/>
          <w:szCs w:val="28"/>
        </w:rPr>
      </w:pPr>
    </w:p>
    <w:p>
      <w:pPr>
        <w:spacing w:line="360" w:lineRule="auto"/>
        <w:ind w:left="560"/>
        <w:rPr>
          <w:rFonts w:hint="eastAsia" w:asciiTheme="minorEastAsia" w:hAnsiTheme="minorEastAsia" w:eastAsiaTheme="minorEastAsia" w:cstheme="minorEastAsia"/>
          <w:sz w:val="28"/>
          <w:szCs w:val="28"/>
        </w:rPr>
      </w:pPr>
    </w:p>
    <w:p>
      <w:pPr>
        <w:spacing w:line="360" w:lineRule="auto"/>
        <w:ind w:left="56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投标人名称：</w:t>
      </w:r>
      <w:r>
        <w:rPr>
          <w:rFonts w:hint="eastAsia" w:asciiTheme="minorEastAsia" w:hAnsiTheme="minorEastAsia" w:eastAsiaTheme="minorEastAsia" w:cstheme="minorEastAsia"/>
          <w:sz w:val="28"/>
          <w:szCs w:val="28"/>
          <w:u w:val="single"/>
        </w:rPr>
        <w:t>XXXX</w:t>
      </w:r>
    </w:p>
    <w:p>
      <w:pPr>
        <w:spacing w:line="360" w:lineRule="auto"/>
        <w:ind w:left="283" w:leftChars="135" w:firstLine="280" w:firstLine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bCs/>
          <w:sz w:val="28"/>
          <w:szCs w:val="28"/>
        </w:rPr>
        <w:t>日    期：</w:t>
      </w:r>
      <w:r>
        <w:rPr>
          <w:rFonts w:hint="eastAsia" w:asciiTheme="minorEastAsia" w:hAnsiTheme="minorEastAsia" w:eastAsiaTheme="minorEastAsia" w:cstheme="minorEastAsia"/>
          <w:bCs/>
          <w:sz w:val="28"/>
        </w:rPr>
        <w:t>202</w:t>
      </w:r>
      <w:r>
        <w:rPr>
          <w:rFonts w:hint="eastAsia" w:asciiTheme="minorEastAsia" w:hAnsiTheme="minorEastAsia" w:eastAsiaTheme="minorEastAsia" w:cstheme="minorEastAsia"/>
          <w:bCs/>
          <w:sz w:val="28"/>
          <w:u w:val="single"/>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日</w:t>
      </w:r>
    </w:p>
    <w:p>
      <w:pPr>
        <w:spacing w:line="380" w:lineRule="exact"/>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b/>
          <w:bCs/>
          <w:sz w:val="32"/>
          <w:szCs w:val="32"/>
        </w:rPr>
      </w:pP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声明</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致：成都东部新区党工委管委会（成都市东部新城办）综合部</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我单位作为</w:t>
      </w:r>
      <w:r>
        <w:rPr>
          <w:rFonts w:hint="eastAsia" w:asciiTheme="minorEastAsia" w:hAnsiTheme="minorEastAsia" w:eastAsiaTheme="minorEastAsia" w:cstheme="minorEastAsia"/>
          <w:b/>
          <w:sz w:val="28"/>
          <w:szCs w:val="28"/>
          <w:u w:val="single"/>
          <w:lang w:eastAsia="zh-CN"/>
        </w:rPr>
        <w:t>丹景街道新民家园一期征地拆迁安置小区物业管理服务采购项目</w:t>
      </w:r>
      <w:r>
        <w:rPr>
          <w:rFonts w:hint="eastAsia" w:asciiTheme="minorEastAsia" w:hAnsiTheme="minorEastAsia" w:eastAsiaTheme="minorEastAsia" w:cstheme="minorEastAsia"/>
          <w:b/>
          <w:sz w:val="28"/>
          <w:szCs w:val="28"/>
          <w:u w:val="single"/>
        </w:rPr>
        <w:t>（项目编号：</w:t>
      </w:r>
      <w:r>
        <w:rPr>
          <w:rFonts w:hint="eastAsia" w:asciiTheme="minorEastAsia" w:hAnsiTheme="minorEastAsia" w:eastAsiaTheme="minorEastAsia" w:cstheme="minorEastAsia"/>
          <w:b/>
          <w:sz w:val="28"/>
          <w:szCs w:val="28"/>
          <w:u w:val="single"/>
          <w:lang w:eastAsia="zh-CN"/>
        </w:rPr>
        <w:t>东部新区政采（2021）A0065号</w:t>
      </w:r>
      <w:r>
        <w:rPr>
          <w:rFonts w:hint="eastAsia" w:asciiTheme="minorEastAsia" w:hAnsiTheme="minorEastAsia" w:eastAsiaTheme="minorEastAsia" w:cstheme="minorEastAsia"/>
          <w:b/>
          <w:sz w:val="28"/>
          <w:szCs w:val="28"/>
          <w:u w:val="single"/>
        </w:rPr>
        <w:t>）</w:t>
      </w:r>
      <w:r>
        <w:rPr>
          <w:rFonts w:hint="eastAsia" w:asciiTheme="minorEastAsia" w:hAnsiTheme="minorEastAsia" w:eastAsiaTheme="minorEastAsia" w:cstheme="minorEastAsia"/>
          <w:sz w:val="28"/>
          <w:szCs w:val="28"/>
        </w:rPr>
        <w:t>的投标人，在此郑重声明：</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一、我单位参加政府采购活动前三年内，在经营活动中</w:t>
      </w:r>
      <w:r>
        <w:rPr>
          <w:rFonts w:hint="eastAsia" w:asciiTheme="minorEastAsia" w:hAnsiTheme="minorEastAsia" w:eastAsiaTheme="minorEastAsia" w:cstheme="minorEastAsia"/>
          <w:b/>
          <w:sz w:val="28"/>
          <w:szCs w:val="28"/>
          <w:u w:val="single"/>
        </w:rPr>
        <w:t>（说明：填写“没有”或“有”）</w:t>
      </w:r>
      <w:r>
        <w:rPr>
          <w:rFonts w:hint="eastAsia" w:asciiTheme="minorEastAsia" w:hAnsiTheme="minorEastAsia" w:eastAsiaTheme="minorEastAsia" w:cstheme="minorEastAsia"/>
          <w:sz w:val="28"/>
          <w:szCs w:val="28"/>
        </w:rPr>
        <w:t>重大违法记录。</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二、我单位</w:t>
      </w:r>
      <w:r>
        <w:rPr>
          <w:rFonts w:hint="eastAsia" w:asciiTheme="minorEastAsia" w:hAnsiTheme="minorEastAsia" w:eastAsiaTheme="minorEastAsia" w:cstheme="minorEastAsia"/>
          <w:b/>
          <w:sz w:val="28"/>
          <w:szCs w:val="28"/>
          <w:u w:val="single"/>
        </w:rPr>
        <w:t>（说明：填写“具有”或“不具有”）</w:t>
      </w:r>
      <w:r>
        <w:rPr>
          <w:rFonts w:hint="eastAsia" w:asciiTheme="minorEastAsia" w:hAnsiTheme="minorEastAsia" w:eastAsiaTheme="minorEastAsia" w:cstheme="minorEastAsia"/>
          <w:sz w:val="28"/>
          <w:szCs w:val="28"/>
        </w:rPr>
        <w:t>良好的商业信誉。</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三、与我单位负责人为同一人或者存在直接控股、管理关系的不同供应商：</w:t>
      </w:r>
      <w:r>
        <w:rPr>
          <w:rFonts w:hint="eastAsia" w:asciiTheme="minorEastAsia" w:hAnsiTheme="minorEastAsia" w:eastAsiaTheme="minorEastAsia" w:cstheme="minorEastAsia"/>
          <w:b/>
          <w:sz w:val="28"/>
          <w:szCs w:val="28"/>
          <w:u w:val="single"/>
        </w:rPr>
        <w:t>（说明：填写“无”或“（一）供应商名称１；（二）供应商名称２；（三）……”）</w:t>
      </w:r>
      <w:r>
        <w:rPr>
          <w:rFonts w:hint="eastAsia" w:asciiTheme="minorEastAsia" w:hAnsiTheme="minorEastAsia" w:eastAsiaTheme="minorEastAsia" w:cstheme="minorEastAsia"/>
          <w:b/>
          <w:sz w:val="28"/>
          <w:szCs w:val="28"/>
        </w:rPr>
        <w:t xml:space="preserve"> </w:t>
      </w:r>
      <w:r>
        <w:rPr>
          <w:rFonts w:hint="eastAsia" w:asciiTheme="minorEastAsia" w:hAnsiTheme="minorEastAsia" w:eastAsiaTheme="minorEastAsia" w:cstheme="minorEastAsia"/>
          <w:sz w:val="28"/>
          <w:szCs w:val="28"/>
        </w:rPr>
        <w:t>。</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四、在行贿犯罪信息查询期限内，我单位及我单位现任法定代表人、主要负责人</w:t>
      </w:r>
      <w:r>
        <w:rPr>
          <w:rFonts w:hint="eastAsia" w:asciiTheme="minorEastAsia" w:hAnsiTheme="minorEastAsia" w:eastAsiaTheme="minorEastAsia" w:cstheme="minorEastAsia"/>
          <w:b/>
          <w:sz w:val="28"/>
          <w:szCs w:val="28"/>
          <w:u w:val="single"/>
        </w:rPr>
        <w:t>（说明：填写“没有”或“有”）</w:t>
      </w:r>
      <w:r>
        <w:rPr>
          <w:rFonts w:hint="eastAsia" w:asciiTheme="minorEastAsia" w:hAnsiTheme="minorEastAsia" w:eastAsiaTheme="minorEastAsia" w:cstheme="minorEastAsia"/>
          <w:sz w:val="28"/>
          <w:szCs w:val="28"/>
        </w:rPr>
        <w:t>行贿犯罪记录。</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五、我单位</w:t>
      </w:r>
      <w:r>
        <w:rPr>
          <w:rFonts w:hint="eastAsia" w:asciiTheme="minorEastAsia" w:hAnsiTheme="minorEastAsia" w:eastAsiaTheme="minorEastAsia" w:cstheme="minorEastAsia"/>
          <w:b/>
          <w:sz w:val="28"/>
          <w:szCs w:val="28"/>
          <w:u w:val="single"/>
        </w:rPr>
        <w:t>（说明：填写“未列入”或“被列入”）</w:t>
      </w:r>
      <w:r>
        <w:rPr>
          <w:rFonts w:hint="eastAsia" w:asciiTheme="minorEastAsia" w:hAnsiTheme="minorEastAsia" w:eastAsiaTheme="minorEastAsia" w:cstheme="minorEastAsia"/>
          <w:sz w:val="28"/>
          <w:szCs w:val="28"/>
        </w:rPr>
        <w:t>失信被执行人、重大税收违法案件当事人名单。</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我单位</w:t>
      </w:r>
      <w:r>
        <w:rPr>
          <w:rFonts w:hint="eastAsia" w:asciiTheme="minorEastAsia" w:hAnsiTheme="minorEastAsia" w:eastAsiaTheme="minorEastAsia" w:cstheme="minorEastAsia"/>
          <w:b/>
          <w:sz w:val="28"/>
          <w:szCs w:val="28"/>
          <w:u w:val="single"/>
        </w:rPr>
        <w:t>（说明：填写“未列入”或“被列入”）</w:t>
      </w:r>
      <w:r>
        <w:rPr>
          <w:rFonts w:hint="eastAsia" w:asciiTheme="minorEastAsia" w:hAnsiTheme="minorEastAsia" w:eastAsiaTheme="minorEastAsia" w:cstheme="minorEastAsia"/>
          <w:sz w:val="28"/>
          <w:szCs w:val="28"/>
        </w:rPr>
        <w:t>政府采购严重违法失信行为记录名单。</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sz w:val="28"/>
          <w:szCs w:val="28"/>
        </w:rPr>
        <w:t>六、我单位</w:t>
      </w:r>
      <w:r>
        <w:rPr>
          <w:rFonts w:hint="eastAsia" w:asciiTheme="minorEastAsia" w:hAnsiTheme="minorEastAsia" w:eastAsiaTheme="minorEastAsia" w:cstheme="minorEastAsia"/>
          <w:b/>
          <w:sz w:val="28"/>
          <w:szCs w:val="28"/>
          <w:u w:val="single"/>
        </w:rPr>
        <w:t>（说明：填写“未处于”或“处于”）</w:t>
      </w:r>
      <w:r>
        <w:rPr>
          <w:rFonts w:hint="eastAsia" w:asciiTheme="minorEastAsia" w:hAnsiTheme="minorEastAsia" w:eastAsiaTheme="minorEastAsia" w:cstheme="minorEastAsia"/>
          <w:bCs/>
          <w:sz w:val="28"/>
          <w:szCs w:val="28"/>
        </w:rPr>
        <w:t>被行政部门禁止参与政府采购活动的期限内。</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七、我单位</w:t>
      </w:r>
      <w:r>
        <w:rPr>
          <w:rFonts w:hint="eastAsia" w:asciiTheme="minorEastAsia" w:hAnsiTheme="minorEastAsia" w:eastAsiaTheme="minorEastAsia" w:cstheme="minorEastAsia"/>
          <w:b/>
          <w:sz w:val="28"/>
          <w:u w:val="single"/>
        </w:rPr>
        <w:t>（说明：填写“具有”或“不具有”）</w:t>
      </w:r>
      <w:r>
        <w:rPr>
          <w:rFonts w:hint="eastAsia" w:asciiTheme="minorEastAsia" w:hAnsiTheme="minorEastAsia" w:eastAsiaTheme="minorEastAsia" w:cstheme="minorEastAsia"/>
          <w:sz w:val="28"/>
        </w:rPr>
        <w:t>健全的财务会计制度。</w:t>
      </w:r>
    </w:p>
    <w:p>
      <w:pPr>
        <w:pStyle w:val="2"/>
        <w:keepNext w:val="0"/>
        <w:keepLines w:val="0"/>
        <w:pageBreakBefore w:val="0"/>
        <w:widowControl w:val="0"/>
        <w:kinsoku/>
        <w:wordWrap/>
        <w:overflowPunct/>
        <w:topLinePunct w:val="0"/>
        <w:autoSpaceDE/>
        <w:autoSpaceDN/>
        <w:bidi w:val="0"/>
        <w:adjustRightInd/>
        <w:snapToGrid/>
        <w:spacing w:after="0" w:line="312" w:lineRule="auto"/>
        <w:ind w:firstLine="560" w:firstLineChars="200"/>
        <w:textAlignment w:val="auto"/>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八、我单位</w:t>
      </w:r>
      <w:r>
        <w:rPr>
          <w:rFonts w:hint="eastAsia" w:asciiTheme="minorEastAsia" w:hAnsiTheme="minorEastAsia" w:eastAsiaTheme="minorEastAsia" w:cstheme="minorEastAsia"/>
          <w:b/>
          <w:bCs/>
          <w:sz w:val="28"/>
          <w:szCs w:val="28"/>
          <w:u w:val="single"/>
        </w:rPr>
        <w:t>（说明：填写“有”或“无”）</w:t>
      </w:r>
      <w:r>
        <w:rPr>
          <w:rFonts w:hint="eastAsia" w:asciiTheme="minorEastAsia" w:hAnsiTheme="minorEastAsia" w:eastAsiaTheme="minorEastAsia" w:cstheme="minorEastAsia"/>
          <w:bCs/>
          <w:sz w:val="28"/>
          <w:szCs w:val="28"/>
        </w:rPr>
        <w:t>依法缴纳社会保障资金的良好记录。</w:t>
      </w:r>
    </w:p>
    <w:p>
      <w:pPr>
        <w:pStyle w:val="2"/>
        <w:keepNext w:val="0"/>
        <w:keepLines w:val="0"/>
        <w:pageBreakBefore w:val="0"/>
        <w:widowControl w:val="0"/>
        <w:kinsoku/>
        <w:wordWrap/>
        <w:overflowPunct/>
        <w:topLinePunct w:val="0"/>
        <w:autoSpaceDE/>
        <w:autoSpaceDN/>
        <w:bidi w:val="0"/>
        <w:adjustRightInd/>
        <w:snapToGrid/>
        <w:spacing w:after="0" w:line="312" w:lineRule="auto"/>
        <w:ind w:firstLine="56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8"/>
          <w:szCs w:val="28"/>
        </w:rPr>
        <w:t>九、我单位</w:t>
      </w:r>
      <w:r>
        <w:rPr>
          <w:rFonts w:hint="eastAsia" w:asciiTheme="minorEastAsia" w:hAnsiTheme="minorEastAsia" w:eastAsiaTheme="minorEastAsia" w:cstheme="minorEastAsia"/>
          <w:b/>
          <w:bCs/>
          <w:sz w:val="28"/>
          <w:szCs w:val="28"/>
          <w:u w:val="single"/>
        </w:rPr>
        <w:t>（说明：填写“有”或“无”）</w:t>
      </w:r>
      <w:r>
        <w:rPr>
          <w:rFonts w:hint="eastAsia" w:asciiTheme="minorEastAsia" w:hAnsiTheme="minorEastAsia" w:eastAsiaTheme="minorEastAsia" w:cstheme="minorEastAsia"/>
          <w:bCs/>
          <w:sz w:val="28"/>
          <w:szCs w:val="28"/>
        </w:rPr>
        <w:t>依法缴纳税收的良好记录。</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特此声明。</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投标人名称：</w:t>
      </w:r>
      <w:r>
        <w:rPr>
          <w:rFonts w:hint="eastAsia" w:asciiTheme="minorEastAsia" w:hAnsiTheme="minorEastAsia" w:eastAsiaTheme="minorEastAsia" w:cstheme="minorEastAsia"/>
          <w:sz w:val="28"/>
          <w:szCs w:val="28"/>
          <w:u w:val="single"/>
        </w:rPr>
        <w:t>XXXX</w:t>
      </w:r>
    </w:p>
    <w:p>
      <w:pPr>
        <w:keepNext w:val="0"/>
        <w:keepLines w:val="0"/>
        <w:pageBreakBefore w:val="0"/>
        <w:widowControl w:val="0"/>
        <w:tabs>
          <w:tab w:val="left" w:pos="1260"/>
        </w:tabs>
        <w:kinsoku/>
        <w:wordWrap/>
        <w:overflowPunct/>
        <w:topLinePunct w:val="0"/>
        <w:autoSpaceDE/>
        <w:autoSpaceDN/>
        <w:bidi w:val="0"/>
        <w:adjustRightInd/>
        <w:snapToGrid/>
        <w:spacing w:line="312" w:lineRule="auto"/>
        <w:ind w:firstLine="560" w:firstLineChars="200"/>
        <w:textAlignment w:val="auto"/>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日    期：202</w:t>
      </w:r>
      <w:r>
        <w:rPr>
          <w:rFonts w:hint="eastAsia" w:asciiTheme="minorEastAsia" w:hAnsiTheme="minorEastAsia" w:eastAsiaTheme="minorEastAsia" w:cstheme="minorEastAsia"/>
          <w:sz w:val="28"/>
          <w:szCs w:val="28"/>
          <w:u w:val="single"/>
        </w:rPr>
        <w:t>X</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日</w:t>
      </w:r>
    </w:p>
    <w:p>
      <w:pPr>
        <w:keepNext w:val="0"/>
        <w:keepLines w:val="0"/>
        <w:pageBreakBefore w:val="0"/>
        <w:widowControl w:val="0"/>
        <w:tabs>
          <w:tab w:val="left" w:pos="1260"/>
        </w:tabs>
        <w:kinsoku/>
        <w:wordWrap/>
        <w:overflowPunct/>
        <w:topLinePunct w:val="0"/>
        <w:autoSpaceDE/>
        <w:autoSpaceDN/>
        <w:bidi w:val="0"/>
        <w:adjustRightInd/>
        <w:snapToGrid/>
        <w:spacing w:line="336"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说明：</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1.对声明中第一条的说明：如投标人在参加政府采购活动前三年内，在经营活动中有重大违法记录的，应填写“有”，投标人投标文件将被认定为无效；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2.对声明中第三条的说明：单位负责人为同一人或者存在直接控股、管理关系的不同供应商，不得参加同一合同项下的政府采购活动；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5.对声明中第六条的说明：如投标人处于被行政部门禁止参加政府采购活动期限内的，该声明填“处于”，投标人投标文件将被认定为无效。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6.对声明中第七条的说明：投标人不具有健全的财务会计制度的，应填写“不具有”，投标人投标文件将被认定为无效；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7.对声明中第八条的说明：如投标人无依法缴纳社会保障资金的良好记录的，应填写“无”，投标人投标文件将被认定为无效。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8.对声明中第九条的说明：如投标人无依法缴纳税收的良好记录的，应填写“无”，投标人投标文件将被认定为无效。</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pPr>
        <w:pStyle w:val="4"/>
        <w:numPr>
          <w:ilvl w:val="2"/>
          <w:numId w:val="3"/>
        </w:numPr>
        <w:spacing w:after="200" w:line="240" w:lineRule="auto"/>
        <w:ind w:left="85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中小企业声明函</w:t>
      </w:r>
    </w:p>
    <w:p>
      <w:pPr>
        <w:spacing w:line="360" w:lineRule="auto"/>
        <w:jc w:val="center"/>
        <w:rPr>
          <w:rFonts w:hint="eastAsia" w:asciiTheme="minorEastAsia" w:hAnsiTheme="minorEastAsia" w:eastAsiaTheme="minorEastAsia" w:cstheme="minorEastAsia"/>
          <w:b/>
          <w:spacing w:val="6"/>
          <w:sz w:val="28"/>
          <w:szCs w:val="28"/>
        </w:rPr>
      </w:pPr>
    </w:p>
    <w:p>
      <w:pPr>
        <w:spacing w:line="360" w:lineRule="auto"/>
        <w:jc w:val="center"/>
        <w:rPr>
          <w:rFonts w:hint="eastAsia" w:asciiTheme="minorEastAsia" w:hAnsiTheme="minorEastAsia" w:eastAsiaTheme="minorEastAsia" w:cstheme="minorEastAsia"/>
          <w:b/>
          <w:spacing w:val="6"/>
          <w:sz w:val="28"/>
          <w:szCs w:val="28"/>
        </w:rPr>
      </w:pPr>
      <w:r>
        <w:rPr>
          <w:rFonts w:hint="eastAsia" w:asciiTheme="minorEastAsia" w:hAnsiTheme="minorEastAsia" w:eastAsiaTheme="minorEastAsia" w:cstheme="minorEastAsia"/>
          <w:b/>
          <w:spacing w:val="6"/>
          <w:sz w:val="28"/>
          <w:szCs w:val="28"/>
        </w:rPr>
        <w:t>中小企业声明函</w:t>
      </w:r>
    </w:p>
    <w:p>
      <w:pPr>
        <w:keepNext w:val="0"/>
        <w:keepLines w:val="0"/>
        <w:pageBreakBefore w:val="0"/>
        <w:widowControl w:val="0"/>
        <w:kinsoku/>
        <w:wordWrap w:val="0"/>
        <w:overflowPunct/>
        <w:topLinePunct w:val="0"/>
        <w:autoSpaceDE/>
        <w:autoSpaceDN/>
        <w:bidi w:val="0"/>
        <w:adjustRightInd/>
        <w:snapToGrid/>
        <w:spacing w:line="360" w:lineRule="auto"/>
        <w:ind w:firstLine="584" w:firstLineChars="200"/>
        <w:textAlignment w:val="auto"/>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本公司郑重声明，根据《政府采购促进中小企业发展管理办法》（财库〔2020〕46号）的规定，本公司参加</w:t>
      </w:r>
      <w:r>
        <w:rPr>
          <w:rFonts w:hint="eastAsia" w:asciiTheme="minorEastAsia" w:hAnsiTheme="minorEastAsia" w:eastAsiaTheme="minorEastAsia" w:cstheme="minorEastAsia"/>
          <w:b/>
          <w:sz w:val="28"/>
          <w:szCs w:val="28"/>
          <w:u w:val="single"/>
        </w:rPr>
        <w:t>XXXX</w:t>
      </w:r>
      <w:r>
        <w:rPr>
          <w:rFonts w:hint="eastAsia" w:asciiTheme="minorEastAsia" w:hAnsiTheme="minorEastAsia" w:eastAsiaTheme="minorEastAsia" w:cstheme="minorEastAsia"/>
          <w:spacing w:val="6"/>
          <w:sz w:val="28"/>
          <w:szCs w:val="28"/>
        </w:rPr>
        <w:t>的</w:t>
      </w:r>
      <w:r>
        <w:rPr>
          <w:rFonts w:hint="eastAsia" w:asciiTheme="minorEastAsia" w:hAnsiTheme="minorEastAsia" w:eastAsiaTheme="minorEastAsia" w:cstheme="minorEastAsia"/>
          <w:b/>
          <w:sz w:val="28"/>
          <w:szCs w:val="28"/>
          <w:u w:val="single"/>
          <w:lang w:eastAsia="zh-CN"/>
        </w:rPr>
        <w:t>丹景街道新民家园一期征地拆迁安置小区物业管理服务采购项目</w:t>
      </w:r>
      <w:r>
        <w:rPr>
          <w:rFonts w:hint="eastAsia" w:asciiTheme="minorEastAsia" w:hAnsiTheme="minorEastAsia" w:eastAsiaTheme="minorEastAsia" w:cstheme="minorEastAsia"/>
          <w:b/>
          <w:sz w:val="28"/>
          <w:szCs w:val="28"/>
          <w:u w:val="single"/>
        </w:rPr>
        <w:t>（</w:t>
      </w:r>
      <w:r>
        <w:rPr>
          <w:rFonts w:hint="eastAsia" w:asciiTheme="minorEastAsia" w:hAnsiTheme="minorEastAsia" w:eastAsiaTheme="minorEastAsia" w:cstheme="minorEastAsia"/>
          <w:b/>
          <w:kern w:val="0"/>
          <w:sz w:val="28"/>
          <w:szCs w:val="28"/>
          <w:u w:val="single"/>
          <w:lang w:eastAsia="zh-CN"/>
        </w:rPr>
        <w:t>东部新区政采（2021）A0065号</w:t>
      </w:r>
      <w:r>
        <w:rPr>
          <w:rFonts w:hint="eastAsia" w:asciiTheme="minorEastAsia" w:hAnsiTheme="minorEastAsia" w:eastAsiaTheme="minorEastAsia" w:cstheme="minorEastAsia"/>
          <w:b/>
          <w:sz w:val="28"/>
          <w:szCs w:val="28"/>
          <w:u w:val="single"/>
        </w:rPr>
        <w:t>）</w:t>
      </w:r>
      <w:r>
        <w:rPr>
          <w:rFonts w:hint="eastAsia" w:asciiTheme="minorEastAsia" w:hAnsiTheme="minorEastAsia" w:eastAsiaTheme="minorEastAsia" w:cstheme="minorEastAsia"/>
          <w:spacing w:val="6"/>
          <w:sz w:val="28"/>
          <w:szCs w:val="28"/>
        </w:rPr>
        <w:t>采购活动，服务全部由符合政策要求的中小企业承接。相关企业的具体情况如下：</w:t>
      </w:r>
    </w:p>
    <w:p>
      <w:pPr>
        <w:tabs>
          <w:tab w:val="left" w:pos="1134"/>
        </w:tabs>
        <w:spacing w:line="360" w:lineRule="auto"/>
        <w:ind w:firstLine="584" w:firstLineChars="200"/>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u w:val="single"/>
        </w:rPr>
        <w:t>XXXX（标的名称）</w:t>
      </w:r>
      <w:r>
        <w:rPr>
          <w:rFonts w:hint="eastAsia" w:asciiTheme="minorEastAsia" w:hAnsiTheme="minorEastAsia" w:eastAsiaTheme="minorEastAsia" w:cstheme="minorEastAsia"/>
          <w:spacing w:val="6"/>
          <w:sz w:val="28"/>
          <w:szCs w:val="28"/>
        </w:rPr>
        <w:t>，属于</w:t>
      </w:r>
      <w:r>
        <w:rPr>
          <w:rFonts w:hint="eastAsia" w:asciiTheme="minorEastAsia" w:hAnsiTheme="minorEastAsia" w:eastAsiaTheme="minorEastAsia" w:cstheme="minorEastAsia"/>
          <w:spacing w:val="6"/>
          <w:sz w:val="28"/>
          <w:szCs w:val="28"/>
          <w:u w:val="single"/>
        </w:rPr>
        <w:t>XXXX（采购文件中明确的所属行业）</w:t>
      </w:r>
      <w:r>
        <w:rPr>
          <w:rFonts w:hint="eastAsia" w:asciiTheme="minorEastAsia" w:hAnsiTheme="minorEastAsia" w:eastAsiaTheme="minorEastAsia" w:cstheme="minorEastAsia"/>
          <w:spacing w:val="6"/>
          <w:sz w:val="28"/>
          <w:szCs w:val="28"/>
        </w:rPr>
        <w:t>；承接企业为</w:t>
      </w:r>
      <w:r>
        <w:rPr>
          <w:rFonts w:hint="eastAsia" w:asciiTheme="minorEastAsia" w:hAnsiTheme="minorEastAsia" w:eastAsiaTheme="minorEastAsia" w:cstheme="minorEastAsia"/>
          <w:spacing w:val="6"/>
          <w:sz w:val="28"/>
          <w:szCs w:val="28"/>
          <w:u w:val="single"/>
        </w:rPr>
        <w:t>XXXX（企业名称）</w:t>
      </w:r>
      <w:r>
        <w:rPr>
          <w:rFonts w:hint="eastAsia" w:asciiTheme="minorEastAsia" w:hAnsiTheme="minorEastAsia" w:eastAsiaTheme="minorEastAsia" w:cstheme="minorEastAsia"/>
          <w:spacing w:val="6"/>
          <w:sz w:val="28"/>
          <w:szCs w:val="28"/>
        </w:rPr>
        <w:t>，从业人员</w:t>
      </w:r>
      <w:r>
        <w:rPr>
          <w:rFonts w:hint="eastAsia" w:asciiTheme="minorEastAsia" w:hAnsiTheme="minorEastAsia" w:eastAsiaTheme="minorEastAsia" w:cstheme="minorEastAsia"/>
          <w:spacing w:val="6"/>
          <w:sz w:val="28"/>
          <w:szCs w:val="28"/>
          <w:u w:val="single"/>
        </w:rPr>
        <w:t>XX</w:t>
      </w:r>
      <w:r>
        <w:rPr>
          <w:rFonts w:hint="eastAsia" w:asciiTheme="minorEastAsia" w:hAnsiTheme="minorEastAsia" w:eastAsiaTheme="minorEastAsia" w:cstheme="minorEastAsia"/>
          <w:spacing w:val="6"/>
          <w:sz w:val="28"/>
          <w:szCs w:val="28"/>
        </w:rPr>
        <w:t>人，营业收入为</w:t>
      </w:r>
      <w:r>
        <w:rPr>
          <w:rFonts w:hint="eastAsia" w:asciiTheme="minorEastAsia" w:hAnsiTheme="minorEastAsia" w:eastAsiaTheme="minorEastAsia" w:cstheme="minorEastAsia"/>
          <w:spacing w:val="6"/>
          <w:sz w:val="28"/>
          <w:szCs w:val="28"/>
          <w:u w:val="single"/>
        </w:rPr>
        <w:t>XX</w:t>
      </w:r>
      <w:r>
        <w:rPr>
          <w:rFonts w:hint="eastAsia" w:asciiTheme="minorEastAsia" w:hAnsiTheme="minorEastAsia" w:eastAsiaTheme="minorEastAsia" w:cstheme="minorEastAsia"/>
          <w:spacing w:val="6"/>
          <w:sz w:val="28"/>
          <w:szCs w:val="28"/>
        </w:rPr>
        <w:t>万元，资产总额为</w:t>
      </w:r>
      <w:r>
        <w:rPr>
          <w:rFonts w:hint="eastAsia" w:asciiTheme="minorEastAsia" w:hAnsiTheme="minorEastAsia" w:eastAsiaTheme="minorEastAsia" w:cstheme="minorEastAsia"/>
          <w:spacing w:val="6"/>
          <w:sz w:val="28"/>
          <w:szCs w:val="28"/>
          <w:u w:val="single"/>
        </w:rPr>
        <w:t>XX</w:t>
      </w:r>
      <w:r>
        <w:rPr>
          <w:rFonts w:hint="eastAsia" w:asciiTheme="minorEastAsia" w:hAnsiTheme="minorEastAsia" w:eastAsiaTheme="minorEastAsia" w:cstheme="minorEastAsia"/>
          <w:spacing w:val="6"/>
          <w:sz w:val="28"/>
          <w:szCs w:val="28"/>
        </w:rPr>
        <w:t>万元，属于</w:t>
      </w:r>
      <w:r>
        <w:rPr>
          <w:rFonts w:hint="eastAsia" w:asciiTheme="minorEastAsia" w:hAnsiTheme="minorEastAsia" w:eastAsiaTheme="minorEastAsia" w:cstheme="minorEastAsia"/>
          <w:spacing w:val="6"/>
          <w:sz w:val="28"/>
          <w:szCs w:val="28"/>
          <w:u w:val="single"/>
        </w:rPr>
        <w:t>XXXX（中型企业、小型企业、微型企业）</w:t>
      </w:r>
      <w:r>
        <w:rPr>
          <w:rFonts w:hint="eastAsia" w:asciiTheme="minorEastAsia" w:hAnsiTheme="minorEastAsia" w:eastAsiaTheme="minorEastAsia" w:cstheme="minorEastAsia"/>
          <w:spacing w:val="6"/>
          <w:sz w:val="28"/>
          <w:szCs w:val="28"/>
        </w:rPr>
        <w:t>。</w:t>
      </w:r>
    </w:p>
    <w:p>
      <w:pPr>
        <w:tabs>
          <w:tab w:val="left" w:pos="1134"/>
        </w:tabs>
        <w:spacing w:line="360" w:lineRule="auto"/>
        <w:ind w:firstLine="584" w:firstLineChars="200"/>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以上企业，不属于大企业的分支机构，不存在控股股东为大企业的情形，也不存在与大企业的负责人为同一人的情形。</w:t>
      </w:r>
    </w:p>
    <w:p>
      <w:pPr>
        <w:tabs>
          <w:tab w:val="left" w:pos="1134"/>
        </w:tabs>
        <w:spacing w:line="360" w:lineRule="auto"/>
        <w:ind w:firstLine="584" w:firstLineChars="200"/>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本企业对上述声明内容的真实性负责。如有虚假，将依法承担相应责任。</w:t>
      </w:r>
    </w:p>
    <w:p>
      <w:pPr>
        <w:spacing w:line="500" w:lineRule="exact"/>
        <w:ind w:firstLine="586" w:firstLineChars="200"/>
        <w:rPr>
          <w:rFonts w:hint="eastAsia" w:asciiTheme="minorEastAsia" w:hAnsiTheme="minorEastAsia" w:eastAsiaTheme="minorEastAsia" w:cstheme="minorEastAsia"/>
          <w:b/>
          <w:spacing w:val="6"/>
          <w:sz w:val="28"/>
          <w:szCs w:val="28"/>
        </w:rPr>
      </w:pPr>
    </w:p>
    <w:p>
      <w:pPr>
        <w:spacing w:line="500" w:lineRule="exact"/>
        <w:ind w:firstLine="586" w:firstLineChars="200"/>
        <w:rPr>
          <w:rFonts w:hint="eastAsia" w:asciiTheme="minorEastAsia" w:hAnsiTheme="minorEastAsia" w:eastAsiaTheme="minorEastAsia" w:cstheme="minorEastAsia"/>
          <w:b/>
          <w:spacing w:val="6"/>
          <w:sz w:val="28"/>
          <w:szCs w:val="28"/>
        </w:rPr>
      </w:pPr>
    </w:p>
    <w:p>
      <w:pPr>
        <w:spacing w:line="500" w:lineRule="exact"/>
        <w:ind w:firstLine="586" w:firstLineChars="200"/>
        <w:rPr>
          <w:rFonts w:hint="eastAsia" w:asciiTheme="minorEastAsia" w:hAnsiTheme="minorEastAsia" w:eastAsiaTheme="minorEastAsia" w:cstheme="minorEastAsia"/>
          <w:b/>
          <w:spacing w:val="6"/>
          <w:sz w:val="28"/>
          <w:szCs w:val="28"/>
        </w:rPr>
      </w:pPr>
    </w:p>
    <w:p>
      <w:pPr>
        <w:spacing w:line="500" w:lineRule="exact"/>
        <w:ind w:firstLine="586" w:firstLineChars="200"/>
        <w:rPr>
          <w:rFonts w:hint="eastAsia" w:asciiTheme="minorEastAsia" w:hAnsiTheme="minorEastAsia" w:eastAsiaTheme="minorEastAsia" w:cstheme="minorEastAsia"/>
          <w:b/>
          <w:spacing w:val="6"/>
          <w:sz w:val="28"/>
          <w:szCs w:val="28"/>
        </w:rPr>
      </w:pPr>
    </w:p>
    <w:p>
      <w:pPr>
        <w:tabs>
          <w:tab w:val="left" w:pos="3969"/>
        </w:tabs>
        <w:spacing w:line="500" w:lineRule="exact"/>
        <w:ind w:right="-58" w:firstLine="584" w:firstLineChars="200"/>
        <w:jc w:val="left"/>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企业名称：</w:t>
      </w:r>
      <w:r>
        <w:rPr>
          <w:rFonts w:hint="eastAsia" w:asciiTheme="minorEastAsia" w:hAnsiTheme="minorEastAsia" w:eastAsiaTheme="minorEastAsia" w:cstheme="minorEastAsia"/>
          <w:sz w:val="28"/>
          <w:szCs w:val="28"/>
          <w:u w:val="single"/>
        </w:rPr>
        <w:t>XXXX</w:t>
      </w:r>
      <w:r>
        <w:rPr>
          <w:rFonts w:hint="eastAsia" w:asciiTheme="minorEastAsia" w:hAnsiTheme="minorEastAsia" w:eastAsiaTheme="minorEastAsia" w:cstheme="minorEastAsia"/>
          <w:spacing w:val="6"/>
          <w:sz w:val="28"/>
          <w:szCs w:val="28"/>
        </w:rPr>
        <w:t xml:space="preserve"> </w:t>
      </w:r>
    </w:p>
    <w:p>
      <w:pPr>
        <w:tabs>
          <w:tab w:val="left" w:pos="3969"/>
        </w:tabs>
        <w:spacing w:line="500" w:lineRule="exact"/>
        <w:ind w:right="-58" w:firstLine="584"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6"/>
          <w:sz w:val="28"/>
          <w:szCs w:val="28"/>
        </w:rPr>
        <w:t>日  期：</w:t>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日</w:t>
      </w:r>
    </w:p>
    <w:p>
      <w:pPr>
        <w:pStyle w:val="25"/>
        <w:tabs>
          <w:tab w:val="left" w:pos="567"/>
          <w:tab w:val="left" w:pos="709"/>
          <w:tab w:val="left" w:pos="851"/>
        </w:tabs>
        <w:spacing w:before="60" w:line="360" w:lineRule="auto"/>
        <w:ind w:firstLine="562"/>
        <w:rPr>
          <w:rFonts w:hint="eastAsia" w:asciiTheme="minorEastAsia" w:hAnsiTheme="minorEastAsia" w:eastAsiaTheme="minorEastAsia" w:cstheme="minorEastAsia"/>
          <w:b/>
          <w:kern w:val="0"/>
          <w:sz w:val="28"/>
          <w:szCs w:val="28"/>
        </w:rPr>
      </w:pPr>
    </w:p>
    <w:p>
      <w:pPr>
        <w:pStyle w:val="25"/>
        <w:tabs>
          <w:tab w:val="left" w:pos="567"/>
          <w:tab w:val="left" w:pos="709"/>
          <w:tab w:val="left" w:pos="851"/>
        </w:tabs>
        <w:spacing w:before="60" w:line="360" w:lineRule="auto"/>
        <w:ind w:firstLine="56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kern w:val="0"/>
          <w:sz w:val="28"/>
          <w:szCs w:val="28"/>
        </w:rPr>
        <w:t>说明：</w:t>
      </w:r>
      <w:r>
        <w:rPr>
          <w:rFonts w:hint="eastAsia" w:asciiTheme="minorEastAsia" w:hAnsiTheme="minorEastAsia" w:eastAsiaTheme="minorEastAsia" w:cstheme="minorEastAsia"/>
          <w:b/>
          <w:sz w:val="28"/>
          <w:szCs w:val="28"/>
        </w:rPr>
        <w:t xml:space="preserve"> 从业人员、营业收入、资产总额填报上一年度数据，无上一年度数据的新成立企业可不填报。</w:t>
      </w:r>
    </w:p>
    <w:p>
      <w:pPr>
        <w:pStyle w:val="25"/>
        <w:tabs>
          <w:tab w:val="left" w:pos="567"/>
          <w:tab w:val="left" w:pos="709"/>
          <w:tab w:val="left" w:pos="851"/>
        </w:tabs>
        <w:spacing w:before="60" w:line="360" w:lineRule="auto"/>
        <w:ind w:firstLine="562"/>
        <w:rPr>
          <w:rFonts w:hint="eastAsia" w:asciiTheme="minorEastAsia" w:hAnsiTheme="minorEastAsia" w:eastAsiaTheme="minorEastAsia" w:cstheme="minorEastAsia"/>
          <w:b/>
          <w:sz w:val="28"/>
          <w:szCs w:val="28"/>
        </w:rPr>
      </w:pPr>
    </w:p>
    <w:p>
      <w:pPr>
        <w:pStyle w:val="25"/>
        <w:tabs>
          <w:tab w:val="left" w:pos="567"/>
          <w:tab w:val="left" w:pos="709"/>
          <w:tab w:val="left" w:pos="851"/>
        </w:tabs>
        <w:spacing w:before="60" w:line="360" w:lineRule="auto"/>
        <w:ind w:firstLine="562"/>
        <w:rPr>
          <w:rFonts w:hint="eastAsia" w:asciiTheme="minorEastAsia" w:hAnsiTheme="minorEastAsia" w:eastAsiaTheme="minorEastAsia" w:cstheme="minorEastAsia"/>
          <w:b/>
          <w:sz w:val="28"/>
          <w:szCs w:val="28"/>
        </w:rPr>
      </w:pPr>
    </w:p>
    <w:p>
      <w:pPr>
        <w:pStyle w:val="4"/>
        <w:numPr>
          <w:ilvl w:val="2"/>
          <w:numId w:val="3"/>
        </w:numPr>
        <w:spacing w:after="200" w:line="240" w:lineRule="auto"/>
        <w:ind w:left="85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残疾人福利性单位声明函</w:t>
      </w:r>
    </w:p>
    <w:p>
      <w:pPr>
        <w:spacing w:line="500" w:lineRule="exact"/>
        <w:jc w:val="center"/>
        <w:rPr>
          <w:rFonts w:hint="eastAsia" w:asciiTheme="minorEastAsia" w:hAnsiTheme="minorEastAsia" w:eastAsiaTheme="minorEastAsia" w:cstheme="minorEastAsia"/>
          <w:b/>
          <w:spacing w:val="6"/>
          <w:sz w:val="28"/>
          <w:szCs w:val="28"/>
        </w:rPr>
      </w:pPr>
    </w:p>
    <w:p>
      <w:pPr>
        <w:spacing w:line="360" w:lineRule="auto"/>
        <w:jc w:val="center"/>
        <w:rPr>
          <w:rFonts w:hint="eastAsia" w:asciiTheme="minorEastAsia" w:hAnsiTheme="minorEastAsia" w:eastAsiaTheme="minorEastAsia" w:cstheme="minorEastAsia"/>
          <w:b/>
          <w:spacing w:val="6"/>
          <w:sz w:val="28"/>
          <w:szCs w:val="28"/>
        </w:rPr>
      </w:pPr>
      <w:r>
        <w:rPr>
          <w:rFonts w:hint="eastAsia" w:asciiTheme="minorEastAsia" w:hAnsiTheme="minorEastAsia" w:eastAsiaTheme="minorEastAsia" w:cstheme="minorEastAsia"/>
          <w:b/>
          <w:spacing w:val="6"/>
          <w:sz w:val="28"/>
          <w:szCs w:val="28"/>
        </w:rPr>
        <w:t>残疾人福利性单位声明函</w:t>
      </w:r>
    </w:p>
    <w:p>
      <w:pPr>
        <w:tabs>
          <w:tab w:val="left" w:pos="1134"/>
        </w:tabs>
        <w:spacing w:line="360" w:lineRule="auto"/>
        <w:ind w:firstLine="584" w:firstLineChars="200"/>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Theme="minorEastAsia" w:hAnsiTheme="minorEastAsia" w:eastAsiaTheme="minorEastAsia" w:cstheme="minorEastAsia"/>
          <w:spacing w:val="6"/>
          <w:sz w:val="28"/>
          <w:szCs w:val="28"/>
          <w:u w:val="single"/>
        </w:rPr>
        <w:t>XXXX</w:t>
      </w:r>
      <w:r>
        <w:rPr>
          <w:rFonts w:hint="eastAsia" w:asciiTheme="minorEastAsia" w:hAnsiTheme="minorEastAsia" w:eastAsiaTheme="minorEastAsia" w:cstheme="minorEastAsia"/>
          <w:spacing w:val="6"/>
          <w:sz w:val="28"/>
          <w:szCs w:val="28"/>
        </w:rPr>
        <w:t>单位的</w:t>
      </w:r>
      <w:r>
        <w:rPr>
          <w:rFonts w:hint="eastAsia" w:asciiTheme="minorEastAsia" w:hAnsiTheme="minorEastAsia" w:eastAsiaTheme="minorEastAsia" w:cstheme="minorEastAsia"/>
          <w:spacing w:val="6"/>
          <w:sz w:val="28"/>
          <w:szCs w:val="28"/>
          <w:u w:val="single"/>
        </w:rPr>
        <w:t>XXXX</w:t>
      </w:r>
      <w:r>
        <w:rPr>
          <w:rFonts w:hint="eastAsia" w:asciiTheme="minorEastAsia" w:hAnsiTheme="minorEastAsia" w:eastAsiaTheme="minorEastAsia" w:cstheme="minorEastAsia"/>
          <w:spacing w:val="6"/>
          <w:sz w:val="28"/>
          <w:szCs w:val="28"/>
        </w:rPr>
        <w:t>项目采购活动由本单位提供服务。</w:t>
      </w:r>
    </w:p>
    <w:p>
      <w:pPr>
        <w:tabs>
          <w:tab w:val="left" w:pos="1134"/>
        </w:tabs>
        <w:spacing w:line="360" w:lineRule="auto"/>
        <w:ind w:firstLine="584" w:firstLineChars="200"/>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本单位对上述声明的真实性负责。如有虚假，将依法承担相应责任。</w:t>
      </w:r>
    </w:p>
    <w:p>
      <w:pPr>
        <w:overflowPunct w:val="0"/>
        <w:spacing w:line="360" w:lineRule="auto"/>
        <w:ind w:firstLine="560" w:firstLineChars="200"/>
        <w:rPr>
          <w:rFonts w:hint="eastAsia" w:asciiTheme="minorEastAsia" w:hAnsiTheme="minorEastAsia" w:eastAsiaTheme="minorEastAsia" w:cstheme="minorEastAsia"/>
          <w:bCs/>
          <w:sz w:val="28"/>
          <w:szCs w:val="28"/>
        </w:rPr>
      </w:pPr>
    </w:p>
    <w:p>
      <w:pPr>
        <w:overflowPunct w:val="0"/>
        <w:spacing w:line="546" w:lineRule="exact"/>
        <w:ind w:firstLine="560" w:firstLineChars="200"/>
        <w:rPr>
          <w:rFonts w:hint="eastAsia" w:asciiTheme="minorEastAsia" w:hAnsiTheme="minorEastAsia" w:eastAsiaTheme="minorEastAsia" w:cstheme="minorEastAsia"/>
          <w:bCs/>
          <w:sz w:val="28"/>
          <w:szCs w:val="28"/>
        </w:rPr>
      </w:pPr>
    </w:p>
    <w:p>
      <w:pPr>
        <w:overflowPunct w:val="0"/>
        <w:spacing w:line="546" w:lineRule="exact"/>
        <w:ind w:firstLine="560" w:firstLineChars="200"/>
        <w:rPr>
          <w:rFonts w:hint="eastAsia" w:asciiTheme="minorEastAsia" w:hAnsiTheme="minorEastAsia" w:eastAsiaTheme="minorEastAsia" w:cstheme="minorEastAsia"/>
          <w:bCs/>
          <w:sz w:val="28"/>
          <w:szCs w:val="28"/>
        </w:rPr>
      </w:pPr>
    </w:p>
    <w:p>
      <w:pPr>
        <w:overflowPunct w:val="0"/>
        <w:spacing w:line="546" w:lineRule="exact"/>
        <w:ind w:firstLine="560" w:firstLineChars="200"/>
        <w:rPr>
          <w:rFonts w:hint="eastAsia" w:asciiTheme="minorEastAsia" w:hAnsiTheme="minorEastAsia" w:eastAsiaTheme="minorEastAsia" w:cstheme="minorEastAsia"/>
          <w:bCs/>
          <w:sz w:val="28"/>
          <w:szCs w:val="28"/>
        </w:rPr>
      </w:pPr>
    </w:p>
    <w:p>
      <w:pPr>
        <w:overflowPunct w:val="0"/>
        <w:spacing w:line="546" w:lineRule="exact"/>
        <w:ind w:firstLine="560" w:firstLineChars="200"/>
        <w:rPr>
          <w:rFonts w:hint="eastAsia" w:asciiTheme="minorEastAsia" w:hAnsiTheme="minorEastAsia" w:eastAsiaTheme="minorEastAsia" w:cstheme="minorEastAsia"/>
          <w:bCs/>
          <w:sz w:val="28"/>
          <w:szCs w:val="28"/>
        </w:rPr>
      </w:pPr>
    </w:p>
    <w:p>
      <w:pPr>
        <w:overflowPunct w:val="0"/>
        <w:spacing w:line="546" w:lineRule="exact"/>
        <w:ind w:firstLine="560" w:firstLineChars="200"/>
        <w:rPr>
          <w:rFonts w:hint="eastAsia" w:asciiTheme="minorEastAsia" w:hAnsiTheme="minorEastAsia" w:eastAsiaTheme="minorEastAsia" w:cstheme="minorEastAsia"/>
          <w:bCs/>
          <w:sz w:val="28"/>
          <w:szCs w:val="28"/>
        </w:rPr>
      </w:pPr>
    </w:p>
    <w:p>
      <w:pPr>
        <w:tabs>
          <w:tab w:val="left" w:pos="3969"/>
        </w:tabs>
        <w:spacing w:line="500" w:lineRule="exact"/>
        <w:ind w:right="-58" w:firstLine="584" w:firstLineChars="200"/>
        <w:jc w:val="left"/>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单位名称：</w:t>
      </w:r>
      <w:r>
        <w:rPr>
          <w:rFonts w:hint="eastAsia" w:asciiTheme="minorEastAsia" w:hAnsiTheme="minorEastAsia" w:eastAsiaTheme="minorEastAsia" w:cstheme="minorEastAsia"/>
          <w:sz w:val="28"/>
          <w:szCs w:val="28"/>
          <w:u w:val="single"/>
        </w:rPr>
        <w:t>XXXX</w:t>
      </w:r>
      <w:r>
        <w:rPr>
          <w:rFonts w:hint="eastAsia" w:asciiTheme="minorEastAsia" w:hAnsiTheme="minorEastAsia" w:eastAsiaTheme="minorEastAsia" w:cstheme="minorEastAsia"/>
          <w:spacing w:val="6"/>
          <w:sz w:val="28"/>
          <w:szCs w:val="28"/>
        </w:rPr>
        <w:t xml:space="preserve"> </w:t>
      </w:r>
    </w:p>
    <w:p>
      <w:pPr>
        <w:tabs>
          <w:tab w:val="left" w:pos="3969"/>
        </w:tabs>
        <w:spacing w:line="500" w:lineRule="exact"/>
        <w:ind w:right="-58" w:firstLine="584"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6"/>
          <w:sz w:val="28"/>
          <w:szCs w:val="28"/>
        </w:rPr>
        <w:t>日  期：</w:t>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日</w:t>
      </w:r>
    </w:p>
    <w:p>
      <w:pPr>
        <w:ind w:firstLine="563"/>
        <w:rPr>
          <w:rFonts w:hint="eastAsia" w:asciiTheme="minorEastAsia" w:hAnsiTheme="minorEastAsia" w:eastAsiaTheme="minorEastAsia" w:cstheme="minorEastAsia"/>
          <w:b/>
          <w:kern w:val="0"/>
          <w:sz w:val="28"/>
          <w:szCs w:val="28"/>
        </w:rPr>
      </w:pPr>
    </w:p>
    <w:p>
      <w:pPr>
        <w:tabs>
          <w:tab w:val="left" w:pos="1260"/>
        </w:tabs>
        <w:spacing w:line="560" w:lineRule="exact"/>
        <w:ind w:firstLine="420" w:firstLineChars="200"/>
        <w:rPr>
          <w:rFonts w:hint="eastAsia" w:asciiTheme="minorEastAsia" w:hAnsiTheme="minorEastAsia" w:eastAsiaTheme="minorEastAsia" w:cstheme="minorEastAsia"/>
          <w:szCs w:val="28"/>
        </w:rPr>
      </w:pPr>
    </w:p>
    <w:p>
      <w:pPr>
        <w:tabs>
          <w:tab w:val="left" w:pos="1260"/>
        </w:tabs>
        <w:spacing w:line="560" w:lineRule="exact"/>
        <w:ind w:firstLine="420" w:firstLineChars="200"/>
        <w:rPr>
          <w:rFonts w:hint="eastAsia" w:asciiTheme="minorEastAsia" w:hAnsiTheme="minorEastAsia" w:eastAsiaTheme="minorEastAsia" w:cstheme="minorEastAsia"/>
          <w:szCs w:val="28"/>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tabs>
          <w:tab w:val="left" w:pos="3969"/>
        </w:tabs>
        <w:spacing w:line="588" w:lineRule="exact"/>
        <w:ind w:right="-58"/>
        <w:rPr>
          <w:rFonts w:hint="eastAsia" w:asciiTheme="minorEastAsia" w:hAnsiTheme="minorEastAsia" w:eastAsiaTheme="minorEastAsia" w:cstheme="minorEastAsia"/>
          <w:bCs/>
          <w:sz w:val="28"/>
          <w:u w:val="single"/>
        </w:rPr>
      </w:pPr>
    </w:p>
    <w:p>
      <w:pPr>
        <w:widowControl/>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br w:type="page"/>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rPr>
        <w:t>投标人应提交的相关资格证明材料</w:t>
      </w:r>
    </w:p>
    <w:p>
      <w:pPr>
        <w:ind w:firstLine="560" w:firstLineChars="200"/>
        <w:rPr>
          <w:rFonts w:hint="eastAsia" w:asciiTheme="minorEastAsia" w:hAnsiTheme="minorEastAsia" w:eastAsiaTheme="minorEastAsia" w:cstheme="minorEastAsia"/>
          <w:sz w:val="28"/>
          <w:szCs w:val="28"/>
        </w:rPr>
      </w:pP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投标人按招标文件要求，应提供以下相关资格证明材料：</w:t>
      </w:r>
    </w:p>
    <w:p>
      <w:pPr>
        <w:ind w:firstLine="560" w:firstLineChars="200"/>
        <w:rPr>
          <w:rFonts w:hint="eastAsia" w:asciiTheme="minorEastAsia" w:hAnsiTheme="minorEastAsia" w:eastAsiaTheme="minorEastAsia" w:cstheme="minorEastAsia"/>
          <w:sz w:val="28"/>
          <w:szCs w:val="28"/>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sz w:val="28"/>
          <w:szCs w:val="28"/>
          <w:highlight w:val="none"/>
          <w:lang w:eastAsia="zh-CN"/>
        </w:rPr>
        <w:t>（一）</w:t>
      </w:r>
      <w:r>
        <w:rPr>
          <w:rFonts w:hint="eastAsia" w:asciiTheme="minorEastAsia" w:hAnsiTheme="minorEastAsia" w:eastAsiaTheme="minorEastAsia" w:cstheme="minorEastAsia"/>
          <w:b w:val="0"/>
          <w:bCs/>
          <w:sz w:val="28"/>
          <w:szCs w:val="28"/>
          <w:highlight w:val="none"/>
        </w:rPr>
        <w:t>由省级以上监狱管理局、戒毒管理局（含新疆生产建设兵团）出具的投标人属于监狱企业的证明文件复印件（说明：提供了《中小企业声明函》或《残疾人福利性单位声明函》的不需提供）；</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（二）</w:t>
      </w:r>
      <w:r>
        <w:rPr>
          <w:rFonts w:hint="eastAsia" w:asciiTheme="minorEastAsia" w:hAnsiTheme="minorEastAsia" w:eastAsiaTheme="minorEastAsia" w:cstheme="minorEastAsia"/>
          <w:b w:val="0"/>
          <w:bCs/>
          <w:kern w:val="0"/>
          <w:sz w:val="28"/>
          <w:szCs w:val="28"/>
          <w:highlight w:val="none"/>
        </w:rPr>
        <w:t>营业执照复印件（正本或副本）或法人证书复印件（正本或副本）</w:t>
      </w:r>
      <w:r>
        <w:rPr>
          <w:rFonts w:hint="eastAsia" w:asciiTheme="minorEastAsia" w:hAnsiTheme="minorEastAsia" w:eastAsiaTheme="minorEastAsia" w:cstheme="minorEastAsia"/>
          <w:b w:val="0"/>
          <w:bCs/>
          <w:sz w:val="28"/>
          <w:szCs w:val="28"/>
          <w:highlight w:val="none"/>
        </w:rPr>
        <w:t>或其他能够证明供应商具有独立承担民事责任能力的相关证明材料复印件</w:t>
      </w:r>
      <w:r>
        <w:rPr>
          <w:rFonts w:hint="eastAsia" w:asciiTheme="minorEastAsia" w:hAnsiTheme="minorEastAsia" w:eastAsiaTheme="minorEastAsia" w:cstheme="minorEastAsia"/>
          <w:b w:val="0"/>
          <w:bCs/>
          <w:kern w:val="0"/>
          <w:sz w:val="28"/>
          <w:szCs w:val="28"/>
          <w:highlight w:val="none"/>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（三）</w:t>
      </w:r>
      <w:r>
        <w:rPr>
          <w:rFonts w:hint="eastAsia" w:asciiTheme="minorEastAsia" w:hAnsiTheme="minorEastAsia" w:eastAsiaTheme="minorEastAsia" w:cstheme="minorEastAsia"/>
          <w:b w:val="0"/>
          <w:bCs/>
          <w:kern w:val="0"/>
          <w:sz w:val="28"/>
          <w:szCs w:val="28"/>
          <w:highlight w:val="none"/>
          <w:lang w:val="en-US" w:eastAsia="zh-CN"/>
        </w:rPr>
        <w:t>2019年或</w:t>
      </w:r>
      <w:r>
        <w:rPr>
          <w:rFonts w:hint="eastAsia" w:asciiTheme="minorEastAsia" w:hAnsiTheme="minorEastAsia" w:eastAsiaTheme="minorEastAsia" w:cstheme="minorEastAsia"/>
          <w:b w:val="0"/>
          <w:bCs/>
          <w:kern w:val="0"/>
          <w:sz w:val="28"/>
          <w:szCs w:val="28"/>
          <w:highlight w:val="none"/>
        </w:rPr>
        <w:t>2020会计年度资产负债表复印件</w:t>
      </w:r>
      <w:r>
        <w:rPr>
          <w:rFonts w:hint="eastAsia" w:asciiTheme="minorEastAsia" w:hAnsiTheme="minorEastAsia" w:eastAsiaTheme="minorEastAsia" w:cstheme="minorEastAsia"/>
          <w:b w:val="0"/>
          <w:bCs/>
          <w:kern w:val="0"/>
          <w:sz w:val="28"/>
          <w:szCs w:val="28"/>
          <w:highlight w:val="none"/>
          <w:lang w:eastAsia="zh-CN"/>
        </w:rPr>
        <w:t>（</w:t>
      </w:r>
      <w:r>
        <w:rPr>
          <w:rFonts w:hint="eastAsia" w:asciiTheme="minorEastAsia" w:hAnsiTheme="minorEastAsia" w:eastAsiaTheme="minorEastAsia" w:cstheme="minorEastAsia"/>
          <w:b w:val="0"/>
          <w:bCs/>
          <w:kern w:val="0"/>
          <w:sz w:val="28"/>
          <w:szCs w:val="28"/>
          <w:highlight w:val="none"/>
        </w:rPr>
        <w:t>说明</w:t>
      </w:r>
      <w:r>
        <w:rPr>
          <w:rFonts w:hint="eastAsia" w:asciiTheme="minorEastAsia" w:hAnsiTheme="minorEastAsia" w:eastAsiaTheme="minorEastAsia" w:cstheme="minorEastAsia"/>
          <w:b w:val="0"/>
          <w:bCs/>
          <w:kern w:val="0"/>
          <w:sz w:val="28"/>
          <w:szCs w:val="28"/>
          <w:highlight w:val="none"/>
          <w:lang w:eastAsia="zh-CN"/>
        </w:rPr>
        <w:t>：</w:t>
      </w:r>
      <w:r>
        <w:rPr>
          <w:rFonts w:hint="eastAsia" w:asciiTheme="minorEastAsia" w:hAnsiTheme="minorEastAsia" w:eastAsiaTheme="minorEastAsia" w:cstheme="minorEastAsia"/>
          <w:b w:val="0"/>
          <w:bCs/>
          <w:kern w:val="0"/>
          <w:sz w:val="28"/>
          <w:szCs w:val="28"/>
          <w:highlight w:val="none"/>
        </w:rPr>
        <w:t>投标人成立时间至递交投标文件截止时间止不足一年的，提供成立后任意时段的资产负债表复印件</w:t>
      </w:r>
      <w:r>
        <w:rPr>
          <w:rFonts w:hint="eastAsia" w:asciiTheme="minorEastAsia" w:hAnsiTheme="minorEastAsia" w:eastAsiaTheme="minorEastAsia" w:cstheme="minorEastAsia"/>
          <w:b w:val="0"/>
          <w:bCs/>
          <w:kern w:val="0"/>
          <w:sz w:val="28"/>
          <w:szCs w:val="28"/>
          <w:highlight w:val="none"/>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（四）</w:t>
      </w:r>
      <w:r>
        <w:rPr>
          <w:rFonts w:hint="eastAsia" w:asciiTheme="minorEastAsia" w:hAnsiTheme="minorEastAsia" w:eastAsiaTheme="minorEastAsia" w:cstheme="minorEastAsia"/>
          <w:b w:val="0"/>
          <w:bCs/>
          <w:kern w:val="0"/>
          <w:sz w:val="28"/>
          <w:szCs w:val="28"/>
          <w:highlight w:val="none"/>
        </w:rPr>
        <w:t>采购人对投标人履行合同所必须的设备和专业技术能力无其他特殊要求，投标人</w:t>
      </w:r>
      <w:r>
        <w:rPr>
          <w:rFonts w:hint="eastAsia" w:asciiTheme="minorEastAsia" w:hAnsiTheme="minorEastAsia" w:eastAsiaTheme="minorEastAsia" w:cstheme="minorEastAsia"/>
          <w:b w:val="0"/>
          <w:bCs/>
          <w:kern w:val="0"/>
          <w:sz w:val="28"/>
          <w:szCs w:val="28"/>
          <w:highlight w:val="none"/>
          <w:lang w:eastAsia="zh-CN"/>
        </w:rPr>
        <w:t>具有有效的营业执照或法人证书，</w:t>
      </w:r>
      <w:r>
        <w:rPr>
          <w:rFonts w:hint="eastAsia" w:asciiTheme="minorEastAsia" w:hAnsiTheme="minorEastAsia" w:eastAsiaTheme="minorEastAsia" w:cstheme="minorEastAsia"/>
          <w:b w:val="0"/>
          <w:bCs/>
          <w:kern w:val="0"/>
          <w:sz w:val="28"/>
          <w:szCs w:val="28"/>
          <w:highlight w:val="none"/>
        </w:rPr>
        <w:t>可不提供</w:t>
      </w:r>
      <w:r>
        <w:rPr>
          <w:rFonts w:hint="eastAsia" w:asciiTheme="minorEastAsia" w:hAnsiTheme="minorEastAsia" w:eastAsiaTheme="minorEastAsia" w:cstheme="minorEastAsia"/>
          <w:b w:val="0"/>
          <w:bCs/>
          <w:kern w:val="0"/>
          <w:sz w:val="28"/>
          <w:szCs w:val="28"/>
          <w:highlight w:val="none"/>
          <w:lang w:eastAsia="zh-CN"/>
        </w:rPr>
        <w:t>其他</w:t>
      </w:r>
      <w:r>
        <w:rPr>
          <w:rFonts w:hint="eastAsia" w:asciiTheme="minorEastAsia" w:hAnsiTheme="minorEastAsia" w:eastAsiaTheme="minorEastAsia" w:cstheme="minorEastAsia"/>
          <w:b w:val="0"/>
          <w:bCs/>
          <w:kern w:val="0"/>
          <w:sz w:val="28"/>
          <w:szCs w:val="28"/>
          <w:highlight w:val="none"/>
        </w:rPr>
        <w:t>证明材料；</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（五）</w:t>
      </w:r>
      <w:r>
        <w:rPr>
          <w:rFonts w:hint="eastAsia" w:asciiTheme="minorEastAsia" w:hAnsiTheme="minorEastAsia" w:eastAsiaTheme="minorEastAsia" w:cstheme="minorEastAsia"/>
          <w:b w:val="0"/>
          <w:bCs/>
          <w:kern w:val="0"/>
          <w:sz w:val="28"/>
          <w:szCs w:val="28"/>
          <w:highlight w:val="none"/>
        </w:rPr>
        <w:t>投标人缴纳</w:t>
      </w:r>
      <w:r>
        <w:rPr>
          <w:rFonts w:hint="eastAsia" w:asciiTheme="minorEastAsia" w:hAnsiTheme="minorEastAsia" w:eastAsiaTheme="minorEastAsia" w:cstheme="minorEastAsia"/>
          <w:b w:val="0"/>
          <w:bCs/>
          <w:kern w:val="0"/>
          <w:sz w:val="28"/>
          <w:szCs w:val="28"/>
          <w:highlight w:val="none"/>
          <w:lang w:val="en-US" w:eastAsia="zh-CN"/>
        </w:rPr>
        <w:t>2020或</w:t>
      </w:r>
      <w:r>
        <w:rPr>
          <w:rFonts w:hint="eastAsia" w:asciiTheme="minorEastAsia" w:hAnsiTheme="minorEastAsia" w:eastAsiaTheme="minorEastAsia" w:cstheme="minorEastAsia"/>
          <w:b w:val="0"/>
          <w:bCs/>
          <w:kern w:val="0"/>
          <w:sz w:val="28"/>
          <w:szCs w:val="28"/>
          <w:highlight w:val="none"/>
        </w:rPr>
        <w:t>2021年任意时段的</w:t>
      </w:r>
      <w:r>
        <w:rPr>
          <w:rFonts w:hint="eastAsia" w:asciiTheme="minorEastAsia" w:hAnsiTheme="minorEastAsia" w:eastAsiaTheme="minorEastAsia" w:cstheme="minorEastAsia"/>
          <w:b w:val="0"/>
          <w:bCs/>
          <w:kern w:val="0"/>
          <w:sz w:val="28"/>
          <w:szCs w:val="28"/>
          <w:highlight w:val="none"/>
          <w:lang w:eastAsia="zh-CN"/>
        </w:rPr>
        <w:t>税收</w:t>
      </w:r>
      <w:r>
        <w:rPr>
          <w:rFonts w:hint="eastAsia" w:asciiTheme="minorEastAsia" w:hAnsiTheme="minorEastAsia" w:eastAsiaTheme="minorEastAsia" w:cstheme="minorEastAsia"/>
          <w:b w:val="0"/>
          <w:bCs/>
          <w:kern w:val="0"/>
          <w:sz w:val="28"/>
          <w:szCs w:val="28"/>
          <w:highlight w:val="none"/>
        </w:rPr>
        <w:t>的银行电子回单或者行政部门出具的纳税证明或完税证明复印件</w:t>
      </w:r>
      <w:r>
        <w:rPr>
          <w:rFonts w:hint="eastAsia" w:asciiTheme="minorEastAsia" w:hAnsiTheme="minorEastAsia" w:eastAsiaTheme="minorEastAsia" w:cstheme="minorEastAsia"/>
          <w:b w:val="0"/>
          <w:bCs/>
          <w:kern w:val="0"/>
          <w:sz w:val="28"/>
          <w:szCs w:val="28"/>
          <w:highlight w:val="none"/>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（六）</w:t>
      </w:r>
      <w:r>
        <w:rPr>
          <w:rFonts w:hint="eastAsia" w:asciiTheme="minorEastAsia" w:hAnsiTheme="minorEastAsia" w:eastAsiaTheme="minorEastAsia" w:cstheme="minorEastAsia"/>
          <w:b w:val="0"/>
          <w:bCs/>
          <w:kern w:val="0"/>
          <w:sz w:val="28"/>
          <w:szCs w:val="28"/>
          <w:highlight w:val="none"/>
        </w:rPr>
        <w:t>投标人缴纳</w:t>
      </w:r>
      <w:r>
        <w:rPr>
          <w:rFonts w:hint="eastAsia" w:asciiTheme="minorEastAsia" w:hAnsiTheme="minorEastAsia" w:eastAsiaTheme="minorEastAsia" w:cstheme="minorEastAsia"/>
          <w:b w:val="0"/>
          <w:bCs/>
          <w:kern w:val="0"/>
          <w:sz w:val="28"/>
          <w:szCs w:val="28"/>
          <w:highlight w:val="none"/>
          <w:lang w:val="en-US" w:eastAsia="zh-CN"/>
        </w:rPr>
        <w:t>2020或</w:t>
      </w:r>
      <w:r>
        <w:rPr>
          <w:rFonts w:hint="eastAsia" w:asciiTheme="minorEastAsia" w:hAnsiTheme="minorEastAsia" w:eastAsiaTheme="minorEastAsia" w:cstheme="minorEastAsia"/>
          <w:b w:val="0"/>
          <w:bCs/>
          <w:kern w:val="0"/>
          <w:sz w:val="28"/>
          <w:szCs w:val="28"/>
          <w:highlight w:val="none"/>
        </w:rPr>
        <w:t>2021年任意时段的</w:t>
      </w:r>
      <w:r>
        <w:rPr>
          <w:rFonts w:hint="eastAsia" w:asciiTheme="minorEastAsia" w:hAnsiTheme="minorEastAsia" w:eastAsiaTheme="minorEastAsia" w:cstheme="minorEastAsia"/>
          <w:b w:val="0"/>
          <w:bCs/>
          <w:kern w:val="0"/>
          <w:sz w:val="28"/>
          <w:szCs w:val="28"/>
          <w:highlight w:val="none"/>
          <w:lang w:eastAsia="zh-CN"/>
        </w:rPr>
        <w:t>社保</w:t>
      </w:r>
      <w:r>
        <w:rPr>
          <w:rFonts w:hint="eastAsia" w:asciiTheme="minorEastAsia" w:hAnsiTheme="minorEastAsia" w:eastAsiaTheme="minorEastAsia" w:cstheme="minorEastAsia"/>
          <w:b w:val="0"/>
          <w:bCs/>
          <w:kern w:val="0"/>
          <w:sz w:val="28"/>
          <w:szCs w:val="28"/>
          <w:highlight w:val="none"/>
        </w:rPr>
        <w:t>的银行电子回单或者行政部门出具的</w:t>
      </w:r>
      <w:r>
        <w:rPr>
          <w:rFonts w:hint="eastAsia" w:asciiTheme="minorEastAsia" w:hAnsiTheme="minorEastAsia" w:eastAsiaTheme="minorEastAsia" w:cstheme="minorEastAsia"/>
          <w:b w:val="0"/>
          <w:bCs/>
          <w:kern w:val="0"/>
          <w:sz w:val="28"/>
          <w:szCs w:val="28"/>
          <w:highlight w:val="none"/>
          <w:lang w:eastAsia="zh-CN"/>
        </w:rPr>
        <w:t>社保缴纳证明材料</w:t>
      </w:r>
      <w:r>
        <w:rPr>
          <w:rFonts w:hint="eastAsia" w:asciiTheme="minorEastAsia" w:hAnsiTheme="minorEastAsia" w:eastAsiaTheme="minorEastAsia" w:cstheme="minorEastAsia"/>
          <w:b w:val="0"/>
          <w:bCs/>
          <w:kern w:val="0"/>
          <w:sz w:val="28"/>
          <w:szCs w:val="28"/>
          <w:highlight w:val="none"/>
        </w:rPr>
        <w:t>复印件</w:t>
      </w:r>
      <w:r>
        <w:rPr>
          <w:rFonts w:hint="eastAsia" w:asciiTheme="minorEastAsia" w:hAnsiTheme="minorEastAsia" w:eastAsiaTheme="minorEastAsia" w:cstheme="minorEastAsia"/>
          <w:b w:val="0"/>
          <w:bCs/>
          <w:kern w:val="0"/>
          <w:sz w:val="28"/>
          <w:szCs w:val="28"/>
          <w:highlight w:val="none"/>
          <w:lang w:eastAsia="zh-CN"/>
        </w:rPr>
        <w:t>；</w:t>
      </w:r>
    </w:p>
    <w:p>
      <w:pPr>
        <w:spacing w:line="360" w:lineRule="auto"/>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（七）</w:t>
      </w:r>
      <w:r>
        <w:rPr>
          <w:rFonts w:hint="eastAsia" w:asciiTheme="minorEastAsia" w:hAnsiTheme="minorEastAsia" w:eastAsiaTheme="minorEastAsia" w:cstheme="minorEastAsia"/>
          <w:b w:val="0"/>
          <w:bCs/>
          <w:kern w:val="0"/>
          <w:sz w:val="28"/>
          <w:szCs w:val="28"/>
          <w:highlight w:val="none"/>
        </w:rPr>
        <w:t>采购人对法律、行政法规规定的其他条件无其他特殊要求，投标人</w:t>
      </w:r>
      <w:r>
        <w:rPr>
          <w:rFonts w:hint="eastAsia" w:asciiTheme="minorEastAsia" w:hAnsiTheme="minorEastAsia" w:eastAsiaTheme="minorEastAsia" w:cstheme="minorEastAsia"/>
          <w:b w:val="0"/>
          <w:bCs/>
          <w:kern w:val="0"/>
          <w:sz w:val="28"/>
          <w:szCs w:val="28"/>
          <w:highlight w:val="none"/>
          <w:lang w:eastAsia="zh-CN"/>
        </w:rPr>
        <w:t>具有有效的营业执照或法人证书，</w:t>
      </w:r>
      <w:r>
        <w:rPr>
          <w:rFonts w:hint="eastAsia" w:asciiTheme="minorEastAsia" w:hAnsiTheme="minorEastAsia" w:eastAsiaTheme="minorEastAsia" w:cstheme="minorEastAsia"/>
          <w:b w:val="0"/>
          <w:bCs/>
          <w:kern w:val="0"/>
          <w:sz w:val="28"/>
          <w:szCs w:val="28"/>
          <w:highlight w:val="none"/>
        </w:rPr>
        <w:t>可不提供</w:t>
      </w:r>
      <w:r>
        <w:rPr>
          <w:rFonts w:hint="eastAsia" w:asciiTheme="minorEastAsia" w:hAnsiTheme="minorEastAsia" w:eastAsiaTheme="minorEastAsia" w:cstheme="minorEastAsia"/>
          <w:b w:val="0"/>
          <w:bCs/>
          <w:kern w:val="0"/>
          <w:sz w:val="28"/>
          <w:szCs w:val="28"/>
          <w:highlight w:val="none"/>
          <w:lang w:eastAsia="zh-CN"/>
        </w:rPr>
        <w:t>其他</w:t>
      </w:r>
      <w:r>
        <w:rPr>
          <w:rFonts w:hint="eastAsia" w:asciiTheme="minorEastAsia" w:hAnsiTheme="minorEastAsia" w:eastAsiaTheme="minorEastAsia" w:cstheme="minorEastAsia"/>
          <w:b w:val="0"/>
          <w:bCs/>
          <w:kern w:val="0"/>
          <w:sz w:val="28"/>
          <w:szCs w:val="28"/>
          <w:highlight w:val="none"/>
        </w:rPr>
        <w:t>证明材料。</w:t>
      </w:r>
    </w:p>
    <w:p>
      <w:pPr>
        <w:spacing w:line="360" w:lineRule="auto"/>
        <w:ind w:firstLine="560" w:firstLineChars="200"/>
        <w:rPr>
          <w:rFonts w:hint="eastAsia" w:asciiTheme="minorEastAsia" w:hAnsiTheme="minorEastAsia" w:eastAsiaTheme="minorEastAsia" w:cstheme="minorEastAsia"/>
          <w:sz w:val="28"/>
          <w:szCs w:val="28"/>
        </w:rPr>
      </w:pPr>
    </w:p>
    <w:p>
      <w:pPr>
        <w:tabs>
          <w:tab w:val="left" w:pos="3969"/>
        </w:tabs>
        <w:spacing w:line="588" w:lineRule="exact"/>
        <w:ind w:right="-58"/>
        <w:rPr>
          <w:rFonts w:hint="eastAsia" w:asciiTheme="minorEastAsia" w:hAnsiTheme="minorEastAsia" w:eastAsiaTheme="minorEastAsia" w:cstheme="minorEastAsia"/>
          <w:bCs/>
          <w:sz w:val="28"/>
          <w:u w:val="single"/>
        </w:rPr>
      </w:pPr>
    </w:p>
    <w:p>
      <w:pPr>
        <w:widowControl/>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br w:type="page"/>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17" w:name="_Toc19113"/>
      <w:r>
        <w:rPr>
          <w:rFonts w:hint="eastAsia" w:asciiTheme="minorEastAsia" w:hAnsiTheme="minorEastAsia" w:eastAsiaTheme="minorEastAsia" w:cstheme="minorEastAsia"/>
          <w:b/>
          <w:bCs/>
          <w:sz w:val="28"/>
          <w:szCs w:val="28"/>
        </w:rPr>
        <w:t>商务技术响应文件</w:t>
      </w:r>
      <w:bookmarkEnd w:id="117"/>
    </w:p>
    <w:p>
      <w:pPr>
        <w:keepNext/>
        <w:keepLines/>
        <w:numPr>
          <w:ilvl w:val="2"/>
          <w:numId w:val="3"/>
        </w:numPr>
        <w:spacing w:line="360" w:lineRule="auto"/>
        <w:ind w:left="569" w:hanging="56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投标函</w:t>
      </w:r>
    </w:p>
    <w:p>
      <w:pPr>
        <w:spacing w:line="360" w:lineRule="auto"/>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sz w:val="28"/>
          <w:szCs w:val="28"/>
        </w:rPr>
        <w:t>成都东部新区党工委管委会（成都市东部新城办）综合部</w:t>
      </w:r>
      <w:r>
        <w:rPr>
          <w:rFonts w:hint="eastAsia" w:asciiTheme="minorEastAsia" w:hAnsiTheme="minorEastAsia" w:eastAsiaTheme="minorEastAsia" w:cstheme="minorEastAsia"/>
          <w:bCs/>
          <w:sz w:val="28"/>
          <w:szCs w:val="28"/>
        </w:rPr>
        <w:t>：</w:t>
      </w:r>
    </w:p>
    <w:p>
      <w:pPr>
        <w:spacing w:line="360" w:lineRule="auto"/>
        <w:ind w:firstLine="565" w:firstLineChars="202"/>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我方全面研究了“</w:t>
      </w:r>
      <w:r>
        <w:rPr>
          <w:rFonts w:hint="eastAsia" w:asciiTheme="minorEastAsia" w:hAnsiTheme="minorEastAsia" w:eastAsiaTheme="minorEastAsia" w:cstheme="minorEastAsia"/>
          <w:b/>
          <w:sz w:val="28"/>
          <w:szCs w:val="28"/>
          <w:u w:val="single"/>
          <w:lang w:eastAsia="zh-CN"/>
        </w:rPr>
        <w:t>丹景街道新民家园一期征地拆迁安置小区物业管理服务采购项目</w:t>
      </w:r>
      <w:r>
        <w:rPr>
          <w:rFonts w:hint="eastAsia" w:asciiTheme="minorEastAsia" w:hAnsiTheme="minorEastAsia" w:eastAsiaTheme="minorEastAsia" w:cstheme="minorEastAsia"/>
          <w:b/>
          <w:bCs/>
          <w:sz w:val="28"/>
          <w:szCs w:val="28"/>
          <w:u w:val="single"/>
        </w:rPr>
        <w:t>”（项目编号：</w:t>
      </w:r>
      <w:r>
        <w:rPr>
          <w:rFonts w:hint="eastAsia" w:asciiTheme="minorEastAsia" w:hAnsiTheme="minorEastAsia" w:eastAsiaTheme="minorEastAsia" w:cstheme="minorEastAsia"/>
          <w:b/>
          <w:bCs/>
          <w:sz w:val="28"/>
          <w:szCs w:val="28"/>
          <w:u w:val="single"/>
          <w:lang w:eastAsia="zh-CN"/>
        </w:rPr>
        <w:t>东部新区政采（2021）A0065号</w:t>
      </w:r>
      <w:r>
        <w:rPr>
          <w:rFonts w:hint="eastAsia" w:asciiTheme="minorEastAsia" w:hAnsiTheme="minorEastAsia" w:eastAsiaTheme="minorEastAsia" w:cstheme="minorEastAsia"/>
          <w:b/>
          <w:bCs/>
          <w:sz w:val="28"/>
          <w:szCs w:val="28"/>
          <w:u w:val="single"/>
        </w:rPr>
        <w:t>）</w:t>
      </w:r>
      <w:r>
        <w:rPr>
          <w:rFonts w:hint="eastAsia" w:asciiTheme="minorEastAsia" w:hAnsiTheme="minorEastAsia" w:eastAsiaTheme="minorEastAsia" w:cstheme="minorEastAsia"/>
          <w:bCs/>
          <w:sz w:val="28"/>
          <w:szCs w:val="28"/>
        </w:rPr>
        <w:t>招标文件，决定参加贵单位组织的本项目投标。</w:t>
      </w:r>
    </w:p>
    <w:p>
      <w:pPr>
        <w:numPr>
          <w:ilvl w:val="1"/>
          <w:numId w:val="1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我方自愿按照招标文件规定的各项要求向采购人提供所需服务，</w:t>
      </w:r>
      <w:r>
        <w:rPr>
          <w:rFonts w:hint="eastAsia" w:asciiTheme="minorEastAsia" w:hAnsiTheme="minorEastAsia" w:eastAsiaTheme="minorEastAsia" w:cstheme="minorEastAsia"/>
          <w:b/>
          <w:sz w:val="28"/>
          <w:szCs w:val="28"/>
        </w:rPr>
        <w:t>投标报价以《开标一览表》为准</w:t>
      </w:r>
      <w:r>
        <w:rPr>
          <w:rFonts w:hint="eastAsia" w:asciiTheme="minorEastAsia" w:hAnsiTheme="minorEastAsia" w:eastAsiaTheme="minorEastAsia" w:cstheme="minorEastAsia"/>
          <w:sz w:val="28"/>
          <w:szCs w:val="28"/>
        </w:rPr>
        <w:t>。</w:t>
      </w:r>
    </w:p>
    <w:p>
      <w:pPr>
        <w:numPr>
          <w:ilvl w:val="1"/>
          <w:numId w:val="1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如果我方中标，我方将严格履行合同规定的责任和义务，否则将承担由此产生的一切责任。</w:t>
      </w:r>
    </w:p>
    <w:p>
      <w:pPr>
        <w:numPr>
          <w:ilvl w:val="1"/>
          <w:numId w:val="1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我方已知晓全部招标文件的内容，包括修改文件（如有）以及全部相关资料和有关附件，并对上述文件均无异议。</w:t>
      </w:r>
    </w:p>
    <w:p>
      <w:pPr>
        <w:numPr>
          <w:ilvl w:val="1"/>
          <w:numId w:val="1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投标有效期为从投标截止之日起120天。</w:t>
      </w:r>
    </w:p>
    <w:p>
      <w:pPr>
        <w:numPr>
          <w:ilvl w:val="1"/>
          <w:numId w:val="1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我方愿意提供贵</w:t>
      </w:r>
      <w:r>
        <w:rPr>
          <w:rFonts w:hint="eastAsia" w:asciiTheme="minorEastAsia" w:hAnsiTheme="minorEastAsia" w:eastAsiaTheme="minorEastAsia" w:cstheme="minorEastAsia"/>
          <w:sz w:val="28"/>
          <w:szCs w:val="28"/>
          <w:lang w:eastAsia="zh-CN"/>
        </w:rPr>
        <w:t>单位</w:t>
      </w:r>
      <w:r>
        <w:rPr>
          <w:rFonts w:hint="eastAsia" w:asciiTheme="minorEastAsia" w:hAnsiTheme="minorEastAsia" w:eastAsiaTheme="minorEastAsia" w:cstheme="minorEastAsia"/>
          <w:sz w:val="28"/>
          <w:szCs w:val="28"/>
        </w:rPr>
        <w:t>可能另外要求的，与投标有关的文件资料，并保证我方已提供和将要提供的文件资料是真实、准确的，并对此承担一切法律后果。</w:t>
      </w:r>
    </w:p>
    <w:p>
      <w:pPr>
        <w:numPr>
          <w:ilvl w:val="1"/>
          <w:numId w:val="1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我单位联系方式：</w:t>
      </w:r>
      <w:r>
        <w:rPr>
          <w:rFonts w:hint="eastAsia" w:asciiTheme="minorEastAsia" w:hAnsiTheme="minorEastAsia" w:eastAsiaTheme="minorEastAsia" w:cstheme="minorEastAsia"/>
          <w:sz w:val="28"/>
          <w:szCs w:val="28"/>
          <w:u w:val="single"/>
        </w:rPr>
        <w:t>XXXX</w:t>
      </w:r>
    </w:p>
    <w:p>
      <w:pPr>
        <w:spacing w:line="360" w:lineRule="auto"/>
        <w:ind w:left="420" w:firstLine="565" w:firstLineChars="202"/>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地    址：</w:t>
      </w:r>
      <w:r>
        <w:rPr>
          <w:rFonts w:hint="eastAsia" w:asciiTheme="minorEastAsia" w:hAnsiTheme="minorEastAsia" w:eastAsiaTheme="minorEastAsia" w:cstheme="minorEastAsia"/>
          <w:sz w:val="28"/>
          <w:szCs w:val="28"/>
          <w:u w:val="single"/>
        </w:rPr>
        <w:t>XXXX</w:t>
      </w:r>
    </w:p>
    <w:p>
      <w:pPr>
        <w:spacing w:line="360" w:lineRule="auto"/>
        <w:ind w:left="420" w:firstLine="565" w:firstLineChars="202"/>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传    真：</w:t>
      </w:r>
      <w:r>
        <w:rPr>
          <w:rFonts w:hint="eastAsia" w:asciiTheme="minorEastAsia" w:hAnsiTheme="minorEastAsia" w:eastAsiaTheme="minorEastAsia" w:cstheme="minorEastAsia"/>
          <w:sz w:val="28"/>
          <w:szCs w:val="28"/>
          <w:u w:val="single"/>
        </w:rPr>
        <w:t>XXXX</w:t>
      </w:r>
    </w:p>
    <w:p>
      <w:pPr>
        <w:spacing w:line="360" w:lineRule="auto"/>
        <w:ind w:left="420" w:firstLine="565" w:firstLineChars="202"/>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邮政编码：</w:t>
      </w:r>
      <w:r>
        <w:rPr>
          <w:rFonts w:hint="eastAsia" w:asciiTheme="minorEastAsia" w:hAnsiTheme="minorEastAsia" w:eastAsiaTheme="minorEastAsia" w:cstheme="minorEastAsia"/>
          <w:sz w:val="28"/>
          <w:szCs w:val="28"/>
          <w:u w:val="single"/>
        </w:rPr>
        <w:t>XXXX</w:t>
      </w:r>
    </w:p>
    <w:p>
      <w:pPr>
        <w:spacing w:after="120" w:line="360" w:lineRule="auto"/>
        <w:ind w:left="420" w:leftChars="200" w:firstLine="560" w:firstLineChars="20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投标人名称：</w:t>
      </w:r>
      <w:r>
        <w:rPr>
          <w:rFonts w:hint="eastAsia" w:asciiTheme="minorEastAsia" w:hAnsiTheme="minorEastAsia" w:eastAsiaTheme="minorEastAsia" w:cstheme="minorEastAsia"/>
          <w:bCs/>
          <w:sz w:val="28"/>
          <w:szCs w:val="28"/>
          <w:u w:val="single"/>
        </w:rPr>
        <w:t>XXXX</w:t>
      </w:r>
    </w:p>
    <w:p>
      <w:pPr>
        <w:spacing w:line="360" w:lineRule="auto"/>
        <w:ind w:left="283" w:leftChars="135" w:firstLine="700" w:firstLineChars="250"/>
        <w:rPr>
          <w:rFonts w:hint="eastAsia" w:asciiTheme="minorEastAsia" w:hAnsiTheme="minorEastAsia" w:eastAsiaTheme="minorEastAsia" w:cstheme="minorEastAsia"/>
          <w:bCs/>
          <w:sz w:val="28"/>
          <w:u w:val="single"/>
        </w:rPr>
      </w:pPr>
      <w:r>
        <w:rPr>
          <w:rFonts w:hint="eastAsia" w:asciiTheme="minorEastAsia" w:hAnsiTheme="minorEastAsia" w:eastAsiaTheme="minorEastAsia" w:cstheme="minorEastAsia"/>
          <w:bCs/>
          <w:sz w:val="28"/>
          <w:szCs w:val="28"/>
        </w:rPr>
        <w:t>日    期：</w:t>
      </w:r>
      <w:r>
        <w:rPr>
          <w:rFonts w:hint="eastAsia" w:asciiTheme="minorEastAsia" w:hAnsiTheme="minorEastAsia" w:eastAsiaTheme="minorEastAsia" w:cstheme="minorEastAsia"/>
          <w:bCs/>
          <w:sz w:val="28"/>
        </w:rPr>
        <w:t>202</w:t>
      </w:r>
      <w:r>
        <w:rPr>
          <w:rFonts w:hint="eastAsia" w:asciiTheme="minorEastAsia" w:hAnsiTheme="minorEastAsia" w:eastAsiaTheme="minorEastAsia" w:cstheme="minorEastAsia"/>
          <w:bCs/>
          <w:sz w:val="28"/>
          <w:u w:val="single"/>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日</w:t>
      </w:r>
    </w:p>
    <w:p>
      <w:pPr>
        <w:spacing w:line="360" w:lineRule="auto"/>
        <w:ind w:left="283" w:leftChars="135" w:firstLine="700" w:firstLineChars="250"/>
        <w:rPr>
          <w:rFonts w:hint="eastAsia" w:asciiTheme="minorEastAsia" w:hAnsiTheme="minorEastAsia" w:eastAsiaTheme="minorEastAsia" w:cstheme="minorEastAsia"/>
          <w:sz w:val="28"/>
          <w:szCs w:val="28"/>
          <w:u w:val="single"/>
        </w:rPr>
      </w:pPr>
    </w:p>
    <w:p>
      <w:pPr>
        <w:tabs>
          <w:tab w:val="left" w:pos="630"/>
          <w:tab w:val="left" w:pos="7560"/>
        </w:tabs>
        <w:spacing w:line="360" w:lineRule="auto"/>
        <w:rPr>
          <w:rFonts w:hint="eastAsia" w:asciiTheme="minorEastAsia" w:hAnsiTheme="minorEastAsia" w:eastAsiaTheme="minorEastAsia" w:cstheme="minorEastAsia"/>
          <w:sz w:val="28"/>
          <w:szCs w:val="28"/>
        </w:rPr>
      </w:pPr>
      <w:bookmarkStart w:id="118" w:name="_Toc240367172"/>
      <w:bookmarkStart w:id="119" w:name="_Toc240865266"/>
      <w:bookmarkStart w:id="120" w:name="_Toc237145395"/>
      <w:bookmarkStart w:id="121" w:name="_Toc239849853"/>
      <w:bookmarkStart w:id="122" w:name="_Toc314574804"/>
      <w:bookmarkStart w:id="123" w:name="_Toc265494342"/>
      <w:bookmarkStart w:id="124" w:name="_Toc239846734"/>
      <w:bookmarkStart w:id="125" w:name="_Toc231030275"/>
      <w:bookmarkStart w:id="126" w:name="_Toc229802674"/>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法定代表人或主要负责人身份证明书</w:t>
      </w:r>
    </w:p>
    <w:p>
      <w:pPr>
        <w:tabs>
          <w:tab w:val="left" w:pos="6300"/>
        </w:tabs>
        <w:spacing w:line="360" w:lineRule="auto"/>
        <w:ind w:firstLine="573"/>
        <w:rPr>
          <w:rFonts w:hint="eastAsia" w:asciiTheme="minorEastAsia" w:hAnsiTheme="minorEastAsia" w:eastAsiaTheme="minorEastAsia" w:cstheme="minorEastAsia"/>
          <w:sz w:val="28"/>
          <w:u w:val="single"/>
          <w:lang w:val="zh-CN"/>
        </w:rPr>
      </w:pPr>
    </w:p>
    <w:p>
      <w:pPr>
        <w:tabs>
          <w:tab w:val="left" w:pos="6300"/>
        </w:tabs>
        <w:spacing w:line="360" w:lineRule="auto"/>
        <w:ind w:firstLine="573"/>
        <w:rPr>
          <w:rFonts w:hint="eastAsia" w:asciiTheme="minorEastAsia" w:hAnsiTheme="minorEastAsia" w:eastAsiaTheme="minorEastAsia" w:cstheme="minorEastAsia"/>
          <w:sz w:val="28"/>
          <w:lang w:val="zh-CN"/>
        </w:rPr>
      </w:pPr>
      <w:r>
        <w:rPr>
          <w:rFonts w:hint="eastAsia" w:asciiTheme="minorEastAsia" w:hAnsiTheme="minorEastAsia" w:eastAsiaTheme="minorEastAsia" w:cstheme="minorEastAsia"/>
          <w:sz w:val="28"/>
          <w:u w:val="single"/>
          <w:lang w:val="zh-CN"/>
        </w:rPr>
        <w:t>XXXX（法定代表人</w:t>
      </w:r>
      <w:r>
        <w:rPr>
          <w:rFonts w:hint="eastAsia" w:asciiTheme="minorEastAsia" w:hAnsiTheme="minorEastAsia" w:eastAsiaTheme="minorEastAsia" w:cstheme="minorEastAsia"/>
          <w:sz w:val="28"/>
          <w:szCs w:val="28"/>
          <w:u w:val="single"/>
        </w:rPr>
        <w:t>或主要负责人</w:t>
      </w:r>
      <w:r>
        <w:rPr>
          <w:rFonts w:hint="eastAsia" w:asciiTheme="minorEastAsia" w:hAnsiTheme="minorEastAsia" w:eastAsiaTheme="minorEastAsia" w:cstheme="minorEastAsia"/>
          <w:sz w:val="28"/>
          <w:u w:val="single"/>
          <w:lang w:val="zh-CN"/>
        </w:rPr>
        <w:t>姓名）</w:t>
      </w:r>
      <w:r>
        <w:rPr>
          <w:rFonts w:hint="eastAsia" w:asciiTheme="minorEastAsia" w:hAnsiTheme="minorEastAsia" w:eastAsiaTheme="minorEastAsia" w:cstheme="minorEastAsia"/>
          <w:sz w:val="28"/>
          <w:lang w:val="zh-CN"/>
        </w:rPr>
        <w:t>在</w:t>
      </w:r>
      <w:r>
        <w:rPr>
          <w:rFonts w:hint="eastAsia" w:asciiTheme="minorEastAsia" w:hAnsiTheme="minorEastAsia" w:eastAsiaTheme="minorEastAsia" w:cstheme="minorEastAsia"/>
          <w:sz w:val="28"/>
          <w:u w:val="single"/>
          <w:lang w:val="zh-CN"/>
        </w:rPr>
        <w:t>XXXX（投标人名称）</w:t>
      </w:r>
      <w:r>
        <w:rPr>
          <w:rFonts w:hint="eastAsia" w:asciiTheme="minorEastAsia" w:hAnsiTheme="minorEastAsia" w:eastAsiaTheme="minorEastAsia" w:cstheme="minorEastAsia"/>
          <w:sz w:val="28"/>
          <w:lang w:val="zh-CN"/>
        </w:rPr>
        <w:t>处任</w:t>
      </w:r>
      <w:r>
        <w:rPr>
          <w:rFonts w:hint="eastAsia" w:asciiTheme="minorEastAsia" w:hAnsiTheme="minorEastAsia" w:eastAsiaTheme="minorEastAsia" w:cstheme="minorEastAsia"/>
          <w:sz w:val="28"/>
          <w:u w:val="single"/>
          <w:lang w:val="zh-CN"/>
        </w:rPr>
        <w:t>XXXX（职务名称）</w:t>
      </w:r>
      <w:r>
        <w:rPr>
          <w:rFonts w:hint="eastAsia" w:asciiTheme="minorEastAsia" w:hAnsiTheme="minorEastAsia" w:eastAsiaTheme="minorEastAsia" w:cstheme="minorEastAsia"/>
          <w:sz w:val="28"/>
          <w:lang w:val="zh-CN"/>
        </w:rPr>
        <w:t>职务，是</w:t>
      </w:r>
      <w:r>
        <w:rPr>
          <w:rFonts w:hint="eastAsia" w:asciiTheme="minorEastAsia" w:hAnsiTheme="minorEastAsia" w:eastAsiaTheme="minorEastAsia" w:cstheme="minorEastAsia"/>
          <w:sz w:val="28"/>
          <w:u w:val="single"/>
          <w:lang w:val="zh-CN"/>
        </w:rPr>
        <w:t>XXXX（投标人名称）</w:t>
      </w:r>
      <w:r>
        <w:rPr>
          <w:rFonts w:hint="eastAsia" w:asciiTheme="minorEastAsia" w:hAnsiTheme="minorEastAsia" w:eastAsiaTheme="minorEastAsia" w:cstheme="minorEastAsia"/>
          <w:sz w:val="28"/>
          <w:lang w:val="zh-CN"/>
        </w:rPr>
        <w:t>的法定代表人</w:t>
      </w:r>
      <w:r>
        <w:rPr>
          <w:rFonts w:hint="eastAsia" w:asciiTheme="minorEastAsia" w:hAnsiTheme="minorEastAsia" w:eastAsiaTheme="minorEastAsia" w:cstheme="minorEastAsia"/>
          <w:sz w:val="28"/>
          <w:szCs w:val="28"/>
          <w:u w:val="single"/>
        </w:rPr>
        <w:t>或主要负责人</w:t>
      </w:r>
      <w:r>
        <w:rPr>
          <w:rFonts w:hint="eastAsia" w:asciiTheme="minorEastAsia" w:hAnsiTheme="minorEastAsia" w:eastAsiaTheme="minorEastAsia" w:cstheme="minorEastAsia"/>
          <w:sz w:val="28"/>
          <w:lang w:val="zh-CN"/>
        </w:rPr>
        <w:t>。</w:t>
      </w:r>
    </w:p>
    <w:p>
      <w:pPr>
        <w:tabs>
          <w:tab w:val="left" w:pos="6300"/>
        </w:tabs>
        <w:spacing w:line="360" w:lineRule="auto"/>
        <w:ind w:firstLine="573"/>
        <w:rPr>
          <w:rFonts w:hint="eastAsia" w:asciiTheme="minorEastAsia" w:hAnsiTheme="minorEastAsia" w:eastAsiaTheme="minorEastAsia" w:cstheme="minorEastAsia"/>
          <w:sz w:val="28"/>
          <w:lang w:val="zh-CN"/>
        </w:rPr>
      </w:pPr>
      <w:bookmarkStart w:id="127" w:name="_Toc263768866"/>
      <w:r>
        <w:rPr>
          <w:rFonts w:hint="eastAsia" w:asciiTheme="minorEastAsia" w:hAnsiTheme="minorEastAsia" w:eastAsiaTheme="minorEastAsia" w:cstheme="minorEastAsia"/>
          <w:sz w:val="28"/>
          <w:lang w:val="zh-CN"/>
        </w:rPr>
        <w:t>特此证明。</w:t>
      </w:r>
      <w:bookmarkEnd w:id="127"/>
    </w:p>
    <w:p>
      <w:pPr>
        <w:tabs>
          <w:tab w:val="left" w:pos="6300"/>
        </w:tabs>
        <w:spacing w:line="360" w:lineRule="auto"/>
        <w:rPr>
          <w:rFonts w:hint="eastAsia" w:asciiTheme="minorEastAsia" w:hAnsiTheme="minorEastAsia" w:eastAsiaTheme="minorEastAsia" w:cstheme="minorEastAsia"/>
          <w:sz w:val="28"/>
          <w:lang w:val="zh-CN"/>
        </w:rPr>
      </w:pPr>
    </w:p>
    <w:p>
      <w:pPr>
        <w:tabs>
          <w:tab w:val="left" w:pos="6300"/>
        </w:tabs>
        <w:spacing w:line="360" w:lineRule="auto"/>
        <w:rPr>
          <w:rFonts w:hint="eastAsia" w:asciiTheme="minorEastAsia" w:hAnsiTheme="minorEastAsia" w:eastAsiaTheme="minorEastAsia" w:cstheme="minorEastAsia"/>
          <w:sz w:val="28"/>
          <w:lang w:val="zh-CN"/>
        </w:rPr>
      </w:pPr>
    </w:p>
    <w:p>
      <w:pPr>
        <w:tabs>
          <w:tab w:val="left" w:pos="6300"/>
        </w:tabs>
        <w:spacing w:line="360" w:lineRule="auto"/>
        <w:rPr>
          <w:rFonts w:hint="eastAsia" w:asciiTheme="minorEastAsia" w:hAnsiTheme="minorEastAsia" w:eastAsiaTheme="minorEastAsia" w:cstheme="minorEastAsia"/>
          <w:sz w:val="28"/>
          <w:lang w:val="zh-CN"/>
        </w:rPr>
      </w:pPr>
    </w:p>
    <w:p>
      <w:pPr>
        <w:tabs>
          <w:tab w:val="left" w:pos="6300"/>
        </w:tabs>
        <w:spacing w:line="360" w:lineRule="auto"/>
        <w:rPr>
          <w:rFonts w:hint="eastAsia" w:asciiTheme="minorEastAsia" w:hAnsiTheme="minorEastAsia" w:eastAsiaTheme="minorEastAsia" w:cstheme="minorEastAsia"/>
          <w:sz w:val="28"/>
          <w:lang w:val="zh-CN"/>
        </w:rPr>
      </w:pPr>
    </w:p>
    <w:p>
      <w:pPr>
        <w:pStyle w:val="2"/>
        <w:rPr>
          <w:rFonts w:hint="eastAsia" w:asciiTheme="minorEastAsia" w:hAnsiTheme="minorEastAsia" w:eastAsiaTheme="minorEastAsia" w:cstheme="minorEastAsia"/>
          <w:lang w:val="zh-CN"/>
        </w:rPr>
      </w:pPr>
    </w:p>
    <w:p>
      <w:pPr>
        <w:pStyle w:val="2"/>
        <w:rPr>
          <w:rFonts w:hint="eastAsia" w:asciiTheme="minorEastAsia" w:hAnsiTheme="minorEastAsia" w:eastAsiaTheme="minorEastAsia" w:cstheme="minorEastAsia"/>
          <w:lang w:val="zh-CN"/>
        </w:rPr>
      </w:pPr>
    </w:p>
    <w:p>
      <w:pPr>
        <w:pStyle w:val="2"/>
        <w:rPr>
          <w:rFonts w:hint="eastAsia" w:asciiTheme="minorEastAsia" w:hAnsiTheme="minorEastAsia" w:eastAsiaTheme="minorEastAsia" w:cstheme="minorEastAsia"/>
          <w:lang w:val="zh-CN"/>
        </w:rPr>
      </w:pPr>
    </w:p>
    <w:p>
      <w:pPr>
        <w:pStyle w:val="2"/>
        <w:rPr>
          <w:rFonts w:hint="eastAsia" w:asciiTheme="minorEastAsia" w:hAnsiTheme="minorEastAsia" w:eastAsiaTheme="minorEastAsia" w:cstheme="minorEastAsia"/>
          <w:lang w:val="zh-CN"/>
        </w:rPr>
      </w:pPr>
    </w:p>
    <w:p>
      <w:pPr>
        <w:pStyle w:val="2"/>
        <w:rPr>
          <w:rFonts w:hint="eastAsia" w:asciiTheme="minorEastAsia" w:hAnsiTheme="minorEastAsia" w:eastAsiaTheme="minorEastAsia" w:cstheme="minorEastAsia"/>
          <w:lang w:val="zh-CN"/>
        </w:rPr>
      </w:pPr>
    </w:p>
    <w:p>
      <w:pPr>
        <w:pStyle w:val="2"/>
        <w:rPr>
          <w:rFonts w:hint="eastAsia" w:asciiTheme="minorEastAsia" w:hAnsiTheme="minorEastAsia" w:eastAsiaTheme="minorEastAsia" w:cstheme="minorEastAsia"/>
          <w:lang w:val="zh-CN"/>
        </w:rPr>
      </w:pPr>
    </w:p>
    <w:p>
      <w:pPr>
        <w:tabs>
          <w:tab w:val="left" w:pos="6300"/>
        </w:tabs>
        <w:spacing w:line="360" w:lineRule="auto"/>
        <w:rPr>
          <w:rFonts w:hint="eastAsia" w:asciiTheme="minorEastAsia" w:hAnsiTheme="minorEastAsia" w:eastAsiaTheme="minorEastAsia" w:cstheme="minorEastAsia"/>
          <w:sz w:val="28"/>
          <w:lang w:val="zh-CN"/>
        </w:rPr>
      </w:pPr>
    </w:p>
    <w:p>
      <w:pPr>
        <w:tabs>
          <w:tab w:val="left" w:pos="6300"/>
        </w:tabs>
        <w:spacing w:line="360" w:lineRule="auto"/>
        <w:rPr>
          <w:rFonts w:hint="eastAsia" w:asciiTheme="minorEastAsia" w:hAnsiTheme="minorEastAsia" w:eastAsiaTheme="minorEastAsia" w:cstheme="minorEastAsia"/>
          <w:sz w:val="28"/>
          <w:lang w:val="zh-CN"/>
        </w:rPr>
      </w:pPr>
    </w:p>
    <w:p>
      <w:pPr>
        <w:spacing w:line="360" w:lineRule="auto"/>
        <w:rPr>
          <w:rFonts w:hint="eastAsia" w:asciiTheme="minorEastAsia" w:hAnsiTheme="minorEastAsia" w:eastAsiaTheme="minorEastAsia" w:cstheme="minorEastAsia"/>
          <w:sz w:val="28"/>
          <w:lang w:val="zh-CN"/>
        </w:rPr>
      </w:pPr>
      <w:r>
        <w:rPr>
          <w:rFonts w:hint="eastAsia" w:asciiTheme="minorEastAsia" w:hAnsiTheme="minorEastAsia" w:eastAsiaTheme="minorEastAsia" w:cstheme="minorEastAsia"/>
          <w:sz w:val="28"/>
          <w:lang w:val="zh-CN"/>
        </w:rPr>
        <w:t>投标人名称：</w:t>
      </w:r>
      <w:r>
        <w:rPr>
          <w:rFonts w:hint="eastAsia" w:asciiTheme="minorEastAsia" w:hAnsiTheme="minorEastAsia" w:eastAsiaTheme="minorEastAsia" w:cstheme="minorEastAsia"/>
          <w:sz w:val="28"/>
          <w:u w:val="single"/>
          <w:lang w:val="zh-CN"/>
        </w:rPr>
        <w:t>XXXX</w:t>
      </w:r>
    </w:p>
    <w:p>
      <w:pPr>
        <w:spacing w:line="360" w:lineRule="auto"/>
        <w:rPr>
          <w:rFonts w:hint="eastAsia" w:asciiTheme="minorEastAsia" w:hAnsiTheme="minorEastAsia" w:eastAsiaTheme="minorEastAsia" w:cstheme="minorEastAsia"/>
          <w:b/>
          <w:sz w:val="28"/>
          <w:u w:val="single"/>
          <w:lang w:val="zh-CN"/>
        </w:rPr>
      </w:pPr>
      <w:r>
        <w:rPr>
          <w:rFonts w:hint="eastAsia" w:asciiTheme="minorEastAsia" w:hAnsiTheme="minorEastAsia" w:eastAsiaTheme="minorEastAsia" w:cstheme="minorEastAsia"/>
          <w:sz w:val="28"/>
        </w:rPr>
        <w:t>日期：</w:t>
      </w:r>
      <w:r>
        <w:rPr>
          <w:rFonts w:hint="eastAsia" w:asciiTheme="minorEastAsia" w:hAnsiTheme="minorEastAsia" w:eastAsiaTheme="minorEastAsia" w:cstheme="minorEastAsia"/>
          <w:bCs/>
          <w:sz w:val="28"/>
        </w:rPr>
        <w:t>20</w:t>
      </w:r>
      <w:r>
        <w:rPr>
          <w:rFonts w:hint="eastAsia" w:asciiTheme="minorEastAsia" w:hAnsiTheme="minorEastAsia" w:eastAsiaTheme="minorEastAsia" w:cstheme="minorEastAsia"/>
          <w:sz w:val="28"/>
          <w:lang w:val="zh-CN"/>
        </w:rPr>
        <w:t>2</w:t>
      </w:r>
      <w:r>
        <w:rPr>
          <w:rFonts w:hint="eastAsia" w:asciiTheme="minorEastAsia" w:hAnsiTheme="minorEastAsia" w:eastAsiaTheme="minorEastAsia" w:cstheme="minorEastAsia"/>
          <w:sz w:val="28"/>
          <w:u w:val="single"/>
          <w:lang w:val="zh-CN"/>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sz w:val="28"/>
          <w:u w:val="single"/>
          <w:lang w:val="zh-CN"/>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sz w:val="28"/>
          <w:u w:val="single"/>
          <w:lang w:val="zh-CN"/>
        </w:rPr>
        <w:t>XX</w:t>
      </w:r>
      <w:r>
        <w:rPr>
          <w:rFonts w:hint="eastAsia" w:asciiTheme="minorEastAsia" w:hAnsiTheme="minorEastAsia" w:eastAsiaTheme="minorEastAsia" w:cstheme="minorEastAsia"/>
          <w:bCs/>
          <w:sz w:val="28"/>
        </w:rPr>
        <w:t>日</w:t>
      </w:r>
    </w:p>
    <w:p>
      <w:pPr>
        <w:spacing w:after="180" w:line="360" w:lineRule="auto"/>
        <w:ind w:firstLine="568" w:firstLineChars="202"/>
        <w:rPr>
          <w:rFonts w:hint="eastAsia" w:asciiTheme="minorEastAsia" w:hAnsiTheme="minorEastAsia" w:eastAsiaTheme="minorEastAsia" w:cstheme="minorEastAsia"/>
          <w:b/>
          <w:sz w:val="28"/>
          <w:szCs w:val="28"/>
        </w:rPr>
      </w:pPr>
    </w:p>
    <w:p>
      <w:pPr>
        <w:spacing w:after="180" w:line="360" w:lineRule="auto"/>
        <w:ind w:firstLine="568" w:firstLineChars="20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说明：（1）上述证明文件在投标文件中附有法定代表人</w:t>
      </w:r>
      <w:r>
        <w:rPr>
          <w:rFonts w:hint="eastAsia" w:asciiTheme="minorEastAsia" w:hAnsiTheme="minorEastAsia" w:eastAsiaTheme="minorEastAsia" w:cstheme="minorEastAsia"/>
          <w:sz w:val="28"/>
          <w:szCs w:val="28"/>
          <w:u w:val="single"/>
        </w:rPr>
        <w:t>或主要负责人</w:t>
      </w:r>
      <w:r>
        <w:rPr>
          <w:rFonts w:hint="eastAsia" w:asciiTheme="minorEastAsia" w:hAnsiTheme="minorEastAsia" w:eastAsiaTheme="minorEastAsia" w:cstheme="minorEastAsia"/>
          <w:b/>
          <w:sz w:val="28"/>
          <w:szCs w:val="28"/>
        </w:rPr>
        <w:t>身份证复印件（身份证两面均应复印）或护照复印件（投标人的法定代表人</w:t>
      </w:r>
      <w:r>
        <w:rPr>
          <w:rFonts w:hint="eastAsia" w:asciiTheme="minorEastAsia" w:hAnsiTheme="minorEastAsia" w:eastAsiaTheme="minorEastAsia" w:cstheme="minorEastAsia"/>
          <w:b/>
          <w:sz w:val="28"/>
          <w:szCs w:val="28"/>
          <w:u w:val="single"/>
        </w:rPr>
        <w:t>或主要负责人</w:t>
      </w:r>
      <w:r>
        <w:rPr>
          <w:rFonts w:hint="eastAsia" w:asciiTheme="minorEastAsia" w:hAnsiTheme="minorEastAsia" w:eastAsiaTheme="minorEastAsia" w:cstheme="minorEastAsia"/>
          <w:b/>
          <w:sz w:val="28"/>
          <w:szCs w:val="28"/>
        </w:rPr>
        <w:t>为外籍人士的，则提供护照复印件）时才能生效。</w:t>
      </w:r>
      <w:r>
        <w:rPr>
          <w:rFonts w:hint="eastAsia" w:asciiTheme="minorEastAsia" w:hAnsiTheme="minorEastAsia" w:eastAsiaTheme="minorEastAsia" w:cstheme="minorEastAsia"/>
          <w:b/>
          <w:sz w:val="28"/>
          <w:szCs w:val="28"/>
          <w:lang w:val="zh-CN"/>
        </w:rPr>
        <w:t>（2）主要负责人为投标人提供的其具有独立承担民事责任能力的证明材料中的主要负责人员。</w:t>
      </w:r>
    </w:p>
    <w:bookmarkEnd w:id="118"/>
    <w:bookmarkEnd w:id="119"/>
    <w:bookmarkEnd w:id="120"/>
    <w:bookmarkEnd w:id="121"/>
    <w:bookmarkEnd w:id="122"/>
    <w:bookmarkEnd w:id="123"/>
    <w:bookmarkEnd w:id="124"/>
    <w:bookmarkEnd w:id="125"/>
    <w:bookmarkEnd w:id="126"/>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bookmarkStart w:id="128" w:name="_Toc315871054"/>
      <w:bookmarkEnd w:id="128"/>
      <w:bookmarkStart w:id="129" w:name="_Toc302997926"/>
      <w:bookmarkStart w:id="130" w:name="_Toc217446083"/>
      <w:bookmarkStart w:id="131" w:name="_Toc263768870"/>
      <w:bookmarkStart w:id="132" w:name="_Toc220299393"/>
      <w:bookmarkStart w:id="133" w:name="_Toc263753605"/>
      <w:r>
        <w:rPr>
          <w:rFonts w:hint="eastAsia" w:asciiTheme="minorEastAsia" w:hAnsiTheme="minorEastAsia" w:eastAsiaTheme="minorEastAsia" w:cstheme="minorEastAsia"/>
          <w:b/>
          <w:bCs/>
          <w:sz w:val="28"/>
          <w:szCs w:val="28"/>
        </w:rPr>
        <w:t>投标人基本情况表</w:t>
      </w:r>
      <w:bookmarkEnd w:id="129"/>
    </w:p>
    <w:tbl>
      <w:tblPr>
        <w:tblStyle w:val="1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80"/>
        <w:gridCol w:w="1035"/>
        <w:gridCol w:w="794"/>
        <w:gridCol w:w="1248"/>
        <w:gridCol w:w="8"/>
        <w:gridCol w:w="1318"/>
        <w:gridCol w:w="352"/>
        <w:gridCol w:w="820"/>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80"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投标人名称</w:t>
            </w:r>
          </w:p>
        </w:tc>
        <w:tc>
          <w:tcPr>
            <w:tcW w:w="6642"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注册地址</w:t>
            </w:r>
          </w:p>
        </w:tc>
        <w:tc>
          <w:tcPr>
            <w:tcW w:w="3085"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联系方式</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联系人</w:t>
            </w:r>
          </w:p>
        </w:tc>
        <w:tc>
          <w:tcPr>
            <w:tcW w:w="204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880"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hint="eastAsia" w:asciiTheme="minorEastAsia" w:hAnsiTheme="minorEastAsia" w:eastAsiaTheme="minorEastAsia" w:cstheme="minorEastAsia"/>
                <w:sz w:val="24"/>
                <w:szCs w:val="24"/>
              </w:rPr>
            </w:pP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传真</w:t>
            </w:r>
          </w:p>
        </w:tc>
        <w:tc>
          <w:tcPr>
            <w:tcW w:w="204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单位性质</w:t>
            </w:r>
          </w:p>
        </w:tc>
        <w:tc>
          <w:tcPr>
            <w:tcW w:w="6642"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法定代表人或主要负责人</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w:t>
            </w:r>
          </w:p>
        </w:tc>
        <w:tc>
          <w:tcPr>
            <w:tcW w:w="79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880"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技术负责人</w:t>
            </w:r>
          </w:p>
        </w:tc>
        <w:tc>
          <w:tcPr>
            <w:tcW w:w="103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w:t>
            </w:r>
          </w:p>
        </w:tc>
        <w:tc>
          <w:tcPr>
            <w:tcW w:w="794"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880"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财务负责人</w:t>
            </w:r>
          </w:p>
        </w:tc>
        <w:tc>
          <w:tcPr>
            <w:tcW w:w="103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w:t>
            </w:r>
          </w:p>
        </w:tc>
        <w:tc>
          <w:tcPr>
            <w:tcW w:w="794"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成立时间</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资质等级</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其中</w:t>
            </w:r>
          </w:p>
        </w:tc>
        <w:tc>
          <w:tcPr>
            <w:tcW w:w="167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w:t>
            </w:r>
          </w:p>
        </w:tc>
        <w:tc>
          <w:tcPr>
            <w:tcW w:w="188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统一社会信用代码</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Theme="minorEastAsia" w:hAnsiTheme="minorEastAsia" w:eastAsiaTheme="minorEastAsia" w:cstheme="minorEastAsia"/>
                <w:sz w:val="24"/>
                <w:szCs w:val="24"/>
              </w:rPr>
            </w:pPr>
          </w:p>
        </w:tc>
        <w:tc>
          <w:tcPr>
            <w:tcW w:w="167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高级职称人员</w:t>
            </w:r>
          </w:p>
        </w:tc>
        <w:tc>
          <w:tcPr>
            <w:tcW w:w="188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注册资金</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Theme="minorEastAsia" w:hAnsiTheme="minorEastAsia" w:eastAsiaTheme="minorEastAsia" w:cstheme="minorEastAsia"/>
                <w:sz w:val="24"/>
                <w:szCs w:val="24"/>
              </w:rPr>
            </w:pPr>
          </w:p>
        </w:tc>
        <w:tc>
          <w:tcPr>
            <w:tcW w:w="167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中级职称人员</w:t>
            </w:r>
          </w:p>
        </w:tc>
        <w:tc>
          <w:tcPr>
            <w:tcW w:w="188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开户银行</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Theme="minorEastAsia" w:hAnsiTheme="minorEastAsia" w:eastAsiaTheme="minorEastAsia" w:cstheme="minorEastAsia"/>
                <w:sz w:val="24"/>
                <w:szCs w:val="24"/>
              </w:rPr>
            </w:pPr>
          </w:p>
        </w:tc>
        <w:tc>
          <w:tcPr>
            <w:tcW w:w="167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初级职称人员</w:t>
            </w:r>
          </w:p>
        </w:tc>
        <w:tc>
          <w:tcPr>
            <w:tcW w:w="188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账号</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Theme="minorEastAsia" w:hAnsiTheme="minorEastAsia" w:eastAsiaTheme="minorEastAsia" w:cstheme="minorEastAsia"/>
                <w:sz w:val="24"/>
                <w:szCs w:val="24"/>
              </w:rPr>
            </w:pPr>
          </w:p>
        </w:tc>
        <w:tc>
          <w:tcPr>
            <w:tcW w:w="167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技工</w:t>
            </w:r>
          </w:p>
        </w:tc>
        <w:tc>
          <w:tcPr>
            <w:tcW w:w="188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78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经营范围</w:t>
            </w:r>
          </w:p>
        </w:tc>
        <w:tc>
          <w:tcPr>
            <w:tcW w:w="6642"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880" w:type="dxa"/>
            <w:tcBorders>
              <w:top w:val="single" w:color="auto" w:sz="6" w:space="0"/>
              <w:left w:val="double" w:color="auto" w:sz="4" w:space="0"/>
              <w:bottom w:val="doub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c>
          <w:tcPr>
            <w:tcW w:w="6642"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hint="eastAsia" w:asciiTheme="minorEastAsia" w:hAnsiTheme="minorEastAsia" w:eastAsiaTheme="minorEastAsia" w:cstheme="minorEastAsia"/>
                <w:sz w:val="24"/>
                <w:szCs w:val="24"/>
              </w:rPr>
            </w:pPr>
          </w:p>
        </w:tc>
      </w:tr>
    </w:tbl>
    <w:p>
      <w:pPr>
        <w:adjustRightInd w:val="0"/>
        <w:spacing w:line="400" w:lineRule="exact"/>
        <w:rPr>
          <w:rFonts w:hint="eastAsia" w:asciiTheme="minorEastAsia" w:hAnsiTheme="minorEastAsia" w:eastAsiaTheme="minorEastAsia" w:cstheme="minorEastAsia"/>
          <w:bCs/>
          <w:sz w:val="28"/>
          <w:szCs w:val="28"/>
        </w:rPr>
      </w:pPr>
    </w:p>
    <w:p>
      <w:pPr>
        <w:spacing w:after="120" w:line="360" w:lineRule="auto"/>
        <w:ind w:left="420" w:leftChars="200" w:firstLine="288" w:firstLineChars="103"/>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投标人名称：</w:t>
      </w:r>
      <w:r>
        <w:rPr>
          <w:rFonts w:hint="eastAsia" w:asciiTheme="minorEastAsia" w:hAnsiTheme="minorEastAsia" w:eastAsiaTheme="minorEastAsia" w:cstheme="minorEastAsia"/>
          <w:bCs/>
          <w:sz w:val="28"/>
          <w:szCs w:val="28"/>
          <w:u w:val="single"/>
        </w:rPr>
        <w:tab/>
      </w:r>
      <w:r>
        <w:rPr>
          <w:rFonts w:hint="eastAsia" w:asciiTheme="minorEastAsia" w:hAnsiTheme="minorEastAsia" w:eastAsiaTheme="minorEastAsia" w:cstheme="minorEastAsia"/>
          <w:bCs/>
          <w:sz w:val="28"/>
          <w:szCs w:val="28"/>
          <w:u w:val="single"/>
        </w:rPr>
        <w:t>XXXX</w:t>
      </w:r>
    </w:p>
    <w:p>
      <w:pPr>
        <w:adjustRightInd w:val="0"/>
        <w:spacing w:line="400" w:lineRule="exact"/>
        <w:ind w:firstLine="700" w:firstLineChars="250"/>
        <w:rPr>
          <w:rFonts w:hint="eastAsia" w:asciiTheme="minorEastAsia" w:hAnsiTheme="minorEastAsia" w:eastAsiaTheme="minorEastAsia" w:cstheme="minorEastAsia"/>
          <w:bCs/>
          <w:sz w:val="28"/>
          <w:u w:val="single"/>
        </w:rPr>
      </w:pPr>
      <w:r>
        <w:rPr>
          <w:rFonts w:hint="eastAsia" w:asciiTheme="minorEastAsia" w:hAnsiTheme="minorEastAsia" w:eastAsiaTheme="minorEastAsia" w:cstheme="minorEastAsia"/>
          <w:sz w:val="28"/>
        </w:rPr>
        <w:t>日期：</w:t>
      </w:r>
      <w:r>
        <w:rPr>
          <w:rFonts w:hint="eastAsia" w:asciiTheme="minorEastAsia" w:hAnsiTheme="minorEastAsia" w:eastAsiaTheme="minorEastAsia" w:cstheme="minorEastAsia"/>
          <w:bCs/>
          <w:sz w:val="28"/>
        </w:rPr>
        <w:t>202</w:t>
      </w:r>
      <w:r>
        <w:rPr>
          <w:rFonts w:hint="eastAsia" w:asciiTheme="minorEastAsia" w:hAnsiTheme="minorEastAsia" w:eastAsiaTheme="minorEastAsia" w:cstheme="minorEastAsia"/>
          <w:bCs/>
          <w:sz w:val="28"/>
          <w:u w:val="single"/>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日</w:t>
      </w:r>
    </w:p>
    <w:p>
      <w:pPr>
        <w:rPr>
          <w:rFonts w:hint="eastAsia" w:asciiTheme="minorEastAsia" w:hAnsiTheme="minorEastAsia" w:eastAsiaTheme="minorEastAsia" w:cstheme="minorEastAsia"/>
          <w:bCs/>
          <w:sz w:val="28"/>
        </w:rPr>
      </w:pPr>
      <w:r>
        <w:rPr>
          <w:rFonts w:hint="eastAsia" w:asciiTheme="minorEastAsia" w:hAnsiTheme="minorEastAsia" w:eastAsiaTheme="minorEastAsia" w:cstheme="minorEastAsia"/>
          <w:bCs/>
          <w:sz w:val="28"/>
        </w:rPr>
        <w:br w:type="page"/>
      </w:r>
    </w:p>
    <w:bookmarkEnd w:id="130"/>
    <w:bookmarkEnd w:id="131"/>
    <w:bookmarkEnd w:id="132"/>
    <w:bookmarkEnd w:id="133"/>
    <w:p>
      <w:pPr>
        <w:pStyle w:val="4"/>
        <w:keepNext/>
        <w:keepLines/>
        <w:pageBreakBefore w:val="0"/>
        <w:widowControl w:val="0"/>
        <w:numPr>
          <w:ilvl w:val="2"/>
          <w:numId w:val="3"/>
        </w:numPr>
        <w:kinsoku/>
        <w:wordWrap/>
        <w:overflowPunct/>
        <w:topLinePunct w:val="0"/>
        <w:autoSpaceDE/>
        <w:autoSpaceDN/>
        <w:bidi w:val="0"/>
        <w:adjustRightInd/>
        <w:snapToGrid/>
        <w:spacing w:after="200" w:line="240" w:lineRule="auto"/>
        <w:ind w:left="283" w:firstLine="0"/>
        <w:textAlignment w:val="auto"/>
        <w:rPr>
          <w:rFonts w:hint="eastAsia" w:asciiTheme="minorEastAsia" w:hAnsiTheme="minorEastAsia" w:eastAsiaTheme="minorEastAsia" w:cstheme="minorEastAsia"/>
          <w:color w:val="auto"/>
        </w:rPr>
      </w:pPr>
      <w:bookmarkStart w:id="134" w:name="_Toc316475719"/>
      <w:r>
        <w:rPr>
          <w:rFonts w:hint="eastAsia" w:asciiTheme="minorEastAsia" w:hAnsiTheme="minorEastAsia" w:eastAsiaTheme="minorEastAsia" w:cstheme="minorEastAsia"/>
          <w:color w:val="auto"/>
        </w:rPr>
        <w:t>服务方案及服务承诺</w:t>
      </w:r>
    </w:p>
    <w:p>
      <w:pPr>
        <w:snapToGrid w:val="0"/>
        <w:spacing w:line="360" w:lineRule="auto"/>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8"/>
          <w:szCs w:val="28"/>
        </w:rPr>
        <w:t>项目名称：</w:t>
      </w:r>
      <w:r>
        <w:rPr>
          <w:rFonts w:hint="eastAsia" w:asciiTheme="minorEastAsia" w:hAnsiTheme="minorEastAsia" w:eastAsiaTheme="minorEastAsia" w:cstheme="minorEastAsia"/>
          <w:b/>
          <w:sz w:val="28"/>
          <w:szCs w:val="28"/>
          <w:u w:val="single"/>
          <w:lang w:eastAsia="zh-CN"/>
        </w:rPr>
        <w:t>丹景街道新民家园一期征地拆迁安置小区物业管理服务采购项目</w:t>
      </w:r>
    </w:p>
    <w:p>
      <w:pPr>
        <w:snapToGrid w:val="0"/>
        <w:spacing w:line="360" w:lineRule="auto"/>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8"/>
          <w:szCs w:val="28"/>
        </w:rPr>
        <w:t>项目编号：</w:t>
      </w:r>
      <w:r>
        <w:rPr>
          <w:rFonts w:hint="eastAsia" w:asciiTheme="minorEastAsia" w:hAnsiTheme="minorEastAsia" w:eastAsiaTheme="minorEastAsia" w:cstheme="minorEastAsia"/>
          <w:b/>
          <w:sz w:val="28"/>
          <w:szCs w:val="28"/>
          <w:u w:val="single"/>
          <w:lang w:eastAsia="zh-CN"/>
        </w:rPr>
        <w:t>东部新区政采（2021）A0065号</w:t>
      </w: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pacing w:after="120" w:line="360" w:lineRule="auto"/>
        <w:ind w:left="420" w:leftChars="20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投标人名称：</w:t>
      </w:r>
      <w:r>
        <w:rPr>
          <w:rFonts w:hint="eastAsia" w:asciiTheme="minorEastAsia" w:hAnsiTheme="minorEastAsia" w:eastAsiaTheme="minorEastAsia" w:cstheme="minorEastAsia"/>
          <w:bCs/>
          <w:sz w:val="28"/>
          <w:szCs w:val="28"/>
          <w:u w:val="single"/>
        </w:rPr>
        <w:t>XXXX</w:t>
      </w:r>
    </w:p>
    <w:p>
      <w:pPr>
        <w:adjustRightInd w:val="0"/>
        <w:spacing w:line="400" w:lineRule="exact"/>
        <w:ind w:firstLine="420" w:firstLineChars="150"/>
        <w:rPr>
          <w:rFonts w:hint="eastAsia" w:asciiTheme="minorEastAsia" w:hAnsiTheme="minorEastAsia" w:eastAsiaTheme="minorEastAsia" w:cstheme="minorEastAsia"/>
          <w:bCs/>
          <w:sz w:val="28"/>
          <w:u w:val="single"/>
        </w:rPr>
      </w:pPr>
      <w:r>
        <w:rPr>
          <w:rFonts w:hint="eastAsia" w:asciiTheme="minorEastAsia" w:hAnsiTheme="minorEastAsia" w:eastAsiaTheme="minorEastAsia" w:cstheme="minorEastAsia"/>
          <w:sz w:val="28"/>
        </w:rPr>
        <w:t>日期：</w:t>
      </w:r>
      <w:r>
        <w:rPr>
          <w:rFonts w:hint="eastAsia" w:asciiTheme="minorEastAsia" w:hAnsiTheme="minorEastAsia" w:eastAsiaTheme="minorEastAsia" w:cstheme="minorEastAsia"/>
          <w:bCs/>
          <w:sz w:val="28"/>
        </w:rPr>
        <w:t>202</w:t>
      </w:r>
      <w:r>
        <w:rPr>
          <w:rFonts w:hint="eastAsia" w:asciiTheme="minorEastAsia" w:hAnsiTheme="minorEastAsia" w:eastAsiaTheme="minorEastAsia" w:cstheme="minorEastAsia"/>
          <w:bCs/>
          <w:sz w:val="28"/>
          <w:u w:val="single"/>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日</w:t>
      </w:r>
    </w:p>
    <w:p>
      <w:pPr>
        <w:widowControl/>
        <w:spacing w:line="360" w:lineRule="auto"/>
        <w:jc w:val="left"/>
        <w:rPr>
          <w:rFonts w:hint="eastAsia" w:asciiTheme="minorEastAsia" w:hAnsiTheme="minorEastAsia" w:eastAsiaTheme="minorEastAsia" w:cstheme="minorEastAsia"/>
          <w:kern w:val="0"/>
          <w:sz w:val="28"/>
        </w:rPr>
        <w:sectPr>
          <w:footerReference r:id="rId3" w:type="default"/>
          <w:pgSz w:w="11906" w:h="16838"/>
          <w:pgMar w:top="1440" w:right="1800" w:bottom="1440" w:left="1800" w:header="851" w:footer="992" w:gutter="0"/>
          <w:pgNumType w:fmt="decimal"/>
          <w:cols w:space="720" w:num="1"/>
        </w:sectPr>
      </w:pPr>
    </w:p>
    <w:p>
      <w:pPr>
        <w:keepNext/>
        <w:keepLines/>
        <w:numPr>
          <w:ilvl w:val="2"/>
          <w:numId w:val="3"/>
        </w:numPr>
        <w:spacing w:line="360" w:lineRule="auto"/>
        <w:ind w:hanging="3260"/>
        <w:outlineLvl w:val="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承诺函</w:t>
      </w:r>
    </w:p>
    <w:p>
      <w:pPr>
        <w:snapToGrid w:val="0"/>
        <w:spacing w:line="360" w:lineRule="auto"/>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8"/>
          <w:szCs w:val="28"/>
        </w:rPr>
        <w:t>项目名称：</w:t>
      </w:r>
      <w:r>
        <w:rPr>
          <w:rFonts w:hint="eastAsia" w:asciiTheme="minorEastAsia" w:hAnsiTheme="minorEastAsia" w:eastAsiaTheme="minorEastAsia" w:cstheme="minorEastAsia"/>
          <w:b/>
          <w:sz w:val="28"/>
          <w:szCs w:val="28"/>
          <w:u w:val="single"/>
          <w:lang w:eastAsia="zh-CN"/>
        </w:rPr>
        <w:t>丹景街道新民家园一期征地拆迁安置小区物业管理服务采购项目</w:t>
      </w:r>
    </w:p>
    <w:p>
      <w:pPr>
        <w:snapToGrid w:val="0"/>
        <w:spacing w:line="360" w:lineRule="auto"/>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8"/>
          <w:szCs w:val="28"/>
        </w:rPr>
        <w:t>项目编号：</w:t>
      </w:r>
      <w:r>
        <w:rPr>
          <w:rFonts w:hint="eastAsia" w:asciiTheme="minorEastAsia" w:hAnsiTheme="minorEastAsia" w:eastAsiaTheme="minorEastAsia" w:cstheme="minorEastAsia"/>
          <w:b/>
          <w:sz w:val="28"/>
          <w:szCs w:val="28"/>
          <w:u w:val="single"/>
          <w:lang w:eastAsia="zh-CN"/>
        </w:rPr>
        <w:t>东部新区政采（2021）A0065号</w:t>
      </w:r>
    </w:p>
    <w:p>
      <w:pPr>
        <w:snapToGrid w:val="0"/>
        <w:spacing w:line="360" w:lineRule="auto"/>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rPr>
        <w:t>我单位作为参加本</w:t>
      </w:r>
      <w:r>
        <w:rPr>
          <w:rFonts w:hint="eastAsia" w:asciiTheme="minorEastAsia" w:hAnsiTheme="minorEastAsia" w:eastAsiaTheme="minorEastAsia" w:cstheme="minorEastAsia"/>
          <w:sz w:val="28"/>
          <w:szCs w:val="28"/>
        </w:rPr>
        <w:t>项目</w:t>
      </w:r>
      <w:r>
        <w:rPr>
          <w:rFonts w:hint="eastAsia" w:asciiTheme="minorEastAsia" w:hAnsiTheme="minorEastAsia" w:eastAsiaTheme="minorEastAsia" w:cstheme="minorEastAsia"/>
          <w:sz w:val="28"/>
        </w:rPr>
        <w:t>的投标人，在此郑重承诺：</w:t>
      </w:r>
    </w:p>
    <w:p>
      <w:pPr>
        <w:pStyle w:val="25"/>
        <w:numPr>
          <w:ilvl w:val="0"/>
          <w:numId w:val="20"/>
        </w:numPr>
        <w:spacing w:line="360" w:lineRule="auto"/>
        <w:ind w:left="0" w:firstLine="562" w:firstLineChars="20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rPr>
        <w:t>XXXX。</w:t>
      </w:r>
    </w:p>
    <w:p>
      <w:pPr>
        <w:snapToGrid w:val="0"/>
        <w:spacing w:line="360" w:lineRule="auto"/>
        <w:ind w:firstLine="560" w:firstLineChars="200"/>
        <w:rPr>
          <w:rFonts w:hint="eastAsia" w:asciiTheme="minorEastAsia" w:hAnsiTheme="minorEastAsia" w:eastAsiaTheme="minorEastAsia" w:cstheme="minorEastAsia"/>
          <w:sz w:val="28"/>
          <w:szCs w:val="28"/>
        </w:rPr>
      </w:pPr>
    </w:p>
    <w:p>
      <w:pPr>
        <w:snapToGrid w:val="0"/>
        <w:spacing w:line="360" w:lineRule="auto"/>
        <w:ind w:firstLine="560" w:firstLineChars="200"/>
        <w:rPr>
          <w:rFonts w:hint="eastAsia" w:asciiTheme="minorEastAsia" w:hAnsiTheme="minorEastAsia" w:eastAsiaTheme="minorEastAsia" w:cstheme="minorEastAsia"/>
          <w:sz w:val="28"/>
          <w:szCs w:val="28"/>
        </w:rPr>
      </w:pPr>
    </w:p>
    <w:p>
      <w:pPr>
        <w:snapToGrid w:val="0"/>
        <w:spacing w:line="360" w:lineRule="auto"/>
        <w:ind w:firstLine="560" w:firstLineChars="200"/>
        <w:rPr>
          <w:rFonts w:hint="eastAsia" w:asciiTheme="minorEastAsia" w:hAnsiTheme="minorEastAsia" w:eastAsiaTheme="minorEastAsia" w:cstheme="minorEastAsia"/>
          <w:sz w:val="28"/>
          <w:szCs w:val="28"/>
        </w:rPr>
      </w:pPr>
    </w:p>
    <w:p>
      <w:pPr>
        <w:snapToGrid w:val="0"/>
        <w:spacing w:line="360" w:lineRule="auto"/>
        <w:ind w:firstLine="560" w:firstLineChars="200"/>
        <w:rPr>
          <w:rFonts w:hint="eastAsia" w:asciiTheme="minorEastAsia" w:hAnsiTheme="minorEastAsia" w:eastAsiaTheme="minorEastAsia" w:cstheme="minorEastAsia"/>
          <w:sz w:val="28"/>
          <w:szCs w:val="28"/>
        </w:rPr>
      </w:pPr>
    </w:p>
    <w:p>
      <w:pPr>
        <w:snapToGrid w:val="0"/>
        <w:spacing w:line="360" w:lineRule="auto"/>
        <w:ind w:firstLine="560" w:firstLineChars="200"/>
        <w:rPr>
          <w:rFonts w:hint="eastAsia" w:asciiTheme="minorEastAsia" w:hAnsiTheme="minorEastAsia" w:eastAsiaTheme="minorEastAsia" w:cstheme="minorEastAsia"/>
          <w:sz w:val="28"/>
          <w:szCs w:val="28"/>
        </w:rPr>
      </w:pPr>
    </w:p>
    <w:p>
      <w:pPr>
        <w:snapToGrid w:val="0"/>
        <w:spacing w:line="360" w:lineRule="auto"/>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szCs w:val="28"/>
        </w:rPr>
        <w:t>特此承诺。</w:t>
      </w:r>
    </w:p>
    <w:p>
      <w:pPr>
        <w:snapToGrid w:val="0"/>
        <w:spacing w:line="360" w:lineRule="auto"/>
        <w:ind w:firstLine="560" w:firstLineChars="200"/>
        <w:rPr>
          <w:rFonts w:hint="eastAsia" w:asciiTheme="minorEastAsia" w:hAnsiTheme="minorEastAsia" w:eastAsiaTheme="minorEastAsia" w:cstheme="minorEastAsia"/>
          <w:sz w:val="28"/>
          <w:szCs w:val="28"/>
        </w:rPr>
      </w:pPr>
    </w:p>
    <w:p>
      <w:pPr>
        <w:snapToGrid w:val="0"/>
        <w:spacing w:line="360" w:lineRule="auto"/>
        <w:ind w:firstLine="560" w:firstLineChars="200"/>
        <w:rPr>
          <w:rFonts w:hint="eastAsia" w:asciiTheme="minorEastAsia" w:hAnsiTheme="minorEastAsia" w:eastAsiaTheme="minorEastAsia" w:cstheme="minorEastAsia"/>
          <w:sz w:val="28"/>
          <w:szCs w:val="28"/>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spacing w:after="120" w:line="360" w:lineRule="auto"/>
        <w:ind w:left="420" w:leftChars="20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投标人名称：</w:t>
      </w:r>
      <w:r>
        <w:rPr>
          <w:rFonts w:hint="eastAsia" w:asciiTheme="minorEastAsia" w:hAnsiTheme="minorEastAsia" w:eastAsiaTheme="minorEastAsia" w:cstheme="minorEastAsia"/>
          <w:bCs/>
          <w:sz w:val="28"/>
          <w:szCs w:val="28"/>
          <w:u w:val="single"/>
        </w:rPr>
        <w:t>XXXX</w:t>
      </w:r>
    </w:p>
    <w:p>
      <w:pPr>
        <w:adjustRightInd w:val="0"/>
        <w:spacing w:line="400" w:lineRule="exact"/>
        <w:ind w:firstLine="420" w:firstLineChars="150"/>
        <w:rPr>
          <w:rFonts w:hint="eastAsia" w:asciiTheme="minorEastAsia" w:hAnsiTheme="minorEastAsia" w:eastAsiaTheme="minorEastAsia" w:cstheme="minorEastAsia"/>
          <w:bCs/>
          <w:sz w:val="28"/>
        </w:rPr>
      </w:pPr>
      <w:r>
        <w:rPr>
          <w:rFonts w:hint="eastAsia" w:asciiTheme="minorEastAsia" w:hAnsiTheme="minorEastAsia" w:eastAsiaTheme="minorEastAsia" w:cstheme="minorEastAsia"/>
          <w:sz w:val="28"/>
        </w:rPr>
        <w:t>日期：</w:t>
      </w:r>
      <w:r>
        <w:rPr>
          <w:rFonts w:hint="eastAsia" w:asciiTheme="minorEastAsia" w:hAnsiTheme="minorEastAsia" w:eastAsiaTheme="minorEastAsia" w:cstheme="minorEastAsia"/>
          <w:bCs/>
          <w:sz w:val="28"/>
        </w:rPr>
        <w:t>202</w:t>
      </w:r>
      <w:r>
        <w:rPr>
          <w:rFonts w:hint="eastAsia" w:asciiTheme="minorEastAsia" w:hAnsiTheme="minorEastAsia" w:eastAsiaTheme="minorEastAsia" w:cstheme="minorEastAsia"/>
          <w:bCs/>
          <w:sz w:val="28"/>
          <w:u w:val="single"/>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日</w:t>
      </w:r>
    </w:p>
    <w:p>
      <w:pPr>
        <w:adjustRightInd w:val="0"/>
        <w:spacing w:line="400" w:lineRule="exact"/>
        <w:ind w:firstLine="420" w:firstLineChars="150"/>
        <w:rPr>
          <w:rFonts w:hint="eastAsia" w:asciiTheme="minorEastAsia" w:hAnsiTheme="minorEastAsia" w:eastAsiaTheme="minorEastAsia" w:cstheme="minorEastAsia"/>
          <w:bCs/>
          <w:sz w:val="28"/>
        </w:rPr>
      </w:pPr>
    </w:p>
    <w:p>
      <w:pPr>
        <w:spacing w:line="360" w:lineRule="auto"/>
        <w:rPr>
          <w:rFonts w:hint="eastAsia" w:asciiTheme="minorEastAsia" w:hAnsiTheme="minorEastAsia" w:eastAsiaTheme="minorEastAsia" w:cstheme="minorEastAsia"/>
          <w:sz w:val="28"/>
        </w:rPr>
      </w:pPr>
    </w:p>
    <w:p>
      <w:pPr>
        <w:spacing w:line="360" w:lineRule="auto"/>
        <w:rPr>
          <w:rFonts w:hint="eastAsia" w:asciiTheme="minorEastAsia" w:hAnsiTheme="minorEastAsia" w:eastAsiaTheme="minorEastAsia" w:cstheme="minorEastAsia"/>
          <w:sz w:val="28"/>
        </w:rPr>
      </w:pPr>
    </w:p>
    <w:p>
      <w:pPr>
        <w:spacing w:line="360" w:lineRule="auto"/>
        <w:rPr>
          <w:rFonts w:hint="eastAsia" w:asciiTheme="minorEastAsia" w:hAnsiTheme="minorEastAsia" w:eastAsiaTheme="minorEastAsia" w:cstheme="minorEastAsia"/>
          <w:sz w:val="28"/>
        </w:rPr>
      </w:pPr>
    </w:p>
    <w:p>
      <w:pPr>
        <w:pStyle w:val="2"/>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sz w:val="28"/>
        </w:rPr>
      </w:pPr>
      <w:bookmarkStart w:id="135" w:name="_Toc25724"/>
      <w:r>
        <w:rPr>
          <w:rFonts w:hint="eastAsia" w:asciiTheme="minorEastAsia" w:hAnsiTheme="minorEastAsia" w:eastAsiaTheme="minorEastAsia" w:cstheme="minorEastAsia"/>
          <w:b/>
          <w:sz w:val="28"/>
        </w:rPr>
        <w:t>报价</w:t>
      </w:r>
      <w:r>
        <w:rPr>
          <w:rFonts w:hint="eastAsia" w:asciiTheme="minorEastAsia" w:hAnsiTheme="minorEastAsia" w:eastAsiaTheme="minorEastAsia" w:cstheme="minorEastAsia"/>
          <w:b/>
          <w:bCs/>
          <w:sz w:val="28"/>
          <w:szCs w:val="28"/>
        </w:rPr>
        <w:t>要求</w:t>
      </w:r>
      <w:r>
        <w:rPr>
          <w:rFonts w:hint="eastAsia" w:asciiTheme="minorEastAsia" w:hAnsiTheme="minorEastAsia" w:eastAsiaTheme="minorEastAsia" w:cstheme="minorEastAsia"/>
          <w:b/>
          <w:sz w:val="28"/>
        </w:rPr>
        <w:t>响应文件</w:t>
      </w:r>
      <w:bookmarkEnd w:id="135"/>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rPr>
        <w:t>开标一览表</w:t>
      </w:r>
    </w:p>
    <w:p>
      <w:pPr>
        <w:tabs>
          <w:tab w:val="left" w:pos="1134"/>
        </w:tabs>
        <w:spacing w:line="560" w:lineRule="exact"/>
        <w:ind w:firstLine="427" w:firstLineChars="152"/>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rPr>
        <w:t>标项1：</w:t>
      </w:r>
      <w:r>
        <w:rPr>
          <w:rFonts w:hint="eastAsia" w:asciiTheme="minorEastAsia" w:hAnsiTheme="minorEastAsia" w:eastAsiaTheme="minorEastAsia" w:cstheme="minorEastAsia"/>
          <w:b/>
          <w:bCs/>
          <w:sz w:val="28"/>
          <w:szCs w:val="28"/>
          <w:lang w:eastAsia="zh-CN"/>
        </w:rPr>
        <w:t>丹景街道新民家园一期征地拆迁安置小区物业管理服务采购项目</w:t>
      </w:r>
    </w:p>
    <w:tbl>
      <w:tblPr>
        <w:tblStyle w:val="16"/>
        <w:tblW w:w="0" w:type="auto"/>
        <w:tblInd w:w="5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5"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5"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hint="eastAsia" w:asciiTheme="minorEastAsia" w:hAnsiTheme="minorEastAsia" w:eastAsiaTheme="minorEastAsia" w:cstheme="minorEastAsia"/>
                <w:kern w:val="0"/>
                <w:sz w:val="28"/>
                <w:szCs w:val="28"/>
              </w:rPr>
            </w:pPr>
          </w:p>
        </w:tc>
      </w:tr>
    </w:tbl>
    <w:p>
      <w:pPr>
        <w:tabs>
          <w:tab w:val="left" w:pos="1134"/>
        </w:tabs>
        <w:spacing w:line="560" w:lineRule="exact"/>
        <w:ind w:firstLine="427" w:firstLineChars="15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投标报价以投标人在政府采购云平台开标一览表中填写的报价为准。</w:t>
      </w: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rPr>
          <w:rFonts w:hint="eastAsia" w:asciiTheme="minorEastAsia" w:hAnsiTheme="minorEastAsia" w:eastAsiaTheme="minorEastAsia" w:cstheme="minorEastAsia"/>
        </w:rPr>
      </w:pPr>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分项报价明细表</w:t>
      </w:r>
    </w:p>
    <w:p>
      <w:pPr>
        <w:snapToGrid w:val="0"/>
        <w:spacing w:line="440" w:lineRule="exact"/>
        <w:ind w:right="-624" w:rightChars="-297"/>
        <w:rPr>
          <w:rFonts w:hint="eastAsia" w:asciiTheme="minorEastAsia" w:hAnsiTheme="minorEastAsia" w:eastAsiaTheme="minorEastAsia" w:cstheme="minorEastAsia"/>
          <w:b/>
          <w:sz w:val="28"/>
          <w:lang w:eastAsia="zh-CN"/>
        </w:rPr>
      </w:pPr>
      <w:r>
        <w:rPr>
          <w:rFonts w:hint="eastAsia" w:asciiTheme="minorEastAsia" w:hAnsiTheme="minorEastAsia" w:eastAsiaTheme="minorEastAsia" w:cstheme="minorEastAsia"/>
          <w:b/>
          <w:sz w:val="28"/>
        </w:rPr>
        <w:t>项目名称：</w:t>
      </w:r>
      <w:r>
        <w:rPr>
          <w:rFonts w:hint="eastAsia" w:asciiTheme="minorEastAsia" w:hAnsiTheme="minorEastAsia" w:eastAsiaTheme="minorEastAsia" w:cstheme="minorEastAsia"/>
          <w:b/>
          <w:sz w:val="28"/>
          <w:szCs w:val="28"/>
          <w:u w:val="single"/>
          <w:lang w:eastAsia="zh-CN"/>
        </w:rPr>
        <w:t>丹景街道新民家园一期征地拆迁安置小区物业管理服务采购项目</w:t>
      </w:r>
    </w:p>
    <w:p>
      <w:pPr>
        <w:tabs>
          <w:tab w:val="left" w:pos="7560"/>
        </w:tabs>
        <w:spacing w:after="180" w:line="440" w:lineRule="exact"/>
        <w:rPr>
          <w:rFonts w:hint="eastAsia" w:asciiTheme="minorEastAsia" w:hAnsiTheme="minorEastAsia" w:eastAsiaTheme="minorEastAsia" w:cstheme="minorEastAsia"/>
          <w:b/>
          <w:sz w:val="28"/>
          <w:szCs w:val="20"/>
          <w:lang w:eastAsia="zh-CN"/>
        </w:rPr>
      </w:pPr>
      <w:r>
        <w:rPr>
          <w:rFonts w:hint="eastAsia" w:asciiTheme="minorEastAsia" w:hAnsiTheme="minorEastAsia" w:eastAsiaTheme="minorEastAsia" w:cstheme="minorEastAsia"/>
          <w:b/>
          <w:sz w:val="28"/>
          <w:szCs w:val="20"/>
        </w:rPr>
        <w:t>项目编号：</w:t>
      </w:r>
      <w:r>
        <w:rPr>
          <w:rFonts w:hint="eastAsia" w:asciiTheme="minorEastAsia" w:hAnsiTheme="minorEastAsia" w:eastAsiaTheme="minorEastAsia" w:cstheme="minorEastAsia"/>
          <w:b/>
          <w:sz w:val="28"/>
          <w:szCs w:val="20"/>
          <w:u w:val="single"/>
          <w:lang w:eastAsia="zh-CN"/>
        </w:rPr>
        <w:t>东部新区政采（2021）A0065号</w:t>
      </w:r>
    </w:p>
    <w:p>
      <w:pPr>
        <w:spacing w:line="360" w:lineRule="auto"/>
        <w:ind w:firstLine="700" w:firstLineChars="250"/>
        <w:rPr>
          <w:rFonts w:hint="eastAsia" w:asciiTheme="minorEastAsia" w:hAnsiTheme="minorEastAsia" w:eastAsiaTheme="minorEastAsia" w:cstheme="minorEastAsia"/>
          <w:sz w:val="28"/>
          <w:lang w:val="en-US" w:eastAsia="zh-CN"/>
        </w:rPr>
      </w:pPr>
    </w:p>
    <w:p>
      <w:pPr>
        <w:spacing w:line="360" w:lineRule="auto"/>
        <w:ind w:firstLine="700" w:firstLineChars="250"/>
        <w:rPr>
          <w:rFonts w:hint="eastAsia" w:asciiTheme="minorEastAsia" w:hAnsiTheme="minorEastAsia" w:eastAsiaTheme="minorEastAsia" w:cstheme="minorEastAsia"/>
          <w:sz w:val="28"/>
          <w:lang w:val="zh-CN"/>
        </w:rPr>
      </w:pPr>
    </w:p>
    <w:p>
      <w:pPr>
        <w:ind w:firstLine="700" w:firstLineChars="250"/>
        <w:rPr>
          <w:rFonts w:hint="eastAsia" w:asciiTheme="minorEastAsia" w:hAnsiTheme="minorEastAsia" w:eastAsiaTheme="minorEastAsia" w:cstheme="minorEastAsia"/>
          <w:sz w:val="28"/>
          <w:lang w:val="zh-CN"/>
        </w:rPr>
      </w:pPr>
    </w:p>
    <w:p>
      <w:pPr>
        <w:spacing w:line="360" w:lineRule="auto"/>
        <w:ind w:firstLine="700" w:firstLineChars="250"/>
        <w:rPr>
          <w:rFonts w:hint="eastAsia" w:asciiTheme="minorEastAsia" w:hAnsiTheme="minorEastAsia" w:eastAsiaTheme="minorEastAsia" w:cstheme="minorEastAsia"/>
          <w:sz w:val="28"/>
          <w:lang w:val="zh-CN"/>
        </w:rPr>
      </w:pPr>
      <w:r>
        <w:rPr>
          <w:rFonts w:hint="eastAsia" w:asciiTheme="minorEastAsia" w:hAnsiTheme="minorEastAsia" w:eastAsiaTheme="minorEastAsia" w:cstheme="minorEastAsia"/>
          <w:sz w:val="28"/>
          <w:lang w:val="zh-CN"/>
        </w:rPr>
        <w:t>XXXX。</w:t>
      </w:r>
    </w:p>
    <w:p>
      <w:pPr>
        <w:pStyle w:val="2"/>
        <w:rPr>
          <w:rFonts w:hint="eastAsia" w:asciiTheme="minorEastAsia" w:hAnsiTheme="minorEastAsia" w:eastAsiaTheme="minorEastAsia" w:cstheme="minorEastAsia"/>
          <w:sz w:val="28"/>
          <w:lang w:val="zh-CN"/>
        </w:rPr>
      </w:pPr>
    </w:p>
    <w:p>
      <w:pPr>
        <w:rPr>
          <w:rFonts w:hint="eastAsia"/>
          <w:lang w:val="zh-CN"/>
        </w:rPr>
      </w:pPr>
    </w:p>
    <w:p>
      <w:pPr>
        <w:spacing w:line="360" w:lineRule="auto"/>
        <w:ind w:firstLine="700" w:firstLineChars="250"/>
        <w:rPr>
          <w:rFonts w:hint="eastAsia" w:asciiTheme="minorEastAsia" w:hAnsiTheme="minorEastAsia" w:eastAsiaTheme="minorEastAsia" w:cstheme="minorEastAsia"/>
          <w:sz w:val="28"/>
          <w:lang w:val="zh-CN"/>
        </w:rPr>
      </w:pPr>
      <w:r>
        <w:rPr>
          <w:rFonts w:hint="eastAsia" w:asciiTheme="minorEastAsia" w:hAnsiTheme="minorEastAsia" w:eastAsiaTheme="minorEastAsia" w:cstheme="minorEastAsia"/>
          <w:sz w:val="28"/>
          <w:lang w:val="zh-CN"/>
        </w:rPr>
        <w:t>投标人名称：XXXX</w:t>
      </w:r>
    </w:p>
    <w:p>
      <w:pPr>
        <w:spacing w:line="360" w:lineRule="auto"/>
        <w:ind w:firstLine="700" w:firstLineChars="25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sz w:val="28"/>
        </w:rPr>
        <w:t>日期：</w:t>
      </w:r>
      <w:r>
        <w:rPr>
          <w:rFonts w:hint="eastAsia" w:asciiTheme="minorEastAsia" w:hAnsiTheme="minorEastAsia" w:eastAsiaTheme="minorEastAsia" w:cstheme="minorEastAsia"/>
          <w:bCs/>
          <w:sz w:val="28"/>
        </w:rPr>
        <w:t>20XX年XX月XX日</w:t>
      </w:r>
    </w:p>
    <w:p>
      <w:pPr>
        <w:pStyle w:val="7"/>
        <w:spacing w:after="0" w:line="360" w:lineRule="auto"/>
        <w:ind w:left="0" w:leftChars="0" w:firstLine="0" w:firstLineChars="0"/>
        <w:rPr>
          <w:rFonts w:hint="eastAsia" w:asciiTheme="minorEastAsia" w:hAnsiTheme="minorEastAsia" w:eastAsiaTheme="minorEastAsia" w:cstheme="minorEastAsia"/>
          <w:b/>
          <w:sz w:val="28"/>
        </w:rPr>
      </w:pPr>
    </w:p>
    <w:p>
      <w:pPr>
        <w:pStyle w:val="7"/>
        <w:spacing w:after="0" w:line="360" w:lineRule="auto"/>
        <w:ind w:left="0" w:leftChars="0" w:firstLine="0" w:firstLineChars="0"/>
        <w:rPr>
          <w:rFonts w:hint="eastAsia" w:asciiTheme="minorEastAsia" w:hAnsiTheme="minorEastAsia" w:eastAsiaTheme="minorEastAsia" w:cstheme="minorEastAsia"/>
          <w:b/>
          <w:bCs w:val="0"/>
          <w:sz w:val="28"/>
        </w:rPr>
      </w:pPr>
      <w:r>
        <w:rPr>
          <w:rFonts w:hint="eastAsia" w:asciiTheme="minorEastAsia" w:hAnsiTheme="minorEastAsia" w:eastAsiaTheme="minorEastAsia" w:cstheme="minorEastAsia"/>
          <w:b/>
          <w:bCs w:val="0"/>
          <w:sz w:val="28"/>
        </w:rPr>
        <w:t>说明：</w:t>
      </w:r>
      <w:r>
        <w:rPr>
          <w:rFonts w:hint="eastAsia" w:asciiTheme="minorEastAsia" w:hAnsiTheme="minorEastAsia" w:eastAsiaTheme="minorEastAsia" w:cstheme="minorEastAsia"/>
          <w:b/>
          <w:bCs w:val="0"/>
          <w:sz w:val="28"/>
          <w:lang w:val="en-US" w:eastAsia="zh-CN"/>
        </w:rPr>
        <w:t>1.</w:t>
      </w:r>
      <w:r>
        <w:rPr>
          <w:rFonts w:hint="eastAsia" w:asciiTheme="minorEastAsia" w:hAnsiTheme="minorEastAsia" w:eastAsiaTheme="minorEastAsia" w:cstheme="minorEastAsia"/>
          <w:b/>
          <w:bCs w:val="0"/>
          <w:sz w:val="28"/>
          <w:lang w:eastAsia="zh-CN"/>
        </w:rPr>
        <w:t>投</w:t>
      </w:r>
      <w:r>
        <w:rPr>
          <w:rFonts w:hint="eastAsia" w:asciiTheme="minorEastAsia" w:hAnsiTheme="minorEastAsia" w:eastAsiaTheme="minorEastAsia" w:cstheme="minorEastAsia"/>
          <w:b/>
          <w:bCs w:val="0"/>
          <w:sz w:val="28"/>
          <w:lang w:val="en-US" w:eastAsia="zh-CN"/>
        </w:rPr>
        <w:t>标人应根据其投标报价的构成提供详细的分项价格明细表</w:t>
      </w:r>
      <w:r>
        <w:rPr>
          <w:rFonts w:hint="eastAsia" w:asciiTheme="minorEastAsia" w:hAnsiTheme="minorEastAsia" w:eastAsiaTheme="minorEastAsia" w:cstheme="minorEastAsia"/>
          <w:b/>
          <w:bCs w:val="0"/>
          <w:sz w:val="28"/>
        </w:rPr>
        <w:t>，</w:t>
      </w:r>
      <w:r>
        <w:rPr>
          <w:rFonts w:hint="eastAsia" w:asciiTheme="minorEastAsia" w:hAnsiTheme="minorEastAsia" w:eastAsiaTheme="minorEastAsia" w:cstheme="minorEastAsia"/>
          <w:b/>
          <w:bCs w:val="0"/>
          <w:sz w:val="28"/>
          <w:lang w:val="en-US" w:eastAsia="zh-CN"/>
        </w:rPr>
        <w:t>分项价格明细表格式由投标人自行制表填写，</w:t>
      </w:r>
      <w:r>
        <w:rPr>
          <w:rFonts w:hint="eastAsia" w:asciiTheme="minorEastAsia" w:hAnsiTheme="minorEastAsia" w:eastAsiaTheme="minorEastAsia" w:cstheme="minorEastAsia"/>
          <w:b/>
          <w:bCs w:val="0"/>
          <w:sz w:val="28"/>
        </w:rPr>
        <w:t>报价合计应包括投标人完成本项目所需的一切费用。</w:t>
      </w:r>
    </w:p>
    <w:p>
      <w:pPr>
        <w:tabs>
          <w:tab w:val="left" w:pos="1134"/>
        </w:tabs>
        <w:spacing w:line="360" w:lineRule="auto"/>
        <w:ind w:firstLine="427" w:firstLineChars="15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2.</w:t>
      </w:r>
      <w:r>
        <w:rPr>
          <w:rFonts w:hint="eastAsia" w:asciiTheme="minorEastAsia" w:hAnsiTheme="minorEastAsia" w:eastAsiaTheme="minorEastAsia" w:cstheme="minorEastAsia"/>
          <w:b/>
          <w:sz w:val="28"/>
          <w:szCs w:val="28"/>
          <w:lang w:eastAsia="zh-CN"/>
        </w:rPr>
        <w:t>报价明细</w:t>
      </w:r>
      <w:r>
        <w:rPr>
          <w:rFonts w:hint="eastAsia" w:asciiTheme="minorEastAsia" w:hAnsiTheme="minorEastAsia" w:eastAsiaTheme="minorEastAsia" w:cstheme="minorEastAsia"/>
          <w:b/>
          <w:sz w:val="28"/>
          <w:szCs w:val="28"/>
        </w:rPr>
        <w:t>以投标人在政府采购云平台</w:t>
      </w:r>
      <w:r>
        <w:rPr>
          <w:rFonts w:hint="eastAsia" w:asciiTheme="minorEastAsia" w:hAnsiTheme="minorEastAsia" w:eastAsiaTheme="minorEastAsia" w:cstheme="minorEastAsia"/>
          <w:b/>
          <w:sz w:val="28"/>
          <w:szCs w:val="28"/>
          <w:lang w:eastAsia="zh-CN"/>
        </w:rPr>
        <w:t>报价明细</w:t>
      </w:r>
      <w:r>
        <w:rPr>
          <w:rFonts w:hint="eastAsia" w:asciiTheme="minorEastAsia" w:hAnsiTheme="minorEastAsia" w:eastAsiaTheme="minorEastAsia" w:cstheme="minorEastAsia"/>
          <w:b/>
          <w:sz w:val="28"/>
          <w:szCs w:val="28"/>
        </w:rPr>
        <w:t>表中填写的为准。</w:t>
      </w:r>
    </w:p>
    <w:p>
      <w:pPr>
        <w:pStyle w:val="7"/>
        <w:spacing w:after="0" w:line="240" w:lineRule="auto"/>
        <w:ind w:firstLine="0"/>
        <w:rPr>
          <w:rFonts w:hint="eastAsia" w:asciiTheme="minorEastAsia" w:hAnsiTheme="minorEastAsia" w:eastAsiaTheme="minorEastAsia" w:cstheme="minorEastAsia"/>
          <w:b/>
          <w:sz w:val="28"/>
        </w:rPr>
      </w:pPr>
    </w:p>
    <w:p>
      <w:pPr>
        <w:pStyle w:val="7"/>
        <w:spacing w:after="0" w:line="240" w:lineRule="auto"/>
        <w:ind w:firstLine="0"/>
        <w:rPr>
          <w:rFonts w:hint="eastAsia" w:asciiTheme="minorEastAsia" w:hAnsiTheme="minorEastAsia" w:eastAsiaTheme="minorEastAsia" w:cstheme="minorEastAsia"/>
          <w:b/>
          <w:sz w:val="28"/>
        </w:rPr>
      </w:pPr>
    </w:p>
    <w:p>
      <w:pPr>
        <w:pStyle w:val="7"/>
        <w:spacing w:after="0" w:line="240" w:lineRule="auto"/>
        <w:ind w:firstLine="0"/>
        <w:rPr>
          <w:rFonts w:hint="eastAsia" w:asciiTheme="minorEastAsia" w:hAnsiTheme="minorEastAsia" w:eastAsiaTheme="minorEastAsia" w:cstheme="minorEastAsia"/>
          <w:b/>
          <w:sz w:val="28"/>
        </w:rPr>
      </w:pPr>
    </w:p>
    <w:p>
      <w:pPr>
        <w:pStyle w:val="7"/>
        <w:spacing w:after="0" w:line="240" w:lineRule="auto"/>
        <w:ind w:firstLine="0"/>
        <w:rPr>
          <w:rFonts w:hint="eastAsia" w:asciiTheme="minorEastAsia" w:hAnsiTheme="minorEastAsia" w:eastAsiaTheme="minorEastAsia" w:cstheme="minorEastAsia"/>
          <w:b/>
          <w:sz w:val="28"/>
        </w:rPr>
      </w:pPr>
    </w:p>
    <w:p>
      <w:pPr>
        <w:pStyle w:val="7"/>
        <w:spacing w:after="0" w:line="240" w:lineRule="auto"/>
        <w:ind w:firstLine="0"/>
        <w:rPr>
          <w:rFonts w:hint="eastAsia" w:asciiTheme="minorEastAsia" w:hAnsiTheme="minorEastAsia" w:eastAsiaTheme="minorEastAsia" w:cstheme="minorEastAsia"/>
          <w:b/>
          <w:sz w:val="28"/>
        </w:rPr>
      </w:pPr>
    </w:p>
    <w:p>
      <w:pPr>
        <w:pStyle w:val="7"/>
        <w:spacing w:after="0" w:line="240" w:lineRule="auto"/>
        <w:ind w:firstLine="0"/>
        <w:rPr>
          <w:rFonts w:hint="eastAsia" w:asciiTheme="minorEastAsia" w:hAnsiTheme="minorEastAsia" w:eastAsiaTheme="minorEastAsia" w:cstheme="minorEastAsia"/>
          <w:b/>
          <w:sz w:val="28"/>
        </w:rPr>
      </w:pPr>
    </w:p>
    <w:p>
      <w:pPr>
        <w:pStyle w:val="7"/>
        <w:spacing w:after="0" w:line="240" w:lineRule="auto"/>
        <w:ind w:firstLine="0"/>
        <w:rPr>
          <w:rFonts w:hint="eastAsia" w:asciiTheme="minorEastAsia" w:hAnsiTheme="minorEastAsia" w:eastAsiaTheme="minorEastAsia" w:cstheme="minorEastAsia"/>
          <w:b/>
          <w:sz w:val="28"/>
        </w:rPr>
      </w:pPr>
    </w:p>
    <w:p>
      <w:pPr>
        <w:pStyle w:val="7"/>
        <w:spacing w:after="0" w:line="240" w:lineRule="auto"/>
        <w:ind w:firstLine="0"/>
        <w:rPr>
          <w:rFonts w:hint="eastAsia" w:asciiTheme="minorEastAsia" w:hAnsiTheme="minorEastAsia" w:eastAsiaTheme="minorEastAsia" w:cstheme="minorEastAsia"/>
          <w:b/>
          <w:sz w:val="28"/>
        </w:rPr>
      </w:pPr>
    </w:p>
    <w:p>
      <w:pPr>
        <w:pStyle w:val="7"/>
        <w:spacing w:after="0" w:line="240" w:lineRule="auto"/>
        <w:ind w:firstLine="0"/>
        <w:rPr>
          <w:rFonts w:hint="eastAsia" w:asciiTheme="minorEastAsia" w:hAnsiTheme="minorEastAsia" w:eastAsiaTheme="minorEastAsia" w:cstheme="minorEastAsia"/>
          <w:b/>
          <w:sz w:val="28"/>
        </w:rPr>
      </w:pPr>
    </w:p>
    <w:p>
      <w:pPr>
        <w:pStyle w:val="7"/>
        <w:spacing w:after="0" w:line="240" w:lineRule="auto"/>
        <w:ind w:firstLine="0"/>
        <w:rPr>
          <w:rFonts w:hint="eastAsia" w:asciiTheme="minorEastAsia" w:hAnsiTheme="minorEastAsia" w:eastAsiaTheme="minorEastAsia" w:cstheme="minorEastAsia"/>
          <w:b/>
          <w:sz w:val="28"/>
        </w:rPr>
      </w:pPr>
    </w:p>
    <w:p>
      <w:pPr>
        <w:pStyle w:val="7"/>
        <w:spacing w:after="0" w:line="240" w:lineRule="auto"/>
        <w:ind w:firstLine="0"/>
        <w:rPr>
          <w:rFonts w:hint="eastAsia" w:asciiTheme="minorEastAsia" w:hAnsiTheme="minorEastAsia" w:eastAsiaTheme="minorEastAsia" w:cstheme="minorEastAsia"/>
          <w:b/>
          <w:sz w:val="28"/>
        </w:rPr>
      </w:pPr>
    </w:p>
    <w:p>
      <w:pPr>
        <w:rPr>
          <w:rFonts w:hint="eastAsia" w:asciiTheme="minorEastAsia" w:hAnsiTheme="minorEastAsia" w:eastAsiaTheme="minorEastAsia" w:cstheme="minorEastAsia"/>
          <w:b/>
          <w:sz w:val="28"/>
        </w:rPr>
      </w:pPr>
      <w:r>
        <w:rPr>
          <w:rFonts w:hint="eastAsia" w:asciiTheme="minorEastAsia" w:hAnsiTheme="minorEastAsia" w:eastAsiaTheme="minorEastAsia" w:cstheme="minorEastAsia"/>
          <w:b/>
          <w:sz w:val="28"/>
        </w:rPr>
        <w:br w:type="page"/>
      </w:r>
    </w:p>
    <w:bookmarkEnd w:id="134"/>
    <w:p>
      <w:pPr>
        <w:keepNext/>
        <w:keepLines/>
        <w:numPr>
          <w:ilvl w:val="0"/>
          <w:numId w:val="3"/>
        </w:numPr>
        <w:spacing w:line="360" w:lineRule="auto"/>
        <w:ind w:left="0" w:firstLine="0"/>
        <w:jc w:val="center"/>
        <w:outlineLvl w:val="0"/>
        <w:rPr>
          <w:rFonts w:hint="eastAsia" w:asciiTheme="minorEastAsia" w:hAnsiTheme="minorEastAsia" w:eastAsiaTheme="minorEastAsia" w:cstheme="minorEastAsia"/>
          <w:b/>
          <w:bCs/>
          <w:spacing w:val="-20"/>
          <w:kern w:val="44"/>
          <w:sz w:val="32"/>
          <w:szCs w:val="32"/>
        </w:rPr>
      </w:pPr>
      <w:bookmarkStart w:id="136" w:name="_Toc6316"/>
      <w:bookmarkStart w:id="137" w:name="_Toc217446093"/>
      <w:bookmarkStart w:id="138" w:name="_Toc321382057"/>
      <w:bookmarkStart w:id="139" w:name="_Toc316292231"/>
      <w:r>
        <w:rPr>
          <w:rFonts w:hint="eastAsia" w:asciiTheme="minorEastAsia" w:hAnsiTheme="minorEastAsia" w:eastAsiaTheme="minorEastAsia" w:cstheme="minorEastAsia"/>
          <w:b/>
          <w:bCs/>
          <w:spacing w:val="-20"/>
          <w:kern w:val="44"/>
          <w:sz w:val="32"/>
          <w:szCs w:val="32"/>
        </w:rPr>
        <w:t>招标项目技术、服务、商务及其他要求</w:t>
      </w:r>
      <w:bookmarkEnd w:id="136"/>
      <w:bookmarkEnd w:id="137"/>
    </w:p>
    <w:p>
      <w:pPr>
        <w:rPr>
          <w:rFonts w:hint="eastAsia" w:asciiTheme="minorEastAsia" w:hAnsiTheme="minorEastAsia" w:eastAsiaTheme="minorEastAsia" w:cstheme="minorEastAsia"/>
          <w:sz w:val="28"/>
          <w:szCs w:val="28"/>
          <w:lang w:val="en-US" w:eastAsia="zh-CN"/>
        </w:rPr>
      </w:pPr>
      <w:bookmarkStart w:id="140" w:name="_Toc101338358"/>
      <w:bookmarkStart w:id="141" w:name="PO_默认文件内容_26"/>
      <w:bookmarkStart w:id="142" w:name="_Toc101174146"/>
      <w:bookmarkStart w:id="143" w:name="_Toc209847065"/>
      <w:bookmarkStart w:id="144" w:name="_Toc101250640"/>
      <w:bookmarkStart w:id="145" w:name="_Toc430773924"/>
    </w:p>
    <w:p>
      <w:pPr>
        <w:keepNext w:val="0"/>
        <w:keepLines w:val="0"/>
        <w:pageBreakBefore w:val="0"/>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eastAsia="zh-CN"/>
        </w:rPr>
        <w:t>一、</w:t>
      </w:r>
      <w:r>
        <w:rPr>
          <w:rFonts w:hint="eastAsia" w:asciiTheme="minorEastAsia" w:hAnsiTheme="minorEastAsia" w:eastAsiaTheme="minorEastAsia" w:cstheme="minorEastAsia"/>
          <w:b/>
          <w:bCs/>
          <w:sz w:val="32"/>
          <w:szCs w:val="32"/>
        </w:rPr>
        <w:t>项目概述</w:t>
      </w:r>
    </w:p>
    <w:p>
      <w:pPr>
        <w:keepNext w:val="0"/>
        <w:keepLines w:val="0"/>
        <w:pageBreakBefore w:val="0"/>
        <w:widowControl/>
        <w:kinsoku/>
        <w:wordWrap/>
        <w:overflowPunct/>
        <w:topLinePunct w:val="0"/>
        <w:autoSpaceDE/>
        <w:autoSpaceDN/>
        <w:bidi w:val="0"/>
        <w:adjustRightInd/>
        <w:snapToGrid/>
        <w:spacing w:line="372" w:lineRule="auto"/>
        <w:ind w:firstLine="464" w:firstLineChars="200"/>
        <w:jc w:val="left"/>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1、本建筑区划规划设计的物业类型为：多层公寓住宅。</w:t>
      </w:r>
    </w:p>
    <w:p>
      <w:pPr>
        <w:keepNext w:val="0"/>
        <w:keepLines w:val="0"/>
        <w:pageBreakBefore w:val="0"/>
        <w:widowControl/>
        <w:kinsoku/>
        <w:wordWrap/>
        <w:overflowPunct/>
        <w:topLinePunct w:val="0"/>
        <w:autoSpaceDE/>
        <w:autoSpaceDN/>
        <w:bidi w:val="0"/>
        <w:adjustRightInd/>
        <w:snapToGrid/>
        <w:spacing w:line="372" w:lineRule="auto"/>
        <w:ind w:firstLine="464" w:firstLineChars="200"/>
        <w:jc w:val="left"/>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2、新民家园一期总居民用房户数1122户，规划建设总建筑面积99324.15平方米。其中：多层住宅建筑面积77087.28平方，绿化面积约13970平方米,容积率：1.49%。本建筑区划规划建设停车场车位272个，非机动车停车棚2个，出入口3个，全民健身场所50平方米。</w:t>
      </w:r>
    </w:p>
    <w:p>
      <w:pPr>
        <w:keepNext w:val="0"/>
        <w:keepLines w:val="0"/>
        <w:pageBreakBefore w:val="0"/>
        <w:widowControl/>
        <w:kinsoku/>
        <w:wordWrap/>
        <w:overflowPunct/>
        <w:topLinePunct w:val="0"/>
        <w:autoSpaceDE/>
        <w:autoSpaceDN/>
        <w:bidi w:val="0"/>
        <w:adjustRightInd/>
        <w:snapToGrid/>
        <w:spacing w:line="372" w:lineRule="auto"/>
        <w:ind w:firstLine="464" w:firstLineChars="200"/>
        <w:jc w:val="left"/>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3、物业服务用房的配置情况</w:t>
      </w:r>
    </w:p>
    <w:p>
      <w:pPr>
        <w:keepNext w:val="0"/>
        <w:keepLines w:val="0"/>
        <w:pageBreakBefore w:val="0"/>
        <w:widowControl/>
        <w:kinsoku/>
        <w:wordWrap/>
        <w:overflowPunct/>
        <w:topLinePunct w:val="0"/>
        <w:autoSpaceDE/>
        <w:autoSpaceDN/>
        <w:bidi w:val="0"/>
        <w:adjustRightInd/>
        <w:snapToGrid/>
        <w:spacing w:line="372" w:lineRule="auto"/>
        <w:ind w:firstLine="464" w:firstLineChars="200"/>
        <w:jc w:val="left"/>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3.1物业服务管理用房与社区用房：建筑面积为60平方米。</w:t>
      </w:r>
    </w:p>
    <w:p>
      <w:pPr>
        <w:keepNext w:val="0"/>
        <w:keepLines w:val="0"/>
        <w:pageBreakBefore w:val="0"/>
        <w:widowControl/>
        <w:kinsoku/>
        <w:wordWrap/>
        <w:overflowPunct/>
        <w:topLinePunct w:val="0"/>
        <w:autoSpaceDE/>
        <w:autoSpaceDN/>
        <w:bidi w:val="0"/>
        <w:adjustRightInd/>
        <w:snapToGrid/>
        <w:spacing w:line="372" w:lineRule="auto"/>
        <w:ind w:firstLine="464"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4"/>
          <w:sz w:val="24"/>
          <w:szCs w:val="24"/>
        </w:rPr>
        <w:t>3.2小区设备设施包括：消防系统、保安巡查系统、变压器4台、配电房4个、停车系统、居民门禁刷卡系统、监控系统、给排水系统、出入口3个，围墙采用围墙与水泥护栏围墙相结合</w:t>
      </w:r>
      <w:r>
        <w:rPr>
          <w:rFonts w:hint="eastAsia" w:asciiTheme="minorEastAsia" w:hAnsiTheme="minorEastAsia" w:eastAsiaTheme="minorEastAsia" w:cstheme="minorEastAsia"/>
          <w:sz w:val="24"/>
        </w:rPr>
        <w:t>。</w:t>
      </w:r>
    </w:p>
    <w:p>
      <w:pPr>
        <w:keepNext w:val="0"/>
        <w:keepLines w:val="0"/>
        <w:pageBreakBefore w:val="0"/>
        <w:numPr>
          <w:ilvl w:val="0"/>
          <w:numId w:val="21"/>
        </w:numPr>
        <w:kinsoku/>
        <w:wordWrap/>
        <w:overflowPunct/>
        <w:topLinePunct w:val="0"/>
        <w:autoSpaceDE/>
        <w:autoSpaceDN/>
        <w:bidi w:val="0"/>
        <w:adjustRightInd/>
        <w:snapToGrid/>
        <w:spacing w:line="372" w:lineRule="auto"/>
        <w:ind w:left="210" w:leftChars="0" w:firstLineChars="0"/>
        <w:textAlignment w:val="auto"/>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服务内容及相关要求</w:t>
      </w:r>
    </w:p>
    <w:p>
      <w:pPr>
        <w:pStyle w:val="2"/>
        <w:keepNext w:val="0"/>
        <w:keepLines w:val="0"/>
        <w:pageBreakBefore w:val="0"/>
        <w:widowControl w:val="0"/>
        <w:numPr>
          <w:ilvl w:val="0"/>
          <w:numId w:val="22"/>
        </w:numPr>
        <w:kinsoku/>
        <w:wordWrap/>
        <w:overflowPunct/>
        <w:topLinePunct w:val="0"/>
        <w:autoSpaceDE/>
        <w:autoSpaceDN/>
        <w:bidi w:val="0"/>
        <w:adjustRightInd/>
        <w:snapToGrid/>
        <w:spacing w:after="0" w:line="372" w:lineRule="auto"/>
        <w:ind w:firstLine="602" w:firstLineChars="20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服务内容及范围</w:t>
      </w:r>
    </w:p>
    <w:p>
      <w:pPr>
        <w:pStyle w:val="14"/>
        <w:keepNext w:val="0"/>
        <w:keepLines w:val="0"/>
        <w:pageBreakBefore w:val="0"/>
        <w:widowControl w:val="0"/>
        <w:numPr>
          <w:ilvl w:val="0"/>
          <w:numId w:val="23"/>
        </w:numPr>
        <w:kinsoku/>
        <w:wordWrap/>
        <w:overflowPunct/>
        <w:topLinePunct w:val="0"/>
        <w:autoSpaceDE/>
        <w:autoSpaceDN/>
        <w:bidi w:val="0"/>
        <w:adjustRightInd/>
        <w:snapToGrid/>
        <w:spacing w:after="0" w:line="372" w:lineRule="auto"/>
        <w:ind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物业服务区域内物业共用部位、共同设施设备的管理及维修养护；</w:t>
      </w:r>
    </w:p>
    <w:p>
      <w:pPr>
        <w:pStyle w:val="14"/>
        <w:keepNext w:val="0"/>
        <w:keepLines w:val="0"/>
        <w:pageBreakBefore w:val="0"/>
        <w:widowControl w:val="0"/>
        <w:numPr>
          <w:ilvl w:val="0"/>
          <w:numId w:val="23"/>
        </w:numPr>
        <w:kinsoku/>
        <w:wordWrap/>
        <w:overflowPunct/>
        <w:topLinePunct w:val="0"/>
        <w:autoSpaceDE/>
        <w:autoSpaceDN/>
        <w:bidi w:val="0"/>
        <w:adjustRightInd/>
        <w:snapToGrid/>
        <w:spacing w:after="0" w:line="372" w:lineRule="auto"/>
        <w:ind w:left="0"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物业服务区域内公共秩序(含日常安全巡查服务)的管理；</w:t>
      </w:r>
    </w:p>
    <w:p>
      <w:pPr>
        <w:pStyle w:val="14"/>
        <w:keepNext w:val="0"/>
        <w:keepLines w:val="0"/>
        <w:pageBreakBefore w:val="0"/>
        <w:widowControl w:val="0"/>
        <w:numPr>
          <w:ilvl w:val="0"/>
          <w:numId w:val="23"/>
        </w:numPr>
        <w:kinsoku/>
        <w:wordWrap/>
        <w:overflowPunct/>
        <w:topLinePunct w:val="0"/>
        <w:autoSpaceDE/>
        <w:autoSpaceDN/>
        <w:bidi w:val="0"/>
        <w:adjustRightInd/>
        <w:snapToGrid/>
        <w:spacing w:after="0" w:line="372" w:lineRule="auto"/>
        <w:ind w:left="0"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物业服务区域内的绿化养护和管理；</w:t>
      </w:r>
    </w:p>
    <w:p>
      <w:pPr>
        <w:pStyle w:val="14"/>
        <w:keepNext w:val="0"/>
        <w:keepLines w:val="0"/>
        <w:pageBreakBefore w:val="0"/>
        <w:widowControl w:val="0"/>
        <w:numPr>
          <w:ilvl w:val="0"/>
          <w:numId w:val="23"/>
        </w:numPr>
        <w:kinsoku/>
        <w:wordWrap/>
        <w:overflowPunct/>
        <w:topLinePunct w:val="0"/>
        <w:autoSpaceDE/>
        <w:autoSpaceDN/>
        <w:bidi w:val="0"/>
        <w:adjustRightInd/>
        <w:snapToGrid/>
        <w:spacing w:after="0" w:line="372" w:lineRule="auto"/>
        <w:ind w:left="0"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物业服务区域内车辆(机动车和非机动车)行驶、停放及场所管理；</w:t>
      </w:r>
    </w:p>
    <w:p>
      <w:pPr>
        <w:pStyle w:val="14"/>
        <w:keepNext w:val="0"/>
        <w:keepLines w:val="0"/>
        <w:pageBreakBefore w:val="0"/>
        <w:widowControl w:val="0"/>
        <w:numPr>
          <w:ilvl w:val="0"/>
          <w:numId w:val="23"/>
        </w:numPr>
        <w:kinsoku/>
        <w:wordWrap/>
        <w:overflowPunct/>
        <w:topLinePunct w:val="0"/>
        <w:autoSpaceDE/>
        <w:autoSpaceDN/>
        <w:bidi w:val="0"/>
        <w:adjustRightInd/>
        <w:snapToGrid/>
        <w:spacing w:after="0" w:line="372" w:lineRule="auto"/>
        <w:ind w:left="0"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供水、供电、供气、电信等专业单位在物业服务区域内对相关管线、设施维修养护时，进行必要的协调和管理；</w:t>
      </w:r>
    </w:p>
    <w:p>
      <w:pPr>
        <w:pStyle w:val="14"/>
        <w:keepNext w:val="0"/>
        <w:keepLines w:val="0"/>
        <w:pageBreakBefore w:val="0"/>
        <w:widowControl w:val="0"/>
        <w:numPr>
          <w:ilvl w:val="0"/>
          <w:numId w:val="23"/>
        </w:numPr>
        <w:kinsoku/>
        <w:wordWrap/>
        <w:overflowPunct/>
        <w:topLinePunct w:val="0"/>
        <w:autoSpaceDE/>
        <w:autoSpaceDN/>
        <w:bidi w:val="0"/>
        <w:adjustRightInd/>
        <w:snapToGrid/>
        <w:spacing w:after="0" w:line="372" w:lineRule="auto"/>
        <w:ind w:left="0"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物业服务区域环境卫生的维护；</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372" w:lineRule="auto"/>
        <w:ind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物业档案资料的保管；</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372" w:lineRule="auto"/>
        <w:ind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8、物业服务区域内业主、使用人装饰装修物业的服务及管理；</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372" w:lineRule="auto"/>
        <w:ind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9、租赁管理相关服务；</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372" w:lineRule="auto"/>
        <w:ind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10、其他服务。</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72" w:lineRule="auto"/>
        <w:ind w:firstLine="301" w:firstLineChars="10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（二）综合服务内容及要求</w:t>
      </w:r>
    </w:p>
    <w:tbl>
      <w:tblPr>
        <w:tblStyle w:val="15"/>
        <w:tblW w:w="893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76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目</w:t>
            </w:r>
          </w:p>
        </w:tc>
        <w:tc>
          <w:tcPr>
            <w:tcW w:w="7661"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客户服务</w:t>
            </w:r>
          </w:p>
          <w:p>
            <w:pPr>
              <w:keepNext w:val="0"/>
              <w:keepLines w:val="0"/>
              <w:pageBreakBefore w:val="0"/>
              <w:widowControl w:val="0"/>
              <w:kinsoku/>
              <w:wordWrap/>
              <w:overflowPunct/>
              <w:topLinePunct w:val="0"/>
              <w:autoSpaceDE/>
              <w:autoSpaceDN w:val="0"/>
              <w:bidi w:val="0"/>
              <w:adjustRightInd/>
              <w:snapToGrid/>
              <w:spacing w:line="372"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场所</w:t>
            </w:r>
          </w:p>
        </w:tc>
        <w:tc>
          <w:tcPr>
            <w:tcW w:w="7661"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1、有客户服务中心，至少应配置有办公桌、椅、饮水机、电脑、打印机、网络、电话。</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公示有物业服务企业营业执照、资质证书（复印件）或其它管理人名录证书（复印件）、项目主要服务人员姓名、照片、岗位信息，物业服务事项、服务标准、收费项目、收费标准、收费率（每季度统计1次）、报修电话、三级投诉电话等物业服务及收费信息。有管务信息查询台。提供特约服务的，应公示服务项目、服务标准及收费标准。</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3、客户服务中心工作时间至少10小时值班，其它时间物业管理区域内有值班人员。</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4、公示有24小时服务电话。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人</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员</w:t>
            </w:r>
          </w:p>
        </w:tc>
        <w:tc>
          <w:tcPr>
            <w:tcW w:w="7661"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1、从业人员按照相关规定取得职业资格证书。</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2、实行项目经理责任制，一个物业管理区域配备1名项目负责人。</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3、从业人员及项目负责人应纳入成都市物业服务信用信息档案管理系统、持有执业名册证书。</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4、项目物业服务中心配备有客户经理，每人管理户数应不高于300户。</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5、从业人员统一着装，佩戴标志，规范服务，语言文明，主动、热情。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制    度</w:t>
            </w:r>
          </w:p>
        </w:tc>
        <w:tc>
          <w:tcPr>
            <w:tcW w:w="7661"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1、有便民服务指南内容的业主手册。</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2、有双方签订规范的（前期）物业服务合同，合同权利义务关系明确。</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3、有共用部位及共用设施设备维修养护、消防安全防范、绿化养护、环境卫生、公共秩序维护等管理制度。</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4、有突发公共事件应急预案。</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5、有培训、考核制度。</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6、有物业服务工作记录。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档    案</w:t>
            </w:r>
          </w:p>
        </w:tc>
        <w:tc>
          <w:tcPr>
            <w:tcW w:w="7661"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1、有物业服务档案管理制度，有电梯、消防等设施设备承接查验、运行、维修、养护档案资料。</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2、档案资料管理规范、齐全、整洁、查阅方便。</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3、有档案管理人员，并设置有档案资料室。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标    识</w:t>
            </w:r>
          </w:p>
        </w:tc>
        <w:tc>
          <w:tcPr>
            <w:tcW w:w="7661"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1、重点部位按相关要求设置有安全警示标识、消防标识、导向标识、指示标识及其它标识。</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2、有倡导文明、环保、健康生活的温馨提示标识。</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3、房屋栋号、房号及公共配套设施、设备标识清晰、明显。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客户服务</w:t>
            </w:r>
          </w:p>
        </w:tc>
        <w:tc>
          <w:tcPr>
            <w:tcW w:w="7661" w:type="dxa"/>
            <w:noWrap w:val="0"/>
            <w:vAlign w:val="center"/>
          </w:tcPr>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1、每半年公示物业服务合同履行情况。</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2、重要物业服务事项应在主要出入口、各楼单元门内以书面形式履行告知义务。</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3、对违反治安、规划、环保等方面法律、法规规定的行为，应劝阻并报告相关行政主管部门。</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4、水、电急修20分钟内、其它报修按双方约定时间到达现场；由专项服务企业负责的设备设施应在30分钟内告知。</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5、业主或使用人提出的意见、建议、投诉在2个工作日内回复；投诉回访率不低于80%。</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6、每年组织1次满意度调查，客户满意率不低于80%。</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7、有宠物管理制度与措施，设置宠物管理标识，严格管理，有园区犬只花名册。</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8、出入口配置有便民服务推车，配置标准不低于1辆/300户，不少于6辆。</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9、按约定投保物业共用部位、共用设施设备及公众责任保险。</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10、有智能公共广播系统，播放广播与背景音乐。</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11、公共卫生间能正常使用，公共卫生间内的残疾人无障碍设施使用情况良好，无侵占、损坏等现象。</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12、提供特约服务。</w:t>
            </w:r>
          </w:p>
          <w:p>
            <w:pPr>
              <w:pStyle w:val="2"/>
              <w:keepNext w:val="0"/>
              <w:keepLines w:val="0"/>
              <w:pageBreakBefore w:val="0"/>
              <w:widowControl w:val="0"/>
              <w:kinsoku/>
              <w:wordWrap/>
              <w:overflowPunct/>
              <w:topLinePunct w:val="0"/>
              <w:autoSpaceDE/>
              <w:bidi w:val="0"/>
              <w:adjustRightInd/>
              <w:snapToGrid/>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13、接受委托，提供邮件代收服务。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专项委托</w:t>
            </w:r>
          </w:p>
          <w:p>
            <w:pPr>
              <w:keepNext w:val="0"/>
              <w:keepLines w:val="0"/>
              <w:pageBreakBefore w:val="0"/>
              <w:widowControl w:val="0"/>
              <w:kinsoku/>
              <w:wordWrap/>
              <w:overflowPunct/>
              <w:topLinePunct w:val="0"/>
              <w:autoSpaceDE/>
              <w:autoSpaceDN w:val="0"/>
              <w:bidi w:val="0"/>
              <w:adjustRightInd/>
              <w:snapToGrid/>
              <w:spacing w:line="372"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服务管理</w:t>
            </w:r>
          </w:p>
        </w:tc>
        <w:tc>
          <w:tcPr>
            <w:tcW w:w="7661" w:type="dxa"/>
            <w:noWrap w:val="0"/>
            <w:vAlign w:val="center"/>
          </w:tcPr>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1、签订有专项服务委托合同，明确各方权利义务。</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2、专业服务企业应符合相关行政主管部门的资质要求；操作人员应持有相应的职业资格证书。</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3、专业服务企业人员进入物业管理区域内应佩戴标志。</w:t>
            </w:r>
          </w:p>
          <w:p>
            <w:pPr>
              <w:keepNext w:val="0"/>
              <w:keepLines w:val="0"/>
              <w:pageBreakBefore w:val="0"/>
              <w:widowControl w:val="0"/>
              <w:kinsoku/>
              <w:wordWrap/>
              <w:overflowPunct/>
              <w:topLinePunct w:val="0"/>
              <w:autoSpaceDE/>
              <w:autoSpaceDN w:val="0"/>
              <w:bidi w:val="0"/>
              <w:adjustRightInd/>
              <w:snapToGrid/>
              <w:spacing w:line="372"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4、对专项委托服务有监督及评价机制，有监督评价记录。</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301" w:firstLineChars="100"/>
        <w:jc w:val="left"/>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（三）共用部位及共用设施设备运行和维修养护内容及要求</w:t>
      </w:r>
    </w:p>
    <w:p>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建筑区划内房屋共用部位和共用设施、设备养护由物业服务中心共用设施设备维护部负责，并配备专业工程师及专业技术人员负责实施。管理上采用综合性管理和专业化管理：大、中修集中，维修保养分散相结合的方式进行日常维修保养工作的实施。</w:t>
      </w:r>
    </w:p>
    <w:p>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专业化管理与社会化协作相结合。共用设施设备维护部的管理范围为房屋共用部位和共用设施的日常保养和维修；房屋共用部位小修和共用设施、设备中修以上的工程分包给专业公司，并经街道办对资金审核，共用设施设备维护部对分包工程实施监理和检查。</w:t>
      </w:r>
    </w:p>
    <w:p>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2、分系统、按类别建立房屋共用部位、共用设施、设备基础工程资料、维修保养档案以及设备设施运行和日常维修的管理制度。</w:t>
      </w:r>
    </w:p>
    <w:p>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3、按年、季、月分别制定物业维修养护的作业计划并组织实施，每年分别拟定房屋共用部位、共用设施设备大修项目计划，并提交办事处讨论。</w:t>
      </w:r>
    </w:p>
    <w:p>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left"/>
        <w:textAlignment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4"/>
        </w:rPr>
        <w:t>4、坚持预防性为主的计划维修养护制度。按日、周、月、季、年确定各类别和内容的维修和保养；严格执行维修保养的运作程序和作业规范。通过预防为主的计划维修保养的实施，延长设备修理间隔期，保证本建筑区划内共用设施、设备避免不应有的磨损、老化等损坏。</w:t>
      </w:r>
    </w:p>
    <w:tbl>
      <w:tblPr>
        <w:tblStyle w:val="15"/>
        <w:tblW w:w="892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76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    目</w:t>
            </w:r>
          </w:p>
        </w:tc>
        <w:tc>
          <w:tcPr>
            <w:tcW w:w="7650" w:type="dxa"/>
            <w:noWrap w:val="0"/>
            <w:vAlign w:val="center"/>
          </w:tcPr>
          <w:p>
            <w:pPr>
              <w:keepNext w:val="0"/>
              <w:keepLines w:val="0"/>
              <w:pageBreakBefore w:val="0"/>
              <w:widowControl w:val="0"/>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综合管理</w:t>
            </w:r>
          </w:p>
        </w:tc>
        <w:tc>
          <w:tcPr>
            <w:tcW w:w="7650" w:type="dxa"/>
            <w:noWrap w:val="0"/>
            <w:vAlign w:val="center"/>
          </w:tcPr>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1、按照相关规定实施承接查验。</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2、按照DB510100/T 054-2010的规定进行维修、更新、改造。</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3、有房屋共用部位及共用设施设备的基础档案。</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4、共用部位检查中发现的问题，应按照责任范围编制修缮计划，并按计划组织修缮。共用设施设备运行中出现的故障及检查中发现的问题，属于急修范围内，应在30分钟内组织到场维修。</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5、按合同约定规范使用房屋专项维修资金，有紧急维修情形，按维修资金紧急使用预案实施维修。</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6、每年第4季度制订出下一年度维修养护计划。</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7、特种设备按照有关规定运行、维修养护和定期检测。</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8、雷电、强降水、大风等极端天气前后有检查防范措施。</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9、设备机房</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（1）每月清洁1 次，机房整洁有序，室内无杂物。</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（2）设有挡鼠板、鼠药盒或粘鼠板。</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（3）在明显易取位置配备有符合规定的消防器材及专用工具，确保完好有效。</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（4）设施设备标识、标牌齐全。</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（5）张贴或悬挂相关制度、证书。</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（6）记录齐全、完整。</w:t>
            </w:r>
          </w:p>
          <w:p>
            <w:pPr>
              <w:keepNext w:val="0"/>
              <w:keepLines w:val="0"/>
              <w:pageBreakBefore w:val="0"/>
              <w:widowControl w:val="0"/>
              <w:kinsoku/>
              <w:wordWrap/>
              <w:overflowPunct/>
              <w:topLinePunct w:val="0"/>
              <w:autoSpaceDE/>
              <w:autoSpaceDN w:val="0"/>
              <w:bidi w:val="0"/>
              <w:adjustRightInd/>
              <w:snapToGrid/>
              <w:spacing w:line="348"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10、运行、检查、维修养护记录应每月归档。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共用部位</w:t>
            </w:r>
          </w:p>
        </w:tc>
        <w:tc>
          <w:tcPr>
            <w:tcW w:w="7650" w:type="dxa"/>
            <w:noWrap w:val="0"/>
            <w:vAlign w:val="center"/>
          </w:tcPr>
          <w:p>
            <w:pPr>
              <w:keepNext w:val="0"/>
              <w:keepLines w:val="0"/>
              <w:pageBreakBefore w:val="0"/>
              <w:widowControl w:val="0"/>
              <w:numPr>
                <w:ilvl w:val="0"/>
                <w:numId w:val="24"/>
              </w:numPr>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房屋结构</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每季度巡视1次梁、板、柱等结构构件，外观出现变形，开裂等现象时，应建议相关业主申请房屋安全鉴定，同时采取必要的保护措施。按照鉴定结果组织修缮。</w:t>
            </w:r>
          </w:p>
          <w:p>
            <w:pPr>
              <w:keepNext w:val="0"/>
              <w:keepLines w:val="0"/>
              <w:pageBreakBefore w:val="0"/>
              <w:widowControl w:val="0"/>
              <w:numPr>
                <w:ilvl w:val="0"/>
                <w:numId w:val="24"/>
              </w:numPr>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建筑部件</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（1）每季度检查1次外墙贴饰面或抹布、屋檐、阳台、雨罩、空调室外机支撑构建等。</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（2）每月巡查1次共用部位的门、窗、玻璃等。</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（3）每季度检查1次共用部位的室内地面、墙面、天棚；室外屋面、散水等。</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（4）每年汛前和强降雨后检查屋面防水和雨落管等。</w:t>
            </w:r>
          </w:p>
          <w:p>
            <w:pPr>
              <w:keepNext w:val="0"/>
              <w:keepLines w:val="0"/>
              <w:pageBreakBefore w:val="0"/>
              <w:widowControl w:val="0"/>
              <w:numPr>
                <w:ilvl w:val="0"/>
                <w:numId w:val="24"/>
              </w:numPr>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附属构筑物</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（1）每月巡查1次道路、场地、阶梯及扶手、侧石、管井、沟渠等。</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（2）每季度检查1次雨、污水管井等。</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（3）每月巡查1次大门、围墙、围栏等。</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（4）每月巡查1次休闲椅、凉亭、雕塑、景观小品等。</w:t>
            </w:r>
          </w:p>
          <w:p>
            <w:pPr>
              <w:pStyle w:val="2"/>
              <w:keepNext w:val="0"/>
              <w:keepLines w:val="0"/>
              <w:pageBreakBefore w:val="0"/>
              <w:widowControl w:val="0"/>
              <w:kinsoku/>
              <w:wordWrap/>
              <w:overflowPunct/>
              <w:topLinePunct w:val="0"/>
              <w:autoSpaceDE/>
              <w:bidi w:val="0"/>
              <w:adjustRightInd/>
              <w:snapToGrid/>
              <w:spacing w:after="0"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（5）每年检测1次防雷装置。</w:t>
            </w:r>
          </w:p>
        </w:tc>
      </w:tr>
    </w:tbl>
    <w:p>
      <w:pPr>
        <w:rPr>
          <w:rFonts w:hint="eastAsia" w:asciiTheme="minorEastAsia" w:hAnsiTheme="minorEastAsia" w:eastAsiaTheme="minorEastAsia" w:cstheme="minorEastAsia"/>
          <w:vanish/>
          <w:kern w:val="0"/>
          <w:sz w:val="24"/>
          <w:szCs w:val="24"/>
        </w:rPr>
      </w:pPr>
    </w:p>
    <w:tbl>
      <w:tblPr>
        <w:tblStyle w:val="15"/>
        <w:tblpPr w:leftFromText="180" w:rightFromText="180" w:vertAnchor="text" w:horzAnchor="page" w:tblpX="1611" w:tblpY="25"/>
        <w:tblOverlap w:val="never"/>
        <w:tblW w:w="891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5"/>
        <w:gridCol w:w="568"/>
        <w:gridCol w:w="76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vMerge w:val="restart"/>
            <w:noWrap w:val="0"/>
            <w:vAlign w:val="center"/>
          </w:tcPr>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共用设施设备</w:t>
            </w:r>
          </w:p>
          <w:p>
            <w:pPr>
              <w:autoSpaceDN w:val="0"/>
              <w:spacing w:line="0" w:lineRule="atLeast"/>
              <w:jc w:val="center"/>
              <w:textAlignment w:val="center"/>
              <w:rPr>
                <w:rFonts w:hint="eastAsia" w:asciiTheme="minorEastAsia" w:hAnsiTheme="minorEastAsia" w:eastAsiaTheme="minorEastAsia" w:cstheme="minorEastAsia"/>
                <w:sz w:val="24"/>
              </w:rPr>
            </w:pPr>
          </w:p>
        </w:tc>
        <w:tc>
          <w:tcPr>
            <w:tcW w:w="568" w:type="dxa"/>
            <w:noWrap w:val="0"/>
            <w:vAlign w:val="center"/>
          </w:tcPr>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供水</w:t>
            </w:r>
          </w:p>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系统</w:t>
            </w:r>
          </w:p>
        </w:tc>
        <w:tc>
          <w:tcPr>
            <w:tcW w:w="7661" w:type="dxa"/>
            <w:noWrap w:val="0"/>
            <w:vAlign w:val="top"/>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1、每半年至少应对二次供水设施进行1次清洗消毒，水质符合GB5749的要求。</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2、每日巡检1次供水设施，发现跑冒滴漏现象及时解决。</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3、每日巡视1次水箱间、水泵房，检查设备运行状况。</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4、水箱、蓄水池盖板应保持完好并加锁，钥匙由专人保管；溢流管口、透气口应安装金属防护网并保持完好。</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5、不具备自动切换功能的，每半年手动切换1次备用水泵。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vMerge w:val="continue"/>
            <w:noWrap w:val="0"/>
            <w:vAlign w:val="center"/>
          </w:tcPr>
          <w:p>
            <w:pPr>
              <w:autoSpaceDN w:val="0"/>
              <w:spacing w:line="0" w:lineRule="atLeast"/>
              <w:jc w:val="center"/>
              <w:textAlignment w:val="center"/>
              <w:rPr>
                <w:rFonts w:hint="eastAsia" w:asciiTheme="minorEastAsia" w:hAnsiTheme="minorEastAsia" w:eastAsiaTheme="minorEastAsia" w:cstheme="minorEastAsia"/>
                <w:sz w:val="24"/>
              </w:rPr>
            </w:pPr>
          </w:p>
        </w:tc>
        <w:tc>
          <w:tcPr>
            <w:tcW w:w="568" w:type="dxa"/>
            <w:noWrap w:val="0"/>
            <w:vAlign w:val="center"/>
          </w:tcPr>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排水</w:t>
            </w:r>
          </w:p>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系统</w:t>
            </w:r>
          </w:p>
        </w:tc>
        <w:tc>
          <w:tcPr>
            <w:tcW w:w="7661"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1、有防汛预案，每年至少组织1次演练。</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2、配备有防汛物资（沙袋、雨具、照明工具、抽水泵等）。</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3、排水设施：每年汛前对雨、污水井、屋面雨水口等设施进行检查，组织清理、疏通。</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4、污水泵：汛期每日巡视1次，平时每月巡视1次，检查设备运行状态；每月进行1次手动启动测试；每年养护1次。</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5、化粪池：每半年清掏1次，发现异常及时清掏。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vMerge w:val="continue"/>
            <w:noWrap w:val="0"/>
            <w:vAlign w:val="center"/>
          </w:tcPr>
          <w:p>
            <w:pPr>
              <w:autoSpaceDN w:val="0"/>
              <w:spacing w:line="0" w:lineRule="atLeast"/>
              <w:jc w:val="center"/>
              <w:textAlignment w:val="center"/>
              <w:rPr>
                <w:rFonts w:hint="eastAsia" w:asciiTheme="minorEastAsia" w:hAnsiTheme="minorEastAsia" w:eastAsiaTheme="minorEastAsia" w:cstheme="minorEastAsia"/>
                <w:sz w:val="24"/>
              </w:rPr>
            </w:pPr>
          </w:p>
        </w:tc>
        <w:tc>
          <w:tcPr>
            <w:tcW w:w="568" w:type="dxa"/>
            <w:noWrap w:val="0"/>
            <w:vAlign w:val="center"/>
          </w:tcPr>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供配</w:t>
            </w:r>
          </w:p>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电系</w:t>
            </w:r>
          </w:p>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统及</w:t>
            </w:r>
          </w:p>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照明</w:t>
            </w:r>
          </w:p>
        </w:tc>
        <w:tc>
          <w:tcPr>
            <w:tcW w:w="7661" w:type="dxa"/>
            <w:noWrap w:val="0"/>
            <w:vAlign w:val="center"/>
          </w:tcPr>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1、楼内照明：每周巡视2次，一般故障1日内修复；复杂故障5日内修复。</w:t>
            </w:r>
          </w:p>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2、楼外照明：每周巡视1次，一般故障1日内修复；复杂故障1周内修复；每月调整1次时间控制器。</w:t>
            </w:r>
          </w:p>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3、应急照明：每日巡视1次，发现故障，30分钟内组织维修。</w:t>
            </w:r>
          </w:p>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4、低压柜：每3日巡视1次设备运行状况；每年养护1次，养护内容包括紧固、检测、清扫；每年检查1次电气安全。</w:t>
            </w:r>
          </w:p>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5、低压配电箱和线路：每月检查1次设备运行状况；每年养护1次，养护内容包括紧固、检测、清扫。</w:t>
            </w:r>
          </w:p>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6、控制柜：每半月检查1次设备运行状况；每年养护1次，养护内容包括紧固、检测、调试、清扫。</w:t>
            </w:r>
          </w:p>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7、发电机：每半月试运行1 次，保证运行正常；每年活化1次蓄电池；每周巡视1次充电机和蓄电池。</w:t>
            </w:r>
          </w:p>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8、配电室、楼层配电间：有门、孔、洞、窗等处的防鼠措施完备；穿墙线槽周边封堵严密；锁具完好；电缆进出线和开关标识准确。</w:t>
            </w:r>
          </w:p>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9、变电站高低压电缆沟、电梯底坑无积水。每2年组织对高低压母线、配电盘、变压器、电缆进行1次例行试验，根据试验记录对相关设备进行维护。</w:t>
            </w:r>
          </w:p>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10、每5年检验1次内部核算电能表。</w:t>
            </w:r>
          </w:p>
          <w:p>
            <w:pPr>
              <w:keepNext w:val="0"/>
              <w:keepLines w:val="0"/>
              <w:pageBreakBefore w:val="0"/>
              <w:widowControl w:val="0"/>
              <w:kinsoku/>
              <w:wordWrap/>
              <w:overflowPunct/>
              <w:topLinePunct w:val="0"/>
              <w:autoSpaceDE/>
              <w:autoSpaceDN w:val="0"/>
              <w:bidi w:val="0"/>
              <w:adjustRightInd/>
              <w:snapToGrid/>
              <w:spacing w:line="336"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11、路灯、楼道灯完好率应不低于85%。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vMerge w:val="restart"/>
            <w:noWrap w:val="0"/>
            <w:vAlign w:val="center"/>
          </w:tcPr>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共用设施设备</w:t>
            </w:r>
          </w:p>
        </w:tc>
        <w:tc>
          <w:tcPr>
            <w:tcW w:w="568" w:type="dxa"/>
            <w:noWrap w:val="0"/>
            <w:vAlign w:val="center"/>
          </w:tcPr>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安全</w:t>
            </w:r>
          </w:p>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防范</w:t>
            </w:r>
          </w:p>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系统</w:t>
            </w:r>
          </w:p>
        </w:tc>
        <w:tc>
          <w:tcPr>
            <w:tcW w:w="7661"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1、物防</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（1）外露管道等易攀爬处有防盗设施，如：防盗伞、防爬刺、带钩铁丝或抹黄油等。</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（2）设置非机动车集中停放点，有序停放。</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（3）应安装单元防盗安全门。</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（4）物业区域内路灯、楼道灯等夜间照明设施齐全，使用正常。</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（5）落实专人对各类物防设施每月开展1次全面检查，及时排除安全隐患。</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2、技防</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（1）报警控制管理主机：每日检查1次，保障设备运行正常。</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（2）红外对射探测器：每半月做运行状态测试1次，保障设备运行正常。</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（3）图像采集设备：每周检查1次监视画面效果、录像、图像保存等功能，保障设备运行正常。</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（4）摄像头：每2个月检查1次聚焦、清晰度、红外夜视、遮挡物、镜头清洁等情况，进行相应调校。</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（5）楼宇对讲设备：每月检查1次按键、显示屏、通话等功能状况，保障设备运行正常。</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（6）门禁管理设备：每月检查1次，保障设备运行正常。</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（7）技防设施设备出现运行不正常和损坏等问题，应立即进行维修。</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3、消防</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（1）消防设施设备完好，可随时启用；保持消防通道畅通。</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（2）在出入口、电梯口、防火门等醒目位置有提示火灾危险性、安全逃生路线、安全出口、消防设施器材使用方法的明显标志和警示标语、安全疏散路线指导图。</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（3）有消防安全责任制，明确各级岗位的消防安全职责。</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（4）有灭火和应急疏散预案，有义务消防队，配备必要的消防器材，相关人员掌握消防基本知识和技能。</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（5）对以下消防设施，应每日进行检查：</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a.火灾报警器的功能是否正常、指示灯有无损坏；</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b.消防泵房内的阀门、报警阀组、管道压力、供电是否正常；</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c.疏散通道、安全出口的防火门是否完好，常闭防火门是否处于正常状态。</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（6）对以下消防设施，应每月进行1次检查或试验：</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a.进行消防水泵启动运转，检查其运转是否正常；   </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b.消防水泵接合器的接口及附件是否完好，有无渗漏、闷盖是否齐全；</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c.屋顶供水水箱的储水水位；</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d.消防泵房间的防火门是否完好；</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e.灭火器的压力是否达到要求、是否过期失效、是否生锈、是否无法启用。</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（7）对以下消防设施，应每季度进行1次检查或试验：</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a.火灾警报装置声光显示、消防控制设备的控制显示功能、应急照明、疏散指示标志等是否有效、是否处于正常状态。对主、备电源进行自动转换试验；</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b.进行消防电梯强制停于首层试验；</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c.对水流指示器进行功能试验，利用末端试水装置排水，水流指示器应动作，消防控制室应有信号显示，水力警铃应发出报警声，并应启动消防水泵。对报警阀旁的放水试验进行供水试验，验证系统的供水能力；</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d.喷头外观，发现有不正常的喷头应更换，当喷头上有异物时应清除；</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e.室外阀门井中进水阀、屋顶水箱阀门和管道中的阀门，核实其是否处于正常状态；</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f.与火灾报警系统有联动功能的防火门(包括防火卷帘)能否联动，设施、设备间的防火门是否完好；</w:t>
            </w:r>
          </w:p>
          <w:p>
            <w:pPr>
              <w:pStyle w:val="2"/>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g.防排烟系统是否处于正常状态。</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（8）发现消防安全违法行为和火灾隐患，立即纠正、排除；无法立即纠正、排除的，应向公安机关消防机构报告。</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（9）消防控制室设24 小时值班，及时处理各类报警、故障信息。</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（10）发生火情立即报警，组织扑救初起火灾，疏散遇险人员，协助配合公安机关消防机构工作。</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（11）与有资质的消防维保单位签订消防维保合同，约定消防维保的内容、要求、频次、期限以及双方的权利、义务与责任。</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rPr>
              <w:t>（12）有消防安全管理制度，每年对员工进行至少2次消防安全培训。每年对业主至少有2次消防安全宣传教育，可采用宣传栏、横幅、讲座等形式。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vMerge w:val="continue"/>
            <w:noWrap w:val="0"/>
            <w:vAlign w:val="center"/>
          </w:tcPr>
          <w:p>
            <w:pPr>
              <w:autoSpaceDN w:val="0"/>
              <w:spacing w:line="0" w:lineRule="atLeast"/>
              <w:jc w:val="center"/>
              <w:textAlignment w:val="center"/>
              <w:rPr>
                <w:rFonts w:hint="eastAsia" w:asciiTheme="minorEastAsia" w:hAnsiTheme="minorEastAsia" w:eastAsiaTheme="minorEastAsia" w:cstheme="minorEastAsia"/>
                <w:sz w:val="24"/>
              </w:rPr>
            </w:pPr>
          </w:p>
        </w:tc>
        <w:tc>
          <w:tcPr>
            <w:tcW w:w="568" w:type="dxa"/>
            <w:noWrap w:val="0"/>
            <w:vAlign w:val="center"/>
          </w:tcPr>
          <w:p>
            <w:pPr>
              <w:autoSpaceDN w:val="0"/>
              <w:spacing w:line="0" w:lineRule="atLeast"/>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水景及游乐设施</w:t>
            </w:r>
          </w:p>
        </w:tc>
        <w:tc>
          <w:tcPr>
            <w:tcW w:w="7661"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1、启用前进行防渗漏和防漏电检查，防止渗漏，保证用电安全。</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2、使用期间每周巡查2 次喷水池、水泵及其附属设施，每月检查1 次防漏电设施。</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3、有安全警示标识。</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4、每日巡查1次游乐设施，确保无安全隐患。</w:t>
            </w:r>
          </w:p>
        </w:tc>
      </w:tr>
    </w:tbl>
    <w:p>
      <w:pPr>
        <w:rPr>
          <w:rFonts w:hint="eastAsia" w:asciiTheme="minorEastAsia" w:hAnsiTheme="minorEastAsia" w:eastAsiaTheme="minorEastAsia" w:cstheme="minorEastAsia"/>
          <w:vanish/>
        </w:rPr>
      </w:pPr>
    </w:p>
    <w:p>
      <w:pPr>
        <w:rPr>
          <w:rFonts w:hint="eastAsia" w:asciiTheme="minorEastAsia" w:hAnsiTheme="minorEastAsia" w:eastAsiaTheme="minorEastAsia" w:cstheme="minorEastAsia"/>
          <w:vanish/>
        </w:rPr>
      </w:pPr>
    </w:p>
    <w:p>
      <w:pPr>
        <w:autoSpaceDN w:val="0"/>
        <w:spacing w:line="0" w:lineRule="atLeast"/>
        <w:jc w:val="left"/>
        <w:textAlignment w:val="center"/>
        <w:rPr>
          <w:rFonts w:hint="eastAsia" w:asciiTheme="minorEastAsia" w:hAnsiTheme="minorEastAsia" w:eastAsiaTheme="minorEastAsia" w:cstheme="minorEastAsia"/>
          <w:sz w:val="24"/>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（四）公共秩序维护及车辆行驶、停放及场所管理内容及要求</w:t>
      </w:r>
    </w:p>
    <w:tbl>
      <w:tblPr>
        <w:tblStyle w:val="15"/>
        <w:tblW w:w="884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75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    目</w:t>
            </w:r>
          </w:p>
        </w:tc>
        <w:tc>
          <w:tcPr>
            <w:tcW w:w="7570" w:type="dxa"/>
            <w:noWrap w:val="0"/>
            <w:vAlign w:val="center"/>
          </w:tcPr>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公共秩序</w:t>
            </w:r>
          </w:p>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维护</w:t>
            </w:r>
          </w:p>
        </w:tc>
        <w:tc>
          <w:tcPr>
            <w:tcW w:w="7570"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1、出入口有专人24小时值守。</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2、对重点区域、重点部位每2小时巡查1次。</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3、有外来人员管理制度，对来人来访进行询问登记。</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4、对机动车实行发牌进出登记管理制度，停放有序。</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5、有大宗物品进出管理制度，实行大宗物品搬运进出登记管理。</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6、安防控制室设专人24小时值守。</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7、对违法犯罪行为立即报警，协助公安机关进行处理。</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8、每年开展1次专项治安应急预案演练。</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9、对秩序维护人员必须进行相关法律法规及岗位流程培训后方能上岗，每半年组织物管人员和保安人员开展1次安全防范教育培训。</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10、利用小区公告栏张贴安全防范宣传品。</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11、有租户管理制度，租户信息完善，配合做好流动人口登记、出租房屋登记工作。登记薄册齐全，有出租房屋公示栏。</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.1服务流程</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.1.1门岗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（1）门岗秩序维护员24小时执勤，挂牌服务，对陌生可疑人员进行询问并登记，防止不法份子趁机混入小区作案。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（2）对进出物品进行登记放行管理，车辆运出物品，请先向服务中心申报，以便及时向各岗位传达，并提供方便。外运时必须有住户押运（或有放行条）。如出现可疑情况，可暂不放行并及时采取措施处理。</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（3）对出入小区的临时停放车辆进行登记，先敬礼后方可收费。</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（4）阻止商贩、流浪者和衣衫不整者进入小区。</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.1.2巡逻岗</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（1）巡逻秩序维护员24小时执勤，挂牌服务，对小区范围内的公共区域进行巡逻检查，防止不法份子扰乱治安秩序。</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（2）巡逻时对小区内的业主，执勤员应面带微笑，主动与业主问好，遇外来人员探访时，如有可能，应预先告知门岗值勤公共秩序维护员，并如实登记。</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（3）小区内重点区域1小时巡逻一次。</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.1.3监控岗</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（1）监控秩序维护员24小时执勤，挂牌服务，密切监视小区内的情况。</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（2）出现异常情况立即通知附近的巡逻岗前去查看。</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.2停车场及车辆服务</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物业服务区域内的停车场和车辆服务，作为公共秩序维护服务的一个重要组成部分。为了建立良好的交通秩序，保证车辆停放有序，防止车辆乱停乱放，特制定如下服务方案。</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.2.1区划内停车场的服务</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（1）在区划内内安放各种交通警示牌；</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（2）用反光漆标示行车线路；</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（3）机动车辆的日常服务工作由公共秩序维护队负责，凡进入车辆必须服从车场服务人员的服务和指挥。原则上本停车场只限本区划内居民车辆停放。</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（4）长期停放的居民车辆，须预先向社区按规定交纳车辆停放服务费，领取社区颁发的卡片。</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（5）进入区划内的车辆，必须服从服务人员的指挥，遵守各项服务规定和禁令标志，不得在区域内加油、试刹车，禁止任何人在小区内学习驾驶车辆，通道上严禁停放任何车辆。</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（6）对号停车，禁止占用其他车位。司机必须配合车管员做好车辆的检查记录，并锁好汽车门窗，贵重物品不得留在车内。</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（7）机动车辆停放区域内禁止摩托车，自行车和其他非机动车辆停放。因违反本服务规定而造成车辆的损坏、被窃，责任由当事者自负。</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（8）进场车辆和驾驶人员要保持停车场内的清洁，禁止在场内乱丢垃圾与弃置杂物，禁止在场内吸烟。</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（9）进场司机必须遵守安全防火规定，严禁驾驶载有易燃易爆、剧毒等危险品的车辆进入停车场。</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（10）禁止超过停车场高度规定的车辆、集装箱车及漏油、漏水等病车进入停车场内。</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（11）进入停车场内的车辆如不服从车管员指挥，造成自身车辆受损的后果自负。</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（12）其他车辆需要进入停车场必须经物管处同意。</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.2.2停车场操作服务规程</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车辆进入停车场操作规程</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（1）当车辆停在挡车杆前需要进场时，值班人员走到司机旁边立正敬礼。</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（2）根据该车辆车牌号发给固定停车牌，同时检查车体有无损伤，发现问题，当面通知车主并签字确认。</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（3）在进场车辆记录本上登记进场时间、车牌号和日期。</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（4）抬起挡车杆放车辆进入。</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（5）立正、敬礼、放下挡车杆用正规交通手势指挥车辆按行驶路线停放于指定停车区域。</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.2.3停车场车管员操作规程</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（1）当车辆进入停车场时，车场服务员提醒车主将车辆停放于固定的停车位。</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（2）检查车体有无损伤，发现问题及时通知车主，提醒车主锁好车门窗，贵重物品随身带走。</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（3）在停车场车辆记录本上登记车辆车牌号、车型和入场时间及停车位编号。</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（4）车场服务员每隔40分钟对停放车辆例行巡检一次，发现问题及时报告。</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（5）当车辆要驶出停车场时，车管员负责车辆的指挥，并登记出场时间。</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（6）随时和门岗值班公共秩序维护队员保持联系，通知停车场内车辆停放情况。</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.3岗位责任描述</w:t>
      </w:r>
    </w:p>
    <w:p>
      <w:pPr>
        <w:pStyle w:val="2"/>
        <w:keepNext w:val="0"/>
        <w:keepLines w:val="0"/>
        <w:pageBreakBefore w:val="0"/>
        <w:widowControl w:val="0"/>
        <w:kinsoku/>
        <w:wordWrap/>
        <w:overflowPunct/>
        <w:topLinePunct w:val="0"/>
        <w:autoSpaceDE/>
        <w:autoSpaceDN/>
        <w:bidi w:val="0"/>
        <w:adjustRightInd/>
        <w:snapToGrid/>
        <w:spacing w:after="0" w:line="348"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.3.1固定岗位负责岗位视线范围内发生的所有问题的处理及汇报，对发现的问题应及时的处理，当自己无法处理时应及时上报当班主管，并对处理完的各项事务作好记录工作。</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.3.2巡逻岗位负责所管辖区域内的全面巡视，要做到听、闻、看结合，及时发现和检查问题，将问题消灭在盟芽状态。</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.3.3停车岗位要求对所停放车辆的安全负责，在车辆进入时应仔细认真的检查清楚车辆的全部外观，及车窗、车门是否锁闭，车内是否有重要财物；按规定进行发卡操作，并作好各项登记。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.3.4监控岗要随时留意监控区域动态，发现可疑情况一定要及时制止和向上级领导汇报。</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0" w:firstLineChars="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（五）环境清洁保洁内容及要求</w:t>
      </w:r>
    </w:p>
    <w:tbl>
      <w:tblPr>
        <w:tblStyle w:val="15"/>
        <w:tblW w:w="879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752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    目</w:t>
            </w:r>
          </w:p>
        </w:tc>
        <w:tc>
          <w:tcPr>
            <w:tcW w:w="7522" w:type="dxa"/>
            <w:noWrap w:val="0"/>
            <w:vAlign w:val="center"/>
          </w:tcPr>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生活垃圾的收集、清运</w:t>
            </w:r>
          </w:p>
        </w:tc>
        <w:tc>
          <w:tcPr>
            <w:tcW w:w="7522"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1、有垃圾收集容器。</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2、每周至少清洗1次垃圾收集容器（夏季1次/3日），蝇、蚊孳生季节每5日喷洒1次杀虫药。</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3、垃圾收集容器内的垃圾不超过其容量的2/3，周边无散落垃圾。生活垃圾应清运至指定的垃圾中转站，清运频次不低于3次/日。</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4、垃圾中转站外围保持整洁。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物业共用</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部分清洁</w:t>
            </w:r>
          </w:p>
        </w:tc>
        <w:tc>
          <w:tcPr>
            <w:tcW w:w="7522"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1、公共场所每日清扫2次，楼道、楼梯每日清扫1次。</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2、每月度擦拭1次楼梯扶手、栏杆、窗台、防火门、消火栓、指示牌等共用设施。</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3、楼外道路及设施：每日清扫1次、巡视保洁2次，楼外道路无积水；每月清洁1次楼外公共照明及共用设施；每季度清洁1次雨篷、门头等。</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4、水景：根据水质情况进行消毒净化处理。使用期间每周清洁1 次水面；每年清洁2 次水池池底。</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5、有完善的消杀灭害服务方案和管理制度。配合相关部门进行有害生物的预防和控制。投放药物应预先告知，投药位置有明显标识；定期进行消杀灭害，有相关记录。</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0" w:firstLineChars="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（六）居民、使用人装饰装修室内内容及要求</w:t>
      </w:r>
    </w:p>
    <w:p>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为了保证本物业的结构安全，维护本建筑区划外观的统一、美观，将以房屋结构、外观、防水、违章搭建、装修秩序（物品出入、安全、消防）等作为装修管理的工作重点，严格进行装修管理。</w:t>
      </w:r>
    </w:p>
    <w:tbl>
      <w:tblPr>
        <w:tblStyle w:val="15"/>
        <w:tblW w:w="895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76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    目</w:t>
            </w:r>
          </w:p>
        </w:tc>
        <w:tc>
          <w:tcPr>
            <w:tcW w:w="7683" w:type="dxa"/>
            <w:noWrap w:val="0"/>
            <w:vAlign w:val="center"/>
          </w:tcPr>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76" w:type="dxa"/>
            <w:noWrap w:val="0"/>
            <w:vAlign w:val="center"/>
          </w:tcPr>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装饰装修</w:t>
            </w:r>
          </w:p>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管理</w:t>
            </w:r>
          </w:p>
        </w:tc>
        <w:tc>
          <w:tcPr>
            <w:tcW w:w="7683"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1、有装饰装修管理服务制度。</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2、有装饰装修管理档案。</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3、受理业主或使用人的装饰装修申报登记，与业主或使用人、装饰装修企业签订住宅室内装饰装修管理服务协议，告知业主或使用人在装饰装修工程中的禁止行为和注意事项。</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4、装饰装修期间每2日巡查1 次现场，发现业主或使用人未申报登记或者有违法违规行为的，应立即劝阻；拒不改正的，报告相关行政主管部门及业主、业主委员会。</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5、委托清运装修垃圾的，应在指定地点临时堆放，在1周内清运，自行清运装修垃圾的，应采用袋装运输或密闭运输的方式清运。</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6、在装饰装修的审阅备案过程中，建立装修管理服务人员初阅、项目经理审批的二级审批责任制，强化审批责任。</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7、加强对施工队伍的管理，实施“二证一书”制度，即要求装修施工单位办理“装修入场许可证”和“施工人员出入证”，并签订“装饰装修管理服务协议书”。</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加强装修过程的监管，实施“全员管理”。我们要求物管处各部门的专业服务人员必须掌握装饰装修管理的基本知识及管理要点，并在入住前着重给予培训。对装修过程中发现的各种违规现象进行劝阻和制止，制止、劝阻无效的，及时向主管部门进行报告，并做好相关巡查记录。</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0" w:firstLineChars="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（七）绿化养护内容及要求</w:t>
      </w:r>
    </w:p>
    <w:tbl>
      <w:tblPr>
        <w:tblStyle w:val="15"/>
        <w:tblW w:w="90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5"/>
        <w:gridCol w:w="772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1275"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    目</w:t>
            </w:r>
          </w:p>
        </w:tc>
        <w:tc>
          <w:tcPr>
            <w:tcW w:w="7725" w:type="dxa"/>
            <w:noWrap w:val="0"/>
            <w:vAlign w:val="center"/>
          </w:tcPr>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1275"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绿化养护</w:t>
            </w:r>
          </w:p>
        </w:tc>
        <w:tc>
          <w:tcPr>
            <w:tcW w:w="7725"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1、灌溉</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有计划地进行浇灌，灌溉水下渗充足均匀，无明显旱涝情况发生；一般植物确保在萌芽前、4月、5月、秋季、入冬前浇水1次，草坪根据长势和土壤情况适当增加灌溉次数。</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2、施肥</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根据植物生长情况施肥，乔木每2年施肥1次至2次；灌木每年施肥1次至2次；地被和草坪植物每年施肥2次至3次；花坛植物根据生长情况进行追肥；尽量减少对化肥的依赖。</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3、病虫害防治</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根据病虫害发生规律，植物生长季每月至少检查3次病虫害情况；并根据检查结果防治病虫害，不因病虫害出现提前落叶、死亡现象。</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4、整形修剪</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乔木每年冬季修剪1次；灌木每年生长季节和冬季修剪1次；绿篱每年至少修剪4次；草坪夏季每月至少修剪2次，全年至少修剪12次。</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5、除草</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每年全面除草3次，重点绿地增加除草次数。</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6、垃圾处理</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绿化作业产生的垃圾应在作业完成后2小时内清理干净。</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0" w:firstLineChars="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（八）社区文化建设内容及要求</w:t>
      </w:r>
    </w:p>
    <w:tbl>
      <w:tblPr>
        <w:tblStyle w:val="15"/>
        <w:tblW w:w="891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76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1276"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    目</w:t>
            </w:r>
          </w:p>
        </w:tc>
        <w:tc>
          <w:tcPr>
            <w:tcW w:w="7634" w:type="dxa"/>
            <w:noWrap w:val="0"/>
            <w:vAlign w:val="center"/>
          </w:tcPr>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1276" w:type="dxa"/>
            <w:noWrap w:val="0"/>
            <w:vAlign w:val="center"/>
          </w:tcPr>
          <w:p>
            <w:pPr>
              <w:autoSpaceDN w:val="0"/>
              <w:spacing w:line="360" w:lineRule="auto"/>
              <w:jc w:val="center"/>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社区文化建设</w:t>
            </w:r>
          </w:p>
        </w:tc>
        <w:tc>
          <w:tcPr>
            <w:tcW w:w="7634" w:type="dxa"/>
            <w:noWrap w:val="0"/>
            <w:vAlign w:val="center"/>
          </w:tcPr>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1、有管务公开栏及其它宣传栏，内容每季度更新1次。</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2、每年至少开展2次精神文明宣传教育工作，内容包括科学防疫、消防安全、食品卫生、房屋及其附属设施设备使用安全、环卫及科学等知识。</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3、每年按物业服务合同约定组织社区文化活动。</w:t>
            </w:r>
          </w:p>
          <w:p>
            <w:pPr>
              <w:autoSpaceDN w:val="0"/>
              <w:spacing w:line="360" w:lineRule="auto"/>
              <w:jc w:val="left"/>
              <w:textAlignment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4、社区文化有活动计划、有记录、有总结，相关资料齐全。</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0" w:firstLineChars="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（九）人员配置要求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本项目要求配置物业服务人员23人，项目各部门人员指导配置情况如下表所示，（实际人员配置可多于指导配置；但不得少于上述所需人员，可以提出更优化的人员配置方案。）</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人员配置要求明细表：</w:t>
      </w:r>
    </w:p>
    <w:tbl>
      <w:tblPr>
        <w:tblStyle w:val="15"/>
        <w:tblW w:w="82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2867"/>
        <w:gridCol w:w="1613"/>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7"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部门</w:t>
            </w:r>
          </w:p>
        </w:tc>
        <w:tc>
          <w:tcPr>
            <w:tcW w:w="2867"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岗位设置</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人数</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7" w:type="dxa"/>
            <w:noWrap w:val="0"/>
            <w:vAlign w:val="center"/>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管理部</w:t>
            </w:r>
          </w:p>
        </w:tc>
        <w:tc>
          <w:tcPr>
            <w:tcW w:w="2867"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项目经理</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7" w:type="dxa"/>
            <w:vMerge w:val="restart"/>
            <w:noWrap w:val="0"/>
            <w:vAlign w:val="center"/>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综合部</w:t>
            </w:r>
          </w:p>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中心</w:t>
            </w:r>
          </w:p>
        </w:tc>
        <w:tc>
          <w:tcPr>
            <w:tcW w:w="2867"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客服</w:t>
            </w:r>
            <w:r>
              <w:rPr>
                <w:rFonts w:hint="eastAsia" w:asciiTheme="minorEastAsia" w:hAnsiTheme="minorEastAsia" w:eastAsiaTheme="minorEastAsia" w:cstheme="minorEastAsia"/>
                <w:sz w:val="24"/>
                <w:szCs w:val="24"/>
              </w:rPr>
              <w:t>服务</w:t>
            </w:r>
            <w:r>
              <w:rPr>
                <w:rFonts w:hint="eastAsia" w:asciiTheme="minorEastAsia" w:hAnsiTheme="minorEastAsia" w:eastAsiaTheme="minorEastAsia" w:cstheme="minorEastAsia"/>
                <w:bCs/>
                <w:sz w:val="24"/>
              </w:rPr>
              <w:t>主管</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7" w:type="dxa"/>
            <w:vMerge w:val="continue"/>
            <w:noWrap w:val="0"/>
            <w:vAlign w:val="center"/>
          </w:tcPr>
          <w:p>
            <w:pPr>
              <w:spacing w:line="360" w:lineRule="auto"/>
              <w:jc w:val="center"/>
              <w:rPr>
                <w:rFonts w:hint="eastAsia" w:asciiTheme="minorEastAsia" w:hAnsiTheme="minorEastAsia" w:eastAsiaTheme="minorEastAsia" w:cstheme="minorEastAsia"/>
                <w:bCs/>
                <w:sz w:val="24"/>
              </w:rPr>
            </w:pPr>
          </w:p>
        </w:tc>
        <w:tc>
          <w:tcPr>
            <w:tcW w:w="2867"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收费员兼客服</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7" w:type="dxa"/>
            <w:vMerge w:val="restart"/>
            <w:noWrap w:val="0"/>
            <w:vAlign w:val="center"/>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秩序维护部</w:t>
            </w:r>
          </w:p>
        </w:tc>
        <w:tc>
          <w:tcPr>
            <w:tcW w:w="2867"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主管（班长）</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7" w:type="dxa"/>
            <w:vMerge w:val="continue"/>
            <w:noWrap w:val="0"/>
            <w:vAlign w:val="center"/>
          </w:tcPr>
          <w:p>
            <w:pPr>
              <w:spacing w:line="360" w:lineRule="auto"/>
              <w:jc w:val="center"/>
              <w:rPr>
                <w:rFonts w:hint="eastAsia" w:asciiTheme="minorEastAsia" w:hAnsiTheme="minorEastAsia" w:eastAsiaTheme="minorEastAsia" w:cstheme="minorEastAsia"/>
                <w:bCs/>
                <w:sz w:val="24"/>
              </w:rPr>
            </w:pPr>
          </w:p>
        </w:tc>
        <w:tc>
          <w:tcPr>
            <w:tcW w:w="2867"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sz w:val="24"/>
              </w:rPr>
              <w:t>监控室管理人员</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997" w:type="dxa"/>
            <w:vMerge w:val="continue"/>
            <w:noWrap w:val="0"/>
            <w:vAlign w:val="center"/>
          </w:tcPr>
          <w:p>
            <w:pPr>
              <w:spacing w:line="360" w:lineRule="auto"/>
              <w:jc w:val="center"/>
              <w:rPr>
                <w:rFonts w:hint="eastAsia" w:asciiTheme="minorEastAsia" w:hAnsiTheme="minorEastAsia" w:eastAsiaTheme="minorEastAsia" w:cstheme="minorEastAsia"/>
                <w:bCs/>
                <w:sz w:val="24"/>
              </w:rPr>
            </w:pPr>
          </w:p>
        </w:tc>
        <w:tc>
          <w:tcPr>
            <w:tcW w:w="2867"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门岗及巡逻</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7</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7" w:type="dxa"/>
            <w:vMerge w:val="restart"/>
            <w:noWrap w:val="0"/>
            <w:vAlign w:val="center"/>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共用设施设备维护部</w:t>
            </w:r>
          </w:p>
        </w:tc>
        <w:tc>
          <w:tcPr>
            <w:tcW w:w="2867"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主管（班长）</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7" w:type="dxa"/>
            <w:vMerge w:val="continue"/>
            <w:noWrap w:val="0"/>
            <w:vAlign w:val="center"/>
          </w:tcPr>
          <w:p>
            <w:pPr>
              <w:spacing w:line="360" w:lineRule="auto"/>
              <w:jc w:val="center"/>
              <w:rPr>
                <w:rFonts w:hint="eastAsia" w:asciiTheme="minorEastAsia" w:hAnsiTheme="minorEastAsia" w:eastAsiaTheme="minorEastAsia" w:cstheme="minorEastAsia"/>
                <w:bCs/>
                <w:sz w:val="24"/>
              </w:rPr>
            </w:pPr>
          </w:p>
        </w:tc>
        <w:tc>
          <w:tcPr>
            <w:tcW w:w="2867"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设施设备维护员</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4" w:type="dxa"/>
            <w:gridSpan w:val="2"/>
            <w:noWrap w:val="0"/>
            <w:vAlign w:val="top"/>
          </w:tcPr>
          <w:p>
            <w:pPr>
              <w:tabs>
                <w:tab w:val="left" w:pos="5070"/>
              </w:tabs>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绿化人员</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4" w:type="dxa"/>
            <w:gridSpan w:val="2"/>
            <w:noWrap w:val="0"/>
            <w:vAlign w:val="top"/>
          </w:tcPr>
          <w:p>
            <w:pPr>
              <w:tabs>
                <w:tab w:val="left" w:pos="5070"/>
              </w:tabs>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保洁人员</w:t>
            </w:r>
          </w:p>
        </w:tc>
        <w:tc>
          <w:tcPr>
            <w:tcW w:w="1613" w:type="dxa"/>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7</w:t>
            </w:r>
          </w:p>
        </w:tc>
        <w:tc>
          <w:tcPr>
            <w:tcW w:w="1760" w:type="dxa"/>
            <w:noWrap w:val="0"/>
            <w:vAlign w:val="top"/>
          </w:tcPr>
          <w:p>
            <w:pPr>
              <w:spacing w:line="360" w:lineRule="auto"/>
              <w:jc w:val="center"/>
              <w:rPr>
                <w:rFonts w:hint="eastAsia" w:asciiTheme="minorEastAsia" w:hAnsiTheme="minorEastAsia" w:eastAsia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7" w:type="dxa"/>
            <w:noWrap w:val="0"/>
            <w:vAlign w:val="top"/>
          </w:tcPr>
          <w:p>
            <w:pPr>
              <w:tabs>
                <w:tab w:val="left" w:pos="5070"/>
              </w:tabs>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合计</w:t>
            </w:r>
          </w:p>
        </w:tc>
        <w:tc>
          <w:tcPr>
            <w:tcW w:w="6240" w:type="dxa"/>
            <w:gridSpan w:val="3"/>
            <w:noWrap w:val="0"/>
            <w:vAlign w:val="top"/>
          </w:tcPr>
          <w:p>
            <w:pPr>
              <w:spacing w:line="360" w:lineRule="auto"/>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23人</w:t>
            </w:r>
          </w:p>
        </w:tc>
      </w:tr>
    </w:tbl>
    <w:p>
      <w:pPr>
        <w:numPr>
          <w:ilvl w:val="0"/>
          <w:numId w:val="25"/>
        </w:num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szCs w:val="24"/>
        </w:rPr>
        <w:t>人员任职要求</w:t>
      </w:r>
    </w:p>
    <w:p>
      <w:pPr>
        <w:spacing w:line="360"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物业服务机构应当在丹景街道办事处的指导下，聘用人员。</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1.1项目经理：性别不限，大专以上学历，三年及以上物业管理工作经验，持项目经理证或物业管理岗位证书熟悉物业管理相关法律法规，善应变，领导能力强。</w:t>
      </w:r>
    </w:p>
    <w:p>
      <w:pPr>
        <w:spacing w:line="360" w:lineRule="auto"/>
        <w:ind w:firstLine="482"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szCs w:val="24"/>
        </w:rPr>
        <w:t>1.2</w:t>
      </w:r>
      <w:r>
        <w:rPr>
          <w:rFonts w:hint="eastAsia" w:asciiTheme="minorEastAsia" w:hAnsiTheme="minorEastAsia" w:eastAsiaTheme="minorEastAsia" w:cstheme="minorEastAsia"/>
          <w:sz w:val="24"/>
          <w:szCs w:val="24"/>
        </w:rPr>
        <w:t>客户服务中心主管：性别不限，大专以上学历，三年及以上物业管理客户服务工作经验，持物业管理岗位证书，熟悉物业管理相关法律法规，亲和力强，善交流。</w:t>
      </w:r>
    </w:p>
    <w:p>
      <w:pPr>
        <w:spacing w:line="360" w:lineRule="auto"/>
        <w:ind w:firstLine="482"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szCs w:val="24"/>
        </w:rPr>
        <w:t>1.3</w:t>
      </w:r>
      <w:r>
        <w:rPr>
          <w:rFonts w:hint="eastAsia" w:asciiTheme="minorEastAsia" w:hAnsiTheme="minorEastAsia" w:eastAsiaTheme="minorEastAsia" w:cstheme="minorEastAsia"/>
          <w:sz w:val="24"/>
          <w:szCs w:val="24"/>
        </w:rPr>
        <w:t>共用设施设备维护部主管：男性，中专以上学历，三年及以上同等岗位工作经验，持相关从业资格证书及物业管理岗位证书，对水电、弱电、设备维保等各专业较为熟悉。</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1.4秩序维护队主管：男性，高中以上学历，三年及以上同等岗位工作经验及持物业管理岗位证书，熟悉消防设备维保。</w:t>
      </w:r>
    </w:p>
    <w:p>
      <w:pPr>
        <w:spacing w:line="360" w:lineRule="auto"/>
        <w:ind w:firstLine="361" w:firstLineChars="15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szCs w:val="24"/>
        </w:rPr>
        <w:t>2、各岗位员工岗位职责</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2.1项目经理</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负责对所管辖的物业实施一体化综合管理，贯彻执行质量管理体系，完成签定的物业管理目标；全面负责辖区物业管理服务工作。确保辖区内物业项目的良好运行。确保辖区内居民满意度的不断提升，确保辖区内的安全、服务品质的上升，确保各项工作任务的完成。</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（1）负责落实、制定物管处年度工作目标和各项工作计划，主持管理例会，及时对居民投诉和辖区不规范服务进行整改和处理，抓好社区形象建设，不断提升服务质量。</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（2）负责辖区内的秩序维护，安全（消防）防范、卫生保洁、环境绿化、公共设施和工程维修等工作的布置、检查、考核和管理。</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（3）负责物管处各岗位职责、工作标准和管理制度的修订和完善，负责员工的业绩考核。</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（4）负责物管处员工业务培训的组织工作，抓好员工的思想教育，关心员工生活，充分调动员工的工作积极性，不断提高员工素质，增强团队的凝聚力。</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（5）负责物管处的成本控制和材料申购计划的编制工作。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（6）负责物管处参与并组织每季度的物业管理质量检查和物业服务中心的管理考核工作。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（7）负责搞好内部各业务部门的工作衔接与配合。</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2.2综合部</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 xml:space="preserve">2.2.1客户服务主管 </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（1）在项目经理领导下，行使管理、监督、协调服务的职能；全面负责本建筑区划客户服务中心日常工作；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（2）根据上级的工作安排，将工作任务分解并落实到人；</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（3）跟进任务完成情况，并依据物业服务中心制定的工作情况考核办法对员工进行日常考核；</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（4）及时向部门员工传达上级指示和工作安排，及时向上级反馈员工工作和思想动态；</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（5）根据物业服务中心的培训计划，做好部门员工的培训工作；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（6）接受业主/物业使用人投诉，并依据投诉程度对事件做出处理；</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（7）配合物业服务中心做好部门员工的招、育、留等人事工作。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2.2.2客服</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熟悉项目质量管理体系内容，负责接待、受理居民/物业使用人的咨询、投诉等工作，及时联系相关部门协调解决，在解决过程中，随时保持与居民/物业使用人进行良好沟通，对当时不能解决的问题，应及时回复，详细说明，并作好回访记录；</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（2）负责收集、整理和保存物业项目及物业服务中心筹备、建立和发展的物业档案资料；</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（3）根据业主/物业使用人的报修项目，认真填写报修单，迅速通知相关部门及时处理，做好回访工作；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（4）负责本建筑区划物业服务的监督、检查以及各部门员工考核工作；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（5）与开发建设单位、居民/物业使用人建立并保持良好的沟通关系；</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（6）定期进行居民意见调查，并拟定调查情况报表，上报上级领导；</w:t>
      </w:r>
    </w:p>
    <w:p>
      <w:pPr>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（7）负责向居民/物业使用人宣传和解释有关收费规定，收费标准；</w:t>
      </w:r>
    </w:p>
    <w:p>
      <w:pPr>
        <w:spacing w:line="360" w:lineRule="auto"/>
        <w:ind w:firstLine="360" w:firstLineChars="150"/>
        <w:rPr>
          <w:rFonts w:hint="eastAsia" w:asciiTheme="minorEastAsia" w:hAnsiTheme="minorEastAsia" w:eastAsiaTheme="minorEastAsia" w:cstheme="minorEastAsia"/>
          <w:sz w:val="24"/>
        </w:rPr>
      </w:pPr>
      <w:bookmarkStart w:id="175" w:name="_GoBack"/>
      <w:bookmarkEnd w:id="175"/>
      <w:r>
        <w:rPr>
          <w:rFonts w:hint="eastAsia" w:asciiTheme="minorEastAsia" w:hAnsiTheme="minorEastAsia" w:eastAsiaTheme="minorEastAsia" w:cstheme="minorEastAsia"/>
          <w:sz w:val="24"/>
          <w:szCs w:val="24"/>
        </w:rPr>
        <w:t>（8）负责及时、准确收取各项应收、代收代缴费用；</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（9）负责及时催收各项欠费；</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（10）完成上级交办的临时工作任务。</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2.2.3收费员</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（1）负责收集、整理和保存物业项目及物业服务中心筹备、建立和发展的物业档案资料；</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（2）根据居民/物业使用人的报修项目，认真填写报修单，迅速通知相关部门及时处理，做好回访工作；</w:t>
      </w:r>
    </w:p>
    <w:p>
      <w:pPr>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（3）负责向居民/物业使用人宣传和解释有关收费规定，收费标准；</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（4）负责及时、准确收取各项应收、代收代缴费用；</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（5）负责及时催收各项欠费；</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（6）完成上级交办的临时工作任务。</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2.3秩序维护部</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2.3.1秩序维护队主管（班长）</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（1）接受项目经理的工作安排，认真完成各项工作。对秩序维护人员的日常工作进行检查、监督、考核和安排物业服务中心的临时工作任务。</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（2）树立全局观念，有较强的组织、协调能力；加强班组内部管理、落实岗位责任制，提高各岗位人员的服务意识和业务水平；</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（3）爱岗敬业，勇于承担责任；以身作则，在员工中有较高的威信，乐于奉献；</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（4）负责对所有队员的考勤登记，上报全队人员奖罚情况，主持本队各类会议，总结和布置工作，表扬先进，批评落后；</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（5）熟悉本建筑区划内部布岗情况、岗位特点、执勤区及主要职责，检查、督促岗位执勤情况，及时进行调整、纠正；</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（6）遇重大活动，协助项目经理做好物业秩序维护、消防及车辆管理工作；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（7）做好各物业秩序维护队队员的思想工作，掌握队员的工作情绪，关心队员的工作及生活，保持良好的团队合作精神，随时向上级领导汇报队员的思想动态；</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（8）负责落实物业服务中心布置的各项治安、消防工作；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（9）经常对治安防范、消防管理工作进行检查、巡视，发现问题及时协调处理；经常对消防设施进行监督检查，确保消防设施处于良好备用状态；</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（10）在坚持消防安全监督原则的前提下，树立服务观念，依照消防法规定的“谁使用，谁负责”原则，积极为业主提供方便条件；</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（11）负责治安防范、消防宣传工作，经常对物业服务中心员工进行治安.消防等安全教育，防患于未然；</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（12）熟练掌握各种消防设施设备的操作和检查保养。熟悉灭火应急方案，能组织人员按预案处理各种突发事件。</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（13）负责全班的日常管理工作，组织安排工作、出操、培训、学习、勤务和其他各项工作任务，认真做好共用秩序维护工作；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（14）负责检查本班队员着装及仪容仪表，并认真检查，及时处理；</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（15）负责检查和保管所配备的通讯器材、自卫器材及其它公用物资；</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（16）负责检查责任区内的安全隐患并跟踪整改；</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（17）对岗位执勤情况进行检查和督导，完成查岗工作，协助处理物业秩序维护员在执勤中遇到的棘手问题；</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（18）对违反纪律或操作规程的行为随时进行纠正，并如实记录；</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（19）完成上级交办的临时工作任务。</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2.3.2门岗</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（1）为居民/物业使用人、及其他进出人员提供物业引导服务，疏通车辆和人员进出，维护本建筑区划主要出入门口交通秩序，保证车辆及行人安全，使用门前畅通无阻；</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（2）严格制止闲杂人员、小商贩、推销人员进入本建筑区划；</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（3）提高警惕，发现可疑人员和可疑事件应及时处理并迅速报告上级；</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（4）认真履行值班登记制度，详细记录值班中所发生、处理的各种情况；</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（5）坚持执行业主大宗及贵重物品凭证外移制度，确保业主财产安全；</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（6）积极配合其他秩序维护员，做好各项安全防范工作；</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（7）完成上级领导安排的临时工作任务。</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2.3.3监控室管理人员岗</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（1）熟练掌握监控仪器，严格执行操作规程，确保系统的运行，对所监控的各个区域要非常熟悉，发现异常情况立即报告，并做好详细的记录；</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（2）严格按要求着装，准时上岗，工作时间不得离开岗位，不得打瞌睡；</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（3）认真观察录像情况，出现异常情况，立即报告当值班长;</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（4）严格遵守监控值班室的管理制度；</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（5）除了上级领导和监控人员外，禁止任何人进入监控值班室；</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（6）爱护监控设备，出现故障，立即向上级报告，并做好记录；</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（7）严格交接班手续，做到物品数量清楚，未尽事宜交待明白，接班人未到，须坚守岗位；</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（9）认真完成上级安排的临时工作任务。</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2.3.4巡逻岗</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（1）严格按要求着装，准时上岗，做到仪表端庄、精神饱满、态度和蔼、礼貌待人；</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（2）维护本建筑区划巡逻范围内的正常公共秩序、机动车停放秩序，热情回答业主或来访者的咨询，必要时可为其向导；</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（3）制止责任区内吵架、打架、滋事等事件，必要时立即报告当值班长；</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（4）对本建筑区划内行迹可疑的人进行询问；</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 xml:space="preserve">（5）严格按照规定的巡逻路线，时间进行巡逻并签到。巡逻中主动积极的帮助业主/物业使用人； </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（6）值班中不准擅离岗位，不准做其它与工作无关的事；</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（7）严格交接班手续，做到物品数量清楚，未尽事宜交待明白，接班人未到，须坚守岗位。</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2.4共用设施设备维护部</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2.4.1主管（班长）</w:t>
      </w:r>
    </w:p>
    <w:p>
      <w:pPr>
        <w:spacing w:line="36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（1）对共用设施设备进行日常管理和维修养护（依法应由专业部门负责的除外）。</w:t>
      </w:r>
    </w:p>
    <w:p>
      <w:pPr>
        <w:spacing w:line="36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（2）建立共用设施设备档案（设备台帐），设施设备的运行、检查、维修、保养等记录齐全。</w:t>
      </w:r>
    </w:p>
    <w:p>
      <w:pPr>
        <w:spacing w:line="36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（3）设施设备标志齐全、规范，责任人明确；操作维护人员严格执行设施设备操作规程及保养规范；设施设备运行正常。</w:t>
      </w:r>
    </w:p>
    <w:p>
      <w:pPr>
        <w:spacing w:line="36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（4）消防设施设备完好，可随时启用；消防通道畅通。</w:t>
      </w:r>
    </w:p>
    <w:p>
      <w:pPr>
        <w:spacing w:line="36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（5）设备房保持整洁、通风，无跑、冒、滴、漏和鼠害现象。</w:t>
      </w:r>
    </w:p>
    <w:p>
      <w:pPr>
        <w:spacing w:line="36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（6）小区主要道路及停车场交通标志齐全。</w:t>
      </w:r>
    </w:p>
    <w:p>
      <w:pPr>
        <w:spacing w:line="36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（7）路灯、楼道灯完好率不低于95%。</w:t>
      </w:r>
    </w:p>
    <w:p>
      <w:pPr>
        <w:spacing w:line="360" w:lineRule="auto"/>
        <w:ind w:firstLine="24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rPr>
        <w:t xml:space="preserve">（8）容易危及人身安全的设施设备有明显警示标志和规范措施；对可能发生的各种突发设备故障有应急方案。  </w:t>
      </w:r>
      <w:r>
        <w:rPr>
          <w:rFonts w:hint="eastAsia" w:asciiTheme="minorEastAsia" w:hAnsiTheme="minorEastAsia" w:eastAsiaTheme="minorEastAsia" w:cstheme="minorEastAsia"/>
          <w:b/>
          <w:bCs/>
          <w:sz w:val="24"/>
        </w:rPr>
        <w:t xml:space="preserve">  </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2.4.2设施设备维护员</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（1）小区主出入口24小时值勤，对重点区域、重点部位加强巡查。</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（2）对进出小区的车辆进行管理，引导车辆有序通行、停放。</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（3）对进出小区的装修等劳务人员实行登记管理。</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（4）对火灾、治安、公共卫生等突发事件有应急预案，事发时及时报告业主委员会和有关部门，并协助采取相应措施。</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2.5绿化人员</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（1）有专业人员实施绿化养护管理。</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（2）对草坪、花卉、绿篱、树木定期进行修剪、养护。</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（3）定期清除绿地杂草、杂物。</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（4）定期组织浇灌、施肥和松土，做好防涝、防冻。</w:t>
      </w:r>
    </w:p>
    <w:p>
      <w:pPr>
        <w:spacing w:line="360" w:lineRule="auto"/>
        <w:ind w:firstLine="360" w:firstLineChars="15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（5）适时喷洒药物，预防病虫害。</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2.6保洁人员</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（1）按幢设置垃圾桶，生活垃圾每天清运。</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（2）小区道路、广场、停车场、绿地、电梯厅、楼道做到每日清扫。楼梯扶手、共用部位玻璃、路灯、楼道灯做到及时擦洗清洁，及时清除区内主要道路积水。</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（3）区内公共雨、污水管道及时疏通；雨、污水井按时检查，并视检查情况及时清陶；化粪池发现异常及时清陶。</w:t>
      </w:r>
    </w:p>
    <w:p>
      <w:pPr>
        <w:spacing w:line="360"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（4）二次供水水箱按规定清洗，定时巡查，水质符合卫生要求。</w:t>
      </w:r>
    </w:p>
    <w:p>
      <w:pPr>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（5）根据实际情况定期进行消毒和灭虫除害。</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02" w:firstLineChars="200"/>
        <w:jc w:val="left"/>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（十）其他要求</w:t>
      </w:r>
    </w:p>
    <w:p>
      <w:pPr>
        <w:spacing w:line="360" w:lineRule="auto"/>
        <w:ind w:firstLine="360" w:firstLineChars="15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投标人应根据本项目提供完整的服务方案。服务方案包含但不限于保洁服务方案、设施设备维护服务方案、客户服务方案、质量控制措施方案、安全文明措施方案、应急措施方案、重大活动配合、专项服务方案、项目节能管理方案、疫情防控方案。</w:t>
      </w:r>
    </w:p>
    <w:p>
      <w:pPr>
        <w:spacing w:line="360" w:lineRule="auto"/>
        <w:ind w:firstLine="360" w:firstLineChars="15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2、投标人拟派本项目的项目经理应具有相关的从业经验，相关人员应具有相关的职称证。</w:t>
      </w:r>
    </w:p>
    <w:p>
      <w:pPr>
        <w:spacing w:line="360" w:lineRule="auto"/>
        <w:ind w:firstLine="360" w:firstLineChars="15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3、投标人应具有与本项目类似的物业服务经验。</w:t>
      </w:r>
    </w:p>
    <w:p>
      <w:pPr>
        <w:spacing w:line="360" w:lineRule="auto"/>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三、考核标准及办法（</w:t>
      </w:r>
      <w:r>
        <w:rPr>
          <w:rFonts w:hint="eastAsia" w:asciiTheme="minorEastAsia" w:hAnsiTheme="minorEastAsia" w:eastAsiaTheme="minorEastAsia" w:cstheme="minorEastAsia"/>
          <w:b/>
          <w:bCs/>
          <w:sz w:val="32"/>
          <w:szCs w:val="32"/>
          <w:lang w:eastAsia="zh-CN"/>
        </w:rPr>
        <w:sym w:font="Wingdings" w:char="F0AB"/>
      </w:r>
      <w:r>
        <w:rPr>
          <w:rFonts w:hint="eastAsia" w:asciiTheme="minorEastAsia" w:hAnsiTheme="minorEastAsia" w:eastAsiaTheme="minorEastAsia" w:cstheme="minorEastAsia"/>
          <w:b/>
          <w:bCs/>
          <w:sz w:val="32"/>
          <w:szCs w:val="32"/>
          <w:lang w:val="en-US" w:eastAsia="zh-CN"/>
        </w:rPr>
        <w:t>此项为实质性要求</w:t>
      </w:r>
      <w:r>
        <w:rPr>
          <w:rFonts w:hint="eastAsia" w:asciiTheme="minorEastAsia" w:hAnsiTheme="minorEastAsia" w:eastAsiaTheme="minorEastAsia" w:cstheme="minorEastAsia"/>
          <w:b/>
          <w:bCs/>
          <w:sz w:val="32"/>
          <w:szCs w:val="32"/>
          <w:lang w:eastAsia="zh-CN"/>
        </w:rPr>
        <w:t>）</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采购人每月对物业管理工作进行考核，起始分值为100分，采取倒扣分制。</w:t>
      </w:r>
    </w:p>
    <w:p>
      <w:pPr>
        <w:keepNext w:val="0"/>
        <w:keepLines w:val="0"/>
        <w:pageBreakBefore w:val="0"/>
        <w:widowControl w:val="0"/>
        <w:numPr>
          <w:ilvl w:val="0"/>
          <w:numId w:val="26"/>
        </w:numPr>
        <w:kinsoku/>
        <w:wordWrap/>
        <w:overflowPunct/>
        <w:topLinePunct w:val="0"/>
        <w:bidi w:val="0"/>
        <w:snapToGrid/>
        <w:spacing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90 分（含）以上视为考核合格，当月物业管理费全额支付；低于90 分，则每少1 分则扣除当月物业服务费的2%，直到扣完为止 。</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.累计三个月考核不合格，视为年度考核不合格，采购人有权要求终止合同，由物业公司承担违约和赔偿责任。</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.考核标准及细则表附后。（备注:1.本评分细则仅作考核组实地检查之用；2.社区根据实际情况，参考评分细则进行考评。3.每项评分累计相加，但扣分最高不超过额定分值。）</w:t>
      </w:r>
    </w:p>
    <w:p>
      <w:pPr>
        <w:pStyle w:val="23"/>
        <w:keepNext w:val="0"/>
        <w:keepLines w:val="0"/>
        <w:pageBreakBefore w:val="0"/>
        <w:widowControl w:val="0"/>
        <w:kinsoku/>
        <w:wordWrap/>
        <w:overflowPunct/>
        <w:topLinePunct w:val="0"/>
        <w:bidi w:val="0"/>
        <w:snapToGrid/>
        <w:spacing w:after="0" w:line="360" w:lineRule="auto"/>
        <w:ind w:firstLine="480" w:firstLineChars="200"/>
        <w:jc w:val="left"/>
        <w:textAlignment w:val="auto"/>
        <w:rPr>
          <w:rFonts w:hint="eastAsia" w:asciiTheme="minorEastAsia" w:hAnsiTheme="minorEastAsia" w:eastAsiaTheme="minorEastAsia" w:cstheme="minorEastAsia"/>
          <w:kern w:val="2"/>
          <w:lang w:val="zh-CN"/>
        </w:rPr>
      </w:pPr>
      <w:r>
        <w:rPr>
          <w:rFonts w:hint="eastAsia" w:asciiTheme="minorEastAsia" w:hAnsiTheme="minorEastAsia" w:eastAsiaTheme="minorEastAsia" w:cstheme="minorEastAsia"/>
          <w:kern w:val="2"/>
          <w:lang w:val="en-US" w:eastAsia="zh-CN"/>
        </w:rPr>
        <w:t>4</w:t>
      </w:r>
      <w:r>
        <w:rPr>
          <w:rFonts w:hint="eastAsia" w:asciiTheme="minorEastAsia" w:hAnsiTheme="minorEastAsia" w:eastAsiaTheme="minorEastAsia" w:cstheme="minorEastAsia"/>
          <w:kern w:val="2"/>
        </w:rPr>
        <w:t>.成交供应商</w:t>
      </w:r>
      <w:r>
        <w:rPr>
          <w:rFonts w:hint="eastAsia" w:asciiTheme="minorEastAsia" w:hAnsiTheme="minorEastAsia" w:eastAsiaTheme="minorEastAsia" w:cstheme="minorEastAsia"/>
          <w:kern w:val="2"/>
          <w:lang w:val="zh-CN"/>
        </w:rPr>
        <w:t>应接受采购人的定期检查。如因质量未达到目标，采购人有权要求其整改，同时供应商应承担责任和经济赔偿（扣款或终止合同）。</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zh-CN"/>
        </w:rPr>
        <w:t>采购人定期和不定期地对中标人管理服务进行检查和抽查，检查记录和整改时限反馈承包人，并每月对相应内容的检查结果进行考核。</w:t>
      </w:r>
    </w:p>
    <w:p>
      <w:pPr>
        <w:ind w:firstLine="484" w:firstLineChars="201"/>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szCs w:val="24"/>
        </w:rPr>
        <w:t>考评标准及细则表</w:t>
      </w:r>
    </w:p>
    <w:tbl>
      <w:tblPr>
        <w:tblStyle w:val="15"/>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3174"/>
        <w:gridCol w:w="511"/>
        <w:gridCol w:w="3686"/>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序号</w:t>
            </w:r>
          </w:p>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指标</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Cs/>
                <w:sz w:val="18"/>
                <w:szCs w:val="18"/>
              </w:rPr>
              <w:t>基本项目</w:t>
            </w: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Cs/>
                <w:sz w:val="18"/>
                <w:szCs w:val="18"/>
              </w:rPr>
              <w:t>主要考核内容</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Cs/>
                <w:sz w:val="18"/>
                <w:szCs w:val="18"/>
              </w:rPr>
              <w:t>分值</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评分细则（参考）</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得分情况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75"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sz w:val="18"/>
                <w:szCs w:val="18"/>
              </w:rPr>
            </w:pPr>
          </w:p>
          <w:p>
            <w:pPr>
              <w:keepNext w:val="0"/>
              <w:keepLines w:val="0"/>
              <w:pageBreakBefore w:val="0"/>
              <w:widowControl w:val="0"/>
              <w:kinsoku/>
              <w:wordWrap/>
              <w:overflowPunct/>
              <w:topLinePunct w:val="0"/>
              <w:autoSpaceDE/>
              <w:autoSpaceDN/>
              <w:bidi w:val="0"/>
              <w:adjustRightInd/>
              <w:snapToGrid/>
              <w:spacing w:line="288"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9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规章制度（8分）</w:t>
            </w:r>
          </w:p>
        </w:tc>
        <w:tc>
          <w:tcPr>
            <w:tcW w:w="317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建立健全物业服务管理制度（有标准、有登记、有档案)。</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(1)管理制度不健全不得分。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5"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p>
        </w:tc>
        <w:tc>
          <w:tcPr>
            <w:tcW w:w="31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center"/>
              <w:rPr>
                <w:rFonts w:hint="eastAsia" w:asciiTheme="minorEastAsia" w:hAnsiTheme="minorEastAsia" w:eastAsiaTheme="minorEastAsia" w:cstheme="minorEastAsia"/>
                <w:sz w:val="18"/>
                <w:szCs w:val="18"/>
              </w:rPr>
            </w:pP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(1)物业公司需每季度将新入住的流动人员、租房户进行登记建档,发现一户未登记扣0.1分。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75"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建立科学有效的管理服务制度与岗位职责。</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(1)岗位职责以书面形式报社区居委会，每月月底前将物管公司保安、保洁、宿管等人员变动情况报社区居委会，每缺一项扣1分。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75"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签订规范的物业服务合同，并按照合同约定公布物业管理服务项目和标准，建立有财务管理公开、监督制度。</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（1）合同不规范，扣0.5分；（2）未公布物业管理服务项目和标准，扣0.5分；（3）未建立财务管理公开、监督制度，扣1分。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75"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建立紧急事件处置预案，并有效运作。</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(1)不符合一处扣0.2分。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9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服务规范（7分）</w:t>
            </w: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全体员工统一着装，佩戴标志，服务意识高，行为语言规范，举止文明，服务主动、热情，熟悉区域情况。24小时受理住户投诉，并及时妥处。</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（1）未统一着装扣0.5分；（2）与业主发生矛盾一次扣0.1分；（3）未及时处理投诉一次扣0.1分。</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适时对服务人员进行相关业务知识培训。</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(1)服务人员不熟悉业务影响工作一次扣1分。</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提供合同外的特约服务和代办服务等有偿便民服务，并公示服务项目和服务标准。</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(1)不符合不得分。</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按岗位需求足额配置物管人员。人员能力和素质应与岗位需求匹配。工作人员应具备相应的专业技能，有特种岗位需求的需持证上岗。</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(1)项目经理和水电工和电梯维护人员应持上岗证，按实际情况若缺一人或一证扣1分。</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9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环境卫生（20分）</w:t>
            </w: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环卫设施设备清洁完好，及时清运积存垃圾。</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（1）垃圾桶损坏后必须在2天内进行维修或更换，不能堆放在小区内，否则扣0.5分；（2）脏了不清洁扣0.1分；（3）每发现一处垃圾不清运扣0.1分；（4）垃圾桶堆放处地面不清洁，一处扣0.1分。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保持道路、公厕、场地、墙面、楼道等公共部位清洁卫生。</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（1）道路和场地每发现一处卫生死角扣0.1分；（2）公厕设专人并建立卫生记录，若无扣0.5分；（3）楼道内每发现一处牛皮癣扣0.1分；（4）每发现一处死角扣0.5分。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封闭小区无乱设广告牌和乱贴、乱扔、乱画、乱堆放现象。 </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（1）每发现一次商家乱设广告牌未告知社区居委会的扣0.5分；（2）每发现一次小区内乱设摊点或制止不力，扣0.5分。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公共设施设备无蛛网、浮尘。</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(1)发现一处扣0.5分。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灭鼠等除四害工作达标，按相应部门要求落实公共卫生管理和服务工作。</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(1)发现一处扣0.5分。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6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9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安全护卫（23分）</w:t>
            </w: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安全护卫人员训练有素，举止规范，能及时处置各种违规行为，能正常维护小区安保秩序，及时排除安全隐患。</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(1)突发事件发生时，物管人员视而不见，每人次扣0.5分。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安全护卫设施运行良好。</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(1)发生安全事故扣全分。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危及人身安全处有明显标识和具体防范措施。</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(1)事前告知物管公司增设安全标志未实施的，每发现一处扣0.5分。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对进出车辆发牌、登记管理，并对来访人员进行登记。</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（1）门卫设立车辆登记册，若无扣1分；（2）小区内车辆乱停乱放或没有停在指定车线内，发现一处扣0.5分。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门岗24小时有专人值班；小区及楼栋等重点部位每2小时巡查一次，防止盗窃等事故发生。</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（1）有巡查记录，若无，发现一次扣0.5分；（2）发生一次盗窃事故扣0.5分。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合理设置停车位，车辆停放规范有序。</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(1)机动车未规范停放发现一处扣0.5分。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小区监控系统等技防设施完好，有专人24小时值守，运转正常，影像资料按要求存储。</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（1）无专人值守扣1分；（2）脱岗扣0.5分/人次；（3）系统不能正常运转扣2分。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9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房屋公共部位与公共设施设备维修养护</w:t>
            </w:r>
          </w:p>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（14分）</w:t>
            </w: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区域示意图、路标等标志明显、规范，维护完好。</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(1)物管公司需整改而未整改的，发现一处扣1分。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对业主私拉乱接等违规行为及时制止、整改，并上报相关部门（有记录），直到整改到位。</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(1)不符合不得分。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水、电、气、消防、空调机组、电梯等设施设备责任到人，定期检修，保持清洁卫生、运行正常。</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（2）无证上岗扣1分；（3）发生责任事故，不得分。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设施、设备管理值班记录完整、准确、及时，发现问题及时处理。报修、修理、回访记录齐全。</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（1）报修、修理无记录扣1分；（2）无回访记录扣1分。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排污、排水管道畅通，无堵塞、积水、外溢现象。</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(1)业主每投诉一次扣0.1分。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道路畅通，路面平整。井盖无缺损、无丢失，不影响车辆和行人通行。</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（1）井盖丢失半小时未设标志的，每发现一处扣1分；（2）从发现井盖丢失之日起，12小时内未更换的扣1分。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路灯、楼道灯完好率不低于85%。</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不符合不得分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9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绿化养护（10分）</w:t>
            </w: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绿化长势良好、修剪整齐，无枯死、大面积虫害与缺损。</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(1)发现一处扣0.5分。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绿化带无杂物、杂草、垃圾。</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（1）绿化带每天要进行白色垃圾的清理，若未清理扣0.5分；（2）每发现一处卫生死角扣0.5分。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对绿化带的破坏行为及时制止并恢复，有记录。</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（1）绿化带内树木因人为或自然灾害造成树木倒塌存在安全隐患而没有及时清理的，每发现一处扣1分；（2）未设标志的，每发现一处扣0.5分。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应急事件处置（12分）</w:t>
            </w: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出现消防、公共卫生、自然灾害、停水、停电、停气、治安维稳等突发事件，物管公司和管理人员应负责秩序维护、人员疏导、安全隐患排除工作，及时传达报送相关信息，并配合相关职能部门开展工作。</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（1）发生突发事件未及时报送信息，每次扣0.5分；（2）物管人员视而不见，每发现一人扣1分；（3）不能按照既定的安全预案处理，每次扣1分。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9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其他工作（6分）</w:t>
            </w: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接受社区居委会日常工作指导和监督，配合社区居委会开展各项活动。</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（1）无故缺席社区居委会例会的扣1分；（2）社区安排的宣传资料发放落实不到位的每次扣1分。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rPr>
                <w:rFonts w:hint="eastAsia" w:asciiTheme="minorEastAsia" w:hAnsiTheme="minorEastAsia" w:eastAsiaTheme="minorEastAsia" w:cstheme="minorEastAsia"/>
                <w:sz w:val="18"/>
                <w:szCs w:val="18"/>
              </w:rPr>
            </w:pPr>
          </w:p>
        </w:tc>
        <w:tc>
          <w:tcPr>
            <w:tcW w:w="9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auto"/>
              <w:rPr>
                <w:rFonts w:hint="eastAsia" w:asciiTheme="minorEastAsia" w:hAnsiTheme="minorEastAsia" w:eastAsiaTheme="minorEastAsia" w:cstheme="minorEastAsia"/>
                <w:sz w:val="18"/>
                <w:szCs w:val="18"/>
              </w:rPr>
            </w:pPr>
          </w:p>
        </w:tc>
        <w:tc>
          <w:tcPr>
            <w:tcW w:w="317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完成街道办、社区居委会或上级主管单位交办的临时工作。</w:t>
            </w:r>
          </w:p>
        </w:tc>
        <w:tc>
          <w:tcPr>
            <w:tcW w:w="511"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3686"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auto"/>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（1）迎检工作中不配合扣3分；（2）配合不力扣1分；（3）遇事推诿，每次扣1分；（4）其他中心工作不配合，每次扣1分。</w:t>
            </w:r>
          </w:p>
        </w:tc>
        <w:tc>
          <w:tcPr>
            <w:tcW w:w="64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rPr>
                <w:rFonts w:hint="eastAsia" w:asciiTheme="minorEastAsia" w:hAnsiTheme="minorEastAsia" w:eastAsiaTheme="minorEastAsia" w:cstheme="minorEastAsia"/>
                <w:b/>
                <w:sz w:val="24"/>
              </w:rPr>
            </w:pPr>
          </w:p>
        </w:tc>
      </w:tr>
    </w:tbl>
    <w:p>
      <w:pPr>
        <w:spacing w:line="360" w:lineRule="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sym w:font="Wingdings" w:char="F0AB"/>
      </w:r>
      <w:r>
        <w:rPr>
          <w:rFonts w:hint="eastAsia" w:asciiTheme="minorEastAsia" w:hAnsiTheme="minorEastAsia" w:eastAsiaTheme="minorEastAsia" w:cstheme="minorEastAsia"/>
          <w:b/>
          <w:bCs/>
          <w:sz w:val="32"/>
          <w:szCs w:val="32"/>
          <w:lang w:val="en-US" w:eastAsia="zh-CN"/>
        </w:rPr>
        <w:t>四、商务要求</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1、服务地点：成都东部新区丹景街道天府路190号新民家园一期</w:t>
      </w:r>
      <w:r>
        <w:rPr>
          <w:rFonts w:hint="eastAsia" w:asciiTheme="minorEastAsia" w:hAnsiTheme="minorEastAsia" w:eastAsiaTheme="minorEastAsia" w:cstheme="minorEastAsia"/>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2、服务期限：</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年。起止时间以签订合同日期为准。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3、履约保证金：成交金额的</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%，签订合同前支付至采购人处。</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4、付款方式及要求：合同中约定。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rPr>
        <w:t>5、验收标准及方法：严格按照</w:t>
      </w:r>
      <w:r>
        <w:rPr>
          <w:rFonts w:hint="eastAsia" w:asciiTheme="minorEastAsia" w:hAnsiTheme="minorEastAsia" w:eastAsiaTheme="minorEastAsia" w:cstheme="minorEastAsia"/>
          <w:sz w:val="24"/>
          <w:szCs w:val="24"/>
          <w:lang w:eastAsia="zh-CN"/>
        </w:rPr>
        <w:t>政府采购相关法律法规以及</w:t>
      </w:r>
      <w:r>
        <w:rPr>
          <w:rFonts w:hint="eastAsia" w:asciiTheme="minorEastAsia" w:hAnsiTheme="minorEastAsia" w:eastAsiaTheme="minorEastAsia" w:cstheme="minorEastAsia"/>
          <w:sz w:val="24"/>
          <w:szCs w:val="24"/>
        </w:rPr>
        <w:t>《财政部关于进一步加强政府采购需求和履约验收管理的指导意见》(财库〔2016)205号）的要求进行验收。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注：本章中标注“</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”的条款为本项目的实质性条款，不满足的，投标文件将按照无效投标处理。</w:t>
      </w:r>
    </w:p>
    <w:p>
      <w:pPr>
        <w:rPr>
          <w:rFonts w:hint="eastAsia"/>
          <w:lang w:val="en-US" w:eastAsia="zh-CN"/>
        </w:rPr>
        <w:sectPr>
          <w:pgSz w:w="11907" w:h="16840"/>
          <w:pgMar w:top="1440" w:right="1800" w:bottom="1440" w:left="1800" w:header="851" w:footer="992" w:gutter="0"/>
          <w:pgNumType w:fmt="decimal"/>
          <w:cols w:space="425" w:num="1"/>
          <w:docGrid w:linePitch="312" w:charSpace="0"/>
        </w:sectPr>
      </w:pPr>
    </w:p>
    <w:bookmarkEnd w:id="140"/>
    <w:bookmarkEnd w:id="141"/>
    <w:bookmarkEnd w:id="142"/>
    <w:bookmarkEnd w:id="143"/>
    <w:bookmarkEnd w:id="144"/>
    <w:bookmarkEnd w:id="145"/>
    <w:p>
      <w:pPr>
        <w:keepNext/>
        <w:keepLines/>
        <w:numPr>
          <w:ilvl w:val="0"/>
          <w:numId w:val="3"/>
        </w:numPr>
        <w:spacing w:before="340" w:after="330" w:line="400" w:lineRule="exact"/>
        <w:jc w:val="center"/>
        <w:outlineLvl w:val="0"/>
        <w:rPr>
          <w:rFonts w:hint="eastAsia" w:asciiTheme="minorEastAsia" w:hAnsiTheme="minorEastAsia" w:eastAsiaTheme="minorEastAsia" w:cstheme="minorEastAsia"/>
          <w:b/>
          <w:bCs/>
          <w:spacing w:val="-20"/>
          <w:kern w:val="44"/>
          <w:sz w:val="32"/>
          <w:szCs w:val="32"/>
        </w:rPr>
      </w:pPr>
      <w:bookmarkStart w:id="146" w:name="_Toc3924"/>
      <w:r>
        <w:rPr>
          <w:rFonts w:hint="eastAsia" w:asciiTheme="minorEastAsia" w:hAnsiTheme="minorEastAsia" w:eastAsiaTheme="minorEastAsia" w:cstheme="minorEastAsia"/>
          <w:b/>
          <w:bCs/>
          <w:spacing w:val="-20"/>
          <w:kern w:val="44"/>
          <w:sz w:val="32"/>
          <w:szCs w:val="32"/>
        </w:rPr>
        <w:t>资格性审查</w:t>
      </w:r>
      <w:bookmarkEnd w:id="146"/>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资格性审查时因断电、断网、系统故障或其他不可抗力等因素，导致资格审查小组无法通过系统阅读投标文件进行审查的，待系统恢复后继续审查。出现上述情况时，成都东部新区党工委管委会（成都市东部新城办）综合部将以电子邮件形式通知各投标人。资格性审查标准见下表：</w:t>
      </w:r>
    </w:p>
    <w:tbl>
      <w:tblPr>
        <w:tblStyle w:val="15"/>
        <w:tblW w:w="5173" w:type="pct"/>
        <w:tblInd w:w="-2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858"/>
        <w:gridCol w:w="1782"/>
        <w:gridCol w:w="5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25"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资格性审查项</w:t>
            </w:r>
          </w:p>
        </w:tc>
        <w:tc>
          <w:tcPr>
            <w:tcW w:w="5592"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640" w:type="dxa"/>
            <w:gridSpan w:val="2"/>
            <w:tcBorders>
              <w:top w:val="single" w:color="auto" w:sz="2" w:space="0"/>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4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投标人应具有独立承担民事责任的能力</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营业执照（正本或副本）或法人登记证（正本或副本）或其他能够证明投标人具有独立承担民事责任能力的相关证明材料复印件【注：①营业执照或法人登记证或其他证明材料载明有期限的，应在有效期限内；②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858"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书面声明材料</w:t>
            </w: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具有良好的商业信誉的证明材料</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投标人具有良好的商业信誉的书面声明材料。【说明：①按招标文件第3章的内容及要求提供书面声明材料；②供应商具有良好的商业信誉。】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4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参加政府采购活动前三年内，在经营活动中没有重大违法记录</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参加政府采购活动前三年内，在经营活动中没有重大违法记录的书面声明材料。【说明：①按第3章的内容及要求提供书面声明材料；②供应商参加政府采购活动前三年内，在经营活动中没有重大违法记录。】</w:t>
            </w:r>
          </w:p>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资格审查小组根据“信用中国”和“中国政府采购网”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未被列入失信被执行人、重大税收违法案件当事人名单、政府采购严重违法失信行为记录名单</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w:t>
            </w:r>
            <w:r>
              <w:rPr>
                <w:rFonts w:hint="eastAsia" w:asciiTheme="minorEastAsia" w:hAnsiTheme="minorEastAsia" w:eastAsiaTheme="minorEastAsia" w:cstheme="minorEastAsia"/>
                <w:sz w:val="24"/>
                <w:szCs w:val="24"/>
                <w:lang w:eastAsia="zh-CN"/>
              </w:rPr>
              <w:t>截至投标截止日</w:t>
            </w:r>
            <w:r>
              <w:rPr>
                <w:rFonts w:hint="eastAsia" w:asciiTheme="minorEastAsia" w:hAnsiTheme="minorEastAsia" w:eastAsiaTheme="minorEastAsia" w:cstheme="minorEastAsia"/>
                <w:sz w:val="24"/>
                <w:szCs w:val="24"/>
              </w:rPr>
              <w:t>未列入失信被执行人、重大税收违法案件当事人名单、政府采购严重违法失信行为记录名单的书面声明材料。【说明：①投标人未列入失信被执行人、重大税收违法案件当事人名单、政府采购严重违法失信行为记录名单；②按第3章的内容及要求提供书面声明材料。】</w:t>
            </w:r>
          </w:p>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资格审查小组根据“信用中国”和“中国政府采购网”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未处于被行政部门禁止参与政府采购活动的期限内</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投标人未处于被行政部门禁止参与政府采购活动的期限内。【说明：①按招标文件第3章的内容及要求提供书面声明材料；②供应商未处于被行政部门禁止参与政府采购活动的期限内。】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行贿犯罪记录</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行贿犯罪信息查询期限内，投标人及其现任法定代表人、主要负责人没有行贿犯罪记录的书面声明材料。【说明：①按招标文件第3章的内容及要求提供书面声明材料，投标文件中不需提供中国裁判文书网（https://wenshu.court.gov.cn）查询结果的证明材料；②在行贿犯罪信息查询期限内，供应商及其现任法定代表人、主要负责人没有行贿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单位负责人为同一人或者存在直接控股、管理关系的不同供应商，不得参加同一项目的投标</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负责人为同一人或者存在直接控股、管理关系的不同投标人未同时参加本项目书面声明材料。【说明：①按招标文件3.2.2声明内容提供书面声明材料；②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restart"/>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858" w:type="dxa"/>
            <w:vMerge w:val="restart"/>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w:t>
            </w: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具有履行合同所必须的设备和专业技术能力</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采购人对投标人履行合同所必须的设备和专业技术能力无其他特殊要求，投标人可不提供证明材料。【说明：无须提供证明材料，上传空白页即可，不对本项上传的材料作资格审查】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法律、行政法规规定的其他条件</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采购人对法律、行政法规规定的其他条件无其他特殊要求，投标人可不提供证明材料。【说明：无须提供证明材料，上传空白页即可，不对本项上传的材料作资格审查】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不属于其他国家相关法律法规规定的禁止参加投标的供应商</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1、根据招标文件的要求不属于禁止参加投标或投标无效的供应商；</w:t>
            </w:r>
          </w:p>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2、资格审查小组未发现或者未知晓投标人存在属于国家相关法律法规规定的禁止参加投标或投标无效的供应商。</w:t>
            </w:r>
          </w:p>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联合体投标</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资质要求</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投标保证金</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投标文件签章</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投标文件资格响应文件的语言</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2640" w:type="dxa"/>
            <w:gridSpan w:val="2"/>
            <w:tcBorders>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投标文件资格响应文件组成</w:t>
            </w:r>
          </w:p>
        </w:tc>
        <w:tc>
          <w:tcPr>
            <w:tcW w:w="5592" w:type="dxa"/>
            <w:tcBorders>
              <w:top w:val="single" w:color="auto" w:sz="2" w:space="0"/>
              <w:left w:val="single" w:color="auto" w:sz="2" w:space="0"/>
              <w:bottom w:val="single" w:color="auto" w:sz="2" w:space="0"/>
              <w:right w:val="single" w:color="auto" w:sz="2" w:space="0"/>
            </w:tcBorders>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符合招标文件“2.4.6投标文件的组成”规定要求。【说明：投标人按招标文件3.2.1关于投标人申明的内容提供关于投标人申明的函。】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2640"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具有健全的财务会计制度的证明材料</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lang w:val="en-US" w:eastAsia="zh-CN"/>
              </w:rPr>
              <w:t>2019年或</w:t>
            </w:r>
            <w:r>
              <w:rPr>
                <w:rFonts w:hint="eastAsia" w:asciiTheme="minorEastAsia" w:hAnsiTheme="minorEastAsia" w:eastAsiaTheme="minorEastAsia" w:cstheme="minorEastAsia"/>
                <w:sz w:val="24"/>
                <w:szCs w:val="24"/>
              </w:rPr>
              <w:t>2020会计年度资产负债表复印件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说明</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投标人成立时间至递交投标文件截止时间止不足一年的，提供成立后任意时段的资产负债表复印件</w:t>
            </w:r>
            <w:r>
              <w:rPr>
                <w:rFonts w:hint="eastAsia" w:asciiTheme="minorEastAsia" w:hAnsiTheme="minorEastAsia" w:eastAsiaTheme="minorEastAsia" w:cs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2640"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缴纳社会保障资金的证明材料</w:t>
            </w:r>
          </w:p>
        </w:tc>
        <w:tc>
          <w:tcPr>
            <w:tcW w:w="5592" w:type="dxa"/>
            <w:tcBorders>
              <w:top w:val="single" w:color="auto" w:sz="2" w:space="0"/>
              <w:left w:val="single" w:color="auto" w:sz="2" w:space="0"/>
              <w:bottom w:val="single" w:color="auto" w:sz="2" w:space="0"/>
              <w:right w:val="single" w:color="auto" w:sz="2" w:space="0"/>
            </w:tcBorders>
            <w:vAlign w:val="center"/>
          </w:tcPr>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投标人缴纳2020或2021年任意时段的社保的银行电子回单或者行政部门出具的社保缴纳证明材料复印件。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2640"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缴纳税收的证明材料</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投标人缴纳</w:t>
            </w:r>
            <w:r>
              <w:rPr>
                <w:rFonts w:hint="eastAsia" w:asciiTheme="minorEastAsia" w:hAnsiTheme="minorEastAsia" w:eastAsiaTheme="minorEastAsia" w:cstheme="minorEastAsia"/>
                <w:sz w:val="24"/>
                <w:szCs w:val="24"/>
                <w:lang w:val="en-US" w:eastAsia="zh-CN"/>
              </w:rPr>
              <w:t>2020或</w:t>
            </w:r>
            <w:r>
              <w:rPr>
                <w:rFonts w:hint="eastAsia" w:asciiTheme="minorEastAsia" w:hAnsiTheme="minorEastAsia" w:eastAsiaTheme="minorEastAsia" w:cstheme="minorEastAsia"/>
                <w:sz w:val="24"/>
                <w:szCs w:val="24"/>
              </w:rPr>
              <w:t>2021年任意时段的</w:t>
            </w:r>
            <w:r>
              <w:rPr>
                <w:rFonts w:hint="eastAsia" w:asciiTheme="minorEastAsia" w:hAnsiTheme="minorEastAsia" w:eastAsiaTheme="minorEastAsia" w:cstheme="minorEastAsia"/>
                <w:sz w:val="24"/>
                <w:szCs w:val="24"/>
                <w:lang w:eastAsia="zh-CN"/>
              </w:rPr>
              <w:t>税收</w:t>
            </w:r>
            <w:r>
              <w:rPr>
                <w:rFonts w:hint="eastAsia" w:asciiTheme="minorEastAsia" w:hAnsiTheme="minorEastAsia" w:eastAsiaTheme="minorEastAsia" w:cstheme="minorEastAsia"/>
                <w:sz w:val="24"/>
                <w:szCs w:val="24"/>
              </w:rPr>
              <w:t>的银行电子回单或者行政部门出具的纳税证明或完税证明复印件</w:t>
            </w:r>
            <w:r>
              <w:rPr>
                <w:rFonts w:hint="eastAsia" w:asciiTheme="minorEastAsia" w:hAnsiTheme="minorEastAsia" w:eastAsiaTheme="minorEastAsia" w:cs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2640"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本项目为专门面向中小企业采购项目，服务全部由符合政策要求的中小企业承接（说明：监狱企业、残疾人福利性单位视同小型、微型企业）</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专门面向中小企业采购项目:</w:t>
            </w:r>
          </w:p>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1.《中小企业声明函》中声明提供的服务全部由符合政策要求的中小企业承接；</w:t>
            </w:r>
          </w:p>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2.残疾人福利性单位视同为小型、微型企业，《残疾人福利性单位声明函》中声明投标人为符合条件的残疾人福利性单位，其参加</w:t>
            </w:r>
            <w:r>
              <w:rPr>
                <w:rFonts w:hint="eastAsia" w:asciiTheme="minorEastAsia" w:hAnsiTheme="minorEastAsia" w:eastAsiaTheme="minorEastAsia" w:cstheme="minorEastAsia"/>
                <w:sz w:val="24"/>
                <w:szCs w:val="24"/>
                <w:u w:val="single"/>
              </w:rPr>
              <w:t>本</w:t>
            </w:r>
            <w:r>
              <w:rPr>
                <w:rFonts w:hint="eastAsia" w:asciiTheme="minorEastAsia" w:hAnsiTheme="minorEastAsia" w:eastAsiaTheme="minorEastAsia" w:cstheme="minorEastAsia"/>
                <w:sz w:val="24"/>
                <w:szCs w:val="24"/>
              </w:rPr>
              <w:t>项目采购活动由本单位提供服务；</w:t>
            </w:r>
          </w:p>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3.监狱企业视同为小型、微型企业，提供由省级以上监狱管理局、戒毒管理局（含新疆生产建设兵团）出具的投标人属于监狱企业的证明文件复印件。</w:t>
            </w:r>
          </w:p>
        </w:tc>
      </w:tr>
    </w:tbl>
    <w:p>
      <w:pPr>
        <w:tabs>
          <w:tab w:val="left" w:pos="851"/>
        </w:tabs>
        <w:spacing w:line="360" w:lineRule="auto"/>
        <w:ind w:firstLine="560" w:firstLineChars="200"/>
        <w:rPr>
          <w:rFonts w:hint="eastAsia" w:asciiTheme="minorEastAsia" w:hAnsiTheme="minorEastAsia" w:eastAsiaTheme="minorEastAsia" w:cstheme="minorEastAsia"/>
          <w:sz w:val="28"/>
          <w:szCs w:val="28"/>
        </w:rPr>
      </w:pPr>
    </w:p>
    <w:p>
      <w:pPr>
        <w:tabs>
          <w:tab w:val="left" w:pos="851"/>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w:t>
      </w:r>
    </w:p>
    <w:p>
      <w:pPr>
        <w:tabs>
          <w:tab w:val="left" w:pos="851"/>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投标人的投标文件资格性审查时被判定为无效的，成都东部新区党工委管委会（成都市东部新城办）综合部将通知投标人（以短信、现场公示、电话、“政府采购云平台”等任一方式）。投标人如对资格审查结论有异议的，应及时向成都东部新区党工委管委会（成都市东部新城办）综合部反馈意见。成都东部新区党工委管委会（成都市东部新城办）综合部将及时告知资格审查小组。（说明：无论投标人是否收到通知或提供反馈意见，均不影响资格审查和评标工作，且成都东部新区党工委管委会（成都市东部新城办）综合部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四、通过资格性审查的供应商＜3名，采购失败。</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keepNext/>
        <w:keepLines/>
        <w:numPr>
          <w:ilvl w:val="0"/>
          <w:numId w:val="3"/>
        </w:numPr>
        <w:spacing w:line="360" w:lineRule="auto"/>
        <w:ind w:left="0" w:firstLine="0"/>
        <w:jc w:val="center"/>
        <w:outlineLvl w:val="0"/>
        <w:rPr>
          <w:rFonts w:hint="eastAsia" w:asciiTheme="minorEastAsia" w:hAnsiTheme="minorEastAsia" w:eastAsiaTheme="minorEastAsia" w:cstheme="minorEastAsia"/>
          <w:b/>
          <w:bCs/>
          <w:spacing w:val="-20"/>
          <w:kern w:val="44"/>
          <w:sz w:val="32"/>
          <w:szCs w:val="32"/>
        </w:rPr>
      </w:pPr>
      <w:bookmarkStart w:id="147" w:name="_Toc26919"/>
      <w:r>
        <w:rPr>
          <w:rFonts w:hint="eastAsia" w:asciiTheme="minorEastAsia" w:hAnsiTheme="minorEastAsia" w:eastAsiaTheme="minorEastAsia" w:cstheme="minorEastAsia"/>
          <w:b/>
          <w:bCs/>
          <w:spacing w:val="-20"/>
          <w:kern w:val="44"/>
          <w:sz w:val="32"/>
          <w:szCs w:val="32"/>
        </w:rPr>
        <w:t>评标办法</w:t>
      </w:r>
      <w:bookmarkEnd w:id="147"/>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48" w:name="_Toc31741"/>
      <w:r>
        <w:rPr>
          <w:rFonts w:hint="eastAsia" w:asciiTheme="minorEastAsia" w:hAnsiTheme="minorEastAsia" w:eastAsiaTheme="minorEastAsia" w:cstheme="minorEastAsia"/>
          <w:b/>
          <w:bCs/>
          <w:sz w:val="28"/>
          <w:szCs w:val="28"/>
        </w:rPr>
        <w:t>总则</w:t>
      </w:r>
      <w:bookmarkEnd w:id="148"/>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一、根据《中华人民共和国政府采购法》、《中华人民共和国政府采购法实施条例》和《政府采购货物和服务招标投标管理办法》等法律规章，结合采购项目特点制定本评标办法。</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评标工作由成都东部新区党工委管委会（成都市东部新城办）综合部负责组织，具体评标事务由采购人或成都东部新区党工委管委会（成都市东部新城办）综合部依法组建的评标委员会负责。评标委员会由采购人代表和评审专家组成。</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三、评标工作应遵循公平、公正、科学及择优的原则，并以相同的评标程序和标准对待所有的投标人。</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四、评标委员会按照招标文件规定的评标程序、评标方法和标准进行独立评审，并独立履行下列职责：</w:t>
      </w:r>
    </w:p>
    <w:p>
      <w:pPr>
        <w:numPr>
          <w:ilvl w:val="1"/>
          <w:numId w:val="27"/>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熟悉和理解招标文件；</w:t>
      </w:r>
    </w:p>
    <w:p>
      <w:pPr>
        <w:numPr>
          <w:ilvl w:val="1"/>
          <w:numId w:val="27"/>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审查、评价投标文件是否符合招标文件的商务、技术等实质性要求；</w:t>
      </w:r>
    </w:p>
    <w:p>
      <w:pPr>
        <w:numPr>
          <w:ilvl w:val="1"/>
          <w:numId w:val="27"/>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对投标文件进行比较和评价；</w:t>
      </w:r>
    </w:p>
    <w:p>
      <w:pPr>
        <w:numPr>
          <w:ilvl w:val="1"/>
          <w:numId w:val="27"/>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根据需要要求采购人对招标文件作出解释；根据需要要求投标人对投标文件有关事项作出解释或者澄清；</w:t>
      </w:r>
    </w:p>
    <w:p>
      <w:pPr>
        <w:numPr>
          <w:ilvl w:val="1"/>
          <w:numId w:val="27"/>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确定中标候选人名单，以及根据采购人委托直接确定中标人；</w:t>
      </w:r>
    </w:p>
    <w:p>
      <w:pPr>
        <w:numPr>
          <w:ilvl w:val="1"/>
          <w:numId w:val="27"/>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起草评标报告并进行签署；</w:t>
      </w:r>
    </w:p>
    <w:p>
      <w:pPr>
        <w:numPr>
          <w:ilvl w:val="1"/>
          <w:numId w:val="27"/>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向采购人、成都东部新区党工委管委会（成都市东部新城办）综合部或者财政、监察等有关部门报告或举报非法干预评标工作的行为；</w:t>
      </w:r>
    </w:p>
    <w:p>
      <w:pPr>
        <w:numPr>
          <w:ilvl w:val="1"/>
          <w:numId w:val="27"/>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向采购人、成都东部新区党工委管委会（成都市东部新城办）综合部或者有关部门报告评标中发现的违法行为。</w:t>
      </w:r>
    </w:p>
    <w:p>
      <w:pPr>
        <w:numPr>
          <w:ilvl w:val="1"/>
          <w:numId w:val="27"/>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法律、法规和规章规定的其他职责。</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五、评标过程独立、保密。投标人非法干预评标过程的行为将导致其投标文件作为无效处理。</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六、评标委员会决定投标文件的响应性依据投标文件本身的内容，而不寻求外部的证据，招标文件有明确约定的除外。</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七、评标委员会发现招标文件表述不明确或需要说明的事项，可提请采购人和成都东部新区党工委管委会（成都市东部新城办）综合部书面解释说明。</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49" w:name="_Toc5500"/>
      <w:r>
        <w:rPr>
          <w:rFonts w:hint="eastAsia" w:asciiTheme="minorEastAsia" w:hAnsiTheme="minorEastAsia" w:eastAsiaTheme="minorEastAsia" w:cstheme="minorEastAsia"/>
          <w:b/>
          <w:bCs/>
          <w:sz w:val="28"/>
          <w:szCs w:val="28"/>
        </w:rPr>
        <w:t>评标方法</w:t>
      </w:r>
      <w:bookmarkEnd w:id="149"/>
    </w:p>
    <w:p>
      <w:pPr>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综合评分法。</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50" w:name="_Toc31278"/>
      <w:r>
        <w:rPr>
          <w:rFonts w:hint="eastAsia" w:asciiTheme="minorEastAsia" w:hAnsiTheme="minorEastAsia" w:eastAsiaTheme="minorEastAsia" w:cstheme="minorEastAsia"/>
          <w:b/>
          <w:bCs/>
          <w:sz w:val="28"/>
          <w:szCs w:val="28"/>
        </w:rPr>
        <w:t>评标程序</w:t>
      </w:r>
      <w:bookmarkEnd w:id="150"/>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符合性审查</w:t>
      </w:r>
    </w:p>
    <w:p>
      <w:pPr>
        <w:tabs>
          <w:tab w:val="left" w:pos="851"/>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符合性审查标准见下表（按以下顺序审查）：</w:t>
      </w:r>
    </w:p>
    <w:tbl>
      <w:tblPr>
        <w:tblStyle w:val="15"/>
        <w:tblW w:w="517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146"/>
        <w:gridCol w:w="5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b/>
                <w:sz w:val="24"/>
                <w:szCs w:val="28"/>
              </w:rPr>
            </w:pPr>
            <w:r>
              <w:rPr>
                <w:rFonts w:hint="eastAsia" w:asciiTheme="minorEastAsia" w:hAnsiTheme="minorEastAsia" w:eastAsiaTheme="minorEastAsia" w:cstheme="minorEastAsia"/>
                <w:b/>
                <w:sz w:val="24"/>
                <w:szCs w:val="28"/>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b/>
                <w:sz w:val="24"/>
                <w:szCs w:val="28"/>
              </w:rPr>
            </w:pPr>
            <w:r>
              <w:rPr>
                <w:rFonts w:hint="eastAsia" w:asciiTheme="minorEastAsia" w:hAnsiTheme="minorEastAsia" w:eastAsiaTheme="minorEastAsia" w:cstheme="minorEastAsia"/>
                <w:b/>
                <w:sz w:val="24"/>
                <w:szCs w:val="28"/>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投标文件商务技术响应文件及报价要求响应文件组成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2</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投标文件商务技术响应文件、报价要求响应文件的的计量单位、语言、报价货币、投标有效期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3</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投标报价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5）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4</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第4章打★号的服务、商务和其他要求</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进口产品</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招标文件中未载明“允许采购进口产品”的产品，投标产品为国产产品。</w:t>
            </w:r>
            <w:r>
              <w:rPr>
                <w:rFonts w:hint="eastAsia" w:asciiTheme="minorEastAsia" w:hAnsiTheme="minorEastAsia" w:eastAsiaTheme="minorEastAsia" w:cstheme="minorEastAsia"/>
                <w:b/>
                <w:bCs/>
                <w:sz w:val="24"/>
                <w:szCs w:val="24"/>
                <w:lang w:eastAsia="zh-CN"/>
              </w:rPr>
              <w:t>（本项目为服务采购项目，不涉及，无须提供证明材料。）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6</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不属于禁止参加投标或投标无效的投标人</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（1）根据招标文件的要求不属于禁止参加投标或投标无效的投标人；</w:t>
            </w:r>
          </w:p>
          <w:p>
            <w:pPr>
              <w:keepNext w:val="0"/>
              <w:keepLines w:val="0"/>
              <w:pageBreakBefore w:val="0"/>
              <w:widowControl w:val="0"/>
              <w:tabs>
                <w:tab w:val="left" w:pos="851"/>
              </w:tabs>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（2）评标委员会未发现或者未知晓投标人存在属于国家相关法律法规规定的禁止参加投标或投标无效的投标人。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7</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法定代表人或主要负责人身份证复印件或护照复印件</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jc w:val="center"/>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8</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除资格性审查要求的证明材料外，招标文件要求提供的其他证明材料</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4"/>
              </w:rPr>
              <w:t>无。</w:t>
            </w:r>
          </w:p>
        </w:tc>
      </w:tr>
    </w:tbl>
    <w:p>
      <w:pPr>
        <w:tabs>
          <w:tab w:val="left" w:pos="851"/>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投标人的投标文件符合性审查时被判定为无效投标文件的，成都东部新区党工委管委会（成都市东部新城办）综合部将通知投标人（以短信、现场公示、电话、“政府采购云平台”等任一方式）。投标人如对评审结论有异议的，应及时向成都东部新区党工委管委会（成都市东部新城办）综合部反馈意见。成都东部新区党工委管委会（成都市东部新城办）综合部在评审结束前将收到的反馈意见及时告知评标委员会。（说明：无论投标人是否收到通知或提供反馈意见，均不影响评标委员会的评标工作，且成都东部新区党工委管委会（成都市东部新城办）综合部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三、通过符合性审查的供应商＜3名，本项目采购失败。</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解释、澄清有关问题</w:t>
      </w:r>
    </w:p>
    <w:p>
      <w:pPr>
        <w:numPr>
          <w:ilvl w:val="0"/>
          <w:numId w:val="28"/>
        </w:numPr>
        <w:tabs>
          <w:tab w:val="left" w:pos="1134"/>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过程中，评标委员会认为招标文件有关事项表述不明确或需要说明的，可以提请成都东部新区党工委管委会（成都市东部新城办）综合部书面解释。成都东部新区党工委管委会（成都市东部新城办）综合部的解释不得改变招标文件的原义或者影响公平、公正，解释事项如果涉及投标人权益的以有利于投标人的原则进行解释。</w:t>
      </w:r>
    </w:p>
    <w:p>
      <w:pPr>
        <w:numPr>
          <w:ilvl w:val="0"/>
          <w:numId w:val="28"/>
        </w:numPr>
        <w:tabs>
          <w:tab w:val="left" w:pos="1134"/>
        </w:tabs>
        <w:spacing w:after="200"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28"/>
        </w:numPr>
        <w:tabs>
          <w:tab w:val="left" w:pos="1134"/>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29"/>
        </w:numPr>
        <w:tabs>
          <w:tab w:val="left" w:pos="1260"/>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投标人投标文件中不响应招标文件规定的技术参数指标和商务应答；</w:t>
      </w:r>
    </w:p>
    <w:p>
      <w:pPr>
        <w:numPr>
          <w:ilvl w:val="0"/>
          <w:numId w:val="29"/>
        </w:numPr>
        <w:tabs>
          <w:tab w:val="left" w:pos="1260"/>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投标人投标文件中未提供的证明其是否符合招标文件资格性、符合性规定要求的相关材料。</w:t>
      </w:r>
    </w:p>
    <w:p>
      <w:pPr>
        <w:numPr>
          <w:ilvl w:val="0"/>
          <w:numId w:val="29"/>
        </w:numPr>
        <w:tabs>
          <w:tab w:val="left" w:pos="993"/>
          <w:tab w:val="left" w:pos="1260"/>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投标人投标文件中的材料因印刷、影印等不清晰而难以辨认的。</w:t>
      </w:r>
    </w:p>
    <w:p>
      <w:pPr>
        <w:numPr>
          <w:ilvl w:val="0"/>
          <w:numId w:val="28"/>
        </w:numPr>
        <w:tabs>
          <w:tab w:val="left" w:pos="1134"/>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投标文件报价出现下列情况的，不需要投标人澄清，按以下原则处理：</w:t>
      </w:r>
    </w:p>
    <w:p>
      <w:pPr>
        <w:tabs>
          <w:tab w:val="left" w:pos="1134"/>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（二）单价金额小数点或者百分比有明显错位的，以总价为准，并修改单价；</w:t>
      </w:r>
    </w:p>
    <w:p>
      <w:pPr>
        <w:tabs>
          <w:tab w:val="left" w:pos="1134"/>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（三）总价金额与按单价汇总金额不一致的，以单价金额计算结果为准。</w:t>
      </w:r>
    </w:p>
    <w:p>
      <w:pPr>
        <w:spacing w:line="560" w:lineRule="exact"/>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五、对不同语言文本投标文件的解释发生异议的，以中文文本为准。</w:t>
      </w:r>
    </w:p>
    <w:p>
      <w:pPr>
        <w:tabs>
          <w:tab w:val="left" w:pos="720"/>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评标委员会应当积极履行澄清、说明或者更正的职责，不得滥用权力。</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比较与评价</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按招标文件中规定的评标细则及标准，对符合性检查合格的投标文件进行商务和技术评估，综合比较和评价。</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复核</w:t>
      </w:r>
    </w:p>
    <w:p>
      <w:pPr>
        <w:tabs>
          <w:tab w:val="left" w:pos="851"/>
        </w:tabs>
        <w:spacing w:line="560" w:lineRule="exact"/>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结果汇总完成后，评标委员会拟出具评审报告前，成都东部新区党工委管委会（成都市东部新城办）综合部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评标结果汇总完成后，除下列情形外，任何人不得修改评标结果：</w:t>
      </w:r>
    </w:p>
    <w:p>
      <w:pPr>
        <w:numPr>
          <w:ilvl w:val="0"/>
          <w:numId w:val="30"/>
        </w:numPr>
        <w:tabs>
          <w:tab w:val="left" w:pos="851"/>
          <w:tab w:val="left" w:pos="1276"/>
        </w:tabs>
        <w:spacing w:line="560" w:lineRule="exact"/>
        <w:ind w:left="0" w:firstLine="42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分值汇总计算错误的；</w:t>
      </w:r>
    </w:p>
    <w:p>
      <w:pPr>
        <w:numPr>
          <w:ilvl w:val="0"/>
          <w:numId w:val="30"/>
        </w:numPr>
        <w:tabs>
          <w:tab w:val="left" w:pos="851"/>
          <w:tab w:val="left" w:pos="1276"/>
        </w:tabs>
        <w:spacing w:line="560" w:lineRule="exact"/>
        <w:ind w:left="0" w:firstLine="42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分项评分超出评分标准范围的；</w:t>
      </w:r>
    </w:p>
    <w:p>
      <w:pPr>
        <w:numPr>
          <w:ilvl w:val="0"/>
          <w:numId w:val="30"/>
        </w:numPr>
        <w:tabs>
          <w:tab w:val="left" w:pos="851"/>
          <w:tab w:val="left" w:pos="1276"/>
          <w:tab w:val="left" w:pos="1560"/>
        </w:tabs>
        <w:spacing w:line="560" w:lineRule="exact"/>
        <w:ind w:left="0" w:firstLine="42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评标委员会成员对客观评审因素评分不一致的；</w:t>
      </w:r>
    </w:p>
    <w:p>
      <w:pPr>
        <w:numPr>
          <w:ilvl w:val="0"/>
          <w:numId w:val="30"/>
        </w:numPr>
        <w:tabs>
          <w:tab w:val="left" w:pos="851"/>
          <w:tab w:val="left" w:pos="1276"/>
        </w:tabs>
        <w:spacing w:line="560" w:lineRule="exact"/>
        <w:ind w:left="0" w:firstLine="42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经评标委员会认定评分畸高、畸低的。</w:t>
      </w:r>
    </w:p>
    <w:p>
      <w:pPr>
        <w:tabs>
          <w:tab w:val="left" w:pos="851"/>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确定中标候选人名单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sz w:val="28"/>
          <w:szCs w:val="28"/>
        </w:rPr>
        <w:t>按投标人综合得分从高到低进行排序，</w:t>
      </w:r>
      <w:r>
        <w:rPr>
          <w:rFonts w:hint="eastAsia" w:asciiTheme="minorEastAsia" w:hAnsiTheme="minorEastAsia" w:eastAsiaTheme="minorEastAsia" w:cstheme="minorEastAsia"/>
          <w:sz w:val="28"/>
          <w:szCs w:val="28"/>
          <w:lang w:eastAsia="zh-CN"/>
        </w:rPr>
        <w:t>确定</w:t>
      </w:r>
      <w:r>
        <w:rPr>
          <w:rFonts w:hint="eastAsia" w:asciiTheme="minorEastAsia" w:hAnsiTheme="minorEastAsia" w:eastAsiaTheme="minorEastAsia" w:cstheme="minorEastAsia"/>
          <w:sz w:val="28"/>
          <w:szCs w:val="28"/>
          <w:lang w:val="en-US" w:eastAsia="zh-CN"/>
        </w:rPr>
        <w:t>1至3名中标候选人。</w:t>
      </w:r>
      <w:r>
        <w:rPr>
          <w:rFonts w:hint="eastAsia" w:asciiTheme="minorEastAsia" w:hAnsiTheme="minorEastAsia" w:eastAsiaTheme="minorEastAsia" w:cstheme="minorEastAsia"/>
          <w:b w:val="0"/>
          <w:bCs w:val="0"/>
          <w:color w:val="000000"/>
          <w:kern w:val="0"/>
          <w:sz w:val="28"/>
          <w:szCs w:val="28"/>
          <w:lang w:val="en-US" w:eastAsia="zh-CN" w:bidi="ar"/>
        </w:rPr>
        <w:t>得分相同的，按投标报价由低到高顺序排列；得分且投标报价相同的，不发达地区或少数民族地区的投标人排列顺序在非不发达地区或少数民族地区的投标人之前；得分且投标报价相同的，且均为不发达地区或少数民族地区的投标人并列；得分且投标报价相同的，且不能判定为不发达地区或少数民族地区的投标人并列。（不发达地区或少数民族地区的投标人需提供属于不发达地区或少数民族地区企业的相关证明材料，或投标人注册地为少数民族地区。）</w:t>
      </w:r>
    </w:p>
    <w:p>
      <w:pPr>
        <w:keepNext/>
        <w:keepLines/>
        <w:numPr>
          <w:ilvl w:val="2"/>
          <w:numId w:val="3"/>
        </w:numPr>
        <w:spacing w:before="240"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编写评标报告</w:t>
      </w:r>
    </w:p>
    <w:p>
      <w:pPr>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评标报告是评标委员会根据全体评标成员签字的原始评标记录和评标结果编写的报告，其主要内容包括：</w:t>
      </w:r>
    </w:p>
    <w:p>
      <w:pPr>
        <w:numPr>
          <w:ilvl w:val="0"/>
          <w:numId w:val="31"/>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招标公告刊登的媒体名称、开标日期和地点；</w:t>
      </w:r>
    </w:p>
    <w:p>
      <w:pPr>
        <w:numPr>
          <w:ilvl w:val="0"/>
          <w:numId w:val="31"/>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投标人名单和评标委员会成员名单；</w:t>
      </w:r>
    </w:p>
    <w:p>
      <w:pPr>
        <w:numPr>
          <w:ilvl w:val="0"/>
          <w:numId w:val="31"/>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评标方法和标准；</w:t>
      </w:r>
    </w:p>
    <w:p>
      <w:pPr>
        <w:numPr>
          <w:ilvl w:val="0"/>
          <w:numId w:val="31"/>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开标记录和评标情况及说明，包括投标无效投标人名单及原因；</w:t>
      </w:r>
    </w:p>
    <w:p>
      <w:pPr>
        <w:numPr>
          <w:ilvl w:val="0"/>
          <w:numId w:val="31"/>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评标结果，确定的中标候选人名单或者经采购人委托直接确定的中标人；</w:t>
      </w:r>
    </w:p>
    <w:p>
      <w:pPr>
        <w:numPr>
          <w:ilvl w:val="0"/>
          <w:numId w:val="31"/>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其他需要说明的情况，包括评标过程中投标人根据评标委员会要求进行的澄清、说明或者补正，评标委员会成员的更换等；</w:t>
      </w:r>
    </w:p>
    <w:p>
      <w:pPr>
        <w:numPr>
          <w:ilvl w:val="0"/>
          <w:numId w:val="31"/>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报价最高的投标人为中标候选人的，评标委员会应当对其报价的合理性予以特别说明。</w:t>
      </w:r>
    </w:p>
    <w:p>
      <w:pPr>
        <w:tabs>
          <w:tab w:val="left" w:pos="1155"/>
        </w:tabs>
        <w:spacing w:line="560" w:lineRule="exact"/>
        <w:ind w:firstLine="523" w:firstLineChars="18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51" w:name="_Toc761"/>
      <w:r>
        <w:rPr>
          <w:rFonts w:hint="eastAsia" w:asciiTheme="minorEastAsia" w:hAnsiTheme="minorEastAsia" w:eastAsiaTheme="minorEastAsia" w:cstheme="minorEastAsia"/>
          <w:b/>
          <w:bCs/>
          <w:sz w:val="28"/>
          <w:szCs w:val="28"/>
        </w:rPr>
        <w:t>评标争议处理规则</w:t>
      </w:r>
      <w:bookmarkEnd w:id="151"/>
    </w:p>
    <w:p>
      <w:pPr>
        <w:tabs>
          <w:tab w:val="left" w:pos="1155"/>
        </w:tabs>
        <w:spacing w:line="560" w:lineRule="exact"/>
        <w:ind w:firstLine="523" w:firstLineChars="18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成都东部新区党工委管委会（成都市东部新城办）综合部书面反映。采购人或成都东部新区党工委管委会（成都市东部新城办）综合部收到书面反映后，应当书面报告采购项目同级财政部门依法处理。</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52" w:name="_Toc9381"/>
      <w:r>
        <w:rPr>
          <w:rFonts w:hint="eastAsia" w:asciiTheme="minorEastAsia" w:hAnsiTheme="minorEastAsia" w:eastAsiaTheme="minorEastAsia" w:cstheme="minorEastAsia"/>
          <w:b/>
          <w:bCs/>
          <w:sz w:val="28"/>
          <w:szCs w:val="28"/>
        </w:rPr>
        <w:t>评标细则及标准</w:t>
      </w:r>
      <w:bookmarkEnd w:id="152"/>
    </w:p>
    <w:p>
      <w:pPr>
        <w:keepNext w:val="0"/>
        <w:keepLines w:val="0"/>
        <w:pageBreakBefore w:val="0"/>
        <w:widowControl w:val="0"/>
        <w:numPr>
          <w:ilvl w:val="0"/>
          <w:numId w:val="32"/>
        </w:numPr>
        <w:tabs>
          <w:tab w:val="left" w:pos="1155"/>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评标委员会只对通过初审的投标文件，根据招标文件的要求采用相同的评标程序、评分办法及标准进行评价和比较。</w:t>
      </w:r>
    </w:p>
    <w:p>
      <w:pPr>
        <w:keepNext w:val="0"/>
        <w:keepLines w:val="0"/>
        <w:pageBreakBefore w:val="0"/>
        <w:widowControl w:val="0"/>
        <w:numPr>
          <w:ilvl w:val="0"/>
          <w:numId w:val="32"/>
        </w:numPr>
        <w:tabs>
          <w:tab w:val="left" w:pos="1155"/>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本次综合评分的因素是：价格、服务、商务等。</w:t>
      </w:r>
    </w:p>
    <w:p>
      <w:pPr>
        <w:keepNext w:val="0"/>
        <w:keepLines w:val="0"/>
        <w:pageBreakBefore w:val="0"/>
        <w:widowControl w:val="0"/>
        <w:numPr>
          <w:ilvl w:val="0"/>
          <w:numId w:val="32"/>
        </w:numPr>
        <w:tabs>
          <w:tab w:val="left" w:pos="1155"/>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评标委员会成员应依据招标文件规定的评分标准和方法独立打分。</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评分办法</w:t>
      </w:r>
    </w:p>
    <w:p>
      <w:pPr>
        <w:spacing w:line="560" w:lineRule="exact"/>
        <w:ind w:firstLine="630" w:firstLineChars="2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评标得分＝（A</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＋A</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＋……＋A</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）/n</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+（B</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＋B</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＋……＋B</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 n</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 n</w:t>
      </w:r>
      <w:r>
        <w:rPr>
          <w:rFonts w:hint="eastAsia" w:asciiTheme="minorEastAsia" w:hAnsiTheme="minorEastAsia" w:eastAsiaTheme="minorEastAsia" w:cstheme="minorEastAsia"/>
          <w:sz w:val="28"/>
          <w:szCs w:val="28"/>
          <w:vertAlign w:val="subscript"/>
        </w:rPr>
        <w:t>3</w:t>
      </w:r>
    </w:p>
    <w:p>
      <w:pPr>
        <w:widowControl/>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A</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、A</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……A</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分别为每个</w:t>
      </w:r>
      <w:r>
        <w:rPr>
          <w:rFonts w:hint="eastAsia" w:asciiTheme="minorEastAsia" w:hAnsiTheme="minorEastAsia" w:eastAsiaTheme="minorEastAsia" w:cstheme="minorEastAsia"/>
          <w:kern w:val="0"/>
          <w:sz w:val="28"/>
          <w:szCs w:val="28"/>
        </w:rPr>
        <w:t>经济类</w:t>
      </w:r>
      <w:r>
        <w:rPr>
          <w:rFonts w:hint="eastAsia" w:asciiTheme="minorEastAsia" w:hAnsiTheme="minorEastAsia" w:eastAsiaTheme="minorEastAsia" w:cstheme="minorEastAsia"/>
          <w:sz w:val="28"/>
          <w:szCs w:val="28"/>
        </w:rPr>
        <w:t>评委的打分，n</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为</w:t>
      </w:r>
      <w:r>
        <w:rPr>
          <w:rFonts w:hint="eastAsia" w:asciiTheme="minorEastAsia" w:hAnsiTheme="minorEastAsia" w:eastAsiaTheme="minorEastAsia" w:cstheme="minorEastAsia"/>
          <w:kern w:val="0"/>
          <w:sz w:val="28"/>
          <w:szCs w:val="28"/>
        </w:rPr>
        <w:t>经济类</w:t>
      </w:r>
      <w:r>
        <w:rPr>
          <w:rFonts w:hint="eastAsia" w:asciiTheme="minorEastAsia" w:hAnsiTheme="minorEastAsia" w:eastAsiaTheme="minorEastAsia" w:cstheme="minorEastAsia"/>
          <w:sz w:val="28"/>
          <w:szCs w:val="28"/>
        </w:rPr>
        <w:t>评委人数；B</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、B</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＋……B</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 xml:space="preserve"> 分别为每个技术类评委（含采购人代表）的打分，n</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为</w:t>
      </w:r>
      <w:r>
        <w:rPr>
          <w:rFonts w:hint="eastAsia" w:asciiTheme="minorEastAsia" w:hAnsiTheme="minorEastAsia" w:eastAsiaTheme="minorEastAsia" w:cstheme="minorEastAsia"/>
          <w:kern w:val="0"/>
          <w:sz w:val="28"/>
          <w:szCs w:val="28"/>
        </w:rPr>
        <w:t>技术类</w:t>
      </w:r>
      <w:r>
        <w:rPr>
          <w:rFonts w:hint="eastAsia" w:asciiTheme="minorEastAsia" w:hAnsiTheme="minorEastAsia" w:eastAsiaTheme="minorEastAsia" w:cstheme="minorEastAsia"/>
          <w:sz w:val="28"/>
          <w:szCs w:val="28"/>
        </w:rPr>
        <w:t>评委（含采购人代表）人数；C</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 xml:space="preserve"> 分别为评审委员会每个成员的打分，n</w:t>
      </w:r>
      <w:r>
        <w:rPr>
          <w:rFonts w:hint="eastAsia" w:asciiTheme="minorEastAsia" w:hAnsiTheme="minorEastAsia" w:eastAsiaTheme="minorEastAsia" w:cstheme="minorEastAsia"/>
          <w:sz w:val="28"/>
          <w:szCs w:val="28"/>
          <w:vertAlign w:val="subscript"/>
        </w:rPr>
        <w:t>3</w:t>
      </w:r>
      <w:r>
        <w:rPr>
          <w:rFonts w:hint="eastAsia" w:asciiTheme="minorEastAsia" w:hAnsiTheme="minorEastAsia" w:eastAsiaTheme="minorEastAsia" w:cstheme="minorEastAsia"/>
          <w:sz w:val="28"/>
          <w:szCs w:val="28"/>
        </w:rPr>
        <w:t>为评委人数。</w:t>
      </w:r>
    </w:p>
    <w:p>
      <w:pPr>
        <w:keepNext/>
        <w:keepLines/>
        <w:numPr>
          <w:ilvl w:val="2"/>
          <w:numId w:val="3"/>
        </w:numPr>
        <w:spacing w:line="360" w:lineRule="auto"/>
        <w:ind w:left="0" w:firstLine="0"/>
        <w:outlineLvl w:val="2"/>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bCs/>
          <w:sz w:val="28"/>
          <w:szCs w:val="28"/>
          <w:highlight w:val="none"/>
        </w:rPr>
        <w:t xml:space="preserve">评分标准 </w:t>
      </w:r>
      <w:bookmarkStart w:id="153" w:name="_Toc320624265"/>
      <w:bookmarkEnd w:id="153"/>
      <w:bookmarkStart w:id="154" w:name="_Toc320624240"/>
      <w:bookmarkEnd w:id="154"/>
      <w:bookmarkStart w:id="155" w:name="_Toc320624295"/>
      <w:bookmarkEnd w:id="155"/>
      <w:bookmarkStart w:id="156" w:name="_Toc320624290"/>
      <w:bookmarkEnd w:id="156"/>
      <w:bookmarkStart w:id="157" w:name="_Toc315871657"/>
      <w:bookmarkEnd w:id="157"/>
      <w:bookmarkStart w:id="158" w:name="_Toc320624275"/>
      <w:bookmarkEnd w:id="158"/>
      <w:bookmarkStart w:id="159" w:name="_Toc315871658"/>
      <w:bookmarkEnd w:id="159"/>
      <w:bookmarkStart w:id="160" w:name="_Toc320624280"/>
      <w:bookmarkEnd w:id="160"/>
      <w:bookmarkStart w:id="161" w:name="_Toc320624285"/>
      <w:bookmarkEnd w:id="161"/>
      <w:bookmarkStart w:id="162" w:name="_Toc320624255"/>
      <w:bookmarkEnd w:id="162"/>
      <w:bookmarkStart w:id="163" w:name="_Toc318206701"/>
      <w:bookmarkEnd w:id="163"/>
      <w:bookmarkStart w:id="164" w:name="_Toc315871725"/>
      <w:bookmarkEnd w:id="164"/>
      <w:bookmarkStart w:id="165" w:name="_Toc320624260"/>
      <w:bookmarkEnd w:id="165"/>
      <w:bookmarkStart w:id="166" w:name="_Toc315871656"/>
      <w:bookmarkEnd w:id="166"/>
    </w:p>
    <w:tbl>
      <w:tblPr>
        <w:tblStyle w:val="15"/>
        <w:tblW w:w="9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0"/>
        <w:gridCol w:w="1050"/>
        <w:gridCol w:w="1084"/>
        <w:gridCol w:w="5400"/>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1080"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kern w:val="0"/>
                <w:sz w:val="24"/>
                <w:szCs w:val="24"/>
              </w:rPr>
            </w:pPr>
            <w:r>
              <w:rPr>
                <w:rFonts w:hint="eastAsia" w:asciiTheme="minorEastAsia" w:hAnsiTheme="minorEastAsia" w:eastAsiaTheme="minorEastAsia" w:cstheme="minorEastAsia"/>
                <w:b/>
                <w:kern w:val="0"/>
                <w:sz w:val="24"/>
                <w:szCs w:val="24"/>
              </w:rPr>
              <w:t>评委类别</w:t>
            </w:r>
          </w:p>
        </w:tc>
        <w:tc>
          <w:tcPr>
            <w:tcW w:w="2134" w:type="dxa"/>
            <w:gridSpan w:val="2"/>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kern w:val="0"/>
                <w:sz w:val="24"/>
                <w:szCs w:val="24"/>
              </w:rPr>
              <w:t>评审项目</w:t>
            </w:r>
          </w:p>
        </w:tc>
        <w:tc>
          <w:tcPr>
            <w:tcW w:w="5400" w:type="dxa"/>
            <w:tcMar>
              <w:top w:w="15" w:type="dxa"/>
              <w:left w:w="15" w:type="dxa"/>
              <w:right w:w="15" w:type="dxa"/>
            </w:tcMar>
            <w:vAlign w:val="center"/>
          </w:tcPr>
          <w:p>
            <w:pPr>
              <w:spacing w:line="360" w:lineRule="auto"/>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评分标准</w:t>
            </w:r>
          </w:p>
        </w:tc>
        <w:tc>
          <w:tcPr>
            <w:tcW w:w="970" w:type="dxa"/>
            <w:tcMar>
              <w:top w:w="15" w:type="dxa"/>
              <w:left w:w="15" w:type="dxa"/>
              <w:right w:w="15" w:type="dxa"/>
            </w:tcMar>
            <w:vAlign w:val="center"/>
          </w:tcPr>
          <w:p>
            <w:pPr>
              <w:keepNext w:val="0"/>
              <w:keepLines w:val="0"/>
              <w:pageBreakBefore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评</w:t>
            </w:r>
            <w:r>
              <w:rPr>
                <w:rFonts w:hint="eastAsia" w:asciiTheme="minorEastAsia" w:hAnsiTheme="minorEastAsia" w:eastAsiaTheme="minorEastAsia" w:cstheme="minorEastAsia"/>
                <w:b/>
                <w:kern w:val="0"/>
                <w:sz w:val="24"/>
                <w:szCs w:val="24"/>
                <w:lang w:eastAsia="zh-CN"/>
              </w:rPr>
              <w:t>标</w:t>
            </w:r>
            <w:r>
              <w:rPr>
                <w:rFonts w:hint="eastAsia" w:asciiTheme="minorEastAsia" w:hAnsiTheme="minorEastAsia" w:eastAsiaTheme="minorEastAsia" w:cstheme="minorEastAsia"/>
                <w:b/>
                <w:kern w:val="0"/>
                <w:sz w:val="24"/>
                <w:szCs w:val="24"/>
              </w:rPr>
              <w:t>委员会成员</w:t>
            </w:r>
          </w:p>
        </w:tc>
        <w:tc>
          <w:tcPr>
            <w:tcW w:w="2134" w:type="dxa"/>
            <w:gridSpan w:val="2"/>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kern w:val="0"/>
                <w:sz w:val="24"/>
                <w:szCs w:val="24"/>
              </w:rPr>
              <w:t>报价评审</w:t>
            </w:r>
          </w:p>
        </w:tc>
        <w:tc>
          <w:tcPr>
            <w:tcW w:w="5400"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kern w:val="0"/>
                <w:sz w:val="24"/>
                <w:szCs w:val="24"/>
              </w:rPr>
              <w:t>1、经评标委员会评审，通过资格性和符合性审查，且投标报价最低的投标人的投标报价作为评标基准价；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0"/>
                <w:sz w:val="24"/>
                <w:szCs w:val="24"/>
              </w:rPr>
              <w:t>2、投标报价得分=(评标基准价／投标报价)×</w:t>
            </w:r>
            <w:r>
              <w:rPr>
                <w:rFonts w:hint="eastAsia" w:asciiTheme="minorEastAsia" w:hAnsiTheme="minorEastAsia" w:eastAsiaTheme="minorEastAsia" w:cstheme="minorEastAsia"/>
                <w:kern w:val="0"/>
                <w:sz w:val="24"/>
                <w:szCs w:val="24"/>
                <w:lang w:val="en-US" w:eastAsia="zh-CN"/>
              </w:rPr>
              <w:t>18。</w:t>
            </w:r>
          </w:p>
        </w:tc>
        <w:tc>
          <w:tcPr>
            <w:tcW w:w="970" w:type="dxa"/>
            <w:tcMar>
              <w:top w:w="15" w:type="dxa"/>
              <w:left w:w="15" w:type="dxa"/>
              <w:right w:w="15" w:type="dxa"/>
            </w:tcMar>
            <w:vAlign w:val="center"/>
          </w:tcPr>
          <w:p>
            <w:pPr>
              <w:keepNext w:val="0"/>
              <w:keepLines w:val="0"/>
              <w:pageBreakBefore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18</w:t>
            </w:r>
            <w:r>
              <w:rPr>
                <w:rFonts w:hint="eastAsia" w:asciiTheme="minorEastAsia" w:hAnsiTheme="minorEastAsia" w:eastAsiaTheme="minorEastAsia" w:cstheme="minorEastAsia"/>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评</w:t>
            </w:r>
            <w:r>
              <w:rPr>
                <w:rFonts w:hint="eastAsia" w:asciiTheme="minorEastAsia" w:hAnsiTheme="minorEastAsia" w:eastAsiaTheme="minorEastAsia" w:cstheme="minorEastAsia"/>
                <w:b/>
                <w:kern w:val="0"/>
                <w:sz w:val="24"/>
                <w:szCs w:val="24"/>
                <w:lang w:eastAsia="zh-CN"/>
              </w:rPr>
              <w:t>标</w:t>
            </w:r>
            <w:r>
              <w:rPr>
                <w:rFonts w:hint="eastAsia" w:asciiTheme="minorEastAsia" w:hAnsiTheme="minorEastAsia" w:eastAsiaTheme="minorEastAsia" w:cstheme="minorEastAsia"/>
                <w:b/>
                <w:kern w:val="0"/>
                <w:sz w:val="24"/>
                <w:szCs w:val="24"/>
              </w:rPr>
              <w:t>委员会成员</w:t>
            </w:r>
          </w:p>
        </w:tc>
        <w:tc>
          <w:tcPr>
            <w:tcW w:w="2134" w:type="dxa"/>
            <w:gridSpan w:val="2"/>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rFonts w:hint="eastAsia" w:asciiTheme="minorEastAsia" w:hAnsiTheme="minorEastAsia" w:eastAsiaTheme="minorEastAsia" w:cstheme="minorEastAsia"/>
                <w:b/>
                <w:bCs w:val="0"/>
                <w:kern w:val="0"/>
                <w:sz w:val="24"/>
                <w:szCs w:val="24"/>
              </w:rPr>
            </w:pPr>
            <w:r>
              <w:rPr>
                <w:rFonts w:hint="eastAsia" w:asciiTheme="minorEastAsia" w:hAnsiTheme="minorEastAsia" w:eastAsiaTheme="minorEastAsia" w:cstheme="minorEastAsia"/>
                <w:b/>
                <w:bCs w:val="0"/>
                <w:sz w:val="24"/>
                <w:szCs w:val="24"/>
              </w:rPr>
              <w:t>技术力量</w:t>
            </w:r>
          </w:p>
        </w:tc>
        <w:tc>
          <w:tcPr>
            <w:tcW w:w="5400"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36"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1、供应商拟派的项目经理具有从事物业管理经验5年及以上</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rPr>
              <w:t>得</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本项</w:t>
            </w:r>
            <w:r>
              <w:rPr>
                <w:rFonts w:hint="eastAsia" w:asciiTheme="minorEastAsia" w:hAnsiTheme="minorEastAsia" w:eastAsiaTheme="minorEastAsia" w:cstheme="minorEastAsia"/>
                <w:sz w:val="24"/>
                <w:szCs w:val="24"/>
              </w:rPr>
              <w:t>最高得</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分。（提供</w:t>
            </w:r>
            <w:r>
              <w:rPr>
                <w:rFonts w:hint="eastAsia" w:asciiTheme="minorEastAsia" w:hAnsiTheme="minorEastAsia" w:eastAsiaTheme="minorEastAsia" w:cstheme="minorEastAsia"/>
                <w:sz w:val="24"/>
                <w:szCs w:val="24"/>
                <w:lang w:eastAsia="zh-CN"/>
              </w:rPr>
              <w:t>在职</w:t>
            </w:r>
            <w:r>
              <w:rPr>
                <w:rFonts w:hint="eastAsia" w:asciiTheme="minorEastAsia" w:hAnsiTheme="minorEastAsia" w:eastAsiaTheme="minorEastAsia" w:cstheme="minorEastAsia"/>
                <w:sz w:val="24"/>
                <w:szCs w:val="24"/>
              </w:rPr>
              <w:t>证明</w:t>
            </w:r>
            <w:r>
              <w:rPr>
                <w:rFonts w:hint="eastAsia" w:asciiTheme="minorEastAsia" w:hAnsiTheme="minorEastAsia" w:eastAsiaTheme="minorEastAsia" w:cstheme="minorEastAsia"/>
                <w:sz w:val="24"/>
                <w:szCs w:val="24"/>
                <w:lang w:eastAsia="zh-CN"/>
              </w:rPr>
              <w:t>材料及从业经验证明材</w:t>
            </w:r>
            <w:r>
              <w:rPr>
                <w:rFonts w:hint="eastAsia" w:asciiTheme="minorEastAsia" w:hAnsiTheme="minorEastAsia" w:eastAsiaTheme="minorEastAsia" w:cstheme="minorEastAsia"/>
                <w:sz w:val="24"/>
                <w:szCs w:val="24"/>
              </w:rPr>
              <w:t>料复印件</w:t>
            </w:r>
            <w:r>
              <w:rPr>
                <w:rFonts w:hint="eastAsia" w:asciiTheme="minorEastAsia" w:hAnsiTheme="minorEastAsia" w:eastAsiaTheme="minorEastAsia" w:cstheme="minorEastAsia"/>
                <w:sz w:val="24"/>
                <w:szCs w:val="24"/>
                <w:lang w:eastAsia="zh-CN"/>
              </w:rPr>
              <w:t>并</w:t>
            </w:r>
            <w:r>
              <w:rPr>
                <w:rFonts w:hint="eastAsia" w:asciiTheme="minorEastAsia" w:hAnsiTheme="minorEastAsia" w:eastAsiaTheme="minorEastAsia" w:cstheme="minorEastAsia"/>
                <w:sz w:val="24"/>
                <w:szCs w:val="24"/>
              </w:rPr>
              <w:t>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w:t>
            </w:r>
          </w:p>
          <w:p>
            <w:pPr>
              <w:keepNext w:val="0"/>
              <w:keepLines w:val="0"/>
              <w:pageBreakBefore w:val="0"/>
              <w:widowControl/>
              <w:kinsoku/>
              <w:wordWrap/>
              <w:overflowPunct/>
              <w:topLinePunct w:val="0"/>
              <w:autoSpaceDE/>
              <w:autoSpaceDN/>
              <w:bidi w:val="0"/>
              <w:adjustRightInd w:val="0"/>
              <w:snapToGrid w:val="0"/>
              <w:spacing w:line="33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2、拟投入本项目的特种操作人员具有高压电工</w:t>
            </w:r>
            <w:r>
              <w:rPr>
                <w:rFonts w:hint="eastAsia" w:asciiTheme="minorEastAsia" w:hAnsiTheme="minorEastAsia" w:eastAsiaTheme="minorEastAsia" w:cstheme="minorEastAsia"/>
                <w:sz w:val="24"/>
                <w:szCs w:val="24"/>
                <w:lang w:eastAsia="zh-CN"/>
              </w:rPr>
              <w:t>作业操作</w:t>
            </w:r>
            <w:r>
              <w:rPr>
                <w:rFonts w:hint="eastAsia" w:asciiTheme="minorEastAsia" w:hAnsiTheme="minorEastAsia" w:eastAsiaTheme="minorEastAsia" w:cstheme="minorEastAsia"/>
                <w:sz w:val="24"/>
                <w:szCs w:val="24"/>
              </w:rPr>
              <w:t>证的得</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分，具有低压电工</w:t>
            </w:r>
            <w:r>
              <w:rPr>
                <w:rFonts w:hint="eastAsia" w:asciiTheme="minorEastAsia" w:hAnsiTheme="minorEastAsia" w:eastAsiaTheme="minorEastAsia" w:cstheme="minorEastAsia"/>
                <w:sz w:val="24"/>
                <w:szCs w:val="24"/>
                <w:lang w:eastAsia="zh-CN"/>
              </w:rPr>
              <w:t>作业操作</w:t>
            </w:r>
            <w:r>
              <w:rPr>
                <w:rFonts w:hint="eastAsia" w:asciiTheme="minorEastAsia" w:hAnsiTheme="minorEastAsia" w:eastAsiaTheme="minorEastAsia" w:cstheme="minorEastAsia"/>
                <w:sz w:val="24"/>
                <w:szCs w:val="24"/>
              </w:rPr>
              <w:t>证的得</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，本项</w:t>
            </w:r>
            <w:r>
              <w:rPr>
                <w:rFonts w:hint="eastAsia" w:asciiTheme="minorEastAsia" w:hAnsiTheme="minorEastAsia" w:eastAsiaTheme="minorEastAsia" w:cstheme="minorEastAsia"/>
                <w:sz w:val="24"/>
                <w:szCs w:val="24"/>
              </w:rPr>
              <w:t>最高得</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分。（提供</w:t>
            </w:r>
            <w:r>
              <w:rPr>
                <w:rFonts w:hint="eastAsia" w:asciiTheme="minorEastAsia" w:hAnsiTheme="minorEastAsia" w:eastAsiaTheme="minorEastAsia" w:cstheme="minorEastAsia"/>
                <w:sz w:val="24"/>
                <w:szCs w:val="24"/>
                <w:lang w:eastAsia="zh-CN"/>
              </w:rPr>
              <w:t>在职证明材料及相关证书</w:t>
            </w:r>
            <w:r>
              <w:rPr>
                <w:rFonts w:hint="eastAsia" w:asciiTheme="minorEastAsia" w:hAnsiTheme="minorEastAsia" w:eastAsiaTheme="minorEastAsia" w:cstheme="minorEastAsia"/>
                <w:sz w:val="24"/>
                <w:szCs w:val="24"/>
              </w:rPr>
              <w:t>复印件</w:t>
            </w:r>
            <w:r>
              <w:rPr>
                <w:rFonts w:hint="eastAsia" w:asciiTheme="minorEastAsia" w:hAnsiTheme="minorEastAsia" w:eastAsiaTheme="minorEastAsia" w:cstheme="minorEastAsia"/>
                <w:sz w:val="24"/>
                <w:szCs w:val="24"/>
                <w:lang w:eastAsia="zh-CN"/>
              </w:rPr>
              <w:t>并</w:t>
            </w:r>
            <w:r>
              <w:rPr>
                <w:rFonts w:hint="eastAsia" w:asciiTheme="minorEastAsia" w:hAnsiTheme="minorEastAsia" w:eastAsiaTheme="minorEastAsia" w:cstheme="minorEastAsia"/>
                <w:sz w:val="24"/>
                <w:szCs w:val="24"/>
              </w:rPr>
              <w:t>加盖公章）</w:t>
            </w:r>
          </w:p>
          <w:p>
            <w:pPr>
              <w:keepNext w:val="0"/>
              <w:keepLines w:val="0"/>
              <w:pageBreakBefore w:val="0"/>
              <w:widowControl w:val="0"/>
              <w:kinsoku/>
              <w:wordWrap/>
              <w:overflowPunct/>
              <w:topLinePunct w:val="0"/>
              <w:autoSpaceDE/>
              <w:autoSpaceDN/>
              <w:bidi w:val="0"/>
              <w:adjustRightInd/>
              <w:snapToGrid/>
              <w:spacing w:line="336" w:lineRule="auto"/>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3、拟投入本项目的保安人员具有建（构）筑物消防员证的每有一个得</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分，最高得</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分。（提供</w:t>
            </w:r>
            <w:r>
              <w:rPr>
                <w:rFonts w:hint="eastAsia" w:asciiTheme="minorEastAsia" w:hAnsiTheme="minorEastAsia" w:eastAsiaTheme="minorEastAsia" w:cstheme="minorEastAsia"/>
                <w:sz w:val="24"/>
                <w:szCs w:val="24"/>
                <w:lang w:eastAsia="zh-CN"/>
              </w:rPr>
              <w:t>在职证明材料及相关证书</w:t>
            </w:r>
            <w:r>
              <w:rPr>
                <w:rFonts w:hint="eastAsia" w:asciiTheme="minorEastAsia" w:hAnsiTheme="minorEastAsia" w:eastAsiaTheme="minorEastAsia" w:cstheme="minorEastAsia"/>
                <w:sz w:val="24"/>
                <w:szCs w:val="24"/>
              </w:rPr>
              <w:t>复印件</w:t>
            </w:r>
            <w:r>
              <w:rPr>
                <w:rFonts w:hint="eastAsia" w:asciiTheme="minorEastAsia" w:hAnsiTheme="minorEastAsia" w:eastAsiaTheme="minorEastAsia" w:cstheme="minorEastAsia"/>
                <w:sz w:val="24"/>
                <w:szCs w:val="24"/>
                <w:lang w:eastAsia="zh-CN"/>
              </w:rPr>
              <w:t>并</w:t>
            </w:r>
            <w:r>
              <w:rPr>
                <w:rFonts w:hint="eastAsia" w:asciiTheme="minorEastAsia" w:hAnsiTheme="minorEastAsia" w:eastAsiaTheme="minorEastAsia" w:cstheme="minorEastAsia"/>
                <w:sz w:val="24"/>
                <w:szCs w:val="24"/>
              </w:rPr>
              <w:t>加盖公章）</w:t>
            </w:r>
          </w:p>
        </w:tc>
        <w:tc>
          <w:tcPr>
            <w:tcW w:w="970" w:type="dxa"/>
            <w:tcMar>
              <w:top w:w="15" w:type="dxa"/>
              <w:left w:w="15" w:type="dxa"/>
              <w:right w:w="15" w:type="dxa"/>
            </w:tcMar>
            <w:vAlign w:val="center"/>
          </w:tcPr>
          <w:p>
            <w:pPr>
              <w:keepNext w:val="0"/>
              <w:keepLines w:val="0"/>
              <w:pageBreakBefore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5" w:hRule="atLeast"/>
          <w:jc w:val="center"/>
        </w:trPr>
        <w:tc>
          <w:tcPr>
            <w:tcW w:w="1080"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评</w:t>
            </w:r>
            <w:r>
              <w:rPr>
                <w:rFonts w:hint="eastAsia" w:asciiTheme="minorEastAsia" w:hAnsiTheme="minorEastAsia" w:eastAsiaTheme="minorEastAsia" w:cstheme="minorEastAsia"/>
                <w:b/>
                <w:kern w:val="0"/>
                <w:sz w:val="24"/>
                <w:szCs w:val="24"/>
                <w:lang w:eastAsia="zh-CN"/>
              </w:rPr>
              <w:t>标</w:t>
            </w:r>
            <w:r>
              <w:rPr>
                <w:rFonts w:hint="eastAsia" w:asciiTheme="minorEastAsia" w:hAnsiTheme="minorEastAsia" w:eastAsiaTheme="minorEastAsia" w:cstheme="minorEastAsia"/>
                <w:b/>
                <w:kern w:val="0"/>
                <w:sz w:val="24"/>
                <w:szCs w:val="24"/>
              </w:rPr>
              <w:t>委员会成员</w:t>
            </w:r>
          </w:p>
        </w:tc>
        <w:tc>
          <w:tcPr>
            <w:tcW w:w="2134" w:type="dxa"/>
            <w:gridSpan w:val="2"/>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kern w:val="0"/>
                <w:sz w:val="24"/>
                <w:szCs w:val="24"/>
                <w:lang w:eastAsia="zh-CN"/>
              </w:rPr>
              <w:t>业绩</w:t>
            </w:r>
          </w:p>
        </w:tc>
        <w:tc>
          <w:tcPr>
            <w:tcW w:w="5400" w:type="dxa"/>
            <w:tcMar>
              <w:top w:w="15" w:type="dxa"/>
              <w:left w:w="15" w:type="dxa"/>
              <w:right w:w="15" w:type="dxa"/>
            </w:tcMar>
          </w:tcPr>
          <w:p>
            <w:pPr>
              <w:pStyle w:val="29"/>
              <w:keepNext w:val="0"/>
              <w:keepLines w:val="0"/>
              <w:pageBreakBefore w:val="0"/>
              <w:widowControl/>
              <w:kinsoku/>
              <w:wordWrap/>
              <w:overflowPunct/>
              <w:topLinePunct w:val="0"/>
              <w:autoSpaceDE/>
              <w:autoSpaceDN/>
              <w:bidi w:val="0"/>
              <w:adjustRightInd w:val="0"/>
              <w:snapToGrid w:val="0"/>
              <w:spacing w:line="336" w:lineRule="auto"/>
              <w:ind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2018年1月1日（含1日）以来，供应商每具有1个物业管理项目业绩</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并附项目业主单位出具的综合评价书面证明，书面综合评价为满意、优秀或相同语义内容的，得</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分。</w:t>
            </w:r>
          </w:p>
          <w:p>
            <w:pPr>
              <w:keepNext w:val="0"/>
              <w:keepLines w:val="0"/>
              <w:pageBreakBefore w:val="0"/>
              <w:widowControl w:val="0"/>
              <w:kinsoku/>
              <w:wordWrap/>
              <w:overflowPunct/>
              <w:topLinePunct w:val="0"/>
              <w:autoSpaceDE/>
              <w:autoSpaceDN/>
              <w:bidi w:val="0"/>
              <w:adjustRightInd/>
              <w:snapToGrid/>
              <w:spacing w:line="336"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注：1、提供评价项目合同复印件；</w:t>
            </w:r>
          </w:p>
          <w:p>
            <w:pPr>
              <w:keepNext w:val="0"/>
              <w:keepLines w:val="0"/>
              <w:pageBreakBefore w:val="0"/>
              <w:widowControl w:val="0"/>
              <w:kinsoku/>
              <w:wordWrap/>
              <w:overflowPunct/>
              <w:topLinePunct w:val="0"/>
              <w:autoSpaceDE/>
              <w:autoSpaceDN/>
              <w:bidi w:val="0"/>
              <w:adjustRightInd/>
              <w:snapToGrid/>
              <w:spacing w:line="336"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2、提供业主单位出具的综合评价书面证明复印件（同一个业主的评价只计算一次得分）。</w:t>
            </w:r>
          </w:p>
        </w:tc>
        <w:tc>
          <w:tcPr>
            <w:tcW w:w="970" w:type="dxa"/>
            <w:tcMar>
              <w:top w:w="15" w:type="dxa"/>
              <w:left w:w="15" w:type="dxa"/>
              <w:right w:w="15" w:type="dxa"/>
            </w:tcMar>
            <w:vAlign w:val="center"/>
          </w:tcPr>
          <w:p>
            <w:pPr>
              <w:keepNext w:val="0"/>
              <w:keepLines w:val="0"/>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12</w:t>
            </w:r>
            <w:r>
              <w:rPr>
                <w:rFonts w:hint="eastAsia" w:asciiTheme="minorEastAsia" w:hAnsiTheme="minorEastAsia" w:eastAsiaTheme="minorEastAsia" w:cstheme="minorEastAsia"/>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vMerge w:val="restart"/>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技术类评委</w:t>
            </w:r>
          </w:p>
        </w:tc>
        <w:tc>
          <w:tcPr>
            <w:tcW w:w="1050" w:type="dxa"/>
            <w:vMerge w:val="restart"/>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default"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eastAsia="zh-CN"/>
              </w:rPr>
              <w:t>服务方案</w:t>
            </w:r>
          </w:p>
        </w:tc>
        <w:tc>
          <w:tcPr>
            <w:tcW w:w="1084" w:type="dxa"/>
            <w:tcMar>
              <w:top w:w="15" w:type="dxa"/>
              <w:left w:w="15" w:type="dxa"/>
              <w:right w:w="15" w:type="dxa"/>
            </w:tcMar>
            <w:vAlign w:val="center"/>
          </w:tcPr>
          <w:p>
            <w:pPr>
              <w:widowControl/>
              <w:adjustRightInd w:val="0"/>
              <w:snapToGrid w:val="0"/>
              <w:spacing w:line="360" w:lineRule="auto"/>
              <w:jc w:val="center"/>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rPr>
              <w:t>保洁服务方案</w:t>
            </w:r>
          </w:p>
        </w:tc>
        <w:tc>
          <w:tcPr>
            <w:tcW w:w="5400" w:type="dxa"/>
            <w:tcMar>
              <w:top w:w="15" w:type="dxa"/>
              <w:left w:w="15" w:type="dxa"/>
              <w:right w:w="15" w:type="dxa"/>
            </w:tcMar>
            <w:vAlign w:val="center"/>
          </w:tcPr>
          <w:p>
            <w:pPr>
              <w:widowControl/>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1、供应商提供了针对本项目制定的保洁服务方案,得2分。</w:t>
            </w:r>
          </w:p>
          <w:p>
            <w:pPr>
              <w:widowControl/>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提供保洁服务方案的基础上，保洁服务方案中体现针对本项目制定的：①岗位职责；②公共区域保洁；③室内保洁；④消毒和灭虫除害；⑤垃圾分类及清运；⑥粪池、雨污水井定期检查清淘和疏通；⑦保洁工器具配置方案；⑧消毒工器具配置方案，八个方面要素的，每包含一个要素且符合实际采购需求的加</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分，最多加</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分；每缺少一项内容扣</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分；每有一处内容不完整的扣</w:t>
            </w:r>
            <w:r>
              <w:rPr>
                <w:rFonts w:hint="eastAsia" w:asciiTheme="minorEastAsia" w:hAnsiTheme="minorEastAsia" w:eastAsiaTheme="minorEastAsia" w:cstheme="minorEastAsia"/>
                <w:sz w:val="24"/>
                <w:szCs w:val="24"/>
                <w:lang w:val="en-US" w:eastAsia="zh-CN"/>
              </w:rPr>
              <w:t>0.5</w:t>
            </w:r>
            <w:r>
              <w:rPr>
                <w:rFonts w:hint="eastAsia" w:asciiTheme="minorEastAsia" w:hAnsiTheme="minorEastAsia" w:eastAsiaTheme="minorEastAsia" w:cstheme="minorEastAsia"/>
                <w:sz w:val="24"/>
                <w:szCs w:val="24"/>
              </w:rPr>
              <w:t>分，扣完为止。</w:t>
            </w:r>
          </w:p>
          <w:p>
            <w:pPr>
              <w:widowControl/>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（说明：不符合釆购需求、内容不完整是指存在不适用项目实际情况、凭空编造、逻辑漏洞、原理错误、明显照搬照抄情形。）</w:t>
            </w:r>
          </w:p>
        </w:tc>
        <w:tc>
          <w:tcPr>
            <w:tcW w:w="970"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b/>
                <w:sz w:val="24"/>
                <w:szCs w:val="24"/>
              </w:rPr>
            </w:pPr>
          </w:p>
        </w:tc>
        <w:tc>
          <w:tcPr>
            <w:tcW w:w="105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sz w:val="24"/>
                <w:szCs w:val="24"/>
                <w:lang w:eastAsia="zh-CN"/>
              </w:rPr>
            </w:pPr>
          </w:p>
        </w:tc>
        <w:tc>
          <w:tcPr>
            <w:tcW w:w="1084" w:type="dxa"/>
            <w:tcMar>
              <w:top w:w="15" w:type="dxa"/>
              <w:left w:w="15" w:type="dxa"/>
              <w:right w:w="15" w:type="dxa"/>
            </w:tcMar>
            <w:vAlign w:val="center"/>
          </w:tcPr>
          <w:p>
            <w:pPr>
              <w:widowControl/>
              <w:adjustRightInd w:val="0"/>
              <w:snapToGrid w:val="0"/>
              <w:spacing w:line="360" w:lineRule="auto"/>
              <w:jc w:val="center"/>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rPr>
              <w:t>设施设备维护服务方案</w:t>
            </w:r>
          </w:p>
        </w:tc>
        <w:tc>
          <w:tcPr>
            <w:tcW w:w="5400" w:type="dxa"/>
            <w:tcMar>
              <w:top w:w="15" w:type="dxa"/>
              <w:left w:w="15" w:type="dxa"/>
              <w:right w:w="15" w:type="dxa"/>
            </w:tcMar>
            <w:vAlign w:val="center"/>
          </w:tcPr>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1、供应商提供了针对本项目制定的设施设备维护服务方案,得2分。</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提供设施设备维护服务方案的基础上，设施设备维护服务方案中体现针对本项目制定的：①岗位职责；②设施设备维护措施及内容，两个方面要素的，每包含一个要素且符合实际采购需求的加2分，最多加4分；每缺少一项内容扣2分；每有一处内容不完整的扣1分，扣完为止。</w:t>
            </w:r>
          </w:p>
          <w:p>
            <w:pPr>
              <w:widowControl/>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（说明：不符合釆购需求、内容不完整是指存在不适用项目实际情况、凭空编造、逻辑漏洞、原理错误、明显照搬照抄情形。）</w:t>
            </w:r>
          </w:p>
        </w:tc>
        <w:tc>
          <w:tcPr>
            <w:tcW w:w="970"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b/>
                <w:sz w:val="24"/>
                <w:szCs w:val="24"/>
              </w:rPr>
            </w:pPr>
          </w:p>
        </w:tc>
        <w:tc>
          <w:tcPr>
            <w:tcW w:w="105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kern w:val="0"/>
                <w:sz w:val="24"/>
                <w:szCs w:val="24"/>
              </w:rPr>
            </w:pPr>
          </w:p>
        </w:tc>
        <w:tc>
          <w:tcPr>
            <w:tcW w:w="1084" w:type="dxa"/>
            <w:tcMar>
              <w:top w:w="15" w:type="dxa"/>
              <w:left w:w="15" w:type="dxa"/>
              <w:right w:w="15" w:type="dxa"/>
            </w:tcMar>
            <w:vAlign w:val="center"/>
          </w:tcPr>
          <w:p>
            <w:pPr>
              <w:widowControl/>
              <w:adjustRightInd w:val="0"/>
              <w:snapToGrid w:val="0"/>
              <w:spacing w:line="360" w:lineRule="auto"/>
              <w:jc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客户服务方案</w:t>
            </w:r>
          </w:p>
        </w:tc>
        <w:tc>
          <w:tcPr>
            <w:tcW w:w="5400" w:type="dxa"/>
            <w:tcMar>
              <w:top w:w="15" w:type="dxa"/>
              <w:left w:w="15" w:type="dxa"/>
              <w:right w:w="15" w:type="dxa"/>
            </w:tcMar>
            <w:vAlign w:val="center"/>
          </w:tcPr>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1、供应商提供了针对本项目制定的客户服务方案,得2分。</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2、在提供客户服务方案的基础上，客户服务方案中体现针对本项目制定的：①岗位职责；②会议接待；③投诉处理；④值班宿舍清洁；四个方面要素的，每包含一个要素且符合实际采购需求的加</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分，最多加</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分；每缺少一项内容扣</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分；每有一处内容不完整的扣</w:t>
            </w:r>
            <w:r>
              <w:rPr>
                <w:rFonts w:hint="eastAsia" w:asciiTheme="minorEastAsia" w:hAnsiTheme="minorEastAsia" w:eastAsiaTheme="minorEastAsia" w:cstheme="minorEastAsia"/>
                <w:sz w:val="24"/>
                <w:szCs w:val="24"/>
                <w:lang w:val="en-US" w:eastAsia="zh-CN"/>
              </w:rPr>
              <w:t>0.5</w:t>
            </w:r>
            <w:r>
              <w:rPr>
                <w:rFonts w:hint="eastAsia" w:asciiTheme="minorEastAsia" w:hAnsiTheme="minorEastAsia" w:eastAsiaTheme="minorEastAsia" w:cstheme="minorEastAsia"/>
                <w:sz w:val="24"/>
                <w:szCs w:val="24"/>
              </w:rPr>
              <w:t>分，扣完为止。</w:t>
            </w:r>
          </w:p>
          <w:p>
            <w:pPr>
              <w:widowControl/>
              <w:adjustRightInd w:val="0"/>
              <w:snapToGrid w:val="0"/>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rPr>
              <w:t>（说明：不符合釆购需求、内容不完整是指存在不适用项目实际情况、凭空编造、逻辑漏洞、原理错误、明显照搬照抄情形。）</w:t>
            </w:r>
          </w:p>
        </w:tc>
        <w:tc>
          <w:tcPr>
            <w:tcW w:w="970" w:type="dxa"/>
            <w:tcMar>
              <w:top w:w="15" w:type="dxa"/>
              <w:left w:w="15" w:type="dxa"/>
              <w:right w:w="15" w:type="dxa"/>
            </w:tcMar>
            <w:vAlign w:val="center"/>
          </w:tcPr>
          <w:p>
            <w:pPr>
              <w:pStyle w:val="2"/>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b/>
                <w:sz w:val="24"/>
                <w:szCs w:val="24"/>
              </w:rPr>
            </w:pPr>
          </w:p>
        </w:tc>
        <w:tc>
          <w:tcPr>
            <w:tcW w:w="105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kern w:val="0"/>
                <w:sz w:val="24"/>
                <w:szCs w:val="24"/>
              </w:rPr>
            </w:pPr>
          </w:p>
        </w:tc>
        <w:tc>
          <w:tcPr>
            <w:tcW w:w="1084" w:type="dxa"/>
            <w:tcMar>
              <w:top w:w="15" w:type="dxa"/>
              <w:left w:w="15" w:type="dxa"/>
              <w:right w:w="15" w:type="dxa"/>
            </w:tcMar>
            <w:vAlign w:val="center"/>
          </w:tcPr>
          <w:p>
            <w:pPr>
              <w:widowControl/>
              <w:adjustRightInd w:val="0"/>
              <w:snapToGrid w:val="0"/>
              <w:spacing w:line="360" w:lineRule="auto"/>
              <w:jc w:val="center"/>
              <w:rPr>
                <w:rFonts w:hint="eastAsia" w:asciiTheme="minorEastAsia" w:hAnsiTheme="minorEastAsia" w:eastAsiaTheme="minorEastAsia" w:cstheme="minorEastAsia"/>
                <w:b/>
                <w:bCs w:val="0"/>
                <w:kern w:val="0"/>
                <w:sz w:val="24"/>
                <w:szCs w:val="24"/>
              </w:rPr>
            </w:pPr>
            <w:r>
              <w:rPr>
                <w:rFonts w:hint="eastAsia" w:asciiTheme="minorEastAsia" w:hAnsiTheme="minorEastAsia" w:eastAsiaTheme="minorEastAsia" w:cstheme="minorEastAsia"/>
                <w:b/>
                <w:bCs w:val="0"/>
                <w:sz w:val="24"/>
                <w:szCs w:val="24"/>
              </w:rPr>
              <w:t>质量控制措施方案</w:t>
            </w:r>
          </w:p>
        </w:tc>
        <w:tc>
          <w:tcPr>
            <w:tcW w:w="5400" w:type="dxa"/>
            <w:tcMar>
              <w:top w:w="15" w:type="dxa"/>
              <w:left w:w="15" w:type="dxa"/>
              <w:right w:w="15" w:type="dxa"/>
            </w:tcMar>
            <w:vAlign w:val="center"/>
          </w:tcPr>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1、供应商提供了针对本项目制定的质量控制措施方案,得2分。</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提供质量控制措施方案的基础上，质量控制措施方案中体现针对本项目制定的：①防止交叉感染；②消毒隔离制度及措施；③保洁质量考核；④服务回访等服务质量控制制度，四个方面要素的，每包含一个要素且符合实际采购需求的加1分，最多加4分；每缺少一项内容扣1分；每有一处内容不完整的扣0.5分，扣完为止。</w:t>
            </w:r>
          </w:p>
          <w:p>
            <w:pPr>
              <w:widowControl/>
              <w:adjustRightInd w:val="0"/>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（说明：不符合釆购需求、内容不完整是指存在不适用项目实际情况、凭空编造、逻辑漏洞、原理错误、明显照搬照抄情形。）</w:t>
            </w:r>
          </w:p>
        </w:tc>
        <w:tc>
          <w:tcPr>
            <w:tcW w:w="970"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b/>
                <w:sz w:val="24"/>
                <w:szCs w:val="24"/>
              </w:rPr>
            </w:pPr>
          </w:p>
        </w:tc>
        <w:tc>
          <w:tcPr>
            <w:tcW w:w="105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kern w:val="0"/>
                <w:sz w:val="24"/>
                <w:szCs w:val="24"/>
              </w:rPr>
            </w:pPr>
          </w:p>
        </w:tc>
        <w:tc>
          <w:tcPr>
            <w:tcW w:w="1084"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heme="minorEastAsia" w:hAnsiTheme="minorEastAsia" w:eastAsiaTheme="minorEastAsia" w:cstheme="minorEastAsia"/>
                <w:b/>
                <w:bCs w:val="0"/>
                <w:kern w:val="0"/>
                <w:sz w:val="24"/>
                <w:szCs w:val="24"/>
              </w:rPr>
            </w:pPr>
            <w:r>
              <w:rPr>
                <w:rFonts w:hint="eastAsia" w:asciiTheme="minorEastAsia" w:hAnsiTheme="minorEastAsia" w:eastAsiaTheme="minorEastAsia" w:cstheme="minorEastAsia"/>
                <w:b/>
                <w:bCs w:val="0"/>
                <w:sz w:val="24"/>
                <w:szCs w:val="24"/>
              </w:rPr>
              <w:t>安全文明措施方案</w:t>
            </w:r>
          </w:p>
        </w:tc>
        <w:tc>
          <w:tcPr>
            <w:tcW w:w="5400"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336"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1、供应商提供了针对本项目制定的安全文明措施方案,得2分。</w:t>
            </w:r>
          </w:p>
          <w:p>
            <w:pPr>
              <w:keepNext w:val="0"/>
              <w:keepLines w:val="0"/>
              <w:pageBreakBefore w:val="0"/>
              <w:widowControl/>
              <w:kinsoku/>
              <w:wordWrap/>
              <w:overflowPunct/>
              <w:topLinePunct w:val="0"/>
              <w:autoSpaceDE/>
              <w:autoSpaceDN/>
              <w:bidi w:val="0"/>
              <w:spacing w:line="336"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提供安全文明措施方案的基础上，安全文明措施方案中体现针对本项目制定的：①安全保障措施及方法；②员工着装方案；③安全教育方案；④岗前培训方案，四个方面要素的，每包含一个要素且符合实际采购需求的加1分，最多加4分；每缺少一项内容扣1 分；每有一处内容不完整的扣0.5分，扣完为止。</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（说明：不符合釆购需求、内容不完整是指存在不适用项目实际情况、凭空编造、逻辑漏洞、原理错误、明显照搬照抄情形。）</w:t>
            </w:r>
          </w:p>
        </w:tc>
        <w:tc>
          <w:tcPr>
            <w:tcW w:w="970"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b/>
                <w:sz w:val="24"/>
                <w:szCs w:val="24"/>
              </w:rPr>
            </w:pPr>
          </w:p>
        </w:tc>
        <w:tc>
          <w:tcPr>
            <w:tcW w:w="105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kern w:val="0"/>
                <w:sz w:val="24"/>
                <w:szCs w:val="24"/>
              </w:rPr>
            </w:pPr>
          </w:p>
        </w:tc>
        <w:tc>
          <w:tcPr>
            <w:tcW w:w="1084" w:type="dxa"/>
            <w:tcMar>
              <w:top w:w="15" w:type="dxa"/>
              <w:left w:w="15" w:type="dxa"/>
              <w:right w:w="15" w:type="dxa"/>
            </w:tcMar>
            <w:vAlign w:val="center"/>
          </w:tcPr>
          <w:p>
            <w:pPr>
              <w:widowControl/>
              <w:adjustRightInd w:val="0"/>
              <w:snapToGrid w:val="0"/>
              <w:spacing w:line="360" w:lineRule="auto"/>
              <w:jc w:val="center"/>
              <w:rPr>
                <w:rFonts w:hint="eastAsia" w:asciiTheme="minorEastAsia" w:hAnsiTheme="minorEastAsia" w:eastAsiaTheme="minorEastAsia" w:cstheme="minorEastAsia"/>
                <w:b/>
                <w:bCs w:val="0"/>
                <w:kern w:val="0"/>
                <w:sz w:val="24"/>
                <w:szCs w:val="24"/>
              </w:rPr>
            </w:pPr>
            <w:r>
              <w:rPr>
                <w:rFonts w:hint="eastAsia" w:asciiTheme="minorEastAsia" w:hAnsiTheme="minorEastAsia" w:eastAsiaTheme="minorEastAsia" w:cstheme="minorEastAsia"/>
                <w:b/>
                <w:bCs w:val="0"/>
                <w:sz w:val="24"/>
                <w:szCs w:val="24"/>
              </w:rPr>
              <w:t>应急措施方案</w:t>
            </w:r>
          </w:p>
        </w:tc>
        <w:tc>
          <w:tcPr>
            <w:tcW w:w="5400" w:type="dxa"/>
            <w:tcMar>
              <w:top w:w="15" w:type="dxa"/>
              <w:left w:w="15" w:type="dxa"/>
              <w:right w:w="15" w:type="dxa"/>
            </w:tcMar>
            <w:vAlign w:val="center"/>
          </w:tcPr>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1、供应商提供了针对本项目制定的应急措施方案,得2分。</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提供应急措施方案的基础上，应急措施方案中体现针对本项目制定的：①消防事故应急处理；②地震时的应急处理；③建筑物垮塌时的应急处理；④人员聚集处理；⑤断水、断电和无天燃气的应急处理，五个方面要素的，每包含一个要素且符合实际采购需求的加</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分，最多加</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分；每缺少一项内容扣</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分；每有一处内容不完整的扣</w:t>
            </w:r>
            <w:r>
              <w:rPr>
                <w:rFonts w:hint="eastAsia" w:asciiTheme="minorEastAsia" w:hAnsiTheme="minorEastAsia" w:eastAsiaTheme="minorEastAsia" w:cstheme="minorEastAsia"/>
                <w:sz w:val="24"/>
                <w:szCs w:val="24"/>
                <w:lang w:val="en-US" w:eastAsia="zh-CN"/>
              </w:rPr>
              <w:t>0.5</w:t>
            </w:r>
            <w:r>
              <w:rPr>
                <w:rFonts w:hint="eastAsia" w:asciiTheme="minorEastAsia" w:hAnsiTheme="minorEastAsia" w:eastAsiaTheme="minorEastAsia" w:cstheme="minorEastAsia"/>
                <w:sz w:val="24"/>
                <w:szCs w:val="24"/>
              </w:rPr>
              <w:t>分，扣完为止。</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（说明：不符合釆购需求、内容不完整是指存在不适用项目实际情况、凭空编造、逻辑漏洞、原理错误、明显照搬照抄情形。）</w:t>
            </w:r>
          </w:p>
        </w:tc>
        <w:tc>
          <w:tcPr>
            <w:tcW w:w="970"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b/>
                <w:sz w:val="24"/>
                <w:szCs w:val="24"/>
              </w:rPr>
            </w:pPr>
          </w:p>
        </w:tc>
        <w:tc>
          <w:tcPr>
            <w:tcW w:w="105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kern w:val="0"/>
                <w:sz w:val="24"/>
                <w:szCs w:val="24"/>
              </w:rPr>
            </w:pPr>
          </w:p>
        </w:tc>
        <w:tc>
          <w:tcPr>
            <w:tcW w:w="1084" w:type="dxa"/>
            <w:tcMar>
              <w:top w:w="15" w:type="dxa"/>
              <w:left w:w="15" w:type="dxa"/>
              <w:right w:w="15" w:type="dxa"/>
            </w:tcMar>
            <w:vAlign w:val="center"/>
          </w:tcPr>
          <w:p>
            <w:pPr>
              <w:widowControl/>
              <w:adjustRightInd w:val="0"/>
              <w:snapToGrid w:val="0"/>
              <w:spacing w:line="360" w:lineRule="auto"/>
              <w:jc w:val="center"/>
              <w:rPr>
                <w:rFonts w:hint="eastAsia" w:asciiTheme="minorEastAsia" w:hAnsiTheme="minorEastAsia" w:eastAsiaTheme="minorEastAsia" w:cstheme="minorEastAsia"/>
                <w:b/>
                <w:bCs w:val="0"/>
                <w:kern w:val="0"/>
                <w:sz w:val="24"/>
                <w:szCs w:val="24"/>
              </w:rPr>
            </w:pPr>
            <w:r>
              <w:rPr>
                <w:rFonts w:hint="eastAsia" w:asciiTheme="minorEastAsia" w:hAnsiTheme="minorEastAsia" w:eastAsiaTheme="minorEastAsia" w:cstheme="minorEastAsia"/>
                <w:b/>
                <w:bCs w:val="0"/>
                <w:sz w:val="24"/>
                <w:szCs w:val="24"/>
              </w:rPr>
              <w:t>重大活动配合、专项服务方案</w:t>
            </w:r>
          </w:p>
        </w:tc>
        <w:tc>
          <w:tcPr>
            <w:tcW w:w="5400" w:type="dxa"/>
            <w:tcMar>
              <w:top w:w="15" w:type="dxa"/>
              <w:left w:w="15" w:type="dxa"/>
              <w:right w:w="15" w:type="dxa"/>
            </w:tcMar>
            <w:vAlign w:val="center"/>
          </w:tcPr>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1、供应商提供了针对本项目制定的重大活动配合、专项服务方案,得2分。</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提供重大活动配合、专项服务方案的基础上，重大活动配合、专项服务方案中体现针对本项目制定的：①重大活动配合组织结构设置；②重大活动配合流程及程序；③重大活动服务保障方案，三个方面要素的，每包含一个要素且符合实际采购需求的加1分，最多加3分；每缺少一项内容扣1分；每有一处内容不完整的扣0.5分，扣完为止。</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（说明：不符合釆购需求、内容不完整是指存在不适用项目实际情况、凭空编造、逻辑漏洞、原理错误、明显照搬照抄情形。）</w:t>
            </w:r>
          </w:p>
        </w:tc>
        <w:tc>
          <w:tcPr>
            <w:tcW w:w="970"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sz w:val="24"/>
                <w:szCs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b/>
                <w:sz w:val="24"/>
                <w:szCs w:val="24"/>
              </w:rPr>
            </w:pPr>
          </w:p>
        </w:tc>
        <w:tc>
          <w:tcPr>
            <w:tcW w:w="105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kern w:val="0"/>
                <w:sz w:val="24"/>
                <w:szCs w:val="24"/>
              </w:rPr>
            </w:pPr>
          </w:p>
        </w:tc>
        <w:tc>
          <w:tcPr>
            <w:tcW w:w="1084" w:type="dxa"/>
            <w:tcMar>
              <w:top w:w="15" w:type="dxa"/>
              <w:left w:w="15" w:type="dxa"/>
              <w:right w:w="15" w:type="dxa"/>
            </w:tcMar>
            <w:vAlign w:val="center"/>
          </w:tcPr>
          <w:p>
            <w:pPr>
              <w:widowControl/>
              <w:adjustRightInd w:val="0"/>
              <w:snapToGrid w:val="0"/>
              <w:spacing w:line="360" w:lineRule="auto"/>
              <w:jc w:val="center"/>
              <w:rPr>
                <w:rFonts w:hint="eastAsia" w:asciiTheme="minorEastAsia" w:hAnsiTheme="minorEastAsia" w:eastAsiaTheme="minorEastAsia" w:cstheme="minorEastAsia"/>
                <w:b/>
                <w:bCs w:val="0"/>
                <w:kern w:val="0"/>
                <w:sz w:val="24"/>
                <w:szCs w:val="24"/>
              </w:rPr>
            </w:pPr>
            <w:r>
              <w:rPr>
                <w:rFonts w:hint="eastAsia" w:asciiTheme="minorEastAsia" w:hAnsiTheme="minorEastAsia" w:eastAsiaTheme="minorEastAsia" w:cstheme="minorEastAsia"/>
                <w:b/>
                <w:bCs w:val="0"/>
                <w:sz w:val="24"/>
                <w:szCs w:val="24"/>
              </w:rPr>
              <w:t>项目节能管理方案</w:t>
            </w:r>
          </w:p>
        </w:tc>
        <w:tc>
          <w:tcPr>
            <w:tcW w:w="5400" w:type="dxa"/>
            <w:tcMar>
              <w:top w:w="15" w:type="dxa"/>
              <w:left w:w="15" w:type="dxa"/>
              <w:right w:w="15" w:type="dxa"/>
            </w:tcMar>
            <w:vAlign w:val="center"/>
          </w:tcPr>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1、供应商提供了针对本项目制定的项目节能管理方案,得2分。</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提供项目节能管理方案的基础上，项目节能管理方案中体现针对本项目制定的：①用水管理制度；②用电管理制度；③节能工作制度；④节能工作措施，四个方面要素的，每包含一个要素且符合实际采购需求的加1分，最多加4分；每缺少一项内容扣1分；每有一处内容不完整的扣0.5分，扣完为止。</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（说明：不符合釆购需求、内容不完整是指存在不适用项目实际情况、凭空编造、逻辑漏洞、原理错误、明显照搬照抄情形。）</w:t>
            </w:r>
          </w:p>
        </w:tc>
        <w:tc>
          <w:tcPr>
            <w:tcW w:w="970"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8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b/>
                <w:sz w:val="24"/>
                <w:szCs w:val="24"/>
              </w:rPr>
            </w:pPr>
          </w:p>
        </w:tc>
        <w:tc>
          <w:tcPr>
            <w:tcW w:w="105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kern w:val="0"/>
                <w:sz w:val="24"/>
                <w:szCs w:val="24"/>
              </w:rPr>
            </w:pPr>
          </w:p>
        </w:tc>
        <w:tc>
          <w:tcPr>
            <w:tcW w:w="1084" w:type="dxa"/>
            <w:tcMar>
              <w:top w:w="15" w:type="dxa"/>
              <w:left w:w="15" w:type="dxa"/>
              <w:right w:w="15" w:type="dxa"/>
            </w:tcMar>
            <w:vAlign w:val="center"/>
          </w:tcPr>
          <w:p>
            <w:pPr>
              <w:widowControl/>
              <w:adjustRightInd w:val="0"/>
              <w:snapToGrid w:val="0"/>
              <w:spacing w:line="360" w:lineRule="auto"/>
              <w:jc w:val="center"/>
              <w:rPr>
                <w:rFonts w:hint="eastAsia" w:asciiTheme="minorEastAsia" w:hAnsiTheme="minorEastAsia" w:eastAsiaTheme="minorEastAsia" w:cstheme="minorEastAsia"/>
                <w:b/>
                <w:bCs w:val="0"/>
                <w:kern w:val="0"/>
                <w:sz w:val="24"/>
                <w:szCs w:val="24"/>
              </w:rPr>
            </w:pPr>
            <w:r>
              <w:rPr>
                <w:rFonts w:hint="eastAsia" w:asciiTheme="minorEastAsia" w:hAnsiTheme="minorEastAsia" w:eastAsiaTheme="minorEastAsia" w:cstheme="minorEastAsia"/>
                <w:b/>
                <w:bCs w:val="0"/>
                <w:sz w:val="24"/>
                <w:szCs w:val="24"/>
              </w:rPr>
              <w:t>疫情防控方案</w:t>
            </w:r>
          </w:p>
        </w:tc>
        <w:tc>
          <w:tcPr>
            <w:tcW w:w="5400" w:type="dxa"/>
            <w:tcMar>
              <w:top w:w="15" w:type="dxa"/>
              <w:left w:w="15" w:type="dxa"/>
              <w:right w:w="15" w:type="dxa"/>
            </w:tcMar>
            <w:vAlign w:val="center"/>
          </w:tcPr>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1、供应商提供了针对本项目制定的疫情防控方案,得2分。</w:t>
            </w:r>
          </w:p>
          <w:p>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提供疫情防控方案的基础上，疫情防控中体现针对本项目制定的：①成立疫情防控工作组并建立疫情防控机制；②疫情防控措施；③防疫物资保障；④疫情防控重点难点分析及应对措施，四个方面要素的，每包含一个要素且符合实际采购需求的加1分；最多加4分；每缺少一项内容扣1分；每有一处内容不完整的扣 0.5 分，扣完为止。</w:t>
            </w:r>
          </w:p>
          <w:p>
            <w:pPr>
              <w:pStyle w:val="2"/>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（说明：不符合釆购需求、内容不完整是指存在不适用项目实际情况、凭空编造、逻辑漏洞、原理错误、明显照搬照抄情形。）</w:t>
            </w:r>
          </w:p>
        </w:tc>
        <w:tc>
          <w:tcPr>
            <w:tcW w:w="970"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sz w:val="24"/>
                <w:szCs w:val="24"/>
              </w:rPr>
              <w:t>6分</w:t>
            </w:r>
          </w:p>
        </w:tc>
      </w:tr>
    </w:tbl>
    <w:p>
      <w:pPr>
        <w:spacing w:line="560" w:lineRule="exact"/>
        <w:ind w:firstLine="560" w:firstLineChars="20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说明：</w:t>
      </w:r>
    </w:p>
    <w:p>
      <w:pPr>
        <w:spacing w:line="560" w:lineRule="exact"/>
        <w:ind w:firstLine="560" w:firstLineChars="20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1、评分的取值按四舍五入法，保留小数点后两位；</w:t>
      </w:r>
    </w:p>
    <w:p>
      <w:pPr>
        <w:spacing w:line="560" w:lineRule="exact"/>
        <w:ind w:firstLine="560" w:firstLineChars="20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2、评分标准中要求提供复印件的证明材料须清晰可辨。</w:t>
      </w:r>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167" w:name="_Toc10599"/>
      <w:r>
        <w:rPr>
          <w:rFonts w:hint="eastAsia" w:asciiTheme="minorEastAsia" w:hAnsiTheme="minorEastAsia" w:eastAsiaTheme="minorEastAsia" w:cstheme="minorEastAsia"/>
          <w:b/>
          <w:bCs/>
          <w:sz w:val="28"/>
          <w:szCs w:val="28"/>
        </w:rPr>
        <w:t>废标</w:t>
      </w:r>
      <w:bookmarkEnd w:id="16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本次政府采购活动中，出现下列情形之一的，予以废标：</w:t>
      </w:r>
    </w:p>
    <w:p>
      <w:pPr>
        <w:keepNext w:val="0"/>
        <w:keepLines w:val="0"/>
        <w:pageBreakBefore w:val="0"/>
        <w:widowControl w:val="0"/>
        <w:numPr>
          <w:ilvl w:val="0"/>
          <w:numId w:val="33"/>
        </w:numPr>
        <w:tabs>
          <w:tab w:val="left" w:pos="1155"/>
        </w:tabs>
        <w:kinsoku/>
        <w:wordWrap/>
        <w:overflowPunct/>
        <w:topLinePunct w:val="0"/>
        <w:autoSpaceDE/>
        <w:autoSpaceDN/>
        <w:bidi w:val="0"/>
        <w:adjustRightInd/>
        <w:snapToGrid/>
        <w:spacing w:line="360" w:lineRule="auto"/>
        <w:ind w:left="0" w:firstLine="52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符合专业条件的投标人或者对招标文件作实质响应的投标人不足三家的；</w:t>
      </w:r>
    </w:p>
    <w:p>
      <w:pPr>
        <w:keepNext w:val="0"/>
        <w:keepLines w:val="0"/>
        <w:pageBreakBefore w:val="0"/>
        <w:widowControl w:val="0"/>
        <w:numPr>
          <w:ilvl w:val="0"/>
          <w:numId w:val="33"/>
        </w:numPr>
        <w:tabs>
          <w:tab w:val="left" w:pos="1155"/>
        </w:tabs>
        <w:kinsoku/>
        <w:wordWrap/>
        <w:overflowPunct/>
        <w:topLinePunct w:val="0"/>
        <w:autoSpaceDE/>
        <w:autoSpaceDN/>
        <w:bidi w:val="0"/>
        <w:adjustRightInd/>
        <w:snapToGrid/>
        <w:spacing w:line="360" w:lineRule="auto"/>
        <w:ind w:left="0" w:firstLine="52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出现影响采购公正的违法、违规行为的；</w:t>
      </w:r>
    </w:p>
    <w:p>
      <w:pPr>
        <w:keepNext w:val="0"/>
        <w:keepLines w:val="0"/>
        <w:pageBreakBefore w:val="0"/>
        <w:widowControl w:val="0"/>
        <w:numPr>
          <w:ilvl w:val="0"/>
          <w:numId w:val="33"/>
        </w:numPr>
        <w:tabs>
          <w:tab w:val="left" w:pos="1155"/>
        </w:tabs>
        <w:kinsoku/>
        <w:wordWrap/>
        <w:overflowPunct/>
        <w:topLinePunct w:val="0"/>
        <w:autoSpaceDE/>
        <w:autoSpaceDN/>
        <w:bidi w:val="0"/>
        <w:adjustRightInd/>
        <w:snapToGrid/>
        <w:spacing w:line="360" w:lineRule="auto"/>
        <w:ind w:left="0" w:firstLine="52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投标人的报价均超过了采购预算，采购人不能支付的；</w:t>
      </w:r>
    </w:p>
    <w:p>
      <w:pPr>
        <w:keepNext w:val="0"/>
        <w:keepLines w:val="0"/>
        <w:pageBreakBefore w:val="0"/>
        <w:widowControl w:val="0"/>
        <w:numPr>
          <w:ilvl w:val="0"/>
          <w:numId w:val="33"/>
        </w:numPr>
        <w:tabs>
          <w:tab w:val="left" w:pos="1155"/>
        </w:tabs>
        <w:kinsoku/>
        <w:wordWrap/>
        <w:overflowPunct/>
        <w:topLinePunct w:val="0"/>
        <w:autoSpaceDE/>
        <w:autoSpaceDN/>
        <w:bidi w:val="0"/>
        <w:adjustRightInd/>
        <w:snapToGrid/>
        <w:spacing w:line="360" w:lineRule="auto"/>
        <w:ind w:left="0" w:firstLine="52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因重大变故，采购任务取消的；</w:t>
      </w:r>
    </w:p>
    <w:p>
      <w:pPr>
        <w:keepNext w:val="0"/>
        <w:keepLines w:val="0"/>
        <w:pageBreakBefore w:val="0"/>
        <w:widowControl w:val="0"/>
        <w:numPr>
          <w:ilvl w:val="0"/>
          <w:numId w:val="33"/>
        </w:numPr>
        <w:tabs>
          <w:tab w:val="left" w:pos="1155"/>
        </w:tabs>
        <w:kinsoku/>
        <w:wordWrap/>
        <w:overflowPunct/>
        <w:topLinePunct w:val="0"/>
        <w:autoSpaceDE/>
        <w:autoSpaceDN/>
        <w:bidi w:val="0"/>
        <w:adjustRightInd/>
        <w:snapToGrid/>
        <w:spacing w:line="360" w:lineRule="auto"/>
        <w:ind w:left="0" w:firstLine="52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废标后，成都东部新区党工委管委会（成都市东部新城办）综合部将在“四川政府采购网”和“成都市公共资源交易服务中心”网站上公告。</w:t>
      </w:r>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168" w:name="_Toc17412"/>
      <w:r>
        <w:rPr>
          <w:rFonts w:hint="eastAsia" w:asciiTheme="minorEastAsia" w:hAnsiTheme="minorEastAsia" w:eastAsiaTheme="minorEastAsia" w:cstheme="minorEastAsia"/>
          <w:b/>
          <w:bCs/>
          <w:sz w:val="28"/>
          <w:szCs w:val="28"/>
        </w:rPr>
        <w:t>定标</w:t>
      </w:r>
      <w:bookmarkEnd w:id="168"/>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定标原则</w:t>
      </w:r>
    </w:p>
    <w:p>
      <w:pPr>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rPr>
        <w:t>采购人在收到评标报告5个工作日内未按评标报告推荐的中标候选人顺序确定中标人，又不能说明合法理由的，视同按评标报告推荐的顺序确定排名第一的中标候选人为中标人。</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定标程序</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一、评审委员会将评审情况写出书面报告。</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二、成都东部新区党工委管委会（成都市东部新城办）综合部在评审结束之日起2个工作日内将评审报告送采购人。</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采购人在收到评审报告后3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根据采购人确定的中标（成交）人，成都东部新区党工委管委会（成都市东部新城办）综合部在“四川政府采购网”和“成都市公共资源交易服务中心”网站上发布中标（成交）公告，同时向中标（成交）人发出中标（成交）通知书。</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五、采购人、成都东部新区党工委管委会（成都市东部新城办）综合部不解释中标（成交）或未中标（成交）原因，不退回投标文件和其他投标资料。</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69" w:name="_Toc1774"/>
      <w:r>
        <w:rPr>
          <w:rFonts w:hint="eastAsia" w:asciiTheme="minorEastAsia" w:hAnsiTheme="minorEastAsia" w:eastAsiaTheme="minorEastAsia" w:cstheme="minorEastAsia"/>
          <w:b/>
          <w:bCs/>
          <w:sz w:val="28"/>
          <w:szCs w:val="28"/>
        </w:rPr>
        <w:t>评审专家在政府采购活动中承担以下义务</w:t>
      </w:r>
      <w:bookmarkEnd w:id="169"/>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遵守评审工作纪律；</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二、</w:t>
      </w:r>
      <w:r>
        <w:rPr>
          <w:rFonts w:hint="eastAsia" w:asciiTheme="minorEastAsia" w:hAnsiTheme="minorEastAsia" w:eastAsiaTheme="minorEastAsia" w:cstheme="minorEastAsia"/>
          <w:sz w:val="28"/>
          <w:szCs w:val="28"/>
        </w:rPr>
        <w:t>按照客观、公正、审慎的原则，根据招标文件规定的评审程序、评审方法和评审标准进行独立评审；</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三、</w:t>
      </w:r>
      <w:r>
        <w:rPr>
          <w:rFonts w:hint="eastAsia" w:asciiTheme="minorEastAsia" w:hAnsiTheme="minorEastAsia" w:eastAsiaTheme="minorEastAsia" w:cstheme="minorEastAsia"/>
          <w:sz w:val="28"/>
          <w:szCs w:val="28"/>
        </w:rPr>
        <w:t>不得泄露评审文件、评审情况和在评审过程中获悉的商业秘密；</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四、</w:t>
      </w:r>
      <w:r>
        <w:rPr>
          <w:rFonts w:hint="eastAsia" w:asciiTheme="minorEastAsia" w:hAnsiTheme="minorEastAsia" w:eastAsiaTheme="minorEastAsia" w:cstheme="minorEastAsia"/>
          <w:sz w:val="28"/>
          <w:szCs w:val="28"/>
        </w:rPr>
        <w:t>及时向财政部门报告评审过程中发现的采购人、采购代理机构向评审专家做倾向性、误导性的解释或者说明，以及供应商行贿、提供虚假材料或者串通等违法行为；</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五、</w:t>
      </w:r>
      <w:r>
        <w:rPr>
          <w:rFonts w:hint="eastAsia" w:asciiTheme="minorEastAsia" w:hAnsiTheme="minorEastAsia" w:eastAsiaTheme="minorEastAsia" w:cstheme="minorEastAsia"/>
          <w:sz w:val="28"/>
          <w:szCs w:val="28"/>
        </w:rPr>
        <w:t>发现招标文件内容违反国家有关强制性规定或者招标文件存在歧义、重大缺陷导致评审工作无法进行时，停止评审并向采购人或者采购代理机构书面说明情况；</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六、</w:t>
      </w:r>
      <w:r>
        <w:rPr>
          <w:rFonts w:hint="eastAsia" w:asciiTheme="minorEastAsia" w:hAnsiTheme="minorEastAsia" w:eastAsiaTheme="minorEastAsia" w:cstheme="minorEastAsia"/>
          <w:sz w:val="28"/>
          <w:szCs w:val="28"/>
        </w:rPr>
        <w:t>及时向财政、监察等部门举报在评审过程中受到非法干预的情况；</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七、</w:t>
      </w:r>
      <w:r>
        <w:rPr>
          <w:rFonts w:hint="eastAsia" w:asciiTheme="minorEastAsia" w:hAnsiTheme="minorEastAsia" w:eastAsiaTheme="minorEastAsia" w:cstheme="minorEastAsia"/>
          <w:sz w:val="28"/>
          <w:szCs w:val="28"/>
        </w:rPr>
        <w:t>配合答复处理供应商的询问、质疑和投诉等事项；</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八、</w:t>
      </w:r>
      <w:r>
        <w:rPr>
          <w:rFonts w:hint="eastAsia" w:asciiTheme="minorEastAsia" w:hAnsiTheme="minorEastAsia" w:eastAsiaTheme="minorEastAsia" w:cstheme="minorEastAsia"/>
          <w:sz w:val="28"/>
          <w:szCs w:val="28"/>
        </w:rPr>
        <w:t>法律、法规和规章规定的其他义务。</w:t>
      </w:r>
    </w:p>
    <w:p>
      <w:pPr>
        <w:keepNext/>
        <w:keepLines/>
        <w:numPr>
          <w:ilvl w:val="1"/>
          <w:numId w:val="3"/>
        </w:numPr>
        <w:spacing w:before="240" w:line="360" w:lineRule="auto"/>
        <w:jc w:val="left"/>
        <w:outlineLvl w:val="1"/>
        <w:rPr>
          <w:rFonts w:hint="eastAsia" w:asciiTheme="minorEastAsia" w:hAnsiTheme="minorEastAsia" w:eastAsiaTheme="minorEastAsia" w:cstheme="minorEastAsia"/>
          <w:b/>
          <w:bCs/>
          <w:sz w:val="28"/>
          <w:szCs w:val="28"/>
        </w:rPr>
      </w:pPr>
      <w:bookmarkStart w:id="170" w:name="_Toc7579"/>
      <w:r>
        <w:rPr>
          <w:rFonts w:hint="eastAsia" w:asciiTheme="minorEastAsia" w:hAnsiTheme="minorEastAsia" w:eastAsiaTheme="minorEastAsia" w:cstheme="minorEastAsia"/>
          <w:b/>
          <w:bCs/>
          <w:sz w:val="28"/>
          <w:szCs w:val="28"/>
        </w:rPr>
        <w:t>评审专家在政府采购活动中应当遵守以下工作纪律</w:t>
      </w:r>
      <w:bookmarkEnd w:id="170"/>
    </w:p>
    <w:p>
      <w:pPr>
        <w:numPr>
          <w:ilvl w:val="0"/>
          <w:numId w:val="34"/>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34"/>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成都东部新区党工委管委会（成都市东部新城办）综合部，不得私自转托他人；</w:t>
      </w:r>
    </w:p>
    <w:p>
      <w:pPr>
        <w:numPr>
          <w:ilvl w:val="0"/>
          <w:numId w:val="34"/>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对需要专业判断的主管评审因素不得协商评分；</w:t>
      </w:r>
    </w:p>
    <w:p>
      <w:pPr>
        <w:numPr>
          <w:ilvl w:val="0"/>
          <w:numId w:val="34"/>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在评审过程中不得擅离职守，影响评审程序正常进行；</w:t>
      </w:r>
    </w:p>
    <w:p>
      <w:pPr>
        <w:numPr>
          <w:ilvl w:val="0"/>
          <w:numId w:val="34"/>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评审过程中，不得与外界联系，因发生不可预见情况，确实需要与外界联系的，应当在监督人员监督之下办理；</w:t>
      </w:r>
    </w:p>
    <w:p>
      <w:pPr>
        <w:numPr>
          <w:ilvl w:val="0"/>
          <w:numId w:val="34"/>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34"/>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在评审过程中和评审结束后，不得记录、复制或带走任何评审资料，不得向外界透露评审内容；</w:t>
      </w:r>
    </w:p>
    <w:p>
      <w:pPr>
        <w:numPr>
          <w:ilvl w:val="0"/>
          <w:numId w:val="34"/>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评审现场服从采购代理机构工作人员的管理，接受现场监督人员的合法监督；</w:t>
      </w:r>
    </w:p>
    <w:p>
      <w:pPr>
        <w:numPr>
          <w:ilvl w:val="0"/>
          <w:numId w:val="34"/>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遵守有关廉洁自律规定，不得私下接触供应商，不得收受供应商及有关业务单位和个人的财物或好处，不得接受采购代理机构的请托。</w:t>
      </w:r>
    </w:p>
    <w:p>
      <w:pPr>
        <w:tabs>
          <w:tab w:val="left" w:pos="1155"/>
          <w:tab w:val="left" w:pos="1276"/>
          <w:tab w:val="left" w:pos="1418"/>
        </w:tabs>
        <w:spacing w:line="580" w:lineRule="exact"/>
        <w:rPr>
          <w:rFonts w:hint="eastAsia" w:asciiTheme="minorEastAsia" w:hAnsiTheme="minorEastAsia" w:eastAsiaTheme="minorEastAsia" w:cstheme="minorEastAsia"/>
          <w:sz w:val="28"/>
          <w:szCs w:val="28"/>
        </w:rPr>
      </w:pPr>
    </w:p>
    <w:p>
      <w:pPr>
        <w:pStyle w:val="2"/>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bookmarkEnd w:id="0"/>
    <w:bookmarkEnd w:id="1"/>
    <w:bookmarkEnd w:id="2"/>
    <w:bookmarkEnd w:id="3"/>
    <w:bookmarkEnd w:id="138"/>
    <w:bookmarkEnd w:id="139"/>
    <w:p>
      <w:pPr>
        <w:keepNext/>
        <w:keepLines/>
        <w:numPr>
          <w:ilvl w:val="0"/>
          <w:numId w:val="3"/>
        </w:numPr>
        <w:spacing w:before="340" w:after="330" w:line="400" w:lineRule="exact"/>
        <w:jc w:val="center"/>
        <w:outlineLvl w:val="0"/>
        <w:rPr>
          <w:rFonts w:hint="eastAsia" w:asciiTheme="minorEastAsia" w:hAnsiTheme="minorEastAsia" w:eastAsiaTheme="minorEastAsia" w:cstheme="minorEastAsia"/>
        </w:rPr>
      </w:pPr>
      <w:bookmarkStart w:id="171" w:name="_Toc13383"/>
      <w:bookmarkStart w:id="172" w:name="_Toc217446108"/>
      <w:bookmarkStart w:id="173" w:name="_Toc34729074"/>
      <w:bookmarkStart w:id="174" w:name="_Toc8573798"/>
      <w:r>
        <w:rPr>
          <w:rFonts w:hint="eastAsia" w:asciiTheme="minorEastAsia" w:hAnsiTheme="minorEastAsia" w:eastAsiaTheme="minorEastAsia" w:cstheme="minorEastAsia"/>
          <w:b/>
          <w:bCs/>
          <w:spacing w:val="-20"/>
          <w:kern w:val="44"/>
          <w:sz w:val="32"/>
          <w:szCs w:val="32"/>
        </w:rPr>
        <w:t>拟签订合同文本</w:t>
      </w:r>
      <w:bookmarkEnd w:id="171"/>
    </w:p>
    <w:p>
      <w:pPr>
        <w:rPr>
          <w:rFonts w:hint="eastAsia" w:asciiTheme="minorEastAsia" w:hAnsiTheme="minorEastAsia" w:eastAsiaTheme="minorEastAsia" w:cstheme="minorEastAsia"/>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政府采购合同编号：</w:t>
      </w:r>
      <w:r>
        <w:rPr>
          <w:rFonts w:hint="eastAsia" w:asciiTheme="minorEastAsia" w:hAnsiTheme="minorEastAsia" w:eastAsiaTheme="minorEastAsia" w:cstheme="minorEastAsia"/>
          <w:sz w:val="24"/>
          <w:szCs w:val="24"/>
          <w:u w:val="single"/>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签订地点：</w:t>
      </w:r>
      <w:r>
        <w:rPr>
          <w:rFonts w:hint="eastAsia" w:asciiTheme="minorEastAsia" w:hAnsiTheme="minorEastAsia" w:eastAsiaTheme="minorEastAsia" w:cstheme="minorEastAsia"/>
          <w:sz w:val="24"/>
          <w:szCs w:val="24"/>
          <w:u w:val="single"/>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签订时间：20</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采购人（甲方）：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u w:val="single"/>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供应商（乙方）：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u w:val="single"/>
        </w:rPr>
        <w:t xml:space="preserve">                            </w:t>
      </w:r>
    </w:p>
    <w:p>
      <w:pPr>
        <w:rPr>
          <w:rFonts w:hint="eastAsia" w:asciiTheme="minorEastAsia" w:hAnsiTheme="minorEastAsia" w:eastAsiaTheme="minorEastAsia" w:cstheme="minorEastAsia"/>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依据《中华人民共和国民法典》《中华人民共和国政府采购法》与项目行业有关的法律法规，以及XXX采购项目的《</w:t>
      </w:r>
      <w:r>
        <w:rPr>
          <w:rFonts w:hint="eastAsia" w:asciiTheme="minorEastAsia" w:hAnsiTheme="minorEastAsia" w:eastAsiaTheme="minorEastAsia" w:cstheme="minorEastAsia"/>
          <w:sz w:val="24"/>
          <w:szCs w:val="24"/>
          <w:lang w:eastAsia="zh-CN"/>
        </w:rPr>
        <w:t>招标</w:t>
      </w:r>
      <w:r>
        <w:rPr>
          <w:rFonts w:hint="eastAsia" w:asciiTheme="minorEastAsia" w:hAnsiTheme="minorEastAsia" w:eastAsiaTheme="minorEastAsia" w:cstheme="minorEastAsia"/>
          <w:sz w:val="24"/>
          <w:szCs w:val="24"/>
        </w:rPr>
        <w:t>文件》，乙方的《投标文件》及《中标通知书》，甲乙双方同意签订本合同。具体情况及要求如下：</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一、项目概况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本项目为丹景街道新民家园一期征地拆迁安置小区物业管理服务采购项目。</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2" w:firstLineChars="20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二、</w:t>
      </w:r>
      <w:r>
        <w:rPr>
          <w:rFonts w:hint="eastAsia" w:asciiTheme="minorEastAsia" w:hAnsiTheme="minorEastAsia" w:eastAsiaTheme="minorEastAsia" w:cstheme="minorEastAsia"/>
          <w:b/>
          <w:sz w:val="24"/>
          <w:szCs w:val="24"/>
        </w:rPr>
        <w:t>服务内容及服务要求</w:t>
      </w:r>
    </w:p>
    <w:p>
      <w:pPr>
        <w:keepNext w:val="0"/>
        <w:keepLines w:val="0"/>
        <w:pageBreakBefore w:val="0"/>
        <w:widowControl/>
        <w:kinsoku/>
        <w:wordWrap/>
        <w:overflowPunct/>
        <w:topLinePunct w:val="0"/>
        <w:autoSpaceDE/>
        <w:autoSpaceDN/>
        <w:bidi w:val="0"/>
        <w:adjustRightInd/>
        <w:snapToGrid/>
        <w:spacing w:line="360" w:lineRule="auto"/>
        <w:ind w:firstLine="464" w:firstLineChars="200"/>
        <w:jc w:val="left"/>
        <w:textAlignment w:val="auto"/>
        <w:rPr>
          <w:rFonts w:hint="eastAsia" w:asciiTheme="minorEastAsia" w:hAnsiTheme="minorEastAsia" w:eastAsiaTheme="minorEastAsia" w:cstheme="minorEastAsia"/>
          <w:spacing w:val="-4"/>
          <w:sz w:val="24"/>
          <w:szCs w:val="24"/>
          <w:lang w:eastAsia="zh-CN"/>
        </w:rPr>
      </w:pPr>
      <w:r>
        <w:rPr>
          <w:rFonts w:hint="eastAsia" w:asciiTheme="minorEastAsia" w:hAnsiTheme="minorEastAsia" w:eastAsiaTheme="minorEastAsia" w:cstheme="minorEastAsia"/>
          <w:spacing w:val="-4"/>
          <w:sz w:val="24"/>
          <w:szCs w:val="24"/>
          <w:lang w:eastAsia="zh-CN"/>
        </w:rPr>
        <w:t>（一）服务内容及范围</w:t>
      </w:r>
    </w:p>
    <w:p>
      <w:pPr>
        <w:keepNext w:val="0"/>
        <w:keepLines w:val="0"/>
        <w:pageBreakBefore w:val="0"/>
        <w:widowControl/>
        <w:kinsoku/>
        <w:wordWrap/>
        <w:overflowPunct/>
        <w:topLinePunct w:val="0"/>
        <w:autoSpaceDE/>
        <w:autoSpaceDN/>
        <w:bidi w:val="0"/>
        <w:adjustRightInd/>
        <w:snapToGrid/>
        <w:spacing w:line="360" w:lineRule="auto"/>
        <w:ind w:firstLine="464" w:firstLineChars="200"/>
        <w:jc w:val="left"/>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1、本建筑区划规划设计的物业类型为：多层公寓住宅。</w:t>
      </w:r>
    </w:p>
    <w:p>
      <w:pPr>
        <w:keepNext w:val="0"/>
        <w:keepLines w:val="0"/>
        <w:pageBreakBefore w:val="0"/>
        <w:widowControl/>
        <w:kinsoku/>
        <w:wordWrap/>
        <w:overflowPunct/>
        <w:topLinePunct w:val="0"/>
        <w:autoSpaceDE/>
        <w:autoSpaceDN/>
        <w:bidi w:val="0"/>
        <w:adjustRightInd/>
        <w:snapToGrid/>
        <w:spacing w:line="360" w:lineRule="auto"/>
        <w:ind w:firstLine="464" w:firstLineChars="200"/>
        <w:jc w:val="left"/>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2、新民家园一期总居民用房户数1122户，规划建设总建筑面积99324.15平方米。其中：多层住宅建筑面积77087.28平方，绿化面积约13970平方米,容积率：1.49%。本建筑区划规划建设停车场车位272个，非机动车停车棚2个，出入口3个，全民健身场所50平方米。</w:t>
      </w:r>
    </w:p>
    <w:p>
      <w:pPr>
        <w:keepNext w:val="0"/>
        <w:keepLines w:val="0"/>
        <w:pageBreakBefore w:val="0"/>
        <w:widowControl/>
        <w:kinsoku/>
        <w:wordWrap/>
        <w:overflowPunct/>
        <w:topLinePunct w:val="0"/>
        <w:autoSpaceDE/>
        <w:autoSpaceDN/>
        <w:bidi w:val="0"/>
        <w:adjustRightInd/>
        <w:snapToGrid/>
        <w:spacing w:line="360" w:lineRule="auto"/>
        <w:ind w:firstLine="464" w:firstLineChars="200"/>
        <w:jc w:val="left"/>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3、物业服务用房的配置情况</w:t>
      </w:r>
    </w:p>
    <w:p>
      <w:pPr>
        <w:keepNext w:val="0"/>
        <w:keepLines w:val="0"/>
        <w:pageBreakBefore w:val="0"/>
        <w:widowControl/>
        <w:kinsoku/>
        <w:wordWrap/>
        <w:overflowPunct/>
        <w:topLinePunct w:val="0"/>
        <w:autoSpaceDE/>
        <w:autoSpaceDN/>
        <w:bidi w:val="0"/>
        <w:adjustRightInd/>
        <w:snapToGrid/>
        <w:spacing w:line="360" w:lineRule="auto"/>
        <w:ind w:firstLine="464" w:firstLineChars="200"/>
        <w:jc w:val="left"/>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3.1物业服务管理用房与社区用房：建筑面积为60平方米。</w:t>
      </w:r>
    </w:p>
    <w:p>
      <w:pPr>
        <w:keepNext w:val="0"/>
        <w:keepLines w:val="0"/>
        <w:pageBreakBefore w:val="0"/>
        <w:widowControl/>
        <w:kinsoku/>
        <w:wordWrap/>
        <w:overflowPunct/>
        <w:topLinePunct w:val="0"/>
        <w:autoSpaceDE/>
        <w:autoSpaceDN/>
        <w:bidi w:val="0"/>
        <w:adjustRightInd/>
        <w:snapToGrid/>
        <w:spacing w:line="360" w:lineRule="auto"/>
        <w:ind w:firstLine="464"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3.2小区设备设施包括：消防系统、保安巡查系统、变压器4台、配电房4个、停车系统、居民门禁刷卡系统、监控系统、给排水系统、出入口3个，围墙采用围墙与水泥护栏围墙相结合</w:t>
      </w:r>
      <w:r>
        <w:rPr>
          <w:rFonts w:hint="eastAsia" w:asciiTheme="minorEastAsia" w:hAnsiTheme="minorEastAsia" w:eastAsiaTheme="minorEastAsia" w:cstheme="minorEastAsia"/>
          <w:sz w:val="24"/>
          <w:szCs w:val="24"/>
        </w:rPr>
        <w:t>。</w:t>
      </w:r>
    </w:p>
    <w:p>
      <w:pPr>
        <w:pStyle w:val="2"/>
        <w:keepNext w:val="0"/>
        <w:keepLines w:val="0"/>
        <w:pageBreakBefore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（二）服务要求详见第</w:t>
      </w:r>
      <w:r>
        <w:rPr>
          <w:rFonts w:hint="eastAsia" w:asciiTheme="minorEastAsia" w:hAnsiTheme="minorEastAsia" w:eastAsiaTheme="minorEastAsia" w:cstheme="minorEastAsia"/>
          <w:sz w:val="24"/>
          <w:szCs w:val="24"/>
          <w:lang w:val="en-US" w:eastAsia="zh-CN"/>
        </w:rPr>
        <w:t>4章详细参数要求。</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三、合同价款、付款进度和支付方式</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XXX。</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四、</w:t>
      </w:r>
      <w:r>
        <w:rPr>
          <w:rFonts w:hint="eastAsia" w:asciiTheme="minorEastAsia" w:hAnsiTheme="minorEastAsia" w:eastAsiaTheme="minorEastAsia" w:cstheme="minorEastAsia"/>
          <w:b/>
          <w:sz w:val="24"/>
          <w:szCs w:val="24"/>
        </w:rPr>
        <w:t>服务期限和服务地点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（一）服务期限：</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年。起止时间以签订合同日期为准。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（二）服务地点</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成都东部新区丹景街道天府路190号新民家园一期</w:t>
      </w:r>
      <w:r>
        <w:rPr>
          <w:rFonts w:hint="eastAsia" w:asciiTheme="minorEastAsia" w:hAnsiTheme="minorEastAsia" w:eastAsiaTheme="minorEastAsia" w:cstheme="minorEastAsia"/>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eastAsia="zh-CN"/>
        </w:rPr>
        <w:t>五</w:t>
      </w:r>
      <w:r>
        <w:rPr>
          <w:rFonts w:hint="eastAsia" w:asciiTheme="minorEastAsia" w:hAnsiTheme="minorEastAsia" w:eastAsiaTheme="minorEastAsia" w:cstheme="minorEastAsia"/>
          <w:b/>
          <w:sz w:val="24"/>
          <w:szCs w:val="24"/>
          <w:highlight w:val="none"/>
        </w:rPr>
        <w:t>、履约保证金（如有）</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详见第</w:t>
      </w:r>
      <w:r>
        <w:rPr>
          <w:rFonts w:hint="eastAsia" w:asciiTheme="minorEastAsia" w:hAnsiTheme="minorEastAsia" w:eastAsiaTheme="minorEastAsia" w:cstheme="minorEastAsia"/>
          <w:sz w:val="24"/>
          <w:szCs w:val="24"/>
          <w:lang w:val="en-US" w:eastAsia="zh-CN"/>
        </w:rPr>
        <w:t>2章投标人须知前附表</w:t>
      </w: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六</w:t>
      </w:r>
      <w:r>
        <w:rPr>
          <w:rFonts w:hint="eastAsia" w:asciiTheme="minorEastAsia" w:hAnsiTheme="minorEastAsia" w:eastAsiaTheme="minorEastAsia" w:cstheme="minorEastAsia"/>
          <w:b/>
          <w:sz w:val="24"/>
          <w:szCs w:val="24"/>
        </w:rPr>
        <w:t>、考核（验收）标准和办法</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严格按照</w:t>
      </w:r>
      <w:r>
        <w:rPr>
          <w:rFonts w:hint="eastAsia" w:asciiTheme="minorEastAsia" w:hAnsiTheme="minorEastAsia" w:eastAsiaTheme="minorEastAsia" w:cstheme="minorEastAsia"/>
          <w:sz w:val="24"/>
          <w:szCs w:val="24"/>
          <w:lang w:eastAsia="zh-CN"/>
        </w:rPr>
        <w:t>政府采购相关法律法规以及</w:t>
      </w:r>
      <w:r>
        <w:rPr>
          <w:rFonts w:hint="eastAsia" w:asciiTheme="minorEastAsia" w:hAnsiTheme="minorEastAsia" w:eastAsiaTheme="minorEastAsia" w:cstheme="minorEastAsia"/>
          <w:sz w:val="24"/>
          <w:szCs w:val="24"/>
        </w:rPr>
        <w:t>《财政部关于进一步加强政府采购需求和履约验收管理的指导意见》(财库〔2016)205号）的要求进行验收。</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七</w:t>
      </w:r>
      <w:r>
        <w:rPr>
          <w:rFonts w:hint="eastAsia" w:asciiTheme="minorEastAsia" w:hAnsiTheme="minorEastAsia" w:eastAsiaTheme="minorEastAsia" w:cstheme="minorEastAsia"/>
          <w:b/>
          <w:sz w:val="24"/>
          <w:szCs w:val="24"/>
        </w:rPr>
        <w:t>、甲方的权利和义务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1、甲方有权对合同规定范围内乙方的服务行为进行监督和检查，拥有监管权。有权定期核对乙方提供服务所配备的人员数量。对甲方认为不合理的部分有权下达整改通知书，并要求乙方限期整改。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2、甲方有权依据双方签订的考核办法对乙方提供的服务进行定期考评。当考评结果未达到标准时，有权依据考核办法约定对乙方XXX。</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3、负责检查监督乙方管理工作的实施及制度的执行情况。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4、根据本合同规定，按时向乙方支付应付服务费用。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5、国家法律、法规所规定由甲方承担的其它责任。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八</w:t>
      </w:r>
      <w:r>
        <w:rPr>
          <w:rFonts w:hint="eastAsia" w:asciiTheme="minorEastAsia" w:hAnsiTheme="minorEastAsia" w:eastAsiaTheme="minorEastAsia" w:cstheme="minorEastAsia"/>
          <w:b/>
          <w:sz w:val="24"/>
          <w:szCs w:val="24"/>
        </w:rPr>
        <w:t>、乙方的权利和义务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1、对本合同规定的委托服务范围内的项目享有管理权及服务义务，乙方进场后必须与甲方签订安全生产协议书，做到安全文明作业。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2、根据本合同的规定向甲方收取相关服务费用，并有权在本项目管理范围内管理及合理使用。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3、及时向甲方通告本项目服务范围内有关服务的重大事项，及时配合处理投诉。</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4、接受项目行业管理部门及政府有关部门的指导，接受甲方的监督。</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5、国家法律、法规所规定由乙方承担的其它责任。</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九</w:t>
      </w:r>
      <w:r>
        <w:rPr>
          <w:rFonts w:hint="eastAsia" w:asciiTheme="minorEastAsia" w:hAnsiTheme="minorEastAsia" w:eastAsiaTheme="minorEastAsia" w:cstheme="minorEastAsia"/>
          <w:b/>
          <w:sz w:val="24"/>
          <w:szCs w:val="24"/>
        </w:rPr>
        <w:t>、违约责任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highlight w:val="none"/>
          <w:lang w:val="en-US" w:eastAsia="zh-CN"/>
        </w:rPr>
        <w:t>1</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双方必须遵守合同并执行合同中的各项规定，保证合同的正常履行。</w:t>
      </w:r>
    </w:p>
    <w:p>
      <w:pPr>
        <w:pStyle w:val="20"/>
        <w:pageBreakBefore w:val="0"/>
        <w:widowControl w:val="0"/>
        <w:numPr>
          <w:ilvl w:val="4"/>
          <w:numId w:val="0"/>
        </w:numPr>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2、如因供应商工作人员在履行职务过程中的疏忽、失职、过错等故意或者过失原因给采购人造成损失或侵害，包括但不限于采购人本身的财产损失，由此而导致了采购人对任何第三方的法律责任等，供应商对此均应承担全部的赔偿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t>因采购人原因导致变更、中止或者终止政府采购合同的，采购人应对供应商受到的损失据实给予赔偿或者补偿。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t>、供应商在服务期内无质量问题和违约行为的，采购人应准时支付供应商服务费。如逾期的，</w:t>
      </w:r>
      <w:r>
        <w:rPr>
          <w:rFonts w:hint="eastAsia" w:asciiTheme="minorEastAsia" w:hAnsiTheme="minorEastAsia" w:eastAsiaTheme="minorEastAsia" w:cstheme="minorEastAsia"/>
          <w:b w:val="0"/>
          <w:bCs w:val="0"/>
          <w:sz w:val="24"/>
          <w:szCs w:val="24"/>
          <w:lang w:val="zh-CN"/>
        </w:rPr>
        <w:t>除应及时付足服务费外，</w:t>
      </w:r>
      <w:r>
        <w:rPr>
          <w:rFonts w:hint="eastAsia" w:asciiTheme="minorEastAsia" w:hAnsiTheme="minorEastAsia" w:eastAsiaTheme="minorEastAsia" w:cstheme="minorEastAsia"/>
          <w:b w:val="0"/>
          <w:bCs w:val="0"/>
          <w:sz w:val="24"/>
          <w:szCs w:val="24"/>
        </w:rPr>
        <w:t>应按应付金额每日</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t>‰标准向供应商赔付违约金。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十、不可抗事件处理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1、在合同有效期内，任何一方因不可抗事件导致不能履行合同，则合同履行期可延长，其延长期与不可抗影响期相同。</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2、受阻一方应在不可抗事件发生后尽快用电话通知对方并于事故发生后XX天内将有关部门出具的证明文件等用特快专递或挂号信寄给对方审阅确认。</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3、不可抗事件延续XX天以上，双方应通过友好协商，确定是否继续履行合同。</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eastAsia="zh-CN"/>
        </w:rPr>
        <w:t>一</w:t>
      </w:r>
      <w:r>
        <w:rPr>
          <w:rFonts w:hint="eastAsia" w:asciiTheme="minorEastAsia" w:hAnsiTheme="minorEastAsia" w:eastAsiaTheme="minorEastAsia" w:cstheme="minorEastAsia"/>
          <w:b/>
          <w:sz w:val="24"/>
          <w:szCs w:val="24"/>
        </w:rPr>
        <w:t>、解决合同纠纷的方式</w:t>
      </w:r>
    </w:p>
    <w:p>
      <w:pPr>
        <w:tabs>
          <w:tab w:val="left" w:pos="644"/>
        </w:tabs>
        <w:adjustRightInd w:val="0"/>
        <w:snapToGrid w:val="0"/>
        <w:spacing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合同履行期间,若双方发生争议，可协商或由有关部门调解解决，协商或调解不成的，任何一方均有权向中心所在人民法院提起诉讼。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eastAsia="zh-CN"/>
        </w:rPr>
        <w:t>二</w:t>
      </w:r>
      <w:r>
        <w:rPr>
          <w:rFonts w:hint="eastAsia" w:asciiTheme="minorEastAsia" w:hAnsiTheme="minorEastAsia" w:eastAsiaTheme="minorEastAsia" w:cstheme="minorEastAsia"/>
          <w:b/>
          <w:sz w:val="24"/>
          <w:szCs w:val="24"/>
        </w:rPr>
        <w:t>、合同生效及其他</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1、合同经双方法定代表人或授权委托代理人签字并加盖公章后生效。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政府采购合同履行中，甲方需追加与合同标的相同的服务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3、本合同一式XX份，自双方签章之日起生效。甲方持有XX份，乙方持有XX份，同级财政部门备案XX份，具有同等法律效力。</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甲方：   （盖章）</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乙方：   （盖章）</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法定代表人（授权代表）：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法定代表人（授权代表）：</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地  址：</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开户银行：</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开户银行：</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账号：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账号：</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签订日期： 年  月  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签订日期：年 月 日</w:t>
      </w:r>
    </w:p>
    <w:p>
      <w:pPr>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bookmarkEnd w:id="172"/>
    <w:bookmarkEnd w:id="173"/>
    <w:bookmarkEnd w:id="174"/>
    <w:p>
      <w:p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br w:type="page"/>
      </w:r>
    </w:p>
    <w:p>
      <w:p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附件</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7461885"/>
            <wp:effectExtent l="0" t="0" r="1651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7461885"/>
            <wp:effectExtent l="0" t="0" r="1651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7461885"/>
            <wp:effectExtent l="0" t="0" r="1651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7461885"/>
            <wp:effectExtent l="0" t="0" r="1651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7461885"/>
            <wp:effectExtent l="0" t="0" r="1651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19065" cy="6383655"/>
            <wp:effectExtent l="0" t="0" r="635" b="171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7435850" cy="5245100"/>
            <wp:effectExtent l="0" t="0" r="1270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435850" cy="5245100"/>
                    </a:xfrm>
                    <a:prstGeom prst="rect">
                      <a:avLst/>
                    </a:prstGeom>
                    <a:noFill/>
                    <a:ln>
                      <a:noFill/>
                    </a:ln>
                  </pic:spPr>
                </pic:pic>
              </a:graphicData>
            </a:graphic>
          </wp:inline>
        </w:drawing>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5779770"/>
            <wp:effectExtent l="0" t="0" r="1651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66053614"/>
                          </w:sdtPr>
                          <w:sdtContent>
                            <w:p>
                              <w:pPr>
                                <w:pStyle w:val="9"/>
                                <w:jc w:val="center"/>
                              </w:pPr>
                              <w:r>
                                <w:fldChar w:fldCharType="begin"/>
                              </w:r>
                              <w:r>
                                <w:instrText xml:space="preserve">PAGE   \* MERGEFORMAT</w:instrText>
                              </w:r>
                              <w:r>
                                <w:fldChar w:fldCharType="separate"/>
                              </w:r>
                              <w:r>
                                <w:rPr>
                                  <w:lang w:val="zh-CN"/>
                                </w:rPr>
                                <w:t>38</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866053614"/>
                    </w:sdtPr>
                    <w:sdtContent>
                      <w:p>
                        <w:pPr>
                          <w:pStyle w:val="9"/>
                          <w:jc w:val="center"/>
                        </w:pPr>
                        <w:r>
                          <w:fldChar w:fldCharType="begin"/>
                        </w:r>
                        <w:r>
                          <w:instrText xml:space="preserve">PAGE   \* MERGEFORMAT</w:instrText>
                        </w:r>
                        <w:r>
                          <w:fldChar w:fldCharType="separate"/>
                        </w:r>
                        <w:r>
                          <w:rPr>
                            <w:lang w:val="zh-CN"/>
                          </w:rPr>
                          <w:t>38</w:t>
                        </w:r>
                        <w:r>
                          <w:fldChar w:fldCharType="end"/>
                        </w:r>
                      </w:p>
                    </w:sdtContent>
                  </w:sdt>
                  <w:p>
                    <w:pPr>
                      <w:pStyle w:val="2"/>
                    </w:pP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center"/>
                          </w:pPr>
                          <w:r>
                            <w:fldChar w:fldCharType="begin"/>
                          </w:r>
                          <w:r>
                            <w:instrText xml:space="preserve"> PAGE   \* MERGEFORMAT </w:instrText>
                          </w:r>
                          <w:r>
                            <w:fldChar w:fldCharType="separate"/>
                          </w:r>
                          <w:r>
                            <w:rPr>
                              <w:lang w:val="zh-CN"/>
                            </w:rPr>
                            <w:t>59</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9"/>
                      <w:jc w:val="center"/>
                    </w:pPr>
                    <w:r>
                      <w:fldChar w:fldCharType="begin"/>
                    </w:r>
                    <w:r>
                      <w:instrText xml:space="preserve"> PAGE   \* MERGEFORMAT </w:instrText>
                    </w:r>
                    <w:r>
                      <w:fldChar w:fldCharType="separate"/>
                    </w:r>
                    <w:r>
                      <w:rPr>
                        <w:lang w:val="zh-CN"/>
                      </w:rPr>
                      <w:t>59</w:t>
                    </w:r>
                    <w:r>
                      <w:rPr>
                        <w:lang w:val="zh-CN"/>
                      </w:rPr>
                      <w:fldChar w:fldCharType="end"/>
                    </w:r>
                  </w:p>
                </w:txbxContent>
              </v:textbox>
            </v:shape>
          </w:pict>
        </mc:Fallback>
      </mc:AlternateContent>
    </w:r>
  </w:p>
  <w:p>
    <w:pPr>
      <w:pStyle w:val="9"/>
      <w:tabs>
        <w:tab w:val="center" w:pos="4533"/>
        <w:tab w:val="clear" w:pos="4153"/>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1D99E0"/>
    <w:multiLevelType w:val="singleLevel"/>
    <w:tmpl w:val="951D99E0"/>
    <w:lvl w:ilvl="0" w:tentative="0">
      <w:start w:val="1"/>
      <w:numFmt w:val="decimal"/>
      <w:lvlText w:val="%1."/>
      <w:lvlJc w:val="left"/>
      <w:pPr>
        <w:tabs>
          <w:tab w:val="left" w:pos="312"/>
        </w:tabs>
      </w:pPr>
    </w:lvl>
  </w:abstractNum>
  <w:abstractNum w:abstractNumId="1">
    <w:nsid w:val="EE6FE92A"/>
    <w:multiLevelType w:val="singleLevel"/>
    <w:tmpl w:val="EE6FE92A"/>
    <w:lvl w:ilvl="0" w:tentative="0">
      <w:start w:val="1"/>
      <w:numFmt w:val="decimal"/>
      <w:suff w:val="nothing"/>
      <w:lvlText w:val="%1、"/>
      <w:lvlJc w:val="left"/>
    </w:lvl>
  </w:abstractNum>
  <w:abstractNum w:abstractNumId="2">
    <w:nsid w:val="F7A5F766"/>
    <w:multiLevelType w:val="singleLevel"/>
    <w:tmpl w:val="F7A5F766"/>
    <w:lvl w:ilvl="0" w:tentative="0">
      <w:start w:val="1"/>
      <w:numFmt w:val="decimal"/>
      <w:suff w:val="nothing"/>
      <w:lvlText w:val="%1、"/>
      <w:lvlJc w:val="left"/>
    </w:lvl>
  </w:abstractNum>
  <w:abstractNum w:abstractNumId="3">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4">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5">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271"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3260"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2830"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2">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3">
    <w:nsid w:val="04A26B60"/>
    <w:multiLevelType w:val="multilevel"/>
    <w:tmpl w:val="04A26B60"/>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6AF180E"/>
    <w:multiLevelType w:val="multilevel"/>
    <w:tmpl w:val="06AF180E"/>
    <w:lvl w:ilvl="0" w:tentative="0">
      <w:start w:val="1"/>
      <w:numFmt w:val="japaneseCounting"/>
      <w:lvlText w:val="（%1）"/>
      <w:lvlJc w:val="left"/>
      <w:pPr>
        <w:ind w:left="3123"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5">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6">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7">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8">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9">
    <w:nsid w:val="1F81D787"/>
    <w:multiLevelType w:val="singleLevel"/>
    <w:tmpl w:val="1F81D787"/>
    <w:lvl w:ilvl="0" w:tentative="0">
      <w:start w:val="2"/>
      <w:numFmt w:val="chineseCounting"/>
      <w:suff w:val="nothing"/>
      <w:lvlText w:val="%1、"/>
      <w:lvlJc w:val="left"/>
      <w:pPr>
        <w:ind w:left="210"/>
      </w:pPr>
      <w:rPr>
        <w:rFonts w:hint="eastAsia"/>
      </w:r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A558642"/>
    <w:multiLevelType w:val="singleLevel"/>
    <w:tmpl w:val="2A558642"/>
    <w:lvl w:ilvl="0" w:tentative="0">
      <w:start w:val="1"/>
      <w:numFmt w:val="chineseCounting"/>
      <w:suff w:val="nothing"/>
      <w:lvlText w:val="（%1）"/>
      <w:lvlJc w:val="left"/>
      <w:rPr>
        <w:rFonts w:hint="eastAsia"/>
      </w:rPr>
    </w:lvl>
  </w:abstractNum>
  <w:abstractNum w:abstractNumId="22">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4">
    <w:nsid w:val="4741357B"/>
    <w:multiLevelType w:val="singleLevel"/>
    <w:tmpl w:val="4741357B"/>
    <w:lvl w:ilvl="0" w:tentative="0">
      <w:start w:val="1"/>
      <w:numFmt w:val="decimal"/>
      <w:suff w:val="nothing"/>
      <w:lvlText w:val="%1、"/>
      <w:lvlJc w:val="left"/>
    </w:lvl>
  </w:abstractNum>
  <w:abstractNum w:abstractNumId="25">
    <w:nsid w:val="4C1635C4"/>
    <w:multiLevelType w:val="multilevel"/>
    <w:tmpl w:val="4C1635C4"/>
    <w:lvl w:ilvl="0" w:tentative="0">
      <w:start w:val="1"/>
      <w:numFmt w:val="chineseCountingThousand"/>
      <w:lvlText w:val="%1、"/>
      <w:lvlJc w:val="left"/>
      <w:pPr>
        <w:ind w:left="1270" w:hanging="420"/>
      </w:pPr>
    </w:lvl>
    <w:lvl w:ilvl="1" w:tentative="0">
      <w:start w:val="1"/>
      <w:numFmt w:val="lowerLetter"/>
      <w:lvlText w:val="%2)"/>
      <w:lvlJc w:val="left"/>
      <w:pPr>
        <w:tabs>
          <w:tab w:val="left" w:pos="704"/>
        </w:tabs>
        <w:ind w:left="704" w:hanging="420"/>
      </w:pPr>
    </w:lvl>
    <w:lvl w:ilvl="2" w:tentative="0">
      <w:start w:val="1"/>
      <w:numFmt w:val="lowerRoman"/>
      <w:lvlText w:val="%3."/>
      <w:lvlJc w:val="right"/>
      <w:pPr>
        <w:tabs>
          <w:tab w:val="left" w:pos="1124"/>
        </w:tabs>
        <w:ind w:left="1124" w:hanging="420"/>
      </w:pPr>
    </w:lvl>
    <w:lvl w:ilvl="3" w:tentative="0">
      <w:start w:val="1"/>
      <w:numFmt w:val="decimal"/>
      <w:lvlText w:val="%4."/>
      <w:lvlJc w:val="left"/>
      <w:pPr>
        <w:tabs>
          <w:tab w:val="left" w:pos="1544"/>
        </w:tabs>
        <w:ind w:left="1544" w:hanging="420"/>
      </w:pPr>
    </w:lvl>
    <w:lvl w:ilvl="4" w:tentative="0">
      <w:start w:val="1"/>
      <w:numFmt w:val="lowerLetter"/>
      <w:lvlText w:val="%5)"/>
      <w:lvlJc w:val="left"/>
      <w:pPr>
        <w:tabs>
          <w:tab w:val="left" w:pos="1964"/>
        </w:tabs>
        <w:ind w:left="1964" w:hanging="420"/>
      </w:pPr>
    </w:lvl>
    <w:lvl w:ilvl="5" w:tentative="0">
      <w:start w:val="1"/>
      <w:numFmt w:val="lowerRoman"/>
      <w:lvlText w:val="%6."/>
      <w:lvlJc w:val="right"/>
      <w:pPr>
        <w:tabs>
          <w:tab w:val="left" w:pos="2384"/>
        </w:tabs>
        <w:ind w:left="2384" w:hanging="420"/>
      </w:pPr>
    </w:lvl>
    <w:lvl w:ilvl="6" w:tentative="0">
      <w:start w:val="1"/>
      <w:numFmt w:val="decimal"/>
      <w:lvlText w:val="%7."/>
      <w:lvlJc w:val="left"/>
      <w:pPr>
        <w:tabs>
          <w:tab w:val="left" w:pos="2804"/>
        </w:tabs>
        <w:ind w:left="2804" w:hanging="420"/>
      </w:pPr>
    </w:lvl>
    <w:lvl w:ilvl="7" w:tentative="0">
      <w:start w:val="1"/>
      <w:numFmt w:val="lowerLetter"/>
      <w:lvlText w:val="%8)"/>
      <w:lvlJc w:val="left"/>
      <w:pPr>
        <w:tabs>
          <w:tab w:val="left" w:pos="3224"/>
        </w:tabs>
        <w:ind w:left="3224" w:hanging="420"/>
      </w:pPr>
    </w:lvl>
    <w:lvl w:ilvl="8" w:tentative="0">
      <w:start w:val="1"/>
      <w:numFmt w:val="lowerRoman"/>
      <w:lvlText w:val="%9."/>
      <w:lvlJc w:val="right"/>
      <w:pPr>
        <w:tabs>
          <w:tab w:val="left" w:pos="3644"/>
        </w:tabs>
        <w:ind w:left="3644" w:hanging="420"/>
      </w:pPr>
    </w:lvl>
  </w:abstractNum>
  <w:abstractNum w:abstractNumId="26">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1">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2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9"/>
  </w:num>
  <w:num w:numId="22">
    <w:abstractNumId w:val="21"/>
  </w:num>
  <w:num w:numId="23">
    <w:abstractNumId w:val="2"/>
  </w:num>
  <w:num w:numId="24">
    <w:abstractNumId w:val="1"/>
  </w:num>
  <w:num w:numId="25">
    <w:abstractNumId w:val="24"/>
  </w:num>
  <w:num w:numId="26">
    <w:abstractNumId w:val="0"/>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1D3652"/>
    <w:rsid w:val="001D5FB4"/>
    <w:rsid w:val="002713E2"/>
    <w:rsid w:val="00327141"/>
    <w:rsid w:val="00991ADF"/>
    <w:rsid w:val="00BC57CD"/>
    <w:rsid w:val="00DC7C1D"/>
    <w:rsid w:val="01057174"/>
    <w:rsid w:val="016025FC"/>
    <w:rsid w:val="018A7679"/>
    <w:rsid w:val="024C492F"/>
    <w:rsid w:val="029702A0"/>
    <w:rsid w:val="02FF1FD5"/>
    <w:rsid w:val="032E1F38"/>
    <w:rsid w:val="034750BF"/>
    <w:rsid w:val="036B5288"/>
    <w:rsid w:val="04007286"/>
    <w:rsid w:val="0415231B"/>
    <w:rsid w:val="041D3652"/>
    <w:rsid w:val="041F054D"/>
    <w:rsid w:val="043D4169"/>
    <w:rsid w:val="047E3247"/>
    <w:rsid w:val="04900898"/>
    <w:rsid w:val="04925711"/>
    <w:rsid w:val="050B6D23"/>
    <w:rsid w:val="050D7606"/>
    <w:rsid w:val="061637F4"/>
    <w:rsid w:val="06277FB5"/>
    <w:rsid w:val="06500E91"/>
    <w:rsid w:val="067B1C86"/>
    <w:rsid w:val="068E1FAF"/>
    <w:rsid w:val="070E420C"/>
    <w:rsid w:val="07121AE3"/>
    <w:rsid w:val="072031ED"/>
    <w:rsid w:val="074D710C"/>
    <w:rsid w:val="07AD492E"/>
    <w:rsid w:val="07FB4E2D"/>
    <w:rsid w:val="082F0F7A"/>
    <w:rsid w:val="084376E8"/>
    <w:rsid w:val="091066B6"/>
    <w:rsid w:val="091C21DE"/>
    <w:rsid w:val="092C5073"/>
    <w:rsid w:val="09950881"/>
    <w:rsid w:val="09AB65A5"/>
    <w:rsid w:val="09B9163E"/>
    <w:rsid w:val="0A894972"/>
    <w:rsid w:val="0AD55E09"/>
    <w:rsid w:val="0B1A45B2"/>
    <w:rsid w:val="0B2E2C04"/>
    <w:rsid w:val="0B393301"/>
    <w:rsid w:val="0B5D7BAD"/>
    <w:rsid w:val="0B916453"/>
    <w:rsid w:val="0BD0599E"/>
    <w:rsid w:val="0BF41E1F"/>
    <w:rsid w:val="0C49319B"/>
    <w:rsid w:val="0C654F6B"/>
    <w:rsid w:val="0C917B0E"/>
    <w:rsid w:val="0CD520F0"/>
    <w:rsid w:val="0D2C7836"/>
    <w:rsid w:val="0D3276D9"/>
    <w:rsid w:val="0D3315B9"/>
    <w:rsid w:val="0D360660"/>
    <w:rsid w:val="0D4266B1"/>
    <w:rsid w:val="0D426793"/>
    <w:rsid w:val="0D710AEE"/>
    <w:rsid w:val="0D82476A"/>
    <w:rsid w:val="0D906017"/>
    <w:rsid w:val="0DAD559A"/>
    <w:rsid w:val="0DC63F05"/>
    <w:rsid w:val="0DD405FA"/>
    <w:rsid w:val="0E086E08"/>
    <w:rsid w:val="0E140905"/>
    <w:rsid w:val="0E2B57AE"/>
    <w:rsid w:val="0E2F75DE"/>
    <w:rsid w:val="0E3E3CC5"/>
    <w:rsid w:val="0E4A08BC"/>
    <w:rsid w:val="0E7875B0"/>
    <w:rsid w:val="0E9B407C"/>
    <w:rsid w:val="0E9D2F35"/>
    <w:rsid w:val="0EDE1004"/>
    <w:rsid w:val="0EDE7B0B"/>
    <w:rsid w:val="0EF40828"/>
    <w:rsid w:val="0F0B456E"/>
    <w:rsid w:val="0F2F360E"/>
    <w:rsid w:val="0F452E31"/>
    <w:rsid w:val="0FB65C95"/>
    <w:rsid w:val="0FF442B8"/>
    <w:rsid w:val="106D1FAD"/>
    <w:rsid w:val="10707CA1"/>
    <w:rsid w:val="10833C11"/>
    <w:rsid w:val="109127D2"/>
    <w:rsid w:val="10A13999"/>
    <w:rsid w:val="10A32505"/>
    <w:rsid w:val="10F660FF"/>
    <w:rsid w:val="111767D0"/>
    <w:rsid w:val="114E02E1"/>
    <w:rsid w:val="11621A79"/>
    <w:rsid w:val="116972AB"/>
    <w:rsid w:val="117649A5"/>
    <w:rsid w:val="11DB3201"/>
    <w:rsid w:val="12040D82"/>
    <w:rsid w:val="12323B41"/>
    <w:rsid w:val="124C452F"/>
    <w:rsid w:val="127777A6"/>
    <w:rsid w:val="12A93A8E"/>
    <w:rsid w:val="12C56763"/>
    <w:rsid w:val="12E471B0"/>
    <w:rsid w:val="12FE7BFB"/>
    <w:rsid w:val="130E2CC5"/>
    <w:rsid w:val="13141499"/>
    <w:rsid w:val="1379754E"/>
    <w:rsid w:val="13BD37AB"/>
    <w:rsid w:val="14065285"/>
    <w:rsid w:val="145F137B"/>
    <w:rsid w:val="14D24A21"/>
    <w:rsid w:val="14D902A4"/>
    <w:rsid w:val="15121A08"/>
    <w:rsid w:val="15FD53AF"/>
    <w:rsid w:val="16247EA7"/>
    <w:rsid w:val="16380410"/>
    <w:rsid w:val="164D33D3"/>
    <w:rsid w:val="16AA5E4D"/>
    <w:rsid w:val="16B5089D"/>
    <w:rsid w:val="173D3F2F"/>
    <w:rsid w:val="176F3141"/>
    <w:rsid w:val="17712E22"/>
    <w:rsid w:val="17771FF6"/>
    <w:rsid w:val="17DD62FD"/>
    <w:rsid w:val="17EE4B9F"/>
    <w:rsid w:val="18270461"/>
    <w:rsid w:val="18482B9D"/>
    <w:rsid w:val="19AC242B"/>
    <w:rsid w:val="19E06840"/>
    <w:rsid w:val="19E46363"/>
    <w:rsid w:val="19EA59F3"/>
    <w:rsid w:val="19F17E3E"/>
    <w:rsid w:val="19FF3331"/>
    <w:rsid w:val="1A3126AD"/>
    <w:rsid w:val="1A587BF3"/>
    <w:rsid w:val="1AD338F1"/>
    <w:rsid w:val="1AE23C2A"/>
    <w:rsid w:val="1AF43FDB"/>
    <w:rsid w:val="1B3F4CD3"/>
    <w:rsid w:val="1B634D6B"/>
    <w:rsid w:val="1BB114AE"/>
    <w:rsid w:val="1C13053F"/>
    <w:rsid w:val="1C493F61"/>
    <w:rsid w:val="1CBC18B1"/>
    <w:rsid w:val="1CD9209B"/>
    <w:rsid w:val="1D0B4A58"/>
    <w:rsid w:val="1D2422D8"/>
    <w:rsid w:val="1D280235"/>
    <w:rsid w:val="1D927B8A"/>
    <w:rsid w:val="1DC758C5"/>
    <w:rsid w:val="1DEA52D0"/>
    <w:rsid w:val="1E442276"/>
    <w:rsid w:val="1E492DF1"/>
    <w:rsid w:val="1E7352C5"/>
    <w:rsid w:val="1EE90959"/>
    <w:rsid w:val="1F234F3D"/>
    <w:rsid w:val="1F334A54"/>
    <w:rsid w:val="1F38650F"/>
    <w:rsid w:val="1F4215DD"/>
    <w:rsid w:val="1F6B0692"/>
    <w:rsid w:val="1FBF453A"/>
    <w:rsid w:val="1FDE0E64"/>
    <w:rsid w:val="202542D9"/>
    <w:rsid w:val="20985BDE"/>
    <w:rsid w:val="20992FDD"/>
    <w:rsid w:val="20994503"/>
    <w:rsid w:val="20B45FF9"/>
    <w:rsid w:val="20C10A68"/>
    <w:rsid w:val="20DA0985"/>
    <w:rsid w:val="20E22079"/>
    <w:rsid w:val="215F7D83"/>
    <w:rsid w:val="216A2857"/>
    <w:rsid w:val="21D34497"/>
    <w:rsid w:val="21EB71BD"/>
    <w:rsid w:val="228D1B0D"/>
    <w:rsid w:val="22BD286F"/>
    <w:rsid w:val="231057D9"/>
    <w:rsid w:val="238E0DF3"/>
    <w:rsid w:val="23BF71FF"/>
    <w:rsid w:val="23C14D25"/>
    <w:rsid w:val="23CF42DA"/>
    <w:rsid w:val="23E9602A"/>
    <w:rsid w:val="245678E7"/>
    <w:rsid w:val="24C65B0F"/>
    <w:rsid w:val="24CA4AA0"/>
    <w:rsid w:val="24E52C95"/>
    <w:rsid w:val="24E707BB"/>
    <w:rsid w:val="24F77114"/>
    <w:rsid w:val="250C6F8C"/>
    <w:rsid w:val="25115838"/>
    <w:rsid w:val="251C1C3C"/>
    <w:rsid w:val="256C6F12"/>
    <w:rsid w:val="258B5318"/>
    <w:rsid w:val="26016564"/>
    <w:rsid w:val="26196C71"/>
    <w:rsid w:val="262F4DCE"/>
    <w:rsid w:val="265256F1"/>
    <w:rsid w:val="26825C86"/>
    <w:rsid w:val="26DD1E76"/>
    <w:rsid w:val="26EE5FA1"/>
    <w:rsid w:val="27027B2E"/>
    <w:rsid w:val="27037402"/>
    <w:rsid w:val="27070CA1"/>
    <w:rsid w:val="27221F7E"/>
    <w:rsid w:val="272D3924"/>
    <w:rsid w:val="27ED433A"/>
    <w:rsid w:val="28234248"/>
    <w:rsid w:val="285231E9"/>
    <w:rsid w:val="28795BCE"/>
    <w:rsid w:val="287B4C2F"/>
    <w:rsid w:val="28806A63"/>
    <w:rsid w:val="28AD6F99"/>
    <w:rsid w:val="28AF15F0"/>
    <w:rsid w:val="28ED036A"/>
    <w:rsid w:val="291E69B1"/>
    <w:rsid w:val="293B10D5"/>
    <w:rsid w:val="29785E86"/>
    <w:rsid w:val="297B5976"/>
    <w:rsid w:val="29BE371F"/>
    <w:rsid w:val="29DB6270"/>
    <w:rsid w:val="29DD55F2"/>
    <w:rsid w:val="2A90690F"/>
    <w:rsid w:val="2AAA0AA4"/>
    <w:rsid w:val="2AB23619"/>
    <w:rsid w:val="2ACF41CB"/>
    <w:rsid w:val="2ADB491E"/>
    <w:rsid w:val="2AF61758"/>
    <w:rsid w:val="2B9D2881"/>
    <w:rsid w:val="2BFD6B16"/>
    <w:rsid w:val="2C33078A"/>
    <w:rsid w:val="2C81633F"/>
    <w:rsid w:val="2CA3146B"/>
    <w:rsid w:val="2CED6B8B"/>
    <w:rsid w:val="2D0D358A"/>
    <w:rsid w:val="2D160E27"/>
    <w:rsid w:val="2D8901E6"/>
    <w:rsid w:val="2D922444"/>
    <w:rsid w:val="2DB51B69"/>
    <w:rsid w:val="2DC53663"/>
    <w:rsid w:val="2DE947AC"/>
    <w:rsid w:val="2DFE4FC4"/>
    <w:rsid w:val="2E532E75"/>
    <w:rsid w:val="2E5F7614"/>
    <w:rsid w:val="2E642E7C"/>
    <w:rsid w:val="2E701821"/>
    <w:rsid w:val="2E774132"/>
    <w:rsid w:val="2E894691"/>
    <w:rsid w:val="2E98044D"/>
    <w:rsid w:val="2EB35859"/>
    <w:rsid w:val="2EF51D26"/>
    <w:rsid w:val="2F767B24"/>
    <w:rsid w:val="2FEE7075"/>
    <w:rsid w:val="3002294D"/>
    <w:rsid w:val="319F53D5"/>
    <w:rsid w:val="320F75A3"/>
    <w:rsid w:val="321921D0"/>
    <w:rsid w:val="327D6891"/>
    <w:rsid w:val="32DA341D"/>
    <w:rsid w:val="33086374"/>
    <w:rsid w:val="33A53D1B"/>
    <w:rsid w:val="33D07D64"/>
    <w:rsid w:val="33E04D53"/>
    <w:rsid w:val="341B644A"/>
    <w:rsid w:val="343074BE"/>
    <w:rsid w:val="34394463"/>
    <w:rsid w:val="347B7639"/>
    <w:rsid w:val="34E32F57"/>
    <w:rsid w:val="35C366DA"/>
    <w:rsid w:val="35D45C65"/>
    <w:rsid w:val="35DC779C"/>
    <w:rsid w:val="36541A28"/>
    <w:rsid w:val="365437D6"/>
    <w:rsid w:val="36D87F64"/>
    <w:rsid w:val="37134B6B"/>
    <w:rsid w:val="373C4E2B"/>
    <w:rsid w:val="373D62EC"/>
    <w:rsid w:val="37715645"/>
    <w:rsid w:val="377E4FAF"/>
    <w:rsid w:val="37BC7885"/>
    <w:rsid w:val="37CD1A92"/>
    <w:rsid w:val="37F27B13"/>
    <w:rsid w:val="381A66C1"/>
    <w:rsid w:val="38390ED6"/>
    <w:rsid w:val="38CF183A"/>
    <w:rsid w:val="38F65019"/>
    <w:rsid w:val="39206E75"/>
    <w:rsid w:val="392B2774"/>
    <w:rsid w:val="39F35722"/>
    <w:rsid w:val="3A145757"/>
    <w:rsid w:val="3A23468E"/>
    <w:rsid w:val="3A807BEB"/>
    <w:rsid w:val="3A920D71"/>
    <w:rsid w:val="3B1E6CCA"/>
    <w:rsid w:val="3B247C1B"/>
    <w:rsid w:val="3B4A0EA1"/>
    <w:rsid w:val="3B6047EC"/>
    <w:rsid w:val="3B7C7A57"/>
    <w:rsid w:val="3B8250B0"/>
    <w:rsid w:val="3BD46178"/>
    <w:rsid w:val="3C4542ED"/>
    <w:rsid w:val="3C4D643E"/>
    <w:rsid w:val="3C5A141B"/>
    <w:rsid w:val="3C62337D"/>
    <w:rsid w:val="3C961667"/>
    <w:rsid w:val="3C964B49"/>
    <w:rsid w:val="3CE65032"/>
    <w:rsid w:val="3D0777F5"/>
    <w:rsid w:val="3D260BAA"/>
    <w:rsid w:val="3D36097B"/>
    <w:rsid w:val="3D3829F1"/>
    <w:rsid w:val="3D3A4C02"/>
    <w:rsid w:val="3D847CFA"/>
    <w:rsid w:val="3DB039E8"/>
    <w:rsid w:val="3DDF6C81"/>
    <w:rsid w:val="3DF37D79"/>
    <w:rsid w:val="3DFB1968"/>
    <w:rsid w:val="3E5144CC"/>
    <w:rsid w:val="3E521FD5"/>
    <w:rsid w:val="3EE73BA4"/>
    <w:rsid w:val="3EF45B57"/>
    <w:rsid w:val="3F06588A"/>
    <w:rsid w:val="3F67741F"/>
    <w:rsid w:val="3F8844F1"/>
    <w:rsid w:val="3FDF5BE0"/>
    <w:rsid w:val="400973E0"/>
    <w:rsid w:val="40813F36"/>
    <w:rsid w:val="40CD48B1"/>
    <w:rsid w:val="40DC6C23"/>
    <w:rsid w:val="40F462E2"/>
    <w:rsid w:val="410F6713"/>
    <w:rsid w:val="41241B71"/>
    <w:rsid w:val="41450A1E"/>
    <w:rsid w:val="416053EE"/>
    <w:rsid w:val="41AD2965"/>
    <w:rsid w:val="41B10C5F"/>
    <w:rsid w:val="41BA2F55"/>
    <w:rsid w:val="41E950DD"/>
    <w:rsid w:val="42224789"/>
    <w:rsid w:val="424B28E0"/>
    <w:rsid w:val="42736A24"/>
    <w:rsid w:val="427C658F"/>
    <w:rsid w:val="42894A17"/>
    <w:rsid w:val="428D60FE"/>
    <w:rsid w:val="42F0435A"/>
    <w:rsid w:val="43056DA3"/>
    <w:rsid w:val="431120E7"/>
    <w:rsid w:val="43262E08"/>
    <w:rsid w:val="43660ED1"/>
    <w:rsid w:val="43776D56"/>
    <w:rsid w:val="43A8051C"/>
    <w:rsid w:val="43CE2E1A"/>
    <w:rsid w:val="44B85A66"/>
    <w:rsid w:val="4557299B"/>
    <w:rsid w:val="45C311CD"/>
    <w:rsid w:val="4616442F"/>
    <w:rsid w:val="46192347"/>
    <w:rsid w:val="46433572"/>
    <w:rsid w:val="4685178A"/>
    <w:rsid w:val="476870E2"/>
    <w:rsid w:val="47B440D5"/>
    <w:rsid w:val="47C50090"/>
    <w:rsid w:val="47FB7F56"/>
    <w:rsid w:val="4812529F"/>
    <w:rsid w:val="48335942"/>
    <w:rsid w:val="48AE321A"/>
    <w:rsid w:val="48B06F92"/>
    <w:rsid w:val="48DC0511"/>
    <w:rsid w:val="48E828E7"/>
    <w:rsid w:val="493B3DEE"/>
    <w:rsid w:val="49907E9A"/>
    <w:rsid w:val="499404F4"/>
    <w:rsid w:val="49A143EF"/>
    <w:rsid w:val="49DE7B2F"/>
    <w:rsid w:val="49EB7729"/>
    <w:rsid w:val="4A2D63C1"/>
    <w:rsid w:val="4A2F2C1B"/>
    <w:rsid w:val="4A9B1752"/>
    <w:rsid w:val="4ACF557E"/>
    <w:rsid w:val="4AEF3676"/>
    <w:rsid w:val="4B4340EE"/>
    <w:rsid w:val="4B736055"/>
    <w:rsid w:val="4B7B1606"/>
    <w:rsid w:val="4B7D37CA"/>
    <w:rsid w:val="4B8E7E54"/>
    <w:rsid w:val="4C03387D"/>
    <w:rsid w:val="4C40062D"/>
    <w:rsid w:val="4C6634E0"/>
    <w:rsid w:val="4C95095B"/>
    <w:rsid w:val="4C9C640F"/>
    <w:rsid w:val="4C9D0B2A"/>
    <w:rsid w:val="4C9E7102"/>
    <w:rsid w:val="4CD075AC"/>
    <w:rsid w:val="4CDF5CC3"/>
    <w:rsid w:val="4CE149D8"/>
    <w:rsid w:val="4D793222"/>
    <w:rsid w:val="4DC82688"/>
    <w:rsid w:val="4DEF2C23"/>
    <w:rsid w:val="4E010B16"/>
    <w:rsid w:val="4E444595"/>
    <w:rsid w:val="4EAD471B"/>
    <w:rsid w:val="4ECD7AE3"/>
    <w:rsid w:val="4F0F505D"/>
    <w:rsid w:val="4F247D92"/>
    <w:rsid w:val="4F4C1097"/>
    <w:rsid w:val="4F5A3B87"/>
    <w:rsid w:val="4F8F53DF"/>
    <w:rsid w:val="4FA155CE"/>
    <w:rsid w:val="503C735D"/>
    <w:rsid w:val="50587B1D"/>
    <w:rsid w:val="507F0247"/>
    <w:rsid w:val="50A373DC"/>
    <w:rsid w:val="50DC2C87"/>
    <w:rsid w:val="50F43C4D"/>
    <w:rsid w:val="510B45F8"/>
    <w:rsid w:val="510E519D"/>
    <w:rsid w:val="51246B08"/>
    <w:rsid w:val="512A18AC"/>
    <w:rsid w:val="51A676CC"/>
    <w:rsid w:val="51A74854"/>
    <w:rsid w:val="52290C25"/>
    <w:rsid w:val="522C2497"/>
    <w:rsid w:val="52B4767F"/>
    <w:rsid w:val="52D25D57"/>
    <w:rsid w:val="531D5224"/>
    <w:rsid w:val="53B042EA"/>
    <w:rsid w:val="53D20F28"/>
    <w:rsid w:val="542456CC"/>
    <w:rsid w:val="54640C31"/>
    <w:rsid w:val="54691A69"/>
    <w:rsid w:val="546C5749"/>
    <w:rsid w:val="553D7E00"/>
    <w:rsid w:val="553F4DA2"/>
    <w:rsid w:val="554A5AAB"/>
    <w:rsid w:val="55A41C2D"/>
    <w:rsid w:val="55B87486"/>
    <w:rsid w:val="56214966"/>
    <w:rsid w:val="569C6DA8"/>
    <w:rsid w:val="57EC277E"/>
    <w:rsid w:val="57F450AD"/>
    <w:rsid w:val="583D1EC5"/>
    <w:rsid w:val="585C1DFE"/>
    <w:rsid w:val="585C67EF"/>
    <w:rsid w:val="586456A3"/>
    <w:rsid w:val="58682355"/>
    <w:rsid w:val="58FD3402"/>
    <w:rsid w:val="59633BAD"/>
    <w:rsid w:val="59AA17DC"/>
    <w:rsid w:val="59B44408"/>
    <w:rsid w:val="59BB4C80"/>
    <w:rsid w:val="5A17367F"/>
    <w:rsid w:val="5A227D9B"/>
    <w:rsid w:val="5A6E70A4"/>
    <w:rsid w:val="5A7B6CD4"/>
    <w:rsid w:val="5A820063"/>
    <w:rsid w:val="5AD409BE"/>
    <w:rsid w:val="5B6634E0"/>
    <w:rsid w:val="5BB73D3C"/>
    <w:rsid w:val="5BF45803"/>
    <w:rsid w:val="5C61155D"/>
    <w:rsid w:val="5CD64696"/>
    <w:rsid w:val="5D621C0B"/>
    <w:rsid w:val="5D6707DF"/>
    <w:rsid w:val="5DE66B5A"/>
    <w:rsid w:val="5E410F63"/>
    <w:rsid w:val="5E5247C6"/>
    <w:rsid w:val="5E781EA8"/>
    <w:rsid w:val="5EB42F3B"/>
    <w:rsid w:val="5F385194"/>
    <w:rsid w:val="5F434264"/>
    <w:rsid w:val="5F487ACD"/>
    <w:rsid w:val="5F8E562C"/>
    <w:rsid w:val="5FA12D39"/>
    <w:rsid w:val="600F05EB"/>
    <w:rsid w:val="60C56EFB"/>
    <w:rsid w:val="60DF620F"/>
    <w:rsid w:val="612C6F7A"/>
    <w:rsid w:val="61442516"/>
    <w:rsid w:val="61706E67"/>
    <w:rsid w:val="61722BDF"/>
    <w:rsid w:val="619B70F1"/>
    <w:rsid w:val="61D513C0"/>
    <w:rsid w:val="61E82EA1"/>
    <w:rsid w:val="621C06D0"/>
    <w:rsid w:val="62C8385A"/>
    <w:rsid w:val="62C9769F"/>
    <w:rsid w:val="63035AB9"/>
    <w:rsid w:val="63A63014"/>
    <w:rsid w:val="63AE4174"/>
    <w:rsid w:val="64362D5B"/>
    <w:rsid w:val="643D45E3"/>
    <w:rsid w:val="64726029"/>
    <w:rsid w:val="64874BF3"/>
    <w:rsid w:val="64BE438D"/>
    <w:rsid w:val="64C86FBA"/>
    <w:rsid w:val="652F2EC5"/>
    <w:rsid w:val="65B03CD6"/>
    <w:rsid w:val="65C20A3D"/>
    <w:rsid w:val="65D10545"/>
    <w:rsid w:val="66065FEC"/>
    <w:rsid w:val="66240220"/>
    <w:rsid w:val="66285F62"/>
    <w:rsid w:val="6662309A"/>
    <w:rsid w:val="668861C8"/>
    <w:rsid w:val="66DB6169"/>
    <w:rsid w:val="676A2E4B"/>
    <w:rsid w:val="67776746"/>
    <w:rsid w:val="679B005B"/>
    <w:rsid w:val="67B2274B"/>
    <w:rsid w:val="681E5C54"/>
    <w:rsid w:val="682B5D4B"/>
    <w:rsid w:val="68C53D69"/>
    <w:rsid w:val="69362744"/>
    <w:rsid w:val="696152DF"/>
    <w:rsid w:val="69717C20"/>
    <w:rsid w:val="69AE2C22"/>
    <w:rsid w:val="69B61AD7"/>
    <w:rsid w:val="6A7C687C"/>
    <w:rsid w:val="6A7D43A3"/>
    <w:rsid w:val="6A9C6F1F"/>
    <w:rsid w:val="6AD466B8"/>
    <w:rsid w:val="6AE508C6"/>
    <w:rsid w:val="6AF910CD"/>
    <w:rsid w:val="6B2B6B4D"/>
    <w:rsid w:val="6B3A6EA4"/>
    <w:rsid w:val="6B421874"/>
    <w:rsid w:val="6B5E40FA"/>
    <w:rsid w:val="6B7A266E"/>
    <w:rsid w:val="6BC21C8A"/>
    <w:rsid w:val="6BD67F72"/>
    <w:rsid w:val="6C3F5C68"/>
    <w:rsid w:val="6C5D26DE"/>
    <w:rsid w:val="6CAE723D"/>
    <w:rsid w:val="6CC42AD7"/>
    <w:rsid w:val="6D21370B"/>
    <w:rsid w:val="6E13574A"/>
    <w:rsid w:val="6E560CD5"/>
    <w:rsid w:val="6E7C32EF"/>
    <w:rsid w:val="6EA52702"/>
    <w:rsid w:val="6EA63520"/>
    <w:rsid w:val="6F0F43E7"/>
    <w:rsid w:val="6F135232"/>
    <w:rsid w:val="6F730E40"/>
    <w:rsid w:val="6FA80114"/>
    <w:rsid w:val="711E054B"/>
    <w:rsid w:val="714A3A16"/>
    <w:rsid w:val="715D4161"/>
    <w:rsid w:val="71A53D84"/>
    <w:rsid w:val="71E2790D"/>
    <w:rsid w:val="722872EA"/>
    <w:rsid w:val="72D5042B"/>
    <w:rsid w:val="72D66F5B"/>
    <w:rsid w:val="72DD1E82"/>
    <w:rsid w:val="72E438A7"/>
    <w:rsid w:val="7309711B"/>
    <w:rsid w:val="73117D7E"/>
    <w:rsid w:val="73352FAF"/>
    <w:rsid w:val="73AA445A"/>
    <w:rsid w:val="73B3655F"/>
    <w:rsid w:val="7430357C"/>
    <w:rsid w:val="74312486"/>
    <w:rsid w:val="74880B67"/>
    <w:rsid w:val="748A0F58"/>
    <w:rsid w:val="74B44E65"/>
    <w:rsid w:val="74D06143"/>
    <w:rsid w:val="75173277"/>
    <w:rsid w:val="75AC59D0"/>
    <w:rsid w:val="75B42DEF"/>
    <w:rsid w:val="7611601F"/>
    <w:rsid w:val="76200A04"/>
    <w:rsid w:val="76726D86"/>
    <w:rsid w:val="76CA6BC2"/>
    <w:rsid w:val="772871C1"/>
    <w:rsid w:val="772C5186"/>
    <w:rsid w:val="77470212"/>
    <w:rsid w:val="774921DC"/>
    <w:rsid w:val="777C6CC3"/>
    <w:rsid w:val="77972F48"/>
    <w:rsid w:val="78146346"/>
    <w:rsid w:val="78533E6F"/>
    <w:rsid w:val="786F7A21"/>
    <w:rsid w:val="793B3369"/>
    <w:rsid w:val="793B7903"/>
    <w:rsid w:val="79A656C4"/>
    <w:rsid w:val="79B31B8F"/>
    <w:rsid w:val="79B70C03"/>
    <w:rsid w:val="79B871A5"/>
    <w:rsid w:val="79E70D0C"/>
    <w:rsid w:val="7A0B1256"/>
    <w:rsid w:val="7A770E0E"/>
    <w:rsid w:val="7AC92C87"/>
    <w:rsid w:val="7AD004DF"/>
    <w:rsid w:val="7AD368AC"/>
    <w:rsid w:val="7B365280"/>
    <w:rsid w:val="7B3D4F86"/>
    <w:rsid w:val="7B61495C"/>
    <w:rsid w:val="7BA27126"/>
    <w:rsid w:val="7BC9569A"/>
    <w:rsid w:val="7C1E3422"/>
    <w:rsid w:val="7C2B0102"/>
    <w:rsid w:val="7C2D3E7B"/>
    <w:rsid w:val="7C4E369A"/>
    <w:rsid w:val="7C7E5B09"/>
    <w:rsid w:val="7CB57512"/>
    <w:rsid w:val="7CE135FF"/>
    <w:rsid w:val="7CFB5D27"/>
    <w:rsid w:val="7D731D61"/>
    <w:rsid w:val="7DA97531"/>
    <w:rsid w:val="7DB06B11"/>
    <w:rsid w:val="7E2A62A6"/>
    <w:rsid w:val="7E2F1500"/>
    <w:rsid w:val="7E4436FD"/>
    <w:rsid w:val="7EA146AC"/>
    <w:rsid w:val="7EAE0B78"/>
    <w:rsid w:val="7EDE76AE"/>
    <w:rsid w:val="7EE54599"/>
    <w:rsid w:val="7F967F89"/>
    <w:rsid w:val="7FA04963"/>
    <w:rsid w:val="7FE9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6">
    <w:name w:val="table of authorities"/>
    <w:basedOn w:val="1"/>
    <w:next w:val="1"/>
    <w:qFormat/>
    <w:uiPriority w:val="0"/>
    <w:pPr>
      <w:ind w:left="420" w:leftChars="200"/>
    </w:pPr>
  </w:style>
  <w:style w:type="paragraph" w:styleId="7">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8">
    <w:name w:val="Body Text Indent 2"/>
    <w:basedOn w:val="1"/>
    <w:unhideWhenUsed/>
    <w:qFormat/>
    <w:uiPriority w:val="0"/>
    <w:pPr>
      <w:spacing w:after="120" w:line="480" w:lineRule="auto"/>
      <w:ind w:left="420" w:leftChars="200"/>
    </w:pPr>
  </w:style>
  <w:style w:type="paragraph" w:styleId="9">
    <w:name w:val="footer"/>
    <w:basedOn w:val="1"/>
    <w:unhideWhenUsed/>
    <w:qFormat/>
    <w:uiPriority w:val="99"/>
    <w:pPr>
      <w:tabs>
        <w:tab w:val="center" w:pos="4153"/>
        <w:tab w:val="right" w:pos="8306"/>
      </w:tabs>
      <w:snapToGrid w:val="0"/>
      <w:jc w:val="left"/>
    </w:pPr>
    <w:rPr>
      <w:kern w:val="0"/>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12">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13">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14">
    <w:name w:val="Body Text First Indent"/>
    <w:basedOn w:val="2"/>
    <w:unhideWhenUsed/>
    <w:qFormat/>
    <w:uiPriority w:val="99"/>
    <w:pPr>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unhideWhenUsed/>
    <w:qFormat/>
    <w:uiPriority w:val="99"/>
    <w:rPr>
      <w:color w:val="0000FF"/>
      <w:u w:val="single"/>
    </w:rPr>
  </w:style>
  <w:style w:type="character" w:styleId="19">
    <w:name w:val="HTML Sample"/>
    <w:basedOn w:val="17"/>
    <w:qFormat/>
    <w:uiPriority w:val="0"/>
    <w:rPr>
      <w:rFonts w:ascii="Courier New" w:hAnsi="Courier New"/>
    </w:rPr>
  </w:style>
  <w:style w:type="paragraph" w:customStyle="1" w:styleId="20">
    <w:name w:val="标题 5（有编号）（绿盟科技）"/>
    <w:basedOn w:val="1"/>
    <w:next w:val="21"/>
    <w:qFormat/>
    <w:uiPriority w:val="0"/>
    <w:pPr>
      <w:keepNext/>
      <w:keepLines/>
      <w:numPr>
        <w:ilvl w:val="4"/>
        <w:numId w:val="2"/>
      </w:numPr>
      <w:spacing w:before="280" w:after="156" w:line="377" w:lineRule="auto"/>
      <w:jc w:val="left"/>
      <w:outlineLvl w:val="4"/>
    </w:pPr>
    <w:rPr>
      <w:rFonts w:ascii="Arial" w:hAnsi="Arial" w:eastAsia="黑体"/>
      <w:b/>
      <w:sz w:val="24"/>
      <w:szCs w:val="28"/>
    </w:rPr>
  </w:style>
  <w:style w:type="paragraph" w:customStyle="1" w:styleId="21">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2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23">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24">
    <w:name w:val="列出段落2"/>
    <w:basedOn w:val="1"/>
    <w:qFormat/>
    <w:uiPriority w:val="0"/>
    <w:pPr>
      <w:ind w:firstLine="420" w:firstLineChars="200"/>
    </w:pPr>
  </w:style>
  <w:style w:type="paragraph" w:styleId="25">
    <w:name w:val="List Paragraph"/>
    <w:basedOn w:val="1"/>
    <w:qFormat/>
    <w:uiPriority w:val="0"/>
    <w:pPr>
      <w:ind w:firstLine="420" w:firstLineChars="200"/>
    </w:pPr>
    <w:rPr>
      <w:rFonts w:eastAsiaTheme="minorEastAsia" w:cstheme="minorBidi"/>
    </w:rPr>
  </w:style>
  <w:style w:type="paragraph" w:customStyle="1" w:styleId="26">
    <w:name w:val="列出段落1"/>
    <w:basedOn w:val="1"/>
    <w:qFormat/>
    <w:uiPriority w:val="99"/>
    <w:pPr>
      <w:ind w:firstLine="420" w:firstLineChars="200"/>
    </w:pPr>
  </w:style>
  <w:style w:type="paragraph" w:customStyle="1" w:styleId="27">
    <w:name w:val="彩色列表 - 强调文字颜色 11"/>
    <w:basedOn w:val="1"/>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8">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29">
    <w:name w:val="_Style 3"/>
    <w:basedOn w:val="1"/>
    <w:qFormat/>
    <w:uiPriority w:val="99"/>
    <w:pPr>
      <w:ind w:firstLine="420" w:firstLineChars="200"/>
    </w:pPr>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36</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2021-11-09T08:39:00Z</dcterms:created>
  <dc:creator>Administrator</dc:creator>
  <cp:lastModifiedBy>肖肖</cp:lastModifiedBy>
  <cp:lastPrinted>2021-11-29T06:28:00Z</cp:lastPrinted>
  <dcterms:modified xsi:type="dcterms:W3CDTF">2021-12-03T03:02:42Z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DCD292CD276B40EFBB7C4F7B16434BF0</vt:lpwstr>
  </property>
</Properties>
</file>