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rPr>
          <w:rFonts w:ascii="宋体" w:hAnsi="宋体"/>
        </w:rPr>
      </w:pPr>
    </w:p>
    <w:p>
      <w:pPr>
        <w:spacing w:line="360" w:lineRule="auto"/>
        <w:ind w:left="2409" w:leftChars="338" w:hanging="1699" w:hangingChars="531"/>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成都东部新区石板凳街道桐子坳社区先锋安置小区物业服务采购项目</w:t>
      </w:r>
    </w:p>
    <w:p>
      <w:pPr>
        <w:spacing w:line="360" w:lineRule="auto"/>
        <w:ind w:left="2409" w:leftChars="338" w:hanging="1699" w:hangingChars="531"/>
        <w:rPr>
          <w:rFonts w:ascii="华文中宋" w:hAnsi="华文中宋" w:eastAsia="华文中宋"/>
          <w:sz w:val="32"/>
          <w:szCs w:val="32"/>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东部新区政采（2021）A0066号</w:t>
      </w:r>
    </w:p>
    <w:p>
      <w:pPr>
        <w:spacing w:line="360" w:lineRule="auto"/>
        <w:ind w:firstLine="1280" w:firstLineChars="400"/>
        <w:rPr>
          <w:rFonts w:ascii="宋体" w:hAnsi="宋体"/>
          <w:sz w:val="32"/>
          <w:szCs w:val="32"/>
        </w:rPr>
      </w:pPr>
    </w:p>
    <w:p>
      <w:pPr>
        <w:spacing w:line="360" w:lineRule="auto"/>
        <w:ind w:firstLine="1256" w:firstLineChars="349"/>
        <w:rPr>
          <w:rFonts w:ascii="宋体" w:hAnsi="宋体"/>
          <w:spacing w:val="20"/>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成都东部新区石板凳街道办事处、</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成都东部新区党工委管委会（成都市东部新城办）综合部共同编制</w:t>
      </w:r>
    </w:p>
    <w:p>
      <w:pPr>
        <w:spacing w:line="360" w:lineRule="auto"/>
        <w:jc w:val="center"/>
        <w:rPr>
          <w:rFonts w:ascii="华文中宋" w:hAnsi="华文中宋" w:eastAsia="华文中宋"/>
          <w:sz w:val="28"/>
          <w:szCs w:val="32"/>
        </w:rPr>
      </w:pPr>
      <w:r>
        <w:rPr>
          <w:rFonts w:hint="eastAsia" w:ascii="华文中宋" w:hAnsi="华文中宋" w:eastAsia="华文中宋"/>
          <w:sz w:val="32"/>
          <w:szCs w:val="32"/>
        </w:rPr>
        <w:t>二〇二</w:t>
      </w:r>
      <w:r>
        <w:rPr>
          <w:rFonts w:hint="eastAsia" w:ascii="华文中宋" w:hAnsi="华文中宋" w:eastAsia="华文中宋"/>
          <w:sz w:val="32"/>
          <w:szCs w:val="32"/>
          <w:lang w:val="en-US" w:eastAsia="zh-CN"/>
        </w:rPr>
        <w:t>一</w:t>
      </w:r>
      <w:r>
        <w:rPr>
          <w:rFonts w:hint="eastAsia" w:ascii="华文中宋" w:hAnsi="华文中宋" w:eastAsia="华文中宋"/>
          <w:sz w:val="32"/>
          <w:szCs w:val="32"/>
        </w:rPr>
        <w:t>年</w:t>
      </w:r>
      <w:r>
        <w:rPr>
          <w:rFonts w:hint="eastAsia" w:ascii="华文中宋" w:hAnsi="华文中宋" w:eastAsia="华文中宋"/>
          <w:sz w:val="32"/>
          <w:szCs w:val="32"/>
          <w:lang w:eastAsia="zh-CN"/>
        </w:rPr>
        <w:t>十二</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48505181"/>
      <w:bookmarkStart w:id="1" w:name="_Toc101234248"/>
      <w:bookmarkStart w:id="2" w:name="_Toc101328520"/>
      <w:bookmarkStart w:id="3" w:name="_Toc101247312"/>
      <w:r>
        <w:rPr>
          <w:rFonts w:hint="eastAsia" w:ascii="宋体" w:hAnsi="宋体"/>
          <w:b/>
          <w:sz w:val="32"/>
          <w:szCs w:val="32"/>
        </w:rPr>
        <w:t>目 录</w:t>
      </w:r>
    </w:p>
    <w:p>
      <w:pPr>
        <w:pStyle w:val="29"/>
        <w:tabs>
          <w:tab w:val="right" w:leader="dot" w:pos="8306"/>
          <w:tab w:val="clear" w:pos="709"/>
          <w:tab w:val="clear" w:pos="8364"/>
        </w:tabs>
      </w:pPr>
      <w:r>
        <w:rPr>
          <w:rFonts w:hint="eastAsia"/>
        </w:rPr>
        <w:fldChar w:fldCharType="begin"/>
      </w:r>
      <w:r>
        <w:rPr>
          <w:rFonts w:hint="eastAsia" w:ascii="宋体" w:hAnsi="宋体"/>
          <w:smallCaps/>
        </w:rPr>
        <w:instrText xml:space="preserve"> TOC \o "1-2" \h \z \u </w:instrText>
      </w:r>
      <w:r>
        <w:rPr>
          <w:rFonts w:hint="eastAsia"/>
        </w:rPr>
        <w:fldChar w:fldCharType="separate"/>
      </w:r>
      <w:r>
        <w:rPr>
          <w:rFonts w:hint="eastAsia"/>
        </w:rPr>
        <w:fldChar w:fldCharType="begin"/>
      </w:r>
      <w:r>
        <w:rPr>
          <w:rFonts w:hint="eastAsia"/>
        </w:rPr>
        <w:instrText xml:space="preserve"> HYPERLINK \l _Toc29653 </w:instrText>
      </w:r>
      <w:r>
        <w:rPr>
          <w:rFonts w:hint="eastAsi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_Toc29653 \h </w:instrText>
      </w:r>
      <w:r>
        <w:fldChar w:fldCharType="separate"/>
      </w:r>
      <w:r>
        <w:t>3</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_Toc31240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_Toc31240 \h </w:instrText>
      </w:r>
      <w:r>
        <w:fldChar w:fldCharType="separate"/>
      </w:r>
      <w:r>
        <w:t>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_Toc15099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_Toc15099 \h </w:instrText>
      </w:r>
      <w:r>
        <w:fldChar w:fldCharType="separate"/>
      </w:r>
      <w:r>
        <w:t>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_Toc15663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_Toc15663 \h </w:instrText>
      </w:r>
      <w:r>
        <w:fldChar w:fldCharType="separate"/>
      </w:r>
      <w:r>
        <w:t>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_Toc26720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_Toc26720 \h </w:instrText>
      </w:r>
      <w:r>
        <w:fldChar w:fldCharType="separate"/>
      </w:r>
      <w:r>
        <w:t>11</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_Toc3732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_Toc3732 \h </w:instrText>
      </w:r>
      <w:r>
        <w:fldChar w:fldCharType="separate"/>
      </w:r>
      <w:r>
        <w:t>12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_Toc11538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_Toc11538 \h </w:instrText>
      </w:r>
      <w:r>
        <w:fldChar w:fldCharType="separate"/>
      </w:r>
      <w:r>
        <w:t>18</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_Toc17657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_Toc17657 \h </w:instrText>
      </w:r>
      <w:r>
        <w:fldChar w:fldCharType="separate"/>
      </w:r>
      <w:r>
        <w:t>20</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_Toc28431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_Toc28431 \h </w:instrText>
      </w:r>
      <w:r>
        <w:fldChar w:fldCharType="separate"/>
      </w:r>
      <w:r>
        <w:t>23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_Toc30625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_Toc30625 \h </w:instrText>
      </w:r>
      <w:r>
        <w:fldChar w:fldCharType="separate"/>
      </w:r>
      <w:r>
        <w:t>24</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_Toc29919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_Toc29919 \h </w:instrText>
      </w:r>
      <w:r>
        <w:fldChar w:fldCharType="separate"/>
      </w:r>
      <w:r>
        <w:t>27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_Toc30202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_Toc30202 \h </w:instrText>
      </w:r>
      <w:r>
        <w:fldChar w:fldCharType="separate"/>
      </w:r>
      <w:r>
        <w:t>27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_Toc3865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_Toc3865 \h </w:instrText>
      </w:r>
      <w:r>
        <w:fldChar w:fldCharType="separate"/>
      </w:r>
      <w:r>
        <w:t>28</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_Toc6553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_Toc6553 \h </w:instrText>
      </w:r>
      <w:r>
        <w:fldChar w:fldCharType="separate"/>
      </w:r>
      <w:r>
        <w:t>35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_Toc14065 </w:instrText>
      </w:r>
      <w:r>
        <w:rPr>
          <w:rFonts w:hint="eastAsia"/>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_Toc14065 \h </w:instrText>
      </w:r>
      <w:r>
        <w:fldChar w:fldCharType="separate"/>
      </w:r>
      <w:r>
        <w:t>40</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_Toc11534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_Toc11534 \h </w:instrText>
      </w:r>
      <w:r>
        <w:fldChar w:fldCharType="separate"/>
      </w:r>
      <w:r>
        <w:t>42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_Toc4666 </w:instrText>
      </w:r>
      <w:r>
        <w:rPr>
          <w:rFonts w:hint="eastAsia"/>
        </w:rPr>
        <w:fldChar w:fldCharType="separate"/>
      </w:r>
      <w:r>
        <w:rPr>
          <w:rFonts w:hint="default" w:ascii="Times New Roman" w:hAnsi="Times New Roman" w:eastAsia="宋体" w:cs="Times New Roman"/>
          <w:i w:val="0"/>
          <w:szCs w:val="28"/>
        </w:rPr>
        <w:t xml:space="preserve">4.1 </w:t>
      </w:r>
      <w:r>
        <w:rPr>
          <w:rFonts w:hint="eastAsia"/>
        </w:rPr>
        <w:t>项目</w:t>
      </w:r>
      <w:r>
        <w:rPr>
          <w:rFonts w:hint="eastAsia"/>
          <w:lang w:eastAsia="zh-CN"/>
        </w:rPr>
        <w:t>概述</w:t>
      </w:r>
      <w:r>
        <w:tab/>
      </w:r>
      <w:r>
        <w:fldChar w:fldCharType="begin"/>
      </w:r>
      <w:r>
        <w:instrText xml:space="preserve"> PAGEREF _Toc4666 \h </w:instrText>
      </w:r>
      <w:r>
        <w:fldChar w:fldCharType="separate"/>
      </w:r>
      <w:r>
        <w:t>42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_Toc13912 </w:instrText>
      </w:r>
      <w:r>
        <w:rPr>
          <w:rFonts w:hint="eastAsia"/>
        </w:rPr>
        <w:fldChar w:fldCharType="separate"/>
      </w:r>
      <w:r>
        <w:rPr>
          <w:rFonts w:hint="default" w:ascii="Times New Roman" w:hAnsi="Times New Roman" w:eastAsia="宋体" w:cs="Times New Roman"/>
          <w:i w:val="0"/>
          <w:szCs w:val="28"/>
        </w:rPr>
        <w:t xml:space="preserve">4.2 </w:t>
      </w:r>
      <w:r>
        <w:rPr>
          <w:rFonts w:hint="eastAsia"/>
        </w:rPr>
        <w:t>服务内容及服务要求</w:t>
      </w:r>
      <w:r>
        <w:tab/>
      </w:r>
      <w:r>
        <w:fldChar w:fldCharType="begin"/>
      </w:r>
      <w:r>
        <w:instrText xml:space="preserve"> PAGEREF _Toc13912 \h </w:instrText>
      </w:r>
      <w:r>
        <w:fldChar w:fldCharType="separate"/>
      </w:r>
      <w:r>
        <w:t>43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_Toc4234 </w:instrText>
      </w:r>
      <w:r>
        <w:rPr>
          <w:rFonts w:hint="eastAsia"/>
        </w:rPr>
        <w:fldChar w:fldCharType="separate"/>
      </w:r>
      <w:r>
        <w:rPr>
          <w:rFonts w:hint="default" w:ascii="Times New Roman" w:hAnsi="Times New Roman" w:eastAsia="宋体" w:cs="Times New Roman"/>
          <w:i w:val="0"/>
          <w:szCs w:val="28"/>
          <w:lang w:val="en-US" w:eastAsia="zh-CN"/>
        </w:rPr>
        <w:t xml:space="preserve">4.3 </w:t>
      </w:r>
      <w:r>
        <w:rPr>
          <w:rFonts w:hint="eastAsia" w:ascii="宋体" w:hAnsi="宋体" w:eastAsia="宋体" w:cs="宋体"/>
          <w:lang w:val="en-US" w:eastAsia="zh-CN"/>
        </w:rPr>
        <w:t>服务标准</w:t>
      </w:r>
      <w:r>
        <w:tab/>
      </w:r>
      <w:r>
        <w:fldChar w:fldCharType="begin"/>
      </w:r>
      <w:r>
        <w:instrText xml:space="preserve"> PAGEREF _Toc4234 \h </w:instrText>
      </w:r>
      <w:r>
        <w:fldChar w:fldCharType="separate"/>
      </w:r>
      <w:r>
        <w:t>56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_Toc10756 </w:instrText>
      </w:r>
      <w:r>
        <w:rPr>
          <w:rFonts w:hint="eastAsia"/>
        </w:rPr>
        <w:fldChar w:fldCharType="separate"/>
      </w:r>
      <w:r>
        <w:rPr>
          <w:rFonts w:hint="default" w:ascii="Times New Roman" w:hAnsi="Times New Roman" w:eastAsia="宋体" w:cs="Times New Roman"/>
          <w:i w:val="0"/>
          <w:szCs w:val="28"/>
        </w:rPr>
        <w:t xml:space="preserve">4.4 </w:t>
      </w:r>
      <w:r>
        <w:rPr>
          <w:rFonts w:hint="eastAsia"/>
        </w:rPr>
        <w:t>商务要求</w:t>
      </w:r>
      <w:r>
        <w:tab/>
      </w:r>
      <w:r>
        <w:fldChar w:fldCharType="begin"/>
      </w:r>
      <w:r>
        <w:instrText xml:space="preserve"> PAGEREF _Toc10756 \h </w:instrText>
      </w:r>
      <w:r>
        <w:fldChar w:fldCharType="separate"/>
      </w:r>
      <w:r>
        <w:t>59</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_Toc12889 </w:instrText>
      </w:r>
      <w:r>
        <w:rPr>
          <w:rFonts w:hint="eastAsia"/>
        </w:rPr>
        <w:fldChar w:fldCharType="separate"/>
      </w:r>
      <w:r>
        <w:rPr>
          <w:rFonts w:hint="default" w:ascii="Times New Roman" w:hAnsi="Times New Roman" w:eastAsia="宋体" w:cs="Times New Roman"/>
          <w:i w:val="0"/>
          <w:szCs w:val="28"/>
        </w:rPr>
        <w:t xml:space="preserve">4.5 </w:t>
      </w:r>
      <w:r>
        <w:rPr>
          <w:rFonts w:hint="eastAsia" w:ascii="宋体" w:hAnsi="宋体" w:eastAsia="宋体" w:cs="宋体"/>
        </w:rPr>
        <w:t>其他要求</w:t>
      </w:r>
      <w:r>
        <w:tab/>
      </w:r>
      <w:r>
        <w:fldChar w:fldCharType="begin"/>
      </w:r>
      <w:r>
        <w:instrText xml:space="preserve"> PAGEREF _Toc12889 \h </w:instrText>
      </w:r>
      <w:r>
        <w:fldChar w:fldCharType="separate"/>
      </w:r>
      <w:r>
        <w:t>60</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_Toc29756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_Toc29756 \h </w:instrText>
      </w:r>
      <w:r>
        <w:fldChar w:fldCharType="separate"/>
      </w:r>
      <w:r>
        <w:t>61</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_Toc21085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_Toc21085 \h </w:instrText>
      </w:r>
      <w:r>
        <w:fldChar w:fldCharType="separate"/>
      </w:r>
      <w:r>
        <w:t>65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_Toc28495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_Toc28495 \h </w:instrText>
      </w:r>
      <w:r>
        <w:fldChar w:fldCharType="separate"/>
      </w:r>
      <w:r>
        <w:t>65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_Toc19049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_Toc19049 \h </w:instrText>
      </w:r>
      <w:r>
        <w:fldChar w:fldCharType="separate"/>
      </w:r>
      <w:r>
        <w:t>66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_Toc23419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_Toc23419 \h </w:instrText>
      </w:r>
      <w:r>
        <w:fldChar w:fldCharType="separate"/>
      </w:r>
      <w:r>
        <w:t>66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_Toc22678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_Toc22678 \h </w:instrText>
      </w:r>
      <w:r>
        <w:fldChar w:fldCharType="separate"/>
      </w:r>
      <w:r>
        <w:t>72</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_Toc18942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_Toc18942 \h </w:instrText>
      </w:r>
      <w:r>
        <w:fldChar w:fldCharType="separate"/>
      </w:r>
      <w:r>
        <w:t>73</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_Toc3725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_Toc3725 \h </w:instrText>
      </w:r>
      <w:r>
        <w:fldChar w:fldCharType="separate"/>
      </w:r>
      <w:r>
        <w:t>75</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_Toc15802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_Toc15802 \h </w:instrText>
      </w:r>
      <w:r>
        <w:fldChar w:fldCharType="separate"/>
      </w:r>
      <w:r>
        <w:t>76</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_Toc9243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评审专家在政府采购活动中承担以下义务</w:t>
      </w:r>
      <w:r>
        <w:tab/>
      </w:r>
      <w:r>
        <w:fldChar w:fldCharType="begin"/>
      </w:r>
      <w:r>
        <w:instrText xml:space="preserve"> PAGEREF _Toc9243 \h </w:instrText>
      </w:r>
      <w:r>
        <w:fldChar w:fldCharType="separate"/>
      </w:r>
      <w:r>
        <w:t>77</w:t>
      </w:r>
      <w:r>
        <w:fldChar w:fldCharType="end"/>
      </w:r>
      <w:r>
        <w:rPr>
          <w:rFonts w:hint="eastAsia"/>
        </w:rPr>
        <w:fldChar w:fldCharType="end"/>
      </w:r>
    </w:p>
    <w:p>
      <w:pPr>
        <w:pStyle w:val="35"/>
        <w:tabs>
          <w:tab w:val="right" w:leader="dot" w:pos="8306"/>
          <w:tab w:val="clear" w:pos="620"/>
          <w:tab w:val="clear" w:pos="8364"/>
        </w:tabs>
      </w:pPr>
      <w:r>
        <w:rPr>
          <w:rFonts w:hint="eastAsia"/>
        </w:rPr>
        <w:fldChar w:fldCharType="begin"/>
      </w:r>
      <w:r>
        <w:rPr>
          <w:rFonts w:hint="eastAsia"/>
        </w:rPr>
        <w:instrText xml:space="preserve"> HYPERLINK \l _Toc5615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评审专家在政府采购活动中应当遵守以下工作纪律</w:t>
      </w:r>
      <w:r>
        <w:tab/>
      </w:r>
      <w:r>
        <w:fldChar w:fldCharType="begin"/>
      </w:r>
      <w:r>
        <w:instrText xml:space="preserve"> PAGEREF _Toc5615 \h </w:instrText>
      </w:r>
      <w:r>
        <w:fldChar w:fldCharType="separate"/>
      </w:r>
      <w:r>
        <w:t>77</w:t>
      </w:r>
      <w:r>
        <w:fldChar w:fldCharType="end"/>
      </w:r>
      <w:r>
        <w:rPr>
          <w:rFonts w:hint="eastAsia"/>
        </w:rPr>
        <w:fldChar w:fldCharType="end"/>
      </w:r>
    </w:p>
    <w:p>
      <w:pPr>
        <w:pStyle w:val="29"/>
        <w:tabs>
          <w:tab w:val="right" w:leader="dot" w:pos="8306"/>
          <w:tab w:val="clear" w:pos="709"/>
          <w:tab w:val="clear" w:pos="8364"/>
        </w:tabs>
      </w:pPr>
      <w:r>
        <w:rPr>
          <w:rFonts w:hint="eastAsia"/>
        </w:rPr>
        <w:fldChar w:fldCharType="begin"/>
      </w:r>
      <w:r>
        <w:rPr>
          <w:rFonts w:hint="eastAsia"/>
        </w:rPr>
        <w:instrText xml:space="preserve"> HYPERLINK \l _Toc3967 </w:instrText>
      </w:r>
      <w:r>
        <w:rPr>
          <w:rFonts w:hint="eastAsia"/>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拟签订的合同文本</w:t>
      </w:r>
      <w:r>
        <w:tab/>
      </w:r>
      <w:r>
        <w:fldChar w:fldCharType="begin"/>
      </w:r>
      <w:r>
        <w:instrText xml:space="preserve"> PAGEREF _Toc3967 \h </w:instrText>
      </w:r>
      <w:r>
        <w:fldChar w:fldCharType="separate"/>
      </w:r>
      <w:r>
        <w:t>79</w:t>
      </w:r>
      <w:r>
        <w:fldChar w:fldCharType="end"/>
      </w:r>
      <w:r>
        <w:rPr>
          <w:rFonts w:hint="eastAsia"/>
        </w:rPr>
        <w:fldChar w:fldCharType="end"/>
      </w:r>
    </w:p>
    <w:p>
      <w:pPr>
        <w:tabs>
          <w:tab w:val="left" w:pos="620"/>
          <w:tab w:val="right" w:leader="dot" w:pos="8364"/>
        </w:tabs>
        <w:ind w:left="180"/>
        <w:rPr>
          <w:rFonts w:ascii="宋体" w:hAnsi="宋体"/>
          <w:b/>
          <w:bCs/>
          <w:caps/>
          <w:smallCaps/>
          <w:sz w:val="20"/>
          <w:szCs w:val="20"/>
        </w:rPr>
      </w:pPr>
      <w:r>
        <w:rPr>
          <w:rFonts w:hint="eastAsia"/>
        </w:rPr>
        <w:fldChar w:fldCharType="end"/>
      </w:r>
    </w:p>
    <w:p/>
    <w:p/>
    <w:p>
      <w:pPr>
        <w:pStyle w:val="2"/>
      </w:pP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610856"/>
      <w:bookmarkStart w:id="5" w:name="_Toc204575871"/>
      <w:bookmarkStart w:id="6" w:name="_Toc181591102"/>
      <w:bookmarkStart w:id="7" w:name="_Toc29653"/>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rPr>
        <w:t>成都东部新区党工委管委会（成都市东部新城办）综合部(以下简称“东部新区综合部”)受</w:t>
      </w:r>
      <w:r>
        <w:rPr>
          <w:rFonts w:hint="eastAsia" w:asciiTheme="minorEastAsia" w:hAnsiTheme="minorEastAsia"/>
          <w:b/>
          <w:sz w:val="28"/>
          <w:szCs w:val="28"/>
        </w:rPr>
        <w:t>成都东部新区石板凳街道办事处</w:t>
      </w:r>
      <w:r>
        <w:rPr>
          <w:rFonts w:hint="eastAsia" w:ascii="宋体" w:hAnsi="宋体"/>
          <w:sz w:val="28"/>
          <w:szCs w:val="28"/>
        </w:rPr>
        <w:t>委托，拟对</w:t>
      </w:r>
      <w:r>
        <w:rPr>
          <w:rFonts w:hint="eastAsia" w:ascii="宋体" w:hAnsi="宋体"/>
          <w:b/>
          <w:sz w:val="28"/>
          <w:szCs w:val="28"/>
          <w:lang w:eastAsia="zh-CN"/>
        </w:rPr>
        <w:t>成都东部新区石板凳街道桐子坳社区先锋安置小区物业服务采购项目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东部新区政采（2021）A0066号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（采购项目编号：510118202100261）</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成都东部新区石板凳街道桐子坳社区先锋安置小区物业服务采购项目</w:t>
      </w:r>
    </w:p>
    <w:p>
      <w:pPr>
        <w:numPr>
          <w:ilvl w:val="0"/>
          <w:numId w:val="6"/>
        </w:numPr>
        <w:spacing w:after="200" w:line="56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财政性资金，政府采购实施计划备案表号：(2021)0740号；预算品目：C1204物业管理服务；预算金额：</w:t>
      </w:r>
      <w:r>
        <w:rPr>
          <w:rFonts w:hint="eastAsia" w:ascii="宋体" w:hAnsi="宋体"/>
          <w:sz w:val="28"/>
          <w:szCs w:val="28"/>
          <w:lang w:eastAsia="zh-CN"/>
        </w:rPr>
        <w:t>380.653101万元</w:t>
      </w:r>
      <w:r>
        <w:rPr>
          <w:rFonts w:hint="eastAsia" w:ascii="宋体" w:hAnsi="宋体"/>
          <w:sz w:val="28"/>
          <w:szCs w:val="28"/>
        </w:rPr>
        <w:t>；最高限价：</w:t>
      </w:r>
      <w:r>
        <w:rPr>
          <w:rFonts w:hint="eastAsia" w:ascii="宋体" w:hAnsi="宋体"/>
          <w:sz w:val="28"/>
          <w:szCs w:val="28"/>
          <w:lang w:eastAsia="zh-CN"/>
        </w:rPr>
        <w:t>380.653101万元</w:t>
      </w:r>
      <w:r>
        <w:rPr>
          <w:rFonts w:hint="eastAsia" w:ascii="宋体" w:hAnsi="宋体"/>
          <w:sz w:val="28"/>
          <w:szCs w:val="28"/>
        </w:rPr>
        <w:t>；标的名称：</w:t>
      </w:r>
      <w:r>
        <w:rPr>
          <w:rFonts w:hint="eastAsia" w:ascii="宋体" w:hAnsi="宋体"/>
          <w:sz w:val="28"/>
          <w:szCs w:val="28"/>
          <w:lang w:eastAsia="zh-CN"/>
        </w:rPr>
        <w:t>成都东部新区石板凳街道桐子坳社区先锋安置小区物业服务采购项目</w:t>
      </w:r>
      <w:r>
        <w:rPr>
          <w:rFonts w:hint="eastAsia" w:ascii="宋体" w:hAnsi="宋体"/>
          <w:sz w:val="28"/>
          <w:szCs w:val="28"/>
        </w:rPr>
        <w:t>；所属行业：物业管理。</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360" w:lineRule="auto"/>
        <w:ind w:firstLine="560" w:firstLineChars="200"/>
        <w:rPr>
          <w:rFonts w:hint="eastAsia" w:ascii="宋体" w:hAnsi="宋体" w:eastAsia="宋体"/>
          <w:sz w:val="28"/>
          <w:szCs w:val="28"/>
          <w:lang w:eastAsia="zh-CN"/>
        </w:rPr>
      </w:pPr>
      <w:r>
        <w:rPr>
          <w:rFonts w:hint="eastAsia" w:ascii="宋体" w:hAnsi="宋体"/>
          <w:sz w:val="28"/>
          <w:szCs w:val="28"/>
        </w:rPr>
        <w:t>本次采购服务内容为成都</w:t>
      </w:r>
      <w:bookmarkStart w:id="192" w:name="_GoBack"/>
      <w:bookmarkEnd w:id="192"/>
      <w:r>
        <w:rPr>
          <w:rFonts w:hint="eastAsia" w:ascii="宋体" w:hAnsi="宋体"/>
          <w:sz w:val="28"/>
          <w:szCs w:val="28"/>
        </w:rPr>
        <w:t>东部新区石板凳街道桐子坳社区先锋安置小区物业服务</w:t>
      </w:r>
      <w:r>
        <w:rPr>
          <w:rFonts w:hint="eastAsia" w:ascii="宋体" w:hAnsi="宋体"/>
          <w:sz w:val="28"/>
          <w:szCs w:val="28"/>
          <w:lang w:eastAsia="zh-CN"/>
        </w:rPr>
        <w:t>。</w:t>
      </w: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0" w:firstLine="567"/>
        <w:rPr>
          <w:rFonts w:ascii="宋体" w:hAnsi="宋体"/>
          <w:b/>
          <w:sz w:val="28"/>
          <w:szCs w:val="28"/>
        </w:rPr>
      </w:pPr>
      <w:r>
        <w:rPr>
          <w:rFonts w:hint="eastAsia" w:ascii="宋体" w:hAnsi="宋体"/>
          <w:b/>
          <w:sz w:val="28"/>
          <w:szCs w:val="28"/>
          <w:lang w:eastAsia="zh-CN"/>
        </w:rPr>
        <w:t>落实政府采购政策需满足的资格要求：供应商应将采购项目中预算总额的30%分包给一家或者多家中小企业，其中预留给小微企业的比例不低于60%</w:t>
      </w:r>
      <w:r>
        <w:rPr>
          <w:rFonts w:hint="eastAsia" w:ascii="宋体" w:hAnsi="宋体"/>
          <w:b/>
          <w:sz w:val="28"/>
          <w:szCs w:val="28"/>
        </w:rPr>
        <w:t>；</w:t>
      </w:r>
    </w:p>
    <w:p>
      <w:pPr>
        <w:numPr>
          <w:ilvl w:val="1"/>
          <w:numId w:val="7"/>
        </w:numPr>
        <w:spacing w:line="360" w:lineRule="auto"/>
        <w:ind w:left="0" w:firstLine="567"/>
        <w:rPr>
          <w:rFonts w:ascii="宋体" w:hAnsi="宋体"/>
          <w:sz w:val="28"/>
          <w:szCs w:val="28"/>
        </w:rPr>
      </w:pPr>
      <w:r>
        <w:rPr>
          <w:rFonts w:ascii="宋体" w:hAnsi="宋体"/>
          <w:sz w:val="28"/>
          <w:szCs w:val="28"/>
        </w:rPr>
        <w:t xml:space="preserve"> </w:t>
      </w:r>
      <w:r>
        <w:rPr>
          <w:rFonts w:hint="eastAsia" w:ascii="宋体" w:hAnsi="宋体"/>
          <w:sz w:val="28"/>
          <w:szCs w:val="28"/>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rPr>
      </w:pPr>
      <w:r>
        <w:rPr>
          <w:rFonts w:hint="eastAsia" w:ascii="宋体" w:hAnsi="宋体"/>
          <w:b/>
          <w:sz w:val="28"/>
          <w:szCs w:val="28"/>
        </w:rPr>
        <w:t>招标文件获取时间：202</w:t>
      </w:r>
      <w:r>
        <w:rPr>
          <w:rFonts w:hint="eastAsia" w:ascii="宋体" w:hAnsi="宋体"/>
          <w:b/>
          <w:sz w:val="28"/>
          <w:szCs w:val="28"/>
          <w:lang w:val="en-US" w:eastAsia="zh-CN"/>
        </w:rPr>
        <w:t>1</w:t>
      </w:r>
      <w:r>
        <w:rPr>
          <w:rFonts w:hint="eastAsia" w:ascii="宋体" w:hAnsi="宋体"/>
          <w:b/>
          <w:sz w:val="28"/>
          <w:szCs w:val="28"/>
        </w:rPr>
        <w:t>年</w:t>
      </w:r>
      <w:r>
        <w:rPr>
          <w:rFonts w:hint="eastAsia" w:ascii="宋体" w:hAnsi="宋体"/>
          <w:b/>
          <w:sz w:val="28"/>
          <w:szCs w:val="28"/>
          <w:lang w:val="en-US" w:eastAsia="zh-CN"/>
        </w:rPr>
        <w:t>12</w:t>
      </w:r>
      <w:r>
        <w:rPr>
          <w:rFonts w:hint="eastAsia" w:ascii="宋体" w:hAnsi="宋体"/>
          <w:b/>
          <w:sz w:val="28"/>
          <w:szCs w:val="28"/>
        </w:rPr>
        <w:t>月</w:t>
      </w:r>
      <w:r>
        <w:rPr>
          <w:rFonts w:hint="eastAsia" w:ascii="宋体" w:hAnsi="宋体"/>
          <w:b/>
          <w:sz w:val="28"/>
          <w:szCs w:val="28"/>
          <w:lang w:val="en-US" w:eastAsia="zh-CN"/>
        </w:rPr>
        <w:t>8</w:t>
      </w:r>
      <w:r>
        <w:rPr>
          <w:rFonts w:hint="eastAsia" w:ascii="宋体" w:hAnsi="宋体"/>
          <w:b/>
          <w:sz w:val="28"/>
          <w:szCs w:val="28"/>
        </w:rPr>
        <w:t>日至</w:t>
      </w:r>
      <w:r>
        <w:rPr>
          <w:rFonts w:hint="eastAsia" w:ascii="宋体" w:hAnsi="宋体"/>
          <w:b/>
          <w:sz w:val="28"/>
          <w:szCs w:val="28"/>
          <w:lang w:val="en-US" w:eastAsia="zh-CN"/>
        </w:rPr>
        <w:t>12</w:t>
      </w:r>
      <w:r>
        <w:rPr>
          <w:rFonts w:hint="eastAsia" w:ascii="宋体" w:hAnsi="宋体"/>
          <w:b/>
          <w:sz w:val="28"/>
          <w:szCs w:val="28"/>
        </w:rPr>
        <w:t>月</w:t>
      </w:r>
      <w:r>
        <w:rPr>
          <w:rFonts w:hint="eastAsia" w:ascii="宋体" w:hAnsi="宋体"/>
          <w:b/>
          <w:sz w:val="28"/>
          <w:szCs w:val="28"/>
          <w:lang w:val="en-US" w:eastAsia="zh-CN"/>
        </w:rPr>
        <w:t>14</w:t>
      </w:r>
      <w:r>
        <w:rPr>
          <w:rFonts w:hint="eastAsia" w:ascii="宋体" w:hAnsi="宋体"/>
          <w:b/>
          <w:sz w:val="28"/>
          <w:szCs w:val="28"/>
        </w:rPr>
        <w:t>日。</w:t>
      </w:r>
    </w:p>
    <w:p>
      <w:pPr>
        <w:numPr>
          <w:ilvl w:val="0"/>
          <w:numId w:val="8"/>
        </w:numPr>
        <w:spacing w:line="360" w:lineRule="auto"/>
        <w:ind w:left="0" w:firstLine="567"/>
        <w:rPr>
          <w:rFonts w:ascii="宋体" w:hAnsi="宋体"/>
          <w:b/>
          <w:sz w:val="28"/>
        </w:rPr>
      </w:pPr>
      <w:r>
        <w:rPr>
          <w:rFonts w:hint="eastAsia" w:ascii="宋体" w:hAnsi="宋体"/>
          <w:b/>
          <w:sz w:val="28"/>
          <w:szCs w:val="28"/>
        </w:rPr>
        <w:t>公告期限：2021年12月8日至12月14日。</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w:t>
      </w:r>
      <w:r>
        <w:rPr>
          <w:rFonts w:hint="eastAsia"/>
        </w:rPr>
        <w:t xml:space="preserve"> </w:t>
      </w:r>
      <w:r>
        <w:rPr>
          <w:rFonts w:hint="eastAsia" w:ascii="宋体" w:hAnsi="宋体"/>
          <w:sz w:val="28"/>
          <w:szCs w:val="28"/>
        </w:rPr>
        <w:t>应先点击网页左上角切换至“成都</w:t>
      </w:r>
      <w:r>
        <w:rPr>
          <w:rFonts w:hint="eastAsia" w:ascii="宋体" w:hAnsi="宋体"/>
          <w:sz w:val="28"/>
          <w:szCs w:val="28"/>
          <w:lang w:val="en-US" w:eastAsia="zh-CN"/>
        </w:rPr>
        <w:t>东部新区</w:t>
      </w:r>
      <w:r>
        <w:rPr>
          <w:rFonts w:hint="eastAsia" w:ascii="宋体" w:hAnsi="宋体"/>
          <w:sz w:val="28"/>
          <w:szCs w:val="28"/>
        </w:rPr>
        <w:t>”，再点击“供应商入驻”，注册成功后即可登录。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登录政府采购云平台（www.zcygov.cn）获取。</w:t>
      </w:r>
    </w:p>
    <w:p>
      <w:pPr>
        <w:numPr>
          <w:ilvl w:val="0"/>
          <w:numId w:val="6"/>
        </w:numPr>
        <w:spacing w:line="360" w:lineRule="auto"/>
        <w:ind w:left="0" w:firstLine="567"/>
        <w:rPr>
          <w:rFonts w:ascii="宋体" w:hAnsi="宋体"/>
          <w:b/>
          <w:sz w:val="28"/>
          <w:szCs w:val="28"/>
        </w:rPr>
      </w:pPr>
      <w:bookmarkStart w:id="8" w:name="_Toc186274101"/>
      <w:bookmarkStart w:id="9" w:name="_Toc184013605"/>
      <w:bookmarkStart w:id="10" w:name="_Toc184023104"/>
      <w:bookmarkStart w:id="11" w:name="_Toc174185149"/>
      <w:bookmarkStart w:id="12" w:name="_Toc180051012"/>
      <w:r>
        <w:rPr>
          <w:rFonts w:hint="eastAsia" w:ascii="宋体" w:hAnsi="宋体"/>
          <w:b/>
          <w:sz w:val="28"/>
          <w:szCs w:val="28"/>
        </w:rPr>
        <w:t>投标文件提交截止时间及开标时间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（一）投标文件提交截止时间及开标时间：202</w:t>
      </w:r>
      <w:r>
        <w:rPr>
          <w:rFonts w:hint="eastAsia" w:ascii="宋体" w:hAnsi="宋体"/>
          <w:b/>
          <w:sz w:val="28"/>
          <w:szCs w:val="28"/>
          <w:lang w:val="en-US" w:eastAsia="zh-CN"/>
        </w:rPr>
        <w:t>1</w:t>
      </w:r>
      <w:r>
        <w:rPr>
          <w:rFonts w:hint="eastAsia" w:ascii="宋体" w:hAnsi="宋体"/>
          <w:b/>
          <w:sz w:val="28"/>
          <w:szCs w:val="28"/>
        </w:rPr>
        <w:t>年</w:t>
      </w:r>
      <w:r>
        <w:rPr>
          <w:rFonts w:hint="eastAsia" w:ascii="宋体" w:hAnsi="宋体"/>
          <w:b/>
          <w:sz w:val="28"/>
          <w:szCs w:val="28"/>
          <w:lang w:val="en-US" w:eastAsia="zh-CN"/>
        </w:rPr>
        <w:t>12</w:t>
      </w:r>
      <w:r>
        <w:rPr>
          <w:rFonts w:hint="eastAsia" w:ascii="宋体" w:hAnsi="宋体"/>
          <w:b/>
          <w:sz w:val="28"/>
          <w:szCs w:val="28"/>
        </w:rPr>
        <w:t>月</w:t>
      </w:r>
      <w:r>
        <w:rPr>
          <w:rFonts w:hint="eastAsia" w:ascii="宋体" w:hAnsi="宋体"/>
          <w:b/>
          <w:sz w:val="28"/>
          <w:szCs w:val="28"/>
          <w:lang w:val="en-US" w:eastAsia="zh-CN"/>
        </w:rPr>
        <w:t>28</w:t>
      </w:r>
      <w:r>
        <w:rPr>
          <w:rFonts w:hint="eastAsia" w:ascii="宋体" w:hAnsi="宋体"/>
          <w:b/>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530" w:lineRule="exact"/>
        <w:ind w:firstLine="420" w:firstLineChars="150"/>
        <w:jc w:val="left"/>
        <w:rPr>
          <w:rFonts w:ascii="宋体" w:hAnsi="宋体"/>
          <w:sz w:val="28"/>
          <w:szCs w:val="28"/>
        </w:rPr>
      </w:pPr>
      <w:r>
        <w:rPr>
          <w:rFonts w:hint="eastAsia" w:ascii="宋体" w:hAnsi="宋体"/>
          <w:sz w:val="28"/>
          <w:szCs w:val="28"/>
        </w:rPr>
        <w:t>本项目为不见面开标项目。</w:t>
      </w:r>
    </w:p>
    <w:p>
      <w:pPr>
        <w:spacing w:line="530" w:lineRule="exact"/>
        <w:ind w:firstLine="420" w:firstLineChars="150"/>
        <w:jc w:val="left"/>
        <w:rPr>
          <w:rFonts w:ascii="宋体" w:hAnsi="宋体"/>
          <w:sz w:val="28"/>
          <w:szCs w:val="28"/>
        </w:rPr>
      </w:pPr>
      <w:r>
        <w:rPr>
          <w:rFonts w:hint="eastAsia" w:ascii="宋体" w:hAnsi="宋体"/>
          <w:sz w:val="28"/>
          <w:szCs w:val="28"/>
        </w:rPr>
        <w:t>开标地点为：政府采购云平台（www.zcygov.cn）。</w:t>
      </w:r>
    </w:p>
    <w:p>
      <w:pPr>
        <w:spacing w:line="530" w:lineRule="exact"/>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政采中小企业政府采购信用融资</w:t>
      </w:r>
    </w:p>
    <w:p>
      <w:pPr>
        <w:numPr>
          <w:ilvl w:val="0"/>
          <w:numId w:val="6"/>
        </w:numPr>
        <w:spacing w:line="360" w:lineRule="auto"/>
        <w:ind w:left="0" w:firstLine="567"/>
        <w:rPr>
          <w:rFonts w:ascii="宋体" w:hAnsi="宋体"/>
          <w:b/>
          <w:sz w:val="28"/>
          <w:szCs w:val="28"/>
        </w:rPr>
      </w:pPr>
      <w:r>
        <w:rPr>
          <w:rFonts w:hint="eastAsia" w:ascii="宋体" w:hAnsi="宋体"/>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ascii="宋体" w:hAnsi="宋体"/>
          <w:b/>
          <w:sz w:val="28"/>
          <w:szCs w:val="28"/>
        </w:rPr>
      </w:pPr>
      <w:r>
        <w:rPr>
          <w:rFonts w:hint="eastAsia" w:ascii="宋体" w:hAnsi="宋体"/>
          <w:b/>
          <w:sz w:val="28"/>
        </w:rPr>
        <w:t>采购人：</w:t>
      </w:r>
      <w:r>
        <w:rPr>
          <w:rFonts w:hint="eastAsia" w:ascii="宋体" w:hAnsi="宋体"/>
          <w:b/>
          <w:kern w:val="0"/>
          <w:sz w:val="28"/>
        </w:rPr>
        <w:t>成都东部新区石板凳街道办事处</w:t>
      </w:r>
    </w:p>
    <w:p>
      <w:pPr>
        <w:pStyle w:val="149"/>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成都东部新区石板凳镇虎山街134号</w:t>
      </w:r>
    </w:p>
    <w:p>
      <w:pPr>
        <w:pStyle w:val="149"/>
        <w:ind w:firstLine="560"/>
        <w:rPr>
          <w:rFonts w:ascii="宋体" w:hAnsi="宋体"/>
          <w:sz w:val="28"/>
          <w:szCs w:val="28"/>
        </w:rPr>
      </w:pPr>
      <w:r>
        <w:rPr>
          <w:rFonts w:hint="eastAsia" w:ascii="宋体" w:hAnsi="宋体"/>
          <w:kern w:val="0"/>
          <w:sz w:val="28"/>
          <w:szCs w:val="28"/>
        </w:rPr>
        <w:t>联系人：</w:t>
      </w:r>
      <w:r>
        <w:rPr>
          <w:rFonts w:hint="eastAsia" w:ascii="宋体" w:hAnsi="宋体"/>
          <w:sz w:val="28"/>
          <w:szCs w:val="28"/>
        </w:rPr>
        <w:t>陈慧</w:t>
      </w:r>
    </w:p>
    <w:p>
      <w:pPr>
        <w:pStyle w:val="149"/>
        <w:ind w:firstLine="560"/>
        <w:rPr>
          <w:rFonts w:ascii="宋体" w:hAnsi="宋体"/>
          <w:kern w:val="0"/>
          <w:sz w:val="28"/>
          <w:szCs w:val="28"/>
        </w:rPr>
      </w:pPr>
      <w:r>
        <w:rPr>
          <w:rFonts w:hint="eastAsia" w:ascii="宋体" w:hAnsi="宋体"/>
          <w:sz w:val="28"/>
          <w:szCs w:val="28"/>
        </w:rPr>
        <w:t>邮编：641400</w:t>
      </w:r>
    </w:p>
    <w:p>
      <w:pPr>
        <w:spacing w:line="360" w:lineRule="auto"/>
        <w:ind w:firstLine="567"/>
        <w:rPr>
          <w:rFonts w:hint="eastAsia" w:ascii="宋体" w:hAnsi="宋体" w:eastAsia="宋体"/>
          <w:b/>
          <w:bCs/>
          <w:sz w:val="28"/>
          <w:szCs w:val="28"/>
          <w:lang w:eastAsia="zh-CN"/>
        </w:rPr>
      </w:pPr>
      <w:r>
        <w:rPr>
          <w:rFonts w:hint="eastAsia" w:ascii="宋体" w:hAnsi="宋体"/>
          <w:sz w:val="28"/>
        </w:rPr>
        <w:t>联系电话：</w:t>
      </w:r>
      <w:r>
        <w:rPr>
          <w:rFonts w:hint="eastAsia" w:ascii="宋体" w:hAnsi="宋体"/>
          <w:kern w:val="0"/>
          <w:sz w:val="28"/>
        </w:rPr>
        <w:t>186288586</w:t>
      </w:r>
      <w:r>
        <w:rPr>
          <w:rFonts w:hint="eastAsia" w:ascii="宋体" w:hAnsi="宋体"/>
          <w:kern w:val="0"/>
          <w:sz w:val="28"/>
          <w:lang w:val="en-US" w:eastAsia="zh-CN"/>
        </w:rPr>
        <w:t>89</w:t>
      </w:r>
    </w:p>
    <w:p>
      <w:pPr>
        <w:spacing w:line="360" w:lineRule="auto"/>
        <w:ind w:firstLine="568" w:firstLineChars="202"/>
        <w:rPr>
          <w:rFonts w:ascii="宋体" w:hAnsi="宋体"/>
          <w:b/>
          <w:sz w:val="28"/>
        </w:rPr>
      </w:pPr>
      <w:r>
        <w:rPr>
          <w:rFonts w:hint="eastAsia" w:ascii="宋体" w:hAnsi="宋体"/>
          <w:b/>
          <w:sz w:val="28"/>
          <w:szCs w:val="28"/>
        </w:rPr>
        <w:t>集中</w:t>
      </w:r>
      <w:r>
        <w:rPr>
          <w:rFonts w:ascii="宋体" w:hAnsi="宋体"/>
          <w:b/>
          <w:sz w:val="28"/>
          <w:szCs w:val="28"/>
        </w:rPr>
        <w:t>采购机构</w:t>
      </w:r>
      <w:r>
        <w:rPr>
          <w:rFonts w:hint="eastAsia" w:ascii="宋体" w:hAnsi="宋体"/>
          <w:b/>
          <w:sz w:val="28"/>
          <w:szCs w:val="28"/>
        </w:rPr>
        <w:t>：</w:t>
      </w:r>
      <w:r>
        <w:rPr>
          <w:rFonts w:hint="eastAsia" w:ascii="宋体" w:hAnsi="宋体"/>
          <w:b/>
          <w:sz w:val="28"/>
        </w:rPr>
        <w:t>成都东部新区党工委管委会（成都市东部新城办）综合部</w:t>
      </w:r>
    </w:p>
    <w:p>
      <w:pPr>
        <w:spacing w:line="360" w:lineRule="auto"/>
        <w:ind w:firstLine="565" w:firstLineChars="202"/>
        <w:rPr>
          <w:rFonts w:hint="eastAsia" w:ascii="宋体" w:hAnsi="宋体" w:eastAsia="宋体"/>
          <w:sz w:val="28"/>
          <w:lang w:eastAsia="zh-CN"/>
        </w:rPr>
      </w:pPr>
      <w:r>
        <w:rPr>
          <w:rFonts w:hint="eastAsia" w:ascii="宋体" w:hAnsi="宋体"/>
          <w:sz w:val="28"/>
        </w:rPr>
        <w:t>地  址：</w:t>
      </w:r>
      <w:r>
        <w:rPr>
          <w:rFonts w:hint="eastAsia" w:ascii="宋体" w:hAnsi="宋体"/>
          <w:sz w:val="28"/>
          <w:lang w:eastAsia="zh-CN"/>
        </w:rPr>
        <w:t>成都东部新区三岔街道板桥村 2 组 166 号东部新区市民中心</w:t>
      </w:r>
    </w:p>
    <w:p>
      <w:pPr>
        <w:spacing w:line="360" w:lineRule="auto"/>
        <w:ind w:firstLine="565" w:firstLineChars="202"/>
        <w:rPr>
          <w:rFonts w:hint="default" w:ascii="宋体" w:hAnsi="宋体" w:eastAsia="宋体"/>
          <w:sz w:val="28"/>
          <w:lang w:val="en-US" w:eastAsia="zh-CN"/>
        </w:rPr>
      </w:pPr>
      <w:r>
        <w:rPr>
          <w:rFonts w:hint="eastAsia" w:ascii="宋体" w:hAnsi="宋体"/>
          <w:sz w:val="28"/>
        </w:rPr>
        <w:t>邮  编：641400</w:t>
      </w:r>
    </w:p>
    <w:p>
      <w:pPr>
        <w:spacing w:line="360" w:lineRule="auto"/>
        <w:ind w:firstLine="565" w:firstLineChars="202"/>
        <w:rPr>
          <w:rFonts w:hint="eastAsia" w:ascii="宋体" w:hAnsi="宋体" w:eastAsia="宋体"/>
          <w:kern w:val="0"/>
          <w:sz w:val="28"/>
          <w:lang w:eastAsia="zh-CN"/>
        </w:rPr>
      </w:pPr>
      <w:r>
        <w:rPr>
          <w:rFonts w:hint="eastAsia" w:ascii="宋体" w:hAnsi="宋体"/>
          <w:sz w:val="28"/>
        </w:rPr>
        <w:t>联系人：</w:t>
      </w:r>
      <w:r>
        <w:rPr>
          <w:rFonts w:hint="eastAsia" w:ascii="宋体" w:hAnsi="宋体"/>
          <w:kern w:val="0"/>
          <w:sz w:val="28"/>
          <w:lang w:eastAsia="zh-CN"/>
        </w:rPr>
        <w:t>邓涵丹</w:t>
      </w:r>
    </w:p>
    <w:p>
      <w:pPr>
        <w:spacing w:line="360" w:lineRule="auto"/>
        <w:ind w:firstLine="565" w:firstLineChars="202"/>
        <w:rPr>
          <w:rFonts w:ascii="宋体" w:hAnsi="宋体"/>
          <w:kern w:val="0"/>
          <w:sz w:val="28"/>
        </w:rPr>
      </w:pPr>
      <w:r>
        <w:rPr>
          <w:rFonts w:hint="eastAsia" w:ascii="宋体" w:hAnsi="宋体"/>
          <w:sz w:val="28"/>
        </w:rPr>
        <w:t>联系电话：</w:t>
      </w:r>
      <w:r>
        <w:rPr>
          <w:rFonts w:hint="eastAsia" w:ascii="宋体" w:hAnsi="宋体"/>
          <w:kern w:val="0"/>
          <w:sz w:val="28"/>
        </w:rPr>
        <w:t>028-86360238</w:t>
      </w:r>
    </w:p>
    <w:p>
      <w:pPr>
        <w:spacing w:line="360" w:lineRule="auto"/>
        <w:ind w:firstLine="568" w:firstLineChars="202"/>
        <w:rPr>
          <w:rFonts w:ascii="宋体" w:hAnsi="宋体"/>
          <w:kern w:val="0"/>
          <w:sz w:val="28"/>
        </w:rPr>
      </w:pPr>
      <w:r>
        <w:rPr>
          <w:rFonts w:hint="eastAsia" w:ascii="宋体" w:hAnsi="宋体"/>
          <w:b/>
          <w:sz w:val="28"/>
          <w:szCs w:val="28"/>
        </w:rPr>
        <w:t>技术支持联系电话：</w:t>
      </w:r>
      <w:r>
        <w:rPr>
          <w:rFonts w:hint="eastAsia" w:ascii="宋体" w:hAnsi="宋体"/>
          <w:sz w:val="28"/>
          <w:szCs w:val="28"/>
        </w:rPr>
        <w:t>400-8817190</w:t>
      </w:r>
    </w:p>
    <w:p>
      <w:pPr>
        <w:pStyle w:val="149"/>
        <w:ind w:firstLine="562"/>
        <w:rPr>
          <w:rFonts w:hint="eastAsia" w:ascii="宋体" w:hAnsi="宋体" w:eastAsia="宋体" w:cs="宋体"/>
          <w:b/>
          <w:bCs/>
          <w:iCs/>
          <w:color w:val="auto"/>
          <w:sz w:val="28"/>
          <w:szCs w:val="28"/>
          <w:highlight w:val="none"/>
          <w:lang w:eastAsia="zh-CN"/>
        </w:rPr>
      </w:pPr>
      <w:r>
        <w:rPr>
          <w:rFonts w:hint="eastAsia" w:ascii="宋体" w:hAnsi="宋体" w:cs="宋体"/>
          <w:b/>
          <w:bCs/>
          <w:iCs/>
          <w:color w:val="auto"/>
          <w:sz w:val="28"/>
          <w:szCs w:val="28"/>
          <w:highlight w:val="none"/>
        </w:rPr>
        <w:t>政府采购监督管理部门：</w:t>
      </w:r>
      <w:r>
        <w:rPr>
          <w:rFonts w:hint="eastAsia" w:ascii="宋体" w:hAnsi="宋体" w:cs="宋体"/>
          <w:b/>
          <w:bCs/>
          <w:iCs/>
          <w:color w:val="auto"/>
          <w:sz w:val="28"/>
          <w:szCs w:val="28"/>
          <w:highlight w:val="none"/>
          <w:lang w:eastAsia="zh-CN"/>
        </w:rPr>
        <w:t>成都东部新区党工委管委会(成都市东部新城办)财政金融局</w:t>
      </w:r>
    </w:p>
    <w:p>
      <w:pPr>
        <w:pStyle w:val="149"/>
        <w:ind w:firstLine="56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lang w:eastAsia="zh-CN"/>
        </w:rPr>
        <w:t>成都东部新区三岔街道板桥村 2 组 166 号东部新区市民中心</w:t>
      </w:r>
    </w:p>
    <w:p>
      <w:pPr>
        <w:tabs>
          <w:tab w:val="left" w:pos="900"/>
        </w:tabs>
        <w:spacing w:line="360" w:lineRule="auto"/>
        <w:ind w:firstLine="560" w:firstLineChars="200"/>
        <w:rPr>
          <w:rFonts w:ascii="宋体" w:hAnsi="宋体" w:cstheme="minorBidi"/>
          <w:sz w:val="28"/>
          <w:szCs w:val="28"/>
        </w:rPr>
      </w:pP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lang w:eastAsia="zh-CN"/>
        </w:rPr>
        <w:t>028-86360129</w:t>
      </w:r>
    </w:p>
    <w:p>
      <w:pPr>
        <w:pStyle w:val="2"/>
      </w:pPr>
    </w:p>
    <w:p>
      <w:pPr>
        <w:pStyle w:val="2"/>
      </w:pPr>
    </w:p>
    <w:p>
      <w:pPr>
        <w:pStyle w:val="2"/>
      </w:pPr>
    </w:p>
    <w:p>
      <w:pPr>
        <w:pStyle w:val="2"/>
      </w:pPr>
    </w:p>
    <w:p>
      <w:pPr>
        <w:pStyle w:val="2"/>
      </w:pPr>
    </w:p>
    <w:p>
      <w:pPr>
        <w:widowControl/>
        <w:jc w:val="left"/>
        <w:rPr>
          <w:rFonts w:ascii="宋体" w:hAnsi="宋体"/>
          <w:b/>
          <w:bCs/>
          <w:spacing w:val="-20"/>
          <w:kern w:val="44"/>
          <w:sz w:val="32"/>
          <w:szCs w:val="32"/>
        </w:rPr>
      </w:pPr>
      <w:r>
        <w:rPr>
          <w:rFonts w:ascii="宋体" w:hAnsi="宋体"/>
          <w:b/>
          <w:bCs/>
          <w:spacing w:val="-20"/>
          <w:kern w:val="44"/>
          <w:sz w:val="32"/>
          <w:szCs w:val="32"/>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31240"/>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15099"/>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lang w:val="zh-CN"/>
              </w:rPr>
            </w:pPr>
            <w:r>
              <w:rPr>
                <w:rFonts w:hint="eastAsia" w:ascii="宋体" w:hAnsi="宋体" w:cs="宋体"/>
                <w:b/>
                <w:lang w:val="zh-CN"/>
              </w:rPr>
              <w:t>人民币380.653101万元。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本项目最高限价为人民币380.653101万元，投标人投标报价高于最高限价的则其投标文件将按无效投标文件处理。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ascii="宋体" w:hAnsi="宋体" w:cs="宋体"/>
                <w:lang w:val="zh-CN"/>
              </w:rPr>
            </w:pPr>
            <w:r>
              <w:rPr>
                <w:rFonts w:hint="eastAsia" w:ascii="宋体" w:hAnsi="宋体" w:cs="宋体"/>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投标截止时间前，将电子投标文件上传至政府</w:t>
            </w:r>
            <w:r>
              <w:rPr>
                <w:rFonts w:ascii="宋体" w:hAnsi="宋体"/>
              </w:rPr>
              <w:t>采购</w:t>
            </w:r>
            <w:r>
              <w:rPr>
                <w:rFonts w:hint="eastAsia" w:ascii="宋体" w:hAnsi="宋体"/>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分钟内，使用对投标文件进行加密的CA证书在线完成对投标人提交至政府采购云平台的投标文件的解密。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向东部新区综合部提出，并由东部新区综合部按相关规定作出答复（详见投标人须知2.8）。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投诉受理单位：本项目同级财政部门，即成都东部新区党工委管委会(成都市东部新城办)财政金融局。联系电话：028-86360129。                                                   地址：成都东部新区三岔街道板桥村 2 组 166 号东部新区市民中心。                         邮编：641400。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lang w:val="en-US" w:eastAsia="zh-CN"/>
              </w:rPr>
              <w:t>本项目不涉及</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15663"/>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一、本招标文件仅适用于本次公开招标采购项目。</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本招标文件的最终解释权由采购人或东部新区综合部享有。对招标文件中供应商参加本次政府采购活动应当具备的条件，招标项目技术、服务、商务及其他要求，评标细则及标准由采购人负责解释。除上述招标文件内容，其他内容由东部新区综合部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w:t>
      </w:r>
      <w:r>
        <w:rPr>
          <w:rFonts w:hint="eastAsia" w:ascii="宋体" w:hAnsi="宋体"/>
          <w:sz w:val="28"/>
          <w:szCs w:val="28"/>
          <w:lang w:eastAsia="zh-CN"/>
        </w:rPr>
        <w:t>东部新区</w:t>
      </w:r>
      <w:r>
        <w:rPr>
          <w:rFonts w:hint="eastAsia" w:ascii="宋体" w:hAnsi="宋体"/>
          <w:sz w:val="28"/>
          <w:szCs w:val="28"/>
        </w:rPr>
        <w:t>机关、事业单位、团体组织。本次招标的采购人是</w:t>
      </w:r>
      <w:r>
        <w:rPr>
          <w:rFonts w:hint="eastAsia" w:ascii="宋体" w:hAnsi="宋体"/>
          <w:b w:val="0"/>
          <w:bCs/>
          <w:sz w:val="28"/>
          <w:szCs w:val="28"/>
        </w:rPr>
        <w:t>成都东部新区石板凳街道办事处</w:t>
      </w:r>
      <w:r>
        <w:rPr>
          <w:rFonts w:hint="eastAsia" w:ascii="宋体" w:hAnsi="宋体"/>
          <w:sz w:val="28"/>
          <w:szCs w:val="28"/>
        </w:rPr>
        <w:t>。</w:t>
      </w:r>
    </w:p>
    <w:p>
      <w:pPr>
        <w:numPr>
          <w:ilvl w:val="0"/>
          <w:numId w:val="10"/>
        </w:numPr>
        <w:tabs>
          <w:tab w:val="left" w:pos="1134"/>
        </w:tabs>
        <w:spacing w:line="360" w:lineRule="auto"/>
        <w:ind w:left="0" w:firstLine="566"/>
        <w:rPr>
          <w:rFonts w:ascii="宋体" w:hAnsi="宋体"/>
          <w:sz w:val="28"/>
          <w:szCs w:val="28"/>
        </w:rPr>
      </w:pPr>
      <w:r>
        <w:rPr>
          <w:rFonts w:hint="eastAsia" w:ascii="宋体" w:hAnsi="宋体"/>
          <w:sz w:val="28"/>
          <w:szCs w:val="28"/>
        </w:rPr>
        <w:t xml:space="preserve"> “投标人”系指在按照招标文件“投标邀请”中第六、七、八条规定获取了招标文件，拟参加投标和向采购人提供服务的供应商。“乙方”是指本项目的中标供应商。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0"/>
        </w:numPr>
        <w:tabs>
          <w:tab w:val="left" w:pos="1200"/>
        </w:tabs>
        <w:spacing w:line="600" w:lineRule="exact"/>
        <w:ind w:left="0" w:firstLine="567"/>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0"/>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不见面开标是指，东部新区综合部依托政府采购云平台组织开标活动，供应商在线参与开标的一种组织形式。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183682344"/>
      <w:bookmarkStart w:id="24" w:name="_Toc183582207"/>
      <w:bookmarkStart w:id="25" w:name="_Toc217390843"/>
      <w:bookmarkStart w:id="26" w:name="_Toc217446036"/>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1"/>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keepNext/>
        <w:keepLines/>
        <w:numPr>
          <w:ilvl w:val="1"/>
          <w:numId w:val="5"/>
        </w:numPr>
        <w:spacing w:line="360" w:lineRule="auto"/>
        <w:jc w:val="left"/>
        <w:outlineLvl w:val="1"/>
        <w:rPr>
          <w:rFonts w:ascii="宋体" w:hAnsi="宋体"/>
          <w:b/>
          <w:bCs/>
          <w:sz w:val="28"/>
          <w:szCs w:val="28"/>
        </w:rPr>
      </w:pPr>
      <w:bookmarkStart w:id="27" w:name="_Toc26720"/>
      <w:bookmarkStart w:id="28" w:name="_Toc183682347"/>
      <w:bookmarkStart w:id="29" w:name="_Toc183582210"/>
      <w:bookmarkStart w:id="30" w:name="_Toc217446039"/>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77400780"/>
      <w:bookmarkStart w:id="35" w:name="_Toc89075876"/>
      <w:bookmarkStart w:id="36" w:name="_Toc217446042"/>
      <w:bookmarkStart w:id="37" w:name="_Toc183682351"/>
      <w:bookmarkStart w:id="38" w:name="_Toc183582214"/>
    </w:p>
    <w:p>
      <w:pPr>
        <w:numPr>
          <w:ilvl w:val="0"/>
          <w:numId w:val="15"/>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东部新区综合部</w:t>
      </w:r>
      <w:r>
        <w:rPr>
          <w:rFonts w:hint="eastAsia" w:ascii="宋体" w:hAnsi="宋体"/>
          <w:sz w:val="28"/>
          <w:szCs w:val="28"/>
        </w:rPr>
        <w:t>可以对已发出的招标文件进行必要的澄清或者修改。</w:t>
      </w:r>
    </w:p>
    <w:p>
      <w:pPr>
        <w:numPr>
          <w:ilvl w:val="0"/>
          <w:numId w:val="15"/>
        </w:numPr>
        <w:spacing w:after="200" w:line="360" w:lineRule="auto"/>
        <w:ind w:left="0" w:firstLine="567"/>
        <w:rPr>
          <w:rFonts w:ascii="宋体" w:hAnsi="宋体"/>
          <w:sz w:val="28"/>
          <w:szCs w:val="28"/>
        </w:rPr>
      </w:pPr>
      <w:r>
        <w:rPr>
          <w:rFonts w:hint="eastAsia" w:ascii="宋体" w:hAnsi="宋体"/>
          <w:sz w:val="28"/>
          <w:szCs w:val="28"/>
        </w:rPr>
        <w:t>澄清或者修改的内容，东部新区综合部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东部新区综合部应当在投标截止时间至少15日前，通过政府采购云平台通知所有已获取招标文件的潜在投标人；不足15日的，采购人或东部新区综合部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3732"/>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217446043"/>
      <w:bookmarkStart w:id="42" w:name="_Toc183582215"/>
      <w:r>
        <w:rPr>
          <w:rFonts w:hint="eastAsia" w:ascii="宋体" w:hAnsi="宋体"/>
          <w:b/>
          <w:bCs/>
          <w:sz w:val="28"/>
          <w:szCs w:val="28"/>
        </w:rPr>
        <w:t>投标文件的语言</w:t>
      </w:r>
      <w:bookmarkEnd w:id="40"/>
      <w:bookmarkEnd w:id="41"/>
      <w:bookmarkEnd w:id="42"/>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cs="Arial"/>
          <w:sz w:val="28"/>
          <w:szCs w:val="28"/>
        </w:rPr>
        <w:t>东部新区综合部</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spacing w:line="360" w:lineRule="auto"/>
        <w:ind w:firstLine="560" w:firstLineChars="200"/>
        <w:rPr>
          <w:rFonts w:ascii="宋体" w:hAnsi="宋体"/>
          <w:sz w:val="28"/>
          <w:szCs w:val="28"/>
        </w:rPr>
      </w:pPr>
      <w:r>
        <w:rPr>
          <w:rFonts w:hint="eastAsia" w:ascii="宋体" w:hAnsi="宋体"/>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pStyle w:val="120"/>
        <w:spacing w:line="360" w:lineRule="auto"/>
        <w:ind w:firstLine="560" w:firstLineChars="200"/>
        <w:jc w:val="both"/>
        <w:rPr>
          <w:rFonts w:cs="Times New Roman"/>
          <w:kern w:val="2"/>
          <w:sz w:val="28"/>
          <w:szCs w:val="28"/>
        </w:rPr>
      </w:pPr>
      <w:r>
        <w:rPr>
          <w:rFonts w:hint="eastAsia" w:cs="Times New Roman"/>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ascii="宋体" w:hAnsi="宋体"/>
          <w:sz w:val="28"/>
          <w:szCs w:val="28"/>
        </w:rPr>
      </w:pPr>
      <w:r>
        <w:rPr>
          <w:rFonts w:hint="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Pr>
          <w:rFonts w:hint="eastAsia" w:ascii="宋体" w:hAnsi="宋体"/>
          <w:sz w:val="28"/>
          <w:szCs w:val="28"/>
        </w:rPr>
        <w:t>三</w:t>
      </w:r>
      <w:r>
        <w:rPr>
          <w:rFonts w:ascii="宋体" w:hAnsi="宋体"/>
          <w:sz w:val="28"/>
          <w:szCs w:val="28"/>
        </w:rPr>
        <w:t>、</w:t>
      </w: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ind w:hanging="2410"/>
      </w:pPr>
      <w:r>
        <w:rPr>
          <w:rFonts w:hint="eastAsia"/>
        </w:rPr>
        <w:t>资格响应文件</w:t>
      </w:r>
    </w:p>
    <w:p>
      <w:pPr>
        <w:pStyle w:val="150"/>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关于投标人申明的函；</w:t>
      </w:r>
    </w:p>
    <w:p>
      <w:pPr>
        <w:pStyle w:val="150"/>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0"/>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pStyle w:val="150"/>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pStyle w:val="150"/>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0"/>
        <w:numPr>
          <w:ilvl w:val="0"/>
          <w:numId w:val="17"/>
        </w:numPr>
        <w:spacing w:after="200" w:line="360" w:lineRule="auto"/>
        <w:ind w:left="0" w:firstLine="573" w:firstLineChars="0"/>
        <w:rPr>
          <w:rFonts w:ascii="宋体" w:hAnsi="宋体"/>
          <w:b/>
          <w:bCs/>
          <w:kern w:val="0"/>
          <w:sz w:val="28"/>
          <w:szCs w:val="28"/>
        </w:rPr>
      </w:pPr>
      <w:r>
        <w:rPr>
          <w:rFonts w:hint="eastAsia" w:ascii="宋体" w:hAnsi="宋体"/>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pStyle w:val="150"/>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r>
        <w:rPr>
          <w:rFonts w:hint="eastAsia" w:ascii="宋体" w:hAnsi="宋体"/>
          <w:b/>
          <w:sz w:val="28"/>
          <w:szCs w:val="28"/>
        </w:rPr>
        <w:t>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r>
        <w:rPr>
          <w:rFonts w:hint="eastAsia" w:ascii="宋体" w:hAnsi="宋体"/>
          <w:b/>
          <w:bCs/>
          <w:kern w:val="0"/>
          <w:sz w:val="28"/>
          <w:szCs w:val="28"/>
        </w:rPr>
        <w:t>；</w:t>
      </w:r>
    </w:p>
    <w:p>
      <w:pPr>
        <w:pStyle w:val="150"/>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采购人对投标人履行合同所必须的设备和专业技术能力无其他特殊要求，投标人可不提供证明材料；</w:t>
      </w:r>
    </w:p>
    <w:p>
      <w:pPr>
        <w:pStyle w:val="150"/>
        <w:numPr>
          <w:ilvl w:val="0"/>
          <w:numId w:val="17"/>
        </w:numPr>
        <w:spacing w:after="200" w:line="360" w:lineRule="auto"/>
        <w:ind w:left="0" w:firstLine="573" w:firstLineChars="0"/>
        <w:rPr>
          <w:rFonts w:hint="default" w:ascii="宋体" w:hAnsi="宋体"/>
          <w:b/>
          <w:bCs/>
          <w:kern w:val="0"/>
          <w:sz w:val="28"/>
          <w:szCs w:val="28"/>
          <w:lang w:val="en-US"/>
        </w:rPr>
      </w:pPr>
      <w:r>
        <w:rPr>
          <w:rFonts w:hint="eastAsia" w:ascii="宋体" w:hAnsi="宋体"/>
          <w:b/>
          <w:bCs/>
          <w:kern w:val="0"/>
          <w:sz w:val="28"/>
          <w:szCs w:val="28"/>
        </w:rPr>
        <w:t>采购人对法律、行政法规规定的其他条件无其他特殊要求，投标人可不提供证明材料。</w:t>
      </w:r>
    </w:p>
    <w:p>
      <w:pPr>
        <w:pStyle w:val="150"/>
        <w:numPr>
          <w:ilvl w:val="0"/>
          <w:numId w:val="17"/>
        </w:numPr>
        <w:spacing w:after="200" w:line="360" w:lineRule="auto"/>
        <w:ind w:left="0" w:firstLine="573" w:firstLineChars="0"/>
        <w:rPr>
          <w:rFonts w:hint="default" w:ascii="宋体" w:hAnsi="宋体"/>
          <w:b/>
          <w:bCs/>
          <w:kern w:val="0"/>
          <w:sz w:val="28"/>
          <w:szCs w:val="28"/>
          <w:lang w:val="en-US"/>
        </w:rPr>
      </w:pPr>
      <w:r>
        <w:rPr>
          <w:rFonts w:hint="default" w:ascii="宋体" w:hAnsi="宋体"/>
          <w:b/>
          <w:bCs/>
          <w:kern w:val="0"/>
          <w:sz w:val="28"/>
          <w:szCs w:val="28"/>
          <w:lang w:val="en-US"/>
        </w:rPr>
        <w:t>提供分包意向协议，协议中中小企业合同金额应当达到预算总额的30%，其中给小微企业的比例不低于60%。接受分包合同的中小企业与供应商之间不得存在直接控股、管理关系。若供应商提供的服务均为中小企业的，则不用提供分包意向协议。</w:t>
      </w:r>
    </w:p>
    <w:p>
      <w:pPr>
        <w:pStyle w:val="6"/>
        <w:ind w:hanging="2410"/>
      </w:pPr>
      <w:r>
        <w:rPr>
          <w:rFonts w:hint="eastAsia"/>
        </w:rPr>
        <w:t>商务技术响应文件</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法定代表人或主要负责人身份证明书（说明</w:t>
      </w:r>
      <w:r>
        <w:rPr>
          <w:rFonts w:ascii="宋体" w:hAnsi="宋体"/>
          <w:b/>
          <w:sz w:val="28"/>
          <w:szCs w:val="28"/>
        </w:rPr>
        <w:t>：</w:t>
      </w:r>
      <w:r>
        <w:rPr>
          <w:rFonts w:hint="eastAsia" w:ascii="宋体" w:hAnsi="宋体"/>
          <w:b/>
          <w:sz w:val="28"/>
          <w:szCs w:val="28"/>
          <w:lang w:val="zh-CN"/>
        </w:rPr>
        <w:t>主要</w:t>
      </w:r>
      <w:r>
        <w:rPr>
          <w:rFonts w:ascii="宋体" w:hAnsi="宋体"/>
          <w:b/>
          <w:sz w:val="28"/>
          <w:szCs w:val="28"/>
          <w:lang w:val="zh-CN"/>
        </w:rPr>
        <w:t>负责人为供应商提供的其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sz w:val="28"/>
          <w:szCs w:val="28"/>
        </w:rPr>
        <w:t>。</w:t>
      </w:r>
      <w:r>
        <w:rPr>
          <w:rFonts w:hint="eastAsia" w:ascii="宋体" w:hAnsi="宋体"/>
          <w:b/>
          <w:sz w:val="28"/>
          <w:szCs w:val="28"/>
        </w:rPr>
        <w:t>）。</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kern w:val="0"/>
          <w:sz w:val="28"/>
          <w:szCs w:val="28"/>
        </w:rPr>
        <w:t>服务方案及服务承诺</w:t>
      </w:r>
      <w:r>
        <w:rPr>
          <w:rFonts w:hint="eastAsia" w:ascii="宋体" w:hAnsi="宋体"/>
          <w:b/>
          <w:sz w:val="28"/>
          <w:szCs w:val="28"/>
        </w:rPr>
        <w:t>；</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pStyle w:val="6"/>
        <w:ind w:hanging="2410"/>
      </w:pPr>
      <w:r>
        <w:rPr>
          <w:rFonts w:hint="eastAsia"/>
        </w:rPr>
        <w:t>报价要求响应文件</w:t>
      </w:r>
    </w:p>
    <w:p>
      <w:pPr>
        <w:numPr>
          <w:ilvl w:val="0"/>
          <w:numId w:val="19"/>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19"/>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w:t>
      </w:r>
    </w:p>
    <w:p>
      <w:pPr>
        <w:keepNext/>
        <w:keepLines/>
        <w:numPr>
          <w:ilvl w:val="2"/>
          <w:numId w:val="5"/>
        </w:numPr>
        <w:spacing w:line="360" w:lineRule="auto"/>
        <w:ind w:left="0" w:firstLine="0"/>
        <w:outlineLvl w:val="2"/>
        <w:rPr>
          <w:rFonts w:ascii="宋体" w:hAnsi="宋体"/>
          <w:b/>
          <w:bCs/>
          <w:sz w:val="28"/>
          <w:szCs w:val="28"/>
        </w:rPr>
      </w:pPr>
      <w:bookmarkStart w:id="52" w:name="_Toc316292019"/>
      <w:bookmarkEnd w:id="52"/>
      <w:bookmarkStart w:id="53" w:name="_Toc316291395"/>
      <w:bookmarkEnd w:id="53"/>
      <w:bookmarkStart w:id="54" w:name="_Toc316292020"/>
      <w:bookmarkEnd w:id="54"/>
      <w:bookmarkStart w:id="55" w:name="_Toc316291396"/>
      <w:bookmarkEnd w:id="55"/>
      <w:bookmarkStart w:id="56" w:name="_Toc183582218"/>
      <w:bookmarkStart w:id="57" w:name="_Toc183682355"/>
      <w:bookmarkStart w:id="58" w:name="_Toc217446049"/>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0"/>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1"/>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582223"/>
      <w:bookmarkStart w:id="60" w:name="_Toc217446050"/>
      <w:bookmarkStart w:id="61" w:name="_Toc18368236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rPr>
      </w:pPr>
      <w:bookmarkStart w:id="67" w:name="_Toc183682364"/>
      <w:bookmarkStart w:id="68" w:name="_Toc217446054"/>
      <w:bookmarkStart w:id="69" w:name="_Toc183582227"/>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bookmarkEnd w:id="69"/>
      <w:r>
        <w:rPr>
          <w:rFonts w:hint="eastAsia"/>
          <w:color w:val="auto"/>
        </w:rPr>
        <w:t>提交</w:t>
      </w:r>
    </w:p>
    <w:p>
      <w:pPr>
        <w:tabs>
          <w:tab w:val="left" w:pos="0"/>
        </w:tabs>
        <w:spacing w:line="360" w:lineRule="auto"/>
        <w:ind w:firstLine="420" w:firstLineChars="150"/>
        <w:rPr>
          <w:rFonts w:ascii="宋体" w:hAnsi="宋体" w:eastAsiaTheme="minorEastAsia" w:cstheme="minorBidi"/>
          <w:bCs/>
          <w:sz w:val="28"/>
          <w:szCs w:val="28"/>
        </w:rPr>
      </w:pPr>
      <w:bookmarkStart w:id="70" w:name="_Toc316475587"/>
      <w:bookmarkEnd w:id="70"/>
      <w:bookmarkStart w:id="71" w:name="_Toc316475586"/>
      <w:bookmarkEnd w:id="71"/>
      <w:bookmarkStart w:id="72" w:name="_Toc217446055"/>
      <w:bookmarkStart w:id="73" w:name="_Toc183682365"/>
      <w:bookmarkStart w:id="74" w:name="_Toc183582228"/>
      <w:r>
        <w:rPr>
          <w:rFonts w:hint="eastAsia" w:ascii="宋体" w:hAnsi="宋体" w:eastAsiaTheme="minorEastAsia" w:cstheme="minorBidi"/>
          <w:bCs/>
          <w:sz w:val="28"/>
          <w:szCs w:val="28"/>
        </w:rPr>
        <w:t>一、投标人应当在投标文件提交截止时间前，将生成的已加密的电子投标文件成功提交至“政府采购云平台”。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二、因招标文件的修改推迟投标截止日期的，投标人按东部新区综合部在“四川政府采购网”和“成都市公共资源交易服务中心”网站上发布的澄清公告中修改的时间提交投标文件。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三、投标人应充分考虑提交文件的不可预见因素，未在投标截止时间前完成提交的，在投标截止时间后将无法提交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3"/>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3"/>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在投标截止时间之后，投标人不得对其提交的投标文件做任何补充、修改。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183582231"/>
      <w:bookmarkStart w:id="76" w:name="_Toc89075878"/>
      <w:bookmarkStart w:id="77" w:name="_Toc217446056"/>
      <w:bookmarkStart w:id="78" w:name="_Toc183682368"/>
      <w:bookmarkStart w:id="79" w:name="_Toc77400782"/>
      <w:r>
        <w:rPr>
          <w:rFonts w:hint="eastAsia" w:ascii="宋体" w:hAnsi="宋体"/>
          <w:bCs/>
          <w:sz w:val="28"/>
          <w:szCs w:val="28"/>
        </w:rPr>
        <w:t>在投标截止时间之前，投标人可对已提交的投标文件进行撤回。在投标截止时间之后，投标人不得撤回投标文件。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登录政府采购云平台，点击“项目采购—开标评标”模块，找到对应项目，进入“开标大厅”，等待东部新区综合部开启解密后，进行线上解密。</w:t>
      </w:r>
      <w:r>
        <w:rPr>
          <w:rFonts w:hint="eastAsia" w:ascii="宋体" w:hAnsi="宋体"/>
          <w:bCs/>
          <w:sz w:val="28"/>
          <w:szCs w:val="28"/>
        </w:rPr>
        <w:t>除因断电、断网、系统故障或其他不可抗力等因素，导致系统无法使用外，投标人在规定的解密时间内，未成功解密的投标文件将视为无效投标文件。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1153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80"/>
        <w:numPr>
          <w:ilvl w:val="0"/>
          <w:numId w:val="24"/>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本项目为不见面开标项目。提交电子投标文件的投标人不足3家的，不予开标。</w:t>
      </w:r>
    </w:p>
    <w:p>
      <w:pPr>
        <w:pStyle w:val="80"/>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w:t>
      </w:r>
      <w:r>
        <w:rPr>
          <w:rFonts w:hint="eastAsia" w:ascii="宋体" w:hAnsi="宋体" w:eastAsia="宋体" w:cs="宋体"/>
          <w:b/>
          <w:sz w:val="28"/>
          <w:szCs w:val="28"/>
          <w:lang w:eastAsia="zh-CN"/>
        </w:rPr>
        <w:t>东部新区综合部</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0"/>
        <w:numPr>
          <w:ilvl w:val="0"/>
          <w:numId w:val="24"/>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w:t>
      </w:r>
      <w:r>
        <w:rPr>
          <w:rFonts w:ascii="宋体" w:hAnsi="宋体" w:eastAsia="宋体" w:cs="宋体"/>
          <w:b/>
          <w:sz w:val="28"/>
          <w:szCs w:val="28"/>
        </w:rPr>
        <w:t>64位win7以上操作系统</w:t>
      </w:r>
      <w:r>
        <w:rPr>
          <w:rFonts w:hint="eastAsia" w:ascii="宋体" w:hAnsi="宋体" w:eastAsia="宋体" w:cs="宋体"/>
          <w:b/>
          <w:sz w:val="28"/>
          <w:szCs w:val="28"/>
        </w:rPr>
        <w:t>，</w:t>
      </w:r>
      <w:r>
        <w:rPr>
          <w:rFonts w:ascii="宋体" w:hAnsi="宋体" w:eastAsia="宋体" w:cs="宋体"/>
          <w:b/>
          <w:sz w:val="28"/>
          <w:szCs w:val="28"/>
        </w:rPr>
        <w:t>谷歌浏览器</w:t>
      </w:r>
      <w:r>
        <w:rPr>
          <w:rFonts w:hint="eastAsia" w:ascii="宋体" w:hAnsi="宋体" w:eastAsia="宋体" w:cs="宋体"/>
          <w:b/>
          <w:sz w:val="28"/>
          <w:szCs w:val="28"/>
        </w:rPr>
        <w:t>；</w:t>
      </w:r>
      <w:r>
        <w:rPr>
          <w:rFonts w:ascii="宋体" w:hAnsi="宋体" w:eastAsia="宋体" w:cs="宋体"/>
          <w:b/>
          <w:sz w:val="28"/>
          <w:szCs w:val="28"/>
        </w:rPr>
        <w:t>正确的CA及签章驱动</w:t>
      </w:r>
      <w:r>
        <w:rPr>
          <w:rFonts w:hint="eastAsia" w:ascii="宋体" w:hAnsi="宋体" w:eastAsia="宋体" w:cs="宋体"/>
          <w:b/>
          <w:sz w:val="28"/>
          <w:szCs w:val="28"/>
        </w:rPr>
        <w:t>等</w:t>
      </w:r>
      <w:r>
        <w:rPr>
          <w:rFonts w:ascii="宋体" w:hAnsi="宋体" w:eastAsia="宋体" w:cs="宋体"/>
          <w:b/>
          <w:sz w:val="28"/>
          <w:szCs w:val="28"/>
        </w:rPr>
        <w:t>；能流畅访问互联网</w:t>
      </w:r>
      <w:r>
        <w:rPr>
          <w:rFonts w:hint="eastAsia" w:ascii="宋体" w:hAnsi="宋体" w:eastAsia="宋体" w:cs="宋体"/>
          <w:b/>
          <w:sz w:val="28"/>
          <w:szCs w:val="28"/>
        </w:rPr>
        <w:t>。</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因断电、断网、系统故障或其他不可抗力等因素导致不见面开标系统无法正常运行的，开标活动中止或延迟，待系统恢复正常后继续进行开标活动。</w:t>
      </w:r>
    </w:p>
    <w:p>
      <w:pPr>
        <w:pStyle w:val="80"/>
        <w:numPr>
          <w:ilvl w:val="0"/>
          <w:numId w:val="24"/>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17657"/>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695" w:hanging="1275"/>
        <w:outlineLvl w:val="2"/>
        <w:rPr>
          <w:rFonts w:ascii="宋体" w:hAnsi="宋体"/>
          <w:b/>
          <w:bCs/>
          <w:sz w:val="28"/>
          <w:szCs w:val="28"/>
        </w:rPr>
      </w:pPr>
      <w:r>
        <w:rPr>
          <w:rFonts w:hint="eastAsia" w:ascii="宋体" w:hAnsi="宋体"/>
          <w:b/>
          <w:bCs/>
          <w:sz w:val="28"/>
          <w:szCs w:val="28"/>
        </w:rPr>
        <w:t>合同分包</w:t>
      </w:r>
    </w:p>
    <w:p>
      <w:pPr>
        <w:pStyle w:val="120"/>
        <w:spacing w:line="360" w:lineRule="auto"/>
        <w:ind w:firstLine="560" w:firstLineChars="200"/>
        <w:rPr>
          <w:rFonts w:hint="eastAsia" w:cs="Times New Roman"/>
          <w:sz w:val="28"/>
          <w:szCs w:val="28"/>
          <w:lang w:val="zh-CN"/>
        </w:rPr>
      </w:pPr>
      <w:r>
        <w:rPr>
          <w:rFonts w:hint="eastAsia" w:cs="Times New Roman"/>
          <w:sz w:val="28"/>
          <w:szCs w:val="28"/>
          <w:lang w:val="zh-CN"/>
        </w:rPr>
        <w:t>一、供应商应将采购项目中预算总额的30%分包给一家或者多家中小企业，其中分包给小微企业的比例不低于60%。</w:t>
      </w:r>
    </w:p>
    <w:p>
      <w:pPr>
        <w:pStyle w:val="120"/>
        <w:spacing w:line="360" w:lineRule="auto"/>
        <w:ind w:firstLine="560" w:firstLineChars="200"/>
        <w:rPr>
          <w:rFonts w:hint="eastAsia" w:cs="Times New Roman"/>
          <w:sz w:val="28"/>
          <w:szCs w:val="28"/>
          <w:lang w:val="zh-CN"/>
        </w:rPr>
      </w:pPr>
      <w:r>
        <w:rPr>
          <w:rFonts w:hint="eastAsia" w:cs="Times New Roman"/>
          <w:sz w:val="28"/>
          <w:szCs w:val="28"/>
          <w:lang w:val="zh-CN"/>
        </w:rPr>
        <w:t>二、分包履行合同的部分应当为采购项目的非主体、非关键性工作，不属于中标人的主要合同义务。</w:t>
      </w:r>
    </w:p>
    <w:p>
      <w:pPr>
        <w:pStyle w:val="120"/>
        <w:spacing w:line="360" w:lineRule="auto"/>
        <w:ind w:firstLine="560" w:firstLineChars="200"/>
        <w:rPr>
          <w:rFonts w:hint="eastAsia" w:cs="Times New Roman"/>
          <w:sz w:val="28"/>
          <w:szCs w:val="28"/>
          <w:lang w:val="zh-CN"/>
        </w:rPr>
      </w:pPr>
      <w:r>
        <w:rPr>
          <w:rFonts w:hint="eastAsia" w:cs="Times New Roman"/>
          <w:sz w:val="28"/>
          <w:szCs w:val="28"/>
          <w:lang w:val="zh-CN"/>
        </w:rPr>
        <w:t>三、采购合同实行分包履行的，中标人就采购项目和分包项目向采购人负责，分包投标人就分包项目承担责任。</w:t>
      </w:r>
    </w:p>
    <w:p>
      <w:pPr>
        <w:pStyle w:val="120"/>
        <w:spacing w:line="360" w:lineRule="auto"/>
        <w:ind w:firstLine="560" w:firstLineChars="200"/>
        <w:rPr>
          <w:rFonts w:cs="Times New Roman" w:eastAsiaTheme="minorEastAsia"/>
          <w:sz w:val="28"/>
          <w:szCs w:val="28"/>
          <w:lang w:val="zh-CN"/>
        </w:rPr>
      </w:pPr>
      <w:r>
        <w:rPr>
          <w:rFonts w:hint="eastAsia" w:cs="Times New Roman"/>
          <w:sz w:val="28"/>
          <w:szCs w:val="28"/>
          <w:lang w:val="zh-CN"/>
        </w:rPr>
        <w:t>四、中小企业依据《关于印发&lt;政府采购促进中小企业发展管理办法&gt;的通知》(财库〔2020〕46号）规定的政策获取政府采购合同后，小型、微型企业不得分包或转包给大型、中型企业，中型企业不得分包或转包给大型企业。</w:t>
      </w:r>
    </w:p>
    <w:p>
      <w:pPr>
        <w:keepNext/>
        <w:keepLines/>
        <w:numPr>
          <w:ilvl w:val="3"/>
          <w:numId w:val="5"/>
        </w:numPr>
        <w:spacing w:line="360" w:lineRule="auto"/>
        <w:ind w:left="169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疫情防控期间，采购人原则上在5个工作日内与供应商签订政府采购合同及按成都东部新区党工委管委会(成都市东部新城办)财政金融局的要求完成合同备案工作。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考核</w:t>
      </w:r>
    </w:p>
    <w:bookmarkEnd w:id="88"/>
    <w:bookmarkEnd w:id="89"/>
    <w:p>
      <w:pPr>
        <w:pStyle w:val="25"/>
        <w:spacing w:line="360" w:lineRule="auto"/>
        <w:ind w:left="0" w:leftChars="0" w:firstLine="565" w:firstLineChars="202"/>
        <w:rPr>
          <w:rFonts w:ascii="宋体" w:hAnsi="宋体"/>
          <w:sz w:val="28"/>
          <w:szCs w:val="28"/>
        </w:rPr>
      </w:pPr>
      <w:bookmarkStart w:id="98" w:name="_Toc217446074"/>
      <w:bookmarkStart w:id="99" w:name="_Toc183582243"/>
      <w:bookmarkStart w:id="100" w:name="_Toc183682380"/>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社会公共提供的公共服务项目、采购人和实际使用人或者受益者分离、有质疑投诉举报的的采购项目，</w:t>
      </w:r>
      <w:r>
        <w:rPr>
          <w:rFonts w:hint="eastAsia" w:ascii="宋体" w:hAnsi="宋体"/>
          <w:sz w:val="28"/>
          <w:szCs w:val="28"/>
        </w:rPr>
        <w:t>可以</w:t>
      </w:r>
      <w:r>
        <w:rPr>
          <w:rFonts w:ascii="宋体" w:hAnsi="宋体"/>
          <w:sz w:val="28"/>
          <w:szCs w:val="28"/>
        </w:rPr>
        <w:t>邀请国家认可的</w:t>
      </w:r>
      <w:r>
        <w:rPr>
          <w:rFonts w:hint="eastAsia" w:ascii="宋体" w:hAnsi="宋体"/>
          <w:sz w:val="28"/>
          <w:szCs w:val="28"/>
        </w:rPr>
        <w:t>第三方</w:t>
      </w:r>
      <w:r>
        <w:rPr>
          <w:rFonts w:ascii="宋体" w:hAnsi="宋体"/>
          <w:sz w:val="28"/>
          <w:szCs w:val="28"/>
        </w:rPr>
        <w:t>检测机构或者集采机构参与</w:t>
      </w:r>
      <w:r>
        <w:rPr>
          <w:rFonts w:hint="eastAsia" w:ascii="宋体" w:hAnsi="宋体"/>
          <w:sz w:val="28"/>
          <w:szCs w:val="28"/>
        </w:rPr>
        <w:t>履约</w:t>
      </w:r>
      <w:r>
        <w:rPr>
          <w:rFonts w:ascii="宋体" w:hAnsi="宋体"/>
          <w:sz w:val="28"/>
          <w:szCs w:val="28"/>
        </w:rPr>
        <w:t>验收工作</w:t>
      </w:r>
      <w:r>
        <w:rPr>
          <w:rFonts w:hint="eastAsia" w:ascii="宋体" w:hAnsi="宋体"/>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28431"/>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东部新区综合部</w:t>
      </w:r>
      <w:r>
        <w:rPr>
          <w:rFonts w:hint="eastAsia" w:ascii="宋体" w:hAnsi="宋体"/>
          <w:sz w:val="28"/>
          <w:szCs w:val="28"/>
        </w:rPr>
        <w:t>、其他投标人恶意串通；</w:t>
      </w:r>
    </w:p>
    <w:p>
      <w:pPr>
        <w:numPr>
          <w:ilvl w:val="1"/>
          <w:numId w:val="25"/>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东部新区综合部</w:t>
      </w:r>
      <w:r>
        <w:rPr>
          <w:rFonts w:hint="eastAsia" w:ascii="宋体" w:hAnsi="宋体"/>
          <w:sz w:val="28"/>
          <w:szCs w:val="28"/>
        </w:rPr>
        <w:t>、评标委员会成员行贿或者提供其他不正当利益；</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东部新区综合部</w:t>
      </w:r>
      <w:r>
        <w:rPr>
          <w:rFonts w:hint="eastAsia" w:ascii="宋体" w:hAnsi="宋体"/>
          <w:sz w:val="28"/>
          <w:szCs w:val="28"/>
        </w:rPr>
        <w:t>进行协商谈判；</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5"/>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5"/>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left="567"/>
        <w:rPr>
          <w:rFonts w:ascii="宋体" w:hAnsi="宋体"/>
          <w:sz w:val="28"/>
          <w:szCs w:val="28"/>
        </w:rPr>
      </w:pPr>
      <w:r>
        <w:rPr>
          <w:rFonts w:hint="eastAsia" w:ascii="宋体" w:hAnsi="宋体"/>
          <w:sz w:val="28"/>
          <w:szCs w:val="28"/>
        </w:rPr>
        <w:t>十二、拒绝有关部门的监督检查或者向监督检查部门提供虚假情况；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十三、法律法规规定的其他禁止情形。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投标人有上述情形的，按照规定追究法律责任，具备一至十条情形之一的，其</w:t>
      </w:r>
      <w:r>
        <w:rPr>
          <w:rFonts w:ascii="宋体" w:hAnsi="宋体"/>
          <w:b/>
          <w:sz w:val="28"/>
          <w:szCs w:val="28"/>
        </w:rPr>
        <w:t>投标文件无效，</w:t>
      </w:r>
      <w:r>
        <w:rPr>
          <w:rFonts w:hint="eastAsia" w:ascii="宋体" w:hAnsi="宋体"/>
          <w:b/>
          <w:sz w:val="28"/>
          <w:szCs w:val="28"/>
        </w:rPr>
        <w:t>或</w:t>
      </w:r>
      <w:r>
        <w:rPr>
          <w:rFonts w:ascii="宋体" w:hAnsi="宋体"/>
          <w:b/>
          <w:sz w:val="28"/>
          <w:szCs w:val="28"/>
        </w:rPr>
        <w:t>取消被</w:t>
      </w:r>
      <w:r>
        <w:rPr>
          <w:rFonts w:hint="eastAsia" w:ascii="宋体" w:hAnsi="宋体"/>
          <w:b/>
          <w:sz w:val="28"/>
          <w:szCs w:val="28"/>
        </w:rPr>
        <w:t>确认为中标</w:t>
      </w:r>
      <w:r>
        <w:rPr>
          <w:rFonts w:ascii="宋体" w:hAnsi="宋体"/>
          <w:b/>
          <w:sz w:val="28"/>
          <w:szCs w:val="28"/>
        </w:rPr>
        <w:t>供应商的资格或认定</w:t>
      </w:r>
      <w:r>
        <w:rPr>
          <w:rFonts w:hint="eastAsia" w:ascii="宋体" w:hAnsi="宋体"/>
          <w:b/>
          <w:sz w:val="28"/>
          <w:szCs w:val="28"/>
        </w:rPr>
        <w:t>中标</w:t>
      </w:r>
      <w:r>
        <w:rPr>
          <w:rFonts w:ascii="宋体" w:hAnsi="宋体"/>
          <w:b/>
          <w:sz w:val="28"/>
          <w:szCs w:val="28"/>
        </w:rPr>
        <w:t>无效</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rPr>
        <w:t>东部新区综合部</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及相关人员（包括</w:t>
      </w:r>
      <w:r>
        <w:rPr>
          <w:rFonts w:ascii="宋体" w:hAnsi="宋体" w:cs="Helvetica"/>
          <w:sz w:val="28"/>
          <w:szCs w:val="28"/>
        </w:rPr>
        <w:t>评标委员会的组成人员</w:t>
      </w:r>
      <w:r>
        <w:rPr>
          <w:rFonts w:hint="eastAsia" w:ascii="宋体" w:hAnsi="宋体" w:cs="Helvetica"/>
          <w:sz w:val="28"/>
          <w:szCs w:val="28"/>
        </w:rPr>
        <w:t>）与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30625"/>
      <w:r>
        <w:rPr>
          <w:rFonts w:hint="eastAsia" w:ascii="宋体" w:hAnsi="宋体"/>
          <w:b/>
          <w:bCs/>
          <w:sz w:val="28"/>
          <w:szCs w:val="28"/>
        </w:rPr>
        <w:t>询问、质疑和投诉</w:t>
      </w:r>
      <w:bookmarkEnd w:id="103"/>
      <w:bookmarkEnd w:id="104"/>
      <w:bookmarkStart w:id="105" w:name="_Toc217446079"/>
    </w:p>
    <w:bookmarkEnd w:id="99"/>
    <w:bookmarkEnd w:id="100"/>
    <w:bookmarkEnd w:id="105"/>
    <w:p>
      <w:pPr>
        <w:numPr>
          <w:ilvl w:val="0"/>
          <w:numId w:val="26"/>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政府采购货物和服务招标投标管理办法》（财政部令第87号）和《政府采购质疑和投诉办法》（财政部令第94号）的规定办理。</w:t>
      </w:r>
    </w:p>
    <w:p>
      <w:pPr>
        <w:numPr>
          <w:ilvl w:val="0"/>
          <w:numId w:val="26"/>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7"/>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参加本次政府采购活动应当具备的条件，招标项目技术、服务、商务及其他要求，评标细则及标准，和中标结果中关于资格审查提出询问或质疑的，向采购人提出；</w:t>
      </w:r>
    </w:p>
    <w:p>
      <w:pPr>
        <w:numPr>
          <w:ilvl w:val="1"/>
          <w:numId w:val="27"/>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供应商对除上述招标文件中的其他内容，采购过程及中标结果（除资格审查）提出询问或质疑的，向东部新区综合部提出</w:t>
      </w:r>
      <w:r>
        <w:rPr>
          <w:rFonts w:hint="eastAsia" w:ascii="宋体" w:hAnsi="宋体"/>
          <w:sz w:val="28"/>
          <w:szCs w:val="28"/>
        </w:rPr>
        <w:t>。</w:t>
      </w:r>
    </w:p>
    <w:p>
      <w:pPr>
        <w:numPr>
          <w:ilvl w:val="0"/>
          <w:numId w:val="26"/>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6"/>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6"/>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供应商可通过“政府采购云平台”，或现场向采购人或东部新区综合部提交质疑资料。</w:t>
      </w:r>
    </w:p>
    <w:p>
      <w:pPr>
        <w:numPr>
          <w:ilvl w:val="0"/>
          <w:numId w:val="26"/>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26"/>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rPr>
        <w:t>东部新区综合部的质疑答复不满意，或者采购人</w:t>
      </w:r>
      <w:r>
        <w:rPr>
          <w:rFonts w:ascii="宋体" w:hAnsi="宋体"/>
          <w:sz w:val="28"/>
          <w:szCs w:val="28"/>
        </w:rPr>
        <w:t>或</w:t>
      </w:r>
      <w:r>
        <w:rPr>
          <w:rFonts w:hint="eastAsia" w:ascii="宋体" w:hAnsi="宋体"/>
          <w:sz w:val="28"/>
          <w:szCs w:val="28"/>
        </w:rPr>
        <w:t>东部新区综合部未在规定期限内作出答复的，供应商可以在答复期满后15个工作日内向同级财政部门提起投诉。</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widowControl/>
        <w:jc w:val="left"/>
        <w:rPr>
          <w:rFonts w:ascii="宋体" w:hAnsi="宋体"/>
          <w:b/>
          <w:bCs/>
          <w:spacing w:val="-20"/>
          <w:kern w:val="44"/>
          <w:sz w:val="32"/>
          <w:szCs w:val="32"/>
        </w:rPr>
      </w:pPr>
      <w:bookmarkStart w:id="106" w:name="_Toc316292052"/>
      <w:bookmarkEnd w:id="106"/>
      <w:bookmarkStart w:id="107" w:name="_Toc315871045"/>
      <w:bookmarkEnd w:id="107"/>
      <w:bookmarkStart w:id="108" w:name="_Toc315871050"/>
      <w:bookmarkEnd w:id="108"/>
      <w:bookmarkStart w:id="109" w:name="_Toc315871047"/>
      <w:bookmarkEnd w:id="109"/>
      <w:bookmarkStart w:id="110" w:name="_Toc315871049"/>
      <w:bookmarkEnd w:id="110"/>
      <w:bookmarkStart w:id="111" w:name="_Toc316292048"/>
      <w:bookmarkEnd w:id="111"/>
      <w:bookmarkStart w:id="112" w:name="_Toc316292050"/>
      <w:bookmarkEnd w:id="112"/>
      <w:bookmarkStart w:id="113" w:name="_Toc315871048"/>
      <w:bookmarkEnd w:id="113"/>
      <w:bookmarkStart w:id="114" w:name="_Toc315871046"/>
      <w:bookmarkEnd w:id="114"/>
      <w:bookmarkStart w:id="115" w:name="_Toc316292049"/>
      <w:bookmarkEnd w:id="115"/>
      <w:bookmarkStart w:id="116" w:name="_Toc316292051"/>
      <w:bookmarkEnd w:id="116"/>
      <w:r>
        <w:rPr>
          <w:rFonts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7" w:name="_Toc29919"/>
      <w:r>
        <w:rPr>
          <w:rFonts w:hint="eastAsia" w:ascii="宋体" w:hAnsi="宋体"/>
          <w:b/>
          <w:bCs/>
          <w:spacing w:val="-20"/>
          <w:kern w:val="44"/>
          <w:sz w:val="32"/>
          <w:szCs w:val="32"/>
        </w:rPr>
        <w:t>投标文件格式</w:t>
      </w:r>
      <w:bookmarkEnd w:id="117"/>
    </w:p>
    <w:p>
      <w:pPr>
        <w:keepNext/>
        <w:keepLines/>
        <w:numPr>
          <w:ilvl w:val="1"/>
          <w:numId w:val="5"/>
        </w:numPr>
        <w:spacing w:before="260" w:after="260" w:line="360" w:lineRule="auto"/>
        <w:jc w:val="left"/>
        <w:outlineLvl w:val="1"/>
        <w:rPr>
          <w:rFonts w:ascii="宋体" w:hAnsi="宋体"/>
          <w:b/>
          <w:bCs/>
          <w:sz w:val="28"/>
          <w:szCs w:val="28"/>
        </w:rPr>
      </w:pPr>
      <w:bookmarkStart w:id="118" w:name="_Toc30202"/>
      <w:r>
        <w:rPr>
          <w:rFonts w:hint="eastAsia" w:ascii="宋体" w:hAnsi="宋体"/>
          <w:b/>
          <w:bCs/>
          <w:sz w:val="28"/>
          <w:szCs w:val="28"/>
        </w:rPr>
        <w:t>投标文件封面格式</w:t>
      </w:r>
      <w:bookmarkEnd w:id="118"/>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jc w:val="center"/>
        <w:rPr>
          <w:sz w:val="96"/>
          <w:szCs w:val="96"/>
        </w:rPr>
      </w:pPr>
      <w:r>
        <w:rPr>
          <w:rFonts w:hint="eastAsia"/>
          <w:sz w:val="96"/>
          <w:szCs w:val="96"/>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rPr>
          <w:rFonts w:hint="eastAsia" w:ascii="宋体" w:hAnsi="宋体" w:eastAsia="宋体"/>
          <w:b/>
          <w:sz w:val="32"/>
          <w:szCs w:val="32"/>
          <w:lang w:eastAsia="zh-CN"/>
        </w:rPr>
      </w:pPr>
      <w:r>
        <w:rPr>
          <w:rFonts w:hint="eastAsia" w:ascii="宋体" w:hAnsi="宋体"/>
          <w:b/>
          <w:sz w:val="32"/>
          <w:szCs w:val="32"/>
        </w:rPr>
        <w:t>项目名称：</w:t>
      </w:r>
      <w:r>
        <w:rPr>
          <w:rFonts w:hint="eastAsia" w:ascii="宋体" w:hAnsi="宋体"/>
          <w:b/>
          <w:sz w:val="32"/>
          <w:szCs w:val="32"/>
          <w:lang w:eastAsia="zh-CN"/>
        </w:rPr>
        <w:t>成都东部新区石板凳街道桐子坳社区先锋安置小区物业服务采购项目</w:t>
      </w:r>
    </w:p>
    <w:p>
      <w:pPr>
        <w:rPr>
          <w:rFonts w:ascii="宋体" w:hAnsi="宋体"/>
          <w:b/>
          <w:sz w:val="32"/>
          <w:szCs w:val="32"/>
        </w:rPr>
      </w:pPr>
      <w:r>
        <w:rPr>
          <w:rFonts w:hint="eastAsia" w:ascii="宋体" w:hAnsi="宋体"/>
          <w:b/>
          <w:sz w:val="32"/>
          <w:szCs w:val="32"/>
        </w:rPr>
        <w:t>项目编号：</w:t>
      </w:r>
      <w:r>
        <w:rPr>
          <w:rFonts w:hint="eastAsia" w:ascii="宋体" w:hAnsi="宋体"/>
          <w:b/>
          <w:sz w:val="32"/>
          <w:szCs w:val="32"/>
          <w:lang w:eastAsia="zh-CN"/>
        </w:rPr>
        <w:t>东部新区政采（2021）A0066号</w:t>
      </w:r>
    </w:p>
    <w:p>
      <w:pPr>
        <w:rPr>
          <w:rFonts w:ascii="宋体" w:hAnsi="宋体"/>
          <w:b/>
          <w:sz w:val="32"/>
          <w:szCs w:val="32"/>
        </w:rPr>
      </w:pPr>
    </w:p>
    <w:p>
      <w:pPr>
        <w:rPr>
          <w:rFonts w:ascii="宋体" w:hAnsi="宋体"/>
          <w:b/>
          <w:sz w:val="32"/>
          <w:szCs w:val="32"/>
        </w:rPr>
      </w:pPr>
    </w:p>
    <w:p>
      <w:pPr>
        <w:rPr>
          <w:rFonts w:ascii="宋体" w:hAnsi="宋体"/>
          <w:b/>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rPr>
          <w:rFonts w:ascii="宋体" w:hAnsi="宋体"/>
          <w:b/>
          <w:sz w:val="32"/>
          <w:szCs w:val="32"/>
        </w:rPr>
      </w:pPr>
      <w:r>
        <w:rPr>
          <w:rFonts w:hint="eastAsia" w:ascii="宋体" w:hAnsi="宋体"/>
          <w:b/>
          <w:sz w:val="32"/>
          <w:szCs w:val="32"/>
        </w:rPr>
        <w:t>投标人名称：XXXX</w:t>
      </w:r>
    </w:p>
    <w:p>
      <w:pPr>
        <w:rPr>
          <w:rFonts w:ascii="宋体" w:hAnsi="宋体"/>
          <w:b/>
          <w:sz w:val="32"/>
          <w:szCs w:val="32"/>
        </w:rPr>
      </w:pPr>
      <w:r>
        <w:rPr>
          <w:rFonts w:hint="eastAsia" w:ascii="宋体" w:hAnsi="宋体"/>
          <w:b/>
          <w:sz w:val="32"/>
          <w:szCs w:val="32"/>
        </w:rPr>
        <w:t>日       期：202X年XX月XX日</w:t>
      </w:r>
    </w:p>
    <w:p>
      <w:pPr>
        <w:rPr>
          <w:rFonts w:ascii="宋体" w:hAnsi="宋体"/>
          <w:b/>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19" w:name="_Toc3865"/>
      <w:r>
        <w:rPr>
          <w:rFonts w:hint="eastAsia" w:ascii="宋体" w:hAnsi="宋体"/>
          <w:b/>
          <w:bCs/>
          <w:sz w:val="28"/>
          <w:szCs w:val="28"/>
        </w:rPr>
        <w:t>资格响应文件</w:t>
      </w:r>
      <w:bookmarkEnd w:id="11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关于投标人申明的函</w:t>
      </w:r>
    </w:p>
    <w:p>
      <w:pPr>
        <w:spacing w:line="360" w:lineRule="auto"/>
        <w:rPr>
          <w:rFonts w:ascii="宋体" w:hAnsi="宋体"/>
          <w:sz w:val="28"/>
          <w:szCs w:val="28"/>
        </w:rPr>
      </w:pPr>
      <w:bookmarkStart w:id="120" w:name="_Toc238581782"/>
      <w:bookmarkStart w:id="121" w:name="_Toc119203988"/>
      <w:bookmarkStart w:id="122" w:name="_Toc119296788"/>
      <w:bookmarkStart w:id="123" w:name="_Toc52184753"/>
      <w:bookmarkStart w:id="124" w:name="_Toc146903609"/>
      <w:bookmarkStart w:id="125" w:name="_Toc119295087"/>
      <w:r>
        <w:rPr>
          <w:rFonts w:hint="eastAsia" w:ascii="宋体" w:hAnsi="宋体"/>
          <w:sz w:val="28"/>
          <w:szCs w:val="28"/>
        </w:rPr>
        <w:t>致：成都东部新区党工委管委会（成都市东部新城办）综合部</w:t>
      </w:r>
      <w:bookmarkEnd w:id="120"/>
    </w:p>
    <w:p>
      <w:pPr>
        <w:spacing w:line="360" w:lineRule="auto"/>
        <w:ind w:firstLine="565" w:firstLineChars="202"/>
        <w:rPr>
          <w:rFonts w:ascii="宋体" w:hAnsi="宋体"/>
          <w:sz w:val="28"/>
          <w:szCs w:val="28"/>
        </w:rPr>
      </w:pPr>
      <w:bookmarkStart w:id="126" w:name="_Toc238581783"/>
      <w:r>
        <w:rPr>
          <w:rFonts w:hint="eastAsia" w:ascii="宋体" w:hAnsi="宋体"/>
          <w:sz w:val="28"/>
          <w:szCs w:val="28"/>
        </w:rPr>
        <w:t>关于我方对</w:t>
      </w:r>
      <w:r>
        <w:rPr>
          <w:rFonts w:hint="eastAsia" w:ascii="宋体" w:hAnsi="宋体"/>
          <w:b/>
          <w:sz w:val="28"/>
          <w:szCs w:val="28"/>
          <w:u w:val="single"/>
          <w:lang w:eastAsia="zh-CN"/>
        </w:rPr>
        <w:t>成都东部新区石板凳街道桐子坳社区先锋安置小区物业服务采购项目</w:t>
      </w:r>
      <w:r>
        <w:rPr>
          <w:rFonts w:hint="eastAsia" w:ascii="宋体" w:hAnsi="宋体"/>
          <w:b/>
          <w:sz w:val="28"/>
          <w:szCs w:val="28"/>
          <w:u w:val="single"/>
        </w:rPr>
        <w:t>（项目编号：</w:t>
      </w:r>
      <w:r>
        <w:rPr>
          <w:rFonts w:hint="eastAsia" w:ascii="宋体" w:hAnsi="宋体"/>
          <w:b/>
          <w:sz w:val="28"/>
          <w:szCs w:val="28"/>
          <w:u w:val="single"/>
          <w:lang w:eastAsia="zh-CN"/>
        </w:rPr>
        <w:t>东部新区政采（2021）A0066号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6"/>
    </w:p>
    <w:p>
      <w:pPr>
        <w:widowControl/>
        <w:numPr>
          <w:ilvl w:val="2"/>
          <w:numId w:val="28"/>
        </w:numPr>
        <w:spacing w:line="360" w:lineRule="auto"/>
        <w:ind w:left="0" w:firstLine="560" w:firstLineChars="200"/>
        <w:rPr>
          <w:rFonts w:ascii="宋体" w:hAnsi="宋体"/>
          <w:sz w:val="28"/>
          <w:szCs w:val="28"/>
        </w:rPr>
      </w:pPr>
      <w:bookmarkStart w:id="127" w:name="_Toc238581784"/>
      <w:r>
        <w:rPr>
          <w:rFonts w:hint="eastAsia" w:ascii="宋体" w:hAnsi="宋体"/>
          <w:sz w:val="28"/>
          <w:szCs w:val="28"/>
        </w:rPr>
        <w:t>投标人名称及概况：</w:t>
      </w:r>
      <w:bookmarkEnd w:id="121"/>
      <w:bookmarkEnd w:id="122"/>
      <w:bookmarkEnd w:id="123"/>
      <w:bookmarkEnd w:id="124"/>
      <w:bookmarkEnd w:id="125"/>
      <w:bookmarkEnd w:id="127"/>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29"/>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29"/>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法定代表人或主要负责人姓名：XXXX</w:t>
      </w:r>
    </w:p>
    <w:p>
      <w:pPr>
        <w:widowControl/>
        <w:numPr>
          <w:ilvl w:val="2"/>
          <w:numId w:val="28"/>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80" w:lineRule="exact"/>
        <w:rPr>
          <w:rFonts w:ascii="宋体" w:hAnsi="宋体"/>
          <w:sz w:val="28"/>
          <w:szCs w:val="28"/>
        </w:rPr>
      </w:pPr>
    </w:p>
    <w:p>
      <w:pPr>
        <w:spacing w:line="360" w:lineRule="auto"/>
        <w:rPr>
          <w:rFonts w:ascii="宋体" w:hAnsi="宋体"/>
          <w:b/>
          <w:bCs/>
          <w:sz w:val="32"/>
          <w:szCs w:val="32"/>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致：成都东部新区党工委管委会（成都市东部新城办）综合部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成都东部新区石板凳街道桐子坳社区先锋安置小区物业服务采购项目</w:t>
      </w:r>
      <w:r>
        <w:rPr>
          <w:rFonts w:hint="eastAsia" w:ascii="宋体" w:hAnsi="宋体"/>
          <w:b/>
          <w:sz w:val="28"/>
          <w:szCs w:val="28"/>
          <w:u w:val="single"/>
        </w:rPr>
        <w:t>（项目编号：</w:t>
      </w:r>
      <w:r>
        <w:rPr>
          <w:rFonts w:hint="eastAsia" w:ascii="宋体" w:hAnsi="宋体"/>
          <w:b/>
          <w:sz w:val="28"/>
          <w:szCs w:val="28"/>
          <w:u w:val="single"/>
          <w:lang w:eastAsia="zh-CN"/>
        </w:rPr>
        <w:t>东部新区政采（2021）A0066号</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42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tabs>
          <w:tab w:val="left" w:pos="1260"/>
        </w:tabs>
        <w:spacing w:line="560" w:lineRule="exact"/>
        <w:ind w:firstLine="560" w:firstLineChars="200"/>
        <w:rPr>
          <w:rFonts w:ascii="宋体" w:hAnsi="宋体"/>
          <w:sz w:val="28"/>
          <w:szCs w:val="28"/>
        </w:rPr>
      </w:pPr>
    </w:p>
    <w:p>
      <w:pPr>
        <w:widowControl/>
        <w:jc w:val="left"/>
        <w:rPr>
          <w:rFonts w:ascii="宋体" w:hAnsi="宋体" w:cs="宋体"/>
          <w:b/>
          <w:bCs/>
          <w:kern w:val="0"/>
          <w:sz w:val="28"/>
          <w:szCs w:val="28"/>
        </w:rPr>
      </w:pPr>
      <w:r>
        <w:br w:type="page"/>
      </w:r>
    </w:p>
    <w:p>
      <w:pPr>
        <w:pStyle w:val="5"/>
        <w:numPr>
          <w:ilvl w:val="2"/>
          <w:numId w:val="5"/>
        </w:numPr>
        <w:spacing w:after="200" w:line="240" w:lineRule="auto"/>
        <w:ind w:left="851"/>
        <w:rPr>
          <w:color w:val="auto"/>
        </w:rPr>
      </w:pPr>
      <w:r>
        <w:rPr>
          <w:rFonts w:hint="eastAsia"/>
          <w:color w:val="auto"/>
        </w:rPr>
        <w:t>中小企业声明函</w:t>
      </w:r>
    </w:p>
    <w:p>
      <w:pPr>
        <w:spacing w:line="560" w:lineRule="exact"/>
        <w:jc w:val="center"/>
        <w:rPr>
          <w:rFonts w:hint="eastAsia" w:ascii="宋体" w:hAnsi="宋体" w:cs="宋体"/>
          <w:b/>
          <w:spacing w:val="6"/>
          <w:sz w:val="28"/>
          <w:szCs w:val="28"/>
        </w:rPr>
      </w:pPr>
      <w:r>
        <w:rPr>
          <w:rFonts w:hint="eastAsia" w:ascii="宋体" w:hAnsi="宋体" w:cs="宋体"/>
          <w:b/>
          <w:spacing w:val="6"/>
          <w:sz w:val="28"/>
          <w:szCs w:val="28"/>
        </w:rPr>
        <w:t>中小企业声明函</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本公司（联合体）郑重声明，根据《政府采购促进中小企业发展管理办法》（财库﹝2020﹞46号）的规定，本公司（联合体）参加</w:t>
      </w:r>
      <w:r>
        <w:rPr>
          <w:rFonts w:hint="eastAsia" w:ascii="宋体" w:hAnsi="宋体" w:cs="宋体"/>
          <w:bCs/>
          <w:sz w:val="24"/>
          <w:szCs w:val="24"/>
          <w:u w:val="single"/>
        </w:rPr>
        <w:t>（单位名称）</w:t>
      </w:r>
      <w:r>
        <w:rPr>
          <w:rFonts w:hint="eastAsia" w:ascii="宋体" w:hAnsi="宋体" w:cs="宋体"/>
          <w:bCs/>
          <w:sz w:val="24"/>
          <w:szCs w:val="24"/>
        </w:rPr>
        <w:t>的</w:t>
      </w:r>
      <w:r>
        <w:rPr>
          <w:rFonts w:hint="eastAsia" w:ascii="宋体" w:hAnsi="宋体" w:cs="宋体"/>
          <w:bCs/>
          <w:sz w:val="24"/>
          <w:szCs w:val="24"/>
          <w:u w:val="single"/>
        </w:rPr>
        <w:t>（项目名称）</w:t>
      </w:r>
      <w:r>
        <w:rPr>
          <w:rFonts w:hint="eastAsia" w:ascii="宋体" w:hAnsi="宋体" w:cs="宋体"/>
          <w:bCs/>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1.</w:t>
      </w:r>
      <w:r>
        <w:rPr>
          <w:rFonts w:hint="eastAsia" w:ascii="宋体" w:hAnsi="宋体" w:cs="宋体"/>
          <w:bCs/>
          <w:sz w:val="24"/>
          <w:szCs w:val="24"/>
          <w:u w:val="single"/>
        </w:rPr>
        <w:t xml:space="preserve"> （标的名称） </w:t>
      </w:r>
      <w:r>
        <w:rPr>
          <w:rFonts w:hint="eastAsia" w:ascii="宋体" w:hAnsi="宋体" w:cs="宋体"/>
          <w:bCs/>
          <w:sz w:val="24"/>
          <w:szCs w:val="24"/>
        </w:rPr>
        <w:t>，属于</w:t>
      </w:r>
      <w:r>
        <w:rPr>
          <w:rFonts w:hint="eastAsia" w:ascii="宋体" w:hAnsi="宋体" w:cs="宋体"/>
          <w:bCs/>
          <w:sz w:val="24"/>
          <w:szCs w:val="24"/>
          <w:u w:val="single"/>
        </w:rPr>
        <w:t>（采购文件中明确的所属行业）</w:t>
      </w:r>
      <w:r>
        <w:rPr>
          <w:rFonts w:hint="eastAsia" w:ascii="宋体" w:hAnsi="宋体" w:cs="宋体"/>
          <w:bCs/>
          <w:sz w:val="24"/>
          <w:szCs w:val="24"/>
        </w:rPr>
        <w:t>；承建（承接）企业为</w:t>
      </w:r>
      <w:r>
        <w:rPr>
          <w:rFonts w:hint="eastAsia" w:ascii="宋体" w:hAnsi="宋体" w:cs="宋体"/>
          <w:bCs/>
          <w:sz w:val="24"/>
          <w:szCs w:val="24"/>
          <w:u w:val="single"/>
        </w:rPr>
        <w:t>（企业名称）</w:t>
      </w:r>
      <w:r>
        <w:rPr>
          <w:rFonts w:hint="eastAsia" w:ascii="宋体" w:hAnsi="宋体" w:cs="宋体"/>
          <w:bCs/>
          <w:sz w:val="24"/>
          <w:szCs w:val="24"/>
        </w:rPr>
        <w:t>，从业人员</w:t>
      </w:r>
      <w:r>
        <w:rPr>
          <w:rFonts w:hint="eastAsia" w:ascii="宋体" w:hAnsi="宋体" w:cs="宋体"/>
          <w:bCs/>
          <w:sz w:val="24"/>
          <w:szCs w:val="24"/>
          <w:u w:val="single"/>
        </w:rPr>
        <w:t xml:space="preserve">  </w:t>
      </w:r>
      <w:r>
        <w:rPr>
          <w:rFonts w:hint="eastAsia" w:ascii="宋体" w:hAnsi="宋体" w:cs="宋体"/>
          <w:bCs/>
          <w:sz w:val="24"/>
          <w:szCs w:val="24"/>
        </w:rPr>
        <w:t>人，营业收入为</w:t>
      </w:r>
      <w:r>
        <w:rPr>
          <w:rFonts w:hint="eastAsia" w:ascii="宋体" w:hAnsi="宋体" w:cs="宋体"/>
          <w:bCs/>
          <w:sz w:val="24"/>
          <w:szCs w:val="24"/>
          <w:u w:val="single"/>
        </w:rPr>
        <w:t xml:space="preserve">  </w:t>
      </w:r>
      <w:r>
        <w:rPr>
          <w:rFonts w:hint="eastAsia" w:ascii="宋体" w:hAnsi="宋体" w:cs="宋体"/>
          <w:bCs/>
          <w:sz w:val="24"/>
          <w:szCs w:val="24"/>
        </w:rPr>
        <w:t>万元，资产总额为</w:t>
      </w:r>
      <w:r>
        <w:rPr>
          <w:rFonts w:hint="eastAsia" w:ascii="宋体" w:hAnsi="宋体" w:cs="宋体"/>
          <w:bCs/>
          <w:sz w:val="24"/>
          <w:szCs w:val="24"/>
          <w:u w:val="single"/>
        </w:rPr>
        <w:t xml:space="preserve">  </w:t>
      </w:r>
      <w:r>
        <w:rPr>
          <w:rFonts w:hint="eastAsia" w:ascii="宋体" w:hAnsi="宋体" w:cs="宋体"/>
          <w:bCs/>
          <w:sz w:val="24"/>
          <w:szCs w:val="24"/>
        </w:rPr>
        <w:t>万元，属于</w:t>
      </w:r>
      <w:r>
        <w:rPr>
          <w:rFonts w:hint="eastAsia" w:ascii="宋体" w:hAnsi="宋体" w:cs="宋体"/>
          <w:bCs/>
          <w:sz w:val="24"/>
          <w:szCs w:val="24"/>
          <w:u w:val="single"/>
        </w:rPr>
        <w:t xml:space="preserve">  （中型企业、小型企业、微型企业）</w:t>
      </w:r>
      <w:r>
        <w:rPr>
          <w:rFonts w:hint="eastAsia" w:ascii="宋体" w:hAnsi="宋体" w:cs="宋体"/>
          <w:bCs/>
          <w:sz w:val="24"/>
          <w:szCs w:val="24"/>
        </w:rPr>
        <w:t>；</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2.</w:t>
      </w:r>
      <w:r>
        <w:rPr>
          <w:rFonts w:hint="eastAsia" w:ascii="宋体" w:hAnsi="宋体" w:cs="宋体"/>
          <w:bCs/>
          <w:sz w:val="24"/>
          <w:szCs w:val="24"/>
          <w:u w:val="single"/>
        </w:rPr>
        <w:t xml:space="preserve"> （标的名称） </w:t>
      </w:r>
      <w:r>
        <w:rPr>
          <w:rFonts w:hint="eastAsia" w:ascii="宋体" w:hAnsi="宋体" w:cs="宋体"/>
          <w:bCs/>
          <w:sz w:val="24"/>
          <w:szCs w:val="24"/>
        </w:rPr>
        <w:t>，属于</w:t>
      </w:r>
      <w:r>
        <w:rPr>
          <w:rFonts w:hint="eastAsia" w:ascii="宋体" w:hAnsi="宋体" w:cs="宋体"/>
          <w:bCs/>
          <w:sz w:val="24"/>
          <w:szCs w:val="24"/>
          <w:u w:val="single"/>
        </w:rPr>
        <w:t>（采购文件中明确的所属行业）</w:t>
      </w:r>
      <w:r>
        <w:rPr>
          <w:rFonts w:hint="eastAsia" w:ascii="宋体" w:hAnsi="宋体" w:cs="宋体"/>
          <w:bCs/>
          <w:sz w:val="24"/>
          <w:szCs w:val="24"/>
        </w:rPr>
        <w:t>；承建（承接）企业为</w:t>
      </w:r>
      <w:r>
        <w:rPr>
          <w:rFonts w:hint="eastAsia" w:ascii="宋体" w:hAnsi="宋体" w:cs="宋体"/>
          <w:bCs/>
          <w:sz w:val="24"/>
          <w:szCs w:val="24"/>
          <w:u w:val="single"/>
        </w:rPr>
        <w:t>（企业名称）</w:t>
      </w:r>
      <w:r>
        <w:rPr>
          <w:rFonts w:hint="eastAsia" w:ascii="宋体" w:hAnsi="宋体" w:cs="宋体"/>
          <w:bCs/>
          <w:sz w:val="24"/>
          <w:szCs w:val="24"/>
        </w:rPr>
        <w:t>，从业人员</w:t>
      </w:r>
      <w:r>
        <w:rPr>
          <w:rFonts w:hint="eastAsia" w:ascii="宋体" w:hAnsi="宋体" w:cs="宋体"/>
          <w:bCs/>
          <w:sz w:val="24"/>
          <w:szCs w:val="24"/>
          <w:u w:val="single"/>
        </w:rPr>
        <w:t xml:space="preserve">  </w:t>
      </w:r>
      <w:r>
        <w:rPr>
          <w:rFonts w:hint="eastAsia" w:ascii="宋体" w:hAnsi="宋体" w:cs="宋体"/>
          <w:bCs/>
          <w:sz w:val="24"/>
          <w:szCs w:val="24"/>
        </w:rPr>
        <w:t>人，营业收入为</w:t>
      </w:r>
      <w:r>
        <w:rPr>
          <w:rFonts w:hint="eastAsia" w:ascii="宋体" w:hAnsi="宋体" w:cs="宋体"/>
          <w:bCs/>
          <w:sz w:val="24"/>
          <w:szCs w:val="24"/>
          <w:u w:val="single"/>
        </w:rPr>
        <w:t xml:space="preserve">  </w:t>
      </w:r>
      <w:r>
        <w:rPr>
          <w:rFonts w:hint="eastAsia" w:ascii="宋体" w:hAnsi="宋体" w:cs="宋体"/>
          <w:bCs/>
          <w:sz w:val="24"/>
          <w:szCs w:val="24"/>
        </w:rPr>
        <w:t>万元，资产总额为</w:t>
      </w:r>
      <w:r>
        <w:rPr>
          <w:rFonts w:hint="eastAsia" w:ascii="宋体" w:hAnsi="宋体" w:cs="宋体"/>
          <w:bCs/>
          <w:sz w:val="24"/>
          <w:szCs w:val="24"/>
          <w:u w:val="single"/>
        </w:rPr>
        <w:t xml:space="preserve">  </w:t>
      </w:r>
      <w:r>
        <w:rPr>
          <w:rFonts w:hint="eastAsia" w:ascii="宋体" w:hAnsi="宋体" w:cs="宋体"/>
          <w:bCs/>
          <w:sz w:val="24"/>
          <w:szCs w:val="24"/>
        </w:rPr>
        <w:t>万元，属于</w:t>
      </w:r>
      <w:r>
        <w:rPr>
          <w:rFonts w:hint="eastAsia" w:ascii="宋体" w:hAnsi="宋体" w:cs="宋体"/>
          <w:bCs/>
          <w:sz w:val="24"/>
          <w:szCs w:val="24"/>
          <w:u w:val="single"/>
        </w:rPr>
        <w:t xml:space="preserve">   （中型企业、小型企业、微型企业）</w:t>
      </w:r>
      <w:r>
        <w:rPr>
          <w:rFonts w:hint="eastAsia" w:ascii="宋体" w:hAnsi="宋体" w:cs="宋体"/>
          <w:bCs/>
          <w:sz w:val="24"/>
          <w:szCs w:val="24"/>
        </w:rPr>
        <w:t>；</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宋体" w:hAnsi="宋体" w:cs="宋体"/>
          <w:bCs/>
          <w:sz w:val="24"/>
          <w:szCs w:val="24"/>
        </w:rPr>
      </w:pPr>
      <w:r>
        <w:rPr>
          <w:rFonts w:hint="eastAsia" w:ascii="宋体" w:hAnsi="宋体" w:cs="宋体"/>
          <w:bCs/>
          <w:sz w:val="24"/>
          <w:szCs w:val="24"/>
        </w:rPr>
        <w:t>本企业对上述声明内容的真实性负责。如有虚假，将依法承担相应责任。</w:t>
      </w:r>
    </w:p>
    <w:p>
      <w:pPr>
        <w:spacing w:line="588" w:lineRule="exact"/>
        <w:ind w:firstLine="504" w:firstLineChars="200"/>
        <w:rPr>
          <w:rFonts w:hint="eastAsia" w:ascii="宋体" w:hAnsi="宋体" w:cs="宋体"/>
          <w:spacing w:val="6"/>
          <w:sz w:val="24"/>
          <w:szCs w:val="24"/>
        </w:rPr>
      </w:pPr>
    </w:p>
    <w:p>
      <w:pPr>
        <w:spacing w:line="560" w:lineRule="exact"/>
        <w:ind w:firstLine="482" w:firstLineChars="200"/>
        <w:rPr>
          <w:rFonts w:hint="eastAsia" w:ascii="宋体" w:hAnsi="宋体" w:cs="宋体"/>
          <w:b/>
          <w:bCs/>
          <w:sz w:val="24"/>
          <w:szCs w:val="24"/>
        </w:rPr>
      </w:pPr>
      <w:r>
        <w:rPr>
          <w:rFonts w:hint="eastAsia" w:ascii="宋体" w:hAnsi="宋体" w:cs="宋体"/>
          <w:b/>
          <w:bCs/>
          <w:sz w:val="24"/>
          <w:szCs w:val="24"/>
        </w:rPr>
        <w:t>企业名称（盖章）：</w:t>
      </w:r>
      <w:r>
        <w:rPr>
          <w:rFonts w:hint="eastAsia" w:ascii="宋体" w:hAnsi="宋体" w:cs="宋体"/>
          <w:b/>
          <w:bCs/>
          <w:sz w:val="24"/>
          <w:szCs w:val="24"/>
          <w:u w:val="single"/>
        </w:rPr>
        <w:t xml:space="preserve">                                 </w:t>
      </w:r>
    </w:p>
    <w:p>
      <w:pPr>
        <w:spacing w:line="560" w:lineRule="exact"/>
        <w:ind w:firstLine="482" w:firstLineChars="200"/>
        <w:rPr>
          <w:rFonts w:hint="eastAsia" w:ascii="宋体" w:hAnsi="宋体" w:cs="宋体"/>
          <w:b/>
          <w:sz w:val="24"/>
          <w:szCs w:val="24"/>
        </w:rPr>
      </w:pPr>
      <w:r>
        <w:rPr>
          <w:rFonts w:hint="eastAsia" w:ascii="宋体" w:hAnsi="宋体" w:cs="宋体"/>
          <w:b/>
          <w:bCs/>
          <w:sz w:val="24"/>
          <w:szCs w:val="24"/>
        </w:rPr>
        <w:t>日  期：</w:t>
      </w:r>
      <w:r>
        <w:rPr>
          <w:rFonts w:hint="eastAsia" w:ascii="宋体" w:hAnsi="宋体" w:cs="宋体"/>
          <w:b/>
          <w:bCs/>
          <w:sz w:val="24"/>
          <w:szCs w:val="24"/>
          <w:u w:val="single"/>
        </w:rPr>
        <w:t xml:space="preserve">            </w:t>
      </w:r>
    </w:p>
    <w:p>
      <w:pPr>
        <w:pStyle w:val="80"/>
        <w:tabs>
          <w:tab w:val="left" w:pos="567"/>
          <w:tab w:val="left" w:pos="709"/>
          <w:tab w:val="left" w:pos="851"/>
        </w:tabs>
        <w:spacing w:before="60" w:line="360" w:lineRule="auto"/>
        <w:ind w:firstLine="562"/>
        <w:rPr>
          <w:rFonts w:ascii="宋体" w:hAnsi="宋体"/>
          <w:b/>
          <w:sz w:val="28"/>
          <w:szCs w:val="28"/>
        </w:rPr>
      </w:pPr>
      <w:r>
        <w:rPr>
          <w:rFonts w:hint="eastAsia" w:ascii="宋体" w:hAnsi="宋体" w:cs="宋体"/>
          <w:b/>
          <w:spacing w:val="6"/>
          <w:sz w:val="24"/>
        </w:rPr>
        <w:t>说明：</w:t>
      </w:r>
      <w:r>
        <w:rPr>
          <w:rFonts w:hint="eastAsia" w:ascii="宋体" w:hAnsi="宋体" w:cs="宋体"/>
          <w:bCs/>
          <w:spacing w:val="6"/>
          <w:sz w:val="24"/>
        </w:rPr>
        <w:t>从业人员、营业收入、资产总额填报上一年度数据，无上一年度数据的新成立企业可不填报。</w:t>
      </w:r>
    </w:p>
    <w:p>
      <w:pPr>
        <w:pStyle w:val="80"/>
        <w:tabs>
          <w:tab w:val="left" w:pos="567"/>
          <w:tab w:val="left" w:pos="709"/>
          <w:tab w:val="left" w:pos="851"/>
        </w:tabs>
        <w:spacing w:before="60" w:line="360" w:lineRule="auto"/>
        <w:ind w:firstLine="562"/>
        <w:rPr>
          <w:rFonts w:ascii="宋体" w:hAnsi="宋体"/>
          <w:b/>
          <w:sz w:val="28"/>
          <w:szCs w:val="28"/>
        </w:rPr>
      </w:pPr>
    </w:p>
    <w:p>
      <w:pPr>
        <w:pStyle w:val="80"/>
        <w:tabs>
          <w:tab w:val="left" w:pos="567"/>
          <w:tab w:val="left" w:pos="709"/>
          <w:tab w:val="left" w:pos="851"/>
        </w:tabs>
        <w:spacing w:before="60" w:line="360" w:lineRule="auto"/>
        <w:ind w:firstLine="562"/>
        <w:rPr>
          <w:rFonts w:ascii="宋体" w:hAnsi="宋体"/>
          <w:b/>
          <w:sz w:val="28"/>
          <w:szCs w:val="28"/>
        </w:rPr>
      </w:pPr>
    </w:p>
    <w:p>
      <w:pPr>
        <w:pStyle w:val="5"/>
        <w:numPr>
          <w:ilvl w:val="2"/>
          <w:numId w:val="5"/>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pacing w:val="6"/>
          <w:sz w:val="28"/>
          <w:szCs w:val="28"/>
          <w:u w:val="single"/>
        </w:rPr>
        <w:t>XXXX</w:t>
      </w:r>
      <w:r>
        <w:rPr>
          <w:rFonts w:hint="eastAsia" w:ascii="宋体" w:hAnsi="宋体"/>
          <w:spacing w:val="6"/>
          <w:sz w:val="28"/>
          <w:szCs w:val="28"/>
        </w:rPr>
        <w:t>单位的</w:t>
      </w:r>
      <w:r>
        <w:rPr>
          <w:rFonts w:hint="eastAsia" w:ascii="宋体" w:hAnsi="宋体"/>
          <w:spacing w:val="6"/>
          <w:sz w:val="28"/>
          <w:szCs w:val="28"/>
          <w:u w:val="single"/>
        </w:rPr>
        <w:t>XXXX</w:t>
      </w:r>
      <w:r>
        <w:rPr>
          <w:rFonts w:hint="eastAsia" w:ascii="宋体" w:hAnsi="宋体"/>
          <w:spacing w:val="6"/>
          <w:sz w:val="28"/>
          <w:szCs w:val="28"/>
        </w:rPr>
        <w:t>项目采购活动由本单位提供服务。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420" w:firstLineChars="200"/>
        <w:rPr>
          <w:rFonts w:ascii="宋体" w:hAnsi="宋体"/>
          <w:szCs w:val="28"/>
        </w:rPr>
      </w:pPr>
    </w:p>
    <w:p>
      <w:pPr>
        <w:tabs>
          <w:tab w:val="left" w:pos="1260"/>
        </w:tabs>
        <w:spacing w:line="560" w:lineRule="exact"/>
        <w:ind w:firstLine="420" w:firstLineChars="200"/>
        <w:rPr>
          <w:rFonts w:ascii="宋体" w:hAnsi="宋体"/>
          <w:szCs w:val="28"/>
        </w:rPr>
      </w:pPr>
    </w:p>
    <w:p/>
    <w:p/>
    <w:p/>
    <w:p>
      <w:pPr>
        <w:tabs>
          <w:tab w:val="left" w:pos="3969"/>
        </w:tabs>
        <w:spacing w:line="588" w:lineRule="exact"/>
        <w:ind w:right="-58"/>
        <w:rPr>
          <w:rFonts w:ascii="宋体" w:hAnsi="宋体"/>
          <w:bCs/>
          <w:sz w:val="28"/>
          <w:u w:val="single"/>
        </w:rPr>
      </w:pPr>
    </w:p>
    <w:p>
      <w:pPr>
        <w:widowControl/>
        <w:jc w:val="left"/>
        <w:rPr>
          <w:rFonts w:ascii="宋体" w:hAnsi="宋体"/>
          <w:b/>
          <w:bCs/>
          <w:sz w:val="28"/>
          <w:szCs w:val="28"/>
        </w:rPr>
      </w:pPr>
      <w:r>
        <w:rPr>
          <w:rFonts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rFonts w:ascii="宋体" w:hAnsi="宋体"/>
          <w:sz w:val="28"/>
          <w:szCs w:val="28"/>
        </w:rPr>
      </w:pPr>
      <w:r>
        <w:rPr>
          <w:rFonts w:hint="eastAsia" w:ascii="宋体" w:hAnsi="宋体"/>
          <w:sz w:val="28"/>
          <w:szCs w:val="28"/>
        </w:rPr>
        <w:t>投标人按招标文件要求，应提供以下相关资格证明材料：</w:t>
      </w:r>
    </w:p>
    <w:p>
      <w:pPr>
        <w:ind w:firstLine="560" w:firstLineChars="200"/>
        <w:rPr>
          <w:sz w:val="28"/>
          <w:szCs w:val="28"/>
        </w:rPr>
      </w:pP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一</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二</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营业执照复印件（正本或副本）或法人证书复印件（正本或副本）或其他能够证明供应商具有独立承担民事责任能力的相关证明材料复印件；</w:t>
      </w:r>
      <w:r>
        <w:rPr>
          <w:rFonts w:ascii="宋体" w:hAnsi="宋体" w:eastAsiaTheme="minorEastAsia" w:cstheme="minorBidi"/>
          <w:kern w:val="0"/>
          <w:sz w:val="28"/>
          <w:szCs w:val="28"/>
        </w:rPr>
        <w:t xml:space="preserve"> </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rPr>
        <w:t>三</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采购人对投标人履行合同所必须的设备和专业技术能力无其他特殊要求，投标人可不提供证明材料；</w:t>
      </w:r>
    </w:p>
    <w:p>
      <w:pPr>
        <w:spacing w:line="360" w:lineRule="auto"/>
        <w:ind w:firstLine="560" w:firstLineChars="200"/>
        <w:rPr>
          <w:rFonts w:hint="eastAsia" w:ascii="宋体" w:hAnsi="宋体" w:eastAsiaTheme="minorEastAsia" w:cstheme="minorBidi"/>
          <w:kern w:val="0"/>
          <w:sz w:val="28"/>
          <w:szCs w:val="28"/>
        </w:rPr>
      </w:pPr>
      <w:r>
        <w:rPr>
          <w:rFonts w:hint="eastAsia" w:ascii="宋体" w:hAnsi="宋体" w:eastAsiaTheme="minorEastAsia" w:cstheme="minorBidi"/>
          <w:kern w:val="0"/>
          <w:sz w:val="28"/>
          <w:szCs w:val="28"/>
        </w:rPr>
        <w:t>四</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采购人对法律、行政法规规定的其他条件无其他特殊要求，投标人可不提供证明材料。</w:t>
      </w:r>
    </w:p>
    <w:p>
      <w:pPr>
        <w:spacing w:line="360" w:lineRule="auto"/>
        <w:ind w:firstLine="560" w:firstLineChars="200"/>
        <w:rPr>
          <w:rFonts w:hint="eastAsia" w:ascii="宋体" w:hAnsi="宋体" w:eastAsiaTheme="minorEastAsia" w:cstheme="minorBidi"/>
          <w:kern w:val="0"/>
          <w:sz w:val="28"/>
          <w:szCs w:val="28"/>
        </w:rPr>
      </w:pPr>
      <w:r>
        <w:rPr>
          <w:rFonts w:hint="eastAsia" w:ascii="宋体" w:hAnsi="宋体" w:eastAsiaTheme="minorEastAsia" w:cstheme="minorBidi"/>
          <w:kern w:val="0"/>
          <w:sz w:val="28"/>
          <w:szCs w:val="28"/>
          <w:lang w:eastAsia="zh-CN"/>
        </w:rPr>
        <w:t>五、</w:t>
      </w:r>
      <w:r>
        <w:rPr>
          <w:rFonts w:hint="eastAsia" w:ascii="宋体" w:hAnsi="宋体" w:eastAsiaTheme="minorEastAsia" w:cstheme="minorBidi"/>
          <w:kern w:val="0"/>
          <w:sz w:val="28"/>
          <w:szCs w:val="28"/>
        </w:rPr>
        <w:t>提供分包意向协议，协议中中小企业合同金额应当达到预算总额的30%，其中给小微企业的比例不低于60%。接受分包合同的中小企业与供应商之间不得存在直接控股、管理关系。若供应商提供的服务均为中小企业的，则不用提供分包意向协议。</w:t>
      </w:r>
    </w:p>
    <w:p>
      <w:pPr>
        <w:spacing w:line="360" w:lineRule="auto"/>
        <w:ind w:firstLine="560" w:firstLineChars="200"/>
        <w:rPr>
          <w:sz w:val="28"/>
          <w:szCs w:val="28"/>
        </w:rPr>
      </w:pPr>
    </w:p>
    <w:p>
      <w:pPr>
        <w:spacing w:line="360" w:lineRule="auto"/>
        <w:ind w:firstLine="560" w:firstLineChars="200"/>
        <w:rPr>
          <w:sz w:val="28"/>
          <w:szCs w:val="28"/>
        </w:rPr>
      </w:pPr>
    </w:p>
    <w:p>
      <w:pPr>
        <w:tabs>
          <w:tab w:val="left" w:pos="3969"/>
        </w:tabs>
        <w:spacing w:line="588" w:lineRule="exact"/>
        <w:ind w:right="-58"/>
        <w:rPr>
          <w:rFonts w:ascii="宋体" w:hAnsi="宋体"/>
          <w:bCs/>
          <w:sz w:val="28"/>
          <w:u w:val="single"/>
        </w:rPr>
      </w:pPr>
    </w:p>
    <w:p>
      <w:pPr>
        <w:widowControl/>
        <w:jc w:val="left"/>
        <w:rPr>
          <w:rFonts w:ascii="宋体" w:hAnsi="宋体"/>
          <w:b/>
          <w:bCs/>
          <w:sz w:val="28"/>
          <w:szCs w:val="28"/>
        </w:rPr>
      </w:pPr>
      <w:r>
        <w:rPr>
          <w:rFonts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28" w:name="_Toc6553"/>
      <w:r>
        <w:rPr>
          <w:rFonts w:hint="eastAsia" w:ascii="宋体" w:hAnsi="宋体"/>
          <w:b/>
          <w:bCs/>
          <w:sz w:val="28"/>
          <w:szCs w:val="28"/>
        </w:rPr>
        <w:t>商务技术响应文件</w:t>
      </w:r>
      <w:bookmarkEnd w:id="128"/>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rPr>
        <w:t>成都东部新区党工委管委会（成都市东部新城办）综合部：</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成都东部新区石板凳街道桐子坳社区先锋安置小区物业服务采购项目</w:t>
      </w:r>
      <w:r>
        <w:rPr>
          <w:rFonts w:hint="eastAsia" w:ascii="宋体" w:hAnsi="宋体"/>
          <w:b/>
          <w:bCs/>
          <w:sz w:val="28"/>
          <w:szCs w:val="28"/>
          <w:u w:val="single"/>
        </w:rPr>
        <w:t>”（项目编号：</w:t>
      </w:r>
      <w:r>
        <w:rPr>
          <w:rFonts w:hint="eastAsia" w:ascii="宋体" w:hAnsi="宋体"/>
          <w:b/>
          <w:bCs/>
          <w:sz w:val="28"/>
          <w:szCs w:val="28"/>
          <w:u w:val="single"/>
          <w:lang w:eastAsia="zh-CN"/>
        </w:rPr>
        <w:t>东部新区政采（2021）A0066号</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0"/>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0"/>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0"/>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0"/>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0"/>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0"/>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700" w:firstLineChars="250"/>
        <w:rPr>
          <w:rFonts w:ascii="宋体" w:hAnsi="宋体"/>
          <w:sz w:val="28"/>
          <w:szCs w:val="28"/>
          <w:u w:val="single"/>
        </w:rPr>
      </w:pPr>
    </w:p>
    <w:p>
      <w:pPr>
        <w:tabs>
          <w:tab w:val="left" w:pos="630"/>
          <w:tab w:val="left" w:pos="7560"/>
        </w:tabs>
        <w:spacing w:line="360" w:lineRule="auto"/>
        <w:rPr>
          <w:rFonts w:ascii="宋体" w:hAnsi="宋体"/>
          <w:sz w:val="28"/>
          <w:szCs w:val="28"/>
        </w:rPr>
      </w:pPr>
      <w:bookmarkStart w:id="129" w:name="_Toc239846734"/>
      <w:bookmarkStart w:id="130" w:name="_Toc240367172"/>
      <w:bookmarkStart w:id="131" w:name="_Toc237145395"/>
      <w:bookmarkStart w:id="132" w:name="_Toc231030275"/>
      <w:bookmarkStart w:id="133" w:name="_Toc239849853"/>
      <w:bookmarkStart w:id="134" w:name="_Toc314574804"/>
      <w:bookmarkStart w:id="135" w:name="_Toc229802674"/>
      <w:bookmarkStart w:id="136" w:name="_Toc265494342"/>
      <w:bookmarkStart w:id="137" w:name="_Toc240865266"/>
    </w:p>
    <w:p>
      <w:pPr>
        <w:pStyle w:val="2"/>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法定代表人或主要负责人身份证明书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lang w:val="zh-CN"/>
        </w:rPr>
        <w:t>。</w:t>
      </w:r>
    </w:p>
    <w:p>
      <w:pPr>
        <w:tabs>
          <w:tab w:val="left" w:pos="6300"/>
        </w:tabs>
        <w:spacing w:line="360" w:lineRule="auto"/>
        <w:ind w:firstLine="573"/>
        <w:rPr>
          <w:rFonts w:ascii="宋体" w:hAnsi="宋体"/>
          <w:sz w:val="28"/>
          <w:lang w:val="zh-CN"/>
        </w:rPr>
      </w:pPr>
      <w:bookmarkStart w:id="138" w:name="_Toc263768866"/>
      <w:r>
        <w:rPr>
          <w:rFonts w:hint="eastAsia" w:ascii="宋体" w:hAnsi="宋体"/>
          <w:sz w:val="28"/>
          <w:lang w:val="zh-CN"/>
        </w:rPr>
        <w:t>特此证明。</w:t>
      </w:r>
      <w:bookmarkEnd w:id="138"/>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p>
    <w:p>
      <w:pPr>
        <w:spacing w:after="180" w:line="300" w:lineRule="auto"/>
        <w:rPr>
          <w:rFonts w:ascii="宋体" w:hAnsi="宋体"/>
          <w:b/>
          <w:sz w:val="28"/>
          <w:szCs w:val="28"/>
        </w:rPr>
      </w:pPr>
    </w:p>
    <w:bookmarkEnd w:id="129"/>
    <w:bookmarkEnd w:id="130"/>
    <w:bookmarkEnd w:id="131"/>
    <w:bookmarkEnd w:id="132"/>
    <w:bookmarkEnd w:id="133"/>
    <w:bookmarkEnd w:id="134"/>
    <w:bookmarkEnd w:id="135"/>
    <w:bookmarkEnd w:id="136"/>
    <w:bookmarkEnd w:id="137"/>
    <w:p>
      <w:pPr>
        <w:keepNext/>
        <w:keepLines/>
        <w:numPr>
          <w:ilvl w:val="2"/>
          <w:numId w:val="5"/>
        </w:numPr>
        <w:spacing w:line="360" w:lineRule="auto"/>
        <w:ind w:left="3119" w:hanging="3119"/>
        <w:outlineLvl w:val="2"/>
        <w:rPr>
          <w:rFonts w:ascii="宋体" w:hAnsi="宋体"/>
          <w:b/>
          <w:bCs/>
          <w:sz w:val="28"/>
          <w:szCs w:val="28"/>
        </w:rPr>
      </w:pPr>
      <w:bookmarkStart w:id="139" w:name="_Toc315871054"/>
      <w:bookmarkEnd w:id="139"/>
      <w:bookmarkStart w:id="140" w:name="_Toc302997926"/>
      <w:bookmarkStart w:id="141" w:name="_Toc263753605"/>
      <w:bookmarkStart w:id="142" w:name="_Toc220299393"/>
      <w:bookmarkStart w:id="143" w:name="_Toc263768870"/>
      <w:bookmarkStart w:id="144" w:name="_Toc217446083"/>
      <w:r>
        <w:rPr>
          <w:rFonts w:hint="eastAsia" w:ascii="宋体" w:hAnsi="宋体"/>
          <w:b/>
          <w:bCs/>
          <w:sz w:val="28"/>
          <w:szCs w:val="28"/>
        </w:rPr>
        <w:t>投标人基本情况表</w:t>
      </w:r>
      <w:bookmarkEnd w:id="140"/>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法定代表人或主要负责人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统一社会信用代码</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p>
      <w:pPr>
        <w:adjustRightInd w:val="0"/>
        <w:spacing w:line="400" w:lineRule="exact"/>
        <w:ind w:firstLine="700" w:firstLineChars="250"/>
        <w:rPr>
          <w:rFonts w:ascii="宋体" w:hAnsi="宋体"/>
          <w:bCs/>
          <w:sz w:val="28"/>
          <w:szCs w:val="28"/>
        </w:rPr>
      </w:pPr>
    </w:p>
    <w:bookmarkEnd w:id="141"/>
    <w:bookmarkEnd w:id="142"/>
    <w:bookmarkEnd w:id="143"/>
    <w:bookmarkEnd w:id="144"/>
    <w:p>
      <w:pPr>
        <w:pStyle w:val="5"/>
        <w:numPr>
          <w:ilvl w:val="2"/>
          <w:numId w:val="5"/>
        </w:numPr>
        <w:spacing w:after="200" w:line="240" w:lineRule="auto"/>
        <w:ind w:left="851"/>
        <w:rPr>
          <w:color w:val="auto"/>
        </w:rPr>
      </w:pPr>
      <w:bookmarkStart w:id="145" w:name="_Toc316475719"/>
      <w:r>
        <w:rPr>
          <w:rFonts w:hint="eastAsia"/>
          <w:color w:val="auto"/>
        </w:rPr>
        <w:t>服务方案及服务承诺</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成都东部新区石板凳街道桐子坳社区先锋安置小区物业服务采购项目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eastAsia="zh-CN"/>
        </w:rPr>
        <w:t>东部新区政采（2021）A0066号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footerReference r:id="rId3" w:type="default"/>
          <w:pgSz w:w="11906" w:h="16838"/>
          <w:pgMar w:top="1440" w:right="1800" w:bottom="1440" w:left="1800" w:header="851" w:footer="992" w:gutter="0"/>
          <w:cols w:space="720" w:num="1"/>
        </w:sectPr>
      </w:pPr>
    </w:p>
    <w:p>
      <w:pPr>
        <w:keepNext/>
        <w:keepLines/>
        <w:numPr>
          <w:ilvl w:val="2"/>
          <w:numId w:val="5"/>
        </w:numPr>
        <w:spacing w:line="360" w:lineRule="auto"/>
        <w:ind w:hanging="3260"/>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成都东部新区石板凳街道桐子坳社区先锋安置小区物业服务采购项目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eastAsia="zh-CN"/>
        </w:rPr>
        <w:t>东部新区政采（2021）A0066号</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80"/>
        <w:numPr>
          <w:ilvl w:val="0"/>
          <w:numId w:val="0"/>
        </w:numPr>
        <w:spacing w:line="360" w:lineRule="auto"/>
        <w:ind w:leftChars="201"/>
        <w:rPr>
          <w:rFonts w:asciiTheme="minorEastAsia" w:hAnsiTheme="minorEastAsia" w:cstheme="minorEastAsia"/>
          <w:sz w:val="28"/>
          <w:szCs w:val="28"/>
        </w:rPr>
      </w:pPr>
      <w:r>
        <w:rPr>
          <w:rFonts w:hint="eastAsia" w:asciiTheme="minorEastAsia" w:hAnsiTheme="minorEastAsia"/>
          <w:bCs/>
          <w:sz w:val="28"/>
        </w:rPr>
        <w:t>为本项目提供的所有服务符合现行的国家相关强制性标准、行业标准。</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pStyle w:val="2"/>
      </w:pPr>
    </w:p>
    <w:p>
      <w:pPr>
        <w:pStyle w:val="2"/>
      </w:pPr>
    </w:p>
    <w:p>
      <w:pPr>
        <w:pStyle w:val="2"/>
      </w:pPr>
    </w:p>
    <w:p>
      <w:pPr>
        <w:pStyle w:val="2"/>
      </w:pPr>
    </w:p>
    <w:p>
      <w:pPr>
        <w:pStyle w:val="2"/>
      </w:pPr>
    </w:p>
    <w:p>
      <w:pPr>
        <w:pStyle w:val="2"/>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spacing w:line="360" w:lineRule="auto"/>
        <w:rPr>
          <w:rFonts w:ascii="宋体" w:hAnsi="宋体"/>
          <w:sz w:val="28"/>
        </w:rPr>
      </w:pPr>
    </w:p>
    <w:p>
      <w:pPr>
        <w:spacing w:line="360" w:lineRule="auto"/>
        <w:rPr>
          <w:rFonts w:ascii="宋体" w:hAnsi="宋体"/>
          <w:sz w:val="28"/>
        </w:rPr>
      </w:pPr>
    </w:p>
    <w:p>
      <w:pPr>
        <w:spacing w:line="360" w:lineRule="auto"/>
        <w:rPr>
          <w:rFonts w:ascii="宋体" w:hAnsi="宋体"/>
          <w:sz w:val="28"/>
        </w:rPr>
      </w:pPr>
    </w:p>
    <w:p>
      <w:pPr>
        <w:pStyle w:val="2"/>
      </w:pPr>
    </w:p>
    <w:p>
      <w:pPr>
        <w:pStyle w:val="2"/>
      </w:pPr>
    </w:p>
    <w:p>
      <w:pPr>
        <w:keepNext/>
        <w:keepLines/>
        <w:numPr>
          <w:ilvl w:val="1"/>
          <w:numId w:val="5"/>
        </w:numPr>
        <w:spacing w:before="260" w:after="260" w:line="360" w:lineRule="auto"/>
        <w:jc w:val="left"/>
        <w:outlineLvl w:val="1"/>
        <w:rPr>
          <w:rFonts w:ascii="宋体" w:hAnsi="宋体"/>
          <w:b/>
          <w:sz w:val="28"/>
        </w:rPr>
      </w:pPr>
      <w:bookmarkStart w:id="146" w:name="_Toc14065"/>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6"/>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sz w:val="28"/>
          <w:szCs w:val="28"/>
        </w:rPr>
      </w:pPr>
      <w:r>
        <w:rPr>
          <w:rFonts w:hint="eastAsia" w:ascii="宋体" w:hAnsi="宋体"/>
          <w:b/>
          <w:sz w:val="28"/>
          <w:szCs w:val="28"/>
        </w:rPr>
        <w:t>投标报价以投标人在政府采购云平台开标一览表中填写的报价为准。</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440" w:lineRule="exact"/>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成都东部新区石板凳街道桐子坳社区先锋安置小区物业服务采购项目</w:t>
      </w:r>
    </w:p>
    <w:p>
      <w:pPr>
        <w:tabs>
          <w:tab w:val="left" w:pos="7560"/>
        </w:tabs>
        <w:spacing w:after="180" w:line="440" w:lineRule="exact"/>
        <w:rPr>
          <w:rFonts w:ascii="宋体" w:hAnsi="宋体"/>
          <w:b/>
          <w:sz w:val="28"/>
          <w:szCs w:val="20"/>
        </w:rPr>
      </w:pPr>
      <w:r>
        <w:rPr>
          <w:rFonts w:hint="eastAsia" w:ascii="宋体" w:hAnsi="宋体"/>
          <w:b/>
          <w:sz w:val="28"/>
          <w:szCs w:val="20"/>
        </w:rPr>
        <w:t>项目编号：</w:t>
      </w:r>
      <w:r>
        <w:rPr>
          <w:rFonts w:hint="eastAsia" w:ascii="宋体" w:hAnsi="宋体"/>
          <w:b/>
          <w:sz w:val="28"/>
          <w:szCs w:val="20"/>
          <w:u w:val="single"/>
          <w:lang w:eastAsia="zh-CN"/>
        </w:rPr>
        <w:t>东部新区政采（2021）A0066号</w:t>
      </w:r>
    </w:p>
    <w:p>
      <w:pPr>
        <w:ind w:firstLine="700" w:firstLineChars="250"/>
        <w:rPr>
          <w:rFonts w:ascii="宋体" w:hAnsi="宋体"/>
          <w:sz w:val="28"/>
          <w:lang w:val="zh-CN"/>
        </w:rPr>
      </w:pPr>
      <w:r>
        <w:rPr>
          <w:rFonts w:hint="eastAsia" w:ascii="宋体" w:hAnsi="宋体"/>
          <w:sz w:val="28"/>
          <w:lang w:val="zh-CN"/>
        </w:rPr>
        <w:t>XXXX。</w:t>
      </w:r>
    </w:p>
    <w:p>
      <w:pPr>
        <w:ind w:firstLine="700" w:firstLineChars="250"/>
        <w:rPr>
          <w:rFonts w:ascii="宋体" w:hAnsi="宋体"/>
          <w:sz w:val="28"/>
          <w:lang w:val="zh-CN"/>
        </w:rPr>
      </w:pPr>
      <w:r>
        <w:rPr>
          <w:rFonts w:hint="eastAsia" w:ascii="宋体" w:hAnsi="宋体"/>
          <w:sz w:val="28"/>
          <w:lang w:val="zh-CN"/>
        </w:rPr>
        <w:t>投标人名称：XXXX</w:t>
      </w:r>
    </w:p>
    <w:p>
      <w:pPr>
        <w:ind w:firstLine="700" w:firstLineChars="250"/>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after="0" w:line="240" w:lineRule="auto"/>
        <w:ind w:firstLine="0"/>
        <w:rPr>
          <w:rFonts w:ascii="宋体" w:hAnsi="宋体"/>
          <w:b/>
          <w:sz w:val="28"/>
        </w:rPr>
      </w:pPr>
      <w:r>
        <w:rPr>
          <w:rFonts w:hint="eastAsia" w:ascii="宋体" w:hAnsi="宋体"/>
          <w:b/>
          <w:sz w:val="28"/>
        </w:rPr>
        <w:t>说明：投标人应根据以上表格格式填写分项报价，报价合计应包括投标人完成本项目所需的一切费用。</w:t>
      </w: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p>
      <w:pPr>
        <w:pStyle w:val="13"/>
        <w:spacing w:after="0" w:line="240" w:lineRule="auto"/>
        <w:ind w:firstLine="0"/>
        <w:rPr>
          <w:rFonts w:ascii="宋体" w:hAnsi="宋体"/>
          <w:b/>
          <w:sz w:val="28"/>
        </w:rPr>
      </w:pPr>
    </w:p>
    <w:bookmarkEnd w:id="145"/>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7" w:name="_Toc11534"/>
      <w:bookmarkStart w:id="148" w:name="_Toc217446093"/>
      <w:bookmarkStart w:id="149" w:name="_Toc321382057"/>
      <w:bookmarkStart w:id="150" w:name="_Toc316292231"/>
      <w:r>
        <w:rPr>
          <w:rFonts w:hint="eastAsia" w:ascii="宋体" w:hAnsi="宋体"/>
          <w:b/>
          <w:bCs/>
          <w:spacing w:val="-20"/>
          <w:kern w:val="44"/>
          <w:sz w:val="32"/>
          <w:szCs w:val="32"/>
        </w:rPr>
        <w:t>招标项目技术、服务、商务及其他要求</w:t>
      </w:r>
      <w:bookmarkEnd w:id="147"/>
      <w:bookmarkEnd w:id="148"/>
    </w:p>
    <w:p>
      <w:bookmarkStart w:id="151" w:name="_Toc513796936"/>
      <w:bookmarkStart w:id="152" w:name="_Toc529173741"/>
      <w:bookmarkStart w:id="153" w:name="_Toc533672602"/>
    </w:p>
    <w:p>
      <w:pPr>
        <w:pStyle w:val="4"/>
        <w:numPr>
          <w:ilvl w:val="1"/>
          <w:numId w:val="5"/>
        </w:numPr>
        <w:tabs>
          <w:tab w:val="left" w:pos="426"/>
          <w:tab w:val="left" w:pos="567"/>
        </w:tabs>
        <w:spacing w:before="0" w:after="200"/>
        <w:jc w:val="both"/>
      </w:pPr>
      <w:bookmarkStart w:id="154" w:name="_Toc77688489"/>
      <w:bookmarkStart w:id="155" w:name="_Toc4666"/>
      <w:r>
        <w:rPr>
          <w:rFonts w:hint="eastAsia"/>
        </w:rPr>
        <w:t>项目</w:t>
      </w:r>
      <w:bookmarkEnd w:id="154"/>
      <w:r>
        <w:rPr>
          <w:rFonts w:hint="eastAsia"/>
          <w:lang w:eastAsia="zh-CN"/>
        </w:rPr>
        <w:t>概述</w:t>
      </w:r>
      <w:bookmarkEnd w:id="155"/>
    </w:p>
    <w:p>
      <w:pPr>
        <w:ind w:firstLine="560" w:firstLineChars="200"/>
        <w:rPr>
          <w:rFonts w:hint="eastAsia" w:ascii="宋体" w:hAnsi="宋体" w:cstheme="minorBidi"/>
          <w:sz w:val="28"/>
          <w:szCs w:val="28"/>
        </w:rPr>
      </w:pPr>
      <w:r>
        <w:rPr>
          <w:rFonts w:hint="eastAsia" w:ascii="宋体" w:hAnsi="宋体" w:cstheme="minorBidi"/>
          <w:sz w:val="28"/>
          <w:szCs w:val="28"/>
          <w:lang w:eastAsia="zh-CN"/>
        </w:rPr>
        <w:t>一、</w:t>
      </w:r>
      <w:r>
        <w:rPr>
          <w:rFonts w:hint="eastAsia" w:ascii="宋体" w:hAnsi="宋体" w:cstheme="minorBidi"/>
          <w:sz w:val="28"/>
          <w:szCs w:val="28"/>
        </w:rPr>
        <w:t>本项目是为成都市东部新区石板凳街道桐子坳社区先锋安置小区提供物业服务，中标人所派出的物业服务团队及其服务事项由采购人进行管理。</w:t>
      </w:r>
    </w:p>
    <w:p>
      <w:pPr>
        <w:ind w:firstLine="560" w:firstLineChars="200"/>
        <w:rPr>
          <w:rFonts w:hint="eastAsia" w:ascii="宋体" w:hAnsi="宋体" w:cstheme="minorBidi"/>
          <w:sz w:val="28"/>
          <w:szCs w:val="28"/>
        </w:rPr>
      </w:pPr>
      <w:r>
        <w:rPr>
          <w:rFonts w:hint="eastAsia" w:ascii="宋体" w:hAnsi="宋体" w:cstheme="minorBidi"/>
          <w:sz w:val="28"/>
          <w:szCs w:val="28"/>
          <w:lang w:eastAsia="zh-CN"/>
        </w:rPr>
        <w:t>二、</w:t>
      </w:r>
      <w:r>
        <w:rPr>
          <w:rFonts w:hint="eastAsia" w:ascii="宋体" w:hAnsi="宋体" w:cstheme="minorBidi"/>
          <w:sz w:val="28"/>
          <w:szCs w:val="28"/>
        </w:rPr>
        <w:t>本项目为返迁群众提供及时、周到、优质的服务，营造安全、舒适的生活居住环境，体现共建、共治、共享，推进社区稳定和谐发展。</w:t>
      </w:r>
    </w:p>
    <w:p>
      <w:pPr>
        <w:ind w:firstLine="560" w:firstLineChars="200"/>
        <w:rPr>
          <w:rFonts w:hint="eastAsia" w:ascii="宋体" w:hAnsi="宋体" w:cstheme="minorBidi"/>
          <w:sz w:val="28"/>
          <w:szCs w:val="28"/>
        </w:rPr>
      </w:pPr>
      <w:r>
        <w:rPr>
          <w:rFonts w:hint="eastAsia" w:ascii="宋体" w:hAnsi="宋体" w:cstheme="minorBidi"/>
          <w:sz w:val="28"/>
          <w:szCs w:val="28"/>
          <w:lang w:eastAsia="zh-CN"/>
        </w:rPr>
        <w:t>三、</w:t>
      </w:r>
      <w:r>
        <w:rPr>
          <w:rFonts w:hint="eastAsia" w:ascii="宋体" w:hAnsi="宋体" w:cstheme="minorBidi"/>
          <w:sz w:val="28"/>
          <w:szCs w:val="28"/>
        </w:rPr>
        <w:t>石板凳街道桐子坳社区先锋安置小区为拆迁安置小区，项目地址位于成都东部新区石板凳街道先锋社区、长堰村境内，占地面积327.51亩。项目由A、B、C、D、E、F、H、I、G、J、十个地块组成，其中A.B.D.F.G.J六个地块为住宅,C为幼儿园，E为小学，H为商业，I为社区配套和商业配套。住宅面积234971.05㎡，共计居民户数2427户，其中：A地块住宅建筑面积49245.65㎡,B地块住宅建筑面积40635.59㎡，D地块住宅建筑面积47833.09㎡，，F地块住宅建筑面积52389.65㎡,G地块住宅建筑面积68131.41㎡；J地块住宅建筑面积46437.92㎡;小区共有住宅电梯74部、消防监控控制室6个、出入口13个、机动车位1936个、非机动车位2339个、物业用房共1104.55㎡，项目设施设备配套齐全。</w:t>
      </w:r>
    </w:p>
    <w:p>
      <w:pPr>
        <w:ind w:firstLine="560" w:firstLineChars="200"/>
        <w:rPr>
          <w:rFonts w:hint="eastAsia" w:ascii="宋体" w:hAnsi="宋体" w:cstheme="minorBidi"/>
          <w:sz w:val="28"/>
          <w:szCs w:val="28"/>
        </w:rPr>
      </w:pPr>
      <w:r>
        <w:rPr>
          <w:rFonts w:hint="eastAsia" w:ascii="宋体" w:hAnsi="宋体" w:cstheme="minorBidi"/>
          <w:sz w:val="28"/>
          <w:szCs w:val="28"/>
          <w:lang w:eastAsia="zh-CN"/>
        </w:rPr>
        <w:t>四、</w:t>
      </w:r>
      <w:r>
        <w:rPr>
          <w:rFonts w:hint="eastAsia" w:ascii="宋体" w:hAnsi="宋体" w:cstheme="minorBidi"/>
          <w:sz w:val="28"/>
          <w:szCs w:val="28"/>
        </w:rPr>
        <w:t>物业服务定位</w:t>
      </w:r>
    </w:p>
    <w:p>
      <w:pPr>
        <w:ind w:firstLine="560" w:firstLineChars="200"/>
        <w:rPr>
          <w:rFonts w:ascii="宋体" w:hAnsi="宋体" w:cstheme="minorBidi"/>
          <w:sz w:val="28"/>
          <w:szCs w:val="28"/>
        </w:rPr>
      </w:pPr>
      <w:r>
        <w:rPr>
          <w:rFonts w:hint="eastAsia" w:ascii="宋体" w:hAnsi="宋体" w:cstheme="minorBidi"/>
          <w:sz w:val="28"/>
          <w:szCs w:val="28"/>
        </w:rPr>
        <w:t>石板凳街道桐子坳社区先锋安置小区的物业服务定位为：安全、舒适、便捷。让小区业主享受到物业服务企业主动、热情、周到、细致的物业服务，营造和谐、安定的新社区生活环境，体现共建、共治、共享，推进社区稳定和谐发展。</w:t>
      </w:r>
    </w:p>
    <w:p>
      <w:pPr>
        <w:pStyle w:val="4"/>
        <w:numPr>
          <w:ilvl w:val="1"/>
          <w:numId w:val="5"/>
        </w:numPr>
        <w:tabs>
          <w:tab w:val="left" w:pos="426"/>
          <w:tab w:val="left" w:pos="567"/>
        </w:tabs>
        <w:spacing w:before="0" w:after="200"/>
        <w:jc w:val="both"/>
      </w:pPr>
      <w:bookmarkStart w:id="156" w:name="_Toc77688490"/>
      <w:bookmarkStart w:id="157" w:name="_Toc13912"/>
      <w:r>
        <w:rPr>
          <w:rFonts w:hint="eastAsia"/>
        </w:rPr>
        <w:t>服务内容及服务要求</w:t>
      </w:r>
      <w:bookmarkEnd w:id="156"/>
      <w:bookmarkEnd w:id="157"/>
    </w:p>
    <w:p>
      <w:pPr>
        <w:ind w:firstLine="562" w:firstLineChars="200"/>
        <w:rPr>
          <w:rFonts w:hint="eastAsia" w:ascii="宋体" w:hAnsi="宋体" w:cstheme="minorBidi"/>
          <w:b/>
          <w:bCs/>
          <w:sz w:val="28"/>
          <w:szCs w:val="28"/>
          <w:lang w:eastAsia="zh-CN"/>
        </w:rPr>
      </w:pPr>
      <w:r>
        <w:rPr>
          <w:rFonts w:hint="eastAsia" w:ascii="宋体" w:hAnsi="宋体" w:cstheme="minorBidi"/>
          <w:b/>
          <w:bCs/>
          <w:sz w:val="28"/>
          <w:szCs w:val="28"/>
          <w:lang w:eastAsia="zh-CN"/>
        </w:rPr>
        <w:t>一、项目概况及内容</w:t>
      </w:r>
    </w:p>
    <w:p>
      <w:pPr>
        <w:ind w:firstLine="560" w:firstLineChars="200"/>
        <w:rPr>
          <w:rFonts w:hint="eastAsia" w:ascii="宋体" w:hAnsi="宋体" w:cstheme="minorBidi"/>
          <w:sz w:val="28"/>
          <w:szCs w:val="28"/>
        </w:rPr>
      </w:pPr>
      <w:r>
        <w:rPr>
          <w:rFonts w:hint="eastAsia" w:ascii="宋体" w:hAnsi="宋体" w:cstheme="minorBidi"/>
          <w:sz w:val="28"/>
          <w:szCs w:val="28"/>
        </w:rPr>
        <w:t>按《四川省（区域性）地方标准-住宅物业服务等级划分（DB510100/T073-2011）》中住宅物业三级服务相关要求，拟实施的石板凳先锋安置还房物业管理服务集中采购项目涉及建筑面积：住宅面积234971.05 ㎡，通过本次招标确定一家专业物业公司，承担本项目的物业管理服务，包括综合服务、共用部位及共用设施设备运行和维修养护、装饰装修管理、公共秩序维护、环境卫生维护、绿化养护以及社区文化建设七项内容。</w:t>
      </w:r>
    </w:p>
    <w:p>
      <w:pPr>
        <w:ind w:firstLine="562" w:firstLineChars="200"/>
        <w:rPr>
          <w:rFonts w:hint="eastAsia" w:ascii="宋体" w:hAnsi="宋体" w:cstheme="minorBidi"/>
          <w:b/>
          <w:bCs/>
          <w:sz w:val="28"/>
          <w:szCs w:val="28"/>
          <w:lang w:eastAsia="zh-CN"/>
        </w:rPr>
      </w:pPr>
      <w:r>
        <w:rPr>
          <w:rFonts w:hint="eastAsia" w:ascii="宋体" w:hAnsi="宋体" w:cstheme="minorBidi"/>
          <w:b/>
          <w:bCs/>
          <w:sz w:val="28"/>
          <w:szCs w:val="28"/>
          <w:lang w:eastAsia="zh-CN"/>
        </w:rPr>
        <w:t>二、总体要求</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（一）组织架构</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石板凳街道桐子坳社区先锋安置小区设物业客户服务中心，下辖4个部门，分别为:客户服务部、设备维护部、秩序维护部、环境维护部。</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1、项目经理负责制</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客户服务中心实行项目经理负责制，全面负责指挥和协调各部门开展物业管理和服务工作。</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2、客户服务中心</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客户服务中心为项目实施物业管理与服务的信息平台，综合处理各种信息，对服务中心所设置各部门人员进行统一调度，同时负责行政、人力资源、后勤、档案资料管理、会计核算及楼宇管理，是物业项目管理处的“大后方”，并为各部门正常运行提供充足的人力、财力和物力保障。</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2.1客户服务部</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该部门负责接待业主咨询、建议、报修和投诉，对业主反映事项进行记录、派工、协调解决，跟踪并予回访；维护业主和物业的关系；对客户服务中心其他部门的工作进行检查和督导；同时负责运行记录的收集整理、业主入伙、装修和社区文化建设等。</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2.2设备维护部</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该部门负责小区公共部位、共用设施设备的日常巡视、检修、保养、管理以及客户报修的维修服务。</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2.3秩序维护部</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该部门主要负责小区内公共秩序维护、车辆管理、消防管理、协助公安机关进行治安安全防范等工作，确保小区有序、安全，业主生活安居乐业。</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2.4环境维护部</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rPr>
        <w:t>环境维护部包括保洁和绿化，环境维护部按照客户服务中心环境管理的标准和要求，对公共部位实施专业保洁，对绿地进行专业维护和保养，为业主提供整洁、优美的生活环境。</w:t>
      </w:r>
    </w:p>
    <w:p>
      <w:pPr>
        <w:tabs>
          <w:tab w:val="left" w:pos="1134"/>
        </w:tabs>
        <w:adjustRightInd w:val="0"/>
        <w:snapToGrid w:val="0"/>
        <w:spacing w:line="570" w:lineRule="exact"/>
        <w:ind w:firstLine="560" w:firstLineChars="200"/>
        <w:rPr>
          <w:rFonts w:hint="eastAsia" w:ascii="宋体" w:hAnsi="宋体" w:cstheme="minorBidi"/>
          <w:sz w:val="28"/>
          <w:szCs w:val="28"/>
        </w:rPr>
      </w:pPr>
      <w:r>
        <w:rPr>
          <w:rFonts w:hint="eastAsia" w:ascii="宋体" w:hAnsi="宋体" w:cstheme="minorBidi"/>
          <w:sz w:val="28"/>
          <w:szCs w:val="28"/>
          <w:lang w:eastAsia="zh-CN"/>
        </w:rPr>
        <w:t>（二）</w:t>
      </w:r>
      <w:r>
        <w:rPr>
          <w:rFonts w:hint="eastAsia" w:ascii="宋体" w:hAnsi="宋体" w:cstheme="minorBidi"/>
          <w:sz w:val="28"/>
          <w:szCs w:val="28"/>
        </w:rPr>
        <w:t>人员配置</w:t>
      </w:r>
    </w:p>
    <w:tbl>
      <w:tblPr>
        <w:tblStyle w:val="43"/>
        <w:tblW w:w="4998" w:type="pct"/>
        <w:tblInd w:w="0" w:type="dxa"/>
        <w:tblLayout w:type="autofit"/>
        <w:tblCellMar>
          <w:top w:w="15" w:type="dxa"/>
          <w:left w:w="15" w:type="dxa"/>
          <w:bottom w:w="15" w:type="dxa"/>
          <w:right w:w="15" w:type="dxa"/>
        </w:tblCellMar>
      </w:tblPr>
      <w:tblGrid>
        <w:gridCol w:w="977"/>
        <w:gridCol w:w="1233"/>
        <w:gridCol w:w="1333"/>
        <w:gridCol w:w="661"/>
        <w:gridCol w:w="4135"/>
      </w:tblGrid>
      <w:tr>
        <w:tblPrEx>
          <w:tblCellMar>
            <w:top w:w="15" w:type="dxa"/>
            <w:left w:w="15" w:type="dxa"/>
            <w:bottom w:w="15" w:type="dxa"/>
            <w:right w:w="15" w:type="dxa"/>
          </w:tblCellMar>
        </w:tblPrEx>
        <w:trPr>
          <w:trHeight w:val="286" w:hRule="atLeast"/>
        </w:trPr>
        <w:tc>
          <w:tcPr>
            <w:tcW w:w="586"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部门</w:t>
            </w:r>
          </w:p>
        </w:tc>
        <w:tc>
          <w:tcPr>
            <w:tcW w:w="73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部门人数</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岗位</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人数</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备注</w:t>
            </w:r>
          </w:p>
        </w:tc>
      </w:tr>
      <w:tr>
        <w:tblPrEx>
          <w:tblCellMar>
            <w:top w:w="15" w:type="dxa"/>
            <w:left w:w="15" w:type="dxa"/>
            <w:bottom w:w="15" w:type="dxa"/>
            <w:right w:w="15" w:type="dxa"/>
          </w:tblCellMar>
        </w:tblPrEx>
        <w:trPr>
          <w:trHeight w:val="286" w:hRule="atLeast"/>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物业办公室</w:t>
            </w:r>
          </w:p>
        </w:tc>
        <w:tc>
          <w:tcPr>
            <w:tcW w:w="73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项目经理</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项目负责人，周末法定节假日休</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财务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负责项目财务工作</w:t>
            </w:r>
          </w:p>
        </w:tc>
      </w:tr>
      <w:tr>
        <w:tblPrEx>
          <w:tblCellMar>
            <w:top w:w="15" w:type="dxa"/>
            <w:left w:w="15" w:type="dxa"/>
            <w:bottom w:w="15" w:type="dxa"/>
            <w:right w:w="15" w:type="dxa"/>
          </w:tblCellMar>
        </w:tblPrEx>
        <w:trPr>
          <w:trHeight w:val="630"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人事/行政/库管/采购</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负责项目人事、物资采购、库房管理及报销等后勤工作</w:t>
            </w:r>
          </w:p>
        </w:tc>
      </w:tr>
      <w:tr>
        <w:tblPrEx>
          <w:tblCellMar>
            <w:top w:w="15" w:type="dxa"/>
            <w:left w:w="15" w:type="dxa"/>
            <w:bottom w:w="15" w:type="dxa"/>
            <w:right w:w="15" w:type="dxa"/>
          </w:tblCellMar>
        </w:tblPrEx>
        <w:trPr>
          <w:trHeight w:val="286" w:hRule="atLeast"/>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客户服务部</w:t>
            </w:r>
          </w:p>
        </w:tc>
        <w:tc>
          <w:tcPr>
            <w:tcW w:w="73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客服主管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客户服务部负责人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接待</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每两个区块1人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轮休</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换休，每人每周休两天</w:t>
            </w:r>
          </w:p>
        </w:tc>
      </w:tr>
      <w:tr>
        <w:tblPrEx>
          <w:tblCellMar>
            <w:top w:w="15" w:type="dxa"/>
            <w:left w:w="15" w:type="dxa"/>
            <w:bottom w:w="15" w:type="dxa"/>
            <w:right w:w="15" w:type="dxa"/>
          </w:tblCellMar>
        </w:tblPrEx>
        <w:trPr>
          <w:trHeight w:val="286" w:hRule="atLeast"/>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设施设备维护部</w:t>
            </w:r>
          </w:p>
        </w:tc>
        <w:tc>
          <w:tcPr>
            <w:tcW w:w="73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设备维护</w:t>
            </w:r>
            <w:r>
              <w:rPr>
                <w:rFonts w:hint="eastAsia" w:ascii="宋体" w:hAnsi="宋体" w:eastAsia="宋体" w:cs="宋体"/>
                <w:color w:val="auto"/>
                <w:kern w:val="0"/>
                <w:sz w:val="24"/>
                <w:szCs w:val="24"/>
                <w:highlight w:val="none"/>
                <w:lang w:bidi="ar"/>
              </w:rPr>
              <w:t>主管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设施设备部负责人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综合工</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综合维修5人（电梯安全管理、电工作业）</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轮休</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换休，每人每周休两天</w:t>
            </w:r>
          </w:p>
        </w:tc>
      </w:tr>
      <w:tr>
        <w:tblPrEx>
          <w:tblCellMar>
            <w:top w:w="15" w:type="dxa"/>
            <w:left w:w="15" w:type="dxa"/>
            <w:bottom w:w="15" w:type="dxa"/>
            <w:right w:w="15" w:type="dxa"/>
          </w:tblCellMar>
        </w:tblPrEx>
        <w:trPr>
          <w:trHeight w:val="286" w:hRule="atLeast"/>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秩序维护部</w:t>
            </w:r>
          </w:p>
        </w:tc>
        <w:tc>
          <w:tcPr>
            <w:tcW w:w="73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69</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秩序主管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秩序维护部负责人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领班</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协助主管开展服务管理工作</w:t>
            </w:r>
          </w:p>
        </w:tc>
      </w:tr>
      <w:tr>
        <w:tblPrEx>
          <w:tblCellMar>
            <w:top w:w="15" w:type="dxa"/>
            <w:left w:w="15" w:type="dxa"/>
            <w:bottom w:w="15" w:type="dxa"/>
            <w:right w:w="15" w:type="dxa"/>
          </w:tblCellMar>
        </w:tblPrEx>
        <w:trPr>
          <w:trHeight w:val="945"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队员</w:t>
            </w:r>
          </w:p>
        </w:tc>
        <w:tc>
          <w:tcPr>
            <w:tcW w:w="396"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48</w:t>
            </w:r>
          </w:p>
        </w:tc>
        <w:tc>
          <w:tcPr>
            <w:tcW w:w="2479" w:type="pct"/>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门岗每班9人3班计27人，监控室(含消防监控室)每班1人计3，地面巡逻岗每班3人计9人，楼内巡逻岗每班3人计9人；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轮休</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17</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换休，每人每周休两天</w:t>
            </w:r>
          </w:p>
        </w:tc>
      </w:tr>
      <w:tr>
        <w:tblPrEx>
          <w:tblCellMar>
            <w:top w:w="15" w:type="dxa"/>
            <w:left w:w="15" w:type="dxa"/>
            <w:bottom w:w="15" w:type="dxa"/>
            <w:right w:w="15" w:type="dxa"/>
          </w:tblCellMar>
        </w:tblPrEx>
        <w:trPr>
          <w:trHeight w:val="286" w:hRule="atLeast"/>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环境维护部</w:t>
            </w:r>
          </w:p>
        </w:tc>
        <w:tc>
          <w:tcPr>
            <w:tcW w:w="739"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54</w:t>
            </w: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环境主管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秩序环境部负责人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领班</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协助主管开展管理服务工作</w:t>
            </w:r>
          </w:p>
        </w:tc>
      </w:tr>
      <w:tr>
        <w:tblPrEx>
          <w:tblCellMar>
            <w:top w:w="15" w:type="dxa"/>
            <w:left w:w="15" w:type="dxa"/>
            <w:bottom w:w="15" w:type="dxa"/>
            <w:right w:w="15" w:type="dxa"/>
          </w:tblCellMar>
        </w:tblPrEx>
        <w:trPr>
          <w:trHeight w:val="630"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保洁员</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38</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每人操作2个单元含地面计35人，地下车库每个3个区块1人计2人，办公区1人</w:t>
            </w:r>
          </w:p>
        </w:tc>
      </w:tr>
      <w:tr>
        <w:tblPrEx>
          <w:tblCellMar>
            <w:top w:w="15" w:type="dxa"/>
            <w:left w:w="15" w:type="dxa"/>
            <w:bottom w:w="15" w:type="dxa"/>
            <w:right w:w="15" w:type="dxa"/>
          </w:tblCellMar>
        </w:tblPrEx>
        <w:trPr>
          <w:trHeight w:val="286" w:hRule="atLeast"/>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797"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轮休</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换休，每人每周休两天</w:t>
            </w:r>
          </w:p>
        </w:tc>
      </w:tr>
      <w:tr>
        <w:tblPrEx>
          <w:tblCellMar>
            <w:top w:w="15" w:type="dxa"/>
            <w:left w:w="15" w:type="dxa"/>
            <w:bottom w:w="15" w:type="dxa"/>
            <w:right w:w="15" w:type="dxa"/>
          </w:tblCellMar>
        </w:tblPrEx>
        <w:trPr>
          <w:trHeight w:val="286" w:hRule="atLeast"/>
        </w:trPr>
        <w:tc>
          <w:tcPr>
            <w:tcW w:w="2124" w:type="pct"/>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总计</w:t>
            </w:r>
          </w:p>
        </w:tc>
        <w:tc>
          <w:tcPr>
            <w:tcW w:w="396" w:type="pct"/>
            <w:tcBorders>
              <w:top w:val="single" w:color="auto" w:sz="4" w:space="0"/>
              <w:left w:val="single" w:color="auto" w:sz="4" w:space="0"/>
              <w:bottom w:val="single" w:color="auto" w:sz="4" w:space="0"/>
              <w:right w:val="single" w:color="auto" w:sz="4" w:space="0"/>
            </w:tcBorders>
            <w:noWrap w:val="0"/>
            <w:vAlign w:val="bottom"/>
          </w:tcPr>
          <w:p>
            <w:pPr>
              <w:widowControl/>
              <w:jc w:val="center"/>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144</w:t>
            </w:r>
          </w:p>
        </w:tc>
        <w:tc>
          <w:tcPr>
            <w:tcW w:w="2479" w:type="pct"/>
            <w:tcBorders>
              <w:top w:val="single" w:color="auto" w:sz="4" w:space="0"/>
              <w:left w:val="single" w:color="auto" w:sz="4" w:space="0"/>
              <w:bottom w:val="single" w:color="auto" w:sz="4" w:space="0"/>
              <w:right w:val="single" w:color="auto" w:sz="4" w:space="0"/>
            </w:tcBorders>
            <w:noWrap w:val="0"/>
            <w:vAlign w:val="bottom"/>
          </w:tcPr>
          <w:p>
            <w:pPr>
              <w:widowControl/>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项目总配置</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（三）物业服务技术规范及要求</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1、物业服务的内容</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（1）建筑区划内物业共用部位及共用设施设备运行和维修养护；</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（2）建筑区划内装饰装修管理；</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（3）建筑区划内公共秩序维护；</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（4）建筑区划内环境卫生维护；</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（5）建筑区划内绿化养护；</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（6）建筑区划内社区文化建设；</w:t>
      </w:r>
    </w:p>
    <w:p>
      <w:pPr>
        <w:tabs>
          <w:tab w:val="left" w:pos="1134"/>
        </w:tabs>
        <w:adjustRightInd w:val="0"/>
        <w:snapToGrid w:val="0"/>
        <w:spacing w:line="570" w:lineRule="exact"/>
        <w:ind w:firstLine="560" w:firstLineChars="200"/>
        <w:rPr>
          <w:rFonts w:hint="eastAsia" w:ascii="宋体" w:hAnsi="宋体" w:eastAsia="宋体" w:cstheme="minorBidi"/>
          <w:sz w:val="28"/>
          <w:szCs w:val="28"/>
          <w:lang w:eastAsia="zh-CN"/>
        </w:rPr>
      </w:pPr>
      <w:r>
        <w:rPr>
          <w:rFonts w:hint="eastAsia" w:ascii="宋体" w:hAnsi="宋体" w:eastAsia="宋体" w:cstheme="minorBidi"/>
          <w:sz w:val="28"/>
          <w:szCs w:val="28"/>
        </w:rPr>
        <w:t>（7）物业维修的应急措施</w:t>
      </w:r>
      <w:r>
        <w:rPr>
          <w:rFonts w:hint="eastAsia" w:ascii="宋体" w:hAnsi="宋体" w:eastAsia="宋体" w:cstheme="minorBidi"/>
          <w:sz w:val="28"/>
          <w:szCs w:val="28"/>
          <w:lang w:eastAsia="zh-CN"/>
        </w:rPr>
        <w:t>：</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①本建筑区划内突然断水、断电、天然气的应急措施；</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②消防应急措施；</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③治安应急措施；</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④电梯发生故障应急措施。</w:t>
      </w:r>
    </w:p>
    <w:p>
      <w:pPr>
        <w:ind w:firstLine="562" w:firstLineChars="200"/>
        <w:rPr>
          <w:rFonts w:hint="eastAsia" w:ascii="宋体" w:hAnsi="宋体" w:eastAsia="宋体" w:cstheme="minorBidi"/>
          <w:b/>
          <w:bCs/>
          <w:sz w:val="28"/>
          <w:szCs w:val="28"/>
          <w:lang w:eastAsia="zh-CN"/>
        </w:rPr>
      </w:pPr>
      <w:r>
        <w:rPr>
          <w:rFonts w:hint="eastAsia" w:ascii="宋体" w:hAnsi="宋体" w:eastAsia="宋体" w:cstheme="minorBidi"/>
          <w:b/>
          <w:bCs/>
          <w:sz w:val="28"/>
          <w:szCs w:val="28"/>
          <w:lang w:eastAsia="zh-CN"/>
        </w:rPr>
        <w:t>三、物业服务要求</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按四川省（区域性）地方标准《住宅物业服务等级划分》住宅三级服务标准执行。</w:t>
      </w:r>
    </w:p>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（一）综合服务内容及要求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客户服务</w:t>
            </w:r>
          </w:p>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场所</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1、有客户服务中心，至少应配置有办公桌、椅、饮水机、电脑、打印机、网络、电话。</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公示有物业服务企业营业执照或其它管理人名录证书（复印件）、项目主要服务人员姓名、照片、岗位信息，物业服务事项、服务标准、收费项目、收费标准、报修电话、三级投诉电话等物业服务及收费信息。提供特约服务的，应公示服务项目、服务标准及收费标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3、客户服务中心工作时间至少8小时值班，其它时间物业管理区域内有值班人员。</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4、公示有24 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人    员</w:t>
            </w:r>
          </w:p>
        </w:tc>
        <w:tc>
          <w:tcPr>
            <w:tcW w:w="8081" w:type="dxa"/>
            <w:shd w:val="clear" w:color="auto" w:fill="auto"/>
            <w:vAlign w:val="center"/>
          </w:tcPr>
          <w:p>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1、从业人员按照相关规定取得职业资格证书。</w:t>
            </w:r>
          </w:p>
          <w:p>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2、实行项目经理责任制，一个物业管理区域配备1名项目负责人。</w:t>
            </w:r>
          </w:p>
          <w:p>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3、从业人员及项目负责人应纳入成都市物业服务信用信息档案管理系统。</w:t>
            </w:r>
          </w:p>
          <w:p>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4、项目物业服务中心配备有客户</w:t>
            </w:r>
            <w:r>
              <w:rPr>
                <w:rFonts w:hint="eastAsia" w:ascii="宋体" w:hAnsi="宋体" w:eastAsia="宋体" w:cs="宋体"/>
                <w:bCs/>
                <w:color w:val="auto"/>
                <w:sz w:val="24"/>
                <w:highlight w:val="none"/>
                <w:lang w:val="en-US" w:eastAsia="zh-CN"/>
              </w:rPr>
              <w:t>经理</w:t>
            </w:r>
            <w:r>
              <w:rPr>
                <w:rFonts w:hint="eastAsia" w:ascii="宋体" w:hAnsi="宋体" w:eastAsia="宋体" w:cs="宋体"/>
                <w:bCs/>
                <w:color w:val="auto"/>
                <w:sz w:val="24"/>
                <w:highlight w:val="none"/>
              </w:rPr>
              <w:t>，每人管理户数应不高于300户。</w:t>
            </w:r>
          </w:p>
          <w:p>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制    度</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1、有便民服务指南内容的业主手册。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2、有双方签订规范的（前期）物业服务合同，合同权利义务关系明确。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3、有共用部位及共用设施设备维修养护、消防安全防范、绿化养护、环境卫生、公共秩序维护等管理制度。</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4、有突发公共事件应急预案。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5、有培训、考核制度。</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档    案</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1、有物业服务档案管理制度，有电梯、消防等设施设备承接查验、运行、维修、养护档案资料。</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2、档案资料管理规范、齐全、整洁、查阅方便。</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3、有档案管理人员，并设置有档案资料室。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标    识</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1、重点部位按相关要求设置有安全警示标识、消防标识、导向标识、指示标识及其它标识。</w:t>
            </w:r>
          </w:p>
          <w:p>
            <w:pPr>
              <w:tabs>
                <w:tab w:val="left" w:pos="270"/>
              </w:tabs>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2、有倡导文明、环保、健康生活的温馨提示标识。</w:t>
            </w:r>
          </w:p>
          <w:p>
            <w:pPr>
              <w:tabs>
                <w:tab w:val="left" w:pos="270"/>
              </w:tabs>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3、房屋栋号、房号及公共配套设施、设备标识清晰、明显。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客户服务</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1、每半年公示物业服务合同履行情况。</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2、重要物业服务事项应在主要出入口、各楼单元门内以书面形式履行告知义务。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3、对违反治安、规划、环保等方面法律、法规规定的行为，应劝阻并报告相关行政主管部门。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4、水、电急修60分钟内、其它报修按双方约定时间到达现场；由专项服务企业负责的设备设施应在30 分钟内告知。</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5、业主或使用人提出的意见、建议、投诉在2 个工作日内回复；投诉回访率不低于80%。</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6、每年组织1次满意度调查，客户满意率不低于80%。</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7、有宠物管理制度与措施，设置宠物管理标识，严格管理。 </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8、出入口配置有便民服务推车，配置标准不低于1辆/300户，不少于6辆。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9、按约定投保物业共用部位、共用设施设备及公众责任保险。</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10、有智能公共广播系统，播放广播与背景音乐。</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11、公共卫生间能正常使用，公共卫生间内的残疾人无障碍设施使用情况良好，无侵占、损坏等现象。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12、提供特约服务。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65"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专项委托</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服务管理</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1、签订有专项服务委托合同，明确各方权利义务。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2、专业服务企业应符合相关行政主管部门的资质要求；操作人员应持有相应的职业资格证书。</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3、专业服务企业人员进入物业管理区域内应佩戴标志。</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4、对专项委托服务有监督及评价机制，有监督评价记录。</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（二）共用部位及共用设施设备运行和维修养护内容及要求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综合管理</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1、按照相关规定实施承接查验。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2、按照DB510100/T 054-2010的规定进行维修、更新、改造。</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3、有房屋共用部位及共用设施设备的基础档案。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4、共用部位检查中发现的问题，应按照责任范围编制修缮计划，并按计划组织修缮。共用设施设备运行中出现的故障及检查中发现的问题，属于急修范围内，应在60分钟内组织到场维修。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5、按合同约定规范使用房屋专项维修资金，有紧急维修情形，按维修资金紧急使用预案实施维修。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6、每年第4季度制订出下一年度维修养护计划。</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7、特种设备按照有关规定运行、维修养护和定期检测。</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8、雷电、强降水、大风等极端天气前后有检查防范措施。</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9、设备机房</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（1）每月清洁1 次，机房整洁有序，室内无杂物。</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（2）设有挡鼠板、鼠药盒或粘鼠板。</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（3）在明显易取位置配备有符合规定的消防器材及专用工具，确保完好有效。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（4）设施设备标识、标牌齐全。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（5）张贴或悬挂相关制度、证书。</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（6）记录齐全、完整。</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共用部位</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1、房屋结构</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每季度巡视1 次梁、板、柱等结构构件，外观出现变形、开裂等现象时，应建议相关业主申请房屋安全鉴定，同时采取必要的防护措施。按照鉴定结果组织修缮。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2、建筑部件</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（1）每季度检查1 次外墙贴饰面或抹灰、屋檐、阳台、雨罩、空调室外机支撑构件等。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（2）每月巡查1 次共用部位的门、窗、玻璃等。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（3）每季度检查1 次共用部位的室内地面、墙面、天棚；室外屋面、散水等。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（4）每年汛前和强降雨后检查屋面防水和雨落管等。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3、附属构筑物</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（1）每月巡查1 次道路、场地、阶梯及扶手、侧石、管井、沟渠等。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（2）每季度检查1 次雨、污水管井等。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（3）每月巡查1 次大门、围墙、围栏等。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（4）每月巡查1 次休闲椅、凉亭、雕塑、景观小品等。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（5）每年检测1 次防雷装置。</w:t>
            </w:r>
          </w:p>
        </w:tc>
      </w:tr>
    </w:tbl>
    <w:p>
      <w:pPr>
        <w:pStyle w:val="2"/>
        <w:rPr>
          <w:rFonts w:hint="eastAsia"/>
        </w:rPr>
      </w:pP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7"/>
        <w:gridCol w:w="709"/>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gridSpan w:val="2"/>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dxa"/>
            <w:vMerge w:val="restart"/>
            <w:shd w:val="clear" w:color="auto" w:fill="auto"/>
            <w:vAlign w:val="center"/>
          </w:tcPr>
          <w:p>
            <w:pPr>
              <w:spacing w:line="360" w:lineRule="auto"/>
              <w:ind w:left="-107" w:lef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共用设施设备</w:t>
            </w:r>
          </w:p>
          <w:p>
            <w:pPr>
              <w:spacing w:line="360" w:lineRule="auto"/>
              <w:jc w:val="center"/>
              <w:rPr>
                <w:rFonts w:hint="eastAsia" w:ascii="宋体" w:hAnsi="宋体" w:eastAsia="宋体" w:cs="宋体"/>
                <w:bCs/>
                <w:color w:val="auto"/>
                <w:sz w:val="24"/>
                <w:highlight w:val="none"/>
              </w:rPr>
            </w:pPr>
          </w:p>
        </w:tc>
        <w:tc>
          <w:tcPr>
            <w:tcW w:w="709" w:type="dxa"/>
            <w:shd w:val="clear" w:color="auto" w:fill="auto"/>
            <w:vAlign w:val="center"/>
          </w:tcPr>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供水</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系统</w:t>
            </w:r>
          </w:p>
        </w:tc>
        <w:tc>
          <w:tcPr>
            <w:tcW w:w="8081" w:type="dxa"/>
            <w:shd w:val="clear" w:color="auto" w:fill="auto"/>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1、每半年至少应对二次供水设施进行1次清洗消毒，水质符合GB 5749的要求。</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2、每日巡检1次供水设施，发现跑冒滴漏现象及时解决。</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3、每日巡视1 次水箱间、水泵房，检查设备运行状况。</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4、水箱、蓄水池盖板应保持完好并加锁，钥匙由专人保管；溢流管口、透气口应安装金属防护网并保持完好。</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5、不具备自动切换功能的，每半年手动切换1 次备用水泵。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dxa"/>
            <w:vMerge w:val="continue"/>
            <w:shd w:val="clear" w:color="auto" w:fill="auto"/>
            <w:vAlign w:val="center"/>
          </w:tcPr>
          <w:p>
            <w:pPr>
              <w:spacing w:line="360" w:lineRule="auto"/>
              <w:rPr>
                <w:rFonts w:hint="eastAsia" w:ascii="宋体" w:hAnsi="宋体" w:eastAsia="宋体" w:cs="宋体"/>
                <w:bCs/>
                <w:color w:val="auto"/>
                <w:sz w:val="24"/>
                <w:highlight w:val="none"/>
              </w:rPr>
            </w:pPr>
          </w:p>
        </w:tc>
        <w:tc>
          <w:tcPr>
            <w:tcW w:w="709" w:type="dxa"/>
            <w:shd w:val="clear" w:color="auto" w:fill="auto"/>
            <w:vAlign w:val="center"/>
          </w:tcPr>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排水</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系统</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1、有防汛预案，每年至少组织1次演练。</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2、配备有防汛物资（沙袋、雨具、照明工具、抽水泵等）。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3、排水设施：每年汛前对雨、污水井、屋面雨水口等设施进行检查，组织清理、疏通。</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4、污水泵：汛期每日巡视1 次，平时每月巡视1 次，检查设备运行状态；每月进行1 次手动启动测试；每年养护1 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5、化粪池：每半年清掏1 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7" w:type="dxa"/>
            <w:vMerge w:val="continue"/>
            <w:shd w:val="clear" w:color="auto" w:fill="auto"/>
            <w:vAlign w:val="center"/>
          </w:tcPr>
          <w:p>
            <w:pPr>
              <w:spacing w:line="360" w:lineRule="auto"/>
              <w:rPr>
                <w:rFonts w:hint="eastAsia" w:ascii="宋体" w:hAnsi="宋体" w:eastAsia="宋体" w:cs="宋体"/>
                <w:bCs/>
                <w:color w:val="auto"/>
                <w:sz w:val="24"/>
                <w:highlight w:val="none"/>
              </w:rPr>
            </w:pPr>
          </w:p>
        </w:tc>
        <w:tc>
          <w:tcPr>
            <w:tcW w:w="709" w:type="dxa"/>
            <w:shd w:val="clear" w:color="auto" w:fill="auto"/>
            <w:vAlign w:val="center"/>
          </w:tcPr>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供配</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电系</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统及</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照明</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1、楼内照明：每周巡视1 次，一般故障1 日内修复；复杂故障5日内修复。</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2、楼外照明：每周巡视1 次，一般故障1日内修复；复杂故障1 周内修复；每月调整1次时间控制器。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3、应急照明：每日巡视1 次，发现故障，60分钟内组织维修。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4、低压柜：每3日巡视1 次设备运行状况；每年养护1 次，养护内容包括紧固、检测、清扫；每年检查1次电气安全。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5、低压配电箱和线路：每月检查1 次设备运行状况；每年养护1 次，养护内容包括紧固、检测、清扫。</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6、控制柜：每半月检查1 次设备运行状况；每年养护1 次，养护内容包括紧固、检测、调试、清扫。</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7、发电机：每半月试运行1 次，保证运行正常；每年活化1次蓄电池；每周巡视1次充电机和蓄电池。</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8、配电室、楼层配电间：有门、孔、洞、窗等处的防鼠措施完备；穿墙线槽周边封堵严密；锁具完好；电缆进出线和开关标识准确。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9、变电站高低压电缆沟、电梯底坑无积水。每2年组织对高低压母线、配电盘、变压器、电缆进行1次例行试验，根据试验记录对相关设备进行维护。</w:t>
            </w:r>
          </w:p>
          <w:p>
            <w:pPr>
              <w:tabs>
                <w:tab w:val="left" w:pos="270"/>
              </w:tabs>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10、每5年检验1次内部核算电能表。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trPr>
        <w:tc>
          <w:tcPr>
            <w:tcW w:w="567" w:type="dxa"/>
            <w:vMerge w:val="continue"/>
            <w:shd w:val="clear" w:color="auto" w:fill="auto"/>
            <w:vAlign w:val="center"/>
          </w:tcPr>
          <w:p>
            <w:pPr>
              <w:spacing w:line="360" w:lineRule="auto"/>
              <w:rPr>
                <w:rFonts w:hint="eastAsia" w:ascii="宋体" w:hAnsi="宋体" w:eastAsia="宋体" w:cs="宋体"/>
                <w:bCs/>
                <w:color w:val="auto"/>
                <w:sz w:val="24"/>
                <w:highlight w:val="none"/>
              </w:rPr>
            </w:pPr>
          </w:p>
        </w:tc>
        <w:tc>
          <w:tcPr>
            <w:tcW w:w="709" w:type="dxa"/>
            <w:shd w:val="clear" w:color="auto" w:fill="auto"/>
            <w:vAlign w:val="center"/>
          </w:tcPr>
          <w:p>
            <w:pPr>
              <w:spacing w:line="360" w:lineRule="auto"/>
              <w:ind w:left="-107" w:leftChars="-51" w:right="-36" w:rightChars="-17" w:firstLine="64" w:firstLineChars="27"/>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安全</w:t>
            </w:r>
          </w:p>
          <w:p>
            <w:pPr>
              <w:spacing w:line="360" w:lineRule="auto"/>
              <w:ind w:left="-107" w:leftChars="-51" w:right="-36" w:rightChars="-17" w:firstLine="64" w:firstLineChars="27"/>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防范</w:t>
            </w:r>
          </w:p>
          <w:p>
            <w:pPr>
              <w:tabs>
                <w:tab w:val="left" w:pos="493"/>
              </w:tabs>
              <w:spacing w:line="360" w:lineRule="auto"/>
              <w:ind w:left="-107" w:leftChars="-51" w:right="-107" w:rightChars="-51"/>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系统</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1、物防</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（1）外露管道等易攀爬处有防盗设施，如：防盗伞、防爬刺、带钩铁丝或抹黄油等。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（2）设置非机动车集中停放点，有序停放。</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（3）物业区域内路灯、楼道灯等夜间照明设施齐全，使用正常。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（4）落实专人对各类物防设施每月开展1次全面检查，及时排除安全隐患。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2、技防</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（1）报警控制管理主机：每日检查1次，保障设备运行正常。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（2）红外对射探测器：每半月做运行状态测试1次，保障设备运行正常。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（3）图像采集设备：每周检查1次监视画面效果、录像、图像保存等功能，保障设备运行正常。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（4）摄像头：每2个月检查1次聚焦、清晰度、红外夜视、遮挡物、镜头清洁等情况，进行相应调校。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（5）楼宇对讲设备：每月检查1次按键、显示屏、通话等功能状况，保障设备运行正常。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（6）门禁管理设备：每月检查1次，保障设备运行正常。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（7）技防设施设备出现运行不正常和损坏等问题，应立即进行维修。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3、消防</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（1）消防设施设备完好，可随时启用；保持消防通道畅通。</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（2）在出入口、电梯口、防火门等醒目位置有提示火灾危险性、安全逃生路线、安全出口、消防设施器材使用方法的明显标志和警示标语、安全疏散路线指导图。</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（3）有消防安全责任制，明确各级岗位的消防安全职责。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（4）有灭火和应急疏散预案，有义务消防队，配备必要的消防器材，相关人员掌握消防基本知识和技能；高层住宅每年至少组织2次有员工、业主或使用人参加的消防演练，多层、别墅等住宅每年至少组织1次。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（5）对以下消防设施，应每日进行检查：</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a. 火灾报警器的功能是否正常、指示灯有无损坏；</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b. 消防泵房内的阀门、报警阀组、管道压力、供电是否正常；</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c. 疏散通道、安全出口的防火门是否完好，常闭防火门是否处于正常状态。</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（6）对以下消防设施，应每月进行1次检查或试验：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a. 进行消防水泵启动运转，检查其运转是否正常；   </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b. 消防水泵接合器的接口及附件是否完好，有无渗漏、闷盖是否齐全；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c. 屋顶供水水箱的储水水位；</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d. 消防泵房间的防火门是否完好；</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e. 灭火器的压力是否达到要求、是否过期失效、是否生锈、是否无法启用。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（7）对以下消防设施，应每季度进行1次检查或试验：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a. 火灾警报装置声光显示、消防控制设备的控制显示功能、应急照明、疏散指示标志等是否有效、是否处于正常状态。对主、备电源进行自动转换试验；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b. 进行消防电梯强制停于首层试验；</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c. 对水流指示器进行功能试验，利用末端试水装置排水，水流指示器应动作，消防控制室应有信号显示，水力警铃应发出报警声，并应启动消防水泵。对报警阀旁的放水试验进行供水试验，验证系统的供水能力；</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d. 喷头外观，发现有不正常的喷头应更换，当喷头上有异物时应清除；</w:t>
            </w:r>
          </w:p>
          <w:p>
            <w:pPr>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e. 室外阀门井中进水阀、屋顶水箱阀门和管道中的阀门，核实其是否处于</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正常状态；</w:t>
            </w:r>
          </w:p>
          <w:p>
            <w:pPr>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f. 与火灾报警系统有联动功能的防火门(包括防火卷帘)能否联动，设施、设备间的防火门是否完好；</w:t>
            </w:r>
          </w:p>
          <w:p>
            <w:pPr>
              <w:spacing w:line="360" w:lineRule="auto"/>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g. 防排烟系统是否处于正常状态。</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（8）发现消防安全违法行为和火灾隐患，立即纠正、排除；无法立即纠正、排除的，应向公安机关消防机构报告。</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（9）消防控制室设24 小时值班，及时处理各类报警、故障信息。</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（10）发生火情立即报警，组织扑救初起火灾，疏散遇险人员，协助配合公安机关消防机构工作。</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（11）与有资质的消防维保单位签订消防维保合同，约定消防维保的内容、要求、频次、期限以及双方的权利、义务与责任。</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（12）有消防安全管理制度，每年对员工进行至少2次消防安全培训。每年对业主至少有2次消防安全宣传教育，可采用宣传栏、横幅、讲座等形式。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trPr>
        <w:tc>
          <w:tcPr>
            <w:tcW w:w="567"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共用设施设备</w:t>
            </w:r>
          </w:p>
        </w:tc>
        <w:tc>
          <w:tcPr>
            <w:tcW w:w="709" w:type="dxa"/>
            <w:shd w:val="clear" w:color="auto" w:fill="auto"/>
            <w:vAlign w:val="center"/>
          </w:tcPr>
          <w:p>
            <w:pPr>
              <w:spacing w:line="360" w:lineRule="auto"/>
              <w:ind w:left="-107" w:leftChars="-51" w:right="-36" w:rightChars="-17" w:firstLine="64" w:firstLineChars="27"/>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电梯</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1、电梯每年进行1次定期检验。电梯检验有效期届满前1个月，应向电梯检验检测机构提出定期检验申请。</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2、在电梯轿厢内或者出入口的明显位置张贴有效的电梯检验标志；在电梯轿厢内显著位置张贴电梯使用的安全注意事项和警示标志、使用管理单位名称和维保单位名称及其急修、救援、投诉电话。</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3、有以岗位责任制为核心的电梯使用安全管理制度。 </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4、电梯紧急报警装置能随时与值班人员取得有效联系。</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5、日常维护保养和定期检查中发现的问题应及时组织排除。</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6、与有相应有效资质的电梯维保单位签订电梯维保合同，约定维护保养的内容、要求、频次、期限以及双方的权利、义务与责任。</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7、配备至少1名取得特种设备作业人员证的电梯安全管理人员。每日检查1次电梯安全状况。每年至少对电梯安全管理人员进行1次特种设备安全培训，保证其具备必要的安全知识。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有电梯突发事件或者事故的应急措施与救援预案，并每年演练1次。发生电梯困人时应及时采取措施。物业服务人员应在20分钟内到达现场，六城区范围内专业维修人员应在30分钟内到达现场，其它地区在60分钟内到达现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trPr>
        <w:tc>
          <w:tcPr>
            <w:tcW w:w="567"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共用设施设备</w:t>
            </w:r>
          </w:p>
        </w:tc>
        <w:tc>
          <w:tcPr>
            <w:tcW w:w="709"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水景及游乐设施</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1、启用前进行防渗漏和防漏电检查，防止渗漏，保证用电安全。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2、使用期间每周巡查2 次喷水池、水泵及其附属设施，每月检查1 次防漏电设施。</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3、有安全警示标识。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4、每日巡查1次游乐设施，确保无安全隐患。</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（三）装饰装修管理内容及要求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装饰装修</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管理</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1、有装饰装修管理服务制度。</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2、有装饰装修管理档案。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3、受理业主或使用人的装饰装修申报登记，与业主或使用人、装饰装修企业签订住宅室内装饰装修管理服务协议，告知业主或使用人在装饰装修工程中的禁止行为和注意事项。</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4、装饰装修期间每2日巡查1 次现场，发现业主或使用人未申报登记或者有违法违规行为的，应立即劝阻；拒不改正的，报告相关行政主管部门及业主、业主委员会。</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rPr>
              <w:t>5、委托清运装修垃圾的，应在指定地点临时堆放，在1周内清运，自行清运装修垃圾的，应采用袋装运输或密闭运输的方式清运。</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（四）公共秩序维护内容及要求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公共秩序</w:t>
            </w:r>
          </w:p>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维护</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1、出入口有专人24小时值守。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2、对重点区域、重点部位每2小时巡查1次。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3、有外来人员管理制度，对来人来访进行询问登记。</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4、对机动车实行发牌进出登记管理制度，停放有序。</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5、有大宗物品进出管理制度，实行大宗物品搬运进出登记管理。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6、安防控制室设专人24小时值守。</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7、对违法犯罪行为立即报警，协助公安机关进行处理。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8、每年开展1次专项治安应急预案演练。</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9、对秩序维护人员必须进行相关法律法规及岗位流程培训后方能上岗，每半年组织物管人员和保安人员开展1次安全防范教育培训。</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10、利用小区公告栏张贴安全防范宣传品。</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11、有租户管理制度，租户信息完善，配合做好流动人口登记、出租房屋登记工作。登记薄册齐全，有出租房屋公示栏。</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（五）环境卫生维护内容及要求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生活垃圾的收集、清运</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1、有垃圾收集容器。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2、每周至少清洗1次垃圾收集容器（夏季1次/3日），蝇、蚊孳生季节每5日喷洒1次杀虫药。</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3、垃圾收集容器内的垃圾不超过其容量的2/3，周边无散落垃圾。生活垃圾应清运至指定的垃圾中转站，清运频次不低于3次/日。</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4、垃圾中转站外围保持整洁。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物业共用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部分清洁</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1、公共场所每日清扫1次，楼道、楼梯每日清扫1次。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2、每月度擦拭1次楼梯扶手、栏杆、窗台、防火门、消火栓、指示牌等共用设施。</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3、电梯轿厢：每日擦拭1 次电梯轿厢门、面板；每日清拖1 次轿厢地面；不锈钢或其它材料装饰的电梯轿厢，每月护理1次；石材装饰的电梯轿厢，每季度养护1次；每日巡视保洁2次电梯轿厢。</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4、楼外道路及设施：每日清扫1次、巡视保洁2次，楼外道路无积水；每月清洁1次楼外公共照明及共用设施；每季度清洁1次雨篷、门头等。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5、水景：根据水质情况进行消毒净化处理。使用期间每周清洁1 次水面；每年清洁2 次水池池底。</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6、有完善的消杀灭害服务方案和管理制度。配合相关部门进行有害生物的预防和控制。投放药物应预先告知，投药位置有明显标识；定期进行消杀灭害，有相关记录。</w:t>
            </w:r>
          </w:p>
        </w:tc>
      </w:tr>
    </w:tbl>
    <w:p>
      <w:pPr>
        <w:tabs>
          <w:tab w:val="left" w:pos="1134"/>
        </w:tabs>
        <w:adjustRightInd w:val="0"/>
        <w:snapToGrid w:val="0"/>
        <w:spacing w:line="570" w:lineRule="exact"/>
        <w:ind w:firstLine="560" w:firstLineChars="200"/>
        <w:rPr>
          <w:rFonts w:hint="eastAsia" w:ascii="宋体" w:hAnsi="宋体" w:eastAsia="宋体" w:cstheme="minorBidi"/>
          <w:sz w:val="28"/>
          <w:szCs w:val="28"/>
        </w:rPr>
      </w:pPr>
      <w:r>
        <w:rPr>
          <w:rFonts w:hint="eastAsia" w:ascii="宋体" w:hAnsi="宋体" w:eastAsia="宋体" w:cstheme="minorBidi"/>
          <w:sz w:val="28"/>
          <w:szCs w:val="28"/>
        </w:rPr>
        <w:t>（六）绿化养护内容及要求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trPr>
        <w:tc>
          <w:tcPr>
            <w:tcW w:w="1276"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绿化养护</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1、灌溉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有计划地进行浇灌，灌溉水下渗充足均匀，无明显旱涝情况发生；一般植物确保在萌芽前、4 月、5 月、秋季、入冬前浇水1 次，草坪根据长势和土壤情况适当增加灌溉次数。</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2、施肥</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根据植物生长情况施肥，乔木每2 年施肥1 次至2 次；灌木每年施肥1 次至2 次；地被和草坪植物每年施肥2 次至3 次；花坛植物根据生长情况进行追肥；尽量减少对化肥的依赖。</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3、病虫害防治</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根据病虫害发生规律，植物生长季每月至少检查3 次病虫害情况；并根据检查结果防治病虫害，不因病虫害出现提前落叶、死亡现象。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4、整形修剪</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乔木每年冬季修剪1 次；灌木每年生长季节和冬季修剪1 次；绿篱每年至少修剪4次；草坪夏季每月至少修剪2 次，全年至少修剪12 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5、除草</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每年全面除草3 次，重点绿地增加除草次数。</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6、垃圾处理</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绿化作业产生的垃圾应在作业完成后2小时内清理干净。</w:t>
            </w:r>
          </w:p>
        </w:tc>
      </w:tr>
    </w:tbl>
    <w:p>
      <w:pPr>
        <w:tabs>
          <w:tab w:val="left" w:pos="1134"/>
        </w:tabs>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（七）社区文化建设内容及要求</w:t>
      </w:r>
    </w:p>
    <w:tbl>
      <w:tblPr>
        <w:tblStyle w:val="43"/>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    目</w:t>
            </w:r>
          </w:p>
        </w:tc>
        <w:tc>
          <w:tcPr>
            <w:tcW w:w="8081"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76" w:type="dxa"/>
            <w:shd w:val="clear" w:color="auto" w:fill="auto"/>
            <w:vAlign w:val="center"/>
          </w:tcPr>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社区文化</w:t>
            </w:r>
          </w:p>
          <w:p>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建设</w:t>
            </w:r>
          </w:p>
        </w:tc>
        <w:tc>
          <w:tcPr>
            <w:tcW w:w="8081" w:type="dxa"/>
            <w:shd w:val="clear" w:color="auto" w:fill="auto"/>
            <w:vAlign w:val="center"/>
          </w:tcPr>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1、有管务公开栏及其它宣传栏，内容每季度更新1次。</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2、每年至少开展2次精神文明宣传教育工作，内容包括科学防疫、消防安全、食品卫生、房屋及其附属设施设备使用安全、环保及法律等知识 。</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3、每年按物业服务合同约定组织社区文化活动。</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4、社区文化有活动计划、有记录、有总结，相关资料齐全。</w:t>
            </w:r>
          </w:p>
        </w:tc>
      </w:tr>
    </w:tbl>
    <w:p>
      <w:pPr>
        <w:pStyle w:val="4"/>
        <w:numPr>
          <w:ilvl w:val="1"/>
          <w:numId w:val="5"/>
        </w:numPr>
        <w:tabs>
          <w:tab w:val="left" w:pos="426"/>
          <w:tab w:val="left" w:pos="567"/>
        </w:tabs>
        <w:spacing w:before="0" w:after="200"/>
        <w:jc w:val="both"/>
        <w:rPr>
          <w:rFonts w:hint="eastAsia" w:ascii="宋体" w:hAnsi="宋体" w:eastAsia="宋体" w:cs="宋体"/>
          <w:lang w:val="en-US" w:eastAsia="zh-CN"/>
        </w:rPr>
      </w:pPr>
      <w:bookmarkStart w:id="158" w:name="_Toc4234"/>
      <w:r>
        <w:rPr>
          <w:rFonts w:hint="eastAsia" w:ascii="宋体" w:hAnsi="宋体" w:eastAsia="宋体" w:cs="宋体"/>
          <w:lang w:val="en-US" w:eastAsia="zh-CN"/>
        </w:rPr>
        <w:t>服务标准</w:t>
      </w:r>
      <w:bookmarkEnd w:id="158"/>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一、建筑物共有部位及设施设备的使用、管理和维护</w:t>
      </w:r>
    </w:p>
    <w:tbl>
      <w:tblPr>
        <w:tblStyle w:val="44"/>
        <w:tblW w:w="499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2"/>
        <w:gridCol w:w="1482"/>
        <w:gridCol w:w="62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tcBorders>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服务内容</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运行、保养、维修服务标准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restart"/>
            <w:tcBorders>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共有部位</w:t>
            </w: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房屋主体承 重结构部位</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1、每周巡查一次，发现问题， 立即处理、维修。</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2、每年对房屋基础进行一次检查，注意白蚁侵害，地基沉降，外力损</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坏等引起的损害。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门厅</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1、每半年对地面进行检查维护一次；</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2、每年维护一次公共部位门窗；</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3、每年全面维护一次单元进户大厅墙面，对空鼓、开裂、破损等进行</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修复。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户外墙面 、 顶面、地面</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1、半年疏通一次屋面雨水口；</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2、每年对屋面防水层检查一次（属于业主使用范围除外）。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楼梯间、水 泵间、 电表间、</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电梯间 、 电 话分线间</w:t>
            </w:r>
          </w:p>
        </w:tc>
        <w:tc>
          <w:tcPr>
            <w:tcW w:w="3688" w:type="pct"/>
            <w:vAlign w:val="center"/>
          </w:tcPr>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r>
              <w:rPr>
                <w:rFonts w:hint="eastAsia" w:ascii="宋体" w:hAnsi="宋体" w:eastAsia="宋体" w:cs="宋体"/>
                <w:color w:val="auto"/>
                <w:highlight w:val="none"/>
              </w:rPr>
              <w:t>定期巡查、做好巡查记录，每年全面维护一次楼梯踏步；对墙面地面 空鼓、开裂、破损等进行修复。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走廊通道</w:t>
            </w:r>
          </w:p>
        </w:tc>
        <w:tc>
          <w:tcPr>
            <w:tcW w:w="3688" w:type="pct"/>
            <w:vAlign w:val="center"/>
          </w:tcPr>
          <w:p>
            <w:pPr>
              <w:jc w:val="left"/>
              <w:rPr>
                <w:rFonts w:hint="eastAsia" w:ascii="宋体" w:hAnsi="宋体" w:eastAsia="宋体" w:cs="宋体"/>
                <w:color w:val="auto"/>
                <w:highlight w:val="none"/>
              </w:rPr>
            </w:pPr>
          </w:p>
          <w:p>
            <w:pPr>
              <w:jc w:val="left"/>
              <w:rPr>
                <w:rFonts w:hint="eastAsia" w:ascii="宋体" w:hAnsi="宋体" w:eastAsia="宋体" w:cs="宋体"/>
                <w:color w:val="auto"/>
                <w:highlight w:val="none"/>
              </w:rPr>
            </w:pPr>
            <w:r>
              <w:rPr>
                <w:rFonts w:hint="eastAsia" w:ascii="宋体" w:hAnsi="宋体" w:eastAsia="宋体" w:cs="宋体"/>
                <w:color w:val="auto"/>
                <w:highlight w:val="none"/>
              </w:rPr>
              <w:t>每年维修一次通道门厅及楼梯间墙壁、扶手及栏杆；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其他</w:t>
            </w:r>
          </w:p>
        </w:tc>
        <w:tc>
          <w:tcPr>
            <w:tcW w:w="3688" w:type="pct"/>
            <w:vAlign w:val="center"/>
          </w:tcPr>
          <w:p>
            <w:pPr>
              <w:jc w:val="left"/>
              <w:rPr>
                <w:rFonts w:hint="eastAsia" w:ascii="宋体" w:hAnsi="宋体" w:eastAsia="宋体" w:cs="宋体"/>
                <w:color w:val="auto"/>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restart"/>
            <w:tcBorders>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共有设施设备</w:t>
            </w:r>
          </w:p>
        </w:tc>
        <w:tc>
          <w:tcPr>
            <w:tcW w:w="869" w:type="pct"/>
            <w:tcBorders>
              <w:left w:val="single" w:color="auto" w:sz="4"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上下水管道 、 落水管、水箱 水泵等供水 、排水系统</w:t>
            </w:r>
          </w:p>
        </w:tc>
        <w:tc>
          <w:tcPr>
            <w:tcW w:w="3688" w:type="pct"/>
            <w:vAlign w:val="center"/>
          </w:tcPr>
          <w:p>
            <w:pPr>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每周巡查一次，发现问题， 立即处理、维修。</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定期检查水箱，进行消毒。如属于中修、大修范围或需要更新改造的立即上报社区居委会及镇政府，及时编制维修、更新改造计划和住房 专项维修资金使用计划。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天线 、供电 、燃气线路</w:t>
            </w:r>
          </w:p>
        </w:tc>
        <w:tc>
          <w:tcPr>
            <w:tcW w:w="3688" w:type="pct"/>
            <w:vAlign w:val="center"/>
          </w:tcPr>
          <w:p>
            <w:pPr>
              <w:jc w:val="left"/>
              <w:rPr>
                <w:rFonts w:hint="eastAsia" w:ascii="宋体" w:hAnsi="宋体" w:eastAsia="宋体" w:cs="宋体"/>
                <w:color w:val="auto"/>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消防设施设备</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每周巡检 1 次，保持设施设备完好，可随时启用。 每半年进行一次综合检查。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restart"/>
            <w:tcBorders>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共有 设施 设备</w:t>
            </w:r>
          </w:p>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空调</w:t>
            </w:r>
          </w:p>
        </w:tc>
        <w:tc>
          <w:tcPr>
            <w:tcW w:w="3688" w:type="pct"/>
            <w:vAlign w:val="center"/>
          </w:tcPr>
          <w:p>
            <w:pPr>
              <w:jc w:val="left"/>
              <w:rPr>
                <w:rFonts w:hint="eastAsia" w:ascii="宋体" w:hAnsi="宋体" w:eastAsia="宋体" w:cs="宋体"/>
                <w:color w:val="auto"/>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电梯</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每周巡检，每月进行维养二次，发现问题，及时处理维修。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避雷装置</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每年进行接地电阻值测试一次，避雷网每年检查一次。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道路、场地 、 路灯</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每半年对公共地面进行维护一次；每天巡视路灯，发现问题，立即处 理维护。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沟渠、池 、 井等</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每月检查一次，每半年进行疏通一次。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休闲椅、凉亭 雕塑 、 景观小品、水景等</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每月巡检一次，发现问题，立即处理。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健身设施 、 儿童乐园等公益性文体设施</w:t>
            </w:r>
          </w:p>
        </w:tc>
        <w:tc>
          <w:tcPr>
            <w:tcW w:w="3688" w:type="pct"/>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每月巡检一次，紧固镙帽一次，发现问题，立即处理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路标、安全标 志等</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每月巡检一次，发现问题，立即处理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共有设施设备</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房</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保持整洁、通风、无滴漏、无鼠害。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电子防盗、 监</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控、报警系统</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每月巡检维养一次，发现问题，立即处理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楼宇对讲、 电子巡更等</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每月巡检维养一次，发现问题，立即处理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物业服务用房</w:t>
            </w:r>
          </w:p>
        </w:tc>
        <w:tc>
          <w:tcPr>
            <w:tcW w:w="36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每月巡检维养一次，发现问题，立即处理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41" w:type="pct"/>
            <w:vMerge w:val="continue"/>
            <w:tcBorders>
              <w:right w:val="single" w:color="auto" w:sz="4" w:space="0"/>
            </w:tcBorders>
            <w:vAlign w:val="center"/>
          </w:tcPr>
          <w:p>
            <w:pPr>
              <w:jc w:val="center"/>
              <w:rPr>
                <w:rFonts w:hint="eastAsia" w:ascii="宋体" w:hAnsi="宋体" w:eastAsia="宋体" w:cs="宋体"/>
                <w:color w:val="auto"/>
                <w:highlight w:val="none"/>
              </w:rPr>
            </w:pPr>
          </w:p>
        </w:tc>
        <w:tc>
          <w:tcPr>
            <w:tcW w:w="869" w:type="pct"/>
            <w:tcBorders>
              <w:lef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其它</w:t>
            </w:r>
          </w:p>
        </w:tc>
        <w:tc>
          <w:tcPr>
            <w:tcW w:w="3688" w:type="pct"/>
            <w:vAlign w:val="center"/>
          </w:tcPr>
          <w:p>
            <w:pPr>
              <w:jc w:val="center"/>
              <w:rPr>
                <w:rFonts w:hint="eastAsia" w:ascii="宋体" w:hAnsi="宋体" w:eastAsia="宋体" w:cs="宋体"/>
                <w:color w:val="auto"/>
                <w:highlight w:val="none"/>
              </w:rPr>
            </w:pPr>
          </w:p>
        </w:tc>
      </w:tr>
    </w:tbl>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二、公共绿化的维护</w:t>
      </w:r>
    </w:p>
    <w:tbl>
      <w:tblPr>
        <w:tblStyle w:val="43"/>
        <w:tblW w:w="4999" w:type="pct"/>
        <w:tblInd w:w="0" w:type="dxa"/>
        <w:tblLayout w:type="autofit"/>
        <w:tblCellMar>
          <w:top w:w="0" w:type="dxa"/>
          <w:left w:w="0" w:type="dxa"/>
          <w:bottom w:w="0" w:type="dxa"/>
          <w:right w:w="0" w:type="dxa"/>
        </w:tblCellMar>
      </w:tblPr>
      <w:tblGrid>
        <w:gridCol w:w="1124"/>
        <w:gridCol w:w="2140"/>
        <w:gridCol w:w="5062"/>
      </w:tblGrid>
      <w:tr>
        <w:tblPrEx>
          <w:tblCellMar>
            <w:top w:w="0" w:type="dxa"/>
            <w:left w:w="0" w:type="dxa"/>
            <w:bottom w:w="0" w:type="dxa"/>
            <w:right w:w="0" w:type="dxa"/>
          </w:tblCellMar>
        </w:tblPrEx>
        <w:trPr>
          <w:trHeight w:val="354" w:hRule="exact"/>
        </w:trPr>
        <w:tc>
          <w:tcPr>
            <w:tcW w:w="67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服务内容</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养护标准</w:t>
            </w:r>
          </w:p>
        </w:tc>
      </w:tr>
      <w:tr>
        <w:tblPrEx>
          <w:tblCellMar>
            <w:top w:w="0" w:type="dxa"/>
            <w:left w:w="0" w:type="dxa"/>
            <w:bottom w:w="0" w:type="dxa"/>
            <w:right w:w="0" w:type="dxa"/>
          </w:tblCellMar>
        </w:tblPrEx>
        <w:trPr>
          <w:trHeight w:val="383" w:hRule="exact"/>
        </w:trPr>
        <w:tc>
          <w:tcPr>
            <w:tcW w:w="675" w:type="pct"/>
            <w:vMerge w:val="restart"/>
            <w:tcBorders>
              <w:top w:val="single" w:color="000000" w:sz="6" w:space="0"/>
              <w:left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草坪</w:t>
            </w: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修剪</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根据季节及生长情况修剪，平整整齐</w:t>
            </w:r>
          </w:p>
        </w:tc>
      </w:tr>
      <w:tr>
        <w:tblPrEx>
          <w:tblCellMar>
            <w:top w:w="0" w:type="dxa"/>
            <w:left w:w="0" w:type="dxa"/>
            <w:bottom w:w="0" w:type="dxa"/>
            <w:right w:w="0" w:type="dxa"/>
          </w:tblCellMar>
        </w:tblPrEx>
        <w:trPr>
          <w:trHeight w:val="471"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清杂草</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根据生长情况定期清除</w:t>
            </w:r>
          </w:p>
        </w:tc>
      </w:tr>
      <w:tr>
        <w:tblPrEx>
          <w:tblCellMar>
            <w:top w:w="0" w:type="dxa"/>
            <w:left w:w="0" w:type="dxa"/>
            <w:bottom w:w="0" w:type="dxa"/>
            <w:right w:w="0" w:type="dxa"/>
          </w:tblCellMar>
        </w:tblPrEx>
        <w:trPr>
          <w:trHeight w:val="366"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补栽、补种</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根据季节变化进行补栽、补种</w:t>
            </w:r>
          </w:p>
        </w:tc>
      </w:tr>
      <w:tr>
        <w:tblPrEx>
          <w:tblCellMar>
            <w:top w:w="0" w:type="dxa"/>
            <w:left w:w="0" w:type="dxa"/>
            <w:bottom w:w="0" w:type="dxa"/>
            <w:right w:w="0" w:type="dxa"/>
          </w:tblCellMar>
        </w:tblPrEx>
        <w:trPr>
          <w:trHeight w:val="485"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施肥</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根据月份的不同和植物的性质进行施肥</w:t>
            </w:r>
          </w:p>
        </w:tc>
      </w:tr>
      <w:tr>
        <w:tblPrEx>
          <w:tblCellMar>
            <w:top w:w="0" w:type="dxa"/>
            <w:left w:w="0" w:type="dxa"/>
            <w:bottom w:w="0" w:type="dxa"/>
            <w:right w:w="0" w:type="dxa"/>
          </w:tblCellMar>
        </w:tblPrEx>
        <w:trPr>
          <w:trHeight w:val="465"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灌、排水</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区别夏秋季节和冬春季节的灌、排水，无水浸</w:t>
            </w:r>
          </w:p>
        </w:tc>
      </w:tr>
      <w:tr>
        <w:tblPrEx>
          <w:tblCellMar>
            <w:top w:w="0" w:type="dxa"/>
            <w:left w:w="0" w:type="dxa"/>
            <w:bottom w:w="0" w:type="dxa"/>
            <w:right w:w="0" w:type="dxa"/>
          </w:tblCellMar>
        </w:tblPrEx>
        <w:trPr>
          <w:trHeight w:val="354"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病虫害防治</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适时喷洒药物，预防病虫害</w:t>
            </w:r>
          </w:p>
        </w:tc>
      </w:tr>
      <w:tr>
        <w:tblPrEx>
          <w:tblCellMar>
            <w:top w:w="0" w:type="dxa"/>
            <w:left w:w="0" w:type="dxa"/>
            <w:bottom w:w="0" w:type="dxa"/>
            <w:right w:w="0" w:type="dxa"/>
          </w:tblCellMar>
        </w:tblPrEx>
        <w:trPr>
          <w:trHeight w:val="518" w:hRule="exact"/>
        </w:trPr>
        <w:tc>
          <w:tcPr>
            <w:tcW w:w="675" w:type="pct"/>
            <w:vMerge w:val="continue"/>
            <w:tcBorders>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其它</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r>
      <w:tr>
        <w:tblPrEx>
          <w:tblCellMar>
            <w:top w:w="0" w:type="dxa"/>
            <w:left w:w="0" w:type="dxa"/>
            <w:bottom w:w="0" w:type="dxa"/>
            <w:right w:w="0" w:type="dxa"/>
          </w:tblCellMar>
        </w:tblPrEx>
        <w:trPr>
          <w:trHeight w:val="433" w:hRule="exact"/>
        </w:trPr>
        <w:tc>
          <w:tcPr>
            <w:tcW w:w="675" w:type="pct"/>
            <w:vMerge w:val="restart"/>
            <w:tcBorders>
              <w:top w:val="single" w:color="000000" w:sz="6" w:space="0"/>
              <w:left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树木</w:t>
            </w: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修剪</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对枯枝、病虫害枝及树型进行修剪，造型美观</w:t>
            </w:r>
          </w:p>
        </w:tc>
      </w:tr>
      <w:tr>
        <w:tblPrEx>
          <w:tblCellMar>
            <w:top w:w="0" w:type="dxa"/>
            <w:left w:w="0" w:type="dxa"/>
            <w:bottom w:w="0" w:type="dxa"/>
            <w:right w:w="0" w:type="dxa"/>
          </w:tblCellMar>
        </w:tblPrEx>
        <w:trPr>
          <w:trHeight w:val="354"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中耕除草、松土</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定期对树冠下土壤进行松土</w:t>
            </w:r>
          </w:p>
        </w:tc>
      </w:tr>
      <w:tr>
        <w:tblPrEx>
          <w:tblCellMar>
            <w:top w:w="0" w:type="dxa"/>
            <w:left w:w="0" w:type="dxa"/>
            <w:bottom w:w="0" w:type="dxa"/>
            <w:right w:w="0" w:type="dxa"/>
          </w:tblCellMar>
        </w:tblPrEx>
        <w:trPr>
          <w:trHeight w:val="493"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施肥</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按季节进行施肥，叶片饱满</w:t>
            </w:r>
          </w:p>
        </w:tc>
      </w:tr>
      <w:tr>
        <w:tblPrEx>
          <w:tblCellMar>
            <w:top w:w="0" w:type="dxa"/>
            <w:left w:w="0" w:type="dxa"/>
            <w:bottom w:w="0" w:type="dxa"/>
            <w:right w:w="0" w:type="dxa"/>
          </w:tblCellMar>
        </w:tblPrEx>
        <w:trPr>
          <w:trHeight w:val="354"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病虫害防治</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根据月份的不同和植物的性质进行病虫害防治</w:t>
            </w:r>
          </w:p>
        </w:tc>
      </w:tr>
      <w:tr>
        <w:tblPrEx>
          <w:tblCellMar>
            <w:top w:w="0" w:type="dxa"/>
            <w:left w:w="0" w:type="dxa"/>
            <w:bottom w:w="0" w:type="dxa"/>
            <w:right w:w="0" w:type="dxa"/>
          </w:tblCellMar>
        </w:tblPrEx>
        <w:trPr>
          <w:trHeight w:val="354"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扶正加固</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及时对倾斜树木进行扶正加固</w:t>
            </w:r>
          </w:p>
        </w:tc>
      </w:tr>
      <w:tr>
        <w:tblPrEx>
          <w:tblCellMar>
            <w:top w:w="0" w:type="dxa"/>
            <w:left w:w="0" w:type="dxa"/>
            <w:bottom w:w="0" w:type="dxa"/>
            <w:right w:w="0" w:type="dxa"/>
          </w:tblCellMar>
        </w:tblPrEx>
        <w:trPr>
          <w:trHeight w:val="518" w:hRule="exact"/>
        </w:trPr>
        <w:tc>
          <w:tcPr>
            <w:tcW w:w="675" w:type="pct"/>
            <w:vMerge w:val="continue"/>
            <w:tcBorders>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其它</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r>
      <w:tr>
        <w:tblPrEx>
          <w:tblCellMar>
            <w:top w:w="0" w:type="dxa"/>
            <w:left w:w="0" w:type="dxa"/>
            <w:bottom w:w="0" w:type="dxa"/>
            <w:right w:w="0" w:type="dxa"/>
          </w:tblCellMar>
        </w:tblPrEx>
        <w:trPr>
          <w:trHeight w:val="463" w:hRule="exact"/>
        </w:trPr>
        <w:tc>
          <w:tcPr>
            <w:tcW w:w="675" w:type="pct"/>
            <w:vMerge w:val="restart"/>
            <w:tcBorders>
              <w:top w:val="single" w:color="000000" w:sz="6" w:space="0"/>
              <w:left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花坛花景</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绿篱</w:t>
            </w: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布置</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合理搭配，节假日根据情况适当布置</w:t>
            </w:r>
          </w:p>
        </w:tc>
      </w:tr>
      <w:tr>
        <w:tblPrEx>
          <w:tblCellMar>
            <w:top w:w="0" w:type="dxa"/>
            <w:left w:w="0" w:type="dxa"/>
            <w:bottom w:w="0" w:type="dxa"/>
            <w:right w:w="0" w:type="dxa"/>
          </w:tblCellMar>
        </w:tblPrEx>
        <w:trPr>
          <w:trHeight w:val="401"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灌、排水</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根据生长情况及气候适时组织浇灌、排水</w:t>
            </w:r>
          </w:p>
        </w:tc>
      </w:tr>
      <w:tr>
        <w:tblPrEx>
          <w:tblCellMar>
            <w:top w:w="0" w:type="dxa"/>
            <w:left w:w="0" w:type="dxa"/>
            <w:bottom w:w="0" w:type="dxa"/>
            <w:right w:w="0" w:type="dxa"/>
          </w:tblCellMar>
        </w:tblPrEx>
        <w:trPr>
          <w:trHeight w:val="439"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修剪</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根据生长情况定期修剪</w:t>
            </w:r>
          </w:p>
        </w:tc>
      </w:tr>
      <w:tr>
        <w:tblPrEx>
          <w:tblCellMar>
            <w:top w:w="0" w:type="dxa"/>
            <w:left w:w="0" w:type="dxa"/>
            <w:bottom w:w="0" w:type="dxa"/>
            <w:right w:w="0" w:type="dxa"/>
          </w:tblCellMar>
        </w:tblPrEx>
        <w:trPr>
          <w:trHeight w:val="474"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补栽、补种</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根据生长情况适时补栽、补种</w:t>
            </w:r>
          </w:p>
        </w:tc>
      </w:tr>
      <w:tr>
        <w:tblPrEx>
          <w:tblCellMar>
            <w:top w:w="0" w:type="dxa"/>
            <w:left w:w="0" w:type="dxa"/>
            <w:bottom w:w="0" w:type="dxa"/>
            <w:right w:w="0" w:type="dxa"/>
          </w:tblCellMar>
        </w:tblPrEx>
        <w:trPr>
          <w:trHeight w:val="503"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施肥</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根据生长情况及气候适时施肥</w:t>
            </w:r>
          </w:p>
        </w:tc>
      </w:tr>
      <w:tr>
        <w:tblPrEx>
          <w:tblCellMar>
            <w:top w:w="0" w:type="dxa"/>
            <w:left w:w="0" w:type="dxa"/>
            <w:bottom w:w="0" w:type="dxa"/>
            <w:right w:w="0" w:type="dxa"/>
          </w:tblCellMar>
        </w:tblPrEx>
        <w:trPr>
          <w:trHeight w:val="470" w:hRule="exact"/>
        </w:trPr>
        <w:tc>
          <w:tcPr>
            <w:tcW w:w="675" w:type="pct"/>
            <w:vMerge w:val="continue"/>
            <w:tcBorders>
              <w:left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病虫害防治</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适时喷洒药物，预防病虫害</w:t>
            </w:r>
          </w:p>
        </w:tc>
      </w:tr>
      <w:tr>
        <w:tblPrEx>
          <w:tblCellMar>
            <w:top w:w="0" w:type="dxa"/>
            <w:left w:w="0" w:type="dxa"/>
            <w:bottom w:w="0" w:type="dxa"/>
            <w:right w:w="0" w:type="dxa"/>
          </w:tblCellMar>
        </w:tblPrEx>
        <w:trPr>
          <w:trHeight w:val="403" w:hRule="exact"/>
        </w:trPr>
        <w:tc>
          <w:tcPr>
            <w:tcW w:w="675" w:type="pct"/>
            <w:vMerge w:val="continue"/>
            <w:tcBorders>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c>
          <w:tcPr>
            <w:tcW w:w="1285"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其它</w:t>
            </w:r>
          </w:p>
        </w:tc>
        <w:tc>
          <w:tcPr>
            <w:tcW w:w="3039" w:type="pct"/>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color w:val="auto"/>
                <w:highlight w:val="none"/>
              </w:rPr>
            </w:pPr>
          </w:p>
        </w:tc>
      </w:tr>
    </w:tbl>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三、公共区域环境卫生的维护</w:t>
      </w:r>
    </w:p>
    <w:tbl>
      <w:tblPr>
        <w:tblStyle w:val="43"/>
        <w:tblW w:w="4999" w:type="pct"/>
        <w:tblInd w:w="0" w:type="dxa"/>
        <w:tblLayout w:type="autofit"/>
        <w:tblCellMar>
          <w:top w:w="0" w:type="dxa"/>
          <w:left w:w="0" w:type="dxa"/>
          <w:bottom w:w="0" w:type="dxa"/>
          <w:right w:w="0" w:type="dxa"/>
        </w:tblCellMar>
      </w:tblPr>
      <w:tblGrid>
        <w:gridCol w:w="1124"/>
        <w:gridCol w:w="1571"/>
        <w:gridCol w:w="5615"/>
      </w:tblGrid>
      <w:tr>
        <w:tblPrEx>
          <w:tblCellMar>
            <w:top w:w="0" w:type="dxa"/>
            <w:left w:w="0" w:type="dxa"/>
            <w:bottom w:w="0" w:type="dxa"/>
            <w:right w:w="0" w:type="dxa"/>
          </w:tblCellMar>
        </w:tblPrEx>
        <w:trPr>
          <w:trHeight w:val="348" w:hRule="exact"/>
        </w:trPr>
        <w:tc>
          <w:tcPr>
            <w:tcW w:w="676"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服务内容</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服务标准</w:t>
            </w:r>
          </w:p>
        </w:tc>
      </w:tr>
      <w:tr>
        <w:tblPrEx>
          <w:tblCellMar>
            <w:top w:w="0" w:type="dxa"/>
            <w:left w:w="0" w:type="dxa"/>
            <w:bottom w:w="0" w:type="dxa"/>
            <w:right w:w="0" w:type="dxa"/>
          </w:tblCellMar>
        </w:tblPrEx>
        <w:trPr>
          <w:trHeight w:val="852" w:hRule="exact"/>
        </w:trPr>
        <w:tc>
          <w:tcPr>
            <w:tcW w:w="676" w:type="pct"/>
            <w:vMerge w:val="restart"/>
            <w:tcBorders>
              <w:top w:val="single" w:color="000000" w:sz="0" w:space="0"/>
              <w:left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楼内公共 区域</w:t>
            </w: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地面和墙面</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地面整体干净，无垃圾类物品；2M 以下墙面干净</w:t>
            </w:r>
          </w:p>
        </w:tc>
      </w:tr>
      <w:tr>
        <w:tblPrEx>
          <w:tblCellMar>
            <w:top w:w="0" w:type="dxa"/>
            <w:left w:w="0" w:type="dxa"/>
            <w:bottom w:w="0" w:type="dxa"/>
            <w:right w:w="0" w:type="dxa"/>
          </w:tblCellMar>
        </w:tblPrEx>
        <w:trPr>
          <w:trHeight w:val="830"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楼梯扶手、栏杆、窗台</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每天 1 次全面清洁，不间断循环保洁。</w:t>
            </w:r>
          </w:p>
        </w:tc>
      </w:tr>
      <w:tr>
        <w:tblPrEx>
          <w:tblCellMar>
            <w:top w:w="0" w:type="dxa"/>
            <w:left w:w="0" w:type="dxa"/>
            <w:bottom w:w="0" w:type="dxa"/>
            <w:right w:w="0" w:type="dxa"/>
          </w:tblCellMar>
        </w:tblPrEx>
        <w:trPr>
          <w:trHeight w:val="85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消防栓、指示牌等公共设施</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每天 1 次全面清洁，不间断循环保洁。</w:t>
            </w:r>
          </w:p>
        </w:tc>
      </w:tr>
      <w:tr>
        <w:tblPrEx>
          <w:tblCellMar>
            <w:top w:w="0" w:type="dxa"/>
            <w:left w:w="0" w:type="dxa"/>
            <w:bottom w:w="0" w:type="dxa"/>
            <w:right w:w="0" w:type="dxa"/>
          </w:tblCellMar>
        </w:tblPrEx>
        <w:trPr>
          <w:trHeight w:val="713"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天花板、 公共灯具</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灯具一季度清洁卫生一次</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天台、屋顶</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每日巡视，季度清洁卫生一次</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门窗等玻璃</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每月清洁 2 次，保持清洁。</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垃圾收集</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日产日清</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电梯轿厢</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每日清抹 2 次，不锈钢光亮，地垫干净整洁</w:t>
            </w:r>
          </w:p>
        </w:tc>
      </w:tr>
      <w:tr>
        <w:tblPrEx>
          <w:tblCellMar>
            <w:top w:w="0" w:type="dxa"/>
            <w:left w:w="0" w:type="dxa"/>
            <w:bottom w:w="0" w:type="dxa"/>
            <w:right w:w="0" w:type="dxa"/>
          </w:tblCellMar>
        </w:tblPrEx>
        <w:trPr>
          <w:trHeight w:val="562"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道路地面、绿地</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每日全面清扫 1 次，保持清洁</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沟渠、池、井</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定期清掏，保持畅通</w:t>
            </w:r>
          </w:p>
        </w:tc>
      </w:tr>
      <w:tr>
        <w:tblPrEx>
          <w:tblCellMar>
            <w:top w:w="0" w:type="dxa"/>
            <w:left w:w="0" w:type="dxa"/>
            <w:bottom w:w="0" w:type="dxa"/>
            <w:right w:w="0" w:type="dxa"/>
          </w:tblCellMar>
        </w:tblPrEx>
        <w:trPr>
          <w:trHeight w:val="1130"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公共灯具、宣传栏、路标、标志、雕塑、景观小品等</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t>根据日常巡视情况，（定期保洁）即时清理，保持整洁</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水景</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（定期）每日清捞漂浮物，按时启动水景景观</w:t>
            </w:r>
          </w:p>
        </w:tc>
      </w:tr>
      <w:tr>
        <w:tblPrEx>
          <w:tblCellMar>
            <w:top w:w="0" w:type="dxa"/>
            <w:left w:w="0" w:type="dxa"/>
            <w:bottom w:w="0" w:type="dxa"/>
            <w:right w:w="0" w:type="dxa"/>
          </w:tblCellMar>
        </w:tblPrEx>
        <w:trPr>
          <w:trHeight w:val="426"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垃圾厢（房）</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外围干净无苍蝇等，每日消杀两次以上</w:t>
            </w:r>
          </w:p>
        </w:tc>
      </w:tr>
      <w:tr>
        <w:tblPrEx>
          <w:tblCellMar>
            <w:top w:w="0" w:type="dxa"/>
            <w:left w:w="0" w:type="dxa"/>
            <w:bottom w:w="0" w:type="dxa"/>
            <w:right w:w="0" w:type="dxa"/>
          </w:tblCellMar>
        </w:tblPrEx>
        <w:trPr>
          <w:trHeight w:val="708" w:hRule="exact"/>
        </w:trPr>
        <w:tc>
          <w:tcPr>
            <w:tcW w:w="676" w:type="pct"/>
            <w:vMerge w:val="continue"/>
            <w:tcBorders>
              <w:left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果皮箱、垃圾桶</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外观干净，每日清理，不能溢满</w:t>
            </w:r>
          </w:p>
        </w:tc>
      </w:tr>
      <w:tr>
        <w:tblPrEx>
          <w:tblCellMar>
            <w:top w:w="0" w:type="dxa"/>
            <w:left w:w="0" w:type="dxa"/>
            <w:bottom w:w="0" w:type="dxa"/>
            <w:right w:w="0" w:type="dxa"/>
          </w:tblCellMar>
        </w:tblPrEx>
        <w:trPr>
          <w:trHeight w:val="700" w:hRule="exact"/>
        </w:trPr>
        <w:tc>
          <w:tcPr>
            <w:tcW w:w="676" w:type="pct"/>
            <w:vMerge w:val="continue"/>
            <w:tcBorders>
              <w:left w:val="single" w:color="000000" w:sz="0" w:space="0"/>
              <w:bottom w:val="single" w:color="auto" w:sz="4" w:space="0"/>
              <w:right w:val="single" w:color="000000" w:sz="0" w:space="0"/>
            </w:tcBorders>
            <w:vAlign w:val="center"/>
          </w:tcPr>
          <w:p>
            <w:pPr>
              <w:jc w:val="center"/>
              <w:rPr>
                <w:rFonts w:hint="eastAsia" w:ascii="宋体" w:hAnsi="宋体" w:eastAsia="宋体" w:cs="宋体"/>
                <w:color w:val="auto"/>
                <w:highlight w:val="none"/>
              </w:rPr>
            </w:pP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消毒灭害</w:t>
            </w: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按照相关要求进行喷洒消杀、灭鼠，确保无鼠害等</w:t>
            </w:r>
          </w:p>
        </w:tc>
      </w:tr>
      <w:tr>
        <w:tblPrEx>
          <w:tblCellMar>
            <w:top w:w="0" w:type="dxa"/>
            <w:left w:w="0" w:type="dxa"/>
            <w:bottom w:w="0" w:type="dxa"/>
            <w:right w:w="0" w:type="dxa"/>
          </w:tblCellMar>
        </w:tblPrEx>
        <w:trPr>
          <w:trHeight w:val="1004" w:hRule="exact"/>
        </w:trPr>
        <w:tc>
          <w:tcPr>
            <w:tcW w:w="676" w:type="pct"/>
            <w:tcBorders>
              <w:top w:val="single" w:color="auto" w:sz="4"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其他</w:t>
            </w:r>
          </w:p>
        </w:tc>
        <w:tc>
          <w:tcPr>
            <w:tcW w:w="945"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p>
        </w:tc>
        <w:tc>
          <w:tcPr>
            <w:tcW w:w="3377" w:type="pct"/>
            <w:tcBorders>
              <w:top w:val="single" w:color="000000" w:sz="0" w:space="0"/>
              <w:left w:val="single" w:color="000000" w:sz="0" w:space="0"/>
              <w:bottom w:val="single" w:color="000000" w:sz="0" w:space="0"/>
              <w:right w:val="single" w:color="000000" w:sz="0"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按照城乡环境综合治理院落环境治理标准和公共卫生管理 等方面要求做好公共区域环境卫生</w:t>
            </w:r>
          </w:p>
        </w:tc>
      </w:tr>
    </w:tbl>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四、公共区域的秩序维护</w:t>
      </w:r>
    </w:p>
    <w:tbl>
      <w:tblPr>
        <w:tblStyle w:val="44"/>
        <w:tblW w:w="499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3"/>
        <w:gridCol w:w="714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服务内容</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服务标准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人员要求</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品貌端正，服务意识较强；身体健康，具有良好的职业道德和敬业精神，具有</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良好纪律观念；熟悉小区的安全管理，能吃苦耐劳承受工作压力，作风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restar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门岗</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24 小时服务；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对来人来访实行询问、登记制度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及时处理岗位上发生的事情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restar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巡逻岗</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对执勤区域认真仔细巡逻、不放过任何一个盲点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勤观察，发现可疑的事、人、物跟踪到底，直至释疑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勤走动，每 2 个小时对重点部位进行巡逻一次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restar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技防设施和 救助（监控 岗）</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配合其他岗位开展工作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紧急情况下，负责全面监控及调动人力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按计划保养，设施设备正常使用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restar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车辆管理</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证卡管理，有序引导停放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规范行车标志，规范收费管理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熟悉消防设施位置和器材分布，能熟练使用停车场设施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劝导不规范停车行为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restar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火灾、治</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安、公共</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卫 生 等</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突 发</w:t>
            </w: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建立应急事务领导小组，有组织、有计划、有秩序进行处置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成立义务消防队伍，演练到位，培训到位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0" w:hRule="atLeast"/>
        </w:trPr>
        <w:tc>
          <w:tcPr>
            <w:tcW w:w="811" w:type="pct"/>
            <w:vMerge w:val="continue"/>
            <w:vAlign w:val="center"/>
          </w:tcPr>
          <w:p>
            <w:pPr>
              <w:jc w:val="center"/>
              <w:rPr>
                <w:rFonts w:hint="eastAsia" w:ascii="宋体" w:hAnsi="宋体" w:eastAsia="宋体" w:cs="宋体"/>
                <w:color w:val="auto"/>
                <w:highlight w:val="none"/>
              </w:rPr>
            </w:pPr>
          </w:p>
        </w:tc>
        <w:tc>
          <w:tcPr>
            <w:tcW w:w="4188"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第一时间上报、处理、避免事件扩大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1" w:type="pct"/>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其他</w:t>
            </w:r>
          </w:p>
        </w:tc>
        <w:tc>
          <w:tcPr>
            <w:tcW w:w="4188" w:type="pct"/>
            <w:vAlign w:val="center"/>
          </w:tcPr>
          <w:p>
            <w:pPr>
              <w:jc w:val="center"/>
              <w:rPr>
                <w:rFonts w:hint="eastAsia" w:ascii="宋体" w:hAnsi="宋体" w:eastAsia="宋体" w:cs="宋体"/>
                <w:color w:val="auto"/>
                <w:highlight w:val="none"/>
              </w:rPr>
            </w:pPr>
          </w:p>
        </w:tc>
      </w:tr>
    </w:tbl>
    <w:p>
      <w:pPr>
        <w:pStyle w:val="4"/>
        <w:numPr>
          <w:ilvl w:val="1"/>
          <w:numId w:val="5"/>
        </w:numPr>
        <w:tabs>
          <w:tab w:val="left" w:pos="426"/>
          <w:tab w:val="left" w:pos="567"/>
        </w:tabs>
        <w:spacing w:before="0" w:after="200"/>
        <w:jc w:val="both"/>
      </w:pPr>
      <w:bookmarkStart w:id="159" w:name="_Toc58943341"/>
      <w:bookmarkStart w:id="160" w:name="_Toc77688491"/>
      <w:bookmarkStart w:id="161" w:name="_Toc10756"/>
      <w:r>
        <w:rPr>
          <w:rFonts w:hint="eastAsia"/>
        </w:rPr>
        <w:t>商务要求</w:t>
      </w:r>
      <w:bookmarkEnd w:id="159"/>
      <w:bookmarkEnd w:id="160"/>
      <w:bookmarkEnd w:id="161"/>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一、服务期限</w:t>
      </w:r>
    </w:p>
    <w:p>
      <w:pPr>
        <w:ind w:firstLine="560" w:firstLineChars="200"/>
        <w:rPr>
          <w:rFonts w:ascii="宋体" w:hAnsi="宋体" w:cstheme="minorBidi"/>
          <w:sz w:val="28"/>
          <w:szCs w:val="28"/>
        </w:rPr>
      </w:pPr>
      <w:r>
        <w:rPr>
          <w:rFonts w:hint="eastAsia" w:ascii="宋体" w:hAnsi="宋体" w:cstheme="minorBidi"/>
          <w:sz w:val="28"/>
          <w:szCs w:val="28"/>
          <w:lang w:eastAsia="zh-CN"/>
        </w:rPr>
        <w:t>合同签订生效后一年</w:t>
      </w:r>
      <w:r>
        <w:rPr>
          <w:rFonts w:hint="eastAsia" w:ascii="宋体" w:hAnsi="宋体" w:cstheme="minorBidi"/>
          <w:sz w:val="28"/>
          <w:szCs w:val="28"/>
        </w:rPr>
        <w:t>。</w:t>
      </w:r>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二、服务地点</w:t>
      </w:r>
    </w:p>
    <w:p>
      <w:pPr>
        <w:ind w:firstLine="560" w:firstLineChars="200"/>
        <w:rPr>
          <w:rFonts w:ascii="宋体" w:hAnsi="宋体" w:cstheme="minorBidi"/>
          <w:sz w:val="28"/>
          <w:szCs w:val="28"/>
        </w:rPr>
      </w:pPr>
      <w:r>
        <w:rPr>
          <w:rFonts w:hint="eastAsia" w:ascii="宋体" w:hAnsi="宋体" w:cstheme="minorBidi"/>
          <w:sz w:val="28"/>
          <w:szCs w:val="28"/>
        </w:rPr>
        <w:t>石板凳街道桐子坳社区先锋安置小区。</w:t>
      </w:r>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三、考核（验收）标准和方法</w:t>
      </w:r>
    </w:p>
    <w:p>
      <w:pPr>
        <w:ind w:firstLine="560" w:firstLineChars="200"/>
        <w:rPr>
          <w:rFonts w:ascii="宋体" w:hAnsi="宋体" w:cstheme="minorBidi"/>
          <w:sz w:val="28"/>
          <w:szCs w:val="28"/>
        </w:rPr>
      </w:pPr>
      <w:r>
        <w:rPr>
          <w:rFonts w:hint="eastAsia" w:ascii="宋体" w:hAnsi="宋体" w:cstheme="minorBidi"/>
          <w:sz w:val="28"/>
          <w:szCs w:val="28"/>
        </w:rPr>
        <w:t>按国家有关规定以及本项目</w:t>
      </w:r>
      <w:r>
        <w:rPr>
          <w:rFonts w:hint="eastAsia" w:ascii="宋体" w:hAnsi="宋体" w:cstheme="minorBidi"/>
          <w:sz w:val="28"/>
          <w:szCs w:val="28"/>
          <w:lang w:eastAsia="zh-CN"/>
        </w:rPr>
        <w:t>招标</w:t>
      </w:r>
      <w:r>
        <w:rPr>
          <w:rFonts w:hint="eastAsia" w:ascii="宋体" w:hAnsi="宋体" w:cstheme="minorBidi"/>
          <w:sz w:val="28"/>
          <w:szCs w:val="28"/>
        </w:rPr>
        <w:t>文件</w:t>
      </w:r>
      <w:r>
        <w:rPr>
          <w:rFonts w:hint="eastAsia" w:ascii="宋体" w:hAnsi="宋体" w:cstheme="minorBidi"/>
          <w:sz w:val="28"/>
          <w:szCs w:val="28"/>
          <w:lang w:eastAsia="zh-CN"/>
        </w:rPr>
        <w:t>和中标人</w:t>
      </w:r>
      <w:r>
        <w:rPr>
          <w:rFonts w:hint="eastAsia" w:ascii="宋体" w:hAnsi="宋体" w:cstheme="minorBidi"/>
          <w:sz w:val="28"/>
          <w:szCs w:val="28"/>
        </w:rPr>
        <w:t>的</w:t>
      </w:r>
      <w:r>
        <w:rPr>
          <w:rFonts w:hint="eastAsia" w:ascii="宋体" w:hAnsi="宋体" w:cstheme="minorBidi"/>
          <w:sz w:val="28"/>
          <w:szCs w:val="28"/>
          <w:lang w:eastAsia="zh-CN"/>
        </w:rPr>
        <w:t>投标</w:t>
      </w:r>
      <w:r>
        <w:rPr>
          <w:rFonts w:hint="eastAsia" w:ascii="宋体" w:hAnsi="宋体" w:cstheme="minorBidi"/>
          <w:sz w:val="28"/>
          <w:szCs w:val="28"/>
        </w:rPr>
        <w:t>文件及承诺等进行验收。</w:t>
      </w:r>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四、付款进度和支付方式</w:t>
      </w:r>
    </w:p>
    <w:p>
      <w:pPr>
        <w:ind w:firstLine="560" w:firstLineChars="200"/>
        <w:rPr>
          <w:rFonts w:ascii="宋体" w:hAnsi="宋体" w:cstheme="minorBidi"/>
          <w:sz w:val="28"/>
          <w:szCs w:val="28"/>
        </w:rPr>
      </w:pPr>
      <w:r>
        <w:rPr>
          <w:rFonts w:hint="eastAsia" w:ascii="宋体" w:hAnsi="宋体" w:cstheme="minorBidi"/>
          <w:sz w:val="28"/>
          <w:szCs w:val="28"/>
        </w:rPr>
        <w:t>按季度支付，服务期满一季度后10个工作日内支付上一季度服务费，据实结算。</w:t>
      </w:r>
    </w:p>
    <w:p>
      <w:pPr>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五、违约责任</w:t>
      </w:r>
    </w:p>
    <w:p>
      <w:pPr>
        <w:ind w:firstLine="560" w:firstLineChars="200"/>
        <w:rPr>
          <w:rFonts w:ascii="宋体" w:hAnsi="宋体"/>
          <w:sz w:val="28"/>
          <w:szCs w:val="28"/>
        </w:rPr>
      </w:pPr>
      <w:r>
        <w:rPr>
          <w:rFonts w:hint="eastAsia" w:ascii="宋体" w:hAnsi="宋体" w:cstheme="minorBidi"/>
          <w:sz w:val="28"/>
          <w:szCs w:val="28"/>
          <w:lang w:eastAsia="zh-CN"/>
        </w:rPr>
        <w:t>（一）</w:t>
      </w:r>
      <w:r>
        <w:rPr>
          <w:rFonts w:hint="eastAsia" w:ascii="宋体" w:hAnsi="宋体"/>
          <w:sz w:val="28"/>
          <w:szCs w:val="28"/>
        </w:rPr>
        <w:t>因采购人原因导致变更、中止或者终止政府采购合同的，采购人应对供应商受到的损失据实给予赔偿或者补偿。</w:t>
      </w:r>
    </w:p>
    <w:p>
      <w:pPr>
        <w:ind w:firstLine="560" w:firstLineChars="200"/>
        <w:rPr>
          <w:rFonts w:ascii="宋体" w:hAnsi="宋体"/>
          <w:sz w:val="28"/>
          <w:szCs w:val="28"/>
        </w:rPr>
      </w:pPr>
      <w:r>
        <w:rPr>
          <w:rFonts w:hint="eastAsia" w:ascii="宋体" w:hAnsi="宋体" w:cstheme="minorBidi"/>
          <w:sz w:val="28"/>
          <w:szCs w:val="28"/>
          <w:lang w:eastAsia="zh-CN"/>
        </w:rPr>
        <w:t>（二）</w:t>
      </w:r>
      <w:r>
        <w:rPr>
          <w:rFonts w:hint="eastAsia" w:ascii="宋体" w:hAnsi="宋体"/>
          <w:sz w:val="28"/>
          <w:szCs w:val="28"/>
        </w:rPr>
        <w:t>供应商在服务期内无质量问题和违约行为的，采购人应准时支付供应商服务费。如逾期</w:t>
      </w:r>
      <w:r>
        <w:rPr>
          <w:rFonts w:ascii="宋体" w:hAnsi="宋体"/>
          <w:sz w:val="28"/>
          <w:szCs w:val="28"/>
        </w:rPr>
        <w:t>的，</w:t>
      </w:r>
      <w:r>
        <w:rPr>
          <w:rFonts w:hint="eastAsia" w:ascii="宋体" w:hAnsi="宋体" w:cs="宋体"/>
          <w:sz w:val="28"/>
          <w:szCs w:val="28"/>
          <w:lang w:val="zh-CN"/>
        </w:rPr>
        <w:t>除应及时付足服务</w:t>
      </w:r>
      <w:r>
        <w:rPr>
          <w:rFonts w:ascii="宋体" w:hAnsi="宋体" w:cs="宋体"/>
          <w:sz w:val="28"/>
          <w:szCs w:val="28"/>
          <w:lang w:val="zh-CN"/>
        </w:rPr>
        <w:t>费</w:t>
      </w:r>
      <w:r>
        <w:rPr>
          <w:rFonts w:hint="eastAsia" w:ascii="宋体" w:hAnsi="宋体" w:cs="宋体"/>
          <w:sz w:val="28"/>
          <w:szCs w:val="28"/>
          <w:lang w:val="zh-CN"/>
        </w:rPr>
        <w:t>外，</w:t>
      </w:r>
      <w:r>
        <w:rPr>
          <w:rFonts w:hint="eastAsia" w:ascii="宋体" w:hAnsi="宋体"/>
          <w:sz w:val="28"/>
          <w:szCs w:val="28"/>
        </w:rPr>
        <w:t>应</w:t>
      </w:r>
      <w:r>
        <w:rPr>
          <w:rFonts w:ascii="宋体" w:hAnsi="宋体"/>
          <w:sz w:val="28"/>
          <w:szCs w:val="28"/>
        </w:rPr>
        <w:t>按应付金额每日</w:t>
      </w:r>
      <w:r>
        <w:rPr>
          <w:rFonts w:hint="eastAsia" w:ascii="宋体" w:hAnsi="宋体"/>
          <w:sz w:val="28"/>
          <w:szCs w:val="28"/>
          <w:lang w:val="en-US" w:eastAsia="zh-CN"/>
        </w:rPr>
        <w:t>1</w:t>
      </w:r>
      <w:r>
        <w:rPr>
          <w:rFonts w:ascii="宋体" w:hAnsi="宋体"/>
          <w:sz w:val="28"/>
          <w:szCs w:val="28"/>
        </w:rPr>
        <w:t>‰标准向供应商赔付违约金。</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lang w:eastAsia="zh-CN"/>
        </w:rPr>
        <w:t>（三）</w:t>
      </w:r>
      <w:r>
        <w:rPr>
          <w:rFonts w:hint="eastAsia" w:ascii="宋体" w:hAnsi="宋体" w:eastAsia="宋体" w:cs="Times New Roman"/>
          <w:sz w:val="28"/>
          <w:szCs w:val="28"/>
        </w:rPr>
        <w:t>供应商的违约责任：签订合同后投标人不履行合同或不完全履行合同或单方面终止合同的，投标人承担违约责任且不退换履约保证金。投标人违约时应承担合同总金额20%违约金。给采购人造成的损失超过违约金的，投标人还应对超过部分予以赔偿，并依法承担相应的法律责任。</w:t>
      </w:r>
    </w:p>
    <w:bookmarkEnd w:id="151"/>
    <w:p>
      <w:pPr>
        <w:pStyle w:val="4"/>
        <w:numPr>
          <w:ilvl w:val="1"/>
          <w:numId w:val="5"/>
        </w:numPr>
        <w:tabs>
          <w:tab w:val="left" w:pos="426"/>
          <w:tab w:val="left" w:pos="567"/>
        </w:tabs>
        <w:spacing w:before="0" w:after="200"/>
        <w:jc w:val="both"/>
        <w:rPr>
          <w:rFonts w:hint="eastAsia" w:ascii="宋体" w:hAnsi="宋体" w:eastAsia="宋体" w:cs="宋体"/>
        </w:rPr>
      </w:pPr>
      <w:bookmarkStart w:id="162" w:name="_Toc12889"/>
      <w:r>
        <w:rPr>
          <w:rFonts w:hint="eastAsia" w:ascii="宋体" w:hAnsi="宋体" w:eastAsia="宋体" w:cs="宋体"/>
        </w:rPr>
        <w:t>其他要求</w:t>
      </w:r>
      <w:bookmarkEnd w:id="162"/>
    </w:p>
    <w:p>
      <w:pPr>
        <w:pStyle w:val="80"/>
        <w:tabs>
          <w:tab w:val="left" w:pos="993"/>
          <w:tab w:val="left" w:pos="1134"/>
        </w:tabs>
        <w:spacing w:before="78" w:line="560" w:lineRule="exact"/>
        <w:ind w:firstLine="565" w:firstLineChars="202"/>
        <w:rPr>
          <w:rFonts w:hint="eastAsia" w:ascii="宋体" w:hAnsi="宋体" w:eastAsia="宋体"/>
          <w:bCs/>
          <w:sz w:val="28"/>
          <w:szCs w:val="28"/>
          <w:lang w:val="zh-CN"/>
        </w:rPr>
      </w:pPr>
      <w:r>
        <w:rPr>
          <w:rFonts w:hint="eastAsia" w:ascii="宋体" w:hAnsi="宋体" w:eastAsia="宋体"/>
          <w:bCs/>
          <w:sz w:val="28"/>
          <w:szCs w:val="28"/>
          <w:lang w:val="zh-CN"/>
        </w:rPr>
        <w:t>★供应商为本项目提供的所有服务符合现行的国家相关强制性标准、行业标准。（说明:按照招标文件3.3.5承诺函的内容进行承诺）</w:t>
      </w:r>
    </w:p>
    <w:p>
      <w:pPr>
        <w:rPr>
          <w:rFonts w:hint="eastAsia" w:ascii="宋体" w:hAnsi="宋体" w:eastAsia="宋体"/>
          <w:bCs/>
          <w:sz w:val="28"/>
          <w:szCs w:val="28"/>
          <w:lang w:val="zh-CN"/>
        </w:rPr>
      </w:pPr>
      <w:r>
        <w:rPr>
          <w:rFonts w:hint="eastAsia" w:ascii="宋体" w:hAnsi="宋体" w:eastAsia="宋体"/>
          <w:bCs/>
          <w:sz w:val="28"/>
          <w:szCs w:val="28"/>
          <w:lang w:val="zh-CN"/>
        </w:rPr>
        <w:br w:type="page"/>
      </w:r>
    </w:p>
    <w:bookmarkEnd w:id="152"/>
    <w:bookmarkEnd w:id="153"/>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3" w:name="_Toc29756"/>
      <w:r>
        <w:rPr>
          <w:rFonts w:hint="eastAsia" w:ascii="宋体" w:hAnsi="宋体"/>
          <w:b/>
          <w:bCs/>
          <w:spacing w:val="-20"/>
          <w:kern w:val="44"/>
          <w:sz w:val="32"/>
          <w:szCs w:val="32"/>
        </w:rPr>
        <w:t>资格性审查</w:t>
      </w:r>
      <w:bookmarkEnd w:id="16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东部新区综合部将以电子邮件形式通知各投标人。资格性审查标准见下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27"/>
        <w:gridCol w:w="1682"/>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szCs w:val="28"/>
              </w:rPr>
              <w:t>①</w:t>
            </w:r>
            <w:r>
              <w:rPr>
                <w:rFonts w:hint="eastAsia"/>
                <w:sz w:val="20"/>
              </w:rPr>
              <w:t>营业执照或法人登记证或其他证明材料载明有期限的，应在有效期限内；</w:t>
            </w:r>
            <w:r>
              <w:rPr>
                <w:rFonts w:hint="eastAsia" w:ascii="宋体" w:hAnsi="宋体"/>
                <w:sz w:val="20"/>
                <w:szCs w:val="28"/>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按第</w:t>
            </w:r>
            <w:r>
              <w:rPr>
                <w:sz w:val="20"/>
              </w:rPr>
              <w:t>3</w:t>
            </w:r>
            <w:r>
              <w:rPr>
                <w:rFonts w:hint="eastAsia"/>
                <w:sz w:val="20"/>
              </w:rPr>
              <w:t>章的内容及要求提供书面声明材料；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按第</w:t>
            </w:r>
            <w:r>
              <w:rPr>
                <w:sz w:val="20"/>
              </w:rPr>
              <w:t>3</w:t>
            </w:r>
            <w:r>
              <w:rPr>
                <w:rFonts w:hint="eastAsia"/>
                <w:sz w:val="20"/>
              </w:rPr>
              <w:t>章的内容及要求提供书面声明材料。】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t>负责人为同一人或者存在直接控股、管理关系的</w:t>
            </w:r>
            <w:r>
              <w:rPr>
                <w:rFonts w:hint="eastAsia"/>
              </w:rPr>
              <w:t>不同投标人</w:t>
            </w:r>
            <w:r>
              <w:t>未同时参加本项目书面声明材料。【说明：</w:t>
            </w:r>
            <w:r>
              <w:rPr>
                <w:rFonts w:hint="eastAsia" w:ascii="宋体" w:hAnsi="宋体"/>
                <w:sz w:val="20"/>
                <w:szCs w:val="28"/>
              </w:rPr>
              <w:t>①</w:t>
            </w:r>
            <w:r>
              <w:t>按</w:t>
            </w:r>
            <w:r>
              <w:rPr>
                <w:rFonts w:hint="eastAsia"/>
              </w:rPr>
              <w:t>招标</w:t>
            </w:r>
            <w:r>
              <w:t>文件3.2.2声明内容提供书面声明材料；</w:t>
            </w:r>
            <w:r>
              <w:rPr>
                <w:rFonts w:hint="eastAsia" w:ascii="宋体" w:hAnsi="宋体"/>
                <w:sz w:val="20"/>
                <w:szCs w:val="28"/>
              </w:rPr>
              <w:t>②</w:t>
            </w:r>
            <w:r>
              <w:t>参加本项目采购活动的</w:t>
            </w:r>
            <w:r>
              <w:rPr>
                <w:rFonts w:hint="eastAsia"/>
              </w:rPr>
              <w:t>投标人</w:t>
            </w:r>
            <w:r>
              <w:t>中无与其他同时参加本项目的</w:t>
            </w:r>
            <w:r>
              <w:rPr>
                <w:rFonts w:hint="eastAsia"/>
              </w:rPr>
              <w:t>投标人</w:t>
            </w:r>
            <w:r>
              <w:t>负责人为同一人的情况，不存在直接控股、管理关系的</w:t>
            </w:r>
            <w:r>
              <w:rPr>
                <w:rFonts w:hint="eastAsia"/>
              </w:rPr>
              <w:t>投标人</w:t>
            </w:r>
            <w: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投标文件资格响应文件的语言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719" w:type="dxa"/>
            <w:tcBorders>
              <w:top w:val="single" w:color="auto" w:sz="2" w:space="0"/>
              <w:left w:val="single" w:color="auto" w:sz="2" w:space="0"/>
              <w:bottom w:val="single" w:color="auto" w:sz="2" w:space="0"/>
              <w:right w:val="single" w:color="auto" w:sz="2" w:space="0"/>
            </w:tcBorders>
            <w:vAlign w:val="center"/>
          </w:tcPr>
          <w:p>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【说明：投标人按招标文件3.2.1关于投标人申明的</w:t>
            </w:r>
            <w:r>
              <w:rPr>
                <w:rFonts w:hint="eastAsia"/>
                <w:sz w:val="20"/>
              </w:rPr>
              <w:t>内容</w:t>
            </w:r>
            <w:r>
              <w:rPr>
                <w:rFonts w:hint="eastAsia" w:ascii="宋体" w:hAnsi="宋体"/>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lang w:eastAsia="zh-CN"/>
              </w:rPr>
              <w:t>落实政府采购政策需满足的资格要求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20"/>
                <w:szCs w:val="28"/>
              </w:rPr>
            </w:pPr>
            <w:r>
              <w:rPr>
                <w:rFonts w:hint="eastAsia" w:ascii="宋体" w:hAnsi="宋体"/>
                <w:sz w:val="20"/>
                <w:szCs w:val="28"/>
              </w:rPr>
              <w:t>1.提供分包意向协议，协议中中小企业合同金额应当达到预算总额的30%，其中给小微企业的比例不低于60%。接受分包合同的中小企业与供应商之间不得存在直接控股、管理关系。若供应商提供的服务均为中小企业的，则不用提供分包意向协议。</w:t>
            </w:r>
          </w:p>
          <w:p>
            <w:pPr>
              <w:tabs>
                <w:tab w:val="left" w:pos="851"/>
              </w:tabs>
              <w:spacing w:line="360" w:lineRule="auto"/>
              <w:rPr>
                <w:sz w:val="20"/>
              </w:rPr>
            </w:pPr>
            <w:r>
              <w:rPr>
                <w:rFonts w:hint="eastAsia" w:ascii="宋体" w:hAnsi="宋体"/>
                <w:sz w:val="20"/>
                <w:szCs w:val="28"/>
                <w:lang w:val="en-US" w:eastAsia="zh-CN"/>
              </w:rPr>
              <w:t>2.</w:t>
            </w:r>
            <w:r>
              <w:rPr>
                <w:rFonts w:hint="eastAsia" w:ascii="宋体" w:hAnsi="宋体"/>
                <w:sz w:val="20"/>
                <w:szCs w:val="28"/>
              </w:rPr>
              <w:t>提供中小企业声明函原件加盖鲜章（监狱企业、残疾人福利性单位视同中小企业），（①供应商为监狱企业的，提供监狱企业证明文件；②供应商为残疾人福利性单位的，提供《残疾人福利性单位声明函》原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东部新区综合部将通知投标人（以短信、现场公示、电话、“政府采购云平台”等任一方式）。投标人如对资格审查结论有异议的，应及时向东部新区综合部反馈意见。东部新区综合部将及时告知资格审查小组。（说明：无论投标人是否收到通知或提供反馈意见，均不影响资格审查和评标工作，且东部新区综合部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widowControl/>
        <w:jc w:val="left"/>
        <w:rPr>
          <w:rFonts w:ascii="宋体" w:hAnsi="宋体"/>
          <w:b/>
          <w:bCs/>
          <w:spacing w:val="-20"/>
          <w:kern w:val="44"/>
          <w:sz w:val="32"/>
          <w:szCs w:val="32"/>
        </w:rPr>
      </w:pPr>
      <w:r>
        <w:rPr>
          <w:rFonts w:ascii="宋体" w:hAnsi="宋体"/>
          <w:b/>
          <w:bCs/>
          <w:spacing w:val="-20"/>
          <w:kern w:val="44"/>
          <w:sz w:val="32"/>
          <w:szCs w:val="32"/>
        </w:rPr>
        <w:br w:type="page"/>
      </w: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4" w:name="_Toc21085"/>
      <w:r>
        <w:rPr>
          <w:rFonts w:hint="eastAsia" w:ascii="宋体" w:hAnsi="宋体"/>
          <w:b/>
          <w:bCs/>
          <w:spacing w:val="-20"/>
          <w:kern w:val="44"/>
          <w:sz w:val="32"/>
          <w:szCs w:val="32"/>
        </w:rPr>
        <w:t>评标办法</w:t>
      </w:r>
      <w:bookmarkEnd w:id="164"/>
    </w:p>
    <w:p>
      <w:pPr>
        <w:keepNext/>
        <w:keepLines/>
        <w:numPr>
          <w:ilvl w:val="1"/>
          <w:numId w:val="5"/>
        </w:numPr>
        <w:spacing w:line="360" w:lineRule="auto"/>
        <w:jc w:val="left"/>
        <w:outlineLvl w:val="1"/>
        <w:rPr>
          <w:rFonts w:ascii="宋体" w:hAnsi="宋体"/>
          <w:b/>
          <w:bCs/>
          <w:sz w:val="28"/>
          <w:szCs w:val="28"/>
        </w:rPr>
      </w:pPr>
      <w:bookmarkStart w:id="165" w:name="_Toc28495"/>
      <w:r>
        <w:rPr>
          <w:rFonts w:hint="eastAsia" w:ascii="宋体" w:hAnsi="宋体"/>
          <w:b/>
          <w:bCs/>
          <w:sz w:val="28"/>
          <w:szCs w:val="28"/>
        </w:rPr>
        <w:t>总则</w:t>
      </w:r>
      <w:bookmarkEnd w:id="165"/>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二、评标工作由</w:t>
      </w:r>
      <w:r>
        <w:rPr>
          <w:rFonts w:hint="eastAsia" w:cs="Arial"/>
          <w:sz w:val="28"/>
          <w:szCs w:val="28"/>
        </w:rPr>
        <w:t>东部新区综合部</w:t>
      </w:r>
      <w:r>
        <w:rPr>
          <w:rFonts w:hint="eastAsia" w:ascii="宋体" w:hAnsi="宋体"/>
          <w:sz w:val="28"/>
          <w:szCs w:val="28"/>
        </w:rPr>
        <w:t>负责组织，具体评标事务由采购人或</w:t>
      </w:r>
      <w:r>
        <w:rPr>
          <w:rFonts w:hint="eastAsia" w:cs="Arial"/>
          <w:sz w:val="28"/>
          <w:szCs w:val="28"/>
        </w:rPr>
        <w:t>东部新区综合部</w:t>
      </w:r>
      <w:r>
        <w:rPr>
          <w:rFonts w:hint="eastAsia" w:ascii="宋体" w:hAnsi="宋体"/>
          <w:sz w:val="28"/>
          <w:szCs w:val="28"/>
        </w:rPr>
        <w:t>依法组建的评标委员会负责。评标委员会由采购人代表和评审专家组成。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四、评标委员会按照招标文件规定的评标程序、评标方法和标准进行独立评审，并独立履行下列职责：</w:t>
      </w:r>
    </w:p>
    <w:p>
      <w:pPr>
        <w:numPr>
          <w:ilvl w:val="1"/>
          <w:numId w:val="31"/>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31"/>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31"/>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31"/>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31"/>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31"/>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31"/>
        </w:numPr>
        <w:spacing w:line="360" w:lineRule="auto"/>
        <w:ind w:left="0" w:firstLine="567"/>
        <w:rPr>
          <w:rFonts w:ascii="宋体" w:hAnsi="宋体"/>
          <w:sz w:val="28"/>
          <w:szCs w:val="28"/>
        </w:rPr>
      </w:pPr>
      <w:r>
        <w:rPr>
          <w:rFonts w:hint="eastAsia" w:ascii="宋体" w:hAnsi="宋体"/>
          <w:sz w:val="28"/>
          <w:szCs w:val="28"/>
        </w:rPr>
        <w:t>向采购人、东部新区综合部或者财政、监察等有关部门报告或举报非法干预评标工作的行为；</w:t>
      </w:r>
    </w:p>
    <w:p>
      <w:pPr>
        <w:numPr>
          <w:ilvl w:val="1"/>
          <w:numId w:val="31"/>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东部新区综合部</w:t>
      </w:r>
      <w:r>
        <w:rPr>
          <w:rFonts w:hint="eastAsia" w:ascii="宋体" w:hAnsi="宋体"/>
          <w:sz w:val="28"/>
          <w:szCs w:val="28"/>
        </w:rPr>
        <w:t>或者有关部门报告评标中发现的违法行为。</w:t>
      </w:r>
    </w:p>
    <w:p>
      <w:pPr>
        <w:numPr>
          <w:ilvl w:val="1"/>
          <w:numId w:val="31"/>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七、评标委员会发现招标文件表述不明确或需要说明的事项，可提请采购人和东部新区综合部书面解释说明。</w:t>
      </w:r>
    </w:p>
    <w:p>
      <w:pPr>
        <w:keepNext/>
        <w:keepLines/>
        <w:numPr>
          <w:ilvl w:val="1"/>
          <w:numId w:val="5"/>
        </w:numPr>
        <w:spacing w:line="360" w:lineRule="auto"/>
        <w:jc w:val="left"/>
        <w:outlineLvl w:val="1"/>
        <w:rPr>
          <w:rFonts w:ascii="宋体" w:hAnsi="宋体"/>
          <w:b/>
          <w:bCs/>
          <w:sz w:val="28"/>
          <w:szCs w:val="28"/>
        </w:rPr>
      </w:pPr>
      <w:bookmarkStart w:id="166" w:name="_Toc19049"/>
      <w:r>
        <w:rPr>
          <w:rFonts w:hint="eastAsia" w:ascii="宋体" w:hAnsi="宋体"/>
          <w:b/>
          <w:bCs/>
          <w:sz w:val="28"/>
          <w:szCs w:val="28"/>
        </w:rPr>
        <w:t>评标方法</w:t>
      </w:r>
      <w:bookmarkEnd w:id="16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67" w:name="_Toc23419"/>
      <w:r>
        <w:rPr>
          <w:rFonts w:hint="eastAsia" w:ascii="宋体" w:hAnsi="宋体"/>
          <w:b/>
          <w:bCs/>
          <w:sz w:val="28"/>
          <w:szCs w:val="28"/>
        </w:rPr>
        <w:t>评标程序</w:t>
      </w:r>
      <w:bookmarkEnd w:id="16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3"/>
        <w:tblW w:w="5178"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099"/>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及</w:t>
            </w:r>
            <w:r>
              <w:rPr>
                <w:rFonts w:ascii="宋体" w:hAnsi="宋体"/>
                <w:sz w:val="24"/>
                <w:szCs w:val="28"/>
              </w:rPr>
              <w:t>报价要求响应文件</w:t>
            </w:r>
            <w:r>
              <w:rPr>
                <w:rFonts w:hint="eastAsia" w:ascii="宋体" w:hAnsi="宋体"/>
                <w:sz w:val="24"/>
                <w:szCs w:val="28"/>
              </w:rPr>
              <w:t>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r>
              <w:rPr>
                <w:rFonts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kern w:val="2"/>
                <w:sz w:val="24"/>
                <w:szCs w:val="28"/>
                <w:lang w:val="en-US" w:eastAsia="zh-CN" w:bidi="ar-SA"/>
              </w:rPr>
            </w:pPr>
            <w:r>
              <w:rPr>
                <w:rFonts w:hint="eastAsia" w:ascii="宋体" w:hAnsi="宋体"/>
                <w:sz w:val="24"/>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不属于禁止参加投标或投标无效的投标人</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（1）根据招标文件的要求不属于禁止参加投标或投标无效的投标人；</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（2）评标委员会未发现或者未知晓投标人存在属于国家相关法律法规规定的禁止参加投标或投标无效的投标人。</w:t>
            </w:r>
          </w:p>
          <w:p>
            <w:pPr>
              <w:tabs>
                <w:tab w:val="left" w:pos="851"/>
              </w:tabs>
              <w:spacing w:line="360" w:lineRule="auto"/>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kern w:val="2"/>
                <w:sz w:val="24"/>
                <w:szCs w:val="28"/>
                <w:lang w:val="en-US" w:eastAsia="zh-CN" w:bidi="ar-SA"/>
              </w:rPr>
            </w:pPr>
            <w:r>
              <w:rPr>
                <w:rFonts w:hint="eastAsia" w:ascii="宋体" w:hAnsi="宋体"/>
                <w:sz w:val="24"/>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法定代表人或主要负责人身份证复印件或护照复印件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kern w:val="2"/>
                <w:sz w:val="24"/>
                <w:szCs w:val="28"/>
                <w:lang w:val="en-US" w:eastAsia="zh-CN" w:bidi="ar-SA"/>
              </w:rPr>
            </w:pPr>
            <w:r>
              <w:rPr>
                <w:rFonts w:hint="eastAsia" w:ascii="宋体" w:hAnsi="宋体"/>
                <w:sz w:val="24"/>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cs="仿宋_GB2312" w:asciiTheme="minorEastAsia" w:hAnsiTheme="minorEastAsia" w:eastAsiaTheme="minorEastAsia"/>
                <w:sz w:val="24"/>
                <w:szCs w:val="24"/>
              </w:rPr>
              <w:t>无。</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东部新区综合部将通知投标人（以短信、现场公示、电话、“政府采购云平台”等任一方式）。投标人如对评审结论有异议的，应及时向东部新区综合部反馈意见。东部新区综合部在评审结束前将收到的反馈意见及时告知评标委员会。（说明：无论投标人是否收到通知或提供反馈意见，均不影响评标委员会的评标工作，且东部新区综合部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32"/>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东部新区综合部书面解释。东部新区综合部的解释不得改变招标文件的原义或者影响公平、公正，解释事项如果涉及投标人权益的以有利于投标人的原则进行解释。</w:t>
      </w:r>
    </w:p>
    <w:p>
      <w:pPr>
        <w:numPr>
          <w:ilvl w:val="0"/>
          <w:numId w:val="32"/>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2"/>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3"/>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33"/>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33"/>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32"/>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东部新区综合部</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3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3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34"/>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34"/>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35"/>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68" w:name="_Toc22678"/>
      <w:r>
        <w:rPr>
          <w:rFonts w:hint="eastAsia" w:ascii="宋体" w:hAnsi="宋体"/>
          <w:b/>
          <w:bCs/>
          <w:sz w:val="28"/>
          <w:szCs w:val="28"/>
        </w:rPr>
        <w:t>评标争议处理规则</w:t>
      </w:r>
      <w:bookmarkEnd w:id="16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东部新区综合部</w:t>
      </w:r>
      <w:r>
        <w:rPr>
          <w:rFonts w:hint="eastAsia" w:ascii="宋体" w:hAnsi="宋体"/>
          <w:sz w:val="28"/>
          <w:szCs w:val="28"/>
        </w:rPr>
        <w:t>书面反映。采购人或</w:t>
      </w:r>
      <w:r>
        <w:rPr>
          <w:rFonts w:hint="eastAsia" w:cs="Arial"/>
          <w:sz w:val="28"/>
          <w:szCs w:val="28"/>
        </w:rPr>
        <w:t>东部新区综合部</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69" w:name="_Toc18942"/>
      <w:r>
        <w:rPr>
          <w:rFonts w:hint="eastAsia" w:ascii="宋体" w:hAnsi="宋体"/>
          <w:b/>
          <w:bCs/>
          <w:sz w:val="28"/>
          <w:szCs w:val="28"/>
        </w:rPr>
        <w:t>评标细则及标准</w:t>
      </w:r>
      <w:bookmarkEnd w:id="169"/>
    </w:p>
    <w:p>
      <w:pPr>
        <w:numPr>
          <w:ilvl w:val="0"/>
          <w:numId w:val="36"/>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36"/>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本次综合评分的因素是：见评分标准。</w:t>
      </w:r>
    </w:p>
    <w:p>
      <w:pPr>
        <w:numPr>
          <w:ilvl w:val="0"/>
          <w:numId w:val="36"/>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pPr>
      <w:r>
        <w:rPr>
          <w:rFonts w:hint="eastAsia" w:ascii="宋体" w:hAnsi="宋体"/>
          <w:b/>
          <w:bCs/>
          <w:sz w:val="28"/>
          <w:szCs w:val="28"/>
        </w:rPr>
        <w:t xml:space="preserve">评分标准 </w:t>
      </w:r>
      <w:bookmarkStart w:id="170" w:name="_Toc315871657"/>
      <w:bookmarkEnd w:id="170"/>
      <w:bookmarkStart w:id="171" w:name="_Toc320624285"/>
      <w:bookmarkEnd w:id="171"/>
      <w:bookmarkStart w:id="172" w:name="_Toc320624240"/>
      <w:bookmarkEnd w:id="172"/>
      <w:bookmarkStart w:id="173" w:name="_Toc318206701"/>
      <w:bookmarkEnd w:id="173"/>
      <w:bookmarkStart w:id="174" w:name="_Toc315871656"/>
      <w:bookmarkEnd w:id="174"/>
      <w:bookmarkStart w:id="175" w:name="_Toc320624275"/>
      <w:bookmarkEnd w:id="175"/>
      <w:bookmarkStart w:id="176" w:name="_Toc320624290"/>
      <w:bookmarkEnd w:id="176"/>
      <w:bookmarkStart w:id="177" w:name="_Toc320624255"/>
      <w:bookmarkEnd w:id="177"/>
      <w:bookmarkStart w:id="178" w:name="_Toc320624265"/>
      <w:bookmarkEnd w:id="178"/>
      <w:bookmarkStart w:id="179" w:name="_Toc320624295"/>
      <w:bookmarkEnd w:id="179"/>
      <w:bookmarkStart w:id="180" w:name="_Toc315871725"/>
      <w:bookmarkEnd w:id="180"/>
      <w:bookmarkStart w:id="181" w:name="_Toc320624260"/>
      <w:bookmarkEnd w:id="181"/>
      <w:bookmarkStart w:id="182" w:name="_Toc320624280"/>
      <w:bookmarkEnd w:id="182"/>
      <w:bookmarkStart w:id="183" w:name="_Toc315871658"/>
      <w:bookmarkEnd w:id="183"/>
    </w:p>
    <w:tbl>
      <w:tblPr>
        <w:tblStyle w:val="43"/>
        <w:tblW w:w="8593" w:type="dxa"/>
        <w:jc w:val="center"/>
        <w:tblLayout w:type="autofit"/>
        <w:tblCellMar>
          <w:top w:w="0" w:type="dxa"/>
          <w:left w:w="0" w:type="dxa"/>
          <w:bottom w:w="0" w:type="dxa"/>
          <w:right w:w="0" w:type="dxa"/>
        </w:tblCellMar>
      </w:tblPr>
      <w:tblGrid>
        <w:gridCol w:w="1000"/>
        <w:gridCol w:w="1356"/>
        <w:gridCol w:w="5387"/>
        <w:gridCol w:w="850"/>
      </w:tblGrid>
      <w:tr>
        <w:tblPrEx>
          <w:tblCellMar>
            <w:top w:w="0" w:type="dxa"/>
            <w:left w:w="0" w:type="dxa"/>
            <w:bottom w:w="0" w:type="dxa"/>
            <w:right w:w="0" w:type="dxa"/>
          </w:tblCellMar>
        </w:tblPrEx>
        <w:trPr>
          <w:trHeight w:val="570" w:hRule="atLeast"/>
          <w:jc w:val="center"/>
        </w:trPr>
        <w:tc>
          <w:tcPr>
            <w:tcW w:w="10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评委类别</w:t>
            </w: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评审项目</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评分标准</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分值</w:t>
            </w:r>
          </w:p>
        </w:tc>
      </w:tr>
      <w:tr>
        <w:tblPrEx>
          <w:tblCellMar>
            <w:top w:w="0" w:type="dxa"/>
            <w:left w:w="0" w:type="dxa"/>
            <w:bottom w:w="0" w:type="dxa"/>
            <w:right w:w="0" w:type="dxa"/>
          </w:tblCellMar>
        </w:tblPrEx>
        <w:trPr>
          <w:trHeight w:val="2707" w:hRule="atLeast"/>
          <w:jc w:val="center"/>
        </w:trPr>
        <w:tc>
          <w:tcPr>
            <w:tcW w:w="10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评审委员会成员</w:t>
            </w: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sz w:val="24"/>
                <w:szCs w:val="24"/>
              </w:rPr>
            </w:pPr>
            <w:r>
              <w:rPr>
                <w:rFonts w:hint="eastAsia" w:ascii="宋体" w:hAnsi="宋体" w:cs="仿宋"/>
                <w:kern w:val="0"/>
                <w:sz w:val="24"/>
                <w:szCs w:val="24"/>
              </w:rPr>
              <w:t>报价</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宋体" w:hAnsi="宋体" w:cs="仿宋"/>
                <w:kern w:val="0"/>
                <w:sz w:val="24"/>
                <w:szCs w:val="24"/>
              </w:rPr>
              <w:t>1、经评标委员会评审，通过资格性和符合性审查，且投标报价最低的投标人的投标报价作为评标基准价；</w:t>
            </w:r>
            <w:r>
              <w:rPr>
                <w:rFonts w:hint="eastAsia" w:ascii="宋体" w:hAnsi="宋体" w:cs="仿宋"/>
                <w:kern w:val="0"/>
                <w:sz w:val="24"/>
                <w:szCs w:val="24"/>
              </w:rPr>
              <w:br w:type="textWrapping"/>
            </w:r>
            <w:r>
              <w:rPr>
                <w:rFonts w:ascii="宋体" w:hAnsi="宋体" w:cs="仿宋"/>
                <w:kern w:val="0"/>
                <w:sz w:val="24"/>
                <w:szCs w:val="24"/>
              </w:rPr>
              <w:t>2</w:t>
            </w:r>
            <w:r>
              <w:rPr>
                <w:rFonts w:hint="eastAsia" w:ascii="宋体" w:hAnsi="宋体" w:cs="仿宋"/>
                <w:kern w:val="0"/>
                <w:sz w:val="24"/>
                <w:szCs w:val="24"/>
              </w:rPr>
              <w:t>、投标报价得分=(评标基准价／投标报价)×</w:t>
            </w:r>
            <w:r>
              <w:rPr>
                <w:rFonts w:hint="eastAsia" w:ascii="宋体" w:hAnsi="宋体" w:cs="仿宋"/>
                <w:kern w:val="0"/>
                <w:sz w:val="24"/>
                <w:szCs w:val="24"/>
                <w:lang w:val="en-US" w:eastAsia="zh-CN"/>
              </w:rPr>
              <w:t>15</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sz w:val="24"/>
                <w:szCs w:val="24"/>
              </w:rPr>
            </w:pPr>
            <w:r>
              <w:rPr>
                <w:rFonts w:hint="eastAsia" w:ascii="宋体" w:hAnsi="宋体" w:cs="仿宋"/>
                <w:kern w:val="0"/>
                <w:sz w:val="24"/>
                <w:szCs w:val="24"/>
                <w:lang w:val="en-US" w:eastAsia="zh-CN"/>
              </w:rPr>
              <w:t>15</w:t>
            </w:r>
            <w:r>
              <w:rPr>
                <w:rFonts w:hint="eastAsia" w:ascii="宋体" w:hAnsi="宋体" w:cs="仿宋"/>
                <w:kern w:val="0"/>
                <w:sz w:val="24"/>
                <w:szCs w:val="24"/>
              </w:rPr>
              <w:t>分</w:t>
            </w:r>
          </w:p>
        </w:tc>
      </w:tr>
      <w:tr>
        <w:tblPrEx>
          <w:tblCellMar>
            <w:top w:w="0" w:type="dxa"/>
            <w:left w:w="0" w:type="dxa"/>
            <w:bottom w:w="0" w:type="dxa"/>
            <w:right w:w="0" w:type="dxa"/>
          </w:tblCellMar>
        </w:tblPrEx>
        <w:trPr>
          <w:trHeight w:val="2331" w:hRule="atLeast"/>
          <w:jc w:val="center"/>
        </w:trPr>
        <w:tc>
          <w:tcPr>
            <w:tcW w:w="1000"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b/>
                <w:sz w:val="24"/>
                <w:szCs w:val="24"/>
              </w:rPr>
            </w:pPr>
            <w:r>
              <w:rPr>
                <w:rFonts w:hint="eastAsia" w:ascii="宋体" w:hAnsi="宋体" w:cs="仿宋"/>
                <w:b/>
                <w:kern w:val="0"/>
                <w:sz w:val="24"/>
                <w:szCs w:val="24"/>
              </w:rPr>
              <w:t>评审委员会成员</w:t>
            </w: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textAlignment w:val="center"/>
              <w:rPr>
                <w:rFonts w:ascii="宋体" w:hAnsi="宋体" w:cs="仿宋"/>
                <w:sz w:val="24"/>
                <w:szCs w:val="24"/>
              </w:rPr>
            </w:pPr>
            <w:r>
              <w:rPr>
                <w:rFonts w:hint="eastAsia" w:ascii="宋体" w:hAnsi="宋体" w:cs="仿宋"/>
                <w:kern w:val="0"/>
                <w:sz w:val="24"/>
                <w:szCs w:val="24"/>
              </w:rPr>
              <w:t>业绩</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left"/>
              <w:rPr>
                <w:rFonts w:hint="eastAsia" w:ascii="宋体" w:hAnsi="宋体"/>
                <w:sz w:val="24"/>
                <w:szCs w:val="28"/>
              </w:rPr>
            </w:pPr>
            <w:r>
              <w:rPr>
                <w:rFonts w:hint="eastAsia" w:ascii="宋体" w:hAnsi="宋体"/>
                <w:sz w:val="24"/>
                <w:szCs w:val="28"/>
                <w:lang w:eastAsia="zh-CN"/>
              </w:rPr>
              <w:t>供应商</w:t>
            </w:r>
            <w:r>
              <w:rPr>
                <w:rFonts w:hint="eastAsia" w:ascii="宋体" w:hAnsi="宋体"/>
                <w:sz w:val="24"/>
                <w:szCs w:val="28"/>
              </w:rPr>
              <w:t>自2018年1月1日（含）以来具有类似物业管理项目案例的得</w:t>
            </w:r>
            <w:r>
              <w:rPr>
                <w:rFonts w:hint="eastAsia" w:ascii="宋体" w:hAnsi="宋体"/>
                <w:sz w:val="24"/>
                <w:szCs w:val="28"/>
                <w:lang w:val="en-US" w:eastAsia="zh-CN"/>
              </w:rPr>
              <w:t>5</w:t>
            </w:r>
            <w:r>
              <w:rPr>
                <w:rFonts w:hint="eastAsia" w:ascii="宋体" w:hAnsi="宋体"/>
                <w:sz w:val="24"/>
                <w:szCs w:val="28"/>
              </w:rPr>
              <w:t>分，每增加一个得2分，最多得</w:t>
            </w:r>
            <w:r>
              <w:rPr>
                <w:rFonts w:hint="eastAsia" w:ascii="宋体" w:hAnsi="宋体"/>
                <w:sz w:val="24"/>
                <w:szCs w:val="28"/>
                <w:lang w:val="en-US" w:eastAsia="zh-CN"/>
              </w:rPr>
              <w:t>9</w:t>
            </w:r>
            <w:r>
              <w:rPr>
                <w:rFonts w:hint="eastAsia" w:ascii="宋体" w:hAnsi="宋体"/>
                <w:sz w:val="24"/>
                <w:szCs w:val="28"/>
              </w:rPr>
              <w:t>分。</w:t>
            </w:r>
          </w:p>
          <w:p>
            <w:pPr>
              <w:jc w:val="left"/>
              <w:rPr>
                <w:rFonts w:ascii="宋体" w:hAnsi="宋体"/>
                <w:sz w:val="24"/>
                <w:szCs w:val="28"/>
              </w:rPr>
            </w:pPr>
            <w:r>
              <w:rPr>
                <w:rFonts w:hint="eastAsia" w:ascii="宋体" w:hAnsi="宋体"/>
                <w:sz w:val="24"/>
                <w:szCs w:val="28"/>
              </w:rPr>
              <w:t>（说明：1、服务内容以合同上所描述的内容为准，应提供服务合同复印件及资金往来证明（如为分期付款的，至少提供一次付款凭证，如由物业单位直接收取物业费的至少提供一次业主缴费证明）；2、同一项目不同服务年限的多个合同，按一个业绩计算。）</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r>
              <w:rPr>
                <w:rFonts w:hint="eastAsia" w:ascii="宋体" w:hAnsi="宋体" w:cs="仿宋"/>
                <w:kern w:val="0"/>
                <w:sz w:val="24"/>
                <w:szCs w:val="24"/>
                <w:lang w:val="en-US" w:eastAsia="zh-CN"/>
              </w:rPr>
              <w:t>9</w:t>
            </w:r>
            <w:r>
              <w:rPr>
                <w:rFonts w:hint="eastAsia" w:ascii="宋体" w:hAnsi="宋体" w:cs="仿宋"/>
                <w:kern w:val="0"/>
                <w:sz w:val="24"/>
                <w:szCs w:val="24"/>
              </w:rPr>
              <w:t>分</w:t>
            </w:r>
          </w:p>
        </w:tc>
      </w:tr>
      <w:tr>
        <w:tblPrEx>
          <w:tblCellMar>
            <w:top w:w="0" w:type="dxa"/>
            <w:left w:w="0" w:type="dxa"/>
            <w:bottom w:w="0" w:type="dxa"/>
            <w:right w:w="0" w:type="dxa"/>
          </w:tblCellMar>
        </w:tblPrEx>
        <w:trPr>
          <w:trHeight w:val="1718"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宋体" w:hAnsi="宋体" w:cs="仿宋"/>
                <w:b/>
                <w:sz w:val="24"/>
                <w:szCs w:val="24"/>
              </w:rP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extAlignment w:val="center"/>
              <w:rPr>
                <w:rFonts w:ascii="宋体" w:hAnsi="宋体" w:cs="仿宋"/>
                <w:sz w:val="24"/>
                <w:szCs w:val="24"/>
              </w:rPr>
            </w:pPr>
            <w:r>
              <w:rPr>
                <w:rFonts w:hint="eastAsia" w:ascii="宋体" w:hAnsi="宋体" w:cs="仿宋"/>
                <w:kern w:val="0"/>
                <w:sz w:val="24"/>
                <w:szCs w:val="24"/>
              </w:rPr>
              <w:t>供应商实力</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left"/>
              <w:rPr>
                <w:rFonts w:hint="eastAsia" w:ascii="宋体" w:hAnsi="宋体"/>
                <w:sz w:val="24"/>
                <w:szCs w:val="28"/>
              </w:rPr>
            </w:pPr>
            <w:r>
              <w:rPr>
                <w:rFonts w:hint="eastAsia" w:ascii="宋体" w:hAnsi="宋体"/>
                <w:sz w:val="24"/>
                <w:szCs w:val="28"/>
              </w:rPr>
              <w:t>1、供应商具有</w:t>
            </w:r>
            <w:r>
              <w:rPr>
                <w:rFonts w:hint="eastAsia" w:ascii="宋体" w:hAnsi="宋体"/>
                <w:sz w:val="24"/>
                <w:szCs w:val="28"/>
                <w:lang w:eastAsia="zh-CN"/>
              </w:rPr>
              <w:t>有效的</w:t>
            </w:r>
            <w:r>
              <w:rPr>
                <w:rFonts w:hint="eastAsia" w:ascii="宋体" w:hAnsi="宋体"/>
                <w:sz w:val="24"/>
                <w:szCs w:val="28"/>
              </w:rPr>
              <w:t>质量管理体系认证证书、环境管理体系认证证书、职业健康安全管理体系认证证书且认证范围包含物业管理服务的，每提供一个得2分，本项最高得6分。</w:t>
            </w:r>
          </w:p>
          <w:p>
            <w:pPr>
              <w:jc w:val="left"/>
              <w:rPr>
                <w:rFonts w:hint="eastAsia" w:ascii="宋体" w:hAnsi="宋体"/>
                <w:sz w:val="24"/>
                <w:szCs w:val="28"/>
              </w:rPr>
            </w:pPr>
            <w:r>
              <w:rPr>
                <w:rFonts w:hint="eastAsia" w:ascii="宋体" w:hAnsi="宋体"/>
                <w:sz w:val="24"/>
                <w:szCs w:val="28"/>
              </w:rPr>
              <w:t>2、投标人具有有效期内的社会责任管理体系认证证书，得2分。</w:t>
            </w:r>
          </w:p>
          <w:p>
            <w:pPr>
              <w:jc w:val="left"/>
              <w:rPr>
                <w:rFonts w:ascii="宋体" w:hAnsi="宋体"/>
                <w:sz w:val="24"/>
                <w:szCs w:val="28"/>
              </w:rPr>
            </w:pPr>
            <w:r>
              <w:rPr>
                <w:rFonts w:hint="eastAsia" w:ascii="宋体" w:hAnsi="宋体"/>
                <w:sz w:val="24"/>
                <w:szCs w:val="28"/>
              </w:rPr>
              <w:t>注：</w:t>
            </w:r>
            <w:r>
              <w:rPr>
                <w:rFonts w:hint="eastAsia" w:ascii="宋体" w:hAnsi="宋体"/>
                <w:sz w:val="24"/>
                <w:szCs w:val="28"/>
                <w:lang w:eastAsia="zh-CN"/>
              </w:rPr>
              <w:t>以上内容</w:t>
            </w:r>
            <w:r>
              <w:rPr>
                <w:rFonts w:hint="eastAsia" w:ascii="宋体" w:hAnsi="宋体"/>
                <w:sz w:val="24"/>
                <w:szCs w:val="28"/>
              </w:rPr>
              <w:t>提供相关证</w:t>
            </w:r>
            <w:r>
              <w:rPr>
                <w:rFonts w:hint="eastAsia" w:ascii="宋体" w:hAnsi="宋体"/>
                <w:sz w:val="24"/>
                <w:szCs w:val="28"/>
                <w:lang w:eastAsia="zh-CN"/>
              </w:rPr>
              <w:t>书</w:t>
            </w:r>
            <w:r>
              <w:rPr>
                <w:rFonts w:hint="eastAsia" w:ascii="宋体" w:hAnsi="宋体"/>
                <w:sz w:val="24"/>
                <w:szCs w:val="28"/>
              </w:rPr>
              <w:t>的复印件，复印件须加盖供应商公章。</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r>
              <w:rPr>
                <w:rFonts w:hint="eastAsia" w:ascii="宋体" w:hAnsi="宋体" w:cs="仿宋"/>
                <w:kern w:val="0"/>
                <w:sz w:val="24"/>
                <w:szCs w:val="24"/>
                <w:lang w:val="en-US" w:eastAsia="zh-CN"/>
              </w:rPr>
              <w:t>8</w:t>
            </w:r>
            <w:r>
              <w:rPr>
                <w:rFonts w:hint="eastAsia" w:ascii="宋体" w:hAnsi="宋体" w:cs="仿宋"/>
                <w:kern w:val="0"/>
                <w:sz w:val="24"/>
                <w:szCs w:val="24"/>
              </w:rPr>
              <w:t>分</w:t>
            </w:r>
          </w:p>
        </w:tc>
      </w:tr>
      <w:tr>
        <w:tblPrEx>
          <w:tblCellMar>
            <w:top w:w="0" w:type="dxa"/>
            <w:left w:w="0" w:type="dxa"/>
            <w:bottom w:w="0" w:type="dxa"/>
            <w:right w:w="0" w:type="dxa"/>
          </w:tblCellMar>
        </w:tblPrEx>
        <w:trPr>
          <w:trHeight w:val="983" w:hRule="atLeast"/>
          <w:jc w:val="center"/>
        </w:trPr>
        <w:tc>
          <w:tcPr>
            <w:tcW w:w="1000" w:type="dxa"/>
            <w:vMerge w:val="continue"/>
            <w:tcBorders>
              <w:left w:val="single" w:color="auto" w:sz="4" w:space="0"/>
              <w:bottom w:val="single" w:color="auto" w:sz="4" w:space="0"/>
              <w:right w:val="single" w:color="auto" w:sz="4" w:space="0"/>
            </w:tcBorders>
            <w:tcMar>
              <w:top w:w="15" w:type="dxa"/>
              <w:left w:w="15" w:type="dxa"/>
              <w:right w:w="15" w:type="dxa"/>
            </w:tcMar>
            <w:vAlign w:val="center"/>
          </w:tcPr>
          <w:p>
            <w:pPr>
              <w:jc w:val="cente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eastAsia="zh-CN"/>
              </w:rPr>
            </w:pPr>
            <w:r>
              <w:rPr>
                <w:rFonts w:hint="eastAsia" w:ascii="宋体" w:hAnsi="宋体" w:cs="仿宋"/>
                <w:kern w:val="0"/>
                <w:sz w:val="24"/>
                <w:szCs w:val="24"/>
                <w:lang w:eastAsia="zh-CN"/>
              </w:rPr>
              <w:t>供应商荣誉</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both"/>
              <w:rPr>
                <w:rFonts w:hint="eastAsia" w:ascii="宋体" w:hAnsi="宋体"/>
                <w:sz w:val="24"/>
                <w:szCs w:val="28"/>
              </w:rPr>
            </w:pPr>
            <w:r>
              <w:rPr>
                <w:rFonts w:hint="eastAsia" w:ascii="宋体" w:hAnsi="宋体"/>
                <w:sz w:val="24"/>
                <w:szCs w:val="28"/>
              </w:rPr>
              <w:t>投标人管理的项目经社区、街办或以上行政单位评为先进或优秀项目的，每具有一个得</w:t>
            </w:r>
            <w:r>
              <w:rPr>
                <w:rFonts w:hint="eastAsia" w:ascii="宋体" w:hAnsi="宋体"/>
                <w:sz w:val="24"/>
                <w:szCs w:val="28"/>
                <w:lang w:val="en-US" w:eastAsia="zh-CN"/>
              </w:rPr>
              <w:t>6</w:t>
            </w:r>
            <w:r>
              <w:rPr>
                <w:rFonts w:hint="eastAsia" w:ascii="宋体" w:hAnsi="宋体"/>
                <w:sz w:val="24"/>
                <w:szCs w:val="28"/>
              </w:rPr>
              <w:t>分，最多得</w:t>
            </w:r>
            <w:r>
              <w:rPr>
                <w:rFonts w:hint="eastAsia" w:ascii="宋体" w:hAnsi="宋体"/>
                <w:sz w:val="24"/>
                <w:szCs w:val="28"/>
                <w:lang w:val="en-US" w:eastAsia="zh-CN"/>
              </w:rPr>
              <w:t>12</w:t>
            </w:r>
            <w:r>
              <w:rPr>
                <w:rFonts w:hint="eastAsia" w:ascii="宋体" w:hAnsi="宋体"/>
                <w:sz w:val="24"/>
                <w:szCs w:val="28"/>
              </w:rPr>
              <w:t>分。</w:t>
            </w:r>
          </w:p>
          <w:p>
            <w:pPr>
              <w:jc w:val="both"/>
              <w:rPr>
                <w:rFonts w:hint="eastAsia" w:ascii="宋体" w:hAnsi="宋体" w:eastAsia="宋体" w:cs="仿宋"/>
                <w:kern w:val="0"/>
                <w:sz w:val="24"/>
                <w:szCs w:val="24"/>
                <w:lang w:eastAsia="zh-CN"/>
              </w:rPr>
            </w:pPr>
            <w:r>
              <w:rPr>
                <w:rFonts w:hint="eastAsia" w:ascii="宋体" w:hAnsi="宋体"/>
                <w:sz w:val="24"/>
                <w:szCs w:val="28"/>
                <w:lang w:eastAsia="zh-CN"/>
              </w:rPr>
              <w:t>注：提供相关证明文件的复印件，复印件须加盖供应商公章。</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cs="仿宋"/>
                <w:kern w:val="0"/>
                <w:sz w:val="24"/>
                <w:szCs w:val="24"/>
                <w:lang w:val="en-US" w:eastAsia="zh-CN"/>
              </w:rPr>
              <w:t>12分</w:t>
            </w:r>
          </w:p>
        </w:tc>
      </w:tr>
      <w:tr>
        <w:tblPrEx>
          <w:tblCellMar>
            <w:top w:w="0" w:type="dxa"/>
            <w:left w:w="0" w:type="dxa"/>
            <w:bottom w:w="0" w:type="dxa"/>
            <w:right w:w="0" w:type="dxa"/>
          </w:tblCellMar>
        </w:tblPrEx>
        <w:trPr>
          <w:trHeight w:val="2807"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宋体" w:hAnsi="宋体" w:cs="仿宋"/>
                <w:b/>
                <w:sz w:val="24"/>
                <w:szCs w:val="24"/>
              </w:rP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extAlignment w:val="center"/>
              <w:rPr>
                <w:rFonts w:hint="eastAsia" w:ascii="宋体" w:hAnsi="宋体" w:eastAsia="宋体" w:cs="仿宋"/>
                <w:kern w:val="0"/>
                <w:sz w:val="24"/>
                <w:szCs w:val="24"/>
                <w:lang w:eastAsia="zh-CN"/>
              </w:rPr>
            </w:pPr>
            <w:r>
              <w:rPr>
                <w:rFonts w:hint="eastAsia" w:ascii="宋体" w:hAnsi="宋体" w:cs="仿宋"/>
                <w:kern w:val="0"/>
                <w:sz w:val="24"/>
                <w:szCs w:val="24"/>
                <w:lang w:eastAsia="zh-CN"/>
              </w:rPr>
              <w:t>服务人员</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left"/>
              <w:rPr>
                <w:rFonts w:hint="eastAsia" w:ascii="宋体" w:hAnsi="宋体"/>
                <w:sz w:val="24"/>
                <w:szCs w:val="28"/>
              </w:rPr>
            </w:pPr>
            <w:r>
              <w:rPr>
                <w:rFonts w:hint="eastAsia" w:ascii="宋体" w:hAnsi="宋体"/>
                <w:sz w:val="24"/>
                <w:szCs w:val="28"/>
              </w:rPr>
              <w:t>1、拟派驻本项目的项目经理，具有专科及以上学历，同时具有</w:t>
            </w:r>
            <w:r>
              <w:rPr>
                <w:rFonts w:hint="eastAsia" w:ascii="宋体" w:hAnsi="宋体"/>
                <w:sz w:val="24"/>
                <w:szCs w:val="28"/>
                <w:lang w:eastAsia="zh-CN"/>
              </w:rPr>
              <w:t>高</w:t>
            </w:r>
            <w:r>
              <w:rPr>
                <w:rFonts w:hint="eastAsia" w:ascii="宋体" w:hAnsi="宋体"/>
                <w:sz w:val="24"/>
                <w:szCs w:val="28"/>
              </w:rPr>
              <w:t>级清洁管理师证书的得4分；</w:t>
            </w:r>
          </w:p>
          <w:p>
            <w:pPr>
              <w:jc w:val="left"/>
              <w:rPr>
                <w:rFonts w:hint="default" w:ascii="宋体" w:hAnsi="宋体" w:eastAsia="宋体"/>
                <w:sz w:val="24"/>
                <w:szCs w:val="28"/>
                <w:lang w:val="en-US" w:eastAsia="zh-CN"/>
              </w:rPr>
            </w:pPr>
            <w:r>
              <w:rPr>
                <w:rFonts w:hint="eastAsia" w:ascii="宋体" w:hAnsi="宋体"/>
                <w:sz w:val="24"/>
                <w:szCs w:val="28"/>
              </w:rPr>
              <w:t>2、拟派驻本项目的设施设备维护人员中，具有高压电工证</w:t>
            </w:r>
            <w:r>
              <w:rPr>
                <w:rFonts w:hint="eastAsia" w:ascii="宋体" w:hAnsi="宋体"/>
                <w:sz w:val="24"/>
                <w:szCs w:val="28"/>
                <w:lang w:eastAsia="zh-CN"/>
              </w:rPr>
              <w:t>或</w:t>
            </w:r>
            <w:r>
              <w:rPr>
                <w:rFonts w:hint="eastAsia" w:ascii="宋体" w:hAnsi="宋体"/>
                <w:sz w:val="24"/>
                <w:szCs w:val="28"/>
              </w:rPr>
              <w:t>中级</w:t>
            </w:r>
            <w:r>
              <w:rPr>
                <w:rFonts w:hint="eastAsia" w:ascii="宋体" w:hAnsi="宋体"/>
                <w:sz w:val="24"/>
                <w:szCs w:val="28"/>
                <w:lang w:eastAsia="zh-CN"/>
              </w:rPr>
              <w:t>及以上</w:t>
            </w:r>
            <w:r>
              <w:rPr>
                <w:rFonts w:hint="eastAsia" w:ascii="宋体" w:hAnsi="宋体"/>
                <w:sz w:val="24"/>
                <w:szCs w:val="28"/>
              </w:rPr>
              <w:t>水电工程师</w:t>
            </w:r>
            <w:r>
              <w:rPr>
                <w:rFonts w:hint="eastAsia" w:ascii="宋体" w:hAnsi="宋体"/>
                <w:sz w:val="24"/>
                <w:szCs w:val="28"/>
                <w:lang w:eastAsia="zh-CN"/>
              </w:rPr>
              <w:t>职称或</w:t>
            </w:r>
            <w:r>
              <w:rPr>
                <w:rFonts w:hint="eastAsia" w:ascii="宋体" w:hAnsi="宋体"/>
                <w:sz w:val="24"/>
                <w:szCs w:val="28"/>
              </w:rPr>
              <w:t>电梯操作证的得3分，</w:t>
            </w:r>
            <w:r>
              <w:rPr>
                <w:rFonts w:hint="eastAsia" w:ascii="宋体" w:hAnsi="宋体"/>
                <w:sz w:val="24"/>
                <w:szCs w:val="28"/>
                <w:lang w:eastAsia="zh-CN"/>
              </w:rPr>
              <w:t>最多得</w:t>
            </w:r>
            <w:r>
              <w:rPr>
                <w:rFonts w:hint="eastAsia" w:ascii="宋体" w:hAnsi="宋体"/>
                <w:sz w:val="24"/>
                <w:szCs w:val="28"/>
                <w:lang w:val="en-US" w:eastAsia="zh-CN"/>
              </w:rPr>
              <w:t>6分。</w:t>
            </w:r>
          </w:p>
          <w:p>
            <w:pPr>
              <w:jc w:val="left"/>
              <w:rPr>
                <w:rFonts w:hint="eastAsia" w:ascii="宋体" w:hAnsi="宋体"/>
                <w:sz w:val="24"/>
                <w:szCs w:val="28"/>
              </w:rPr>
            </w:pPr>
            <w:r>
              <w:rPr>
                <w:rFonts w:hint="eastAsia" w:ascii="宋体" w:hAnsi="宋体"/>
                <w:sz w:val="24"/>
                <w:szCs w:val="28"/>
              </w:rPr>
              <w:t>3、拟派驻本项目的环境维护管理人员中，具有清洁管理师中级</w:t>
            </w:r>
            <w:r>
              <w:rPr>
                <w:rFonts w:hint="eastAsia" w:ascii="宋体" w:hAnsi="宋体"/>
                <w:sz w:val="24"/>
                <w:szCs w:val="28"/>
                <w:lang w:eastAsia="zh-CN"/>
              </w:rPr>
              <w:t>或以上</w:t>
            </w:r>
            <w:r>
              <w:rPr>
                <w:rFonts w:hint="eastAsia" w:ascii="宋体" w:hAnsi="宋体"/>
                <w:sz w:val="24"/>
                <w:szCs w:val="28"/>
              </w:rPr>
              <w:t>证书的得2分。</w:t>
            </w:r>
          </w:p>
          <w:p>
            <w:pPr>
              <w:jc w:val="left"/>
              <w:rPr>
                <w:rFonts w:ascii="宋体" w:hAnsi="宋体"/>
                <w:sz w:val="24"/>
                <w:szCs w:val="28"/>
              </w:rPr>
            </w:pPr>
            <w:r>
              <w:rPr>
                <w:rFonts w:hint="eastAsia" w:ascii="宋体" w:hAnsi="宋体"/>
                <w:sz w:val="24"/>
                <w:szCs w:val="28"/>
              </w:rPr>
              <w:t>注：</w:t>
            </w:r>
            <w:r>
              <w:rPr>
                <w:rFonts w:hint="eastAsia" w:ascii="宋体" w:hAnsi="宋体"/>
                <w:sz w:val="24"/>
                <w:szCs w:val="28"/>
                <w:lang w:eastAsia="zh-CN"/>
              </w:rPr>
              <w:t>①提供证书复印件；②</w:t>
            </w:r>
            <w:r>
              <w:rPr>
                <w:rFonts w:hint="eastAsia" w:ascii="宋体" w:hAnsi="宋体"/>
                <w:sz w:val="24"/>
                <w:szCs w:val="28"/>
              </w:rPr>
              <w:t>以上人员不得重复得分，若重复按单项最高得分计取。</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r>
              <w:rPr>
                <w:rFonts w:hint="eastAsia" w:ascii="宋体" w:hAnsi="宋体" w:cs="仿宋"/>
                <w:kern w:val="0"/>
                <w:sz w:val="24"/>
                <w:szCs w:val="24"/>
                <w:lang w:val="en-US" w:eastAsia="zh-CN"/>
              </w:rPr>
              <w:t>12</w:t>
            </w:r>
            <w:r>
              <w:rPr>
                <w:rFonts w:hint="eastAsia" w:ascii="宋体" w:hAnsi="宋体" w:cs="仿宋"/>
                <w:kern w:val="0"/>
                <w:sz w:val="24"/>
                <w:szCs w:val="24"/>
              </w:rPr>
              <w:t>分</w:t>
            </w:r>
          </w:p>
        </w:tc>
      </w:tr>
      <w:tr>
        <w:tblPrEx>
          <w:tblCellMar>
            <w:top w:w="0" w:type="dxa"/>
            <w:left w:w="0" w:type="dxa"/>
            <w:bottom w:w="0" w:type="dxa"/>
            <w:right w:w="0" w:type="dxa"/>
          </w:tblCellMar>
        </w:tblPrEx>
        <w:trPr>
          <w:trHeight w:val="159" w:hRule="atLeast"/>
          <w:jc w:val="center"/>
        </w:trPr>
        <w:tc>
          <w:tcPr>
            <w:tcW w:w="1000"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仿宋"/>
                <w:b/>
                <w:sz w:val="24"/>
                <w:szCs w:val="24"/>
              </w:rPr>
            </w:pPr>
            <w:r>
              <w:rPr>
                <w:rFonts w:hint="eastAsia" w:ascii="宋体" w:hAnsi="宋体" w:cs="仿宋"/>
                <w:b/>
                <w:kern w:val="0"/>
                <w:sz w:val="24"/>
                <w:szCs w:val="24"/>
              </w:rPr>
              <w:t>技术类评委</w:t>
            </w: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extAlignment w:val="center"/>
              <w:rPr>
                <w:rFonts w:hint="eastAsia" w:ascii="宋体" w:hAnsi="宋体" w:eastAsia="宋体" w:cs="仿宋"/>
                <w:kern w:val="0"/>
                <w:sz w:val="24"/>
                <w:szCs w:val="24"/>
              </w:rPr>
            </w:pPr>
            <w:r>
              <w:rPr>
                <w:rFonts w:hint="eastAsia" w:ascii="宋体" w:hAnsi="宋体" w:eastAsia="宋体" w:cs="仿宋"/>
                <w:kern w:val="0"/>
                <w:sz w:val="24"/>
                <w:szCs w:val="24"/>
              </w:rPr>
              <w:t>综合服务方案</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left"/>
              <w:rPr>
                <w:rFonts w:ascii="宋体" w:hAnsi="宋体"/>
                <w:sz w:val="24"/>
                <w:szCs w:val="28"/>
              </w:rPr>
            </w:pPr>
            <w:r>
              <w:rPr>
                <w:rFonts w:hint="eastAsia" w:ascii="宋体" w:hAnsi="宋体"/>
                <w:sz w:val="24"/>
                <w:szCs w:val="28"/>
              </w:rPr>
              <w:t>针对本项目需求提供综合服务方案，应至少包含以下</w:t>
            </w:r>
            <w:r>
              <w:rPr>
                <w:rFonts w:hint="eastAsia" w:ascii="宋体" w:hAnsi="宋体"/>
                <w:sz w:val="24"/>
                <w:szCs w:val="28"/>
                <w:lang w:val="en-US" w:eastAsia="zh-CN"/>
              </w:rPr>
              <w:t>6</w:t>
            </w:r>
            <w:r>
              <w:rPr>
                <w:rFonts w:hint="eastAsia" w:ascii="宋体" w:hAnsi="宋体"/>
                <w:sz w:val="24"/>
                <w:szCs w:val="28"/>
              </w:rPr>
              <w:t>项内容：1、服务理念和目标；2、服务特色；3、项目重点难点分析及解决方案；4、组织架构管理方法；5、保密管理制度；6、人员配置。以上6项内容齐全且无缺陷的得12分；每有一项内容缺失的扣2分，每有一项存在缺陷（缺陷为分析内容与实际情况不符或存在偏差或过于简略或存在无关的内容或不满足要求）的扣1分，扣完为止。</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宋体" w:hAnsi="宋体" w:eastAsia="宋体"/>
                <w:sz w:val="24"/>
                <w:szCs w:val="28"/>
                <w:lang w:val="en-US" w:eastAsia="zh-CN"/>
              </w:rPr>
            </w:pPr>
            <w:r>
              <w:rPr>
                <w:rFonts w:hint="eastAsia" w:ascii="宋体" w:hAnsi="宋体"/>
                <w:sz w:val="24"/>
                <w:szCs w:val="28"/>
                <w:lang w:val="en-US" w:eastAsia="zh-CN"/>
              </w:rPr>
              <w:t>12分</w:t>
            </w:r>
          </w:p>
        </w:tc>
      </w:tr>
      <w:tr>
        <w:tblPrEx>
          <w:tblCellMar>
            <w:top w:w="0" w:type="dxa"/>
            <w:left w:w="0" w:type="dxa"/>
            <w:bottom w:w="0" w:type="dxa"/>
            <w:right w:w="0" w:type="dxa"/>
          </w:tblCellMar>
        </w:tblPrEx>
        <w:trPr>
          <w:trHeight w:val="159"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both"/>
              <w:rPr>
                <w:rFonts w:ascii="宋体" w:hAnsi="宋体"/>
                <w:sz w:val="24"/>
                <w:szCs w:val="28"/>
              </w:rPr>
            </w:pPr>
            <w:r>
              <w:rPr>
                <w:rFonts w:hint="eastAsia" w:ascii="宋体" w:hAnsi="宋体"/>
                <w:sz w:val="24"/>
                <w:szCs w:val="28"/>
              </w:rPr>
              <w:t>秩序维护方案</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both"/>
              <w:rPr>
                <w:rFonts w:ascii="宋体" w:hAnsi="宋体"/>
                <w:sz w:val="24"/>
                <w:szCs w:val="28"/>
              </w:rPr>
            </w:pPr>
            <w:r>
              <w:rPr>
                <w:rFonts w:hint="eastAsia" w:ascii="宋体" w:hAnsi="宋体"/>
                <w:sz w:val="24"/>
                <w:szCs w:val="28"/>
              </w:rPr>
              <w:t>针对本项目需求提供秩序维护方案，应至少包含以下 6 项内容：1、门卫管理；2、巡逻巡查；3、监控室值守；4、车辆停放；5、消防安全管理；6、安全事故防范、处理方案。以上6项内容齐全且无缺陷的得12分；每有一项内容缺失的扣2分，每有一项存在缺陷（缺陷为分析内容与实际情况不符或存在偏差或过于简略或存在无关的内容或不满足要求）的扣1分，扣完为止。</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r>
              <w:rPr>
                <w:rFonts w:hint="eastAsia" w:ascii="宋体" w:hAnsi="宋体"/>
                <w:sz w:val="24"/>
                <w:szCs w:val="28"/>
              </w:rPr>
              <w:t>12分</w:t>
            </w:r>
          </w:p>
        </w:tc>
      </w:tr>
      <w:tr>
        <w:tblPrEx>
          <w:tblCellMar>
            <w:top w:w="0" w:type="dxa"/>
            <w:left w:w="0" w:type="dxa"/>
            <w:bottom w:w="0" w:type="dxa"/>
            <w:right w:w="0" w:type="dxa"/>
          </w:tblCellMar>
        </w:tblPrEx>
        <w:trPr>
          <w:trHeight w:val="159"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r>
              <w:rPr>
                <w:rFonts w:hint="eastAsia" w:ascii="宋体" w:hAnsi="宋体"/>
                <w:sz w:val="24"/>
                <w:szCs w:val="28"/>
              </w:rPr>
              <w:t>环境卫生、办公系统的设施设备维护方案</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both"/>
              <w:rPr>
                <w:rFonts w:hint="eastAsia" w:ascii="宋体" w:hAnsi="宋体" w:eastAsia="宋体" w:cs="Times New Roman"/>
                <w:sz w:val="24"/>
                <w:szCs w:val="28"/>
              </w:rPr>
            </w:pPr>
            <w:r>
              <w:rPr>
                <w:rFonts w:hint="eastAsia" w:ascii="宋体" w:hAnsi="宋体" w:eastAsia="宋体" w:cs="Times New Roman"/>
                <w:sz w:val="24"/>
                <w:szCs w:val="28"/>
              </w:rPr>
              <w:t>针对本项目需求提供环境卫生、办公系统的设施设备维护方案，应至少包含以下 6 项内容：1、环境维护；2、环境防疫； 3、四害消杀；4、日常维修；5、设施设备巡查；6、设施设备维护保养。以上6项内容齐全且无缺陷的得12分；每有一项内容缺失的扣2分，每有一项存在缺陷（缺陷为分析内容与实际情况不符或存在偏差或过于简略或存在无关的内容或不满足要求）的扣1分，扣完为止。</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宋体" w:hAnsi="宋体" w:eastAsia="宋体"/>
                <w:sz w:val="24"/>
                <w:szCs w:val="28"/>
                <w:lang w:val="en-US" w:eastAsia="zh-CN"/>
              </w:rPr>
            </w:pPr>
            <w:r>
              <w:rPr>
                <w:rFonts w:hint="eastAsia" w:ascii="宋体" w:hAnsi="宋体"/>
                <w:sz w:val="24"/>
                <w:szCs w:val="28"/>
                <w:lang w:val="en-US" w:eastAsia="zh-CN"/>
              </w:rPr>
              <w:t>12分</w:t>
            </w:r>
          </w:p>
        </w:tc>
      </w:tr>
      <w:tr>
        <w:tblPrEx>
          <w:tblCellMar>
            <w:top w:w="0" w:type="dxa"/>
            <w:left w:w="0" w:type="dxa"/>
            <w:bottom w:w="0" w:type="dxa"/>
            <w:right w:w="0" w:type="dxa"/>
          </w:tblCellMar>
        </w:tblPrEx>
        <w:trPr>
          <w:trHeight w:val="159"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sz w:val="24"/>
                <w:szCs w:val="28"/>
              </w:rPr>
            </w:pPr>
          </w:p>
        </w:tc>
        <w:tc>
          <w:tcPr>
            <w:tcW w:w="135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both"/>
              <w:rPr>
                <w:rFonts w:ascii="宋体" w:hAnsi="宋体"/>
                <w:sz w:val="24"/>
                <w:szCs w:val="28"/>
              </w:rPr>
            </w:pPr>
            <w:r>
              <w:rPr>
                <w:rFonts w:hint="eastAsia" w:ascii="宋体" w:hAnsi="宋体" w:eastAsia="宋体" w:cs="Times New Roman"/>
                <w:sz w:val="24"/>
                <w:szCs w:val="28"/>
              </w:rPr>
              <w:t>应急管理方案</w:t>
            </w:r>
          </w:p>
        </w:tc>
        <w:tc>
          <w:tcPr>
            <w:tcW w:w="5387"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pPr>
              <w:jc w:val="both"/>
              <w:rPr>
                <w:rFonts w:hint="eastAsia" w:ascii="宋体" w:hAnsi="宋体" w:eastAsia="宋体" w:cs="Times New Roman"/>
                <w:sz w:val="24"/>
                <w:szCs w:val="28"/>
              </w:rPr>
            </w:pPr>
            <w:r>
              <w:rPr>
                <w:rFonts w:hint="eastAsia" w:ascii="宋体" w:hAnsi="宋体" w:eastAsia="宋体" w:cs="Times New Roman"/>
                <w:sz w:val="24"/>
                <w:szCs w:val="28"/>
              </w:rPr>
              <w:t>针对本项目需求提供应急管理方案，应至少包含以下 4 项内容：1、消防安全应急预案；2、防汛应急预案；3、治安事件应急预案；4、自然灾害应急预案。以上4项内容齐全且无缺陷的得8分；每有一项内容缺失的扣2分，每有一项存在缺陷（缺陷为分析内容与实际情况不符或存在偏差或过于简略或存在无关的内容或不满足要求）的扣1分，扣完为止。</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sz w:val="24"/>
                <w:szCs w:val="28"/>
                <w:lang w:val="en-US" w:eastAsia="zh-CN"/>
              </w:rPr>
            </w:pPr>
            <w:r>
              <w:rPr>
                <w:rFonts w:hint="eastAsia" w:ascii="宋体" w:hAnsi="宋体"/>
                <w:sz w:val="24"/>
                <w:szCs w:val="28"/>
                <w:lang w:val="en-US" w:eastAsia="zh-CN"/>
              </w:rPr>
              <w:t>8分</w:t>
            </w:r>
          </w:p>
        </w:tc>
      </w:tr>
    </w:tbl>
    <w:p>
      <w:pPr>
        <w:spacing w:line="560" w:lineRule="exact"/>
        <w:ind w:firstLine="560" w:firstLineChars="200"/>
        <w:rPr>
          <w:rFonts w:ascii="宋体" w:hAnsi="宋体"/>
          <w:sz w:val="28"/>
        </w:rPr>
      </w:pPr>
      <w:r>
        <w:rPr>
          <w:rFonts w:hint="eastAsia" w:ascii="宋体" w:hAnsi="宋体"/>
          <w:sz w:val="28"/>
        </w:rPr>
        <w:t>说明：</w:t>
      </w:r>
    </w:p>
    <w:p>
      <w:pPr>
        <w:spacing w:line="560" w:lineRule="exact"/>
        <w:ind w:firstLine="560" w:firstLineChars="200"/>
        <w:rPr>
          <w:rFonts w:ascii="宋体" w:hAnsi="宋体"/>
          <w:sz w:val="28"/>
        </w:rPr>
      </w:pPr>
      <w:r>
        <w:rPr>
          <w:rFonts w:hint="eastAsia" w:ascii="宋体" w:hAnsi="宋体"/>
          <w:sz w:val="28"/>
        </w:rPr>
        <w:t>1、评分的取值按四舍五入法，保留小数点后两位；</w:t>
      </w:r>
    </w:p>
    <w:p>
      <w:pPr>
        <w:spacing w:line="560" w:lineRule="exact"/>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84" w:name="_Toc3725"/>
      <w:r>
        <w:rPr>
          <w:rFonts w:hint="eastAsia" w:ascii="宋体" w:hAnsi="宋体"/>
          <w:b/>
          <w:bCs/>
          <w:sz w:val="28"/>
          <w:szCs w:val="28"/>
        </w:rPr>
        <w:t>废标</w:t>
      </w:r>
      <w:bookmarkEnd w:id="184"/>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37"/>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37"/>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37"/>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37"/>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37"/>
        </w:numPr>
        <w:tabs>
          <w:tab w:val="left" w:pos="1155"/>
        </w:tabs>
        <w:spacing w:line="360" w:lineRule="auto"/>
        <w:ind w:left="0" w:firstLine="525"/>
        <w:rPr>
          <w:rFonts w:ascii="宋体" w:hAnsi="宋体"/>
          <w:sz w:val="28"/>
          <w:szCs w:val="28"/>
        </w:rPr>
      </w:pPr>
      <w:r>
        <w:rPr>
          <w:rFonts w:hint="eastAsia" w:ascii="宋体" w:hAnsi="宋体"/>
          <w:sz w:val="28"/>
          <w:szCs w:val="28"/>
        </w:rPr>
        <w:t>废标后，东部新区综合部将在“四川政府采购网”和“成都市公共资源交易服务中心”网站上公告。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85" w:name="_Toc15802"/>
      <w:r>
        <w:rPr>
          <w:rFonts w:hint="eastAsia" w:ascii="宋体" w:hAnsi="宋体"/>
          <w:b/>
          <w:bCs/>
          <w:sz w:val="28"/>
          <w:szCs w:val="28"/>
        </w:rPr>
        <w:t>定标</w:t>
      </w:r>
      <w:bookmarkEnd w:id="185"/>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二、东部新区综合部在评审结束之日起2个工作日内将评审报告送采购人。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w:t>
      </w:r>
      <w:r>
        <w:rPr>
          <w:rFonts w:ascii="宋体" w:hAnsi="宋体" w:cs="Helvetica"/>
          <w:sz w:val="28"/>
          <w:szCs w:val="28"/>
        </w:rPr>
        <w:t>3</w:t>
      </w:r>
      <w:r>
        <w:rPr>
          <w:rFonts w:hint="eastAsia" w:ascii="宋体" w:hAnsi="宋体" w:cs="Helvetica"/>
          <w:sz w:val="28"/>
          <w:szCs w:val="28"/>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四、根据采购人确定的中标（成交）人，东部新区综合部在“四川政府采购网”和“成都市公共资源交易服务中心”网站上发布中标（成交）公告，同时向中标（成交）人发出中标（成交）通知书。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五、采购人、东部新区综合部不解释中标（成交）或未中标（成交）原因，不退回投标文件和其他投标资料。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6" w:name="_Toc9243"/>
      <w:r>
        <w:rPr>
          <w:rFonts w:hint="eastAsia" w:ascii="宋体" w:hAnsi="宋体"/>
          <w:b/>
          <w:bCs/>
          <w:sz w:val="28"/>
          <w:szCs w:val="28"/>
        </w:rPr>
        <w:t>评审专家在政府采购活动中承担以下义务</w:t>
      </w:r>
      <w:bookmarkEnd w:id="186"/>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遵守评审工作纪律；</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按照客观、公正、审慎的原则，根据招标文件规定的评审程序、评审方法和评审标准进行独立评审；</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不得泄露评审文件、评审情况和在评审过程中获悉的商业秘密；</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及时向财政、监察等部门举报在评审过程中受到非法干预的情况；</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配合答复处理供应商的询问、质疑和投诉等事项；</w:t>
      </w:r>
    </w:p>
    <w:p>
      <w:pPr>
        <w:pStyle w:val="152"/>
        <w:numPr>
          <w:ilvl w:val="0"/>
          <w:numId w:val="38"/>
        </w:numPr>
        <w:tabs>
          <w:tab w:val="left" w:pos="284"/>
        </w:tabs>
        <w:spacing w:line="360" w:lineRule="auto"/>
        <w:ind w:left="0" w:firstLine="420" w:firstLineChars="0"/>
        <w:jc w:val="left"/>
        <w:rPr>
          <w:sz w:val="28"/>
          <w:szCs w:val="28"/>
        </w:rPr>
      </w:pPr>
      <w:r>
        <w:rPr>
          <w:rFonts w:hint="eastAsia"/>
          <w:sz w:val="28"/>
          <w:szCs w:val="28"/>
        </w:rPr>
        <w:t>法律、法规和规章规定的其他义务。</w:t>
      </w:r>
    </w:p>
    <w:p>
      <w:pPr>
        <w:keepNext/>
        <w:keepLines/>
        <w:numPr>
          <w:ilvl w:val="1"/>
          <w:numId w:val="5"/>
        </w:numPr>
        <w:spacing w:before="240" w:line="360" w:lineRule="auto"/>
        <w:jc w:val="left"/>
        <w:outlineLvl w:val="1"/>
        <w:rPr>
          <w:rFonts w:ascii="宋体" w:hAnsi="宋体"/>
          <w:b/>
          <w:bCs/>
          <w:sz w:val="28"/>
          <w:szCs w:val="28"/>
        </w:rPr>
      </w:pPr>
      <w:bookmarkStart w:id="187" w:name="_Toc5615"/>
      <w:r>
        <w:rPr>
          <w:rFonts w:hint="eastAsia" w:ascii="宋体" w:hAnsi="宋体"/>
          <w:b/>
          <w:bCs/>
          <w:sz w:val="28"/>
          <w:szCs w:val="28"/>
        </w:rPr>
        <w:t>评审专家在政府采购活动中应当遵守以下工作纪律</w:t>
      </w:r>
      <w:bookmarkEnd w:id="187"/>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评审现场服从采购代理机构工作人员的管理，接受现场监督人员的合法监督；</w:t>
      </w:r>
    </w:p>
    <w:p>
      <w:pPr>
        <w:numPr>
          <w:ilvl w:val="0"/>
          <w:numId w:val="39"/>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遵守有关廉洁自律规定，不得私下接触供应商，不得收受供应商及有关业务单位和个人的财物或好处，不得接受采购代理机构的请托。</w:t>
      </w:r>
    </w:p>
    <w:bookmarkEnd w:id="0"/>
    <w:bookmarkEnd w:id="1"/>
    <w:bookmarkEnd w:id="2"/>
    <w:bookmarkEnd w:id="3"/>
    <w:bookmarkEnd w:id="149"/>
    <w:bookmarkEnd w:id="150"/>
    <w:p>
      <w:pPr>
        <w:widowControl/>
        <w:jc w:val="left"/>
        <w:rPr>
          <w:rFonts w:ascii="宋体" w:hAnsi="宋体"/>
          <w:b/>
          <w:bCs/>
          <w:spacing w:val="-20"/>
          <w:kern w:val="44"/>
          <w:sz w:val="32"/>
          <w:szCs w:val="32"/>
        </w:rPr>
      </w:pPr>
      <w:bookmarkStart w:id="188" w:name="_Toc8573798"/>
      <w:bookmarkStart w:id="189" w:name="_Toc34729074"/>
      <w:bookmarkStart w:id="190" w:name="_Toc217446108"/>
      <w:r>
        <w:rPr>
          <w:rFonts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91" w:name="_Toc3967"/>
      <w:r>
        <w:rPr>
          <w:rFonts w:hint="eastAsia" w:ascii="宋体" w:hAnsi="宋体"/>
          <w:b/>
          <w:bCs/>
          <w:spacing w:val="-20"/>
          <w:kern w:val="44"/>
          <w:sz w:val="32"/>
          <w:szCs w:val="32"/>
        </w:rPr>
        <w:t>拟签订的合同文本</w:t>
      </w:r>
      <w:bookmarkEnd w:id="191"/>
    </w:p>
    <w:p>
      <w:pPr>
        <w:pStyle w:val="2"/>
        <w:jc w:val="center"/>
        <w:rPr>
          <w:rFonts w:ascii="方正小标宋简体" w:eastAsia="方正小标宋简体"/>
          <w:sz w:val="36"/>
          <w:szCs w:val="36"/>
        </w:rPr>
      </w:pPr>
    </w:p>
    <w:p>
      <w:pPr>
        <w:pStyle w:val="2"/>
        <w:jc w:val="center"/>
        <w:rPr>
          <w:rFonts w:ascii="宋体" w:hAnsi="宋体"/>
          <w:b/>
          <w:bCs/>
          <w:spacing w:val="-20"/>
          <w:kern w:val="44"/>
          <w:sz w:val="32"/>
          <w:szCs w:val="32"/>
        </w:rPr>
      </w:pPr>
      <w:r>
        <w:rPr>
          <w:rFonts w:hint="eastAsia" w:ascii="宋体" w:hAnsi="宋体"/>
          <w:b/>
          <w:bCs/>
          <w:spacing w:val="-20"/>
          <w:kern w:val="44"/>
          <w:sz w:val="32"/>
          <w:szCs w:val="32"/>
        </w:rPr>
        <w:t>X</w:t>
      </w:r>
      <w:r>
        <w:rPr>
          <w:rFonts w:ascii="宋体" w:hAnsi="宋体"/>
          <w:b/>
          <w:bCs/>
          <w:spacing w:val="-20"/>
          <w:kern w:val="44"/>
          <w:sz w:val="32"/>
          <w:szCs w:val="32"/>
        </w:rPr>
        <w:t>XX</w:t>
      </w:r>
      <w:r>
        <w:rPr>
          <w:rFonts w:hint="eastAsia" w:ascii="宋体" w:hAnsi="宋体"/>
          <w:b/>
          <w:bCs/>
          <w:spacing w:val="-20"/>
          <w:kern w:val="44"/>
          <w:sz w:val="32"/>
          <w:szCs w:val="32"/>
        </w:rPr>
        <w:t>政府采购合同（服务</w:t>
      </w:r>
      <w:r>
        <w:rPr>
          <w:rFonts w:ascii="宋体" w:hAnsi="宋体"/>
          <w:b/>
          <w:bCs/>
          <w:spacing w:val="-20"/>
          <w:kern w:val="44"/>
          <w:sz w:val="32"/>
          <w:szCs w:val="32"/>
        </w:rPr>
        <w:t>类</w:t>
      </w:r>
      <w:r>
        <w:rPr>
          <w:rFonts w:hint="eastAsia" w:ascii="宋体" w:hAnsi="宋体"/>
          <w:b/>
          <w:bCs/>
          <w:spacing w:val="-20"/>
          <w:kern w:val="44"/>
          <w:sz w:val="32"/>
          <w:szCs w:val="32"/>
        </w:rPr>
        <w:t>）</w:t>
      </w:r>
    </w:p>
    <w:p/>
    <w:p/>
    <w:p>
      <w:pPr>
        <w:pStyle w:val="2"/>
        <w:ind w:firstLine="424" w:firstLineChars="177"/>
        <w:rPr>
          <w:sz w:val="24"/>
          <w:szCs w:val="32"/>
        </w:rPr>
      </w:pPr>
      <w:r>
        <w:rPr>
          <w:rFonts w:hint="eastAsia"/>
          <w:sz w:val="24"/>
          <w:szCs w:val="32"/>
        </w:rPr>
        <w:t>政府</w:t>
      </w:r>
      <w:r>
        <w:rPr>
          <w:sz w:val="24"/>
          <w:szCs w:val="32"/>
        </w:rPr>
        <w:t>采购合同编号：</w:t>
      </w:r>
      <w:r>
        <w:rPr>
          <w:rFonts w:hint="eastAsia"/>
          <w:sz w:val="24"/>
          <w:szCs w:val="32"/>
          <w:u w:val="single"/>
        </w:rPr>
        <w:t xml:space="preserve"> </w:t>
      </w:r>
      <w:r>
        <w:rPr>
          <w:sz w:val="24"/>
          <w:szCs w:val="32"/>
          <w:u w:val="single"/>
        </w:rPr>
        <w:t xml:space="preserve">               </w:t>
      </w:r>
    </w:p>
    <w:p>
      <w:pPr>
        <w:pStyle w:val="2"/>
        <w:ind w:firstLine="424" w:firstLineChars="177"/>
        <w:rPr>
          <w:sz w:val="24"/>
          <w:szCs w:val="32"/>
        </w:rPr>
      </w:pPr>
      <w:r>
        <w:rPr>
          <w:rFonts w:hint="eastAsia"/>
          <w:sz w:val="24"/>
          <w:szCs w:val="32"/>
        </w:rPr>
        <w:t>签订地点：</w:t>
      </w:r>
      <w:r>
        <w:rPr>
          <w:rFonts w:hint="eastAsia"/>
          <w:sz w:val="24"/>
          <w:szCs w:val="32"/>
          <w:u w:val="single"/>
        </w:rPr>
        <w:t xml:space="preserve"> </w:t>
      </w:r>
      <w:r>
        <w:rPr>
          <w:sz w:val="24"/>
          <w:szCs w:val="32"/>
          <w:u w:val="single"/>
        </w:rPr>
        <w:t xml:space="preserve">                       </w:t>
      </w:r>
    </w:p>
    <w:p>
      <w:pPr>
        <w:pStyle w:val="2"/>
        <w:ind w:firstLine="424" w:firstLineChars="177"/>
        <w:rPr>
          <w:sz w:val="24"/>
          <w:szCs w:val="32"/>
        </w:rPr>
      </w:pPr>
      <w:r>
        <w:rPr>
          <w:rFonts w:hint="eastAsia"/>
          <w:sz w:val="24"/>
          <w:szCs w:val="32"/>
        </w:rPr>
        <w:t>签订时间：20</w:t>
      </w: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pPr>
        <w:pStyle w:val="2"/>
        <w:ind w:firstLine="424" w:firstLineChars="177"/>
        <w:rPr>
          <w:sz w:val="24"/>
          <w:szCs w:val="32"/>
        </w:rPr>
      </w:pPr>
      <w:r>
        <w:rPr>
          <w:rFonts w:hint="eastAsia"/>
          <w:sz w:val="24"/>
          <w:szCs w:val="32"/>
        </w:rPr>
        <w:t>采购人（甲方）：</w:t>
      </w:r>
      <w:r>
        <w:rPr>
          <w:rFonts w:hint="eastAsia"/>
          <w:sz w:val="24"/>
          <w:szCs w:val="32"/>
          <w:u w:val="single"/>
        </w:rPr>
        <w:t xml:space="preserve"> </w:t>
      </w:r>
      <w:r>
        <w:rPr>
          <w:sz w:val="24"/>
          <w:szCs w:val="32"/>
          <w:u w:val="single"/>
        </w:rPr>
        <w:t xml:space="preserve">                  </w:t>
      </w:r>
      <w:r>
        <w:rPr>
          <w:rFonts w:hint="eastAsia"/>
          <w:sz w:val="24"/>
          <w:szCs w:val="32"/>
        </w:rPr>
        <w:t xml:space="preserve"> </w:t>
      </w:r>
    </w:p>
    <w:p>
      <w:pPr>
        <w:pStyle w:val="2"/>
        <w:ind w:firstLine="424" w:firstLineChars="177"/>
        <w:rPr>
          <w:sz w:val="24"/>
          <w:szCs w:val="32"/>
        </w:rPr>
      </w:pPr>
      <w:r>
        <w:rPr>
          <w:rFonts w:hint="eastAsia"/>
          <w:sz w:val="24"/>
          <w:szCs w:val="32"/>
        </w:rPr>
        <w:t>地址：</w:t>
      </w:r>
      <w:r>
        <w:rPr>
          <w:rFonts w:hint="eastAsia"/>
          <w:sz w:val="24"/>
          <w:szCs w:val="32"/>
          <w:u w:val="single"/>
        </w:rPr>
        <w:t xml:space="preserve"> </w:t>
      </w:r>
      <w:r>
        <w:rPr>
          <w:sz w:val="24"/>
          <w:szCs w:val="32"/>
          <w:u w:val="single"/>
        </w:rPr>
        <w:t xml:space="preserve">                           </w:t>
      </w:r>
    </w:p>
    <w:p>
      <w:pPr>
        <w:pStyle w:val="2"/>
        <w:ind w:firstLine="424" w:firstLineChars="177"/>
        <w:rPr>
          <w:sz w:val="24"/>
          <w:szCs w:val="32"/>
        </w:rPr>
      </w:pPr>
      <w:r>
        <w:rPr>
          <w:rFonts w:hint="eastAsia"/>
          <w:sz w:val="24"/>
          <w:szCs w:val="32"/>
        </w:rPr>
        <w:t>供应商（乙方）：</w:t>
      </w:r>
      <w:r>
        <w:rPr>
          <w:rFonts w:hint="eastAsia"/>
          <w:sz w:val="24"/>
          <w:szCs w:val="32"/>
          <w:u w:val="single"/>
        </w:rPr>
        <w:t xml:space="preserve"> </w:t>
      </w:r>
      <w:r>
        <w:rPr>
          <w:sz w:val="24"/>
          <w:szCs w:val="32"/>
          <w:u w:val="single"/>
        </w:rPr>
        <w:t xml:space="preserve">                  </w:t>
      </w:r>
      <w:r>
        <w:rPr>
          <w:rFonts w:hint="eastAsia"/>
          <w:sz w:val="24"/>
          <w:szCs w:val="32"/>
        </w:rPr>
        <w:t xml:space="preserve">    </w:t>
      </w:r>
    </w:p>
    <w:p>
      <w:pPr>
        <w:pStyle w:val="2"/>
        <w:ind w:firstLine="424" w:firstLineChars="177"/>
        <w:rPr>
          <w:sz w:val="24"/>
          <w:szCs w:val="32"/>
        </w:rPr>
      </w:pPr>
      <w:r>
        <w:rPr>
          <w:rFonts w:hint="eastAsia"/>
          <w:sz w:val="24"/>
          <w:szCs w:val="32"/>
        </w:rPr>
        <w:t>地址：</w:t>
      </w:r>
      <w:r>
        <w:rPr>
          <w:rFonts w:hint="eastAsia"/>
          <w:sz w:val="24"/>
          <w:szCs w:val="32"/>
          <w:u w:val="single"/>
        </w:rPr>
        <w:t xml:space="preserve"> </w:t>
      </w:r>
      <w:r>
        <w:rPr>
          <w:sz w:val="24"/>
          <w:szCs w:val="32"/>
          <w:u w:val="single"/>
        </w:rPr>
        <w:t xml:space="preserve">                           </w:t>
      </w:r>
    </w:p>
    <w:p>
      <w:pPr>
        <w:pStyle w:val="2"/>
        <w:spacing w:line="400" w:lineRule="exact"/>
        <w:ind w:firstLine="424" w:firstLineChars="177"/>
        <w:rPr>
          <w:sz w:val="24"/>
          <w:szCs w:val="32"/>
        </w:rPr>
      </w:pPr>
      <w:r>
        <w:rPr>
          <w:rFonts w:hint="eastAsia"/>
          <w:sz w:val="24"/>
          <w:szCs w:val="32"/>
        </w:rPr>
        <w:t>依据《中华人民共和国民法典》《中华人民共和国政府采购法》与项目行业有关的法律法规，以及X</w:t>
      </w:r>
      <w:r>
        <w:rPr>
          <w:sz w:val="24"/>
          <w:szCs w:val="32"/>
        </w:rPr>
        <w:t>XX</w:t>
      </w:r>
      <w:r>
        <w:rPr>
          <w:rFonts w:hint="eastAsia"/>
          <w:sz w:val="24"/>
          <w:szCs w:val="32"/>
        </w:rPr>
        <w:t>采购项目的《采购文件》，乙方的《投标（响应）文件》及《中标（成交）通知书》，甲乙双方同意签订本合同。具体情况及要求如下：</w:t>
      </w:r>
    </w:p>
    <w:p>
      <w:pPr>
        <w:pStyle w:val="2"/>
        <w:spacing w:line="400" w:lineRule="exact"/>
        <w:ind w:firstLine="426" w:firstLineChars="177"/>
        <w:rPr>
          <w:b/>
          <w:sz w:val="24"/>
          <w:szCs w:val="32"/>
        </w:rPr>
      </w:pPr>
      <w:r>
        <w:rPr>
          <w:rFonts w:hint="eastAsia"/>
          <w:b/>
          <w:sz w:val="24"/>
          <w:szCs w:val="32"/>
        </w:rPr>
        <w:t>一、项目概况</w:t>
      </w:r>
    </w:p>
    <w:p>
      <w:pPr>
        <w:pStyle w:val="2"/>
        <w:spacing w:line="400" w:lineRule="exact"/>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spacing w:line="400" w:lineRule="exact"/>
        <w:ind w:firstLine="426" w:firstLineChars="177"/>
        <w:rPr>
          <w:b/>
          <w:sz w:val="24"/>
          <w:szCs w:val="32"/>
        </w:rPr>
      </w:pPr>
      <w:r>
        <w:rPr>
          <w:rFonts w:hint="eastAsia"/>
          <w:b/>
          <w:sz w:val="24"/>
          <w:szCs w:val="32"/>
        </w:rPr>
        <w:t>二、服务内容及服务要求</w:t>
      </w:r>
    </w:p>
    <w:p>
      <w:pPr>
        <w:pStyle w:val="2"/>
        <w:spacing w:line="400" w:lineRule="exact"/>
        <w:ind w:firstLine="424" w:firstLineChars="177"/>
        <w:rPr>
          <w:sz w:val="24"/>
          <w:szCs w:val="32"/>
        </w:rPr>
      </w:pPr>
      <w:r>
        <w:rPr>
          <w:rFonts w:hint="eastAsia"/>
          <w:sz w:val="24"/>
          <w:szCs w:val="32"/>
        </w:rPr>
        <w:t>1.服务内容</w:t>
      </w:r>
    </w:p>
    <w:p>
      <w:pPr>
        <w:pStyle w:val="2"/>
        <w:spacing w:line="400" w:lineRule="exact"/>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spacing w:line="400" w:lineRule="exact"/>
        <w:ind w:firstLine="424" w:firstLineChars="177"/>
        <w:rPr>
          <w:sz w:val="24"/>
          <w:szCs w:val="32"/>
        </w:rPr>
      </w:pPr>
      <w:r>
        <w:rPr>
          <w:sz w:val="24"/>
          <w:szCs w:val="32"/>
        </w:rPr>
        <w:t>2</w:t>
      </w:r>
      <w:r>
        <w:rPr>
          <w:rFonts w:hint="eastAsia"/>
          <w:sz w:val="24"/>
          <w:szCs w:val="32"/>
        </w:rPr>
        <w:t>.服务要求</w:t>
      </w:r>
    </w:p>
    <w:p>
      <w:pPr>
        <w:pStyle w:val="2"/>
        <w:spacing w:line="400" w:lineRule="exact"/>
        <w:ind w:firstLine="424" w:firstLineChars="177"/>
        <w:rPr>
          <w:sz w:val="24"/>
          <w:szCs w:val="32"/>
        </w:rPr>
      </w:pPr>
      <w:r>
        <w:rPr>
          <w:rFonts w:hint="eastAsia"/>
          <w:sz w:val="24"/>
          <w:szCs w:val="32"/>
        </w:rPr>
        <w:t>X</w:t>
      </w:r>
      <w:r>
        <w:rPr>
          <w:sz w:val="24"/>
          <w:szCs w:val="32"/>
        </w:rPr>
        <w:t>XX</w:t>
      </w:r>
      <w:r>
        <w:rPr>
          <w:rFonts w:hint="eastAsia"/>
          <w:sz w:val="24"/>
          <w:szCs w:val="32"/>
        </w:rPr>
        <w:t>。</w:t>
      </w:r>
    </w:p>
    <w:p>
      <w:pPr>
        <w:ind w:firstLine="424" w:firstLineChars="177"/>
        <w:rPr>
          <w:sz w:val="24"/>
          <w:szCs w:val="32"/>
        </w:rPr>
      </w:pPr>
      <w:r>
        <w:rPr>
          <w:rFonts w:hint="eastAsia"/>
          <w:sz w:val="24"/>
          <w:szCs w:val="32"/>
        </w:rPr>
        <w:t>3.人员配置</w:t>
      </w:r>
    </w:p>
    <w:p>
      <w:pPr>
        <w:pStyle w:val="2"/>
        <w:spacing w:line="400" w:lineRule="exact"/>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4" w:firstLineChars="177"/>
        <w:rPr>
          <w:sz w:val="24"/>
          <w:szCs w:val="32"/>
        </w:rPr>
      </w:pPr>
      <w:r>
        <w:rPr>
          <w:sz w:val="24"/>
          <w:szCs w:val="32"/>
        </w:rPr>
        <w:t>4</w:t>
      </w:r>
      <w:r>
        <w:rPr>
          <w:rFonts w:hint="eastAsia"/>
          <w:sz w:val="24"/>
          <w:szCs w:val="32"/>
        </w:rPr>
        <w:t>.设施设备配置</w:t>
      </w:r>
    </w:p>
    <w:p>
      <w:pPr>
        <w:pStyle w:val="2"/>
        <w:spacing w:line="400" w:lineRule="exact"/>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4" w:firstLineChars="177"/>
        <w:rPr>
          <w:sz w:val="24"/>
          <w:szCs w:val="32"/>
        </w:rPr>
      </w:pPr>
      <w:r>
        <w:rPr>
          <w:sz w:val="24"/>
          <w:szCs w:val="32"/>
        </w:rPr>
        <w:t>5</w:t>
      </w:r>
      <w:r>
        <w:rPr>
          <w:rFonts w:hint="eastAsia"/>
          <w:sz w:val="24"/>
          <w:szCs w:val="32"/>
        </w:rPr>
        <w:t>.其他要求</w:t>
      </w:r>
    </w:p>
    <w:p>
      <w:pPr>
        <w:pStyle w:val="2"/>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6" w:firstLineChars="177"/>
        <w:rPr>
          <w:b/>
          <w:sz w:val="24"/>
          <w:szCs w:val="32"/>
        </w:rPr>
      </w:pPr>
      <w:r>
        <w:rPr>
          <w:rFonts w:hint="eastAsia"/>
          <w:b/>
          <w:sz w:val="24"/>
          <w:szCs w:val="32"/>
        </w:rPr>
        <w:t>三、合同价款、付款进度</w:t>
      </w:r>
      <w:r>
        <w:rPr>
          <w:b/>
          <w:sz w:val="24"/>
          <w:szCs w:val="32"/>
        </w:rPr>
        <w:t>和支付</w:t>
      </w:r>
      <w:r>
        <w:rPr>
          <w:rFonts w:hint="eastAsia"/>
          <w:b/>
          <w:sz w:val="24"/>
          <w:szCs w:val="32"/>
        </w:rPr>
        <w:t>方式</w:t>
      </w:r>
    </w:p>
    <w:p>
      <w:pPr>
        <w:pStyle w:val="2"/>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6" w:firstLineChars="177"/>
        <w:rPr>
          <w:b/>
          <w:sz w:val="24"/>
          <w:szCs w:val="32"/>
        </w:rPr>
      </w:pPr>
      <w:r>
        <w:rPr>
          <w:rFonts w:hint="eastAsia"/>
          <w:b/>
          <w:sz w:val="24"/>
          <w:szCs w:val="32"/>
        </w:rPr>
        <w:t>四、服务期限和</w:t>
      </w:r>
      <w:r>
        <w:rPr>
          <w:b/>
          <w:sz w:val="24"/>
          <w:szCs w:val="32"/>
        </w:rPr>
        <w:t>服务地点</w:t>
      </w:r>
    </w:p>
    <w:p>
      <w:pPr>
        <w:pStyle w:val="2"/>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6" w:firstLineChars="177"/>
        <w:rPr>
          <w:b/>
          <w:sz w:val="24"/>
          <w:szCs w:val="32"/>
        </w:rPr>
      </w:pPr>
      <w:r>
        <w:rPr>
          <w:rFonts w:hint="eastAsia"/>
          <w:b/>
          <w:sz w:val="24"/>
          <w:szCs w:val="32"/>
        </w:rPr>
        <w:t>六、履约保证金（如有）</w:t>
      </w:r>
    </w:p>
    <w:p>
      <w:pPr>
        <w:pStyle w:val="2"/>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6" w:firstLineChars="177"/>
        <w:rPr>
          <w:b/>
          <w:sz w:val="24"/>
          <w:szCs w:val="32"/>
        </w:rPr>
      </w:pPr>
      <w:r>
        <w:rPr>
          <w:rFonts w:hint="eastAsia"/>
          <w:b/>
          <w:sz w:val="24"/>
          <w:szCs w:val="32"/>
        </w:rPr>
        <w:t>七、考核（验收）标准和办法</w:t>
      </w:r>
    </w:p>
    <w:p>
      <w:pPr>
        <w:pStyle w:val="2"/>
        <w:ind w:firstLine="424" w:firstLineChars="177"/>
        <w:rPr>
          <w:sz w:val="24"/>
          <w:szCs w:val="32"/>
        </w:rPr>
      </w:pPr>
      <w:r>
        <w:rPr>
          <w:rFonts w:hint="eastAsia"/>
          <w:sz w:val="24"/>
          <w:szCs w:val="32"/>
        </w:rPr>
        <w:t>X</w:t>
      </w:r>
      <w:r>
        <w:rPr>
          <w:sz w:val="24"/>
          <w:szCs w:val="32"/>
        </w:rPr>
        <w:t>XX</w:t>
      </w:r>
      <w:r>
        <w:rPr>
          <w:rFonts w:hint="eastAsia"/>
          <w:sz w:val="24"/>
          <w:szCs w:val="32"/>
        </w:rPr>
        <w:t>。</w:t>
      </w:r>
    </w:p>
    <w:p>
      <w:pPr>
        <w:pStyle w:val="2"/>
        <w:ind w:firstLine="426" w:firstLineChars="177"/>
        <w:rPr>
          <w:b/>
          <w:sz w:val="24"/>
          <w:szCs w:val="32"/>
        </w:rPr>
      </w:pPr>
      <w:r>
        <w:rPr>
          <w:rFonts w:hint="eastAsia"/>
          <w:b/>
          <w:sz w:val="24"/>
          <w:szCs w:val="32"/>
        </w:rPr>
        <w:t>八、甲方的权利和义务</w:t>
      </w:r>
    </w:p>
    <w:p>
      <w:pPr>
        <w:pStyle w:val="2"/>
        <w:ind w:firstLine="424" w:firstLineChars="177"/>
        <w:rPr>
          <w:sz w:val="24"/>
          <w:szCs w:val="32"/>
        </w:rPr>
      </w:pPr>
      <w:r>
        <w:rPr>
          <w:rFonts w:hint="eastAsia"/>
          <w:sz w:val="24"/>
          <w:szCs w:val="32"/>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ind w:firstLine="424" w:firstLineChars="177"/>
        <w:rPr>
          <w:sz w:val="24"/>
          <w:szCs w:val="32"/>
        </w:rPr>
      </w:pPr>
      <w:r>
        <w:rPr>
          <w:rFonts w:hint="eastAsia"/>
          <w:sz w:val="24"/>
          <w:szCs w:val="32"/>
        </w:rPr>
        <w:t>2、甲方有权依据双方签订的考核办法对乙方提供的服务进行定期考评。当考评结果未达到标准时，有权依据考核办法约定对</w:t>
      </w:r>
      <w:r>
        <w:rPr>
          <w:sz w:val="24"/>
          <w:szCs w:val="32"/>
        </w:rPr>
        <w:t>乙方</w:t>
      </w:r>
      <w:r>
        <w:rPr>
          <w:rFonts w:hint="eastAsia"/>
          <w:sz w:val="24"/>
          <w:szCs w:val="32"/>
        </w:rPr>
        <w:t>X</w:t>
      </w:r>
      <w:r>
        <w:rPr>
          <w:sz w:val="24"/>
          <w:szCs w:val="32"/>
        </w:rPr>
        <w:t>XX</w:t>
      </w:r>
      <w:r>
        <w:rPr>
          <w:rFonts w:hint="eastAsia"/>
          <w:sz w:val="24"/>
          <w:szCs w:val="32"/>
        </w:rPr>
        <w:t>。</w:t>
      </w:r>
    </w:p>
    <w:p>
      <w:pPr>
        <w:pStyle w:val="2"/>
        <w:ind w:firstLine="424" w:firstLineChars="177"/>
        <w:rPr>
          <w:sz w:val="24"/>
          <w:szCs w:val="32"/>
        </w:rPr>
      </w:pPr>
      <w:r>
        <w:rPr>
          <w:rFonts w:hint="eastAsia"/>
          <w:sz w:val="24"/>
          <w:szCs w:val="32"/>
        </w:rPr>
        <w:t>3、负责检查监督乙方管理工作的实施及制度的执行情况。</w:t>
      </w:r>
    </w:p>
    <w:p>
      <w:pPr>
        <w:pStyle w:val="2"/>
        <w:ind w:firstLine="424" w:firstLineChars="177"/>
        <w:rPr>
          <w:sz w:val="24"/>
          <w:szCs w:val="32"/>
        </w:rPr>
      </w:pPr>
      <w:r>
        <w:rPr>
          <w:rFonts w:hint="eastAsia"/>
          <w:sz w:val="24"/>
          <w:szCs w:val="32"/>
        </w:rPr>
        <w:t>4、根据本合同规定，按时向乙方支付应付服务费用。</w:t>
      </w:r>
    </w:p>
    <w:p>
      <w:pPr>
        <w:pStyle w:val="2"/>
        <w:ind w:firstLine="424" w:firstLineChars="177"/>
        <w:rPr>
          <w:sz w:val="24"/>
          <w:szCs w:val="32"/>
        </w:rPr>
      </w:pPr>
      <w:r>
        <w:rPr>
          <w:rFonts w:hint="eastAsia"/>
          <w:sz w:val="24"/>
          <w:szCs w:val="32"/>
        </w:rPr>
        <w:t>5、国家法律、法规所规定由甲方承担的其它责任。</w:t>
      </w:r>
    </w:p>
    <w:p>
      <w:pPr>
        <w:ind w:firstLine="480" w:firstLineChars="200"/>
      </w:pPr>
      <w:r>
        <w:rPr>
          <w:rFonts w:hint="eastAsia"/>
          <w:sz w:val="24"/>
          <w:szCs w:val="32"/>
        </w:rPr>
        <w:t>……</w:t>
      </w:r>
    </w:p>
    <w:p>
      <w:pPr>
        <w:pStyle w:val="2"/>
        <w:ind w:firstLine="426" w:firstLineChars="177"/>
        <w:rPr>
          <w:b/>
          <w:sz w:val="24"/>
          <w:szCs w:val="32"/>
        </w:rPr>
      </w:pPr>
      <w:r>
        <w:rPr>
          <w:rFonts w:hint="eastAsia"/>
          <w:b/>
          <w:sz w:val="24"/>
          <w:szCs w:val="32"/>
        </w:rPr>
        <w:t>九、乙方的权利和义务</w:t>
      </w:r>
    </w:p>
    <w:p>
      <w:pPr>
        <w:pStyle w:val="2"/>
        <w:ind w:firstLine="424" w:firstLineChars="177"/>
        <w:rPr>
          <w:sz w:val="24"/>
          <w:szCs w:val="32"/>
        </w:rPr>
      </w:pPr>
      <w:r>
        <w:rPr>
          <w:rFonts w:hint="eastAsia"/>
          <w:sz w:val="24"/>
          <w:szCs w:val="32"/>
        </w:rPr>
        <w:t>1、对本合同规定的委托服务范围内的项目享有管理权及服务义务，乙方进场后必须与甲方签订安全生产协议书，做到安全文明作业。</w:t>
      </w:r>
    </w:p>
    <w:p>
      <w:pPr>
        <w:pStyle w:val="2"/>
        <w:ind w:firstLine="424" w:firstLineChars="177"/>
        <w:rPr>
          <w:sz w:val="24"/>
          <w:szCs w:val="32"/>
        </w:rPr>
      </w:pPr>
      <w:r>
        <w:rPr>
          <w:rFonts w:hint="eastAsia"/>
          <w:sz w:val="24"/>
          <w:szCs w:val="32"/>
        </w:rPr>
        <w:t>2、根据本合同的规定向甲方收取相关服务费用，并有权在本项目管理范围内管理及合理使用。</w:t>
      </w:r>
    </w:p>
    <w:p>
      <w:pPr>
        <w:pStyle w:val="2"/>
        <w:ind w:firstLine="424" w:firstLineChars="177"/>
        <w:rPr>
          <w:sz w:val="24"/>
          <w:szCs w:val="32"/>
        </w:rPr>
      </w:pPr>
      <w:r>
        <w:rPr>
          <w:rFonts w:hint="eastAsia"/>
          <w:sz w:val="24"/>
          <w:szCs w:val="32"/>
        </w:rPr>
        <w:t>3、及时向甲方通告本项目服务范围内有关服务的重大事项，及时配合处理投诉。</w:t>
      </w:r>
    </w:p>
    <w:p>
      <w:pPr>
        <w:pStyle w:val="2"/>
        <w:ind w:firstLine="424" w:firstLineChars="177"/>
        <w:rPr>
          <w:sz w:val="24"/>
          <w:szCs w:val="32"/>
        </w:rPr>
      </w:pPr>
      <w:r>
        <w:rPr>
          <w:rFonts w:hint="eastAsia"/>
          <w:sz w:val="24"/>
          <w:szCs w:val="32"/>
        </w:rPr>
        <w:t>4、接受项目行业管理部门及政府有关部门的指导，接受甲方的监督。</w:t>
      </w:r>
    </w:p>
    <w:p>
      <w:pPr>
        <w:pStyle w:val="2"/>
        <w:ind w:firstLine="424" w:firstLineChars="177"/>
        <w:rPr>
          <w:sz w:val="24"/>
          <w:szCs w:val="32"/>
        </w:rPr>
      </w:pPr>
      <w:r>
        <w:rPr>
          <w:rFonts w:hint="eastAsia"/>
          <w:sz w:val="24"/>
          <w:szCs w:val="32"/>
        </w:rPr>
        <w:t>5、国家法律、法规所规定由乙方承担的其它责任。</w:t>
      </w:r>
    </w:p>
    <w:p>
      <w:pPr>
        <w:pStyle w:val="2"/>
        <w:ind w:firstLine="424" w:firstLineChars="177"/>
        <w:rPr>
          <w:sz w:val="24"/>
          <w:szCs w:val="32"/>
        </w:rPr>
      </w:pPr>
      <w:r>
        <w:rPr>
          <w:rFonts w:hint="eastAsia"/>
          <w:sz w:val="24"/>
          <w:szCs w:val="32"/>
        </w:rPr>
        <w:t>……</w:t>
      </w:r>
    </w:p>
    <w:p>
      <w:pPr>
        <w:pStyle w:val="2"/>
        <w:ind w:firstLine="426" w:firstLineChars="177"/>
        <w:rPr>
          <w:b/>
          <w:sz w:val="24"/>
          <w:szCs w:val="32"/>
        </w:rPr>
      </w:pPr>
      <w:r>
        <w:rPr>
          <w:rFonts w:hint="eastAsia"/>
          <w:b/>
          <w:sz w:val="24"/>
          <w:szCs w:val="32"/>
        </w:rPr>
        <w:t>十、违约责任</w:t>
      </w:r>
    </w:p>
    <w:p>
      <w:pPr>
        <w:pStyle w:val="2"/>
        <w:ind w:firstLine="424" w:firstLineChars="177"/>
        <w:rPr>
          <w:sz w:val="24"/>
          <w:szCs w:val="32"/>
        </w:rPr>
      </w:pPr>
      <w:r>
        <w:rPr>
          <w:sz w:val="24"/>
          <w:szCs w:val="32"/>
        </w:rPr>
        <w:t>1</w:t>
      </w:r>
      <w:r>
        <w:rPr>
          <w:rFonts w:hint="eastAsia"/>
          <w:sz w:val="24"/>
          <w:szCs w:val="32"/>
        </w:rPr>
        <w:t>、若甲方未按照合同约定逾期向乙方支付服务费用，每逾期一天，按应支付金额的</w:t>
      </w:r>
      <w:r>
        <w:rPr>
          <w:sz w:val="24"/>
          <w:szCs w:val="32"/>
        </w:rPr>
        <w:t>X</w:t>
      </w:r>
      <w:r>
        <w:rPr>
          <w:rFonts w:hint="eastAsia"/>
          <w:sz w:val="24"/>
          <w:szCs w:val="32"/>
        </w:rPr>
        <w:t>‰作为违约金支付给乙方，直至实际支付之日。</w:t>
      </w:r>
    </w:p>
    <w:p>
      <w:pPr>
        <w:pStyle w:val="2"/>
        <w:ind w:firstLine="424" w:firstLineChars="177"/>
        <w:rPr>
          <w:sz w:val="24"/>
          <w:szCs w:val="32"/>
        </w:rPr>
      </w:pPr>
      <w:r>
        <w:rPr>
          <w:sz w:val="24"/>
          <w:szCs w:val="32"/>
        </w:rPr>
        <w:t>2</w:t>
      </w:r>
      <w:r>
        <w:rPr>
          <w:rFonts w:hint="eastAsia"/>
          <w:sz w:val="24"/>
          <w:szCs w:val="32"/>
        </w:rPr>
        <w:t>、因甲方原因导致变更、中止或者终止政府采购合同的，应对乙方</w:t>
      </w:r>
      <w:r>
        <w:rPr>
          <w:sz w:val="24"/>
          <w:szCs w:val="32"/>
        </w:rPr>
        <w:t>受到的损失</w:t>
      </w:r>
      <w:r>
        <w:rPr>
          <w:rFonts w:hint="eastAsia"/>
          <w:sz w:val="24"/>
          <w:szCs w:val="32"/>
        </w:rPr>
        <w:t>予以赔偿或者补偿。</w:t>
      </w:r>
    </w:p>
    <w:p>
      <w:pPr>
        <w:ind w:firstLine="480" w:firstLineChars="200"/>
      </w:pPr>
      <w:r>
        <w:rPr>
          <w:rFonts w:hint="eastAsia"/>
          <w:sz w:val="24"/>
          <w:szCs w:val="32"/>
        </w:rPr>
        <w:t>……</w:t>
      </w:r>
    </w:p>
    <w:p>
      <w:pPr>
        <w:pStyle w:val="2"/>
        <w:ind w:firstLine="426" w:firstLineChars="177"/>
        <w:rPr>
          <w:b/>
          <w:sz w:val="24"/>
          <w:szCs w:val="32"/>
        </w:rPr>
      </w:pPr>
      <w:r>
        <w:rPr>
          <w:rFonts w:hint="eastAsia"/>
          <w:b/>
          <w:sz w:val="24"/>
          <w:szCs w:val="32"/>
        </w:rPr>
        <w:t>十一、不可抗事件处理</w:t>
      </w:r>
    </w:p>
    <w:p>
      <w:pPr>
        <w:pStyle w:val="2"/>
        <w:ind w:firstLine="424" w:firstLineChars="177"/>
        <w:rPr>
          <w:sz w:val="24"/>
          <w:szCs w:val="32"/>
        </w:rPr>
      </w:pPr>
      <w:r>
        <w:rPr>
          <w:rFonts w:hint="eastAsia"/>
          <w:sz w:val="24"/>
          <w:szCs w:val="32"/>
        </w:rPr>
        <w:t>1、在合同有效期内，任何一方因不可抗事件导致不能履行合同，则合同履行期可延长，其延长期与不可抗影响期相同。</w:t>
      </w:r>
    </w:p>
    <w:p>
      <w:pPr>
        <w:pStyle w:val="2"/>
        <w:ind w:firstLine="424" w:firstLineChars="177"/>
        <w:rPr>
          <w:sz w:val="24"/>
          <w:szCs w:val="32"/>
        </w:rPr>
      </w:pPr>
      <w:r>
        <w:rPr>
          <w:rFonts w:hint="eastAsia"/>
          <w:sz w:val="24"/>
          <w:szCs w:val="32"/>
        </w:rPr>
        <w:t>2、受阻一方应在不可抗事件发生后尽快用电话通知对方并于事故发生后</w:t>
      </w:r>
      <w:r>
        <w:rPr>
          <w:sz w:val="24"/>
          <w:szCs w:val="32"/>
        </w:rPr>
        <w:t>XX</w:t>
      </w:r>
      <w:r>
        <w:rPr>
          <w:rFonts w:hint="eastAsia"/>
          <w:sz w:val="24"/>
          <w:szCs w:val="32"/>
        </w:rPr>
        <w:t>天内将有关部门出具的证明文件等用特快专递或挂号信寄给对方审阅确认。</w:t>
      </w:r>
    </w:p>
    <w:p>
      <w:pPr>
        <w:pStyle w:val="2"/>
        <w:ind w:firstLine="424" w:firstLineChars="177"/>
        <w:rPr>
          <w:sz w:val="24"/>
          <w:szCs w:val="32"/>
        </w:rPr>
      </w:pPr>
      <w:r>
        <w:rPr>
          <w:rFonts w:hint="eastAsia"/>
          <w:sz w:val="24"/>
          <w:szCs w:val="32"/>
        </w:rPr>
        <w:t>3、不可抗事件延续XX天以上，双方应通过友好协商，确定是否继续履行合同。</w:t>
      </w:r>
    </w:p>
    <w:p>
      <w:pPr>
        <w:pStyle w:val="2"/>
        <w:ind w:firstLine="426" w:firstLineChars="177"/>
        <w:rPr>
          <w:b/>
          <w:sz w:val="24"/>
          <w:szCs w:val="32"/>
        </w:rPr>
      </w:pPr>
      <w:r>
        <w:rPr>
          <w:rFonts w:hint="eastAsia"/>
          <w:b/>
          <w:sz w:val="24"/>
          <w:szCs w:val="32"/>
        </w:rPr>
        <w:t>十二、解决合同纠纷的方式</w:t>
      </w:r>
    </w:p>
    <w:p>
      <w:pPr>
        <w:pStyle w:val="2"/>
        <w:ind w:firstLine="424" w:firstLineChars="177"/>
        <w:rPr>
          <w:sz w:val="24"/>
          <w:szCs w:val="32"/>
        </w:rPr>
      </w:pPr>
      <w:r>
        <w:rPr>
          <w:sz w:val="24"/>
          <w:szCs w:val="32"/>
        </w:rPr>
        <w:t>XXX</w:t>
      </w:r>
      <w:r>
        <w:rPr>
          <w:rFonts w:hint="eastAsia"/>
          <w:sz w:val="24"/>
          <w:szCs w:val="32"/>
        </w:rPr>
        <w:t xml:space="preserve">。  </w:t>
      </w:r>
    </w:p>
    <w:p>
      <w:pPr>
        <w:pStyle w:val="2"/>
        <w:ind w:firstLine="426" w:firstLineChars="177"/>
        <w:rPr>
          <w:b/>
          <w:sz w:val="24"/>
          <w:szCs w:val="32"/>
        </w:rPr>
      </w:pPr>
      <w:r>
        <w:rPr>
          <w:rFonts w:hint="eastAsia"/>
          <w:b/>
          <w:sz w:val="24"/>
          <w:szCs w:val="32"/>
        </w:rPr>
        <w:t>十三、合同生效及其他</w:t>
      </w:r>
    </w:p>
    <w:p>
      <w:pPr>
        <w:pStyle w:val="2"/>
        <w:ind w:firstLine="424" w:firstLineChars="177"/>
        <w:rPr>
          <w:sz w:val="24"/>
          <w:szCs w:val="32"/>
        </w:rPr>
      </w:pPr>
      <w:r>
        <w:rPr>
          <w:rFonts w:hint="eastAsia"/>
          <w:sz w:val="24"/>
          <w:szCs w:val="32"/>
        </w:rPr>
        <w:t>1、合同经双方法定代表人或授权委托代理人签字并加盖公章后生效。</w:t>
      </w:r>
    </w:p>
    <w:p>
      <w:pPr>
        <w:pStyle w:val="2"/>
        <w:ind w:firstLine="424" w:firstLineChars="177"/>
        <w:rPr>
          <w:sz w:val="24"/>
          <w:szCs w:val="32"/>
        </w:rPr>
      </w:pPr>
      <w:r>
        <w:rPr>
          <w:rFonts w:hint="eastAsia"/>
          <w:sz w:val="24"/>
          <w:szCs w:val="32"/>
        </w:rPr>
        <w:t>2、</w:t>
      </w:r>
      <w:r>
        <w:rPr>
          <w:sz w:val="24"/>
          <w:szCs w:val="32"/>
        </w:rPr>
        <w:t>政府采购合同履行中，</w:t>
      </w:r>
      <w:r>
        <w:rPr>
          <w:rFonts w:hint="eastAsia"/>
          <w:sz w:val="24"/>
          <w:szCs w:val="32"/>
        </w:rPr>
        <w:t>甲方</w:t>
      </w:r>
      <w:r>
        <w:rPr>
          <w:sz w:val="24"/>
          <w:szCs w:val="32"/>
        </w:rPr>
        <w:t>需追加与合同标的相同的服务的，在不改变合同其他条款的前提下，可以与</w:t>
      </w:r>
      <w:r>
        <w:rPr>
          <w:rFonts w:hint="eastAsia"/>
          <w:sz w:val="24"/>
          <w:szCs w:val="32"/>
        </w:rPr>
        <w:t>乙方</w:t>
      </w:r>
      <w:r>
        <w:rPr>
          <w:sz w:val="24"/>
          <w:szCs w:val="32"/>
        </w:rPr>
        <w:t>协商签订补充合同，但所有补充合同的采购金额不得超过原合同采购金额的百分之十。</w:t>
      </w:r>
      <w:r>
        <w:rPr>
          <w:rFonts w:hint="eastAsia"/>
          <w:sz w:val="24"/>
          <w:szCs w:val="32"/>
        </w:rPr>
        <w:t>补充协议签订</w:t>
      </w:r>
      <w:r>
        <w:rPr>
          <w:sz w:val="24"/>
          <w:szCs w:val="32"/>
        </w:rPr>
        <w:t>后，</w:t>
      </w:r>
      <w:r>
        <w:rPr>
          <w:rFonts w:hint="eastAsia"/>
          <w:sz w:val="24"/>
          <w:szCs w:val="32"/>
        </w:rPr>
        <w:t>报政府采购监督管理部门备案，方可作为主合同不可分割的一部分。</w:t>
      </w:r>
    </w:p>
    <w:p>
      <w:pPr>
        <w:pStyle w:val="2"/>
        <w:ind w:firstLine="424" w:firstLineChars="177"/>
        <w:rPr>
          <w:sz w:val="24"/>
          <w:szCs w:val="32"/>
        </w:rPr>
      </w:pPr>
      <w:r>
        <w:rPr>
          <w:rFonts w:hint="eastAsia"/>
          <w:sz w:val="24"/>
          <w:szCs w:val="32"/>
        </w:rPr>
        <w:t>3、本合同一式XX份，自双方签章之日起生效。甲方持有XX份，乙方持有XX份，同级财政部门备案XX份，具有同等法律效力。</w:t>
      </w:r>
    </w:p>
    <w:p>
      <w:pPr>
        <w:pStyle w:val="2"/>
        <w:ind w:firstLine="424" w:firstLineChars="177"/>
        <w:rPr>
          <w:sz w:val="24"/>
          <w:szCs w:val="32"/>
        </w:rPr>
      </w:pPr>
    </w:p>
    <w:p>
      <w:pPr>
        <w:pStyle w:val="2"/>
        <w:ind w:firstLine="424" w:firstLineChars="177"/>
        <w:rPr>
          <w:sz w:val="24"/>
          <w:szCs w:val="32"/>
        </w:rPr>
      </w:pPr>
    </w:p>
    <w:p>
      <w:pPr>
        <w:pStyle w:val="2"/>
        <w:ind w:firstLine="424" w:firstLineChars="177"/>
        <w:rPr>
          <w:sz w:val="24"/>
          <w:szCs w:val="32"/>
        </w:rPr>
      </w:pPr>
      <w:r>
        <w:rPr>
          <w:rFonts w:hint="eastAsia"/>
          <w:sz w:val="24"/>
          <w:szCs w:val="32"/>
        </w:rPr>
        <w:t>甲方：   （盖章）</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乙方：   （盖章）</w:t>
      </w:r>
    </w:p>
    <w:p>
      <w:pPr>
        <w:pStyle w:val="2"/>
        <w:ind w:firstLine="424" w:firstLineChars="177"/>
        <w:rPr>
          <w:sz w:val="24"/>
          <w:szCs w:val="32"/>
        </w:rPr>
      </w:pPr>
      <w:r>
        <w:rPr>
          <w:rFonts w:hint="eastAsia"/>
          <w:sz w:val="24"/>
          <w:szCs w:val="32"/>
        </w:rPr>
        <w:t>法定代表人（授权代表）：</w:t>
      </w:r>
      <w:r>
        <w:rPr>
          <w:rFonts w:hint="eastAsia"/>
          <w:sz w:val="24"/>
          <w:szCs w:val="32"/>
        </w:rPr>
        <w:tab/>
      </w:r>
      <w:r>
        <w:rPr>
          <w:rFonts w:hint="eastAsia"/>
          <w:sz w:val="24"/>
          <w:szCs w:val="32"/>
        </w:rPr>
        <w:t xml:space="preserve">   </w:t>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法定代表人（授权代表）：</w:t>
      </w:r>
    </w:p>
    <w:p>
      <w:pPr>
        <w:pStyle w:val="2"/>
        <w:ind w:firstLine="424" w:firstLineChars="177"/>
        <w:rPr>
          <w:sz w:val="24"/>
          <w:szCs w:val="32"/>
        </w:rPr>
      </w:pPr>
      <w:r>
        <w:rPr>
          <w:rFonts w:hint="eastAsia"/>
          <w:sz w:val="24"/>
          <w:szCs w:val="32"/>
        </w:rPr>
        <w:t>地  址：</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地  址：</w:t>
      </w:r>
    </w:p>
    <w:p>
      <w:pPr>
        <w:pStyle w:val="2"/>
        <w:ind w:firstLine="424" w:firstLineChars="177"/>
        <w:rPr>
          <w:sz w:val="24"/>
          <w:szCs w:val="32"/>
        </w:rPr>
      </w:pPr>
      <w:r>
        <w:rPr>
          <w:rFonts w:hint="eastAsia"/>
          <w:sz w:val="24"/>
          <w:szCs w:val="32"/>
        </w:rPr>
        <w:t>开户银行：</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开户银行：</w:t>
      </w:r>
    </w:p>
    <w:p>
      <w:pPr>
        <w:pStyle w:val="2"/>
        <w:ind w:firstLine="424" w:firstLineChars="177"/>
        <w:rPr>
          <w:sz w:val="24"/>
          <w:szCs w:val="32"/>
        </w:rPr>
      </w:pPr>
      <w:r>
        <w:rPr>
          <w:rFonts w:hint="eastAsia"/>
          <w:sz w:val="24"/>
          <w:szCs w:val="32"/>
        </w:rPr>
        <w:t>账号：</w:t>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w:t>
      </w:r>
      <w:r>
        <w:rPr>
          <w:sz w:val="24"/>
          <w:szCs w:val="32"/>
        </w:rPr>
        <w:t xml:space="preserve">  </w:t>
      </w:r>
      <w:r>
        <w:rPr>
          <w:rFonts w:hint="eastAsia"/>
          <w:sz w:val="24"/>
          <w:szCs w:val="32"/>
        </w:rPr>
        <w:t>账号：</w:t>
      </w:r>
    </w:p>
    <w:p>
      <w:pPr>
        <w:pStyle w:val="2"/>
        <w:ind w:firstLine="424" w:firstLineChars="177"/>
        <w:rPr>
          <w:sz w:val="24"/>
          <w:szCs w:val="32"/>
        </w:rPr>
      </w:pPr>
      <w:r>
        <w:rPr>
          <w:rFonts w:hint="eastAsia"/>
          <w:sz w:val="24"/>
          <w:szCs w:val="32"/>
        </w:rPr>
        <w:t>签订日期： 年  月  日</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 xml:space="preserve">       签订日期：年 月 日</w:t>
      </w:r>
    </w:p>
    <w:p/>
    <w:p>
      <w:pPr>
        <w:pStyle w:val="2"/>
      </w:pPr>
    </w:p>
    <w:p>
      <w:pPr>
        <w:pStyle w:val="2"/>
      </w:pPr>
    </w:p>
    <w:p>
      <w:pPr>
        <w:pStyle w:val="2"/>
      </w:pPr>
    </w:p>
    <w:p>
      <w:pPr>
        <w:pStyle w:val="2"/>
      </w:pPr>
    </w:p>
    <w:p>
      <w:pPr>
        <w:pStyle w:val="2"/>
      </w:pPr>
    </w:p>
    <w:p>
      <w:pPr>
        <w:pStyle w:val="2"/>
      </w:pPr>
    </w:p>
    <w:p>
      <w:pPr>
        <w:pStyle w:val="2"/>
      </w:pPr>
    </w:p>
    <w:p>
      <w:pPr>
        <w:pStyle w:val="2"/>
      </w:pPr>
    </w:p>
    <w:bookmarkEnd w:id="188"/>
    <w:bookmarkEnd w:id="189"/>
    <w:bookmarkEnd w:id="190"/>
    <w:p>
      <w:pPr>
        <w:widowControl/>
        <w:jc w:val="left"/>
        <w:rPr>
          <w:rFonts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altName w:val="Arial Unicode MS"/>
    <w:panose1 w:val="00000000000000000000"/>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方正小标宋简体">
    <w:altName w:val="Arial Unicode MS"/>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27"/>
          <w:jc w:val="center"/>
        </w:pPr>
        <w:r>
          <w:fldChar w:fldCharType="begin"/>
        </w:r>
        <w:r>
          <w:instrText xml:space="preserve">PAGE   \* MERGEFORMAT</w:instrText>
        </w:r>
        <w:r>
          <w:fldChar w:fldCharType="separate"/>
        </w:r>
        <w:r>
          <w:rPr>
            <w:lang w:val="zh-CN"/>
          </w:rPr>
          <w:t>38</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3">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4">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5">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7">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C5917C3"/>
    <w:multiLevelType w:val="multilevel"/>
    <w:tmpl w:val="2C5917C3"/>
    <w:lvl w:ilvl="0" w:tentative="0">
      <w:start w:val="1"/>
      <w:numFmt w:val="none"/>
      <w:pStyle w:val="15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3">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24">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638064AA"/>
    <w:multiLevelType w:val="multilevel"/>
    <w:tmpl w:val="638064AA"/>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36">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1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108D6"/>
    <w:rsid w:val="00110A0B"/>
    <w:rsid w:val="00122F99"/>
    <w:rsid w:val="001346A7"/>
    <w:rsid w:val="00152860"/>
    <w:rsid w:val="001565CC"/>
    <w:rsid w:val="00161402"/>
    <w:rsid w:val="0016758C"/>
    <w:rsid w:val="00167755"/>
    <w:rsid w:val="00167B1D"/>
    <w:rsid w:val="0017400D"/>
    <w:rsid w:val="00175BA2"/>
    <w:rsid w:val="00183360"/>
    <w:rsid w:val="00187861"/>
    <w:rsid w:val="0019367D"/>
    <w:rsid w:val="001968B4"/>
    <w:rsid w:val="001A18E5"/>
    <w:rsid w:val="001B1D79"/>
    <w:rsid w:val="001B7C8D"/>
    <w:rsid w:val="001C02C9"/>
    <w:rsid w:val="001C5E7E"/>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5928"/>
    <w:rsid w:val="00262433"/>
    <w:rsid w:val="00265BDE"/>
    <w:rsid w:val="00277F16"/>
    <w:rsid w:val="00280E6A"/>
    <w:rsid w:val="00295F97"/>
    <w:rsid w:val="0029697C"/>
    <w:rsid w:val="002A261C"/>
    <w:rsid w:val="002A3A1C"/>
    <w:rsid w:val="002B1434"/>
    <w:rsid w:val="002B2023"/>
    <w:rsid w:val="002C764F"/>
    <w:rsid w:val="002D11D5"/>
    <w:rsid w:val="002E123D"/>
    <w:rsid w:val="002E236A"/>
    <w:rsid w:val="002E4801"/>
    <w:rsid w:val="002F4342"/>
    <w:rsid w:val="002F6F67"/>
    <w:rsid w:val="0030035A"/>
    <w:rsid w:val="00300CA1"/>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46B9"/>
    <w:rsid w:val="00370D4D"/>
    <w:rsid w:val="003710A5"/>
    <w:rsid w:val="00371B12"/>
    <w:rsid w:val="00372ECF"/>
    <w:rsid w:val="00374619"/>
    <w:rsid w:val="00383D6E"/>
    <w:rsid w:val="00385E5F"/>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3F6487"/>
    <w:rsid w:val="004013FD"/>
    <w:rsid w:val="004022F4"/>
    <w:rsid w:val="00402344"/>
    <w:rsid w:val="00404442"/>
    <w:rsid w:val="004051C9"/>
    <w:rsid w:val="00411516"/>
    <w:rsid w:val="0041221B"/>
    <w:rsid w:val="004134AF"/>
    <w:rsid w:val="004238EB"/>
    <w:rsid w:val="004273F2"/>
    <w:rsid w:val="00430BFF"/>
    <w:rsid w:val="004311E9"/>
    <w:rsid w:val="00431A3C"/>
    <w:rsid w:val="004357C7"/>
    <w:rsid w:val="0043700B"/>
    <w:rsid w:val="00437836"/>
    <w:rsid w:val="00437E6C"/>
    <w:rsid w:val="0044346E"/>
    <w:rsid w:val="00445184"/>
    <w:rsid w:val="00445E0E"/>
    <w:rsid w:val="00446126"/>
    <w:rsid w:val="00447C57"/>
    <w:rsid w:val="004517C9"/>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3936"/>
    <w:rsid w:val="00504133"/>
    <w:rsid w:val="00510FC6"/>
    <w:rsid w:val="0052113C"/>
    <w:rsid w:val="00523994"/>
    <w:rsid w:val="00531A79"/>
    <w:rsid w:val="00531B44"/>
    <w:rsid w:val="005430FD"/>
    <w:rsid w:val="005446FD"/>
    <w:rsid w:val="005538C1"/>
    <w:rsid w:val="00556F88"/>
    <w:rsid w:val="005570C1"/>
    <w:rsid w:val="0056027F"/>
    <w:rsid w:val="00564730"/>
    <w:rsid w:val="00564FA0"/>
    <w:rsid w:val="00567D64"/>
    <w:rsid w:val="0057517B"/>
    <w:rsid w:val="00576EE9"/>
    <w:rsid w:val="0057742C"/>
    <w:rsid w:val="005776CC"/>
    <w:rsid w:val="00582B28"/>
    <w:rsid w:val="005830E8"/>
    <w:rsid w:val="0059336C"/>
    <w:rsid w:val="005975EC"/>
    <w:rsid w:val="005A0484"/>
    <w:rsid w:val="005A5831"/>
    <w:rsid w:val="005B41FA"/>
    <w:rsid w:val="005C2589"/>
    <w:rsid w:val="005C3C4F"/>
    <w:rsid w:val="005D055B"/>
    <w:rsid w:val="005D6B69"/>
    <w:rsid w:val="005D7B75"/>
    <w:rsid w:val="005E1230"/>
    <w:rsid w:val="005E123D"/>
    <w:rsid w:val="005E269C"/>
    <w:rsid w:val="005E35EF"/>
    <w:rsid w:val="005E43E2"/>
    <w:rsid w:val="005E599B"/>
    <w:rsid w:val="005F676E"/>
    <w:rsid w:val="005F7685"/>
    <w:rsid w:val="00600377"/>
    <w:rsid w:val="00607F95"/>
    <w:rsid w:val="00611A72"/>
    <w:rsid w:val="00614AFD"/>
    <w:rsid w:val="00624151"/>
    <w:rsid w:val="0063097C"/>
    <w:rsid w:val="0063107A"/>
    <w:rsid w:val="00633F88"/>
    <w:rsid w:val="00634B5C"/>
    <w:rsid w:val="006435DE"/>
    <w:rsid w:val="00645B37"/>
    <w:rsid w:val="00673C2B"/>
    <w:rsid w:val="006766EC"/>
    <w:rsid w:val="0067729F"/>
    <w:rsid w:val="0068036F"/>
    <w:rsid w:val="006970C0"/>
    <w:rsid w:val="006A5E19"/>
    <w:rsid w:val="006B4FC1"/>
    <w:rsid w:val="006B54C4"/>
    <w:rsid w:val="006B7421"/>
    <w:rsid w:val="006C10D5"/>
    <w:rsid w:val="006C1FB4"/>
    <w:rsid w:val="006C3900"/>
    <w:rsid w:val="006C4CE8"/>
    <w:rsid w:val="006C7335"/>
    <w:rsid w:val="006D3124"/>
    <w:rsid w:val="006D4AEC"/>
    <w:rsid w:val="006D595F"/>
    <w:rsid w:val="006E50A2"/>
    <w:rsid w:val="006E6231"/>
    <w:rsid w:val="006F320A"/>
    <w:rsid w:val="006F4B1C"/>
    <w:rsid w:val="007106A3"/>
    <w:rsid w:val="00713541"/>
    <w:rsid w:val="00715A71"/>
    <w:rsid w:val="00720519"/>
    <w:rsid w:val="00730B24"/>
    <w:rsid w:val="00733724"/>
    <w:rsid w:val="0073414A"/>
    <w:rsid w:val="007345B7"/>
    <w:rsid w:val="0073713B"/>
    <w:rsid w:val="007407F8"/>
    <w:rsid w:val="00743020"/>
    <w:rsid w:val="00744EFD"/>
    <w:rsid w:val="00744F10"/>
    <w:rsid w:val="00750983"/>
    <w:rsid w:val="00756241"/>
    <w:rsid w:val="00760560"/>
    <w:rsid w:val="00761A8D"/>
    <w:rsid w:val="0076602A"/>
    <w:rsid w:val="007754EF"/>
    <w:rsid w:val="00780DA1"/>
    <w:rsid w:val="00780DA4"/>
    <w:rsid w:val="00783D0C"/>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95"/>
    <w:rsid w:val="00804D91"/>
    <w:rsid w:val="00812794"/>
    <w:rsid w:val="0081441A"/>
    <w:rsid w:val="0082347A"/>
    <w:rsid w:val="00823DE8"/>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25E2"/>
    <w:rsid w:val="008B2E66"/>
    <w:rsid w:val="008B3FCC"/>
    <w:rsid w:val="008C7C54"/>
    <w:rsid w:val="008D4D2E"/>
    <w:rsid w:val="008D64BC"/>
    <w:rsid w:val="008E687B"/>
    <w:rsid w:val="008F40CC"/>
    <w:rsid w:val="008F4D64"/>
    <w:rsid w:val="008F77CB"/>
    <w:rsid w:val="00904079"/>
    <w:rsid w:val="009205E7"/>
    <w:rsid w:val="00922252"/>
    <w:rsid w:val="00923918"/>
    <w:rsid w:val="00932889"/>
    <w:rsid w:val="009358AF"/>
    <w:rsid w:val="00941FD8"/>
    <w:rsid w:val="0094658B"/>
    <w:rsid w:val="00961E7C"/>
    <w:rsid w:val="00962A42"/>
    <w:rsid w:val="00964532"/>
    <w:rsid w:val="0096458D"/>
    <w:rsid w:val="0096528F"/>
    <w:rsid w:val="00965A4C"/>
    <w:rsid w:val="00967937"/>
    <w:rsid w:val="00967C85"/>
    <w:rsid w:val="00970A58"/>
    <w:rsid w:val="00970E2F"/>
    <w:rsid w:val="009710C8"/>
    <w:rsid w:val="0097213B"/>
    <w:rsid w:val="009A15A6"/>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D4A"/>
    <w:rsid w:val="00A3002C"/>
    <w:rsid w:val="00A35B76"/>
    <w:rsid w:val="00A35F40"/>
    <w:rsid w:val="00A36339"/>
    <w:rsid w:val="00A43C7A"/>
    <w:rsid w:val="00A44684"/>
    <w:rsid w:val="00A446EB"/>
    <w:rsid w:val="00A44FB9"/>
    <w:rsid w:val="00A47DD6"/>
    <w:rsid w:val="00A532C0"/>
    <w:rsid w:val="00A606EE"/>
    <w:rsid w:val="00A62B86"/>
    <w:rsid w:val="00A63656"/>
    <w:rsid w:val="00A752AC"/>
    <w:rsid w:val="00A84F11"/>
    <w:rsid w:val="00A87B7C"/>
    <w:rsid w:val="00A90EB2"/>
    <w:rsid w:val="00A916FD"/>
    <w:rsid w:val="00A919C4"/>
    <w:rsid w:val="00A9315A"/>
    <w:rsid w:val="00A94DE0"/>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412D3"/>
    <w:rsid w:val="00B43A7C"/>
    <w:rsid w:val="00B442EE"/>
    <w:rsid w:val="00B51B2E"/>
    <w:rsid w:val="00B53566"/>
    <w:rsid w:val="00B56BFB"/>
    <w:rsid w:val="00B6046D"/>
    <w:rsid w:val="00B632AD"/>
    <w:rsid w:val="00B63629"/>
    <w:rsid w:val="00B73285"/>
    <w:rsid w:val="00B83FE9"/>
    <w:rsid w:val="00B86086"/>
    <w:rsid w:val="00B90F33"/>
    <w:rsid w:val="00BA3661"/>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4F42"/>
    <w:rsid w:val="00C346C6"/>
    <w:rsid w:val="00C35095"/>
    <w:rsid w:val="00C35605"/>
    <w:rsid w:val="00C419D6"/>
    <w:rsid w:val="00C43381"/>
    <w:rsid w:val="00C44CBC"/>
    <w:rsid w:val="00C50FEC"/>
    <w:rsid w:val="00C529C0"/>
    <w:rsid w:val="00C61D17"/>
    <w:rsid w:val="00C6309B"/>
    <w:rsid w:val="00C71357"/>
    <w:rsid w:val="00C71725"/>
    <w:rsid w:val="00C74E87"/>
    <w:rsid w:val="00C7520E"/>
    <w:rsid w:val="00C771FF"/>
    <w:rsid w:val="00C80609"/>
    <w:rsid w:val="00C91790"/>
    <w:rsid w:val="00C919FA"/>
    <w:rsid w:val="00CA0318"/>
    <w:rsid w:val="00CA26DF"/>
    <w:rsid w:val="00CA2CC5"/>
    <w:rsid w:val="00CA62AD"/>
    <w:rsid w:val="00CB0D2E"/>
    <w:rsid w:val="00CB22F2"/>
    <w:rsid w:val="00CB2337"/>
    <w:rsid w:val="00CB4707"/>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2B7"/>
    <w:rsid w:val="00CE4639"/>
    <w:rsid w:val="00CE4A43"/>
    <w:rsid w:val="00CE4C21"/>
    <w:rsid w:val="00CF3593"/>
    <w:rsid w:val="00CF394A"/>
    <w:rsid w:val="00CF6148"/>
    <w:rsid w:val="00D04E6C"/>
    <w:rsid w:val="00D15522"/>
    <w:rsid w:val="00D15755"/>
    <w:rsid w:val="00D17694"/>
    <w:rsid w:val="00D23726"/>
    <w:rsid w:val="00D238E8"/>
    <w:rsid w:val="00D23FF0"/>
    <w:rsid w:val="00D258C2"/>
    <w:rsid w:val="00D321C4"/>
    <w:rsid w:val="00D325E8"/>
    <w:rsid w:val="00D34AA2"/>
    <w:rsid w:val="00D379AA"/>
    <w:rsid w:val="00D4100D"/>
    <w:rsid w:val="00D44B46"/>
    <w:rsid w:val="00D46BB2"/>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675A"/>
    <w:rsid w:val="00E572D4"/>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70FA"/>
    <w:rsid w:val="00FE1559"/>
    <w:rsid w:val="00FE182B"/>
    <w:rsid w:val="00FE5D02"/>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0FA0EA3"/>
    <w:rsid w:val="112026AA"/>
    <w:rsid w:val="135C4CF2"/>
    <w:rsid w:val="141C1AC3"/>
    <w:rsid w:val="16293AC8"/>
    <w:rsid w:val="16F90698"/>
    <w:rsid w:val="181A63F7"/>
    <w:rsid w:val="1820292F"/>
    <w:rsid w:val="19EA4A5E"/>
    <w:rsid w:val="1A0C36BB"/>
    <w:rsid w:val="1AC50599"/>
    <w:rsid w:val="1B602EC3"/>
    <w:rsid w:val="1B7437D0"/>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8941D3"/>
    <w:rsid w:val="2A9E7F4C"/>
    <w:rsid w:val="2CCD69D5"/>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00B73B1"/>
    <w:rsid w:val="41031A19"/>
    <w:rsid w:val="41AF26D6"/>
    <w:rsid w:val="43CC7701"/>
    <w:rsid w:val="44072BBF"/>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5854F9"/>
    <w:rsid w:val="57EB233C"/>
    <w:rsid w:val="59E14089"/>
    <w:rsid w:val="5A2E056D"/>
    <w:rsid w:val="5BBE42D4"/>
    <w:rsid w:val="5BD01D75"/>
    <w:rsid w:val="5C272404"/>
    <w:rsid w:val="5D92736F"/>
    <w:rsid w:val="5DBD090F"/>
    <w:rsid w:val="5E2A7BF7"/>
    <w:rsid w:val="5E545884"/>
    <w:rsid w:val="5EC94920"/>
    <w:rsid w:val="5F5F2823"/>
    <w:rsid w:val="5F923927"/>
    <w:rsid w:val="60BB378C"/>
    <w:rsid w:val="617C1087"/>
    <w:rsid w:val="61A23345"/>
    <w:rsid w:val="61DF1CED"/>
    <w:rsid w:val="63155766"/>
    <w:rsid w:val="64834155"/>
    <w:rsid w:val="653267BA"/>
    <w:rsid w:val="65620B1F"/>
    <w:rsid w:val="664851AC"/>
    <w:rsid w:val="66AB5A82"/>
    <w:rsid w:val="68F70A31"/>
    <w:rsid w:val="6943410F"/>
    <w:rsid w:val="699E769D"/>
    <w:rsid w:val="69F35842"/>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245C1E"/>
    <w:rsid w:val="76B65922"/>
    <w:rsid w:val="77A03A22"/>
    <w:rsid w:val="77CD7B6D"/>
    <w:rsid w:val="77D01459"/>
    <w:rsid w:val="77FA6C1F"/>
    <w:rsid w:val="79290CA2"/>
    <w:rsid w:val="7AD80B29"/>
    <w:rsid w:val="7B820A5D"/>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6"/>
    <w:unhideWhenUsed/>
    <w:qFormat/>
    <w:uiPriority w:val="0"/>
    <w:pPr>
      <w:spacing w:after="120"/>
    </w:p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Body Text 3"/>
    <w:basedOn w:val="1"/>
    <w:link w:val="71"/>
    <w:semiHidden/>
    <w:unhideWhenUsed/>
    <w:qFormat/>
    <w:uiPriority w:val="0"/>
    <w:pPr>
      <w:jc w:val="center"/>
    </w:pPr>
    <w:rPr>
      <w:rFonts w:ascii="Times New Roman" w:hAnsi="Times New Roman" w:eastAsia="黑体"/>
      <w:sz w:val="44"/>
      <w:szCs w:val="24"/>
    </w:rPr>
  </w:style>
  <w:style w:type="paragraph" w:styleId="18">
    <w:name w:val="Body Text Indent"/>
    <w:basedOn w:val="1"/>
    <w:link w:val="66"/>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1"/>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3"/>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0"/>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6"/>
    <w:unhideWhenUsed/>
    <w:qFormat/>
    <w:uiPriority w:val="99"/>
    <w:rPr>
      <w:rFonts w:ascii="Calibri" w:hAnsi="Calibri"/>
      <w:b/>
      <w:bCs/>
      <w:kern w:val="2"/>
      <w:sz w:val="21"/>
      <w:szCs w:val="22"/>
    </w:rPr>
  </w:style>
  <w:style w:type="paragraph" w:styleId="42">
    <w:name w:val="Body Text First Indent"/>
    <w:basedOn w:val="2"/>
    <w:link w:val="69"/>
    <w:semiHidden/>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page number"/>
    <w:basedOn w:val="45"/>
    <w:qFormat/>
    <w:uiPriority w:val="0"/>
  </w:style>
  <w:style w:type="character" w:styleId="47">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0"/>
    <w:rPr>
      <w:sz w:val="21"/>
      <w:szCs w:val="21"/>
    </w:rPr>
  </w:style>
  <w:style w:type="character" w:styleId="50">
    <w:name w:val="footnote reference"/>
    <w:semiHidden/>
    <w:unhideWhenUsed/>
    <w:qFormat/>
    <w:uiPriority w:val="0"/>
    <w:rPr>
      <w:vertAlign w:val="superscript"/>
    </w:rPr>
  </w:style>
  <w:style w:type="character" w:customStyle="1" w:styleId="51">
    <w:name w:val="标题 1 Char"/>
    <w:basedOn w:val="45"/>
    <w:link w:val="3"/>
    <w:qFormat/>
    <w:uiPriority w:val="0"/>
    <w:rPr>
      <w:rFonts w:ascii="宋体" w:hAnsi="宋体" w:cs="宋体"/>
      <w:b/>
      <w:bCs/>
      <w:spacing w:val="-20"/>
      <w:kern w:val="44"/>
      <w:sz w:val="32"/>
      <w:szCs w:val="32"/>
    </w:rPr>
  </w:style>
  <w:style w:type="character" w:customStyle="1" w:styleId="52">
    <w:name w:val="标题 2 Char"/>
    <w:basedOn w:val="45"/>
    <w:link w:val="4"/>
    <w:qFormat/>
    <w:uiPriority w:val="0"/>
    <w:rPr>
      <w:rFonts w:ascii="宋体" w:hAnsi="宋体" w:cs="宋体"/>
      <w:b/>
      <w:bCs/>
      <w:kern w:val="2"/>
      <w:sz w:val="28"/>
      <w:szCs w:val="28"/>
    </w:rPr>
  </w:style>
  <w:style w:type="character" w:customStyle="1" w:styleId="53">
    <w:name w:val="标题 3 Char"/>
    <w:basedOn w:val="45"/>
    <w:link w:val="5"/>
    <w:qFormat/>
    <w:uiPriority w:val="0"/>
    <w:rPr>
      <w:rFonts w:ascii="宋体" w:hAnsi="宋体" w:cs="宋体"/>
      <w:b/>
      <w:bCs/>
      <w:color w:val="000000"/>
      <w:sz w:val="28"/>
      <w:szCs w:val="28"/>
    </w:rPr>
  </w:style>
  <w:style w:type="character" w:customStyle="1" w:styleId="54">
    <w:name w:val="标题 4 Char"/>
    <w:basedOn w:val="45"/>
    <w:link w:val="6"/>
    <w:qFormat/>
    <w:uiPriority w:val="9"/>
    <w:rPr>
      <w:rFonts w:ascii="Arial" w:hAnsi="Arial"/>
      <w:b/>
      <w:bCs/>
      <w:sz w:val="28"/>
      <w:szCs w:val="28"/>
    </w:rPr>
  </w:style>
  <w:style w:type="character" w:customStyle="1" w:styleId="55">
    <w:name w:val="标题 5 Char"/>
    <w:basedOn w:val="45"/>
    <w:link w:val="7"/>
    <w:qFormat/>
    <w:uiPriority w:val="0"/>
    <w:rPr>
      <w:rFonts w:ascii="Calibri" w:hAnsi="Calibri" w:cs="宋体"/>
      <w:b/>
      <w:bCs/>
      <w:sz w:val="28"/>
      <w:szCs w:val="28"/>
    </w:rPr>
  </w:style>
  <w:style w:type="character" w:customStyle="1" w:styleId="56">
    <w:name w:val="标题 6 Char"/>
    <w:basedOn w:val="45"/>
    <w:link w:val="8"/>
    <w:qFormat/>
    <w:uiPriority w:val="0"/>
    <w:rPr>
      <w:rFonts w:ascii="Arial" w:hAnsi="Arial"/>
      <w:b/>
      <w:bCs/>
      <w:sz w:val="28"/>
      <w:szCs w:val="18"/>
    </w:rPr>
  </w:style>
  <w:style w:type="character" w:customStyle="1" w:styleId="57">
    <w:name w:val="标题 7 Char"/>
    <w:basedOn w:val="45"/>
    <w:link w:val="9"/>
    <w:qFormat/>
    <w:uiPriority w:val="0"/>
    <w:rPr>
      <w:rFonts w:ascii="Arial Narrow" w:hAnsi="Arial Narrow" w:eastAsia="宋体" w:cs="Times New Roman"/>
      <w:b/>
      <w:bCs/>
      <w:iCs/>
      <w:kern w:val="0"/>
      <w:sz w:val="20"/>
      <w:szCs w:val="24"/>
      <w:lang w:eastAsia="en-US"/>
    </w:rPr>
  </w:style>
  <w:style w:type="character" w:customStyle="1" w:styleId="58">
    <w:name w:val="标题 8 Char"/>
    <w:basedOn w:val="45"/>
    <w:link w:val="10"/>
    <w:semiHidden/>
    <w:qFormat/>
    <w:uiPriority w:val="0"/>
    <w:rPr>
      <w:rFonts w:ascii="Arial" w:hAnsi="Arial" w:eastAsia="黑体" w:cs="Times New Roman"/>
      <w:kern w:val="0"/>
      <w:sz w:val="24"/>
      <w:szCs w:val="24"/>
    </w:rPr>
  </w:style>
  <w:style w:type="character" w:customStyle="1" w:styleId="59">
    <w:name w:val="标题 9 Char"/>
    <w:basedOn w:val="45"/>
    <w:link w:val="11"/>
    <w:semiHidden/>
    <w:qFormat/>
    <w:uiPriority w:val="0"/>
    <w:rPr>
      <w:rFonts w:ascii="Arial" w:hAnsi="Arial" w:eastAsia="黑体" w:cs="Times New Roman"/>
      <w:kern w:val="0"/>
      <w:sz w:val="20"/>
      <w:szCs w:val="21"/>
    </w:rPr>
  </w:style>
  <w:style w:type="character" w:customStyle="1" w:styleId="60">
    <w:name w:val="正文缩进 Char1"/>
    <w:link w:val="13"/>
    <w:qFormat/>
    <w:locked/>
    <w:uiPriority w:val="0"/>
  </w:style>
  <w:style w:type="character" w:customStyle="1" w:styleId="61">
    <w:name w:val="脚注文本 Char"/>
    <w:basedOn w:val="45"/>
    <w:link w:val="32"/>
    <w:semiHidden/>
    <w:qFormat/>
    <w:uiPriority w:val="0"/>
    <w:rPr>
      <w:rFonts w:ascii="Calibri" w:hAnsi="Calibri" w:eastAsia="宋体" w:cs="Times New Roman"/>
      <w:sz w:val="18"/>
      <w:szCs w:val="18"/>
    </w:rPr>
  </w:style>
  <w:style w:type="character" w:customStyle="1" w:styleId="62">
    <w:name w:val="批注文字 Char3"/>
    <w:basedOn w:val="45"/>
    <w:link w:val="16"/>
    <w:qFormat/>
    <w:uiPriority w:val="99"/>
    <w:rPr>
      <w:rFonts w:ascii="Times New Roman" w:hAnsi="Times New Roman" w:eastAsia="宋体" w:cs="Times New Roman"/>
      <w:kern w:val="0"/>
      <w:sz w:val="18"/>
      <w:szCs w:val="18"/>
    </w:rPr>
  </w:style>
  <w:style w:type="character" w:customStyle="1" w:styleId="63">
    <w:name w:val="页眉 Char"/>
    <w:basedOn w:val="45"/>
    <w:link w:val="28"/>
    <w:qFormat/>
    <w:uiPriority w:val="99"/>
    <w:rPr>
      <w:rFonts w:ascii="Calibri" w:hAnsi="Calibri" w:eastAsia="宋体" w:cs="Times New Roman"/>
      <w:kern w:val="0"/>
      <w:sz w:val="18"/>
      <w:szCs w:val="18"/>
    </w:rPr>
  </w:style>
  <w:style w:type="character" w:customStyle="1" w:styleId="64">
    <w:name w:val="页脚 Char"/>
    <w:basedOn w:val="45"/>
    <w:link w:val="27"/>
    <w:qFormat/>
    <w:uiPriority w:val="99"/>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Char"/>
    <w:basedOn w:val="45"/>
    <w:link w:val="18"/>
    <w:semiHidden/>
    <w:qFormat/>
    <w:uiPriority w:val="0"/>
    <w:rPr>
      <w:rFonts w:ascii="Times New Roman" w:hAnsi="Times New Roman" w:eastAsia="宋体" w:cs="Times New Roman"/>
      <w:kern w:val="0"/>
      <w:sz w:val="20"/>
      <w:szCs w:val="24"/>
    </w:rPr>
  </w:style>
  <w:style w:type="character" w:customStyle="1" w:styleId="67">
    <w:name w:val="副标题 Char"/>
    <w:basedOn w:val="45"/>
    <w:link w:val="31"/>
    <w:qFormat/>
    <w:uiPriority w:val="0"/>
    <w:rPr>
      <w:rFonts w:ascii="Cambria" w:hAnsi="Cambria" w:eastAsia="宋体" w:cs="Times New Roman"/>
      <w:b/>
      <w:bCs/>
      <w:kern w:val="28"/>
      <w:sz w:val="32"/>
      <w:szCs w:val="32"/>
    </w:rPr>
  </w:style>
  <w:style w:type="character" w:customStyle="1" w:styleId="68">
    <w:name w:val="日期 Char"/>
    <w:basedOn w:val="45"/>
    <w:link w:val="24"/>
    <w:qFormat/>
    <w:uiPriority w:val="99"/>
    <w:rPr>
      <w:rFonts w:ascii="Times New Roman" w:hAnsi="Times New Roman" w:eastAsia="宋体" w:cs="Times New Roman"/>
      <w:kern w:val="0"/>
      <w:sz w:val="24"/>
      <w:szCs w:val="24"/>
    </w:rPr>
  </w:style>
  <w:style w:type="character" w:customStyle="1" w:styleId="69">
    <w:name w:val="正文首行缩进 Char"/>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Char"/>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Char"/>
    <w:basedOn w:val="45"/>
    <w:link w:val="17"/>
    <w:semiHidden/>
    <w:qFormat/>
    <w:uiPriority w:val="0"/>
    <w:rPr>
      <w:rFonts w:ascii="Times New Roman" w:hAnsi="Times New Roman" w:eastAsia="黑体" w:cs="Times New Roman"/>
      <w:sz w:val="44"/>
      <w:szCs w:val="24"/>
    </w:rPr>
  </w:style>
  <w:style w:type="character" w:customStyle="1" w:styleId="72">
    <w:name w:val="正文文本缩进 2 Char"/>
    <w:basedOn w:val="45"/>
    <w:link w:val="25"/>
    <w:qFormat/>
    <w:uiPriority w:val="0"/>
    <w:rPr>
      <w:rFonts w:ascii="Calibri" w:hAnsi="Calibri" w:eastAsia="宋体" w:cs="Times New Roman"/>
    </w:rPr>
  </w:style>
  <w:style w:type="character" w:customStyle="1" w:styleId="73">
    <w:name w:val="正文文本缩进 3 Char"/>
    <w:basedOn w:val="45"/>
    <w:link w:val="34"/>
    <w:semiHidden/>
    <w:qFormat/>
    <w:uiPriority w:val="0"/>
    <w:rPr>
      <w:rFonts w:ascii="宋体" w:hAnsi="宋体" w:eastAsia="宋体" w:cs="Times New Roman"/>
      <w:kern w:val="0"/>
      <w:sz w:val="28"/>
      <w:szCs w:val="28"/>
    </w:rPr>
  </w:style>
  <w:style w:type="character" w:customStyle="1" w:styleId="74">
    <w:name w:val="文档结构图 Char"/>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Char"/>
    <w:basedOn w:val="62"/>
    <w:link w:val="41"/>
    <w:qFormat/>
    <w:uiPriority w:val="99"/>
    <w:rPr>
      <w:rFonts w:ascii="Calibri" w:hAnsi="Calibri" w:eastAsia="宋体" w:cs="Times New Roman"/>
      <w:b/>
      <w:bCs/>
      <w:kern w:val="0"/>
      <w:sz w:val="18"/>
      <w:szCs w:val="18"/>
    </w:rPr>
  </w:style>
  <w:style w:type="character" w:customStyle="1" w:styleId="77">
    <w:name w:val="批注框文本 Char"/>
    <w:basedOn w:val="45"/>
    <w:link w:val="26"/>
    <w:qFormat/>
    <w:uiPriority w:val="99"/>
    <w:rPr>
      <w:rFonts w:ascii="Times New Roman" w:hAnsi="Times New Roman" w:eastAsia="宋体" w:cs="Times New Roman"/>
      <w:kern w:val="0"/>
      <w:sz w:val="18"/>
      <w:szCs w:val="18"/>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Char"/>
    <w:link w:val="80"/>
    <w:qFormat/>
    <w:locked/>
    <w:uiPriority w:val="0"/>
    <w:rPr>
      <w:rFonts w:ascii="Calibri" w:hAnsi="Calibri"/>
    </w:rPr>
  </w:style>
  <w:style w:type="paragraph"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9"/>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5"/>
    <w:qFormat/>
    <w:uiPriority w:val="0"/>
    <w:rPr>
      <w:rFonts w:ascii="Tahoma" w:hAnsi="Tahoma"/>
      <w:sz w:val="24"/>
      <w:szCs w:val="24"/>
    </w:rPr>
  </w:style>
  <w:style w:type="paragraph" w:customStyle="1" w:styleId="137">
    <w:name w:val="MM Topic 3"/>
    <w:basedOn w:val="5"/>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1"/>
    <w:qFormat/>
    <w:uiPriority w:val="0"/>
    <w:pPr>
      <w:tabs>
        <w:tab w:val="left" w:pos="5102"/>
      </w:tabs>
    </w:pPr>
  </w:style>
  <w:style w:type="paragraph" w:customStyle="1" w:styleId="143">
    <w:name w:val="MM Topic 5"/>
    <w:basedOn w:val="7"/>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6"/>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
    <w:basedOn w:val="1"/>
    <w:link w:val="311"/>
    <w:qFormat/>
    <w:uiPriority w:val="99"/>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5"/>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5"/>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5"/>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正文文本 Char4"/>
    <w:basedOn w:val="45"/>
    <w:link w:val="2"/>
    <w:qFormat/>
    <w:locked/>
    <w:uiPriority w:val="99"/>
    <w:rPr>
      <w:rFonts w:ascii="Calibri" w:hAnsi="Calibri" w:eastAsia="宋体" w:cs="Times New Roman"/>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纯文本 Char1"/>
    <w:link w:val="22"/>
    <w:qFormat/>
    <w:locked/>
    <w:uiPriority w:val="99"/>
    <w:rPr>
      <w:rFonts w:ascii="宋体" w:hAnsi="Courier New" w:eastAsia="宋体" w:cs="Times New Roman"/>
      <w:kern w:val="0"/>
      <w:sz w:val="20"/>
      <w:szCs w:val="18"/>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0"/>
    <w:rPr>
      <w:rFonts w:hint="default" w:ascii="Calibri" w:hAnsi="Calibri"/>
      <w:kern w:val="2"/>
      <w:sz w:val="21"/>
      <w:szCs w:val="22"/>
    </w:rPr>
  </w:style>
  <w:style w:type="paragraph" w:customStyle="1" w:styleId="200">
    <w:name w:val="CD正文"/>
    <w:basedOn w:val="98"/>
    <w:link w:val="205"/>
    <w:qFormat/>
    <w:uiPriority w:val="0"/>
  </w:style>
  <w:style w:type="paragraph" w:customStyle="1" w:styleId="201">
    <w:name w:val="项目符号：一级"/>
    <w:basedOn w:val="85"/>
    <w:next w:val="85"/>
    <w:qFormat/>
    <w:uiPriority w:val="0"/>
  </w:style>
  <w:style w:type="character" w:customStyle="1" w:styleId="202">
    <w:name w:val="HTML 预设格式 Char"/>
    <w:basedOn w:val="45"/>
    <w:link w:val="38"/>
    <w:qFormat/>
    <w:uiPriority w:val="0"/>
    <w:rPr>
      <w:rFonts w:ascii="宋体" w:hAnsi="宋体" w:eastAsia="宋体" w:cs="Times New Roman"/>
      <w:kern w:val="0"/>
      <w:sz w:val="24"/>
      <w:szCs w:val="24"/>
    </w:rPr>
  </w:style>
  <w:style w:type="paragraph" w:customStyle="1" w:styleId="20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4">
    <w:name w:val="样式 Char Char"/>
    <w:link w:val="120"/>
    <w:qFormat/>
    <w:locked/>
    <w:uiPriority w:val="0"/>
    <w:rPr>
      <w:rFonts w:ascii="宋体" w:hAnsi="宋体" w:eastAsia="宋体" w:cs="宋体"/>
      <w:kern w:val="0"/>
      <w:sz w:val="24"/>
      <w:szCs w:val="24"/>
    </w:rPr>
  </w:style>
  <w:style w:type="character" w:customStyle="1" w:styleId="205">
    <w:name w:val="CD正文 Char"/>
    <w:link w:val="200"/>
    <w:qFormat/>
    <w:locked/>
    <w:uiPriority w:val="0"/>
    <w:rPr>
      <w:rFonts w:ascii="Times New Roman" w:hAnsi="Times New Roman" w:eastAsia="宋体" w:cs="Times New Roman"/>
      <w:sz w:val="24"/>
      <w:szCs w:val="24"/>
    </w:rPr>
  </w:style>
  <w:style w:type="paragraph" w:customStyle="1" w:styleId="20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8">
    <w:name w:val="列出段落5"/>
    <w:basedOn w:val="1"/>
    <w:qFormat/>
    <w:uiPriority w:val="99"/>
    <w:pPr>
      <w:ind w:firstLine="420" w:firstLineChars="200"/>
    </w:pPr>
    <w:rPr>
      <w:rFonts w:ascii="Times New Roman" w:hAnsi="Times New Roman"/>
    </w:rPr>
  </w:style>
  <w:style w:type="paragraph" w:customStyle="1" w:styleId="20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2">
    <w:name w:val="列出段落11"/>
    <w:basedOn w:val="1"/>
    <w:qFormat/>
    <w:uiPriority w:val="99"/>
    <w:pPr>
      <w:spacing w:after="200" w:line="276" w:lineRule="auto"/>
      <w:ind w:firstLine="420" w:firstLineChars="200"/>
    </w:pPr>
  </w:style>
  <w:style w:type="paragraph" w:customStyle="1" w:styleId="21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4">
    <w:name w:val="UserStyle_26"/>
    <w:link w:val="215"/>
    <w:qFormat/>
    <w:locked/>
    <w:uiPriority w:val="0"/>
  </w:style>
  <w:style w:type="paragraph" w:customStyle="1" w:styleId="215">
    <w:name w:val="NormalIndent"/>
    <w:basedOn w:val="1"/>
    <w:link w:val="214"/>
    <w:qFormat/>
    <w:uiPriority w:val="0"/>
    <w:pPr>
      <w:widowControl/>
      <w:spacing w:after="200" w:line="276" w:lineRule="auto"/>
      <w:ind w:firstLine="420"/>
    </w:pPr>
    <w:rPr>
      <w:rFonts w:asciiTheme="minorHAnsi" w:hAnsiTheme="minorHAnsi" w:eastAsiaTheme="minorEastAsia" w:cstheme="minorBidi"/>
    </w:rPr>
  </w:style>
  <w:style w:type="paragraph" w:customStyle="1" w:styleId="21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9">
    <w:name w:val="UserStyle_40"/>
    <w:basedOn w:val="1"/>
    <w:qFormat/>
    <w:uiPriority w:val="99"/>
    <w:pPr>
      <w:widowControl/>
      <w:spacing w:after="200" w:line="276" w:lineRule="auto"/>
      <w:ind w:firstLine="420" w:firstLineChars="200"/>
    </w:pPr>
    <w:rPr>
      <w:szCs w:val="21"/>
    </w:rPr>
  </w:style>
  <w:style w:type="paragraph" w:customStyle="1" w:styleId="22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1">
    <w:name w:val="BodyText"/>
    <w:basedOn w:val="1"/>
    <w:qFormat/>
    <w:uiPriority w:val="0"/>
    <w:pPr>
      <w:spacing w:after="120" w:line="276" w:lineRule="auto"/>
    </w:pPr>
  </w:style>
  <w:style w:type="paragraph" w:customStyle="1" w:styleId="222">
    <w:name w:val="_Style 2"/>
    <w:basedOn w:val="1"/>
    <w:qFormat/>
    <w:uiPriority w:val="99"/>
    <w:pPr>
      <w:spacing w:after="200" w:line="276" w:lineRule="auto"/>
      <w:ind w:firstLine="420" w:firstLineChars="200"/>
    </w:pPr>
  </w:style>
  <w:style w:type="paragraph" w:customStyle="1" w:styleId="22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4">
    <w:name w:val="标准文本 Char Char"/>
    <w:link w:val="225"/>
    <w:qFormat/>
    <w:locked/>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正文360首行缩进 Char"/>
    <w:basedOn w:val="45"/>
    <w:link w:val="227"/>
    <w:qFormat/>
    <w:locked/>
    <w:uiPriority w:val="0"/>
    <w:rPr>
      <w:rFonts w:ascii="Times New Roman" w:hAnsi="Times New Roman" w:eastAsia="宋体" w:cs="Times New Roman"/>
      <w:sz w:val="24"/>
    </w:rPr>
  </w:style>
  <w:style w:type="paragraph" w:customStyle="1" w:styleId="227">
    <w:name w:val="正文360首行缩进"/>
    <w:basedOn w:val="1"/>
    <w:link w:val="226"/>
    <w:qFormat/>
    <w:uiPriority w:val="0"/>
    <w:pPr>
      <w:widowControl/>
      <w:spacing w:before="120" w:line="300" w:lineRule="auto"/>
      <w:ind w:firstLine="200" w:firstLineChars="200"/>
      <w:jc w:val="left"/>
    </w:pPr>
    <w:rPr>
      <w:rFonts w:ascii="Times New Roman" w:hAnsi="Times New Roman"/>
      <w:sz w:val="24"/>
    </w:rPr>
  </w:style>
  <w:style w:type="paragraph" w:customStyle="1" w:styleId="228">
    <w:name w:val="列出段落1_0"/>
    <w:basedOn w:val="1"/>
    <w:qFormat/>
    <w:uiPriority w:val="99"/>
    <w:pPr>
      <w:ind w:firstLine="420" w:firstLineChars="200"/>
    </w:pPr>
    <w:rPr>
      <w:szCs w:val="21"/>
    </w:rPr>
  </w:style>
  <w:style w:type="paragraph" w:customStyle="1" w:styleId="22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0">
    <w:name w:val="Char1 Char Char Char Char Char Char_0"/>
    <w:basedOn w:val="1"/>
    <w:qFormat/>
    <w:uiPriority w:val="0"/>
    <w:rPr>
      <w:rFonts w:ascii="Tahoma" w:hAnsi="Tahoma"/>
      <w:sz w:val="24"/>
      <w:szCs w:val="20"/>
    </w:rPr>
  </w:style>
  <w:style w:type="paragraph" w:customStyle="1" w:styleId="23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2">
    <w:name w:val="列出段落111"/>
    <w:basedOn w:val="1"/>
    <w:qFormat/>
    <w:uiPriority w:val="99"/>
    <w:pPr>
      <w:ind w:firstLine="420" w:firstLineChars="200"/>
    </w:pPr>
    <w:rPr>
      <w:rFonts w:ascii="Times New Roman" w:hAnsi="Times New Roman"/>
    </w:rPr>
  </w:style>
  <w:style w:type="paragraph" w:customStyle="1" w:styleId="233">
    <w:name w:val="修订3"/>
    <w:qFormat/>
    <w:uiPriority w:val="99"/>
    <w:rPr>
      <w:rFonts w:ascii="Calibri" w:hAnsi="Calibri" w:eastAsia="宋体" w:cs="Times New Roman"/>
      <w:kern w:val="2"/>
      <w:sz w:val="21"/>
      <w:szCs w:val="22"/>
      <w:lang w:val="en-US" w:eastAsia="zh-CN" w:bidi="ar-SA"/>
    </w:rPr>
  </w:style>
  <w:style w:type="paragraph" w:customStyle="1" w:styleId="234">
    <w:name w:val="List Paragraph1"/>
    <w:basedOn w:val="1"/>
    <w:qFormat/>
    <w:uiPriority w:val="99"/>
    <w:pPr>
      <w:ind w:firstLine="420" w:firstLineChars="200"/>
    </w:pPr>
    <w:rPr>
      <w:rFonts w:ascii="Times New Roman" w:hAnsi="Times New Roman"/>
      <w:szCs w:val="24"/>
    </w:rPr>
  </w:style>
  <w:style w:type="paragraph" w:customStyle="1" w:styleId="23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7">
    <w:name w:val="标题 5（有编号）（绿盟科技）"/>
    <w:basedOn w:val="1"/>
    <w:next w:val="236"/>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0">
    <w:name w:val="修订11"/>
    <w:qFormat/>
    <w:uiPriority w:val="99"/>
    <w:rPr>
      <w:rFonts w:ascii="Calibri" w:hAnsi="Calibri" w:eastAsia="宋体" w:cs="Times New Roman"/>
      <w:kern w:val="2"/>
      <w:sz w:val="21"/>
      <w:szCs w:val="22"/>
      <w:lang w:val="en-US" w:eastAsia="zh-CN" w:bidi="ar-SA"/>
    </w:rPr>
  </w:style>
  <w:style w:type="paragraph" w:customStyle="1" w:styleId="241">
    <w:name w:val="_Style 32"/>
    <w:basedOn w:val="1"/>
    <w:next w:val="1"/>
    <w:qFormat/>
    <w:uiPriority w:val="99"/>
    <w:pPr>
      <w:spacing w:line="240" w:lineRule="atLeast"/>
      <w:ind w:left="420" w:firstLine="420"/>
      <w:jc w:val="left"/>
    </w:pPr>
    <w:rPr>
      <w:rFonts w:ascii="Times New Roman" w:hAnsi="Times New Roman"/>
      <w:szCs w:val="20"/>
    </w:rPr>
  </w:style>
  <w:style w:type="character" w:styleId="242">
    <w:name w:val="Placeholder Text"/>
    <w:basedOn w:val="45"/>
    <w:semiHidden/>
    <w:qFormat/>
    <w:uiPriority w:val="99"/>
    <w:rPr>
      <w:color w:val="808080"/>
    </w:rPr>
  </w:style>
  <w:style w:type="character" w:customStyle="1" w:styleId="243">
    <w:name w:val="页眉 字符1"/>
    <w:basedOn w:val="45"/>
    <w:semiHidden/>
    <w:qFormat/>
    <w:locked/>
    <w:uiPriority w:val="99"/>
    <w:rPr>
      <w:rFonts w:ascii="Calibri" w:hAnsi="Calibri" w:eastAsia="宋体" w:cs="Times New Roman"/>
      <w:kern w:val="0"/>
      <w:sz w:val="18"/>
      <w:szCs w:val="18"/>
    </w:rPr>
  </w:style>
  <w:style w:type="character" w:customStyle="1" w:styleId="244">
    <w:name w:val="正文文本 字符1"/>
    <w:basedOn w:val="45"/>
    <w:semiHidden/>
    <w:qFormat/>
    <w:locked/>
    <w:uiPriority w:val="99"/>
    <w:rPr>
      <w:rFonts w:ascii="Calibri" w:hAnsi="Calibri" w:eastAsia="宋体" w:cs="Times New Roman"/>
    </w:rPr>
  </w:style>
  <w:style w:type="character" w:customStyle="1" w:styleId="245">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6">
    <w:name w:val="NormalCharacter"/>
    <w:qFormat/>
    <w:uiPriority w:val="0"/>
  </w:style>
  <w:style w:type="paragraph" w:customStyle="1" w:styleId="247">
    <w:name w:val="BodyText1I"/>
    <w:basedOn w:val="1"/>
    <w:link w:val="248"/>
    <w:qFormat/>
    <w:uiPriority w:val="0"/>
  </w:style>
  <w:style w:type="character" w:customStyle="1" w:styleId="248">
    <w:name w:val="UserStyle_9"/>
    <w:basedOn w:val="45"/>
    <w:link w:val="247"/>
    <w:qFormat/>
    <w:locked/>
    <w:uiPriority w:val="0"/>
    <w:rPr>
      <w:rFonts w:ascii="Calibri" w:hAnsi="Calibri" w:eastAsia="宋体" w:cs="Times New Roman"/>
    </w:rPr>
  </w:style>
  <w:style w:type="character" w:customStyle="1" w:styleId="249">
    <w:name w:val="15"/>
    <w:basedOn w:val="45"/>
    <w:qFormat/>
    <w:uiPriority w:val="0"/>
    <w:rPr>
      <w:rFonts w:hint="default" w:ascii="Calibri" w:hAnsi="Calibri"/>
    </w:rPr>
  </w:style>
  <w:style w:type="character" w:customStyle="1" w:styleId="250">
    <w:name w:val="批注文字 Char1"/>
    <w:basedOn w:val="45"/>
    <w:semiHidden/>
    <w:qFormat/>
    <w:locked/>
    <w:uiPriority w:val="0"/>
    <w:rPr>
      <w:rFonts w:hint="default" w:ascii="Calibri" w:hAnsi="Calibri" w:eastAsia="宋体" w:cs="Times New Roman"/>
    </w:rPr>
  </w:style>
  <w:style w:type="character" w:customStyle="1" w:styleId="251">
    <w:name w:val="font21"/>
    <w:qFormat/>
    <w:uiPriority w:val="0"/>
    <w:rPr>
      <w:rFonts w:hint="default" w:ascii="Arial" w:hAnsi="Arial" w:cs="Arial"/>
      <w:color w:val="000000"/>
      <w:sz w:val="18"/>
      <w:szCs w:val="18"/>
      <w:u w:val="none"/>
    </w:rPr>
  </w:style>
  <w:style w:type="character" w:customStyle="1" w:styleId="252">
    <w:name w:val="_Style 8"/>
    <w:qFormat/>
    <w:uiPriority w:val="32"/>
    <w:rPr>
      <w:b/>
      <w:bCs/>
      <w:smallCaps/>
      <w:color w:val="C0504D"/>
      <w:spacing w:val="5"/>
      <w:u w:val="single"/>
    </w:rPr>
  </w:style>
  <w:style w:type="character" w:customStyle="1" w:styleId="253">
    <w:name w:val="l-btn-icon-left"/>
    <w:basedOn w:val="45"/>
    <w:qFormat/>
    <w:uiPriority w:val="0"/>
  </w:style>
  <w:style w:type="character" w:customStyle="1" w:styleId="254">
    <w:name w:val="l-btn-icon-left1"/>
    <w:basedOn w:val="45"/>
    <w:qFormat/>
    <w:uiPriority w:val="0"/>
  </w:style>
  <w:style w:type="character" w:customStyle="1" w:styleId="255">
    <w:name w:val="l-btn-empty"/>
    <w:basedOn w:val="45"/>
    <w:qFormat/>
    <w:uiPriority w:val="0"/>
  </w:style>
  <w:style w:type="character" w:customStyle="1" w:styleId="256">
    <w:name w:val="l-btn-icon-right"/>
    <w:basedOn w:val="45"/>
    <w:qFormat/>
    <w:uiPriority w:val="0"/>
  </w:style>
  <w:style w:type="character" w:customStyle="1" w:styleId="257">
    <w:name w:val="l-btn-left2"/>
    <w:basedOn w:val="45"/>
    <w:qFormat/>
    <w:uiPriority w:val="0"/>
  </w:style>
  <w:style w:type="character" w:customStyle="1" w:styleId="258">
    <w:name w:val="l-btn-left3"/>
    <w:basedOn w:val="45"/>
    <w:qFormat/>
    <w:uiPriority w:val="0"/>
  </w:style>
  <w:style w:type="character" w:customStyle="1" w:styleId="259">
    <w:name w:val="l-btn-left4"/>
    <w:basedOn w:val="45"/>
    <w:qFormat/>
    <w:uiPriority w:val="0"/>
  </w:style>
  <w:style w:type="character" w:customStyle="1" w:styleId="260">
    <w:name w:val="l-btn-left5"/>
    <w:basedOn w:val="45"/>
    <w:qFormat/>
    <w:uiPriority w:val="0"/>
  </w:style>
  <w:style w:type="character" w:customStyle="1" w:styleId="261">
    <w:name w:val="l-btn-left6"/>
    <w:basedOn w:val="45"/>
    <w:qFormat/>
    <w:uiPriority w:val="0"/>
  </w:style>
  <w:style w:type="character" w:customStyle="1" w:styleId="262">
    <w:name w:val="l-btn-text"/>
    <w:basedOn w:val="45"/>
    <w:qFormat/>
    <w:uiPriority w:val="0"/>
    <w:rPr>
      <w:vertAlign w:val="baseline"/>
    </w:rPr>
  </w:style>
  <w:style w:type="character" w:customStyle="1" w:styleId="263">
    <w:name w:val="l-btn-text1"/>
    <w:basedOn w:val="45"/>
    <w:qFormat/>
    <w:uiPriority w:val="0"/>
    <w:rPr>
      <w:vertAlign w:val="baseline"/>
    </w:rPr>
  </w:style>
  <w:style w:type="character" w:customStyle="1" w:styleId="264">
    <w:name w:val="ajaxtitle"/>
    <w:basedOn w:val="45"/>
    <w:qFormat/>
    <w:uiPriority w:val="0"/>
  </w:style>
  <w:style w:type="character" w:customStyle="1" w:styleId="265">
    <w:name w:val="json_key"/>
    <w:basedOn w:val="45"/>
    <w:qFormat/>
    <w:uiPriority w:val="0"/>
  </w:style>
  <w:style w:type="character" w:customStyle="1" w:styleId="266">
    <w:name w:val="json_string"/>
    <w:basedOn w:val="45"/>
    <w:qFormat/>
    <w:uiPriority w:val="0"/>
  </w:style>
  <w:style w:type="character" w:customStyle="1" w:styleId="267">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8">
    <w:name w:val="标题 3 Char1"/>
    <w:basedOn w:val="45"/>
    <w:semiHidden/>
    <w:qFormat/>
    <w:uiPriority w:val="99"/>
    <w:rPr>
      <w:rFonts w:hint="default" w:ascii="Calibri" w:hAnsi="Calibri"/>
      <w:b/>
      <w:bCs/>
      <w:kern w:val="2"/>
      <w:sz w:val="32"/>
      <w:szCs w:val="32"/>
    </w:rPr>
  </w:style>
  <w:style w:type="character" w:customStyle="1" w:styleId="269">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70">
    <w:name w:val="正文文本缩进 2 Char1"/>
    <w:basedOn w:val="45"/>
    <w:semiHidden/>
    <w:qFormat/>
    <w:uiPriority w:val="99"/>
    <w:rPr>
      <w:rFonts w:hint="default" w:ascii="Calibri" w:hAnsi="Calibri" w:cs="Calibri"/>
      <w:kern w:val="2"/>
      <w:sz w:val="21"/>
      <w:szCs w:val="22"/>
    </w:rPr>
  </w:style>
  <w:style w:type="character" w:customStyle="1" w:styleId="271">
    <w:name w:val="正文文本缩进 Char1"/>
    <w:basedOn w:val="45"/>
    <w:semiHidden/>
    <w:qFormat/>
    <w:uiPriority w:val="99"/>
    <w:rPr>
      <w:rFonts w:hint="default" w:ascii="Calibri" w:hAnsi="Calibri" w:cs="Calibri"/>
      <w:kern w:val="2"/>
      <w:sz w:val="21"/>
      <w:szCs w:val="22"/>
    </w:rPr>
  </w:style>
  <w:style w:type="character" w:customStyle="1" w:styleId="272">
    <w:name w:val="正文文本 3 Char1"/>
    <w:basedOn w:val="45"/>
    <w:semiHidden/>
    <w:qFormat/>
    <w:uiPriority w:val="99"/>
    <w:rPr>
      <w:rFonts w:hint="default" w:ascii="Calibri" w:hAnsi="Calibri" w:cs="Calibri"/>
      <w:kern w:val="2"/>
      <w:sz w:val="16"/>
      <w:szCs w:val="16"/>
    </w:rPr>
  </w:style>
  <w:style w:type="character" w:customStyle="1" w:styleId="273">
    <w:name w:val="正文文本缩进 3 Char1"/>
    <w:basedOn w:val="45"/>
    <w:semiHidden/>
    <w:qFormat/>
    <w:uiPriority w:val="99"/>
    <w:rPr>
      <w:rFonts w:hint="default" w:ascii="Calibri" w:hAnsi="Calibri" w:cs="Calibri"/>
      <w:kern w:val="2"/>
      <w:sz w:val="16"/>
      <w:szCs w:val="16"/>
    </w:rPr>
  </w:style>
  <w:style w:type="character" w:customStyle="1" w:styleId="274">
    <w:name w:val="批注框文本 Char1"/>
    <w:basedOn w:val="45"/>
    <w:semiHidden/>
    <w:qFormat/>
    <w:uiPriority w:val="99"/>
    <w:rPr>
      <w:rFonts w:hint="default" w:ascii="Calibri" w:hAnsi="Calibri" w:cs="Calibri"/>
      <w:kern w:val="2"/>
      <w:sz w:val="18"/>
      <w:szCs w:val="18"/>
    </w:rPr>
  </w:style>
  <w:style w:type="character" w:customStyle="1" w:styleId="275">
    <w:name w:val="文档结构图 Char1"/>
    <w:basedOn w:val="45"/>
    <w:semiHidden/>
    <w:qFormat/>
    <w:uiPriority w:val="99"/>
    <w:rPr>
      <w:rFonts w:hint="eastAsia" w:ascii="宋体" w:hAnsi="Calibri" w:eastAsia="宋体"/>
      <w:kern w:val="2"/>
      <w:sz w:val="18"/>
      <w:szCs w:val="18"/>
    </w:rPr>
  </w:style>
  <w:style w:type="character" w:customStyle="1" w:styleId="276">
    <w:name w:val="页眉 Char1"/>
    <w:basedOn w:val="45"/>
    <w:semiHidden/>
    <w:qFormat/>
    <w:uiPriority w:val="99"/>
    <w:rPr>
      <w:rFonts w:hint="default" w:ascii="Calibri" w:hAnsi="Calibri" w:cs="Calibri"/>
      <w:kern w:val="2"/>
      <w:sz w:val="18"/>
      <w:szCs w:val="18"/>
    </w:rPr>
  </w:style>
  <w:style w:type="character" w:customStyle="1" w:styleId="277">
    <w:name w:val="日期 Char1"/>
    <w:basedOn w:val="45"/>
    <w:semiHidden/>
    <w:qFormat/>
    <w:uiPriority w:val="99"/>
    <w:rPr>
      <w:rFonts w:hint="default" w:ascii="Calibri" w:hAnsi="Calibri" w:cs="Calibri"/>
      <w:kern w:val="2"/>
      <w:sz w:val="21"/>
      <w:szCs w:val="22"/>
    </w:rPr>
  </w:style>
  <w:style w:type="character" w:customStyle="1" w:styleId="278">
    <w:name w:val="正文文本 Char3"/>
    <w:basedOn w:val="45"/>
    <w:qFormat/>
    <w:uiPriority w:val="99"/>
    <w:rPr>
      <w:rFonts w:hint="default" w:ascii="Calibri" w:hAnsi="Calibri" w:cs="Calibri"/>
      <w:kern w:val="2"/>
      <w:sz w:val="21"/>
      <w:szCs w:val="22"/>
    </w:rPr>
  </w:style>
  <w:style w:type="character" w:customStyle="1" w:styleId="279">
    <w:name w:val="纯文本 Char2"/>
    <w:basedOn w:val="45"/>
    <w:qFormat/>
    <w:uiPriority w:val="99"/>
    <w:rPr>
      <w:rFonts w:hint="eastAsia" w:ascii="宋体" w:hAnsi="Courier New" w:eastAsia="宋体" w:cs="Courier New"/>
      <w:kern w:val="2"/>
      <w:sz w:val="21"/>
      <w:szCs w:val="21"/>
    </w:rPr>
  </w:style>
  <w:style w:type="character" w:customStyle="1" w:styleId="280">
    <w:name w:val="正文首行缩进 Char1"/>
    <w:basedOn w:val="278"/>
    <w:semiHidden/>
    <w:qFormat/>
    <w:uiPriority w:val="99"/>
    <w:rPr>
      <w:rFonts w:hint="default" w:ascii="Calibri" w:hAnsi="Calibri" w:cs="Calibri"/>
      <w:kern w:val="2"/>
      <w:sz w:val="21"/>
      <w:szCs w:val="22"/>
    </w:rPr>
  </w:style>
  <w:style w:type="character" w:customStyle="1" w:styleId="281">
    <w:name w:val="正文文本 2 Char1"/>
    <w:basedOn w:val="45"/>
    <w:semiHidden/>
    <w:qFormat/>
    <w:uiPriority w:val="99"/>
    <w:rPr>
      <w:rFonts w:hint="default" w:ascii="Calibri" w:hAnsi="Calibri" w:cs="Calibri"/>
      <w:kern w:val="2"/>
      <w:sz w:val="21"/>
      <w:szCs w:val="22"/>
    </w:rPr>
  </w:style>
  <w:style w:type="character" w:customStyle="1" w:styleId="282">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3">
    <w:name w:val="font61"/>
    <w:qFormat/>
    <w:uiPriority w:val="0"/>
    <w:rPr>
      <w:rFonts w:hint="eastAsia" w:ascii="仿宋_GB2312" w:eastAsia="仿宋_GB2312" w:cs="仿宋_GB2312"/>
      <w:color w:val="000000"/>
      <w:sz w:val="24"/>
      <w:szCs w:val="24"/>
      <w:u w:val="none"/>
    </w:rPr>
  </w:style>
  <w:style w:type="character" w:customStyle="1" w:styleId="284">
    <w:name w:val="font31"/>
    <w:qFormat/>
    <w:uiPriority w:val="0"/>
    <w:rPr>
      <w:rFonts w:hint="eastAsia" w:ascii="宋体" w:hAnsi="宋体" w:eastAsia="宋体" w:cs="宋体"/>
      <w:color w:val="FF0000"/>
      <w:sz w:val="24"/>
      <w:szCs w:val="24"/>
      <w:u w:val="none"/>
    </w:rPr>
  </w:style>
  <w:style w:type="character" w:customStyle="1" w:styleId="285">
    <w:name w:val="font221"/>
    <w:qFormat/>
    <w:uiPriority w:val="0"/>
    <w:rPr>
      <w:rFonts w:hint="eastAsia" w:ascii="宋体" w:hAnsi="宋体" w:eastAsia="宋体" w:cs="宋体"/>
      <w:color w:val="000000"/>
      <w:sz w:val="24"/>
      <w:szCs w:val="24"/>
      <w:u w:val="none"/>
    </w:rPr>
  </w:style>
  <w:style w:type="character" w:customStyle="1" w:styleId="286">
    <w:name w:val="font121"/>
    <w:basedOn w:val="45"/>
    <w:qFormat/>
    <w:uiPriority w:val="0"/>
    <w:rPr>
      <w:rFonts w:hint="eastAsia" w:ascii="宋体" w:hAnsi="宋体" w:eastAsia="宋体" w:cs="宋体"/>
      <w:color w:val="000000"/>
      <w:sz w:val="22"/>
      <w:szCs w:val="22"/>
      <w:u w:val="none"/>
    </w:rPr>
  </w:style>
  <w:style w:type="character" w:customStyle="1" w:styleId="287">
    <w:name w:val="font41"/>
    <w:basedOn w:val="45"/>
    <w:qFormat/>
    <w:uiPriority w:val="0"/>
    <w:rPr>
      <w:rFonts w:hint="eastAsia" w:ascii="宋体" w:hAnsi="宋体" w:eastAsia="宋体" w:cs="宋体"/>
      <w:b/>
      <w:color w:val="000000"/>
      <w:sz w:val="22"/>
      <w:szCs w:val="22"/>
      <w:u w:val="none"/>
    </w:rPr>
  </w:style>
  <w:style w:type="character" w:customStyle="1" w:styleId="288">
    <w:name w:val="font71"/>
    <w:basedOn w:val="45"/>
    <w:qFormat/>
    <w:uiPriority w:val="0"/>
    <w:rPr>
      <w:rFonts w:hint="eastAsia" w:ascii="宋体" w:hAnsi="宋体" w:eastAsia="宋体" w:cs="宋体"/>
      <w:color w:val="0D0D0D"/>
      <w:sz w:val="22"/>
      <w:szCs w:val="22"/>
      <w:u w:val="none"/>
    </w:rPr>
  </w:style>
  <w:style w:type="character" w:customStyle="1" w:styleId="289">
    <w:name w:val="qowt-font2"/>
    <w:basedOn w:val="45"/>
    <w:qFormat/>
    <w:uiPriority w:val="0"/>
  </w:style>
  <w:style w:type="character" w:customStyle="1" w:styleId="290">
    <w:name w:val="font91"/>
    <w:qFormat/>
    <w:uiPriority w:val="0"/>
    <w:rPr>
      <w:rFonts w:hint="eastAsia" w:ascii="宋体" w:hAnsi="宋体" w:eastAsia="宋体" w:cs="宋体"/>
      <w:color w:val="000000"/>
      <w:sz w:val="20"/>
      <w:szCs w:val="20"/>
      <w:u w:val="none"/>
      <w:vertAlign w:val="superscript"/>
    </w:rPr>
  </w:style>
  <w:style w:type="table" w:customStyle="1" w:styleId="291">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2">
    <w:name w:val="标题 1 字符1"/>
    <w:basedOn w:val="45"/>
    <w:qFormat/>
    <w:uiPriority w:val="0"/>
    <w:rPr>
      <w:rFonts w:eastAsia="宋体" w:cs="Times New Roman"/>
      <w:b/>
      <w:bCs/>
      <w:kern w:val="44"/>
      <w:sz w:val="44"/>
      <w:szCs w:val="44"/>
    </w:rPr>
  </w:style>
  <w:style w:type="character" w:customStyle="1" w:styleId="293">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4">
    <w:name w:val="标题 3 字符1"/>
    <w:basedOn w:val="45"/>
    <w:semiHidden/>
    <w:qFormat/>
    <w:uiPriority w:val="9"/>
    <w:rPr>
      <w:rFonts w:eastAsia="宋体" w:cs="Times New Roman"/>
      <w:b/>
      <w:bCs/>
      <w:kern w:val="2"/>
      <w:sz w:val="32"/>
      <w:szCs w:val="32"/>
    </w:rPr>
  </w:style>
  <w:style w:type="character" w:customStyle="1" w:styleId="295">
    <w:name w:val="批注文字 Char"/>
    <w:basedOn w:val="45"/>
    <w:qFormat/>
    <w:uiPriority w:val="99"/>
    <w:rPr>
      <w:rFonts w:ascii="Calibri" w:hAnsi="Calibri" w:eastAsia="宋体" w:cs="Times New Roman"/>
    </w:rPr>
  </w:style>
  <w:style w:type="paragraph" w:customStyle="1" w:styleId="296">
    <w:name w:val="修订4"/>
    <w:semiHidden/>
    <w:qFormat/>
    <w:uiPriority w:val="99"/>
    <w:rPr>
      <w:rFonts w:ascii="Calibri" w:hAnsi="Calibri" w:eastAsia="宋体" w:cs="Times New Roman"/>
      <w:kern w:val="2"/>
      <w:sz w:val="21"/>
      <w:szCs w:val="22"/>
      <w:lang w:val="en-US" w:eastAsia="zh-CN" w:bidi="ar-SA"/>
    </w:rPr>
  </w:style>
  <w:style w:type="paragraph" w:customStyle="1" w:styleId="29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9">
    <w:name w:val="p121"/>
    <w:qFormat/>
    <w:uiPriority w:val="0"/>
    <w:rPr>
      <w:sz w:val="24"/>
    </w:rPr>
  </w:style>
  <w:style w:type="paragraph" w:customStyle="1" w:styleId="300">
    <w:name w:val="列表段落1"/>
    <w:basedOn w:val="1"/>
    <w:qFormat/>
    <w:uiPriority w:val="99"/>
    <w:pPr>
      <w:ind w:firstLine="420" w:firstLineChars="200"/>
    </w:pPr>
    <w:rPr>
      <w:rFonts w:ascii="宋体" w:hAnsi="宋体" w:cs="宋体"/>
      <w:sz w:val="28"/>
      <w:szCs w:val="28"/>
    </w:rPr>
  </w:style>
  <w:style w:type="character" w:customStyle="1" w:styleId="301">
    <w:name w:val="AnnotationReference"/>
    <w:qFormat/>
    <w:uiPriority w:val="0"/>
    <w:rPr>
      <w:sz w:val="21"/>
      <w:szCs w:val="21"/>
    </w:rPr>
  </w:style>
  <w:style w:type="paragraph" w:customStyle="1" w:styleId="30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3">
    <w:name w:val="Heading3"/>
    <w:basedOn w:val="1"/>
    <w:next w:val="1"/>
    <w:link w:val="30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4">
    <w:name w:val="UserStyle_4"/>
    <w:link w:val="303"/>
    <w:qFormat/>
    <w:uiPriority w:val="0"/>
    <w:rPr>
      <w:rFonts w:ascii="宋体" w:hAnsi="宋体" w:eastAsia="宋体" w:cs="宋体"/>
      <w:b/>
      <w:bCs/>
      <w:kern w:val="0"/>
      <w:sz w:val="27"/>
      <w:szCs w:val="27"/>
    </w:rPr>
  </w:style>
  <w:style w:type="paragraph" w:customStyle="1" w:styleId="305">
    <w:name w:val="_Style 48"/>
    <w:basedOn w:val="1"/>
    <w:qFormat/>
    <w:uiPriority w:val="0"/>
    <w:pPr>
      <w:ind w:firstLine="420" w:firstLineChars="200"/>
    </w:pPr>
    <w:rPr>
      <w:rFonts w:ascii="宋体" w:hAnsi="宋体" w:cs="宋体"/>
      <w:sz w:val="28"/>
      <w:szCs w:val="28"/>
    </w:rPr>
  </w:style>
  <w:style w:type="character" w:customStyle="1" w:styleId="306">
    <w:name w:val="font101"/>
    <w:basedOn w:val="45"/>
    <w:qFormat/>
    <w:uiPriority w:val="0"/>
    <w:rPr>
      <w:rFonts w:hint="eastAsia" w:ascii="宋体" w:hAnsi="宋体" w:eastAsia="宋体" w:cs="宋体"/>
      <w:color w:val="FF0000"/>
      <w:sz w:val="18"/>
      <w:szCs w:val="18"/>
      <w:u w:val="none"/>
    </w:rPr>
  </w:style>
  <w:style w:type="character" w:customStyle="1" w:styleId="307">
    <w:name w:val="font51"/>
    <w:basedOn w:val="45"/>
    <w:qFormat/>
    <w:uiPriority w:val="0"/>
    <w:rPr>
      <w:rFonts w:ascii="Calibri" w:hAnsi="Calibri" w:cs="Calibri"/>
      <w:color w:val="000000"/>
      <w:sz w:val="21"/>
      <w:szCs w:val="21"/>
      <w:u w:val="none"/>
    </w:rPr>
  </w:style>
  <w:style w:type="paragraph" w:customStyle="1" w:styleId="308">
    <w:name w:val="Table Paragraph"/>
    <w:basedOn w:val="1"/>
    <w:qFormat/>
    <w:uiPriority w:val="1"/>
    <w:pPr>
      <w:ind w:firstLine="560" w:firstLineChars="200"/>
    </w:pPr>
    <w:rPr>
      <w:rFonts w:ascii="宋体" w:hAnsi="宋体" w:cs="宋体"/>
      <w:sz w:val="28"/>
      <w:szCs w:val="28"/>
      <w:lang w:val="zh-CN" w:bidi="zh-CN"/>
    </w:rPr>
  </w:style>
  <w:style w:type="character" w:customStyle="1" w:styleId="309">
    <w:name w:val="表格文字 字符"/>
    <w:basedOn w:val="45"/>
    <w:link w:val="97"/>
    <w:qFormat/>
    <w:uiPriority w:val="0"/>
    <w:rPr>
      <w:rFonts w:ascii="Times New (W1)" w:hAnsi="Times New (W1)" w:eastAsia="宋体" w:cs="Times New Roman"/>
      <w:spacing w:val="10"/>
      <w:szCs w:val="24"/>
    </w:rPr>
  </w:style>
  <w:style w:type="paragraph" w:customStyle="1" w:styleId="310">
    <w:name w:val="_Style 1"/>
    <w:basedOn w:val="1"/>
    <w:qFormat/>
    <w:uiPriority w:val="0"/>
    <w:pPr>
      <w:adjustRightInd w:val="0"/>
      <w:spacing w:line="360" w:lineRule="auto"/>
    </w:pPr>
    <w:rPr>
      <w:rFonts w:ascii="Times New Roman" w:hAnsi="Times New Roman"/>
      <w:szCs w:val="20"/>
    </w:rPr>
  </w:style>
  <w:style w:type="character" w:customStyle="1" w:styleId="311">
    <w:name w:val="列出段落 字符"/>
    <w:link w:val="152"/>
    <w:qFormat/>
    <w:locked/>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DFBC0D-16C3-41E7-944C-808AD3671E64}">
  <ds:schemaRefs/>
</ds:datastoreItem>
</file>

<file path=docProps/app.xml><?xml version="1.0" encoding="utf-8"?>
<Properties xmlns="http://schemas.openxmlformats.org/officeDocument/2006/extended-properties" xmlns:vt="http://schemas.openxmlformats.org/officeDocument/2006/docPropsVTypes">
  <Template>Normal.dotm</Template>
  <Pages>84</Pages>
  <Words>4637</Words>
  <Characters>26432</Characters>
  <Lines>220</Lines>
  <Paragraphs>62</Paragraphs>
  <TotalTime>9</TotalTime>
  <ScaleCrop>false</ScaleCrop>
  <LinksUpToDate>false</LinksUpToDate>
  <CharactersWithSpaces>31007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2021-08-30T03:26:00Z</dcterms:created>
  <dc:creator>高文豪</dc:creator>
  <cp:lastModifiedBy>Administrator</cp:lastModifiedBy>
  <cp:lastPrinted>2021-09-16T06:01:00Z</cp:lastPrinted>
  <dcterms:modified xsi:type="dcterms:W3CDTF">2021-12-07T06:04:05Z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2052-11.1.0.11115</vt:lpwstr>
  </property>
  <property fmtid="{D5CDD505-2E9C-101B-9397-08002B2CF9AE}" pid="4" name="ICV">
    <vt:lpwstr>2DDCC7DC46E64CC98F09F2E989306BCE</vt:lpwstr>
  </property>
</Properties>
</file>