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auto"/>
          <w:spacing w:val="42"/>
          <w:sz w:val="84"/>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w:t>
      </w:r>
      <w:r>
        <w:rPr>
          <w:rFonts w:hint="eastAsia" w:ascii="华文中宋" w:hAnsi="华文中宋" w:eastAsia="华文中宋"/>
          <w:color w:val="auto"/>
          <w:spacing w:val="42"/>
          <w:sz w:val="130"/>
          <w:szCs w:val="130"/>
          <w:lang w:val="en-US" w:eastAsia="zh-CN"/>
        </w:rPr>
        <w:t xml:space="preserve"> </w:t>
      </w:r>
      <w:r>
        <w:rPr>
          <w:rFonts w:hint="eastAsia" w:ascii="华文中宋" w:hAnsi="华文中宋" w:eastAsia="华文中宋"/>
          <w:color w:val="auto"/>
          <w:spacing w:val="42"/>
          <w:sz w:val="130"/>
          <w:szCs w:val="130"/>
        </w:rPr>
        <w:t>标 文 件</w:t>
      </w:r>
    </w:p>
    <w:p>
      <w:pPr>
        <w:spacing w:line="360" w:lineRule="auto"/>
        <w:jc w:val="center"/>
        <w:rPr>
          <w:rFonts w:ascii="华文中宋" w:hAnsi="华文中宋" w:eastAsia="华文中宋"/>
          <w:color w:val="auto"/>
          <w:sz w:val="32"/>
          <w:szCs w:val="32"/>
        </w:rPr>
      </w:pPr>
    </w:p>
    <w:p>
      <w:pPr>
        <w:spacing w:line="360" w:lineRule="auto"/>
        <w:rPr>
          <w:rFonts w:ascii="华文中宋" w:hAnsi="华文中宋" w:eastAsia="华文中宋"/>
          <w:color w:val="auto"/>
        </w:rPr>
      </w:pPr>
    </w:p>
    <w:p>
      <w:pPr>
        <w:spacing w:line="360" w:lineRule="auto"/>
        <w:ind w:left="2409" w:leftChars="338" w:hanging="1699" w:hangingChars="531"/>
        <w:rPr>
          <w:rFonts w:hint="default" w:ascii="华文中宋" w:hAnsi="华文中宋" w:eastAsia="华文中宋"/>
          <w:color w:val="auto"/>
          <w:sz w:val="32"/>
          <w:szCs w:val="32"/>
          <w:lang w:val="en-US" w:eastAsia="zh-CN"/>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成都东部新区便民服务中心标准化建设家具采购项目</w:t>
      </w:r>
    </w:p>
    <w:p>
      <w:pPr>
        <w:spacing w:line="360" w:lineRule="auto"/>
        <w:ind w:left="2409" w:leftChars="338" w:hanging="1699" w:hangingChars="531"/>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项目编号：</w:t>
      </w:r>
      <w:r>
        <w:rPr>
          <w:rFonts w:hint="eastAsia" w:ascii="华文中宋" w:hAnsi="华文中宋" w:eastAsia="华文中宋"/>
          <w:color w:val="auto"/>
          <w:sz w:val="32"/>
          <w:szCs w:val="32"/>
          <w:lang w:eastAsia="zh-CN"/>
        </w:rPr>
        <w:t>东部新区政采（2021）A0064号</w:t>
      </w:r>
    </w:p>
    <w:p>
      <w:pPr>
        <w:spacing w:line="360" w:lineRule="auto"/>
        <w:ind w:firstLine="1280" w:firstLineChars="400"/>
        <w:rPr>
          <w:rFonts w:ascii="华文中宋" w:hAnsi="华文中宋" w:eastAsia="华文中宋"/>
          <w:color w:val="auto"/>
          <w:sz w:val="32"/>
          <w:szCs w:val="32"/>
        </w:rPr>
      </w:pPr>
    </w:p>
    <w:p>
      <w:pPr>
        <w:spacing w:line="360" w:lineRule="auto"/>
        <w:ind w:firstLine="1256" w:firstLineChars="349"/>
        <w:rPr>
          <w:rFonts w:ascii="华文中宋" w:hAnsi="华文中宋" w:eastAsia="华文中宋"/>
          <w:color w:val="auto"/>
          <w:spacing w:val="20"/>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sz w:val="32"/>
          <w:szCs w:val="32"/>
        </w:rPr>
      </w:pPr>
    </w:p>
    <w:p>
      <w:pPr>
        <w:spacing w:line="360" w:lineRule="auto"/>
        <w:jc w:val="center"/>
        <w:rPr>
          <w:rFonts w:ascii="华文中宋" w:hAnsi="华文中宋" w:eastAsia="华文中宋"/>
          <w:color w:val="auto"/>
          <w:sz w:val="32"/>
          <w:szCs w:val="32"/>
        </w:rPr>
      </w:pP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成都东部新区党工委管委会（成都市东部新城办）综合部</w:t>
      </w:r>
      <w:r>
        <w:rPr>
          <w:rFonts w:hint="eastAsia" w:ascii="华文中宋" w:hAnsi="华文中宋" w:eastAsia="华文中宋"/>
          <w:color w:val="auto"/>
          <w:sz w:val="32"/>
          <w:szCs w:val="32"/>
        </w:rPr>
        <w:t>编制</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rPr>
        <w:t>二〇二一年</w:t>
      </w:r>
      <w:r>
        <w:rPr>
          <w:rFonts w:hint="eastAsia" w:ascii="华文中宋" w:hAnsi="华文中宋" w:eastAsia="华文中宋"/>
          <w:color w:val="auto"/>
          <w:sz w:val="32"/>
          <w:szCs w:val="32"/>
          <w:lang w:val="en-US" w:eastAsia="zh-CN"/>
        </w:rPr>
        <w:t>十二</w:t>
      </w:r>
      <w:r>
        <w:rPr>
          <w:rFonts w:hint="eastAsia" w:ascii="华文中宋" w:hAnsi="华文中宋" w:eastAsia="华文中宋"/>
          <w:color w:val="auto"/>
          <w:sz w:val="32"/>
          <w:szCs w:val="32"/>
        </w:rPr>
        <w:t>月</w:t>
      </w:r>
    </w:p>
    <w:p>
      <w:pPr>
        <w:spacing w:line="360" w:lineRule="auto"/>
        <w:jc w:val="center"/>
        <w:rPr>
          <w:rFonts w:hint="eastAsia" w:ascii="宋体" w:hAnsi="宋体"/>
          <w:b/>
          <w:color w:val="auto"/>
          <w:sz w:val="32"/>
          <w:szCs w:val="32"/>
        </w:rPr>
        <w:sectPr>
          <w:footerReference r:id="rId3" w:type="default"/>
          <w:pgSz w:w="12240" w:h="15840"/>
          <w:pgMar w:top="1440" w:right="1800" w:bottom="1440" w:left="1800" w:header="708" w:footer="708" w:gutter="0"/>
          <w:cols w:space="708" w:num="1"/>
          <w:docGrid w:linePitch="360" w:charSpace="0"/>
        </w:sectPr>
      </w:pPr>
    </w:p>
    <w:sdt>
      <w:sdtPr>
        <w:rPr>
          <w:rFonts w:ascii="宋体" w:hAnsi="宋体" w:eastAsia="宋体" w:cs="Times New Roman"/>
          <w:color w:val="auto"/>
          <w:kern w:val="2"/>
          <w:sz w:val="21"/>
          <w:szCs w:val="22"/>
          <w:lang w:val="en-US" w:eastAsia="zh-CN" w:bidi="ar-SA"/>
        </w:rPr>
        <w:id w:val="147454539"/>
        <w15:color w:val="DBDBDB"/>
        <w:docPartObj>
          <w:docPartGallery w:val="Table of Contents"/>
          <w:docPartUnique/>
        </w:docPartObj>
      </w:sdtPr>
      <w:sdtEndPr>
        <w:rPr>
          <w:rFonts w:ascii="宋体" w:hAnsi="宋体" w:eastAsia="宋体" w:cs="Times New Roman"/>
          <w:b/>
          <w:bCs/>
          <w:color w:val="auto"/>
          <w:spacing w:val="-20"/>
          <w:kern w:val="44"/>
          <w:sz w:val="21"/>
          <w:szCs w:val="32"/>
          <w:lang w:val="en-US" w:eastAsia="zh-CN" w:bidi="ar-SA"/>
        </w:rPr>
      </w:sdtEndPr>
      <w:sdtContent>
        <w:p>
          <w:pPr>
            <w:spacing w:before="0" w:beforeLines="0" w:after="0" w:afterLines="0" w:line="240" w:lineRule="auto"/>
            <w:ind w:left="0" w:leftChars="0" w:right="0" w:rightChars="0" w:firstLine="0" w:firstLineChars="0"/>
            <w:jc w:val="center"/>
            <w:rPr>
              <w:color w:val="auto"/>
            </w:rPr>
          </w:pPr>
          <w:bookmarkStart w:id="0" w:name="_Toc12653"/>
          <w:r>
            <w:rPr>
              <w:rFonts w:ascii="宋体" w:hAnsi="宋体" w:eastAsia="宋体"/>
              <w:b/>
              <w:bCs/>
              <w:color w:val="auto"/>
              <w:sz w:val="28"/>
              <w:szCs w:val="32"/>
            </w:rPr>
            <w:t>目录</w:t>
          </w:r>
        </w:p>
        <w:p>
          <w:pPr>
            <w:pStyle w:val="29"/>
            <w:tabs>
              <w:tab w:val="right" w:leader="dot" w:pos="8640"/>
              <w:tab w:val="clear" w:pos="709"/>
              <w:tab w:val="clear" w:pos="8364"/>
            </w:tabs>
            <w:rPr>
              <w:color w:val="auto"/>
            </w:rPr>
          </w:pPr>
          <w:r>
            <w:rPr>
              <w:rFonts w:ascii="宋体" w:hAnsi="宋体"/>
              <w:b/>
              <w:bCs/>
              <w:color w:val="auto"/>
              <w:spacing w:val="-20"/>
              <w:kern w:val="44"/>
              <w:sz w:val="32"/>
              <w:szCs w:val="32"/>
            </w:rPr>
            <w:fldChar w:fldCharType="begin"/>
          </w:r>
          <w:r>
            <w:rPr>
              <w:rFonts w:ascii="宋体" w:hAnsi="宋体"/>
              <w:b/>
              <w:bCs/>
              <w:color w:val="auto"/>
              <w:spacing w:val="-20"/>
              <w:kern w:val="44"/>
              <w:sz w:val="32"/>
              <w:szCs w:val="32"/>
            </w:rPr>
            <w:instrText xml:space="preserve">TOC \o "1-2" \h \u </w:instrText>
          </w:r>
          <w:r>
            <w:rPr>
              <w:rFonts w:ascii="宋体" w:hAnsi="宋体"/>
              <w:b/>
              <w:bCs/>
              <w:color w:val="auto"/>
              <w:spacing w:val="-20"/>
              <w:kern w:val="44"/>
              <w:sz w:val="32"/>
              <w:szCs w:val="32"/>
            </w:rPr>
            <w:fldChar w:fldCharType="separate"/>
          </w: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_Toc8450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pacing w:val="-20"/>
              <w:kern w:val="44"/>
              <w:szCs w:val="32"/>
            </w:rPr>
            <w:t xml:space="preserve">第1章 </w:t>
          </w:r>
          <w:r>
            <w:rPr>
              <w:rFonts w:hint="eastAsia" w:ascii="宋体" w:hAnsi="宋体"/>
              <w:bCs/>
              <w:color w:val="auto"/>
              <w:spacing w:val="-20"/>
              <w:kern w:val="44"/>
              <w:szCs w:val="32"/>
            </w:rPr>
            <w:t>投标邀请</w:t>
          </w:r>
          <w:r>
            <w:rPr>
              <w:color w:val="auto"/>
            </w:rPr>
            <w:tab/>
          </w:r>
          <w:r>
            <w:rPr>
              <w:color w:val="auto"/>
            </w:rPr>
            <w:fldChar w:fldCharType="begin"/>
          </w:r>
          <w:r>
            <w:rPr>
              <w:color w:val="auto"/>
            </w:rPr>
            <w:instrText xml:space="preserve"> PAGEREF _Toc8450 \h </w:instrText>
          </w:r>
          <w:r>
            <w:rPr>
              <w:color w:val="auto"/>
            </w:rPr>
            <w:fldChar w:fldCharType="separate"/>
          </w:r>
          <w:r>
            <w:rPr>
              <w:color w:val="auto"/>
            </w:rPr>
            <w:t>3</w:t>
          </w:r>
          <w:r>
            <w:rPr>
              <w:color w:val="auto"/>
            </w:rPr>
            <w:fldChar w:fldCharType="end"/>
          </w:r>
          <w:r>
            <w:rPr>
              <w:rFonts w:ascii="宋体" w:hAnsi="宋体"/>
              <w:bCs/>
              <w:color w:val="auto"/>
              <w:spacing w:val="-20"/>
              <w:kern w:val="44"/>
              <w:szCs w:val="32"/>
            </w:rPr>
            <w:fldChar w:fldCharType="end"/>
          </w:r>
        </w:p>
        <w:p>
          <w:pPr>
            <w:pStyle w:val="29"/>
            <w:tabs>
              <w:tab w:val="right" w:leader="dot" w:pos="8640"/>
              <w:tab w:val="clear" w:pos="709"/>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_Toc945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pacing w:val="-20"/>
              <w:kern w:val="44"/>
              <w:szCs w:val="32"/>
            </w:rPr>
            <w:t xml:space="preserve">第2章 </w:t>
          </w:r>
          <w:r>
            <w:rPr>
              <w:rFonts w:hint="eastAsia" w:ascii="宋体" w:hAnsi="宋体"/>
              <w:bCs/>
              <w:color w:val="auto"/>
              <w:spacing w:val="-20"/>
              <w:kern w:val="44"/>
              <w:szCs w:val="32"/>
            </w:rPr>
            <w:t>投标人须知</w:t>
          </w:r>
          <w:r>
            <w:rPr>
              <w:color w:val="auto"/>
            </w:rPr>
            <w:tab/>
          </w:r>
          <w:r>
            <w:rPr>
              <w:color w:val="auto"/>
            </w:rPr>
            <w:fldChar w:fldCharType="begin"/>
          </w:r>
          <w:r>
            <w:rPr>
              <w:color w:val="auto"/>
            </w:rPr>
            <w:instrText xml:space="preserve"> PAGEREF _Toc945 \h </w:instrText>
          </w:r>
          <w:r>
            <w:rPr>
              <w:color w:val="auto"/>
            </w:rPr>
            <w:fldChar w:fldCharType="separate"/>
          </w:r>
          <w:r>
            <w:rPr>
              <w:color w:val="auto"/>
            </w:rPr>
            <w:t>8</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_Toc5274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2.1 </w:t>
          </w:r>
          <w:r>
            <w:rPr>
              <w:rFonts w:hint="eastAsia" w:ascii="宋体" w:hAnsi="宋体"/>
              <w:bCs/>
              <w:color w:val="auto"/>
              <w:szCs w:val="28"/>
            </w:rPr>
            <w:t>投标人须知前附表</w:t>
          </w:r>
          <w:r>
            <w:rPr>
              <w:color w:val="auto"/>
            </w:rPr>
            <w:tab/>
          </w:r>
          <w:r>
            <w:rPr>
              <w:color w:val="auto"/>
            </w:rPr>
            <w:fldChar w:fldCharType="begin"/>
          </w:r>
          <w:r>
            <w:rPr>
              <w:color w:val="auto"/>
            </w:rPr>
            <w:instrText xml:space="preserve"> PAGEREF _Toc5274 \h </w:instrText>
          </w:r>
          <w:r>
            <w:rPr>
              <w:color w:val="auto"/>
            </w:rPr>
            <w:fldChar w:fldCharType="separate"/>
          </w:r>
          <w:r>
            <w:rPr>
              <w:color w:val="auto"/>
            </w:rPr>
            <w:t>8</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_Toc21488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2.2 </w:t>
          </w:r>
          <w:r>
            <w:rPr>
              <w:rFonts w:hint="eastAsia" w:ascii="宋体" w:hAnsi="宋体"/>
              <w:bCs/>
              <w:color w:val="auto"/>
              <w:szCs w:val="28"/>
            </w:rPr>
            <w:t>总则</w:t>
          </w:r>
          <w:r>
            <w:rPr>
              <w:color w:val="auto"/>
            </w:rPr>
            <w:tab/>
          </w:r>
          <w:r>
            <w:rPr>
              <w:color w:val="auto"/>
            </w:rPr>
            <w:fldChar w:fldCharType="begin"/>
          </w:r>
          <w:r>
            <w:rPr>
              <w:color w:val="auto"/>
            </w:rPr>
            <w:instrText xml:space="preserve"> PAGEREF _Toc21488 \h </w:instrText>
          </w:r>
          <w:r>
            <w:rPr>
              <w:color w:val="auto"/>
            </w:rPr>
            <w:fldChar w:fldCharType="separate"/>
          </w:r>
          <w:r>
            <w:rPr>
              <w:color w:val="auto"/>
            </w:rPr>
            <w:t>10</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_Toc25328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2.3 </w:t>
          </w:r>
          <w:r>
            <w:rPr>
              <w:rFonts w:hint="eastAsia" w:ascii="宋体" w:hAnsi="宋体"/>
              <w:bCs/>
              <w:color w:val="auto"/>
              <w:szCs w:val="28"/>
            </w:rPr>
            <w:t>招标文件</w:t>
          </w:r>
          <w:r>
            <w:rPr>
              <w:color w:val="auto"/>
            </w:rPr>
            <w:tab/>
          </w:r>
          <w:r>
            <w:rPr>
              <w:color w:val="auto"/>
            </w:rPr>
            <w:fldChar w:fldCharType="begin"/>
          </w:r>
          <w:r>
            <w:rPr>
              <w:color w:val="auto"/>
            </w:rPr>
            <w:instrText xml:space="preserve"> PAGEREF _Toc25328 \h </w:instrText>
          </w:r>
          <w:r>
            <w:rPr>
              <w:color w:val="auto"/>
            </w:rPr>
            <w:fldChar w:fldCharType="separate"/>
          </w:r>
          <w:r>
            <w:rPr>
              <w:color w:val="auto"/>
            </w:rPr>
            <w:t>13</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_Toc9559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2.4 </w:t>
          </w:r>
          <w:r>
            <w:rPr>
              <w:rFonts w:hint="eastAsia" w:ascii="宋体" w:hAnsi="宋体"/>
              <w:bCs/>
              <w:color w:val="auto"/>
              <w:szCs w:val="28"/>
            </w:rPr>
            <w:t>投标文件</w:t>
          </w:r>
          <w:r>
            <w:rPr>
              <w:color w:val="auto"/>
            </w:rPr>
            <w:tab/>
          </w:r>
          <w:r>
            <w:rPr>
              <w:color w:val="auto"/>
            </w:rPr>
            <w:fldChar w:fldCharType="begin"/>
          </w:r>
          <w:r>
            <w:rPr>
              <w:color w:val="auto"/>
            </w:rPr>
            <w:instrText xml:space="preserve"> PAGEREF _Toc9559 \h </w:instrText>
          </w:r>
          <w:r>
            <w:rPr>
              <w:color w:val="auto"/>
            </w:rPr>
            <w:fldChar w:fldCharType="separate"/>
          </w:r>
          <w:r>
            <w:rPr>
              <w:color w:val="auto"/>
            </w:rPr>
            <w:t>14</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_Toc19611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2.5 </w:t>
          </w:r>
          <w:r>
            <w:rPr>
              <w:rFonts w:hint="eastAsia" w:ascii="宋体" w:hAnsi="宋体"/>
              <w:bCs/>
              <w:color w:val="auto"/>
              <w:szCs w:val="28"/>
            </w:rPr>
            <w:t>开标、资格审查、评标和中标</w:t>
          </w:r>
          <w:r>
            <w:rPr>
              <w:color w:val="auto"/>
            </w:rPr>
            <w:tab/>
          </w:r>
          <w:r>
            <w:rPr>
              <w:color w:val="auto"/>
            </w:rPr>
            <w:fldChar w:fldCharType="begin"/>
          </w:r>
          <w:r>
            <w:rPr>
              <w:color w:val="auto"/>
            </w:rPr>
            <w:instrText xml:space="preserve"> PAGEREF _Toc19611 \h </w:instrText>
          </w:r>
          <w:r>
            <w:rPr>
              <w:color w:val="auto"/>
            </w:rPr>
            <w:fldChar w:fldCharType="separate"/>
          </w:r>
          <w:r>
            <w:rPr>
              <w:color w:val="auto"/>
            </w:rPr>
            <w:t>21</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_Toc5460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2.6 </w:t>
          </w:r>
          <w:r>
            <w:rPr>
              <w:rFonts w:hint="eastAsia" w:ascii="宋体" w:hAnsi="宋体"/>
              <w:bCs/>
              <w:color w:val="auto"/>
              <w:szCs w:val="28"/>
            </w:rPr>
            <w:t>签订及履行合同和验收</w:t>
          </w:r>
          <w:r>
            <w:rPr>
              <w:color w:val="auto"/>
            </w:rPr>
            <w:tab/>
          </w:r>
          <w:r>
            <w:rPr>
              <w:color w:val="auto"/>
            </w:rPr>
            <w:fldChar w:fldCharType="begin"/>
          </w:r>
          <w:r>
            <w:rPr>
              <w:color w:val="auto"/>
            </w:rPr>
            <w:instrText xml:space="preserve"> PAGEREF _Toc5460 \h </w:instrText>
          </w:r>
          <w:r>
            <w:rPr>
              <w:color w:val="auto"/>
            </w:rPr>
            <w:fldChar w:fldCharType="separate"/>
          </w:r>
          <w:r>
            <w:rPr>
              <w:color w:val="auto"/>
            </w:rPr>
            <w:t>23</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_Toc8657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2.7 </w:t>
          </w:r>
          <w:r>
            <w:rPr>
              <w:rFonts w:hint="eastAsia" w:ascii="宋体" w:hAnsi="宋体"/>
              <w:bCs/>
              <w:color w:val="auto"/>
              <w:szCs w:val="28"/>
            </w:rPr>
            <w:t>投标纪律要求</w:t>
          </w:r>
          <w:r>
            <w:rPr>
              <w:color w:val="auto"/>
            </w:rPr>
            <w:tab/>
          </w:r>
          <w:r>
            <w:rPr>
              <w:color w:val="auto"/>
            </w:rPr>
            <w:fldChar w:fldCharType="begin"/>
          </w:r>
          <w:r>
            <w:rPr>
              <w:color w:val="auto"/>
            </w:rPr>
            <w:instrText xml:space="preserve"> PAGEREF _Toc8657 \h </w:instrText>
          </w:r>
          <w:r>
            <w:rPr>
              <w:color w:val="auto"/>
            </w:rPr>
            <w:fldChar w:fldCharType="separate"/>
          </w:r>
          <w:r>
            <w:rPr>
              <w:color w:val="auto"/>
            </w:rPr>
            <w:t>25</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_Toc8659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2.8 </w:t>
          </w:r>
          <w:r>
            <w:rPr>
              <w:rFonts w:hint="eastAsia" w:ascii="宋体" w:hAnsi="宋体"/>
              <w:bCs/>
              <w:color w:val="auto"/>
              <w:szCs w:val="28"/>
            </w:rPr>
            <w:t>询问、质疑和投诉</w:t>
          </w:r>
          <w:r>
            <w:rPr>
              <w:color w:val="auto"/>
            </w:rPr>
            <w:tab/>
          </w:r>
          <w:r>
            <w:rPr>
              <w:color w:val="auto"/>
            </w:rPr>
            <w:fldChar w:fldCharType="begin"/>
          </w:r>
          <w:r>
            <w:rPr>
              <w:color w:val="auto"/>
            </w:rPr>
            <w:instrText xml:space="preserve"> PAGEREF _Toc8659 \h </w:instrText>
          </w:r>
          <w:r>
            <w:rPr>
              <w:color w:val="auto"/>
            </w:rPr>
            <w:fldChar w:fldCharType="separate"/>
          </w:r>
          <w:r>
            <w:rPr>
              <w:color w:val="auto"/>
            </w:rPr>
            <w:t>27</w:t>
          </w:r>
          <w:r>
            <w:rPr>
              <w:color w:val="auto"/>
            </w:rPr>
            <w:fldChar w:fldCharType="end"/>
          </w:r>
          <w:r>
            <w:rPr>
              <w:rFonts w:ascii="宋体" w:hAnsi="宋体"/>
              <w:bCs/>
              <w:color w:val="auto"/>
              <w:spacing w:val="-20"/>
              <w:kern w:val="44"/>
              <w:szCs w:val="32"/>
            </w:rPr>
            <w:fldChar w:fldCharType="end"/>
          </w:r>
        </w:p>
        <w:p>
          <w:pPr>
            <w:pStyle w:val="29"/>
            <w:tabs>
              <w:tab w:val="right" w:leader="dot" w:pos="8640"/>
              <w:tab w:val="clear" w:pos="709"/>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_Toc25872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pacing w:val="-20"/>
              <w:kern w:val="44"/>
              <w:szCs w:val="32"/>
            </w:rPr>
            <w:t xml:space="preserve">第3章 </w:t>
          </w:r>
          <w:r>
            <w:rPr>
              <w:rFonts w:hint="eastAsia" w:ascii="宋体" w:hAnsi="宋体"/>
              <w:bCs/>
              <w:color w:val="auto"/>
              <w:spacing w:val="-20"/>
              <w:kern w:val="44"/>
              <w:szCs w:val="32"/>
            </w:rPr>
            <w:t>投标文件格式</w:t>
          </w:r>
          <w:r>
            <w:rPr>
              <w:color w:val="auto"/>
            </w:rPr>
            <w:tab/>
          </w:r>
          <w:r>
            <w:rPr>
              <w:color w:val="auto"/>
            </w:rPr>
            <w:fldChar w:fldCharType="begin"/>
          </w:r>
          <w:r>
            <w:rPr>
              <w:color w:val="auto"/>
            </w:rPr>
            <w:instrText xml:space="preserve"> PAGEREF _Toc25872 \h </w:instrText>
          </w:r>
          <w:r>
            <w:rPr>
              <w:color w:val="auto"/>
            </w:rPr>
            <w:fldChar w:fldCharType="separate"/>
          </w:r>
          <w:r>
            <w:rPr>
              <w:color w:val="auto"/>
            </w:rPr>
            <w:t>29</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_Toc30333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3.1 </w:t>
          </w:r>
          <w:r>
            <w:rPr>
              <w:rFonts w:hint="eastAsia" w:ascii="宋体" w:hAnsi="宋体"/>
              <w:bCs/>
              <w:color w:val="auto"/>
              <w:szCs w:val="28"/>
            </w:rPr>
            <w:t>投标文件封面格式</w:t>
          </w:r>
          <w:r>
            <w:rPr>
              <w:color w:val="auto"/>
            </w:rPr>
            <w:tab/>
          </w:r>
          <w:r>
            <w:rPr>
              <w:color w:val="auto"/>
            </w:rPr>
            <w:fldChar w:fldCharType="begin"/>
          </w:r>
          <w:r>
            <w:rPr>
              <w:color w:val="auto"/>
            </w:rPr>
            <w:instrText xml:space="preserve"> PAGEREF _Toc30333 \h </w:instrText>
          </w:r>
          <w:r>
            <w:rPr>
              <w:color w:val="auto"/>
            </w:rPr>
            <w:fldChar w:fldCharType="separate"/>
          </w:r>
          <w:r>
            <w:rPr>
              <w:color w:val="auto"/>
            </w:rPr>
            <w:t>29</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_Toc509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3.2 </w:t>
          </w:r>
          <w:r>
            <w:rPr>
              <w:rFonts w:hint="eastAsia" w:ascii="宋体" w:hAnsi="宋体"/>
              <w:bCs/>
              <w:color w:val="auto"/>
              <w:szCs w:val="28"/>
            </w:rPr>
            <w:t>资格响应文件</w:t>
          </w:r>
          <w:r>
            <w:rPr>
              <w:color w:val="auto"/>
            </w:rPr>
            <w:tab/>
          </w:r>
          <w:r>
            <w:rPr>
              <w:color w:val="auto"/>
            </w:rPr>
            <w:fldChar w:fldCharType="begin"/>
          </w:r>
          <w:r>
            <w:rPr>
              <w:color w:val="auto"/>
            </w:rPr>
            <w:instrText xml:space="preserve"> PAGEREF _Toc509 \h </w:instrText>
          </w:r>
          <w:r>
            <w:rPr>
              <w:color w:val="auto"/>
            </w:rPr>
            <w:fldChar w:fldCharType="separate"/>
          </w:r>
          <w:r>
            <w:rPr>
              <w:color w:val="auto"/>
            </w:rPr>
            <w:t>30</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_Toc27795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3.3 </w:t>
          </w:r>
          <w:r>
            <w:rPr>
              <w:rFonts w:hint="eastAsia" w:ascii="宋体" w:hAnsi="宋体"/>
              <w:bCs/>
              <w:color w:val="auto"/>
              <w:szCs w:val="28"/>
            </w:rPr>
            <w:t>商务技术</w:t>
          </w:r>
          <w:r>
            <w:rPr>
              <w:rFonts w:ascii="宋体" w:hAnsi="宋体"/>
              <w:bCs/>
              <w:color w:val="auto"/>
              <w:szCs w:val="28"/>
            </w:rPr>
            <w:t>响应文件</w:t>
          </w:r>
          <w:r>
            <w:rPr>
              <w:color w:val="auto"/>
            </w:rPr>
            <w:tab/>
          </w:r>
          <w:r>
            <w:rPr>
              <w:color w:val="auto"/>
            </w:rPr>
            <w:fldChar w:fldCharType="begin"/>
          </w:r>
          <w:r>
            <w:rPr>
              <w:color w:val="auto"/>
            </w:rPr>
            <w:instrText xml:space="preserve"> PAGEREF _Toc27795 \h </w:instrText>
          </w:r>
          <w:r>
            <w:rPr>
              <w:color w:val="auto"/>
            </w:rPr>
            <w:fldChar w:fldCharType="separate"/>
          </w:r>
          <w:r>
            <w:rPr>
              <w:color w:val="auto"/>
            </w:rPr>
            <w:t>37</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_Toc24639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3.4 </w:t>
          </w:r>
          <w:r>
            <w:rPr>
              <w:rFonts w:hint="eastAsia" w:ascii="宋体" w:hAnsi="宋体"/>
              <w:bCs/>
              <w:color w:val="auto"/>
              <w:szCs w:val="28"/>
            </w:rPr>
            <w:t>报价</w:t>
          </w:r>
          <w:r>
            <w:rPr>
              <w:rFonts w:ascii="宋体" w:hAnsi="宋体"/>
              <w:bCs/>
              <w:color w:val="auto"/>
              <w:szCs w:val="28"/>
            </w:rPr>
            <w:t>要求响应文件</w:t>
          </w:r>
          <w:r>
            <w:rPr>
              <w:color w:val="auto"/>
            </w:rPr>
            <w:tab/>
          </w:r>
          <w:r>
            <w:rPr>
              <w:color w:val="auto"/>
            </w:rPr>
            <w:fldChar w:fldCharType="begin"/>
          </w:r>
          <w:r>
            <w:rPr>
              <w:color w:val="auto"/>
            </w:rPr>
            <w:instrText xml:space="preserve"> PAGEREF _Toc24639 \h </w:instrText>
          </w:r>
          <w:r>
            <w:rPr>
              <w:color w:val="auto"/>
            </w:rPr>
            <w:fldChar w:fldCharType="separate"/>
          </w:r>
          <w:r>
            <w:rPr>
              <w:color w:val="auto"/>
            </w:rPr>
            <w:t>46</w:t>
          </w:r>
          <w:r>
            <w:rPr>
              <w:color w:val="auto"/>
            </w:rPr>
            <w:fldChar w:fldCharType="end"/>
          </w:r>
          <w:r>
            <w:rPr>
              <w:rFonts w:ascii="宋体" w:hAnsi="宋体"/>
              <w:bCs/>
              <w:color w:val="auto"/>
              <w:spacing w:val="-20"/>
              <w:kern w:val="44"/>
              <w:szCs w:val="32"/>
            </w:rPr>
            <w:fldChar w:fldCharType="end"/>
          </w:r>
        </w:p>
        <w:p>
          <w:pPr>
            <w:pStyle w:val="29"/>
            <w:tabs>
              <w:tab w:val="right" w:leader="dot" w:pos="8640"/>
              <w:tab w:val="clear" w:pos="709"/>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_Toc6889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pacing w:val="-20"/>
              <w:kern w:val="44"/>
              <w:szCs w:val="32"/>
            </w:rPr>
            <w:t xml:space="preserve">第4章 </w:t>
          </w:r>
          <w:r>
            <w:rPr>
              <w:rFonts w:hint="eastAsia" w:ascii="宋体" w:hAnsi="宋体" w:eastAsia="宋体" w:cs="宋体"/>
              <w:bCs/>
              <w:color w:val="auto"/>
              <w:spacing w:val="-20"/>
              <w:kern w:val="44"/>
              <w:szCs w:val="32"/>
            </w:rPr>
            <w:t>招标项目技术、服务、商务及其他要求</w:t>
          </w:r>
          <w:r>
            <w:rPr>
              <w:color w:val="auto"/>
            </w:rPr>
            <w:tab/>
          </w:r>
          <w:r>
            <w:rPr>
              <w:color w:val="auto"/>
            </w:rPr>
            <w:fldChar w:fldCharType="begin"/>
          </w:r>
          <w:r>
            <w:rPr>
              <w:color w:val="auto"/>
            </w:rPr>
            <w:instrText xml:space="preserve"> PAGEREF _Toc6889 \h </w:instrText>
          </w:r>
          <w:r>
            <w:rPr>
              <w:color w:val="auto"/>
            </w:rPr>
            <w:fldChar w:fldCharType="separate"/>
          </w:r>
          <w:r>
            <w:rPr>
              <w:color w:val="auto"/>
            </w:rPr>
            <w:t>49</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_Toc23056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4.1 </w:t>
          </w:r>
          <w:r>
            <w:rPr>
              <w:rFonts w:hint="eastAsia" w:ascii="宋体" w:hAnsi="宋体" w:eastAsia="宋体" w:cs="宋体"/>
              <w:bCs/>
              <w:color w:val="auto"/>
            </w:rPr>
            <w:t>项目概述</w:t>
          </w:r>
          <w:r>
            <w:rPr>
              <w:color w:val="auto"/>
            </w:rPr>
            <w:tab/>
          </w:r>
          <w:r>
            <w:rPr>
              <w:color w:val="auto"/>
            </w:rPr>
            <w:fldChar w:fldCharType="begin"/>
          </w:r>
          <w:r>
            <w:rPr>
              <w:color w:val="auto"/>
            </w:rPr>
            <w:instrText xml:space="preserve"> PAGEREF _Toc23056 \h </w:instrText>
          </w:r>
          <w:r>
            <w:rPr>
              <w:color w:val="auto"/>
            </w:rPr>
            <w:fldChar w:fldCharType="separate"/>
          </w:r>
          <w:r>
            <w:rPr>
              <w:color w:val="auto"/>
            </w:rPr>
            <w:t>49</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_Toc32411 </w:instrText>
          </w:r>
          <w:r>
            <w:rPr>
              <w:rFonts w:ascii="宋体" w:hAnsi="宋体"/>
              <w:bCs/>
              <w:color w:val="auto"/>
              <w:spacing w:val="-20"/>
              <w:kern w:val="44"/>
              <w:szCs w:val="32"/>
            </w:rPr>
            <w:fldChar w:fldCharType="separate"/>
          </w:r>
          <w:r>
            <w:rPr>
              <w:rFonts w:hint="default" w:ascii="Times New Roman" w:hAnsi="Times New Roman" w:eastAsia="宋体" w:cs="Times New Roman"/>
              <w:i w:val="0"/>
              <w:color w:val="auto"/>
              <w:szCs w:val="28"/>
            </w:rPr>
            <w:t xml:space="preserve">4.2 </w:t>
          </w:r>
          <w:r>
            <w:rPr>
              <w:rFonts w:hint="eastAsia" w:ascii="宋体" w:hAnsi="宋体" w:eastAsia="宋体" w:cs="宋体"/>
              <w:bCs/>
              <w:color w:val="auto"/>
            </w:rPr>
            <w:t>本项目核心产品</w:t>
          </w:r>
          <w:r>
            <w:rPr>
              <w:rFonts w:hint="eastAsia" w:ascii="宋体" w:hAnsi="宋体" w:eastAsia="宋体" w:cs="宋体"/>
              <w:color w:val="auto"/>
            </w:rPr>
            <w:t>：</w:t>
          </w:r>
          <w:r>
            <w:rPr>
              <w:color w:val="auto"/>
            </w:rPr>
            <w:tab/>
          </w:r>
          <w:r>
            <w:rPr>
              <w:color w:val="auto"/>
            </w:rPr>
            <w:fldChar w:fldCharType="begin"/>
          </w:r>
          <w:r>
            <w:rPr>
              <w:color w:val="auto"/>
            </w:rPr>
            <w:instrText xml:space="preserve"> PAGEREF _Toc32411 \h </w:instrText>
          </w:r>
          <w:r>
            <w:rPr>
              <w:color w:val="auto"/>
            </w:rPr>
            <w:fldChar w:fldCharType="separate"/>
          </w:r>
          <w:r>
            <w:rPr>
              <w:color w:val="auto"/>
            </w:rPr>
            <w:t>49</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_Toc7336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4.3 </w:t>
          </w:r>
          <w:r>
            <w:rPr>
              <w:rFonts w:hint="eastAsia" w:ascii="宋体" w:hAnsi="宋体" w:eastAsia="宋体" w:cs="宋体"/>
              <w:bCs/>
              <w:color w:val="auto"/>
            </w:rPr>
            <w:t>采购清单</w:t>
          </w:r>
          <w:r>
            <w:rPr>
              <w:color w:val="auto"/>
            </w:rPr>
            <w:tab/>
          </w:r>
          <w:r>
            <w:rPr>
              <w:color w:val="auto"/>
            </w:rPr>
            <w:fldChar w:fldCharType="begin"/>
          </w:r>
          <w:r>
            <w:rPr>
              <w:color w:val="auto"/>
            </w:rPr>
            <w:instrText xml:space="preserve"> PAGEREF _Toc7336 \h </w:instrText>
          </w:r>
          <w:r>
            <w:rPr>
              <w:color w:val="auto"/>
            </w:rPr>
            <w:fldChar w:fldCharType="separate"/>
          </w:r>
          <w:r>
            <w:rPr>
              <w:color w:val="auto"/>
            </w:rPr>
            <w:t>49</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_Toc19045 </w:instrText>
          </w:r>
          <w:r>
            <w:rPr>
              <w:rFonts w:ascii="宋体" w:hAnsi="宋体"/>
              <w:bCs/>
              <w:color w:val="auto"/>
              <w:spacing w:val="-20"/>
              <w:kern w:val="44"/>
              <w:szCs w:val="32"/>
            </w:rPr>
            <w:fldChar w:fldCharType="separate"/>
          </w:r>
          <w:r>
            <w:rPr>
              <w:rFonts w:hint="default" w:ascii="Times New Roman" w:hAnsi="Times New Roman" w:eastAsia="宋体" w:cs="Times New Roman"/>
              <w:i w:val="0"/>
              <w:color w:val="auto"/>
              <w:szCs w:val="28"/>
            </w:rPr>
            <w:t xml:space="preserve">4.4 </w:t>
          </w:r>
          <w:r>
            <w:rPr>
              <w:rFonts w:hint="eastAsia" w:ascii="宋体" w:hAnsi="宋体" w:eastAsia="宋体" w:cs="宋体"/>
              <w:color w:val="auto"/>
            </w:rPr>
            <w:t>技术参数及功能要求</w:t>
          </w:r>
          <w:r>
            <w:rPr>
              <w:color w:val="auto"/>
            </w:rPr>
            <w:tab/>
          </w:r>
          <w:r>
            <w:rPr>
              <w:color w:val="auto"/>
            </w:rPr>
            <w:fldChar w:fldCharType="begin"/>
          </w:r>
          <w:r>
            <w:rPr>
              <w:color w:val="auto"/>
            </w:rPr>
            <w:instrText xml:space="preserve"> PAGEREF _Toc19045 \h </w:instrText>
          </w:r>
          <w:r>
            <w:rPr>
              <w:color w:val="auto"/>
            </w:rPr>
            <w:fldChar w:fldCharType="separate"/>
          </w:r>
          <w:r>
            <w:rPr>
              <w:color w:val="auto"/>
            </w:rPr>
            <w:t>53</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_Toc26797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4.5 </w:t>
          </w:r>
          <w:r>
            <w:rPr>
              <w:rFonts w:hint="eastAsia" w:ascii="宋体" w:hAnsi="宋体" w:eastAsia="宋体" w:cs="宋体"/>
              <w:color w:val="auto"/>
            </w:rPr>
            <w:t>★</w:t>
          </w:r>
          <w:r>
            <w:rPr>
              <w:rFonts w:hint="eastAsia" w:ascii="宋体" w:hAnsi="宋体" w:eastAsia="宋体" w:cs="宋体"/>
              <w:bCs/>
              <w:color w:val="auto"/>
            </w:rPr>
            <w:t>质量要求(须在其他投标文件中单独提供承诺函进行响应，格式自拟)</w:t>
          </w:r>
          <w:r>
            <w:rPr>
              <w:color w:val="auto"/>
            </w:rPr>
            <w:tab/>
          </w:r>
          <w:r>
            <w:rPr>
              <w:color w:val="auto"/>
            </w:rPr>
            <w:fldChar w:fldCharType="begin"/>
          </w:r>
          <w:r>
            <w:rPr>
              <w:color w:val="auto"/>
            </w:rPr>
            <w:instrText xml:space="preserve"> PAGEREF _Toc26797 \h </w:instrText>
          </w:r>
          <w:r>
            <w:rPr>
              <w:color w:val="auto"/>
            </w:rPr>
            <w:fldChar w:fldCharType="separate"/>
          </w:r>
          <w:r>
            <w:rPr>
              <w:color w:val="auto"/>
            </w:rPr>
            <w:t>66</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_Toc6604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4.6 </w:t>
          </w:r>
          <w:r>
            <w:rPr>
              <w:rFonts w:hint="eastAsia" w:ascii="宋体" w:hAnsi="宋体" w:eastAsia="宋体" w:cs="宋体"/>
              <w:bCs/>
              <w:color w:val="auto"/>
            </w:rPr>
            <w:t>售后服务要求</w:t>
          </w:r>
          <w:r>
            <w:rPr>
              <w:color w:val="auto"/>
            </w:rPr>
            <w:tab/>
          </w:r>
          <w:r>
            <w:rPr>
              <w:color w:val="auto"/>
            </w:rPr>
            <w:fldChar w:fldCharType="begin"/>
          </w:r>
          <w:r>
            <w:rPr>
              <w:color w:val="auto"/>
            </w:rPr>
            <w:instrText xml:space="preserve"> PAGEREF _Toc6604 \h </w:instrText>
          </w:r>
          <w:r>
            <w:rPr>
              <w:color w:val="auto"/>
            </w:rPr>
            <w:fldChar w:fldCharType="separate"/>
          </w:r>
          <w:r>
            <w:rPr>
              <w:color w:val="auto"/>
            </w:rPr>
            <w:t>67</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_Toc6972 </w:instrText>
          </w:r>
          <w:r>
            <w:rPr>
              <w:rFonts w:ascii="宋体" w:hAnsi="宋体"/>
              <w:bCs/>
              <w:color w:val="auto"/>
              <w:spacing w:val="-20"/>
              <w:kern w:val="44"/>
              <w:szCs w:val="32"/>
            </w:rPr>
            <w:fldChar w:fldCharType="separate"/>
          </w:r>
          <w:r>
            <w:rPr>
              <w:rFonts w:hint="default" w:ascii="Times New Roman" w:hAnsi="Times New Roman" w:eastAsia="宋体" w:cs="Times New Roman"/>
              <w:i w:val="0"/>
              <w:color w:val="auto"/>
              <w:szCs w:val="28"/>
            </w:rPr>
            <w:t xml:space="preserve">4.7 </w:t>
          </w:r>
          <w:r>
            <w:rPr>
              <w:rFonts w:hint="eastAsia" w:ascii="宋体" w:hAnsi="宋体" w:eastAsia="宋体" w:cs="宋体"/>
              <w:color w:val="auto"/>
            </w:rPr>
            <w:t>★商务要求</w:t>
          </w:r>
          <w:r>
            <w:rPr>
              <w:color w:val="auto"/>
            </w:rPr>
            <w:tab/>
          </w:r>
          <w:r>
            <w:rPr>
              <w:color w:val="auto"/>
            </w:rPr>
            <w:fldChar w:fldCharType="begin"/>
          </w:r>
          <w:r>
            <w:rPr>
              <w:color w:val="auto"/>
            </w:rPr>
            <w:instrText xml:space="preserve"> PAGEREF _Toc6972 \h </w:instrText>
          </w:r>
          <w:r>
            <w:rPr>
              <w:color w:val="auto"/>
            </w:rPr>
            <w:fldChar w:fldCharType="separate"/>
          </w:r>
          <w:r>
            <w:rPr>
              <w:color w:val="auto"/>
            </w:rPr>
            <w:t>67</w:t>
          </w:r>
          <w:r>
            <w:rPr>
              <w:color w:val="auto"/>
            </w:rPr>
            <w:fldChar w:fldCharType="end"/>
          </w:r>
          <w:r>
            <w:rPr>
              <w:rFonts w:ascii="宋体" w:hAnsi="宋体"/>
              <w:bCs/>
              <w:color w:val="auto"/>
              <w:spacing w:val="-20"/>
              <w:kern w:val="44"/>
              <w:szCs w:val="32"/>
            </w:rPr>
            <w:fldChar w:fldCharType="end"/>
          </w:r>
        </w:p>
        <w:p>
          <w:pPr>
            <w:pStyle w:val="29"/>
            <w:tabs>
              <w:tab w:val="right" w:leader="dot" w:pos="8640"/>
              <w:tab w:val="clear" w:pos="709"/>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_Toc28278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pacing w:val="-20"/>
              <w:kern w:val="44"/>
              <w:szCs w:val="32"/>
            </w:rPr>
            <w:t xml:space="preserve">第5章 </w:t>
          </w:r>
          <w:r>
            <w:rPr>
              <w:rFonts w:hint="eastAsia" w:ascii="宋体" w:hAnsi="宋体"/>
              <w:bCs/>
              <w:color w:val="auto"/>
              <w:spacing w:val="-20"/>
              <w:kern w:val="44"/>
              <w:szCs w:val="32"/>
            </w:rPr>
            <w:t>资格性审查</w:t>
          </w:r>
          <w:r>
            <w:rPr>
              <w:color w:val="auto"/>
            </w:rPr>
            <w:tab/>
          </w:r>
          <w:r>
            <w:rPr>
              <w:color w:val="auto"/>
            </w:rPr>
            <w:fldChar w:fldCharType="begin"/>
          </w:r>
          <w:r>
            <w:rPr>
              <w:color w:val="auto"/>
            </w:rPr>
            <w:instrText xml:space="preserve"> PAGEREF _Toc28278 \h </w:instrText>
          </w:r>
          <w:r>
            <w:rPr>
              <w:color w:val="auto"/>
            </w:rPr>
            <w:fldChar w:fldCharType="separate"/>
          </w:r>
          <w:r>
            <w:rPr>
              <w:color w:val="auto"/>
            </w:rPr>
            <w:t>71</w:t>
          </w:r>
          <w:r>
            <w:rPr>
              <w:color w:val="auto"/>
            </w:rPr>
            <w:fldChar w:fldCharType="end"/>
          </w:r>
          <w:r>
            <w:rPr>
              <w:rFonts w:ascii="宋体" w:hAnsi="宋体"/>
              <w:bCs/>
              <w:color w:val="auto"/>
              <w:spacing w:val="-20"/>
              <w:kern w:val="44"/>
              <w:szCs w:val="32"/>
            </w:rPr>
            <w:fldChar w:fldCharType="end"/>
          </w:r>
        </w:p>
        <w:p>
          <w:pPr>
            <w:pStyle w:val="29"/>
            <w:tabs>
              <w:tab w:val="right" w:leader="dot" w:pos="8640"/>
              <w:tab w:val="clear" w:pos="709"/>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_Toc27738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pacing w:val="-20"/>
              <w:kern w:val="44"/>
              <w:szCs w:val="32"/>
            </w:rPr>
            <w:t xml:space="preserve">第6章 </w:t>
          </w:r>
          <w:r>
            <w:rPr>
              <w:rFonts w:hint="eastAsia" w:ascii="宋体" w:hAnsi="宋体"/>
              <w:bCs/>
              <w:color w:val="auto"/>
              <w:spacing w:val="-20"/>
              <w:kern w:val="44"/>
              <w:szCs w:val="32"/>
            </w:rPr>
            <w:t>评标办法</w:t>
          </w:r>
          <w:r>
            <w:rPr>
              <w:color w:val="auto"/>
            </w:rPr>
            <w:tab/>
          </w:r>
          <w:r>
            <w:rPr>
              <w:color w:val="auto"/>
            </w:rPr>
            <w:fldChar w:fldCharType="begin"/>
          </w:r>
          <w:r>
            <w:rPr>
              <w:color w:val="auto"/>
            </w:rPr>
            <w:instrText xml:space="preserve"> PAGEREF _Toc27738 \h </w:instrText>
          </w:r>
          <w:r>
            <w:rPr>
              <w:color w:val="auto"/>
            </w:rPr>
            <w:fldChar w:fldCharType="separate"/>
          </w:r>
          <w:r>
            <w:rPr>
              <w:color w:val="auto"/>
            </w:rPr>
            <w:t>75</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_Toc20838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6.1 </w:t>
          </w:r>
          <w:r>
            <w:rPr>
              <w:rFonts w:hint="eastAsia" w:ascii="宋体" w:hAnsi="宋体"/>
              <w:bCs/>
              <w:color w:val="auto"/>
              <w:szCs w:val="28"/>
            </w:rPr>
            <w:t>总则</w:t>
          </w:r>
          <w:r>
            <w:rPr>
              <w:color w:val="auto"/>
            </w:rPr>
            <w:tab/>
          </w:r>
          <w:r>
            <w:rPr>
              <w:color w:val="auto"/>
            </w:rPr>
            <w:fldChar w:fldCharType="begin"/>
          </w:r>
          <w:r>
            <w:rPr>
              <w:color w:val="auto"/>
            </w:rPr>
            <w:instrText xml:space="preserve"> PAGEREF _Toc20838 \h </w:instrText>
          </w:r>
          <w:r>
            <w:rPr>
              <w:color w:val="auto"/>
            </w:rPr>
            <w:fldChar w:fldCharType="separate"/>
          </w:r>
          <w:r>
            <w:rPr>
              <w:color w:val="auto"/>
            </w:rPr>
            <w:t>75</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_Toc30154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6.2 </w:t>
          </w:r>
          <w:r>
            <w:rPr>
              <w:rFonts w:hint="eastAsia" w:ascii="宋体" w:hAnsi="宋体"/>
              <w:bCs/>
              <w:color w:val="auto"/>
              <w:szCs w:val="28"/>
            </w:rPr>
            <w:t>评标方法</w:t>
          </w:r>
          <w:r>
            <w:rPr>
              <w:color w:val="auto"/>
            </w:rPr>
            <w:tab/>
          </w:r>
          <w:r>
            <w:rPr>
              <w:color w:val="auto"/>
            </w:rPr>
            <w:fldChar w:fldCharType="begin"/>
          </w:r>
          <w:r>
            <w:rPr>
              <w:color w:val="auto"/>
            </w:rPr>
            <w:instrText xml:space="preserve"> PAGEREF _Toc30154 \h </w:instrText>
          </w:r>
          <w:r>
            <w:rPr>
              <w:color w:val="auto"/>
            </w:rPr>
            <w:fldChar w:fldCharType="separate"/>
          </w:r>
          <w:r>
            <w:rPr>
              <w:color w:val="auto"/>
            </w:rPr>
            <w:t>76</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_Toc32504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6.3 </w:t>
          </w:r>
          <w:r>
            <w:rPr>
              <w:rFonts w:hint="eastAsia" w:ascii="宋体" w:hAnsi="宋体"/>
              <w:bCs/>
              <w:color w:val="auto"/>
              <w:szCs w:val="28"/>
            </w:rPr>
            <w:t>评标程序</w:t>
          </w:r>
          <w:r>
            <w:rPr>
              <w:color w:val="auto"/>
            </w:rPr>
            <w:tab/>
          </w:r>
          <w:r>
            <w:rPr>
              <w:color w:val="auto"/>
            </w:rPr>
            <w:fldChar w:fldCharType="begin"/>
          </w:r>
          <w:r>
            <w:rPr>
              <w:color w:val="auto"/>
            </w:rPr>
            <w:instrText xml:space="preserve"> PAGEREF _Toc32504 \h </w:instrText>
          </w:r>
          <w:r>
            <w:rPr>
              <w:color w:val="auto"/>
            </w:rPr>
            <w:fldChar w:fldCharType="separate"/>
          </w:r>
          <w:r>
            <w:rPr>
              <w:color w:val="auto"/>
            </w:rPr>
            <w:t>76</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_Toc28049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6.4 </w:t>
          </w:r>
          <w:r>
            <w:rPr>
              <w:rFonts w:hint="eastAsia" w:ascii="宋体" w:hAnsi="宋体"/>
              <w:bCs/>
              <w:color w:val="auto"/>
              <w:szCs w:val="28"/>
            </w:rPr>
            <w:t>评标争议处理规则</w:t>
          </w:r>
          <w:r>
            <w:rPr>
              <w:color w:val="auto"/>
            </w:rPr>
            <w:tab/>
          </w:r>
          <w:r>
            <w:rPr>
              <w:color w:val="auto"/>
            </w:rPr>
            <w:fldChar w:fldCharType="begin"/>
          </w:r>
          <w:r>
            <w:rPr>
              <w:color w:val="auto"/>
            </w:rPr>
            <w:instrText xml:space="preserve"> PAGEREF _Toc28049 \h </w:instrText>
          </w:r>
          <w:r>
            <w:rPr>
              <w:color w:val="auto"/>
            </w:rPr>
            <w:fldChar w:fldCharType="separate"/>
          </w:r>
          <w:r>
            <w:rPr>
              <w:color w:val="auto"/>
            </w:rPr>
            <w:t>83</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_Toc31692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6.5 </w:t>
          </w:r>
          <w:r>
            <w:rPr>
              <w:rFonts w:hint="eastAsia" w:ascii="宋体" w:hAnsi="宋体"/>
              <w:bCs/>
              <w:color w:val="auto"/>
              <w:szCs w:val="28"/>
            </w:rPr>
            <w:t>评标细则及标准</w:t>
          </w:r>
          <w:r>
            <w:rPr>
              <w:color w:val="auto"/>
            </w:rPr>
            <w:tab/>
          </w:r>
          <w:r>
            <w:rPr>
              <w:color w:val="auto"/>
            </w:rPr>
            <w:fldChar w:fldCharType="begin"/>
          </w:r>
          <w:r>
            <w:rPr>
              <w:color w:val="auto"/>
            </w:rPr>
            <w:instrText xml:space="preserve"> PAGEREF _Toc31692 \h </w:instrText>
          </w:r>
          <w:r>
            <w:rPr>
              <w:color w:val="auto"/>
            </w:rPr>
            <w:fldChar w:fldCharType="separate"/>
          </w:r>
          <w:r>
            <w:rPr>
              <w:color w:val="auto"/>
            </w:rPr>
            <w:t>83</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_Toc6586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6.6 </w:t>
          </w:r>
          <w:r>
            <w:rPr>
              <w:rFonts w:hint="eastAsia" w:ascii="宋体" w:hAnsi="宋体"/>
              <w:bCs/>
              <w:color w:val="auto"/>
              <w:szCs w:val="28"/>
            </w:rPr>
            <w:t>废标</w:t>
          </w:r>
          <w:r>
            <w:rPr>
              <w:color w:val="auto"/>
            </w:rPr>
            <w:tab/>
          </w:r>
          <w:r>
            <w:rPr>
              <w:color w:val="auto"/>
            </w:rPr>
            <w:fldChar w:fldCharType="begin"/>
          </w:r>
          <w:r>
            <w:rPr>
              <w:color w:val="auto"/>
            </w:rPr>
            <w:instrText xml:space="preserve"> PAGEREF _Toc6586 \h </w:instrText>
          </w:r>
          <w:r>
            <w:rPr>
              <w:color w:val="auto"/>
            </w:rPr>
            <w:fldChar w:fldCharType="separate"/>
          </w:r>
          <w:r>
            <w:rPr>
              <w:color w:val="auto"/>
            </w:rPr>
            <w:t>86</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_Toc8709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6.7 </w:t>
          </w:r>
          <w:r>
            <w:rPr>
              <w:rFonts w:hint="eastAsia" w:ascii="宋体" w:hAnsi="宋体"/>
              <w:bCs/>
              <w:color w:val="auto"/>
              <w:szCs w:val="28"/>
            </w:rPr>
            <w:t>定标</w:t>
          </w:r>
          <w:r>
            <w:rPr>
              <w:color w:val="auto"/>
            </w:rPr>
            <w:tab/>
          </w:r>
          <w:r>
            <w:rPr>
              <w:color w:val="auto"/>
            </w:rPr>
            <w:fldChar w:fldCharType="begin"/>
          </w:r>
          <w:r>
            <w:rPr>
              <w:color w:val="auto"/>
            </w:rPr>
            <w:instrText xml:space="preserve"> PAGEREF _Toc8709 \h </w:instrText>
          </w:r>
          <w:r>
            <w:rPr>
              <w:color w:val="auto"/>
            </w:rPr>
            <w:fldChar w:fldCharType="separate"/>
          </w:r>
          <w:r>
            <w:rPr>
              <w:color w:val="auto"/>
            </w:rPr>
            <w:t>86</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_Toc28435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6.8 </w:t>
          </w:r>
          <w:r>
            <w:rPr>
              <w:rFonts w:hint="eastAsia" w:ascii="宋体" w:hAnsi="宋体"/>
              <w:bCs/>
              <w:color w:val="auto"/>
              <w:szCs w:val="28"/>
            </w:rPr>
            <w:t>评审专家在政府采购活动中承担以下义务</w:t>
          </w:r>
          <w:r>
            <w:rPr>
              <w:color w:val="auto"/>
            </w:rPr>
            <w:tab/>
          </w:r>
          <w:r>
            <w:rPr>
              <w:color w:val="auto"/>
            </w:rPr>
            <w:fldChar w:fldCharType="begin"/>
          </w:r>
          <w:r>
            <w:rPr>
              <w:color w:val="auto"/>
            </w:rPr>
            <w:instrText xml:space="preserve"> PAGEREF _Toc28435 \h </w:instrText>
          </w:r>
          <w:r>
            <w:rPr>
              <w:color w:val="auto"/>
            </w:rPr>
            <w:fldChar w:fldCharType="separate"/>
          </w:r>
          <w:r>
            <w:rPr>
              <w:color w:val="auto"/>
            </w:rPr>
            <w:t>87</w:t>
          </w:r>
          <w:r>
            <w:rPr>
              <w:color w:val="auto"/>
            </w:rPr>
            <w:fldChar w:fldCharType="end"/>
          </w:r>
          <w:r>
            <w:rPr>
              <w:rFonts w:ascii="宋体" w:hAnsi="宋体"/>
              <w:bCs/>
              <w:color w:val="auto"/>
              <w:spacing w:val="-20"/>
              <w:kern w:val="44"/>
              <w:szCs w:val="32"/>
            </w:rPr>
            <w:fldChar w:fldCharType="end"/>
          </w:r>
        </w:p>
        <w:p>
          <w:pPr>
            <w:pStyle w:val="35"/>
            <w:tabs>
              <w:tab w:val="right" w:leader="dot" w:pos="8640"/>
              <w:tab w:val="clear" w:pos="620"/>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_Toc29063 </w:instrText>
          </w:r>
          <w:r>
            <w:rPr>
              <w:rFonts w:ascii="宋体" w:hAnsi="宋体"/>
              <w:bCs/>
              <w:color w:val="auto"/>
              <w:spacing w:val="-20"/>
              <w:kern w:val="44"/>
              <w:szCs w:val="32"/>
            </w:rPr>
            <w:fldChar w:fldCharType="separate"/>
          </w:r>
          <w:r>
            <w:rPr>
              <w:rFonts w:hint="default" w:ascii="Times New Roman" w:hAnsi="Times New Roman" w:eastAsia="宋体" w:cs="Times New Roman"/>
              <w:bCs/>
              <w:i w:val="0"/>
              <w:color w:val="auto"/>
              <w:szCs w:val="28"/>
            </w:rPr>
            <w:t xml:space="preserve">6.9 </w:t>
          </w:r>
          <w:r>
            <w:rPr>
              <w:rFonts w:hint="eastAsia" w:ascii="宋体" w:hAnsi="宋体"/>
              <w:bCs/>
              <w:color w:val="auto"/>
              <w:szCs w:val="28"/>
            </w:rPr>
            <w:t>评审专家在政府采购活动中应当遵守以下工作纪律</w:t>
          </w:r>
          <w:r>
            <w:rPr>
              <w:color w:val="auto"/>
            </w:rPr>
            <w:tab/>
          </w:r>
          <w:r>
            <w:rPr>
              <w:color w:val="auto"/>
            </w:rPr>
            <w:fldChar w:fldCharType="begin"/>
          </w:r>
          <w:r>
            <w:rPr>
              <w:color w:val="auto"/>
            </w:rPr>
            <w:instrText xml:space="preserve"> PAGEREF _Toc29063 \h </w:instrText>
          </w:r>
          <w:r>
            <w:rPr>
              <w:color w:val="auto"/>
            </w:rPr>
            <w:fldChar w:fldCharType="separate"/>
          </w:r>
          <w:r>
            <w:rPr>
              <w:color w:val="auto"/>
            </w:rPr>
            <w:t>88</w:t>
          </w:r>
          <w:r>
            <w:rPr>
              <w:color w:val="auto"/>
            </w:rPr>
            <w:fldChar w:fldCharType="end"/>
          </w:r>
          <w:r>
            <w:rPr>
              <w:rFonts w:ascii="宋体" w:hAnsi="宋体"/>
              <w:bCs/>
              <w:color w:val="auto"/>
              <w:spacing w:val="-20"/>
              <w:kern w:val="44"/>
              <w:szCs w:val="32"/>
            </w:rPr>
            <w:fldChar w:fldCharType="end"/>
          </w:r>
        </w:p>
        <w:p>
          <w:pPr>
            <w:pStyle w:val="29"/>
            <w:tabs>
              <w:tab w:val="right" w:leader="dot" w:pos="8640"/>
              <w:tab w:val="clear" w:pos="709"/>
              <w:tab w:val="clear" w:pos="8364"/>
            </w:tabs>
            <w:rPr>
              <w:color w:val="auto"/>
            </w:rPr>
          </w:pPr>
          <w:r>
            <w:rPr>
              <w:rFonts w:ascii="宋体" w:hAnsi="宋体"/>
              <w:bCs/>
              <w:color w:val="auto"/>
              <w:spacing w:val="-20"/>
              <w:kern w:val="44"/>
              <w:szCs w:val="32"/>
            </w:rPr>
            <w:fldChar w:fldCharType="begin"/>
          </w:r>
          <w:r>
            <w:rPr>
              <w:rFonts w:ascii="宋体" w:hAnsi="宋体"/>
              <w:bCs/>
              <w:color w:val="auto"/>
              <w:spacing w:val="-20"/>
              <w:kern w:val="44"/>
              <w:szCs w:val="32"/>
            </w:rPr>
            <w:instrText xml:space="preserve"> HYPERLINK \l _Toc6909 </w:instrText>
          </w:r>
          <w:r>
            <w:rPr>
              <w:rFonts w:ascii="宋体" w:hAnsi="宋体"/>
              <w:bCs/>
              <w:color w:val="auto"/>
              <w:spacing w:val="-20"/>
              <w:kern w:val="44"/>
              <w:szCs w:val="32"/>
            </w:rPr>
            <w:fldChar w:fldCharType="separate"/>
          </w:r>
          <w:r>
            <w:rPr>
              <w:rFonts w:hint="default" w:ascii="Times New Roman" w:hAnsi="Times New Roman" w:eastAsia="宋体" w:cs="Times New Roman"/>
              <w:i w:val="0"/>
              <w:color w:val="auto"/>
              <w:szCs w:val="32"/>
              <w:lang w:val="en-US" w:eastAsia="zh-CN"/>
            </w:rPr>
            <w:t xml:space="preserve">第7章 </w:t>
          </w:r>
          <w:r>
            <w:rPr>
              <w:rFonts w:hint="eastAsia" w:ascii="宋体" w:hAnsi="宋体" w:eastAsia="宋体" w:cs="宋体"/>
              <w:bCs/>
              <w:color w:val="auto"/>
              <w:szCs w:val="32"/>
              <w:lang w:val="en-US" w:eastAsia="zh-CN"/>
            </w:rPr>
            <w:t>合同及主要条款</w:t>
          </w:r>
          <w:r>
            <w:rPr>
              <w:color w:val="auto"/>
            </w:rPr>
            <w:tab/>
          </w:r>
          <w:r>
            <w:rPr>
              <w:color w:val="auto"/>
            </w:rPr>
            <w:fldChar w:fldCharType="begin"/>
          </w:r>
          <w:r>
            <w:rPr>
              <w:color w:val="auto"/>
            </w:rPr>
            <w:instrText xml:space="preserve"> PAGEREF _Toc6909 \h </w:instrText>
          </w:r>
          <w:r>
            <w:rPr>
              <w:color w:val="auto"/>
            </w:rPr>
            <w:fldChar w:fldCharType="separate"/>
          </w:r>
          <w:r>
            <w:rPr>
              <w:color w:val="auto"/>
            </w:rPr>
            <w:t>90</w:t>
          </w:r>
          <w:r>
            <w:rPr>
              <w:color w:val="auto"/>
            </w:rPr>
            <w:fldChar w:fldCharType="end"/>
          </w:r>
          <w:r>
            <w:rPr>
              <w:rFonts w:ascii="宋体" w:hAnsi="宋体"/>
              <w:bCs/>
              <w:color w:val="auto"/>
              <w:spacing w:val="-20"/>
              <w:kern w:val="44"/>
              <w:szCs w:val="32"/>
            </w:rPr>
            <w:fldChar w:fldCharType="end"/>
          </w:r>
        </w:p>
        <w:p>
          <w:pPr>
            <w:keepNext/>
            <w:keepLines/>
            <w:numPr>
              <w:ilvl w:val="0"/>
              <w:numId w:val="0"/>
            </w:numPr>
            <w:spacing w:before="340" w:after="330" w:line="400" w:lineRule="exact"/>
            <w:jc w:val="both"/>
            <w:outlineLvl w:val="0"/>
            <w:rPr>
              <w:rFonts w:ascii="宋体" w:hAnsi="宋体"/>
              <w:b/>
              <w:bCs/>
              <w:color w:val="auto"/>
              <w:spacing w:val="-20"/>
              <w:kern w:val="44"/>
              <w:sz w:val="32"/>
              <w:szCs w:val="32"/>
            </w:rPr>
            <w:sectPr>
              <w:pgSz w:w="12240" w:h="15840"/>
              <w:pgMar w:top="1440" w:right="1800" w:bottom="1440" w:left="1800" w:header="708" w:footer="708" w:gutter="0"/>
              <w:cols w:space="708" w:num="1"/>
              <w:docGrid w:linePitch="360" w:charSpace="0"/>
            </w:sectPr>
          </w:pPr>
          <w:r>
            <w:rPr>
              <w:rFonts w:ascii="宋体" w:hAnsi="宋体"/>
              <w:bCs/>
              <w:color w:val="auto"/>
              <w:spacing w:val="-20"/>
              <w:kern w:val="44"/>
              <w:szCs w:val="32"/>
            </w:rPr>
            <w:fldChar w:fldCharType="end"/>
          </w:r>
        </w:p>
      </w:sdtContent>
    </w:sdt>
    <w:p>
      <w:pPr>
        <w:keepNext/>
        <w:keepLines/>
        <w:numPr>
          <w:ilvl w:val="0"/>
          <w:numId w:val="6"/>
        </w:numPr>
        <w:spacing w:before="340" w:after="330" w:line="400" w:lineRule="exact"/>
        <w:ind w:left="567"/>
        <w:jc w:val="center"/>
        <w:outlineLvl w:val="0"/>
        <w:rPr>
          <w:rFonts w:ascii="宋体" w:hAnsi="宋体"/>
          <w:b/>
          <w:bCs/>
          <w:color w:val="auto"/>
          <w:spacing w:val="-20"/>
          <w:kern w:val="44"/>
          <w:sz w:val="32"/>
          <w:szCs w:val="32"/>
        </w:rPr>
      </w:pPr>
      <w:bookmarkStart w:id="1" w:name="_Toc8450"/>
      <w:r>
        <w:rPr>
          <w:rFonts w:hint="eastAsia" w:ascii="宋体" w:hAnsi="宋体"/>
          <w:b/>
          <w:bCs/>
          <w:color w:val="auto"/>
          <w:spacing w:val="-20"/>
          <w:kern w:val="44"/>
          <w:sz w:val="32"/>
          <w:szCs w:val="32"/>
        </w:rPr>
        <w:t>投标邀请</w:t>
      </w:r>
      <w:bookmarkEnd w:id="0"/>
      <w:bookmarkEnd w:id="1"/>
    </w:p>
    <w:p>
      <w:pPr>
        <w:spacing w:line="360" w:lineRule="auto"/>
        <w:ind w:firstLine="565" w:firstLineChars="202"/>
        <w:rPr>
          <w:rFonts w:ascii="宋体" w:hAnsi="宋体"/>
          <w:color w:val="auto"/>
          <w:sz w:val="28"/>
          <w:szCs w:val="28"/>
        </w:rPr>
      </w:pP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受</w:t>
      </w:r>
      <w:r>
        <w:rPr>
          <w:rFonts w:hint="eastAsia" w:ascii="宋体" w:hAnsi="宋体"/>
          <w:b/>
          <w:color w:val="auto"/>
          <w:sz w:val="28"/>
          <w:szCs w:val="28"/>
          <w:u w:val="single"/>
          <w:lang w:eastAsia="zh-CN"/>
        </w:rPr>
        <w:t>成都东部新区党工委管委会（成都市东部新城办）综合部</w:t>
      </w:r>
      <w:r>
        <w:rPr>
          <w:rFonts w:hint="eastAsia" w:ascii="宋体" w:hAnsi="宋体"/>
          <w:color w:val="auto"/>
          <w:sz w:val="28"/>
          <w:szCs w:val="28"/>
        </w:rPr>
        <w:t>委托，拟对</w:t>
      </w:r>
      <w:r>
        <w:rPr>
          <w:rFonts w:hint="eastAsia" w:ascii="宋体" w:hAnsi="宋体"/>
          <w:b/>
          <w:color w:val="auto"/>
          <w:sz w:val="28"/>
          <w:szCs w:val="28"/>
          <w:u w:val="single"/>
          <w:lang w:eastAsia="zh-CN"/>
        </w:rPr>
        <w:t>成都东部新区便民服务中心标准化建设家具采购项目</w:t>
      </w:r>
      <w:r>
        <w:rPr>
          <w:rFonts w:hint="eastAsia" w:ascii="宋体" w:hAnsi="宋体"/>
          <w:color w:val="auto"/>
          <w:sz w:val="28"/>
          <w:szCs w:val="28"/>
        </w:rPr>
        <w:t>进行国内公开招标，兹邀请符合本次招标要求的供应商参加投标。</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项目编号：</w:t>
      </w:r>
      <w:r>
        <w:rPr>
          <w:rFonts w:hint="eastAsia" w:ascii="宋体" w:hAnsi="宋体"/>
          <w:b/>
          <w:color w:val="auto"/>
          <w:sz w:val="28"/>
          <w:szCs w:val="28"/>
          <w:lang w:eastAsia="zh-CN"/>
        </w:rPr>
        <w:t>东部新区政采（2021）A0064号</w:t>
      </w:r>
    </w:p>
    <w:p>
      <w:pPr>
        <w:spacing w:line="360" w:lineRule="auto"/>
        <w:ind w:left="567" w:firstLine="281" w:firstLineChars="100"/>
        <w:rPr>
          <w:rFonts w:ascii="宋体" w:hAnsi="宋体"/>
          <w:b/>
          <w:color w:val="auto"/>
          <w:sz w:val="28"/>
          <w:szCs w:val="28"/>
        </w:rPr>
      </w:pPr>
      <w:r>
        <w:rPr>
          <w:rFonts w:hint="eastAsia" w:ascii="宋体" w:hAnsi="宋体"/>
          <w:b/>
          <w:color w:val="auto"/>
          <w:sz w:val="28"/>
          <w:szCs w:val="28"/>
        </w:rPr>
        <w:t>（采购项目编号：</w:t>
      </w:r>
      <w:r>
        <w:rPr>
          <w:rFonts w:hint="eastAsia" w:ascii="宋体" w:hAnsi="宋体"/>
          <w:b/>
          <w:color w:val="auto"/>
          <w:sz w:val="28"/>
          <w:szCs w:val="28"/>
          <w:lang w:eastAsia="zh-CN"/>
        </w:rPr>
        <w:t>510118202100258</w:t>
      </w:r>
      <w:r>
        <w:rPr>
          <w:rFonts w:hint="eastAsia" w:ascii="宋体" w:hAnsi="宋体"/>
          <w:b/>
          <w:color w:val="auto"/>
          <w:sz w:val="28"/>
          <w:szCs w:val="28"/>
        </w:rPr>
        <w:t>）</w:t>
      </w:r>
      <w:r>
        <w:rPr>
          <w:rFonts w:ascii="宋体" w:hAnsi="宋体"/>
          <w:b/>
          <w:color w:val="auto"/>
          <w:sz w:val="28"/>
          <w:szCs w:val="28"/>
        </w:rPr>
        <w:t xml:space="preserve"> </w:t>
      </w:r>
    </w:p>
    <w:p>
      <w:pPr>
        <w:numPr>
          <w:ilvl w:val="0"/>
          <w:numId w:val="7"/>
        </w:numPr>
        <w:spacing w:line="360" w:lineRule="auto"/>
        <w:ind w:left="0" w:firstLine="568"/>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成都东部新区便民服务中心标准化建设家具采购项目</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财政性资金，政府采购实施计划备案表号：</w:t>
      </w:r>
      <w:r>
        <w:rPr>
          <w:rFonts w:hint="eastAsia" w:ascii="宋体" w:hAnsi="宋体"/>
          <w:color w:val="auto"/>
          <w:sz w:val="28"/>
          <w:szCs w:val="28"/>
          <w:lang w:val="en-US" w:eastAsia="zh-CN"/>
        </w:rPr>
        <w:t>(2021)0796号</w:t>
      </w:r>
      <w:r>
        <w:rPr>
          <w:rFonts w:hint="eastAsia" w:ascii="宋体" w:hAnsi="宋体"/>
          <w:color w:val="auto"/>
          <w:sz w:val="28"/>
          <w:szCs w:val="28"/>
        </w:rPr>
        <w:t>；预算品目：</w:t>
      </w:r>
      <w:r>
        <w:rPr>
          <w:rFonts w:ascii="宋体" w:hAnsi="宋体"/>
          <w:color w:val="auto"/>
          <w:sz w:val="28"/>
          <w:szCs w:val="28"/>
        </w:rPr>
        <w:t>A069901</w:t>
      </w:r>
      <w:r>
        <w:rPr>
          <w:rFonts w:hint="eastAsia" w:ascii="宋体" w:hAnsi="宋体"/>
          <w:color w:val="auto"/>
          <w:sz w:val="28"/>
          <w:szCs w:val="28"/>
        </w:rPr>
        <w:t>办公</w:t>
      </w:r>
      <w:r>
        <w:rPr>
          <w:rFonts w:ascii="宋体" w:hAnsi="宋体"/>
          <w:color w:val="auto"/>
          <w:sz w:val="28"/>
          <w:szCs w:val="28"/>
        </w:rPr>
        <w:t>家具</w:t>
      </w:r>
      <w:r>
        <w:rPr>
          <w:rFonts w:hint="eastAsia" w:ascii="宋体" w:hAnsi="宋体"/>
          <w:color w:val="auto"/>
          <w:sz w:val="28"/>
          <w:szCs w:val="28"/>
        </w:rPr>
        <w:t>；预算金额：</w:t>
      </w:r>
      <w:r>
        <w:rPr>
          <w:rFonts w:hint="eastAsia" w:ascii="宋体" w:hAnsi="宋体"/>
          <w:color w:val="auto"/>
          <w:sz w:val="28"/>
          <w:szCs w:val="28"/>
          <w:lang w:eastAsia="zh-CN"/>
        </w:rPr>
        <w:t>540000</w:t>
      </w:r>
      <w:r>
        <w:rPr>
          <w:rFonts w:hint="eastAsia" w:ascii="宋体" w:hAnsi="宋体"/>
          <w:color w:val="auto"/>
          <w:sz w:val="28"/>
          <w:szCs w:val="28"/>
        </w:rPr>
        <w:t>元；投标</w:t>
      </w:r>
      <w:r>
        <w:rPr>
          <w:rFonts w:ascii="宋体" w:hAnsi="宋体"/>
          <w:color w:val="auto"/>
          <w:sz w:val="28"/>
          <w:szCs w:val="28"/>
        </w:rPr>
        <w:t>报价</w:t>
      </w:r>
      <w:r>
        <w:rPr>
          <w:rFonts w:hint="eastAsia" w:ascii="宋体" w:hAnsi="宋体"/>
          <w:color w:val="auto"/>
          <w:sz w:val="28"/>
          <w:szCs w:val="28"/>
        </w:rPr>
        <w:t>最高限价：</w:t>
      </w:r>
      <w:r>
        <w:rPr>
          <w:rFonts w:hint="eastAsia" w:ascii="宋体" w:hAnsi="宋体"/>
          <w:color w:val="auto"/>
          <w:sz w:val="28"/>
          <w:lang w:eastAsia="zh-CN"/>
        </w:rPr>
        <w:t>540000</w:t>
      </w:r>
      <w:r>
        <w:rPr>
          <w:rFonts w:hint="eastAsia" w:ascii="宋体" w:hAnsi="宋体"/>
          <w:color w:val="auto"/>
          <w:sz w:val="28"/>
          <w:szCs w:val="28"/>
        </w:rPr>
        <w:t>元。</w:t>
      </w:r>
    </w:p>
    <w:p>
      <w:pPr>
        <w:numPr>
          <w:ilvl w:val="0"/>
          <w:numId w:val="7"/>
        </w:numPr>
        <w:spacing w:line="360" w:lineRule="auto"/>
        <w:ind w:left="0" w:firstLine="562" w:firstLineChars="200"/>
        <w:rPr>
          <w:rFonts w:ascii="宋体" w:hAnsi="宋体"/>
          <w:color w:val="auto"/>
          <w:sz w:val="28"/>
          <w:szCs w:val="28"/>
        </w:rPr>
      </w:pPr>
      <w:r>
        <w:rPr>
          <w:rFonts w:hint="eastAsia" w:ascii="宋体" w:hAnsi="宋体"/>
          <w:b/>
          <w:color w:val="auto"/>
          <w:sz w:val="28"/>
          <w:szCs w:val="28"/>
        </w:rPr>
        <w:t>招标项目简介</w:t>
      </w:r>
    </w:p>
    <w:tbl>
      <w:tblPr>
        <w:tblStyle w:val="41"/>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767"/>
        <w:gridCol w:w="1245"/>
        <w:gridCol w:w="1418"/>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74" w:type="dxa"/>
            <w:vAlign w:val="center"/>
          </w:tcPr>
          <w:p>
            <w:pPr>
              <w:pStyle w:val="79"/>
              <w:ind w:firstLine="0" w:firstLineChars="0"/>
              <w:jc w:val="center"/>
              <w:rPr>
                <w:b/>
                <w:color w:val="auto"/>
                <w:sz w:val="24"/>
                <w:szCs w:val="24"/>
              </w:rPr>
            </w:pPr>
            <w:r>
              <w:rPr>
                <w:rFonts w:hint="eastAsia"/>
                <w:b/>
                <w:color w:val="auto"/>
                <w:sz w:val="24"/>
                <w:szCs w:val="24"/>
              </w:rPr>
              <w:t>序号</w:t>
            </w:r>
          </w:p>
        </w:tc>
        <w:tc>
          <w:tcPr>
            <w:tcW w:w="2767" w:type="dxa"/>
            <w:vAlign w:val="center"/>
          </w:tcPr>
          <w:p>
            <w:pPr>
              <w:pStyle w:val="79"/>
              <w:ind w:firstLine="0" w:firstLineChars="0"/>
              <w:jc w:val="center"/>
              <w:rPr>
                <w:b/>
                <w:color w:val="auto"/>
                <w:sz w:val="24"/>
                <w:szCs w:val="24"/>
              </w:rPr>
            </w:pPr>
            <w:r>
              <w:rPr>
                <w:rFonts w:hint="eastAsia"/>
                <w:b/>
                <w:color w:val="auto"/>
                <w:sz w:val="24"/>
                <w:szCs w:val="24"/>
              </w:rPr>
              <w:t>货物名称（标的名称）</w:t>
            </w:r>
          </w:p>
        </w:tc>
        <w:tc>
          <w:tcPr>
            <w:tcW w:w="1245" w:type="dxa"/>
            <w:vAlign w:val="center"/>
          </w:tcPr>
          <w:p>
            <w:pPr>
              <w:pStyle w:val="79"/>
              <w:ind w:firstLine="0" w:firstLineChars="0"/>
              <w:jc w:val="center"/>
              <w:rPr>
                <w:b/>
                <w:color w:val="auto"/>
                <w:sz w:val="24"/>
                <w:szCs w:val="24"/>
              </w:rPr>
            </w:pPr>
            <w:r>
              <w:rPr>
                <w:rFonts w:hint="eastAsia"/>
                <w:b/>
                <w:color w:val="auto"/>
                <w:sz w:val="24"/>
                <w:szCs w:val="24"/>
              </w:rPr>
              <w:t>数量</w:t>
            </w:r>
          </w:p>
        </w:tc>
        <w:tc>
          <w:tcPr>
            <w:tcW w:w="1418" w:type="dxa"/>
            <w:vAlign w:val="center"/>
          </w:tcPr>
          <w:p>
            <w:pPr>
              <w:pStyle w:val="79"/>
              <w:ind w:firstLine="0" w:firstLineChars="0"/>
              <w:jc w:val="center"/>
              <w:rPr>
                <w:b/>
                <w:color w:val="auto"/>
                <w:sz w:val="24"/>
                <w:szCs w:val="24"/>
              </w:rPr>
            </w:pPr>
            <w:r>
              <w:rPr>
                <w:rFonts w:hint="eastAsia"/>
                <w:b/>
                <w:color w:val="auto"/>
                <w:sz w:val="24"/>
                <w:szCs w:val="24"/>
              </w:rPr>
              <w:t>数量单位</w:t>
            </w:r>
          </w:p>
        </w:tc>
        <w:tc>
          <w:tcPr>
            <w:tcW w:w="1984" w:type="dxa"/>
            <w:vAlign w:val="center"/>
          </w:tcPr>
          <w:p>
            <w:pPr>
              <w:pStyle w:val="79"/>
              <w:ind w:firstLine="0" w:firstLineChars="0"/>
              <w:jc w:val="center"/>
              <w:rPr>
                <w:b/>
                <w:color w:val="auto"/>
                <w:sz w:val="24"/>
                <w:szCs w:val="24"/>
              </w:rPr>
            </w:pPr>
            <w:r>
              <w:rPr>
                <w:rFonts w:hint="eastAsia"/>
                <w:b/>
                <w:color w:val="auto"/>
                <w:sz w:val="24"/>
                <w:szCs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rPr>
              <w:t>引导台</w:t>
            </w:r>
            <w:r>
              <w:rPr>
                <w:rFonts w:hint="eastAsia" w:ascii="宋体" w:hAnsi="宋体"/>
                <w:color w:val="auto"/>
                <w:sz w:val="28"/>
                <w:szCs w:val="28"/>
                <w:lang w:eastAsia="zh-CN"/>
              </w:rPr>
              <w:t>（</w:t>
            </w:r>
            <w:r>
              <w:rPr>
                <w:rFonts w:hint="eastAsia" w:ascii="宋体" w:hAnsi="宋体"/>
                <w:color w:val="auto"/>
                <w:sz w:val="28"/>
                <w:szCs w:val="28"/>
              </w:rPr>
              <w:t>1200*600*1100</w:t>
            </w:r>
            <w:r>
              <w:rPr>
                <w:rFonts w:hint="eastAsia" w:ascii="宋体" w:hAnsi="宋体"/>
                <w:color w:val="auto"/>
                <w:sz w:val="28"/>
                <w:szCs w:val="28"/>
                <w:lang w:eastAsia="zh-CN"/>
              </w:rPr>
              <w:t>）</w:t>
            </w:r>
          </w:p>
        </w:tc>
        <w:tc>
          <w:tcPr>
            <w:tcW w:w="1245"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3</w:t>
            </w:r>
          </w:p>
        </w:tc>
        <w:tc>
          <w:tcPr>
            <w:tcW w:w="1418" w:type="dxa"/>
            <w:vAlign w:val="center"/>
          </w:tcPr>
          <w:p>
            <w:pPr>
              <w:spacing w:line="360" w:lineRule="auto"/>
              <w:jc w:val="center"/>
              <w:rPr>
                <w:rFonts w:ascii="宋体" w:hAnsi="宋体"/>
                <w:color w:val="auto"/>
                <w:sz w:val="28"/>
                <w:szCs w:val="28"/>
              </w:rPr>
            </w:pPr>
            <w:r>
              <w:rPr>
                <w:rFonts w:hint="eastAsia" w:ascii="宋体" w:hAnsi="宋体"/>
                <w:color w:val="auto"/>
                <w:sz w:val="28"/>
                <w:szCs w:val="28"/>
              </w:rPr>
              <w:t>张</w:t>
            </w:r>
          </w:p>
        </w:tc>
        <w:tc>
          <w:tcPr>
            <w:tcW w:w="1984" w:type="dxa"/>
            <w:vAlign w:val="center"/>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rPr>
              <w:t>引导台</w:t>
            </w:r>
            <w:r>
              <w:rPr>
                <w:rFonts w:hint="eastAsia" w:ascii="宋体" w:hAnsi="宋体"/>
                <w:color w:val="auto"/>
                <w:sz w:val="28"/>
                <w:szCs w:val="28"/>
                <w:lang w:eastAsia="zh-CN"/>
              </w:rPr>
              <w:t>（</w:t>
            </w:r>
            <w:r>
              <w:rPr>
                <w:rFonts w:hint="eastAsia" w:ascii="宋体" w:hAnsi="宋体"/>
                <w:color w:val="auto"/>
                <w:sz w:val="28"/>
                <w:szCs w:val="28"/>
              </w:rPr>
              <w:t>1600*600*1100</w:t>
            </w:r>
            <w:r>
              <w:rPr>
                <w:rFonts w:hint="eastAsia" w:ascii="宋体" w:hAnsi="宋体"/>
                <w:color w:val="auto"/>
                <w:sz w:val="28"/>
                <w:szCs w:val="28"/>
                <w:lang w:eastAsia="zh-CN"/>
              </w:rPr>
              <w:t>）</w:t>
            </w:r>
          </w:p>
        </w:tc>
        <w:tc>
          <w:tcPr>
            <w:tcW w:w="1245" w:type="dxa"/>
            <w:vAlign w:val="center"/>
          </w:tcPr>
          <w:p>
            <w:pPr>
              <w:spacing w:line="360" w:lineRule="auto"/>
              <w:jc w:val="center"/>
              <w:rPr>
                <w:rFonts w:hint="default" w:ascii="宋体" w:hAnsi="宋体"/>
                <w:color w:val="auto"/>
                <w:sz w:val="28"/>
                <w:szCs w:val="28"/>
                <w:lang w:val="en-US" w:eastAsia="zh-CN"/>
              </w:rPr>
            </w:pPr>
            <w:r>
              <w:rPr>
                <w:rFonts w:hint="eastAsia" w:ascii="宋体" w:hAnsi="宋体"/>
                <w:color w:val="auto"/>
                <w:sz w:val="28"/>
                <w:szCs w:val="28"/>
                <w:lang w:val="en-US" w:eastAsia="zh-CN"/>
              </w:rPr>
              <w:t>4</w:t>
            </w:r>
          </w:p>
        </w:tc>
        <w:tc>
          <w:tcPr>
            <w:tcW w:w="1418" w:type="dxa"/>
            <w:vAlign w:val="center"/>
          </w:tcPr>
          <w:p>
            <w:pPr>
              <w:spacing w:line="360" w:lineRule="auto"/>
              <w:jc w:val="center"/>
              <w:rPr>
                <w:rFonts w:hint="eastAsia" w:ascii="宋体" w:hAnsi="宋体" w:eastAsia="宋体"/>
                <w:color w:val="auto"/>
                <w:sz w:val="28"/>
                <w:szCs w:val="28"/>
                <w:lang w:val="en-US" w:eastAsia="zh-CN"/>
              </w:rPr>
            </w:pPr>
            <w:r>
              <w:rPr>
                <w:rFonts w:hint="eastAsia" w:ascii="宋体" w:hAnsi="宋体"/>
                <w:color w:val="auto"/>
                <w:sz w:val="28"/>
                <w:szCs w:val="28"/>
                <w:lang w:val="en-US" w:eastAsia="zh-CN"/>
              </w:rPr>
              <w:t>张</w:t>
            </w:r>
          </w:p>
        </w:tc>
        <w:tc>
          <w:tcPr>
            <w:tcW w:w="1984" w:type="dxa"/>
            <w:vAlign w:val="center"/>
          </w:tcPr>
          <w:p>
            <w:pPr>
              <w:spacing w:line="360" w:lineRule="auto"/>
              <w:jc w:val="center"/>
              <w:rPr>
                <w:rFonts w:hint="eastAsia"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填单台</w:t>
            </w:r>
          </w:p>
        </w:tc>
        <w:tc>
          <w:tcPr>
            <w:tcW w:w="1245"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4</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张</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窗口办公桌（单人位）</w:t>
            </w:r>
          </w:p>
        </w:tc>
        <w:tc>
          <w:tcPr>
            <w:tcW w:w="1245" w:type="dxa"/>
            <w:vAlign w:val="center"/>
          </w:tcPr>
          <w:p>
            <w:pPr>
              <w:spacing w:line="360" w:lineRule="auto"/>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45</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张</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窗口办公桌（双人位）</w:t>
            </w:r>
          </w:p>
        </w:tc>
        <w:tc>
          <w:tcPr>
            <w:tcW w:w="1245"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3</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套</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办公椅</w:t>
            </w:r>
          </w:p>
        </w:tc>
        <w:tc>
          <w:tcPr>
            <w:tcW w:w="1245" w:type="dxa"/>
            <w:vAlign w:val="center"/>
          </w:tcPr>
          <w:p>
            <w:pPr>
              <w:spacing w:line="360" w:lineRule="auto"/>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58</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把</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接待椅</w:t>
            </w:r>
          </w:p>
        </w:tc>
        <w:tc>
          <w:tcPr>
            <w:tcW w:w="1245" w:type="dxa"/>
            <w:vAlign w:val="center"/>
          </w:tcPr>
          <w:p>
            <w:pPr>
              <w:spacing w:line="360" w:lineRule="auto"/>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51</w:t>
            </w:r>
          </w:p>
        </w:tc>
        <w:tc>
          <w:tcPr>
            <w:tcW w:w="1418" w:type="dxa"/>
            <w:vAlign w:val="center"/>
          </w:tcPr>
          <w:p>
            <w:pPr>
              <w:spacing w:line="360" w:lineRule="auto"/>
              <w:jc w:val="center"/>
              <w:rPr>
                <w:rFonts w:ascii="宋体" w:hAnsi="宋体"/>
                <w:color w:val="auto"/>
                <w:sz w:val="28"/>
                <w:szCs w:val="28"/>
              </w:rPr>
            </w:pPr>
            <w:r>
              <w:rPr>
                <w:rFonts w:hint="eastAsia" w:ascii="宋体" w:hAnsi="宋体"/>
                <w:color w:val="auto"/>
                <w:sz w:val="28"/>
                <w:szCs w:val="28"/>
                <w:lang w:val="en-US" w:eastAsia="zh-CN"/>
              </w:rPr>
              <w:t>把</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rPr>
              <w:t>异形沙发</w:t>
            </w:r>
            <w:r>
              <w:rPr>
                <w:rFonts w:hint="eastAsia" w:ascii="宋体" w:hAnsi="宋体"/>
                <w:color w:val="auto"/>
                <w:sz w:val="28"/>
                <w:szCs w:val="28"/>
                <w:lang w:eastAsia="zh-CN"/>
              </w:rPr>
              <w:t>（定制尺寸）</w:t>
            </w:r>
          </w:p>
        </w:tc>
        <w:tc>
          <w:tcPr>
            <w:tcW w:w="1245" w:type="dxa"/>
            <w:vAlign w:val="center"/>
          </w:tcPr>
          <w:p>
            <w:pPr>
              <w:spacing w:line="360" w:lineRule="auto"/>
              <w:jc w:val="center"/>
              <w:rPr>
                <w:rFonts w:ascii="宋体" w:hAnsi="宋体"/>
                <w:color w:val="auto"/>
                <w:sz w:val="28"/>
                <w:szCs w:val="28"/>
              </w:rPr>
            </w:pPr>
            <w:r>
              <w:rPr>
                <w:rFonts w:hint="eastAsia" w:ascii="宋体" w:hAnsi="宋体"/>
                <w:color w:val="auto"/>
                <w:sz w:val="28"/>
                <w:szCs w:val="28"/>
              </w:rPr>
              <w:t>1</w:t>
            </w:r>
          </w:p>
        </w:tc>
        <w:tc>
          <w:tcPr>
            <w:tcW w:w="1418" w:type="dxa"/>
            <w:vAlign w:val="center"/>
          </w:tcPr>
          <w:p>
            <w:pPr>
              <w:spacing w:line="360" w:lineRule="auto"/>
              <w:jc w:val="center"/>
              <w:rPr>
                <w:rFonts w:ascii="宋体" w:hAnsi="宋体"/>
                <w:color w:val="auto"/>
                <w:sz w:val="28"/>
                <w:szCs w:val="28"/>
              </w:rPr>
            </w:pPr>
            <w:r>
              <w:rPr>
                <w:rFonts w:hint="eastAsia" w:ascii="宋体" w:hAnsi="宋体"/>
                <w:color w:val="auto"/>
                <w:sz w:val="28"/>
                <w:szCs w:val="28"/>
              </w:rPr>
              <w:t>组</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rPr>
              <w:t>异形沙发</w:t>
            </w:r>
            <w:r>
              <w:rPr>
                <w:rFonts w:hint="eastAsia" w:ascii="宋体" w:hAnsi="宋体"/>
                <w:color w:val="auto"/>
                <w:sz w:val="28"/>
                <w:szCs w:val="28"/>
                <w:lang w:eastAsia="zh-CN"/>
              </w:rPr>
              <w:t>（900W×655D×720H）</w:t>
            </w:r>
          </w:p>
        </w:tc>
        <w:tc>
          <w:tcPr>
            <w:tcW w:w="1245"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1</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组</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填单桌</w:t>
            </w:r>
          </w:p>
        </w:tc>
        <w:tc>
          <w:tcPr>
            <w:tcW w:w="1245"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4</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张</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填单椅</w:t>
            </w:r>
          </w:p>
        </w:tc>
        <w:tc>
          <w:tcPr>
            <w:tcW w:w="1245" w:type="dxa"/>
            <w:vAlign w:val="center"/>
          </w:tcPr>
          <w:p>
            <w:pPr>
              <w:spacing w:line="360" w:lineRule="auto"/>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24</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把</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洽谈桌</w:t>
            </w:r>
          </w:p>
        </w:tc>
        <w:tc>
          <w:tcPr>
            <w:tcW w:w="1245" w:type="dxa"/>
            <w:vAlign w:val="center"/>
          </w:tcPr>
          <w:p>
            <w:pPr>
              <w:spacing w:line="360" w:lineRule="auto"/>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12</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张</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洽谈椅</w:t>
            </w:r>
          </w:p>
        </w:tc>
        <w:tc>
          <w:tcPr>
            <w:tcW w:w="1245" w:type="dxa"/>
            <w:vAlign w:val="center"/>
          </w:tcPr>
          <w:p>
            <w:pPr>
              <w:spacing w:line="360" w:lineRule="auto"/>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26</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把</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ascii="宋体" w:hAnsi="宋体"/>
                <w:color w:val="auto"/>
                <w:sz w:val="28"/>
                <w:szCs w:val="28"/>
              </w:rPr>
            </w:pPr>
            <w:r>
              <w:rPr>
                <w:rFonts w:hint="eastAsia" w:ascii="宋体" w:hAnsi="宋体"/>
                <w:color w:val="auto"/>
                <w:sz w:val="28"/>
                <w:szCs w:val="28"/>
              </w:rPr>
              <w:t>沙发（单人位）</w:t>
            </w:r>
          </w:p>
        </w:tc>
        <w:tc>
          <w:tcPr>
            <w:tcW w:w="1245" w:type="dxa"/>
            <w:vAlign w:val="center"/>
          </w:tcPr>
          <w:p>
            <w:pPr>
              <w:spacing w:line="360" w:lineRule="auto"/>
              <w:jc w:val="center"/>
              <w:rPr>
                <w:rFonts w:hint="eastAsia" w:ascii="宋体" w:hAnsi="宋体" w:eastAsia="宋体"/>
                <w:color w:val="auto"/>
                <w:sz w:val="28"/>
                <w:szCs w:val="28"/>
                <w:lang w:val="en-US" w:eastAsia="zh-CN"/>
              </w:rPr>
            </w:pPr>
            <w:r>
              <w:rPr>
                <w:rFonts w:hint="eastAsia" w:ascii="宋体" w:hAnsi="宋体"/>
                <w:color w:val="auto"/>
                <w:sz w:val="28"/>
                <w:szCs w:val="28"/>
              </w:rPr>
              <w:t>2</w:t>
            </w:r>
            <w:r>
              <w:rPr>
                <w:rFonts w:hint="eastAsia" w:ascii="宋体" w:hAnsi="宋体"/>
                <w:color w:val="auto"/>
                <w:sz w:val="28"/>
                <w:szCs w:val="28"/>
                <w:lang w:val="en-US" w:eastAsia="zh-CN"/>
              </w:rPr>
              <w:t>2</w:t>
            </w:r>
          </w:p>
        </w:tc>
        <w:tc>
          <w:tcPr>
            <w:tcW w:w="1418" w:type="dxa"/>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lang w:val="en-US" w:eastAsia="zh-CN"/>
              </w:rPr>
              <w:t>张</w:t>
            </w:r>
          </w:p>
        </w:tc>
        <w:tc>
          <w:tcPr>
            <w:tcW w:w="1984" w:type="dxa"/>
          </w:tcPr>
          <w:p>
            <w:pPr>
              <w:spacing w:line="360" w:lineRule="auto"/>
              <w:jc w:val="center"/>
              <w:rPr>
                <w:rFonts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hint="eastAsia" w:ascii="宋体" w:hAnsi="宋体" w:eastAsia="宋体"/>
                <w:color w:val="auto"/>
                <w:sz w:val="28"/>
                <w:szCs w:val="28"/>
                <w:lang w:eastAsia="zh-CN"/>
              </w:rPr>
            </w:pPr>
            <w:r>
              <w:rPr>
                <w:rFonts w:hint="eastAsia" w:ascii="宋体" w:hAnsi="宋体"/>
                <w:color w:val="auto"/>
                <w:sz w:val="28"/>
                <w:szCs w:val="28"/>
              </w:rPr>
              <w:t>沙发（三人位</w:t>
            </w:r>
            <w:r>
              <w:rPr>
                <w:rFonts w:hint="eastAsia" w:ascii="宋体" w:hAnsi="宋体"/>
                <w:color w:val="auto"/>
                <w:sz w:val="28"/>
                <w:szCs w:val="28"/>
                <w:lang w:eastAsia="zh-CN"/>
              </w:rPr>
              <w:t>）</w:t>
            </w:r>
          </w:p>
        </w:tc>
        <w:tc>
          <w:tcPr>
            <w:tcW w:w="1245" w:type="dxa"/>
            <w:vAlign w:val="center"/>
          </w:tcPr>
          <w:p>
            <w:pPr>
              <w:spacing w:line="360" w:lineRule="auto"/>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11</w:t>
            </w:r>
          </w:p>
        </w:tc>
        <w:tc>
          <w:tcPr>
            <w:tcW w:w="1418" w:type="dxa"/>
            <w:vAlign w:val="center"/>
          </w:tcPr>
          <w:p>
            <w:pPr>
              <w:spacing w:line="360" w:lineRule="auto"/>
              <w:jc w:val="center"/>
              <w:rPr>
                <w:rFonts w:hint="default" w:ascii="宋体" w:hAnsi="宋体"/>
                <w:color w:val="auto"/>
                <w:sz w:val="28"/>
                <w:szCs w:val="28"/>
                <w:lang w:val="en-US" w:eastAsia="zh-CN"/>
              </w:rPr>
            </w:pPr>
            <w:r>
              <w:rPr>
                <w:rFonts w:hint="eastAsia" w:ascii="宋体" w:hAnsi="宋体"/>
                <w:color w:val="auto"/>
                <w:sz w:val="28"/>
                <w:szCs w:val="28"/>
                <w:lang w:val="en-US" w:eastAsia="zh-CN"/>
              </w:rPr>
              <w:t>张</w:t>
            </w:r>
          </w:p>
        </w:tc>
        <w:tc>
          <w:tcPr>
            <w:tcW w:w="1984" w:type="dxa"/>
          </w:tcPr>
          <w:p>
            <w:pPr>
              <w:spacing w:line="360" w:lineRule="auto"/>
              <w:jc w:val="center"/>
              <w:rPr>
                <w:rFonts w:hint="eastAsia" w:ascii="宋体" w:hAnsi="宋体"/>
                <w:color w:val="auto"/>
                <w:sz w:val="28"/>
                <w:szCs w:val="28"/>
              </w:rPr>
            </w:pPr>
            <w:r>
              <w:rPr>
                <w:rFonts w:hint="eastAsia" w:ascii="宋体" w:hAnsi="宋体"/>
                <w:color w:val="auto"/>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79"/>
              <w:numPr>
                <w:ilvl w:val="0"/>
                <w:numId w:val="8"/>
              </w:numPr>
              <w:ind w:firstLineChars="0"/>
              <w:rPr>
                <w:color w:val="auto"/>
                <w:sz w:val="24"/>
                <w:szCs w:val="24"/>
              </w:rPr>
            </w:pPr>
          </w:p>
        </w:tc>
        <w:tc>
          <w:tcPr>
            <w:tcW w:w="2767" w:type="dxa"/>
            <w:shd w:val="clear" w:color="auto" w:fill="auto"/>
            <w:vAlign w:val="center"/>
          </w:tcPr>
          <w:p>
            <w:pPr>
              <w:spacing w:line="360" w:lineRule="auto"/>
              <w:jc w:val="center"/>
              <w:rPr>
                <w:rFonts w:hint="eastAsia" w:ascii="宋体" w:hAnsi="宋体"/>
                <w:color w:val="auto"/>
                <w:sz w:val="28"/>
                <w:szCs w:val="28"/>
              </w:rPr>
            </w:pPr>
            <w:r>
              <w:rPr>
                <w:rFonts w:hint="eastAsia" w:ascii="宋体" w:hAnsi="宋体"/>
                <w:color w:val="auto"/>
                <w:sz w:val="28"/>
                <w:szCs w:val="28"/>
              </w:rPr>
              <w:t>茶几</w:t>
            </w:r>
          </w:p>
        </w:tc>
        <w:tc>
          <w:tcPr>
            <w:tcW w:w="1245" w:type="dxa"/>
            <w:vAlign w:val="center"/>
          </w:tcPr>
          <w:p>
            <w:pPr>
              <w:spacing w:line="360" w:lineRule="auto"/>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11</w:t>
            </w:r>
          </w:p>
        </w:tc>
        <w:tc>
          <w:tcPr>
            <w:tcW w:w="1418" w:type="dxa"/>
            <w:vAlign w:val="center"/>
          </w:tcPr>
          <w:p>
            <w:pPr>
              <w:spacing w:line="360" w:lineRule="auto"/>
              <w:jc w:val="center"/>
              <w:rPr>
                <w:rFonts w:hint="default" w:ascii="宋体" w:hAnsi="宋体"/>
                <w:color w:val="auto"/>
                <w:sz w:val="28"/>
                <w:szCs w:val="28"/>
                <w:lang w:val="en-US" w:eastAsia="zh-CN"/>
              </w:rPr>
            </w:pPr>
            <w:r>
              <w:rPr>
                <w:rFonts w:hint="eastAsia" w:ascii="宋体" w:hAnsi="宋体"/>
                <w:color w:val="auto"/>
                <w:sz w:val="28"/>
                <w:szCs w:val="28"/>
                <w:lang w:val="en-US" w:eastAsia="zh-CN"/>
              </w:rPr>
              <w:t>套</w:t>
            </w:r>
          </w:p>
        </w:tc>
        <w:tc>
          <w:tcPr>
            <w:tcW w:w="1984" w:type="dxa"/>
          </w:tcPr>
          <w:p>
            <w:pPr>
              <w:spacing w:line="360" w:lineRule="auto"/>
              <w:jc w:val="center"/>
              <w:rPr>
                <w:rFonts w:hint="eastAsia" w:ascii="宋体" w:hAnsi="宋体"/>
                <w:color w:val="auto"/>
                <w:sz w:val="28"/>
                <w:szCs w:val="28"/>
              </w:rPr>
            </w:pPr>
            <w:r>
              <w:rPr>
                <w:rFonts w:hint="eastAsia" w:ascii="宋体" w:hAnsi="宋体"/>
                <w:color w:val="auto"/>
                <w:sz w:val="28"/>
                <w:szCs w:val="28"/>
              </w:rPr>
              <w:t>工业</w:t>
            </w:r>
          </w:p>
        </w:tc>
      </w:tr>
    </w:tbl>
    <w:p>
      <w:pPr>
        <w:spacing w:line="360" w:lineRule="auto"/>
        <w:ind w:firstLine="560" w:firstLineChars="200"/>
        <w:rPr>
          <w:rFonts w:ascii="宋体" w:hAnsi="宋体"/>
          <w:color w:val="auto"/>
          <w:sz w:val="28"/>
          <w:szCs w:val="28"/>
        </w:rPr>
      </w:pPr>
      <w:r>
        <w:rPr>
          <w:rFonts w:hint="eastAsia" w:ascii="宋体" w:hAnsi="宋体"/>
          <w:color w:val="auto"/>
          <w:sz w:val="28"/>
          <w:szCs w:val="28"/>
        </w:rPr>
        <w:t>详细的技术、服务、商务及其他要求见招标文件第4章。</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供应商参加本次政府采购活动应具备的条件</w:t>
      </w:r>
    </w:p>
    <w:p>
      <w:pPr>
        <w:numPr>
          <w:ilvl w:val="1"/>
          <w:numId w:val="9"/>
        </w:numPr>
        <w:tabs>
          <w:tab w:val="left" w:pos="1260"/>
        </w:tabs>
        <w:spacing w:line="360" w:lineRule="auto"/>
        <w:ind w:left="0" w:firstLine="630"/>
        <w:rPr>
          <w:rFonts w:ascii="宋体" w:hAnsi="宋体"/>
          <w:color w:val="auto"/>
          <w:sz w:val="28"/>
          <w:szCs w:val="28"/>
        </w:rPr>
      </w:pPr>
      <w:r>
        <w:rPr>
          <w:rFonts w:hint="eastAsia" w:ascii="宋体" w:hAnsi="宋体"/>
          <w:color w:val="auto"/>
          <w:sz w:val="28"/>
          <w:szCs w:val="28"/>
        </w:rPr>
        <w:t>符合《政府采购法》第二十二条第一款规定的条件；</w:t>
      </w:r>
    </w:p>
    <w:p>
      <w:pPr>
        <w:numPr>
          <w:ilvl w:val="1"/>
          <w:numId w:val="9"/>
        </w:numPr>
        <w:tabs>
          <w:tab w:val="left" w:pos="1260"/>
        </w:tabs>
        <w:spacing w:line="360" w:lineRule="auto"/>
        <w:ind w:left="0" w:firstLine="630"/>
        <w:rPr>
          <w:rFonts w:ascii="宋体" w:hAnsi="宋体"/>
          <w:b/>
          <w:color w:val="auto"/>
          <w:sz w:val="28"/>
          <w:szCs w:val="28"/>
        </w:rPr>
      </w:pPr>
      <w:r>
        <w:rPr>
          <w:rFonts w:hint="eastAsia" w:ascii="宋体" w:hAnsi="宋体"/>
          <w:b/>
          <w:color w:val="auto"/>
          <w:sz w:val="28"/>
          <w:szCs w:val="28"/>
        </w:rPr>
        <w:t>本项目为</w:t>
      </w:r>
      <w:r>
        <w:rPr>
          <w:rFonts w:ascii="宋体" w:hAnsi="宋体"/>
          <w:b/>
          <w:color w:val="auto"/>
          <w:sz w:val="28"/>
          <w:szCs w:val="28"/>
        </w:rPr>
        <w:t>专门面向中小企业采购项目，</w:t>
      </w:r>
      <w:r>
        <w:rPr>
          <w:rFonts w:hint="eastAsia" w:ascii="宋体" w:hAnsi="宋体"/>
          <w:b/>
          <w:color w:val="auto"/>
          <w:sz w:val="28"/>
          <w:szCs w:val="28"/>
        </w:rPr>
        <w:t>投标人</w:t>
      </w:r>
      <w:r>
        <w:rPr>
          <w:rFonts w:ascii="宋体" w:hAnsi="宋体"/>
          <w:b/>
          <w:color w:val="auto"/>
          <w:sz w:val="28"/>
          <w:szCs w:val="28"/>
        </w:rPr>
        <w:t>提供的货物全部由符合政策要求的中小企业制造</w:t>
      </w:r>
      <w:r>
        <w:rPr>
          <w:rFonts w:hint="eastAsia" w:ascii="宋体" w:hAnsi="宋体"/>
          <w:b/>
          <w:color w:val="auto"/>
          <w:sz w:val="28"/>
          <w:szCs w:val="28"/>
        </w:rPr>
        <w:t>；</w:t>
      </w:r>
      <w:r>
        <w:rPr>
          <w:rFonts w:ascii="宋体" w:hAnsi="宋体"/>
          <w:b/>
          <w:color w:val="auto"/>
          <w:sz w:val="28"/>
          <w:szCs w:val="28"/>
        </w:rPr>
        <w:t>（</w:t>
      </w:r>
      <w:r>
        <w:rPr>
          <w:rFonts w:hint="eastAsia" w:ascii="宋体" w:hAnsi="宋体"/>
          <w:b/>
          <w:color w:val="auto"/>
          <w:sz w:val="28"/>
          <w:szCs w:val="28"/>
        </w:rPr>
        <w:t>说明</w:t>
      </w:r>
      <w:r>
        <w:rPr>
          <w:rFonts w:ascii="宋体" w:hAnsi="宋体"/>
          <w:b/>
          <w:color w:val="auto"/>
          <w:sz w:val="28"/>
          <w:szCs w:val="28"/>
        </w:rPr>
        <w:t>：监狱企业、残疾人福利性单位视同小型、微型企业）</w:t>
      </w:r>
    </w:p>
    <w:p>
      <w:pPr>
        <w:numPr>
          <w:ilvl w:val="1"/>
          <w:numId w:val="9"/>
        </w:numPr>
        <w:tabs>
          <w:tab w:val="left" w:pos="1260"/>
        </w:tabs>
        <w:spacing w:line="360" w:lineRule="auto"/>
        <w:ind w:left="0" w:firstLine="630"/>
        <w:rPr>
          <w:rFonts w:ascii="宋体" w:hAnsi="宋体"/>
          <w:color w:val="auto"/>
          <w:sz w:val="28"/>
          <w:szCs w:val="28"/>
        </w:rPr>
      </w:pPr>
      <w:r>
        <w:rPr>
          <w:rFonts w:hint="eastAsia" w:ascii="宋体" w:hAnsi="宋体"/>
          <w:color w:val="auto"/>
          <w:sz w:val="28"/>
          <w:szCs w:val="28"/>
        </w:rPr>
        <w:t>未被列入失信被执行人、重大税收违法案件当事人名单、政府采购严重违法失信行为记录名单；</w:t>
      </w:r>
    </w:p>
    <w:p>
      <w:pPr>
        <w:numPr>
          <w:ilvl w:val="1"/>
          <w:numId w:val="9"/>
        </w:numPr>
        <w:tabs>
          <w:tab w:val="left" w:pos="1260"/>
        </w:tabs>
        <w:spacing w:line="360" w:lineRule="auto"/>
        <w:ind w:left="0" w:firstLine="630"/>
        <w:rPr>
          <w:rFonts w:ascii="宋体" w:hAnsi="宋体"/>
          <w:color w:val="auto"/>
          <w:sz w:val="28"/>
          <w:szCs w:val="28"/>
        </w:rPr>
      </w:pPr>
      <w:r>
        <w:rPr>
          <w:rFonts w:hint="eastAsia" w:ascii="宋体" w:hAnsi="宋体"/>
          <w:color w:val="auto"/>
          <w:sz w:val="28"/>
          <w:szCs w:val="28"/>
        </w:rPr>
        <w:t>在行贿犯罪信息查询期限内，投标人及其现任法定代表人、主要负责人没有行贿犯罪记录；</w:t>
      </w:r>
    </w:p>
    <w:p>
      <w:pPr>
        <w:numPr>
          <w:ilvl w:val="1"/>
          <w:numId w:val="9"/>
        </w:numPr>
        <w:tabs>
          <w:tab w:val="left" w:pos="1260"/>
        </w:tabs>
        <w:spacing w:line="360" w:lineRule="auto"/>
        <w:ind w:left="0" w:firstLine="630"/>
        <w:rPr>
          <w:rFonts w:ascii="宋体" w:hAnsi="宋体"/>
          <w:color w:val="auto"/>
          <w:sz w:val="28"/>
          <w:szCs w:val="28"/>
        </w:rPr>
      </w:pPr>
      <w:r>
        <w:rPr>
          <w:rFonts w:ascii="宋体" w:hAnsi="宋体"/>
          <w:color w:val="auto"/>
          <w:sz w:val="28"/>
          <w:szCs w:val="28"/>
        </w:rPr>
        <w:t>未处于被行政部门禁止参与政府采购活动的期限内</w:t>
      </w:r>
      <w:r>
        <w:rPr>
          <w:rFonts w:hint="eastAsia" w:ascii="宋体" w:hAnsi="宋体"/>
          <w:color w:val="auto"/>
          <w:sz w:val="28"/>
          <w:szCs w:val="28"/>
        </w:rPr>
        <w:t>；</w:t>
      </w:r>
    </w:p>
    <w:p>
      <w:pPr>
        <w:numPr>
          <w:ilvl w:val="1"/>
          <w:numId w:val="9"/>
        </w:numPr>
        <w:tabs>
          <w:tab w:val="left" w:pos="1260"/>
        </w:tabs>
        <w:spacing w:line="360" w:lineRule="auto"/>
        <w:ind w:left="0" w:firstLine="630"/>
        <w:rPr>
          <w:rFonts w:ascii="宋体" w:hAnsi="宋体"/>
          <w:color w:val="auto"/>
          <w:sz w:val="28"/>
          <w:szCs w:val="28"/>
        </w:rPr>
      </w:pPr>
      <w:r>
        <w:rPr>
          <w:rFonts w:hint="eastAsia" w:ascii="宋体" w:hAnsi="宋体"/>
          <w:color w:val="auto"/>
          <w:sz w:val="28"/>
          <w:szCs w:val="28"/>
        </w:rPr>
        <w:t>不属于其他国家相关法律法规规定的禁止参加投标的供应商；</w:t>
      </w:r>
    </w:p>
    <w:p>
      <w:pPr>
        <w:numPr>
          <w:ilvl w:val="1"/>
          <w:numId w:val="9"/>
        </w:numPr>
        <w:tabs>
          <w:tab w:val="left" w:pos="1260"/>
        </w:tabs>
        <w:spacing w:line="360" w:lineRule="auto"/>
        <w:ind w:left="0" w:firstLine="630"/>
        <w:rPr>
          <w:rFonts w:ascii="宋体" w:hAnsi="宋体"/>
          <w:color w:val="auto"/>
          <w:sz w:val="28"/>
          <w:szCs w:val="28"/>
        </w:rPr>
      </w:pPr>
      <w:r>
        <w:rPr>
          <w:rFonts w:hint="eastAsia" w:ascii="宋体" w:hAnsi="宋体"/>
          <w:color w:val="auto"/>
          <w:sz w:val="28"/>
          <w:szCs w:val="28"/>
        </w:rPr>
        <w:t>本项目</w:t>
      </w:r>
      <w:r>
        <w:rPr>
          <w:rFonts w:hint="eastAsia" w:ascii="宋体" w:hAnsi="宋体"/>
          <w:b/>
          <w:color w:val="auto"/>
          <w:sz w:val="28"/>
          <w:szCs w:val="28"/>
        </w:rPr>
        <w:t>不接受</w:t>
      </w:r>
      <w:r>
        <w:rPr>
          <w:rFonts w:hint="eastAsia" w:ascii="宋体" w:hAnsi="宋体"/>
          <w:color w:val="auto"/>
          <w:sz w:val="28"/>
          <w:szCs w:val="28"/>
        </w:rPr>
        <w:t>联合体投标。</w:t>
      </w:r>
    </w:p>
    <w:p>
      <w:pPr>
        <w:numPr>
          <w:ilvl w:val="0"/>
          <w:numId w:val="7"/>
        </w:numPr>
        <w:spacing w:line="360" w:lineRule="auto"/>
        <w:ind w:left="0" w:firstLine="567"/>
        <w:rPr>
          <w:rFonts w:ascii="宋体" w:hAnsi="宋体"/>
          <w:i/>
          <w:color w:val="auto"/>
          <w:sz w:val="28"/>
        </w:rPr>
      </w:pPr>
      <w:r>
        <w:rPr>
          <w:rFonts w:hint="eastAsia" w:ascii="宋体" w:hAnsi="宋体"/>
          <w:b/>
          <w:color w:val="auto"/>
          <w:sz w:val="28"/>
          <w:szCs w:val="28"/>
        </w:rPr>
        <w:t>招标文件获取时间</w:t>
      </w:r>
    </w:p>
    <w:p>
      <w:pPr>
        <w:numPr>
          <w:ilvl w:val="0"/>
          <w:numId w:val="10"/>
        </w:numPr>
        <w:spacing w:line="360" w:lineRule="auto"/>
        <w:ind w:left="0" w:firstLine="567"/>
        <w:rPr>
          <w:rFonts w:ascii="宋体" w:hAnsi="宋体"/>
          <w:color w:val="auto"/>
          <w:sz w:val="28"/>
        </w:rPr>
      </w:pPr>
      <w:r>
        <w:rPr>
          <w:rFonts w:hint="eastAsia" w:ascii="宋体" w:hAnsi="宋体"/>
          <w:color w:val="auto"/>
          <w:sz w:val="28"/>
          <w:szCs w:val="28"/>
        </w:rPr>
        <w:t>招标文件获取时间：202</w:t>
      </w:r>
      <w:r>
        <w:rPr>
          <w:rFonts w:ascii="宋体" w:hAnsi="宋体"/>
          <w:color w:val="auto"/>
          <w:sz w:val="28"/>
          <w:szCs w:val="28"/>
        </w:rPr>
        <w:t>1</w:t>
      </w:r>
      <w:r>
        <w:rPr>
          <w:rFonts w:hint="eastAsia" w:ascii="宋体" w:hAnsi="宋体"/>
          <w:color w:val="auto"/>
          <w:sz w:val="28"/>
          <w:szCs w:val="28"/>
        </w:rPr>
        <w:t>年</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7</w:t>
      </w:r>
      <w:r>
        <w:rPr>
          <w:rFonts w:hint="eastAsia" w:ascii="宋体" w:hAnsi="宋体"/>
          <w:color w:val="auto"/>
          <w:sz w:val="28"/>
          <w:szCs w:val="28"/>
        </w:rPr>
        <w:t>日至</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13</w:t>
      </w:r>
      <w:r>
        <w:rPr>
          <w:rFonts w:hint="eastAsia" w:ascii="宋体" w:hAnsi="宋体"/>
          <w:color w:val="auto"/>
          <w:sz w:val="28"/>
          <w:szCs w:val="28"/>
        </w:rPr>
        <w:t>日。</w:t>
      </w:r>
    </w:p>
    <w:p>
      <w:pPr>
        <w:numPr>
          <w:ilvl w:val="0"/>
          <w:numId w:val="10"/>
        </w:numPr>
        <w:spacing w:line="360" w:lineRule="auto"/>
        <w:ind w:left="0" w:firstLine="567"/>
        <w:rPr>
          <w:rFonts w:ascii="宋体" w:hAnsi="宋体"/>
          <w:color w:val="auto"/>
          <w:sz w:val="28"/>
          <w:szCs w:val="28"/>
        </w:rPr>
      </w:pPr>
      <w:r>
        <w:rPr>
          <w:rFonts w:hint="eastAsia" w:ascii="宋体" w:hAnsi="宋体"/>
          <w:color w:val="auto"/>
          <w:sz w:val="28"/>
          <w:szCs w:val="28"/>
        </w:rPr>
        <w:t>公告期限：2021年</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7</w:t>
      </w:r>
      <w:r>
        <w:rPr>
          <w:rFonts w:hint="eastAsia" w:ascii="宋体" w:hAnsi="宋体"/>
          <w:color w:val="auto"/>
          <w:sz w:val="28"/>
          <w:szCs w:val="28"/>
        </w:rPr>
        <w:t>日至</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13</w:t>
      </w:r>
      <w:r>
        <w:rPr>
          <w:rFonts w:hint="eastAsia" w:ascii="宋体" w:hAnsi="宋体"/>
          <w:color w:val="auto"/>
          <w:sz w:val="28"/>
          <w:szCs w:val="28"/>
        </w:rPr>
        <w:t>日。</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招标文件获取方式</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投标人要参加投标，应在成都市公共资源交易服务中心“政府采购云平台（www.zcygov.cn）”获取采购文件。登录政府采购云平台(www.zcygov.cn)—我的工作台—项目采购—获取采购文件—申请获取采购文件。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提示：</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（1）本项目采购文件免费获取。</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（3）首次登录政府采购云平台(www.zcygov.cn)的新用户,</w:t>
      </w:r>
      <w:r>
        <w:rPr>
          <w:rFonts w:hint="eastAsia"/>
          <w:color w:val="auto"/>
        </w:rPr>
        <w:t xml:space="preserve"> </w:t>
      </w:r>
      <w:r>
        <w:rPr>
          <w:rFonts w:hint="eastAsia" w:ascii="宋体" w:hAnsi="宋体"/>
          <w:color w:val="auto"/>
          <w:sz w:val="28"/>
          <w:szCs w:val="28"/>
        </w:rPr>
        <w:t>应先点击网页左上角切换至“成都市本级”，再点击“供应商入驻”，注册成功后即可登录。</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auto"/>
          <w:sz w:val="28"/>
          <w:szCs w:val="28"/>
        </w:rPr>
        <w:t>—</w:t>
      </w:r>
      <w:r>
        <w:rPr>
          <w:rFonts w:hint="eastAsia" w:ascii="宋体" w:hAnsi="宋体"/>
          <w:color w:val="auto"/>
          <w:sz w:val="28"/>
          <w:szCs w:val="28"/>
        </w:rPr>
        <w:t>操作指南</w:t>
      </w:r>
      <w:r>
        <w:rPr>
          <w:rFonts w:ascii="宋体" w:hAnsi="宋体"/>
          <w:color w:val="auto"/>
          <w:sz w:val="28"/>
          <w:szCs w:val="28"/>
        </w:rPr>
        <w:t>—</w:t>
      </w:r>
      <w:r>
        <w:rPr>
          <w:rFonts w:hint="eastAsia" w:ascii="宋体" w:hAnsi="宋体"/>
          <w:color w:val="auto"/>
          <w:sz w:val="28"/>
          <w:szCs w:val="28"/>
        </w:rPr>
        <w:t>供应商”处下载查看）。</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招标文件获取地点</w:t>
      </w:r>
    </w:p>
    <w:p>
      <w:pPr>
        <w:spacing w:line="360" w:lineRule="auto"/>
        <w:ind w:firstLine="560" w:firstLineChars="200"/>
        <w:rPr>
          <w:rFonts w:ascii="宋体" w:hAnsi="宋体"/>
          <w:color w:val="auto"/>
          <w:sz w:val="28"/>
          <w:szCs w:val="28"/>
        </w:rPr>
      </w:pPr>
      <w:bookmarkStart w:id="2" w:name="_Toc184013605"/>
      <w:bookmarkStart w:id="3" w:name="_Toc184023104"/>
      <w:bookmarkStart w:id="4" w:name="_Toc180051012"/>
      <w:bookmarkStart w:id="5" w:name="_Toc186274101"/>
      <w:bookmarkStart w:id="6" w:name="_Toc174185149"/>
      <w:r>
        <w:rPr>
          <w:rFonts w:hint="eastAsia" w:ascii="宋体" w:hAnsi="宋体"/>
          <w:color w:val="auto"/>
          <w:sz w:val="28"/>
          <w:szCs w:val="28"/>
        </w:rPr>
        <w:t>登录政府采购云平台（www.zcygov.cn）获取。</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投标文件提交截止时间及开标时间</w:t>
      </w:r>
      <w:bookmarkEnd w:id="2"/>
      <w:bookmarkEnd w:id="3"/>
      <w:bookmarkEnd w:id="4"/>
      <w:bookmarkEnd w:id="5"/>
      <w:bookmarkEnd w:id="6"/>
      <w:r>
        <w:rPr>
          <w:rFonts w:hint="eastAsia" w:ascii="宋体" w:hAnsi="宋体"/>
          <w:b/>
          <w:color w:val="auto"/>
          <w:sz w:val="28"/>
          <w:szCs w:val="28"/>
        </w:rPr>
        <w:t>(北京时间)、地点、方式</w:t>
      </w:r>
    </w:p>
    <w:p>
      <w:pPr>
        <w:spacing w:line="560" w:lineRule="exact"/>
        <w:ind w:firstLine="565" w:firstLineChars="202"/>
        <w:rPr>
          <w:rFonts w:ascii="宋体" w:hAnsi="宋体"/>
          <w:b/>
          <w:color w:val="auto"/>
          <w:sz w:val="28"/>
          <w:szCs w:val="28"/>
        </w:rPr>
      </w:pPr>
      <w:r>
        <w:rPr>
          <w:rFonts w:hint="eastAsia" w:ascii="宋体" w:hAnsi="宋体"/>
          <w:color w:val="auto"/>
          <w:sz w:val="28"/>
          <w:szCs w:val="28"/>
        </w:rPr>
        <w:t>（一）投标文件提交截止时间及开标时间：</w:t>
      </w:r>
      <w:r>
        <w:rPr>
          <w:rFonts w:hint="eastAsia" w:ascii="宋体" w:hAnsi="宋体"/>
          <w:b/>
          <w:color w:val="auto"/>
          <w:sz w:val="28"/>
          <w:szCs w:val="28"/>
        </w:rPr>
        <w:t>202</w:t>
      </w:r>
      <w:r>
        <w:rPr>
          <w:rFonts w:ascii="宋体" w:hAnsi="宋体"/>
          <w:b/>
          <w:color w:val="auto"/>
          <w:sz w:val="28"/>
          <w:szCs w:val="28"/>
        </w:rPr>
        <w:t>1</w:t>
      </w:r>
      <w:r>
        <w:rPr>
          <w:rFonts w:hint="eastAsia" w:ascii="宋体" w:hAnsi="宋体"/>
          <w:b/>
          <w:color w:val="auto"/>
          <w:sz w:val="28"/>
          <w:szCs w:val="28"/>
        </w:rPr>
        <w:t>年</w:t>
      </w:r>
      <w:r>
        <w:rPr>
          <w:rFonts w:hint="eastAsia" w:ascii="宋体" w:hAnsi="宋体"/>
          <w:b/>
          <w:color w:val="auto"/>
          <w:sz w:val="28"/>
          <w:szCs w:val="28"/>
          <w:lang w:val="en-US" w:eastAsia="zh-CN"/>
        </w:rPr>
        <w:t>12</w:t>
      </w:r>
      <w:r>
        <w:rPr>
          <w:rFonts w:hint="eastAsia" w:ascii="宋体" w:hAnsi="宋体"/>
          <w:b/>
          <w:color w:val="auto"/>
          <w:sz w:val="28"/>
          <w:szCs w:val="28"/>
        </w:rPr>
        <w:t>月</w:t>
      </w:r>
      <w:r>
        <w:rPr>
          <w:rFonts w:hint="eastAsia" w:ascii="宋体" w:hAnsi="宋体"/>
          <w:b/>
          <w:color w:val="auto"/>
          <w:sz w:val="28"/>
          <w:szCs w:val="28"/>
          <w:lang w:val="en-US" w:eastAsia="zh-CN"/>
        </w:rPr>
        <w:t>27</w:t>
      </w:r>
      <w:r>
        <w:rPr>
          <w:rFonts w:hint="eastAsia" w:ascii="宋体" w:hAnsi="宋体"/>
          <w:b/>
          <w:color w:val="auto"/>
          <w:sz w:val="28"/>
          <w:szCs w:val="28"/>
        </w:rPr>
        <w:t>日上午09:30。</w:t>
      </w:r>
    </w:p>
    <w:p>
      <w:pPr>
        <w:spacing w:line="560" w:lineRule="exact"/>
        <w:ind w:firstLine="565" w:firstLineChars="202"/>
        <w:rPr>
          <w:rFonts w:ascii="宋体" w:hAnsi="宋体"/>
          <w:color w:val="auto"/>
          <w:sz w:val="28"/>
          <w:szCs w:val="28"/>
        </w:rPr>
      </w:pPr>
      <w:r>
        <w:rPr>
          <w:rFonts w:hint="eastAsia" w:ascii="宋体" w:hAnsi="宋体"/>
          <w:color w:val="auto"/>
          <w:sz w:val="28"/>
          <w:szCs w:val="28"/>
        </w:rPr>
        <w:t>（二）投标文件提交方式、地点：投标截止时间前，投标人应将加密的投标文件提交至“政府采购云平台”对应项目（包件）。</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开标地点</w:t>
      </w:r>
    </w:p>
    <w:p>
      <w:pPr>
        <w:pStyle w:val="226"/>
        <w:numPr>
          <w:ilvl w:val="0"/>
          <w:numId w:val="11"/>
        </w:numPr>
        <w:spacing w:line="560" w:lineRule="exact"/>
        <w:ind w:left="0" w:firstLine="566" w:firstLineChars="0"/>
        <w:rPr>
          <w:rFonts w:ascii="宋体" w:hAnsi="宋体"/>
          <w:color w:val="auto"/>
          <w:sz w:val="28"/>
          <w:szCs w:val="28"/>
        </w:rPr>
      </w:pPr>
      <w:r>
        <w:rPr>
          <w:rFonts w:hint="eastAsia" w:ascii="宋体" w:hAnsi="宋体"/>
          <w:color w:val="auto"/>
          <w:sz w:val="28"/>
          <w:szCs w:val="28"/>
        </w:rPr>
        <w:t>本项目为不见面开标项目。</w:t>
      </w:r>
    </w:p>
    <w:p>
      <w:pPr>
        <w:pStyle w:val="226"/>
        <w:numPr>
          <w:ilvl w:val="0"/>
          <w:numId w:val="11"/>
        </w:numPr>
        <w:spacing w:line="560" w:lineRule="exact"/>
        <w:ind w:left="0" w:firstLine="566" w:firstLineChars="0"/>
        <w:rPr>
          <w:rFonts w:ascii="宋体" w:hAnsi="宋体"/>
          <w:color w:val="auto"/>
          <w:sz w:val="28"/>
          <w:szCs w:val="28"/>
        </w:rPr>
      </w:pPr>
      <w:r>
        <w:rPr>
          <w:rFonts w:hint="eastAsia" w:ascii="宋体" w:hAnsi="宋体"/>
          <w:color w:val="auto"/>
          <w:sz w:val="28"/>
          <w:szCs w:val="28"/>
        </w:rPr>
        <w:t>开标地点为：政府采购云平台（www.zcygov.cn）。</w:t>
      </w:r>
    </w:p>
    <w:p>
      <w:pPr>
        <w:pStyle w:val="226"/>
        <w:numPr>
          <w:ilvl w:val="0"/>
          <w:numId w:val="11"/>
        </w:numPr>
        <w:spacing w:line="560" w:lineRule="exact"/>
        <w:ind w:left="0" w:firstLine="566" w:firstLineChars="0"/>
        <w:rPr>
          <w:rFonts w:ascii="宋体" w:hAnsi="宋体"/>
          <w:color w:val="auto"/>
          <w:sz w:val="28"/>
          <w:szCs w:val="28"/>
        </w:rPr>
      </w:pPr>
      <w:r>
        <w:rPr>
          <w:rFonts w:hint="eastAsia" w:ascii="宋体" w:hAnsi="宋体"/>
          <w:color w:val="auto"/>
          <w:sz w:val="28"/>
          <w:szCs w:val="28"/>
        </w:rPr>
        <w:t>本项目只接受投标人加密并递交至“政府采购云平台”的投标文件。</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政采中小企业政府采购信用融资</w:t>
      </w:r>
    </w:p>
    <w:p>
      <w:pPr>
        <w:spacing w:line="560" w:lineRule="exact"/>
        <w:ind w:firstLine="565" w:firstLineChars="202"/>
        <w:rPr>
          <w:rFonts w:ascii="宋体" w:hAnsi="宋体"/>
          <w:color w:val="auto"/>
          <w:sz w:val="28"/>
          <w:szCs w:val="28"/>
        </w:rPr>
      </w:pPr>
      <w:r>
        <w:rPr>
          <w:rFonts w:hint="eastAsia" w:ascii="宋体" w:hAnsi="宋体"/>
          <w:color w:val="auto"/>
          <w:sz w:val="28"/>
          <w:szCs w:val="28"/>
        </w:rPr>
        <w:t>本项目支持成交中小企业凭借政府采购合同向相关金融机构申请信用融资。具体内容详见招标文件附件《成都市财政局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本投标邀请在“四川政府采购网”网站上以公告形式发布</w:t>
      </w:r>
    </w:p>
    <w:p>
      <w:pPr>
        <w:numPr>
          <w:ilvl w:val="0"/>
          <w:numId w:val="7"/>
        </w:numPr>
        <w:spacing w:line="360" w:lineRule="auto"/>
        <w:ind w:left="0" w:firstLine="567"/>
        <w:rPr>
          <w:rFonts w:ascii="宋体" w:hAnsi="宋体"/>
          <w:b/>
          <w:color w:val="auto"/>
          <w:sz w:val="28"/>
          <w:szCs w:val="28"/>
        </w:rPr>
      </w:pPr>
      <w:r>
        <w:rPr>
          <w:rFonts w:hint="eastAsia" w:ascii="宋体" w:hAnsi="宋体"/>
          <w:b/>
          <w:color w:val="auto"/>
          <w:sz w:val="28"/>
          <w:szCs w:val="28"/>
        </w:rPr>
        <w:t>联系方式</w:t>
      </w:r>
    </w:p>
    <w:p>
      <w:pPr>
        <w:spacing w:line="360" w:lineRule="auto"/>
        <w:ind w:firstLine="568" w:firstLineChars="202"/>
        <w:rPr>
          <w:rFonts w:hint="eastAsia" w:ascii="宋体" w:hAnsi="宋体" w:eastAsia="宋体"/>
          <w:b/>
          <w:color w:val="auto"/>
          <w:sz w:val="28"/>
          <w:szCs w:val="28"/>
          <w:lang w:eastAsia="zh-CN"/>
        </w:rPr>
      </w:pPr>
      <w:r>
        <w:rPr>
          <w:rFonts w:hint="eastAsia" w:ascii="宋体" w:hAnsi="宋体"/>
          <w:b/>
          <w:color w:val="auto"/>
          <w:sz w:val="28"/>
          <w:szCs w:val="28"/>
        </w:rPr>
        <w:t>采购人：</w:t>
      </w:r>
      <w:r>
        <w:rPr>
          <w:rFonts w:hint="eastAsia" w:ascii="宋体" w:hAnsi="宋体"/>
          <w:b/>
          <w:color w:val="auto"/>
          <w:sz w:val="28"/>
          <w:szCs w:val="28"/>
          <w:lang w:eastAsia="zh-CN"/>
        </w:rPr>
        <w:t>成都东部新区党工委管委会（成都市东部新城办）综合部</w:t>
      </w:r>
    </w:p>
    <w:p>
      <w:pPr>
        <w:spacing w:line="360" w:lineRule="auto"/>
        <w:ind w:firstLine="565" w:firstLineChars="202"/>
        <w:rPr>
          <w:rFonts w:ascii="宋体" w:hAnsi="宋体"/>
          <w:color w:val="auto"/>
          <w:sz w:val="28"/>
          <w:szCs w:val="28"/>
        </w:rPr>
      </w:pPr>
      <w:r>
        <w:rPr>
          <w:rFonts w:hint="eastAsia" w:ascii="宋体" w:hAnsi="宋体"/>
          <w:color w:val="auto"/>
          <w:sz w:val="28"/>
          <w:szCs w:val="28"/>
        </w:rPr>
        <w:t xml:space="preserve">地  址：成都东部新区三岔街道板桥村2组166号东部新区市民中心 </w:t>
      </w:r>
    </w:p>
    <w:p>
      <w:pPr>
        <w:spacing w:line="360" w:lineRule="auto"/>
        <w:ind w:firstLine="565" w:firstLineChars="202"/>
        <w:rPr>
          <w:rFonts w:ascii="宋体" w:hAnsi="宋体"/>
          <w:color w:val="auto"/>
          <w:sz w:val="28"/>
          <w:szCs w:val="28"/>
        </w:rPr>
      </w:pPr>
      <w:r>
        <w:rPr>
          <w:rFonts w:hint="eastAsia" w:ascii="宋体" w:hAnsi="宋体"/>
          <w:color w:val="auto"/>
          <w:sz w:val="28"/>
          <w:szCs w:val="28"/>
        </w:rPr>
        <w:t>邮  编：641400</w:t>
      </w:r>
    </w:p>
    <w:p>
      <w:pPr>
        <w:spacing w:line="360" w:lineRule="auto"/>
        <w:ind w:firstLine="565" w:firstLineChars="202"/>
        <w:rPr>
          <w:rFonts w:ascii="宋体" w:hAnsi="宋体"/>
          <w:color w:val="auto"/>
          <w:sz w:val="28"/>
          <w:szCs w:val="28"/>
        </w:rPr>
      </w:pPr>
      <w:r>
        <w:rPr>
          <w:rFonts w:hint="eastAsia" w:ascii="宋体" w:hAnsi="宋体"/>
          <w:color w:val="auto"/>
          <w:sz w:val="28"/>
          <w:szCs w:val="28"/>
        </w:rPr>
        <w:t>联系人：邱磊</w:t>
      </w:r>
    </w:p>
    <w:p>
      <w:pPr>
        <w:spacing w:line="360" w:lineRule="auto"/>
        <w:ind w:firstLine="565" w:firstLineChars="202"/>
        <w:rPr>
          <w:rFonts w:ascii="宋体" w:hAnsi="宋体"/>
          <w:color w:val="auto"/>
          <w:sz w:val="28"/>
          <w:szCs w:val="28"/>
        </w:rPr>
      </w:pPr>
      <w:r>
        <w:rPr>
          <w:rFonts w:hint="eastAsia" w:ascii="宋体" w:hAnsi="宋体"/>
          <w:color w:val="auto"/>
          <w:sz w:val="28"/>
          <w:szCs w:val="28"/>
        </w:rPr>
        <w:t>联系电话：13881818286</w:t>
      </w:r>
    </w:p>
    <w:p>
      <w:pPr>
        <w:spacing w:line="360" w:lineRule="auto"/>
        <w:ind w:firstLine="568" w:firstLineChars="202"/>
        <w:rPr>
          <w:rFonts w:hint="eastAsia" w:ascii="宋体" w:hAnsi="宋体" w:eastAsia="宋体"/>
          <w:b/>
          <w:color w:val="auto"/>
          <w:sz w:val="28"/>
          <w:szCs w:val="28"/>
          <w:lang w:eastAsia="zh-CN"/>
        </w:rPr>
      </w:pPr>
      <w:r>
        <w:rPr>
          <w:rFonts w:hint="eastAsia" w:ascii="宋体" w:hAnsi="宋体"/>
          <w:b/>
          <w:color w:val="auto"/>
          <w:sz w:val="28"/>
          <w:szCs w:val="28"/>
        </w:rPr>
        <w:t>集中</w:t>
      </w:r>
      <w:r>
        <w:rPr>
          <w:rFonts w:ascii="宋体" w:hAnsi="宋体"/>
          <w:b/>
          <w:color w:val="auto"/>
          <w:sz w:val="28"/>
          <w:szCs w:val="28"/>
        </w:rPr>
        <w:t>采购机构</w:t>
      </w:r>
      <w:r>
        <w:rPr>
          <w:rFonts w:hint="eastAsia" w:ascii="宋体" w:hAnsi="宋体"/>
          <w:b/>
          <w:color w:val="auto"/>
          <w:sz w:val="28"/>
          <w:szCs w:val="28"/>
        </w:rPr>
        <w:t>：</w:t>
      </w:r>
      <w:r>
        <w:rPr>
          <w:rFonts w:hint="eastAsia" w:ascii="宋体" w:hAnsi="宋体"/>
          <w:b/>
          <w:color w:val="auto"/>
          <w:sz w:val="28"/>
          <w:szCs w:val="28"/>
          <w:lang w:eastAsia="zh-CN"/>
        </w:rPr>
        <w:t>成都东部新区党工委管委会（成都市东部新城办）综合部</w:t>
      </w:r>
    </w:p>
    <w:p>
      <w:pPr>
        <w:spacing w:line="360" w:lineRule="auto"/>
        <w:ind w:firstLine="565" w:firstLineChars="202"/>
        <w:rPr>
          <w:rFonts w:ascii="宋体" w:hAnsi="宋体"/>
          <w:color w:val="auto"/>
          <w:sz w:val="28"/>
          <w:szCs w:val="28"/>
        </w:rPr>
      </w:pPr>
      <w:r>
        <w:rPr>
          <w:rFonts w:hint="eastAsia" w:ascii="宋体" w:hAnsi="宋体"/>
          <w:color w:val="auto"/>
          <w:sz w:val="28"/>
          <w:szCs w:val="28"/>
        </w:rPr>
        <w:t>地  址：成都东部新区三岔街道板桥村2组166号东部新区市民中心</w:t>
      </w:r>
    </w:p>
    <w:p>
      <w:pPr>
        <w:spacing w:line="360" w:lineRule="auto"/>
        <w:ind w:firstLine="565" w:firstLineChars="202"/>
        <w:rPr>
          <w:rFonts w:ascii="宋体" w:hAnsi="宋体"/>
          <w:color w:val="auto"/>
          <w:sz w:val="28"/>
          <w:szCs w:val="28"/>
        </w:rPr>
      </w:pPr>
      <w:r>
        <w:rPr>
          <w:rFonts w:hint="eastAsia" w:ascii="宋体" w:hAnsi="宋体"/>
          <w:color w:val="auto"/>
          <w:sz w:val="28"/>
          <w:szCs w:val="28"/>
        </w:rPr>
        <w:t>邮  编：641400</w:t>
      </w:r>
    </w:p>
    <w:p>
      <w:pPr>
        <w:spacing w:line="360" w:lineRule="auto"/>
        <w:ind w:firstLine="565" w:firstLineChars="202"/>
        <w:rPr>
          <w:rFonts w:ascii="宋体" w:hAnsi="宋体"/>
          <w:color w:val="auto"/>
          <w:sz w:val="28"/>
          <w:szCs w:val="28"/>
        </w:rPr>
      </w:pPr>
      <w:r>
        <w:rPr>
          <w:rFonts w:hint="eastAsia" w:ascii="宋体" w:hAnsi="宋体"/>
          <w:color w:val="auto"/>
          <w:sz w:val="28"/>
          <w:szCs w:val="28"/>
        </w:rPr>
        <w:t>联系人： 张诗卉</w:t>
      </w:r>
    </w:p>
    <w:p>
      <w:pPr>
        <w:spacing w:line="360" w:lineRule="auto"/>
        <w:ind w:firstLine="565" w:firstLineChars="202"/>
        <w:rPr>
          <w:rFonts w:ascii="宋体" w:hAnsi="宋体"/>
          <w:color w:val="auto"/>
          <w:sz w:val="28"/>
          <w:szCs w:val="28"/>
        </w:rPr>
      </w:pPr>
      <w:r>
        <w:rPr>
          <w:rFonts w:hint="eastAsia" w:ascii="宋体" w:hAnsi="宋体"/>
          <w:color w:val="auto"/>
          <w:sz w:val="28"/>
          <w:szCs w:val="28"/>
        </w:rPr>
        <w:t>联系电话：028-86360238</w:t>
      </w:r>
    </w:p>
    <w:p>
      <w:pPr>
        <w:tabs>
          <w:tab w:val="left" w:pos="900"/>
        </w:tabs>
        <w:spacing w:line="360" w:lineRule="auto"/>
        <w:ind w:firstLine="562" w:firstLineChars="200"/>
        <w:rPr>
          <w:rFonts w:ascii="宋体" w:hAnsi="宋体" w:cstheme="minorBidi"/>
          <w:b/>
          <w:bCs/>
          <w:color w:val="auto"/>
          <w:sz w:val="28"/>
          <w:szCs w:val="28"/>
        </w:rPr>
      </w:pPr>
      <w:r>
        <w:rPr>
          <w:rFonts w:hint="eastAsia" w:ascii="宋体" w:hAnsi="宋体" w:cstheme="minorBidi"/>
          <w:b/>
          <w:bCs/>
          <w:color w:val="auto"/>
          <w:sz w:val="28"/>
          <w:szCs w:val="28"/>
        </w:rPr>
        <w:t>政府采购监督机构：成都东部新区党工委管委会(成都市东部新城办)财政金融局</w:t>
      </w:r>
    </w:p>
    <w:p>
      <w:pPr>
        <w:tabs>
          <w:tab w:val="left" w:pos="900"/>
        </w:tabs>
        <w:spacing w:line="360" w:lineRule="auto"/>
        <w:ind w:firstLine="560" w:firstLineChars="200"/>
        <w:rPr>
          <w:rFonts w:ascii="宋体" w:hAnsi="宋体" w:cstheme="minorBidi"/>
          <w:color w:val="auto"/>
          <w:sz w:val="28"/>
          <w:szCs w:val="28"/>
        </w:rPr>
      </w:pPr>
      <w:r>
        <w:rPr>
          <w:rFonts w:hint="eastAsia" w:ascii="宋体" w:hAnsi="宋体" w:cstheme="minorBidi"/>
          <w:color w:val="auto"/>
          <w:sz w:val="28"/>
          <w:szCs w:val="28"/>
        </w:rPr>
        <w:t>地 址：成都东部新区三岔街道板桥村2组166号东部新区市民中心</w:t>
      </w:r>
    </w:p>
    <w:p>
      <w:pPr>
        <w:tabs>
          <w:tab w:val="left" w:pos="900"/>
        </w:tabs>
        <w:spacing w:line="360" w:lineRule="auto"/>
        <w:ind w:firstLine="560" w:firstLineChars="200"/>
        <w:rPr>
          <w:rFonts w:ascii="宋体" w:hAnsi="宋体" w:cstheme="minorBidi"/>
          <w:color w:val="auto"/>
          <w:sz w:val="28"/>
          <w:szCs w:val="28"/>
        </w:rPr>
      </w:pPr>
      <w:r>
        <w:rPr>
          <w:rFonts w:hint="eastAsia" w:ascii="宋体" w:hAnsi="宋体" w:cstheme="minorBidi"/>
          <w:color w:val="auto"/>
          <w:sz w:val="28"/>
          <w:szCs w:val="28"/>
        </w:rPr>
        <w:t>邮</w:t>
      </w:r>
      <w:r>
        <w:rPr>
          <w:rFonts w:hint="eastAsia" w:ascii="宋体" w:hAnsi="宋体" w:cstheme="minorBidi"/>
          <w:color w:val="auto"/>
          <w:sz w:val="28"/>
          <w:szCs w:val="28"/>
        </w:rPr>
        <w:tab/>
      </w:r>
      <w:r>
        <w:rPr>
          <w:rFonts w:hint="eastAsia" w:ascii="宋体" w:hAnsi="宋体" w:cstheme="minorBidi"/>
          <w:color w:val="auto"/>
          <w:sz w:val="28"/>
          <w:szCs w:val="28"/>
        </w:rPr>
        <w:t>编：641400</w:t>
      </w:r>
    </w:p>
    <w:p>
      <w:pPr>
        <w:tabs>
          <w:tab w:val="left" w:pos="900"/>
        </w:tabs>
        <w:spacing w:line="360" w:lineRule="auto"/>
        <w:ind w:firstLine="560" w:firstLineChars="200"/>
        <w:rPr>
          <w:rFonts w:ascii="宋体" w:hAnsi="宋体" w:cstheme="minorBidi"/>
          <w:color w:val="auto"/>
          <w:sz w:val="28"/>
          <w:szCs w:val="28"/>
        </w:rPr>
      </w:pPr>
      <w:r>
        <w:rPr>
          <w:rFonts w:hint="eastAsia" w:ascii="宋体" w:hAnsi="宋体" w:cstheme="minorBidi"/>
          <w:color w:val="auto"/>
          <w:sz w:val="28"/>
          <w:szCs w:val="28"/>
        </w:rPr>
        <w:t>联系人：温全</w:t>
      </w:r>
    </w:p>
    <w:p>
      <w:pPr>
        <w:tabs>
          <w:tab w:val="left" w:pos="900"/>
        </w:tabs>
        <w:spacing w:line="360" w:lineRule="auto"/>
        <w:ind w:firstLine="560" w:firstLineChars="200"/>
        <w:rPr>
          <w:rFonts w:ascii="宋体" w:hAnsi="宋体" w:cstheme="minorBidi"/>
          <w:color w:val="auto"/>
          <w:sz w:val="28"/>
          <w:szCs w:val="28"/>
        </w:rPr>
      </w:pPr>
      <w:r>
        <w:rPr>
          <w:rFonts w:hint="eastAsia" w:ascii="宋体" w:hAnsi="宋体" w:cstheme="minorBidi"/>
          <w:color w:val="auto"/>
          <w:sz w:val="28"/>
          <w:szCs w:val="28"/>
        </w:rPr>
        <w:t>联系电话：028-86360129</w:t>
      </w:r>
    </w:p>
    <w:p>
      <w:pPr>
        <w:spacing w:line="360" w:lineRule="auto"/>
        <w:ind w:firstLine="562" w:firstLineChars="200"/>
        <w:rPr>
          <w:rFonts w:hint="eastAsia" w:ascii="宋体" w:hAnsi="宋体" w:cs="宋体"/>
          <w:b/>
          <w:bCs/>
          <w:color w:val="auto"/>
          <w:sz w:val="28"/>
          <w:szCs w:val="28"/>
        </w:rPr>
      </w:pPr>
      <w:r>
        <w:rPr>
          <w:rFonts w:hint="eastAsia" w:ascii="宋体" w:hAnsi="宋体" w:cs="宋体"/>
          <w:b/>
          <w:bCs/>
          <w:color w:val="auto"/>
          <w:sz w:val="28"/>
          <w:szCs w:val="28"/>
        </w:rPr>
        <w:t>政府采购云平台技术支持：</w:t>
      </w:r>
    </w:p>
    <w:p>
      <w:pPr>
        <w:numPr>
          <w:ilvl w:val="0"/>
          <w:numId w:val="12"/>
        </w:num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钉钉群号：34165101；如遇钉钉群满，请加钉钉群号：33782435（注：只加其中一个即可）。</w:t>
      </w:r>
    </w:p>
    <w:p>
      <w:pPr>
        <w:numPr>
          <w:ilvl w:val="0"/>
          <w:numId w:val="0"/>
        </w:num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（2）统一热线电话：4008817190</w:t>
      </w:r>
    </w:p>
    <w:p>
      <w:pPr>
        <w:ind w:firstLine="562" w:firstLineChars="200"/>
        <w:rPr>
          <w:rFonts w:hint="eastAsia" w:ascii="宋体" w:hAnsi="宋体" w:cs="宋体"/>
          <w:b/>
          <w:bCs/>
          <w:color w:val="auto"/>
          <w:sz w:val="28"/>
          <w:szCs w:val="28"/>
        </w:rPr>
      </w:pPr>
      <w:r>
        <w:rPr>
          <w:rFonts w:hint="eastAsia" w:ascii="宋体" w:hAnsi="宋体" w:cs="宋体"/>
          <w:b/>
          <w:bCs/>
          <w:color w:val="auto"/>
          <w:sz w:val="28"/>
          <w:szCs w:val="28"/>
        </w:rPr>
        <w:t>CA技术支持：</w:t>
      </w:r>
    </w:p>
    <w:p>
      <w:pPr>
        <w:ind w:firstLine="560" w:firstLineChars="200"/>
        <w:rPr>
          <w:rFonts w:hint="eastAsia" w:ascii="宋体" w:hAnsi="宋体" w:cs="宋体"/>
          <w:color w:val="auto"/>
          <w:sz w:val="28"/>
          <w:szCs w:val="28"/>
        </w:rPr>
      </w:pPr>
      <w:r>
        <w:rPr>
          <w:rFonts w:hint="eastAsia" w:ascii="宋体" w:hAnsi="宋体" w:cs="宋体"/>
          <w:color w:val="auto"/>
          <w:sz w:val="28"/>
          <w:szCs w:val="28"/>
        </w:rPr>
        <w:t>四川CA：400-0281130；</w:t>
      </w:r>
    </w:p>
    <w:p>
      <w:pPr>
        <w:ind w:firstLine="560" w:firstLineChars="200"/>
        <w:rPr>
          <w:rFonts w:hint="eastAsia" w:ascii="宋体" w:hAnsi="宋体" w:cs="宋体"/>
          <w:color w:val="auto"/>
          <w:sz w:val="28"/>
          <w:szCs w:val="28"/>
        </w:rPr>
      </w:pPr>
      <w:r>
        <w:rPr>
          <w:rFonts w:hint="eastAsia" w:ascii="宋体" w:hAnsi="宋体" w:cs="宋体"/>
          <w:color w:val="auto"/>
          <w:sz w:val="28"/>
          <w:szCs w:val="28"/>
        </w:rPr>
        <w:t>天威CA： 028-86694886、1592864708；</w:t>
      </w:r>
    </w:p>
    <w:p>
      <w:pPr>
        <w:tabs>
          <w:tab w:val="left" w:pos="900"/>
        </w:tabs>
        <w:spacing w:line="360" w:lineRule="auto"/>
        <w:ind w:firstLine="560" w:firstLineChars="200"/>
        <w:rPr>
          <w:rFonts w:ascii="宋体" w:hAnsi="宋体" w:cstheme="minorBidi"/>
          <w:b/>
          <w:color w:val="auto"/>
          <w:sz w:val="28"/>
          <w:szCs w:val="28"/>
        </w:rPr>
      </w:pPr>
      <w:r>
        <w:rPr>
          <w:rFonts w:hint="eastAsia" w:ascii="宋体" w:hAnsi="宋体" w:cs="宋体"/>
          <w:color w:val="auto"/>
          <w:sz w:val="28"/>
          <w:szCs w:val="28"/>
        </w:rPr>
        <w:t>CFCA：028-65785326、18033549468。</w:t>
      </w:r>
    </w:p>
    <w:p>
      <w:pPr>
        <w:tabs>
          <w:tab w:val="left" w:pos="900"/>
        </w:tabs>
        <w:spacing w:line="360" w:lineRule="auto"/>
        <w:rPr>
          <w:rFonts w:ascii="宋体" w:hAnsi="宋体" w:cstheme="minorBidi"/>
          <w:b/>
          <w:color w:val="auto"/>
          <w:sz w:val="28"/>
          <w:szCs w:val="28"/>
        </w:rPr>
      </w:pPr>
    </w:p>
    <w:p>
      <w:pPr>
        <w:keepNext/>
        <w:keepLines/>
        <w:numPr>
          <w:ilvl w:val="0"/>
          <w:numId w:val="6"/>
        </w:numPr>
        <w:spacing w:before="340" w:after="330" w:line="400" w:lineRule="exact"/>
        <w:ind w:left="0" w:firstLine="0"/>
        <w:jc w:val="center"/>
        <w:outlineLvl w:val="0"/>
        <w:rPr>
          <w:rFonts w:ascii="宋体" w:hAnsi="宋体"/>
          <w:b/>
          <w:bCs/>
          <w:color w:val="auto"/>
          <w:spacing w:val="-20"/>
          <w:kern w:val="44"/>
          <w:sz w:val="32"/>
          <w:szCs w:val="32"/>
        </w:rPr>
        <w:sectPr>
          <w:pgSz w:w="12240" w:h="15840"/>
          <w:pgMar w:top="1440" w:right="1800" w:bottom="1440" w:left="1800" w:header="708" w:footer="708" w:gutter="0"/>
          <w:cols w:space="708" w:num="1"/>
          <w:docGrid w:linePitch="360" w:charSpace="0"/>
        </w:sectPr>
      </w:pPr>
      <w:bookmarkStart w:id="7" w:name="_Toc17161"/>
      <w:bookmarkStart w:id="8" w:name="_Toc16972"/>
      <w:bookmarkStart w:id="9" w:name="_Toc86665542"/>
    </w:p>
    <w:p>
      <w:pPr>
        <w:keepNext/>
        <w:keepLines/>
        <w:numPr>
          <w:ilvl w:val="0"/>
          <w:numId w:val="6"/>
        </w:numPr>
        <w:spacing w:before="340" w:after="330" w:line="400" w:lineRule="exact"/>
        <w:ind w:left="0" w:firstLine="0"/>
        <w:jc w:val="center"/>
        <w:outlineLvl w:val="0"/>
        <w:rPr>
          <w:rFonts w:ascii="宋体" w:hAnsi="宋体"/>
          <w:b/>
          <w:bCs/>
          <w:color w:val="auto"/>
          <w:spacing w:val="-20"/>
          <w:kern w:val="44"/>
          <w:sz w:val="32"/>
          <w:szCs w:val="32"/>
        </w:rPr>
      </w:pPr>
      <w:bookmarkStart w:id="10" w:name="_Toc945"/>
      <w:r>
        <w:rPr>
          <w:rFonts w:hint="eastAsia" w:ascii="宋体" w:hAnsi="宋体"/>
          <w:b/>
          <w:bCs/>
          <w:color w:val="auto"/>
          <w:spacing w:val="-20"/>
          <w:kern w:val="44"/>
          <w:sz w:val="32"/>
          <w:szCs w:val="32"/>
        </w:rPr>
        <w:t>投标人须知</w:t>
      </w:r>
      <w:bookmarkEnd w:id="7"/>
      <w:bookmarkEnd w:id="8"/>
      <w:bookmarkEnd w:id="9"/>
      <w:bookmarkEnd w:id="10"/>
    </w:p>
    <w:p>
      <w:pPr>
        <w:keepNext/>
        <w:keepLines/>
        <w:numPr>
          <w:ilvl w:val="1"/>
          <w:numId w:val="6"/>
        </w:numPr>
        <w:spacing w:before="260" w:after="260" w:line="360" w:lineRule="auto"/>
        <w:jc w:val="left"/>
        <w:outlineLvl w:val="1"/>
        <w:rPr>
          <w:rFonts w:ascii="宋体" w:hAnsi="宋体"/>
          <w:b/>
          <w:bCs/>
          <w:color w:val="auto"/>
          <w:sz w:val="28"/>
          <w:szCs w:val="28"/>
        </w:rPr>
      </w:pPr>
      <w:bookmarkStart w:id="11" w:name="_Toc189727030"/>
      <w:bookmarkStart w:id="12" w:name="_Toc16713"/>
      <w:bookmarkStart w:id="13" w:name="_Toc213396760"/>
      <w:bookmarkStart w:id="14" w:name="_Toc213496268"/>
      <w:bookmarkStart w:id="15" w:name="_Toc316462344"/>
      <w:bookmarkStart w:id="16" w:name="_Toc213396946"/>
      <w:bookmarkStart w:id="17" w:name="_Toc86665543"/>
      <w:bookmarkStart w:id="18" w:name="_Toc213397010"/>
      <w:bookmarkStart w:id="19" w:name="_Toc5274"/>
      <w:bookmarkStart w:id="20" w:name="_Toc217446032"/>
      <w:bookmarkStart w:id="21" w:name="_Toc30725"/>
      <w:r>
        <w:rPr>
          <w:rFonts w:hint="eastAsia" w:ascii="宋体" w:hAnsi="宋体"/>
          <w:b/>
          <w:bCs/>
          <w:color w:val="auto"/>
          <w:sz w:val="28"/>
          <w:szCs w:val="28"/>
        </w:rPr>
        <w:t>投标人须知前附表</w:t>
      </w:r>
      <w:bookmarkEnd w:id="11"/>
      <w:bookmarkEnd w:id="12"/>
      <w:bookmarkEnd w:id="13"/>
      <w:bookmarkEnd w:id="14"/>
      <w:bookmarkEnd w:id="15"/>
      <w:bookmarkEnd w:id="16"/>
      <w:bookmarkEnd w:id="17"/>
      <w:bookmarkEnd w:id="18"/>
      <w:bookmarkEnd w:id="19"/>
      <w:bookmarkEnd w:id="20"/>
      <w:bookmarkEnd w:id="21"/>
    </w:p>
    <w:tbl>
      <w:tblPr>
        <w:tblStyle w:val="41"/>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auto"/>
                <w:lang w:val="zh-CN"/>
              </w:rPr>
            </w:pPr>
            <w:r>
              <w:rPr>
                <w:rFonts w:hint="eastAsia" w:ascii="宋体" w:hAnsi="宋体" w:cs="宋体"/>
                <w:b/>
                <w:color w:val="auto"/>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auto"/>
              </w:rPr>
            </w:pPr>
            <w:r>
              <w:rPr>
                <w:rFonts w:hint="eastAsia" w:ascii="宋体" w:hAnsi="宋体"/>
                <w:color w:val="auto"/>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hint="default" w:eastAsia="宋体" w:cs="宋体"/>
                <w:b/>
                <w:color w:val="auto"/>
                <w:lang w:val="en-US" w:eastAsia="zh-CN"/>
              </w:rPr>
            </w:pPr>
            <w:r>
              <w:rPr>
                <w:rFonts w:hint="eastAsia" w:ascii="宋体" w:hAnsi="宋体"/>
                <w:b/>
                <w:color w:val="auto"/>
              </w:rPr>
              <w:t>人民币</w:t>
            </w:r>
            <w:r>
              <w:rPr>
                <w:rFonts w:hint="eastAsia" w:ascii="宋体" w:hAnsi="宋体"/>
                <w:b/>
                <w:color w:val="auto"/>
                <w:lang w:eastAsia="zh-CN"/>
              </w:rPr>
              <w:t>540000</w:t>
            </w:r>
            <w:r>
              <w:rPr>
                <w:rFonts w:hint="eastAsia" w:ascii="宋体" w:hAnsi="宋体"/>
                <w:b/>
                <w:color w:val="auto"/>
              </w:rPr>
              <w:t>元</w:t>
            </w:r>
            <w:r>
              <w:rPr>
                <w:rFonts w:hint="eastAsia"/>
                <w:b/>
                <w:color w:val="auto"/>
                <w:lang w:val="zh-CN"/>
              </w:rPr>
              <w:t>。（</w:t>
            </w:r>
            <w:r>
              <w:rPr>
                <w:rFonts w:hint="eastAsia"/>
                <w:b/>
                <w:color w:val="auto"/>
                <w:lang w:val="en-US" w:eastAsia="zh-CN"/>
              </w:rPr>
              <w:t>大写：伍拾肆万元整</w:t>
            </w:r>
            <w:r>
              <w:rPr>
                <w:rFonts w:hint="eastAsia"/>
                <w:b/>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2"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auto"/>
                <w:lang w:val="zh-CN"/>
              </w:rPr>
            </w:pPr>
            <w:r>
              <w:rPr>
                <w:rFonts w:hint="eastAsia" w:ascii="宋体" w:hAnsi="宋体" w:cs="宋体"/>
                <w:b/>
                <w:color w:val="auto"/>
                <w:lang w:val="zh-CN"/>
              </w:rPr>
              <w:t>本项目最高限价：人民币</w:t>
            </w:r>
            <w:r>
              <w:rPr>
                <w:rFonts w:hint="eastAsia" w:ascii="宋体" w:hAnsi="宋体"/>
                <w:b/>
                <w:color w:val="auto"/>
                <w:lang w:eastAsia="zh-CN"/>
              </w:rPr>
              <w:t>540000</w:t>
            </w:r>
            <w:r>
              <w:rPr>
                <w:rFonts w:hint="eastAsia" w:ascii="宋体" w:hAnsi="宋体" w:cs="宋体"/>
                <w:b/>
                <w:color w:val="auto"/>
                <w:lang w:val="zh-CN"/>
              </w:rPr>
              <w:t>元</w:t>
            </w:r>
            <w:r>
              <w:rPr>
                <w:rFonts w:hint="eastAsia"/>
                <w:b/>
                <w:color w:val="auto"/>
                <w:lang w:val="zh-CN"/>
              </w:rPr>
              <w:t>。</w:t>
            </w:r>
            <w:r>
              <w:rPr>
                <w:rFonts w:ascii="宋体" w:hAnsi="宋体" w:cs="宋体"/>
                <w:b/>
                <w:color w:val="auto"/>
                <w:lang w:val="zh-CN"/>
              </w:rPr>
              <w:t>如</w:t>
            </w:r>
            <w:r>
              <w:rPr>
                <w:rFonts w:hint="eastAsia"/>
                <w:b/>
                <w:color w:val="auto"/>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auto"/>
                <w:lang w:val="zh-CN"/>
              </w:rPr>
            </w:pPr>
            <w:r>
              <w:rPr>
                <w:rFonts w:hint="eastAsia" w:ascii="宋体" w:hAnsi="宋体" w:cs="宋体"/>
                <w:color w:val="auto"/>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auto"/>
              </w:rPr>
            </w:pPr>
            <w:r>
              <w:rPr>
                <w:rFonts w:hint="eastAsia" w:ascii="宋体" w:hAnsi="宋体" w:cs="宋体"/>
                <w:color w:val="auto"/>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auto"/>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提交投标文件的截止之日起</w:t>
            </w:r>
            <w:r>
              <w:rPr>
                <w:rFonts w:hint="eastAsia" w:ascii="宋体" w:hAnsi="宋体" w:cs="宋体"/>
                <w:color w:val="auto"/>
                <w:u w:val="single"/>
                <w:lang w:val="zh-CN"/>
              </w:rPr>
              <w:t>120</w:t>
            </w:r>
            <w:r>
              <w:rPr>
                <w:rFonts w:hint="eastAsia" w:ascii="宋体" w:hAnsi="宋体" w:cs="宋体"/>
                <w:color w:val="auto"/>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投标文件的提交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详见投标人须知2.4.12</w:t>
            </w:r>
          </w:p>
          <w:p>
            <w:pPr>
              <w:tabs>
                <w:tab w:val="left" w:pos="7665"/>
              </w:tabs>
              <w:snapToGrid w:val="0"/>
              <w:jc w:val="left"/>
              <w:rPr>
                <w:b/>
                <w:color w:val="auto"/>
              </w:rPr>
            </w:pPr>
            <w:r>
              <w:rPr>
                <w:rFonts w:hint="eastAsia" w:ascii="宋体" w:hAnsi="宋体"/>
                <w:b/>
                <w:color w:val="auto"/>
              </w:rPr>
              <w:t>注：投标人使用</w:t>
            </w:r>
            <w:r>
              <w:rPr>
                <w:rFonts w:ascii="宋体" w:hAnsi="宋体"/>
                <w:b/>
                <w:color w:val="auto"/>
              </w:rPr>
              <w:t>CA证书在</w:t>
            </w:r>
            <w:r>
              <w:rPr>
                <w:rFonts w:hint="eastAsia" w:ascii="宋体" w:hAnsi="宋体"/>
                <w:b/>
                <w:color w:val="auto"/>
              </w:rPr>
              <w:t>投标截止时间前，将投标文件上传至政府</w:t>
            </w:r>
            <w:r>
              <w:rPr>
                <w:rFonts w:ascii="宋体" w:hAnsi="宋体"/>
                <w:b/>
                <w:color w:val="auto"/>
              </w:rPr>
              <w:t>采购</w:t>
            </w:r>
            <w:r>
              <w:rPr>
                <w:rFonts w:hint="eastAsia" w:ascii="宋体" w:hAnsi="宋体"/>
                <w:b/>
                <w:color w:val="auto"/>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b/>
                <w:color w:val="auto"/>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auto"/>
              </w:rPr>
            </w:pPr>
            <w:r>
              <w:rPr>
                <w:rFonts w:hint="eastAsia" w:ascii="宋体" w:hAnsi="宋体"/>
                <w:b/>
                <w:color w:val="auto"/>
              </w:rPr>
              <w:t>详见投标人须知2.5.1。</w:t>
            </w:r>
          </w:p>
          <w:p>
            <w:pPr>
              <w:snapToGrid w:val="0"/>
              <w:spacing w:line="360" w:lineRule="auto"/>
              <w:rPr>
                <w:rFonts w:ascii="宋体" w:hAnsi="宋体"/>
                <w:b/>
                <w:color w:val="auto"/>
              </w:rPr>
            </w:pPr>
            <w:r>
              <w:rPr>
                <w:rFonts w:hint="eastAsia" w:ascii="宋体" w:hAnsi="宋体"/>
                <w:b/>
                <w:color w:val="auto"/>
              </w:rPr>
              <w:t>投标文件解密：开启解密后，投标人应在系统提示的解密开始时间后</w:t>
            </w:r>
            <w:r>
              <w:rPr>
                <w:rFonts w:ascii="宋体" w:hAnsi="宋体"/>
                <w:b/>
                <w:color w:val="auto"/>
              </w:rPr>
              <w:t>60</w:t>
            </w:r>
            <w:r>
              <w:rPr>
                <w:rFonts w:hint="eastAsia" w:ascii="宋体" w:hAnsi="宋体"/>
                <w:b/>
                <w:color w:val="auto"/>
              </w:rPr>
              <w:t>分钟内 ，使用对投标文件进行加密的CA证书在线完成对投标人提交至政府采购云平台的投标文件的解密。</w:t>
            </w:r>
          </w:p>
          <w:p>
            <w:pPr>
              <w:snapToGrid w:val="0"/>
              <w:spacing w:line="360" w:lineRule="auto"/>
              <w:rPr>
                <w:rFonts w:ascii="宋体" w:hAnsi="宋体"/>
                <w:b/>
                <w:color w:val="auto"/>
              </w:rPr>
            </w:pPr>
            <w:r>
              <w:rPr>
                <w:rFonts w:hint="eastAsia" w:ascii="宋体" w:hAnsi="宋体"/>
                <w:b/>
                <w:color w:val="auto"/>
              </w:rPr>
              <w:t>投标人电脑终端等硬件设备和软件系统配置：投标人电脑终端等硬件设备和软件系统配置应符合开标大厅投标人电脑终端配置要求并运行正常，投标人承担因未尽职责产生的不利后果。</w:t>
            </w:r>
          </w:p>
          <w:p>
            <w:pPr>
              <w:snapToGrid w:val="0"/>
              <w:spacing w:line="360" w:lineRule="auto"/>
              <w:rPr>
                <w:rFonts w:ascii="宋体" w:hAnsi="宋体"/>
                <w:b/>
                <w:color w:val="auto"/>
              </w:rPr>
            </w:pPr>
            <w:r>
              <w:rPr>
                <w:rFonts w:hint="eastAsia" w:ascii="宋体" w:hAnsi="宋体"/>
                <w:b/>
                <w:color w:val="auto"/>
              </w:rPr>
              <w:t>政府采购云平台运行基本环境要求：电脑应安装并顺利运行64位win7以上操作系统，谷歌浏览器；正确的CA及签章驱动等；能流畅访问互联网。</w:t>
            </w:r>
          </w:p>
          <w:p>
            <w:pPr>
              <w:tabs>
                <w:tab w:val="left" w:pos="7665"/>
              </w:tabs>
              <w:snapToGrid w:val="0"/>
              <w:jc w:val="left"/>
              <w:rPr>
                <w:rFonts w:ascii="宋体" w:hAnsi="宋体"/>
                <w:color w:val="auto"/>
              </w:rPr>
            </w:pPr>
            <w:r>
              <w:rPr>
                <w:rFonts w:hint="eastAsia" w:ascii="宋体" w:hAnsi="宋体"/>
                <w:b/>
                <w:color w:val="auto"/>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w:t>
            </w:r>
            <w:r>
              <w:rPr>
                <w:rFonts w:ascii="宋体" w:hAnsi="宋体"/>
                <w:color w:val="auto"/>
              </w:rPr>
              <w:t>关于资格审查</w:t>
            </w:r>
            <w:r>
              <w:rPr>
                <w:rFonts w:hint="eastAsia" w:ascii="宋体" w:hAnsi="宋体"/>
                <w:color w:val="auto"/>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rPr>
            </w:pPr>
            <w:r>
              <w:rPr>
                <w:rFonts w:hint="eastAsia" w:ascii="宋体" w:hAnsi="宋体"/>
                <w:color w:val="auto"/>
              </w:rPr>
              <w:t>向</w:t>
            </w:r>
            <w:r>
              <w:rPr>
                <w:rFonts w:hint="eastAsia" w:ascii="宋体" w:hAnsi="宋体"/>
                <w:color w:val="auto"/>
                <w:lang w:eastAsia="zh-CN"/>
              </w:rPr>
              <w:t>成都东部新区党工委管委会（成都市东部新城办）综合部</w:t>
            </w:r>
            <w:r>
              <w:rPr>
                <w:rFonts w:hint="eastAsia" w:ascii="宋体" w:hAnsi="宋体"/>
                <w:color w:val="auto"/>
              </w:rPr>
              <w:t>提出，并由</w:t>
            </w:r>
            <w:r>
              <w:rPr>
                <w:rFonts w:hint="eastAsia" w:ascii="宋体" w:hAnsi="宋体"/>
                <w:color w:val="auto"/>
                <w:lang w:eastAsia="zh-CN"/>
              </w:rPr>
              <w:t>成都东部新区党工委管委会（成都市东部新城办）综合部</w:t>
            </w:r>
            <w:r>
              <w:rPr>
                <w:rFonts w:hint="eastAsia" w:ascii="宋体" w:hAnsi="宋体"/>
                <w:color w:val="auto"/>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w:t>
            </w:r>
            <w:r>
              <w:rPr>
                <w:rFonts w:ascii="宋体" w:hAnsi="宋体"/>
                <w:color w:val="auto"/>
              </w:rPr>
              <w:t>资格审查</w:t>
            </w:r>
            <w:r>
              <w:rPr>
                <w:rFonts w:hint="eastAsia" w:ascii="宋体" w:hAnsi="宋体"/>
                <w:color w:val="auto"/>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rPr>
            </w:pPr>
            <w:r>
              <w:rPr>
                <w:rFonts w:hint="eastAsia" w:ascii="宋体" w:hAnsi="宋体"/>
                <w:color w:val="auto"/>
              </w:rPr>
              <w:t>向</w:t>
            </w:r>
            <w:r>
              <w:rPr>
                <w:rFonts w:hint="eastAsia" w:ascii="宋体" w:hAnsi="宋体"/>
                <w:color w:val="auto"/>
                <w:lang w:eastAsia="zh-CN"/>
              </w:rPr>
              <w:t>成都东部新区党工委管委会（成都市东部新城办）综合部</w:t>
            </w:r>
            <w:r>
              <w:rPr>
                <w:rFonts w:hint="eastAsia" w:ascii="宋体" w:hAnsi="宋体"/>
                <w:color w:val="auto"/>
              </w:rPr>
              <w:t>提出，并由</w:t>
            </w:r>
            <w:r>
              <w:rPr>
                <w:rFonts w:hint="eastAsia" w:ascii="宋体" w:hAnsi="宋体"/>
                <w:color w:val="auto"/>
                <w:lang w:eastAsia="zh-CN"/>
              </w:rPr>
              <w:t>成都东部新区党工委管委会（成都市东部新城办）综合部</w:t>
            </w:r>
            <w:r>
              <w:rPr>
                <w:rFonts w:hint="eastAsia" w:ascii="宋体" w:hAnsi="宋体"/>
                <w:color w:val="auto"/>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7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3"/>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auto"/>
              </w:rPr>
            </w:pPr>
            <w:r>
              <w:rPr>
                <w:rFonts w:hint="eastAsia" w:ascii="宋体" w:hAnsi="宋体"/>
                <w:color w:val="auto"/>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投诉受理单位：本项目同级财政部门，即成都东部新区党工委管委会(成都市东部新城办)财政金融局。</w:t>
            </w:r>
          </w:p>
          <w:p>
            <w:pPr>
              <w:tabs>
                <w:tab w:val="left" w:pos="7665"/>
              </w:tabs>
              <w:snapToGrid w:val="0"/>
              <w:spacing w:line="360" w:lineRule="auto"/>
              <w:rPr>
                <w:rFonts w:ascii="宋体" w:hAnsi="宋体"/>
                <w:color w:val="auto"/>
              </w:rPr>
            </w:pPr>
            <w:r>
              <w:rPr>
                <w:rFonts w:hint="eastAsia" w:ascii="宋体" w:hAnsi="宋体"/>
                <w:color w:val="auto"/>
              </w:rPr>
              <w:t>联系电话：028-86360129。</w:t>
            </w:r>
          </w:p>
          <w:p>
            <w:pPr>
              <w:tabs>
                <w:tab w:val="left" w:pos="7665"/>
              </w:tabs>
              <w:snapToGrid w:val="0"/>
              <w:spacing w:line="360" w:lineRule="auto"/>
              <w:rPr>
                <w:rFonts w:ascii="宋体" w:hAnsi="宋体"/>
                <w:color w:val="auto"/>
              </w:rPr>
            </w:pPr>
            <w:r>
              <w:rPr>
                <w:rFonts w:hint="eastAsia" w:ascii="宋体" w:hAnsi="宋体"/>
                <w:color w:val="auto"/>
              </w:rPr>
              <w:t>地址：成都东部新区三岔街道板桥村2组166号东部新区市民中心。</w:t>
            </w:r>
          </w:p>
          <w:p>
            <w:pPr>
              <w:tabs>
                <w:tab w:val="left" w:pos="7665"/>
              </w:tabs>
              <w:snapToGrid w:val="0"/>
              <w:spacing w:line="360" w:lineRule="auto"/>
              <w:rPr>
                <w:rFonts w:ascii="宋体" w:hAnsi="宋体"/>
                <w:color w:val="auto"/>
              </w:rPr>
            </w:pPr>
            <w:r>
              <w:rPr>
                <w:rFonts w:hint="eastAsia" w:ascii="宋体" w:hAnsi="宋体"/>
                <w:color w:val="auto"/>
              </w:rPr>
              <w:t>邮编：</w:t>
            </w:r>
            <w:r>
              <w:rPr>
                <w:rFonts w:hint="eastAsia" w:ascii="宋体" w:hAnsi="宋体"/>
                <w:color w:val="auto"/>
                <w:lang w:val="zh-CN"/>
              </w:rPr>
              <w:t>641400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3"/>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投标文件资格性、符合性审查情况、采用综合评分法时的总得分情况、评标结果等将在四川政府采购网上采购结果公告栏中予以公告。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7"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3"/>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中标公告在四川政府采购网上公告后，中标供应商接通知后登录政府采购云平台下载中标通知书。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3"/>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成都东部新区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3"/>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auto"/>
              </w:rPr>
            </w:pPr>
            <w:r>
              <w:rPr>
                <w:rFonts w:hint="eastAsia" w:ascii="宋体" w:hAnsi="宋体"/>
                <w:color w:val="auto"/>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color w:val="auto"/>
              </w:rPr>
            </w:pPr>
            <w:r>
              <w:rPr>
                <w:rFonts w:hint="eastAsia" w:ascii="宋体"/>
                <w:color w:val="auto"/>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8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3"/>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w:t>
            </w:r>
            <w:r>
              <w:rPr>
                <w:rFonts w:hint="eastAsia" w:ascii="宋体" w:hAnsi="宋体"/>
                <w:color w:val="auto"/>
                <w:lang w:val="en-US" w:eastAsia="zh-CN"/>
              </w:rPr>
              <w:t>进口</w:t>
            </w:r>
            <w:r>
              <w:rPr>
                <w:rFonts w:hint="eastAsia" w:ascii="宋体" w:hAnsi="宋体"/>
                <w:color w:val="auto"/>
              </w:rPr>
              <w:t>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9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3"/>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6"/>
        </w:numPr>
        <w:spacing w:before="260" w:after="260" w:line="360" w:lineRule="auto"/>
        <w:jc w:val="left"/>
        <w:outlineLvl w:val="1"/>
        <w:rPr>
          <w:rFonts w:ascii="宋体" w:hAnsi="宋体"/>
          <w:b/>
          <w:bCs/>
          <w:color w:val="auto"/>
          <w:sz w:val="28"/>
          <w:szCs w:val="28"/>
        </w:rPr>
      </w:pPr>
      <w:bookmarkStart w:id="22" w:name="_Toc4669"/>
      <w:bookmarkStart w:id="23" w:name="_Toc86665544"/>
      <w:bookmarkStart w:id="24" w:name="_Toc21488"/>
      <w:bookmarkStart w:id="25" w:name="_Toc11339"/>
      <w:r>
        <w:rPr>
          <w:rFonts w:hint="eastAsia" w:ascii="宋体" w:hAnsi="宋体"/>
          <w:b/>
          <w:bCs/>
          <w:color w:val="auto"/>
          <w:sz w:val="28"/>
          <w:szCs w:val="28"/>
        </w:rPr>
        <w:t>总则</w:t>
      </w:r>
      <w:bookmarkEnd w:id="22"/>
      <w:bookmarkEnd w:id="23"/>
      <w:bookmarkEnd w:id="24"/>
      <w:bookmarkEnd w:id="25"/>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适用范围</w:t>
      </w:r>
    </w:p>
    <w:p>
      <w:pPr>
        <w:numPr>
          <w:ilvl w:val="0"/>
          <w:numId w:val="14"/>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本招标文件仅适用于本次公开招标采购项目。</w:t>
      </w:r>
    </w:p>
    <w:p>
      <w:pPr>
        <w:numPr>
          <w:ilvl w:val="0"/>
          <w:numId w:val="14"/>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本招标文件的最终解释权由采购人或</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负责解释。</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有关定义</w:t>
      </w:r>
    </w:p>
    <w:p>
      <w:pPr>
        <w:numPr>
          <w:ilvl w:val="0"/>
          <w:numId w:val="15"/>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成都东部新区党工委管委会（成都市东部新城办）综合部</w:t>
      </w:r>
      <w:r>
        <w:rPr>
          <w:rFonts w:hint="eastAsia" w:ascii="宋体" w:hAnsi="宋体"/>
          <w:color w:val="auto"/>
          <w:sz w:val="28"/>
          <w:szCs w:val="28"/>
        </w:rPr>
        <w:t>。</w:t>
      </w:r>
    </w:p>
    <w:p>
      <w:pPr>
        <w:numPr>
          <w:ilvl w:val="0"/>
          <w:numId w:val="1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“投标人”系指在按照招标文件“投标邀请”中第六、七、八条规定获取了招标文件，拟参加投标和向采购人提供货物的供应商。“乙方”是指本项目的中标供应商。</w:t>
      </w:r>
    </w:p>
    <w:p>
      <w:pPr>
        <w:numPr>
          <w:ilvl w:val="0"/>
          <w:numId w:val="1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5"/>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numPr>
          <w:ilvl w:val="0"/>
          <w:numId w:val="15"/>
        </w:numPr>
        <w:tabs>
          <w:tab w:val="left" w:pos="1134"/>
        </w:tabs>
        <w:spacing w:line="360" w:lineRule="auto"/>
        <w:ind w:left="0" w:firstLine="568"/>
        <w:rPr>
          <w:rFonts w:ascii="宋体" w:hAnsi="宋体"/>
          <w:color w:val="auto"/>
          <w:sz w:val="28"/>
          <w:szCs w:val="28"/>
        </w:rPr>
      </w:pPr>
      <w:r>
        <w:rPr>
          <w:rFonts w:ascii="宋体" w:hAnsi="宋体"/>
          <w:color w:val="auto"/>
          <w:sz w:val="28"/>
          <w:szCs w:val="28"/>
        </w:rPr>
        <w:t>重大违法记录是指供应商因违法经营受到刑事处罚或者责令停产停业、吊销许可证或者执照、较大数额罚款等行政处罚</w:t>
      </w:r>
      <w:r>
        <w:rPr>
          <w:rFonts w:hint="eastAsia" w:ascii="宋体" w:hAnsi="宋体"/>
          <w:color w:val="auto"/>
          <w:sz w:val="28"/>
          <w:szCs w:val="28"/>
        </w:rPr>
        <w:t>。</w:t>
      </w:r>
    </w:p>
    <w:p>
      <w:pPr>
        <w:numPr>
          <w:ilvl w:val="0"/>
          <w:numId w:val="15"/>
        </w:numPr>
        <w:tabs>
          <w:tab w:val="left" w:pos="1200"/>
        </w:tabs>
        <w:spacing w:line="600" w:lineRule="exact"/>
        <w:ind w:left="0" w:firstLine="567"/>
        <w:rPr>
          <w:rFonts w:ascii="宋体" w:hAnsi="宋体"/>
          <w:color w:val="auto"/>
          <w:sz w:val="28"/>
          <w:szCs w:val="28"/>
        </w:rPr>
      </w:pPr>
      <w:r>
        <w:rPr>
          <w:rFonts w:hint="eastAsia" w:ascii="宋体" w:hAnsi="宋体"/>
          <w:color w:val="auto"/>
          <w:sz w:val="28"/>
          <w:szCs w:val="28"/>
        </w:rPr>
        <w:t>本</w:t>
      </w:r>
      <w:r>
        <w:rPr>
          <w:rFonts w:ascii="宋体" w:hAnsi="宋体"/>
          <w:color w:val="auto"/>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5"/>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不见面开标是指，</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依托政府采购云平台组织开标活动，供应商在线参与开标的一种组织形式。</w:t>
      </w:r>
    </w:p>
    <w:p>
      <w:pPr>
        <w:keepNext/>
        <w:keepLines/>
        <w:numPr>
          <w:ilvl w:val="2"/>
          <w:numId w:val="6"/>
        </w:numPr>
        <w:spacing w:line="360" w:lineRule="auto"/>
        <w:ind w:left="3119" w:hanging="3119"/>
        <w:outlineLvl w:val="2"/>
        <w:rPr>
          <w:rFonts w:ascii="宋体" w:hAnsi="宋体"/>
          <w:b/>
          <w:bCs/>
          <w:color w:val="auto"/>
          <w:sz w:val="28"/>
          <w:szCs w:val="28"/>
        </w:rPr>
      </w:pPr>
      <w:bookmarkStart w:id="26" w:name="_Toc183682344"/>
      <w:bookmarkStart w:id="27" w:name="_Toc217390843"/>
      <w:bookmarkStart w:id="28" w:name="_Toc217446036"/>
      <w:bookmarkStart w:id="29" w:name="_Toc183582207"/>
      <w:r>
        <w:rPr>
          <w:rFonts w:hint="eastAsia" w:ascii="宋体" w:hAnsi="宋体"/>
          <w:b/>
          <w:bCs/>
          <w:color w:val="auto"/>
          <w:sz w:val="28"/>
          <w:szCs w:val="28"/>
        </w:rPr>
        <w:t>合格的投标人</w:t>
      </w:r>
      <w:bookmarkEnd w:id="26"/>
      <w:bookmarkEnd w:id="27"/>
      <w:bookmarkEnd w:id="28"/>
      <w:bookmarkEnd w:id="29"/>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numPr>
          <w:ilvl w:val="0"/>
          <w:numId w:val="16"/>
        </w:numPr>
        <w:tabs>
          <w:tab w:val="left" w:pos="1134"/>
        </w:tabs>
        <w:spacing w:line="360" w:lineRule="auto"/>
        <w:rPr>
          <w:rFonts w:ascii="宋体" w:hAnsi="宋体"/>
          <w:color w:val="auto"/>
          <w:sz w:val="28"/>
          <w:szCs w:val="28"/>
        </w:rPr>
      </w:pPr>
      <w:r>
        <w:rPr>
          <w:rFonts w:hint="eastAsia" w:ascii="宋体" w:hAnsi="宋体"/>
          <w:color w:val="auto"/>
          <w:sz w:val="28"/>
          <w:szCs w:val="28"/>
        </w:rPr>
        <w:t>本招标文件“投标邀请”第五条规定的条件；</w:t>
      </w:r>
    </w:p>
    <w:p>
      <w:pPr>
        <w:numPr>
          <w:ilvl w:val="0"/>
          <w:numId w:val="16"/>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充分、公平竞争保障措施</w:t>
      </w:r>
    </w:p>
    <w:p>
      <w:pPr>
        <w:numPr>
          <w:ilvl w:val="0"/>
          <w:numId w:val="17"/>
        </w:numPr>
        <w:tabs>
          <w:tab w:val="left" w:pos="1134"/>
        </w:tabs>
        <w:adjustRightInd w:val="0"/>
        <w:spacing w:line="360" w:lineRule="auto"/>
        <w:ind w:left="0" w:firstLine="567"/>
        <w:rPr>
          <w:rFonts w:ascii="宋体" w:hAnsi="宋体"/>
          <w:color w:val="auto"/>
          <w:sz w:val="28"/>
          <w:szCs w:val="28"/>
        </w:rPr>
      </w:pPr>
      <w:r>
        <w:rPr>
          <w:rFonts w:hint="eastAsia" w:ascii="宋体" w:hAnsi="宋体"/>
          <w:color w:val="auto"/>
          <w:sz w:val="28"/>
          <w:szCs w:val="28"/>
        </w:rPr>
        <w:t>单位负责人为同一人或者存在直接控股、管理关系的不同供应商，不得参加同一项目的投标。</w:t>
      </w:r>
    </w:p>
    <w:p>
      <w:pPr>
        <w:numPr>
          <w:ilvl w:val="0"/>
          <w:numId w:val="17"/>
        </w:numPr>
        <w:tabs>
          <w:tab w:val="left" w:pos="1134"/>
        </w:tabs>
        <w:adjustRightInd w:val="0"/>
        <w:spacing w:line="360" w:lineRule="auto"/>
        <w:ind w:left="0" w:firstLine="567"/>
        <w:rPr>
          <w:rFonts w:ascii="宋体" w:hAnsi="宋体"/>
          <w:b/>
          <w:color w:val="auto"/>
          <w:sz w:val="28"/>
          <w:szCs w:val="28"/>
        </w:rPr>
      </w:pPr>
      <w:r>
        <w:rPr>
          <w:rFonts w:hint="eastAsia" w:ascii="宋体" w:hAnsi="宋体"/>
          <w:color w:val="auto"/>
          <w:sz w:val="28"/>
          <w:szCs w:val="28"/>
        </w:rPr>
        <w:t>为采购项目提供整体设计、规范编制或者项目管理、监理、检测等服务的供应商，不得再参加该采购项目的其他采购活动。供应商为采购人、</w:t>
      </w:r>
      <w:r>
        <w:rPr>
          <w:rFonts w:hint="eastAsia" w:ascii="宋体" w:cs="Arial"/>
          <w:color w:val="auto"/>
          <w:sz w:val="28"/>
          <w:szCs w:val="28"/>
        </w:rPr>
        <w:t>采购代理机构</w:t>
      </w:r>
      <w:r>
        <w:rPr>
          <w:rFonts w:hint="eastAsia" w:ascii="宋体" w:hAnsi="宋体"/>
          <w:color w:val="auto"/>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auto"/>
          <w:sz w:val="28"/>
          <w:szCs w:val="28"/>
        </w:rPr>
        <w:t>（说明：无供应商为本项目提供整体设计、规范编制或者项目管理、监理、检测等服务。）</w:t>
      </w:r>
    </w:p>
    <w:p>
      <w:pPr>
        <w:numPr>
          <w:ilvl w:val="0"/>
          <w:numId w:val="17"/>
        </w:numPr>
        <w:tabs>
          <w:tab w:val="left" w:pos="1134"/>
        </w:tabs>
        <w:adjustRightInd w:val="0"/>
        <w:spacing w:line="360" w:lineRule="auto"/>
        <w:ind w:left="0" w:firstLine="567"/>
        <w:rPr>
          <w:rFonts w:ascii="宋体" w:hAnsi="宋体"/>
          <w:b/>
          <w:color w:val="auto"/>
          <w:sz w:val="28"/>
          <w:szCs w:val="28"/>
        </w:rPr>
      </w:pPr>
      <w:r>
        <w:rPr>
          <w:rFonts w:hint="eastAsia" w:asciiTheme="minorEastAsia" w:hAnsiTheme="minorEastAsia"/>
          <w:color w:val="auto"/>
          <w:sz w:val="28"/>
          <w:szCs w:val="28"/>
          <w:lang w:val="zh-CN"/>
        </w:rPr>
        <w:t>本项目</w:t>
      </w:r>
      <w:r>
        <w:rPr>
          <w:rFonts w:hint="eastAsia" w:asciiTheme="minorEastAsia" w:hAnsiTheme="minorEastAsia"/>
          <w:b/>
          <w:color w:val="auto"/>
          <w:sz w:val="28"/>
          <w:szCs w:val="28"/>
        </w:rPr>
        <w:t>核心产品为</w:t>
      </w:r>
      <w:r>
        <w:rPr>
          <w:rFonts w:hint="eastAsia" w:asciiTheme="minorEastAsia" w:hAnsiTheme="minorEastAsia"/>
          <w:b/>
          <w:color w:val="auto"/>
          <w:sz w:val="28"/>
          <w:szCs w:val="28"/>
          <w:lang w:val="en-US" w:eastAsia="zh-CN"/>
        </w:rPr>
        <w:t>序号4</w:t>
      </w:r>
      <w:r>
        <w:rPr>
          <w:rFonts w:hint="eastAsia" w:asciiTheme="minorEastAsia" w:hAnsiTheme="minorEastAsia"/>
          <w:b/>
          <w:color w:val="auto"/>
          <w:sz w:val="28"/>
          <w:szCs w:val="28"/>
        </w:rPr>
        <w:t>窗口办公桌（单人位）</w:t>
      </w:r>
      <w:r>
        <w:rPr>
          <w:rFonts w:hint="eastAsia" w:asciiTheme="minorEastAsia" w:hAnsiTheme="minorEastAsia"/>
          <w:b/>
          <w:color w:val="auto"/>
          <w:sz w:val="28"/>
          <w:szCs w:val="28"/>
          <w:lang w:eastAsia="zh-CN"/>
        </w:rPr>
        <w:t>、</w:t>
      </w:r>
      <w:r>
        <w:rPr>
          <w:rFonts w:hint="eastAsia" w:asciiTheme="minorEastAsia" w:hAnsiTheme="minorEastAsia"/>
          <w:b/>
          <w:color w:val="auto"/>
          <w:sz w:val="28"/>
          <w:szCs w:val="28"/>
          <w:lang w:val="en-US" w:eastAsia="zh-CN"/>
        </w:rPr>
        <w:t>序号6</w:t>
      </w:r>
      <w:r>
        <w:rPr>
          <w:rFonts w:hint="eastAsia" w:asciiTheme="minorEastAsia" w:hAnsiTheme="minorEastAsia"/>
          <w:b/>
          <w:color w:val="auto"/>
          <w:sz w:val="28"/>
          <w:szCs w:val="28"/>
        </w:rPr>
        <w:t>办公椅、</w:t>
      </w:r>
      <w:r>
        <w:rPr>
          <w:rFonts w:hint="eastAsia" w:asciiTheme="minorEastAsia" w:hAnsiTheme="minorEastAsia"/>
          <w:b/>
          <w:color w:val="auto"/>
          <w:sz w:val="28"/>
          <w:szCs w:val="28"/>
          <w:lang w:val="en-US" w:eastAsia="zh-CN"/>
        </w:rPr>
        <w:t>序号14</w:t>
      </w:r>
      <w:r>
        <w:rPr>
          <w:rFonts w:hint="eastAsia" w:asciiTheme="minorEastAsia" w:hAnsiTheme="minorEastAsia"/>
          <w:b/>
          <w:color w:val="auto"/>
          <w:sz w:val="28"/>
          <w:szCs w:val="28"/>
        </w:rPr>
        <w:t>沙发（单人位）</w:t>
      </w:r>
      <w:r>
        <w:rPr>
          <w:rFonts w:hint="eastAsia" w:asciiTheme="minorEastAsia" w:hAnsiTheme="minorEastAsia"/>
          <w:color w:val="auto"/>
          <w:sz w:val="28"/>
          <w:szCs w:val="28"/>
          <w:lang w:val="zh-CN"/>
        </w:rPr>
        <w:t>。</w:t>
      </w:r>
      <w:r>
        <w:rPr>
          <w:rFonts w:hint="eastAsia" w:hAnsi="宋体"/>
          <w:color w:val="auto"/>
          <w:sz w:val="28"/>
          <w:szCs w:val="28"/>
        </w:rPr>
        <w:t>提供核心产品品牌相</w:t>
      </w:r>
      <w:r>
        <w:rPr>
          <w:rFonts w:hint="eastAsia" w:hAnsi="宋体"/>
          <w:color w:val="auto"/>
          <w:sz w:val="28"/>
          <w:szCs w:val="28"/>
          <w:lang w:val="zh-CN"/>
        </w:rPr>
        <w:t>同且通过资格检查和符合性检查的不同投标人参加同一项目</w:t>
      </w:r>
      <w:r>
        <w:rPr>
          <w:rFonts w:hAnsi="宋体"/>
          <w:color w:val="auto"/>
          <w:sz w:val="28"/>
          <w:szCs w:val="28"/>
          <w:lang w:val="zh-CN"/>
        </w:rPr>
        <w:t>（</w:t>
      </w:r>
      <w:r>
        <w:rPr>
          <w:rFonts w:hint="eastAsia" w:hAnsi="宋体"/>
          <w:color w:val="auto"/>
          <w:sz w:val="28"/>
          <w:szCs w:val="28"/>
          <w:lang w:val="zh-CN"/>
        </w:rPr>
        <w:t>包件</w:t>
      </w:r>
      <w:r>
        <w:rPr>
          <w:rFonts w:hAnsi="宋体"/>
          <w:color w:val="auto"/>
          <w:sz w:val="28"/>
          <w:szCs w:val="28"/>
          <w:lang w:val="zh-CN"/>
        </w:rPr>
        <w:t>）</w:t>
      </w:r>
      <w:r>
        <w:rPr>
          <w:rFonts w:hint="eastAsia" w:hAnsi="宋体"/>
          <w:color w:val="auto"/>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6"/>
        </w:numPr>
        <w:spacing w:line="360" w:lineRule="auto"/>
        <w:jc w:val="left"/>
        <w:outlineLvl w:val="1"/>
        <w:rPr>
          <w:rFonts w:ascii="宋体" w:hAnsi="宋体"/>
          <w:b/>
          <w:bCs/>
          <w:color w:val="auto"/>
          <w:sz w:val="28"/>
          <w:szCs w:val="28"/>
        </w:rPr>
      </w:pPr>
      <w:bookmarkStart w:id="30" w:name="_Toc28955"/>
      <w:bookmarkStart w:id="31" w:name="_Toc25328"/>
      <w:bookmarkStart w:id="32" w:name="_Toc183582210"/>
      <w:bookmarkStart w:id="33" w:name="_Toc217446039"/>
      <w:bookmarkStart w:id="34" w:name="_Toc19832"/>
      <w:bookmarkStart w:id="35" w:name="_Toc183682347"/>
      <w:bookmarkStart w:id="36" w:name="_Toc86665545"/>
      <w:r>
        <w:rPr>
          <w:rFonts w:hint="eastAsia" w:ascii="宋体" w:hAnsi="宋体"/>
          <w:b/>
          <w:bCs/>
          <w:color w:val="auto"/>
          <w:sz w:val="28"/>
          <w:szCs w:val="28"/>
        </w:rPr>
        <w:t>招标文件</w:t>
      </w:r>
      <w:bookmarkEnd w:id="30"/>
      <w:bookmarkEnd w:id="31"/>
      <w:bookmarkEnd w:id="32"/>
      <w:bookmarkEnd w:id="33"/>
      <w:bookmarkEnd w:id="34"/>
      <w:bookmarkEnd w:id="35"/>
      <w:bookmarkEnd w:id="36"/>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招标文件的构成</w:t>
      </w:r>
    </w:p>
    <w:p>
      <w:pPr>
        <w:numPr>
          <w:ilvl w:val="0"/>
          <w:numId w:val="18"/>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9"/>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投标邀请；</w:t>
      </w:r>
    </w:p>
    <w:p>
      <w:pPr>
        <w:numPr>
          <w:ilvl w:val="1"/>
          <w:numId w:val="19"/>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投标人须知；</w:t>
      </w:r>
    </w:p>
    <w:p>
      <w:pPr>
        <w:numPr>
          <w:ilvl w:val="1"/>
          <w:numId w:val="19"/>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投标文件格式；</w:t>
      </w:r>
    </w:p>
    <w:p>
      <w:pPr>
        <w:numPr>
          <w:ilvl w:val="1"/>
          <w:numId w:val="19"/>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招标项目技术、服务、商务及其他要求；</w:t>
      </w:r>
    </w:p>
    <w:p>
      <w:pPr>
        <w:numPr>
          <w:ilvl w:val="1"/>
          <w:numId w:val="19"/>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资格性审查；</w:t>
      </w:r>
    </w:p>
    <w:p>
      <w:pPr>
        <w:numPr>
          <w:ilvl w:val="1"/>
          <w:numId w:val="19"/>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评标办法；</w:t>
      </w:r>
    </w:p>
    <w:p>
      <w:pPr>
        <w:numPr>
          <w:ilvl w:val="1"/>
          <w:numId w:val="19"/>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拟签订合同文本。</w:t>
      </w:r>
    </w:p>
    <w:p>
      <w:pPr>
        <w:numPr>
          <w:ilvl w:val="0"/>
          <w:numId w:val="18"/>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6"/>
        </w:numPr>
        <w:spacing w:line="360" w:lineRule="auto"/>
        <w:ind w:left="0" w:firstLine="0"/>
        <w:outlineLvl w:val="2"/>
        <w:rPr>
          <w:rFonts w:ascii="宋体" w:hAnsi="宋体"/>
          <w:b/>
          <w:bCs/>
          <w:color w:val="auto"/>
          <w:sz w:val="28"/>
          <w:szCs w:val="28"/>
        </w:rPr>
      </w:pPr>
      <w:bookmarkStart w:id="37" w:name="_Toc183582211"/>
      <w:bookmarkStart w:id="38" w:name="_Toc183682348"/>
      <w:bookmarkStart w:id="39" w:name="_Toc217446040"/>
      <w:r>
        <w:rPr>
          <w:rFonts w:hint="eastAsia" w:ascii="宋体" w:hAnsi="宋体"/>
          <w:b/>
          <w:bCs/>
          <w:color w:val="auto"/>
          <w:sz w:val="28"/>
          <w:szCs w:val="28"/>
        </w:rPr>
        <w:t>招标文件的澄清</w:t>
      </w:r>
      <w:bookmarkEnd w:id="37"/>
      <w:bookmarkEnd w:id="38"/>
      <w:r>
        <w:rPr>
          <w:rFonts w:hint="eastAsia" w:ascii="宋体" w:hAnsi="宋体"/>
          <w:b/>
          <w:bCs/>
          <w:color w:val="auto"/>
          <w:sz w:val="28"/>
          <w:szCs w:val="28"/>
        </w:rPr>
        <w:t>和修改</w:t>
      </w:r>
      <w:bookmarkEnd w:id="39"/>
      <w:bookmarkStart w:id="40" w:name="_Toc77400780"/>
      <w:bookmarkStart w:id="41" w:name="_Toc89075876"/>
      <w:bookmarkStart w:id="42" w:name="_Toc183582214"/>
      <w:bookmarkStart w:id="43" w:name="_Toc217446042"/>
      <w:bookmarkStart w:id="44" w:name="_Toc183682351"/>
    </w:p>
    <w:p>
      <w:pPr>
        <w:numPr>
          <w:ilvl w:val="0"/>
          <w:numId w:val="20"/>
        </w:numPr>
        <w:tabs>
          <w:tab w:val="left" w:pos="142"/>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可以对已发出的招标文件进行必要的澄清或者修改。</w:t>
      </w:r>
    </w:p>
    <w:p>
      <w:pPr>
        <w:numPr>
          <w:ilvl w:val="0"/>
          <w:numId w:val="20"/>
        </w:numPr>
        <w:tabs>
          <w:tab w:val="left" w:pos="142"/>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澄清或者修改的内容，</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将在“四川政府采购网”网站上发布澄清公告，同时通过政府采购云平台将澄清或者修改的内容告知所有在系统中成功获取招标文件的潜在投标人（投标人通过账号或CA证书登录政府采购云平台查看）</w:t>
      </w:r>
    </w:p>
    <w:p>
      <w:pPr>
        <w:numPr>
          <w:ilvl w:val="0"/>
          <w:numId w:val="20"/>
        </w:numPr>
        <w:tabs>
          <w:tab w:val="left" w:pos="142"/>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应当在投标截止时间至少15日前，通过政府采购云平台通知所有已获取招标文件的潜在投标人；不足15日的，采购人或</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应当顺延提交投标文件的截止时间。</w:t>
      </w:r>
    </w:p>
    <w:p>
      <w:pPr>
        <w:keepNext/>
        <w:keepLines/>
        <w:numPr>
          <w:ilvl w:val="1"/>
          <w:numId w:val="6"/>
        </w:numPr>
        <w:spacing w:line="360" w:lineRule="auto"/>
        <w:jc w:val="left"/>
        <w:outlineLvl w:val="1"/>
        <w:rPr>
          <w:rFonts w:ascii="宋体" w:hAnsi="宋体"/>
          <w:b/>
          <w:bCs/>
          <w:color w:val="auto"/>
          <w:sz w:val="28"/>
          <w:szCs w:val="28"/>
        </w:rPr>
      </w:pPr>
      <w:bookmarkStart w:id="45" w:name="_Toc7663"/>
      <w:bookmarkStart w:id="46" w:name="_Toc9559"/>
      <w:bookmarkStart w:id="47" w:name="_Toc6135"/>
      <w:bookmarkStart w:id="48" w:name="_Toc86665546"/>
      <w:r>
        <w:rPr>
          <w:rFonts w:hint="eastAsia" w:ascii="宋体" w:hAnsi="宋体"/>
          <w:b/>
          <w:bCs/>
          <w:color w:val="auto"/>
          <w:sz w:val="28"/>
          <w:szCs w:val="28"/>
        </w:rPr>
        <w:t>投标文件</w:t>
      </w:r>
      <w:bookmarkEnd w:id="40"/>
      <w:bookmarkEnd w:id="41"/>
      <w:bookmarkEnd w:id="42"/>
      <w:bookmarkEnd w:id="43"/>
      <w:bookmarkEnd w:id="44"/>
      <w:bookmarkEnd w:id="45"/>
      <w:bookmarkEnd w:id="46"/>
      <w:bookmarkEnd w:id="47"/>
      <w:bookmarkEnd w:id="48"/>
    </w:p>
    <w:p>
      <w:pPr>
        <w:keepNext/>
        <w:keepLines/>
        <w:numPr>
          <w:ilvl w:val="2"/>
          <w:numId w:val="6"/>
        </w:numPr>
        <w:spacing w:line="360" w:lineRule="auto"/>
        <w:ind w:left="0" w:firstLine="0"/>
        <w:outlineLvl w:val="2"/>
        <w:rPr>
          <w:rFonts w:ascii="宋体" w:hAnsi="宋体"/>
          <w:b/>
          <w:bCs/>
          <w:color w:val="auto"/>
          <w:sz w:val="28"/>
          <w:szCs w:val="28"/>
        </w:rPr>
      </w:pPr>
      <w:bookmarkStart w:id="49" w:name="_Toc183582215"/>
      <w:bookmarkStart w:id="50" w:name="_Toc217446043"/>
      <w:bookmarkStart w:id="51" w:name="_Toc183682352"/>
      <w:r>
        <w:rPr>
          <w:rFonts w:hint="eastAsia" w:ascii="宋体" w:hAnsi="宋体"/>
          <w:b/>
          <w:bCs/>
          <w:color w:val="auto"/>
          <w:sz w:val="28"/>
          <w:szCs w:val="28"/>
        </w:rPr>
        <w:t>投标文件的语言</w:t>
      </w:r>
      <w:bookmarkEnd w:id="49"/>
      <w:bookmarkEnd w:id="50"/>
      <w:bookmarkEnd w:id="51"/>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w:t>
      </w:r>
      <w:r>
        <w:rPr>
          <w:rFonts w:ascii="宋体" w:hAnsi="宋体"/>
          <w:color w:val="auto"/>
          <w:sz w:val="28"/>
          <w:szCs w:val="28"/>
        </w:rPr>
        <w:t>、</w:t>
      </w:r>
      <w:r>
        <w:rPr>
          <w:rFonts w:hint="eastAsia" w:ascii="宋体" w:hAnsi="宋体"/>
          <w:color w:val="auto"/>
          <w:sz w:val="28"/>
          <w:szCs w:val="28"/>
        </w:rPr>
        <w:t>投标人提交的投标文件以及投标人与采购人或</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w:t>
      </w:r>
      <w:r>
        <w:rPr>
          <w:rFonts w:ascii="宋体" w:hAnsi="宋体"/>
          <w:color w:val="auto"/>
          <w:sz w:val="28"/>
          <w:szCs w:val="28"/>
        </w:rPr>
        <w:t>、</w:t>
      </w:r>
      <w:r>
        <w:rPr>
          <w:rFonts w:hint="eastAsia" w:ascii="宋体" w:hAnsi="宋体"/>
          <w:color w:val="auto"/>
          <w:sz w:val="28"/>
          <w:szCs w:val="28"/>
        </w:rPr>
        <w:t>翻译的中文资料与外文资料如果出现差异和矛盾时，以中文为准。涉嫌提供虚假材料的按照相关法律法规处理。</w:t>
      </w:r>
    </w:p>
    <w:p>
      <w:pPr>
        <w:tabs>
          <w:tab w:val="left" w:pos="1134"/>
        </w:tabs>
        <w:spacing w:line="360" w:lineRule="auto"/>
        <w:ind w:left="560"/>
        <w:rPr>
          <w:rFonts w:ascii="宋体" w:hAnsi="宋体"/>
          <w:color w:val="auto"/>
          <w:sz w:val="28"/>
          <w:szCs w:val="28"/>
        </w:rPr>
      </w:pPr>
      <w:r>
        <w:rPr>
          <w:rFonts w:hint="eastAsia" w:ascii="宋体" w:hAnsi="宋体" w:eastAsiaTheme="minorEastAsia" w:cstheme="minorBidi"/>
          <w:color w:val="auto"/>
          <w:sz w:val="28"/>
          <w:szCs w:val="28"/>
        </w:rPr>
        <w:t>三、如因未翻译而造成对供应商的不利后果，由供应商承担。</w:t>
      </w:r>
    </w:p>
    <w:p>
      <w:pPr>
        <w:keepNext/>
        <w:keepLines/>
        <w:numPr>
          <w:ilvl w:val="2"/>
          <w:numId w:val="6"/>
        </w:numPr>
        <w:spacing w:line="360" w:lineRule="auto"/>
        <w:ind w:left="0" w:firstLine="0"/>
        <w:outlineLvl w:val="2"/>
        <w:rPr>
          <w:rFonts w:ascii="宋体" w:hAnsi="宋体"/>
          <w:b/>
          <w:bCs/>
          <w:color w:val="auto"/>
          <w:sz w:val="28"/>
          <w:szCs w:val="28"/>
        </w:rPr>
      </w:pPr>
      <w:bookmarkStart w:id="52" w:name="_Toc183682353"/>
      <w:bookmarkStart w:id="53" w:name="_Toc183582216"/>
      <w:bookmarkStart w:id="54" w:name="_Toc217446044"/>
      <w:r>
        <w:rPr>
          <w:rFonts w:hint="eastAsia" w:ascii="宋体" w:hAnsi="宋体"/>
          <w:b/>
          <w:bCs/>
          <w:color w:val="auto"/>
          <w:sz w:val="28"/>
          <w:szCs w:val="28"/>
        </w:rPr>
        <w:t>计量单位</w:t>
      </w:r>
      <w:bookmarkEnd w:id="52"/>
      <w:bookmarkEnd w:id="53"/>
      <w:bookmarkEnd w:id="54"/>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除招标文件中另有规定外，本次采购项目所有合同项下的投标均采用国家法定的计量单位。</w:t>
      </w:r>
    </w:p>
    <w:p>
      <w:pPr>
        <w:keepNext/>
        <w:keepLines/>
        <w:numPr>
          <w:ilvl w:val="2"/>
          <w:numId w:val="6"/>
        </w:numPr>
        <w:spacing w:line="360" w:lineRule="auto"/>
        <w:ind w:left="0" w:firstLine="0"/>
        <w:outlineLvl w:val="2"/>
        <w:rPr>
          <w:rFonts w:ascii="宋体" w:hAnsi="宋体"/>
          <w:b/>
          <w:bCs/>
          <w:color w:val="auto"/>
          <w:sz w:val="28"/>
          <w:szCs w:val="28"/>
        </w:rPr>
      </w:pPr>
      <w:bookmarkStart w:id="55" w:name="_Toc217446045"/>
      <w:r>
        <w:rPr>
          <w:rFonts w:hint="eastAsia" w:ascii="宋体" w:hAnsi="宋体"/>
          <w:b/>
          <w:bCs/>
          <w:color w:val="auto"/>
          <w:sz w:val="28"/>
          <w:szCs w:val="28"/>
        </w:rPr>
        <w:t>投标货币</w:t>
      </w:r>
      <w:bookmarkEnd w:id="55"/>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keepNext/>
        <w:keepLines/>
        <w:numPr>
          <w:ilvl w:val="2"/>
          <w:numId w:val="6"/>
        </w:numPr>
        <w:spacing w:line="360" w:lineRule="auto"/>
        <w:ind w:left="0" w:firstLine="0"/>
        <w:outlineLvl w:val="2"/>
        <w:rPr>
          <w:rFonts w:ascii="宋体" w:hAnsi="宋体"/>
          <w:b/>
          <w:bCs/>
          <w:color w:val="auto"/>
          <w:sz w:val="28"/>
          <w:szCs w:val="28"/>
        </w:rPr>
      </w:pPr>
      <w:bookmarkStart w:id="56" w:name="_Toc217446046"/>
      <w:r>
        <w:rPr>
          <w:rFonts w:hint="eastAsia" w:ascii="宋体" w:hAnsi="宋体"/>
          <w:b/>
          <w:bCs/>
          <w:color w:val="auto"/>
          <w:sz w:val="28"/>
          <w:szCs w:val="28"/>
        </w:rPr>
        <w:t>联合体投标</w:t>
      </w:r>
      <w:bookmarkEnd w:id="56"/>
    </w:p>
    <w:p>
      <w:pPr>
        <w:tabs>
          <w:tab w:val="left" w:pos="1134"/>
        </w:tabs>
        <w:spacing w:line="360" w:lineRule="auto"/>
        <w:ind w:left="546"/>
        <w:rPr>
          <w:rFonts w:ascii="宋体" w:hAnsi="宋体"/>
          <w:color w:val="auto"/>
          <w:sz w:val="28"/>
          <w:szCs w:val="28"/>
        </w:rPr>
      </w:pPr>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keepNext/>
        <w:keepLines/>
        <w:numPr>
          <w:ilvl w:val="2"/>
          <w:numId w:val="6"/>
        </w:numPr>
        <w:spacing w:line="360" w:lineRule="auto"/>
        <w:ind w:left="0" w:firstLine="0"/>
        <w:outlineLvl w:val="2"/>
        <w:rPr>
          <w:rFonts w:ascii="宋体" w:hAnsi="宋体"/>
          <w:b/>
          <w:bCs/>
          <w:color w:val="auto"/>
          <w:sz w:val="28"/>
          <w:szCs w:val="28"/>
        </w:rPr>
      </w:pPr>
      <w:bookmarkStart w:id="57" w:name="_Toc217446047"/>
      <w:r>
        <w:rPr>
          <w:rFonts w:hint="eastAsia" w:ascii="宋体" w:hAnsi="宋体"/>
          <w:b/>
          <w:bCs/>
          <w:color w:val="auto"/>
          <w:sz w:val="28"/>
          <w:szCs w:val="28"/>
        </w:rPr>
        <w:t>知识产权</w:t>
      </w:r>
      <w:bookmarkEnd w:id="57"/>
    </w:p>
    <w:p>
      <w:pPr>
        <w:pStyle w:val="119"/>
        <w:spacing w:line="360" w:lineRule="auto"/>
        <w:ind w:firstLine="560" w:firstLineChars="200"/>
        <w:jc w:val="both"/>
        <w:rPr>
          <w:rFonts w:cs="Times New Roman"/>
          <w:color w:val="auto"/>
          <w:kern w:val="2"/>
          <w:sz w:val="28"/>
          <w:szCs w:val="28"/>
        </w:rPr>
      </w:pPr>
      <w:r>
        <w:rPr>
          <w:rFonts w:hint="eastAsia" w:cs="Times New Roman"/>
          <w:color w:val="auto"/>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color w:val="auto"/>
          <w:sz w:val="28"/>
          <w:szCs w:val="28"/>
        </w:rPr>
      </w:pPr>
      <w:r>
        <w:rPr>
          <w:rFonts w:hint="eastAsia"/>
          <w:color w:val="auto"/>
          <w:sz w:val="28"/>
          <w:szCs w:val="28"/>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三</w:t>
      </w:r>
      <w:r>
        <w:rPr>
          <w:rFonts w:ascii="宋体" w:hAnsi="宋体"/>
          <w:color w:val="auto"/>
          <w:sz w:val="28"/>
          <w:szCs w:val="28"/>
        </w:rPr>
        <w:t>、</w:t>
      </w:r>
      <w:r>
        <w:rPr>
          <w:rFonts w:hint="eastAsia" w:ascii="宋体" w:hAnsi="宋体"/>
          <w:color w:val="auto"/>
          <w:sz w:val="28"/>
          <w:szCs w:val="28"/>
        </w:rPr>
        <w:t>如采用投标人所不拥有的知识产权，则在投标报价中必须包括合法获取该知识产权的相关费用。</w:t>
      </w:r>
    </w:p>
    <w:p>
      <w:pPr>
        <w:keepNext/>
        <w:keepLines/>
        <w:numPr>
          <w:ilvl w:val="2"/>
          <w:numId w:val="6"/>
        </w:numPr>
        <w:spacing w:line="360" w:lineRule="auto"/>
        <w:ind w:left="0" w:firstLine="0"/>
        <w:outlineLvl w:val="2"/>
        <w:rPr>
          <w:rFonts w:ascii="宋体" w:hAnsi="宋体"/>
          <w:b/>
          <w:bCs/>
          <w:color w:val="auto"/>
          <w:sz w:val="28"/>
          <w:szCs w:val="28"/>
        </w:rPr>
      </w:pPr>
      <w:bookmarkStart w:id="58" w:name="_Toc183582217"/>
      <w:bookmarkStart w:id="59" w:name="_Toc217446048"/>
      <w:bookmarkStart w:id="60" w:name="_Toc183682354"/>
      <w:r>
        <w:rPr>
          <w:rFonts w:hint="eastAsia" w:ascii="宋体" w:hAnsi="宋体"/>
          <w:b/>
          <w:bCs/>
          <w:color w:val="auto"/>
          <w:sz w:val="28"/>
          <w:szCs w:val="28"/>
        </w:rPr>
        <w:t>投标文件的组成</w:t>
      </w:r>
      <w:bookmarkEnd w:id="58"/>
      <w:bookmarkEnd w:id="59"/>
      <w:bookmarkEnd w:id="60"/>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7"/>
        <w:numPr>
          <w:ilvl w:val="3"/>
          <w:numId w:val="6"/>
        </w:numPr>
        <w:rPr>
          <w:rFonts w:ascii="宋体" w:hAnsi="宋体"/>
          <w:color w:val="auto"/>
        </w:rPr>
      </w:pPr>
      <w:r>
        <w:rPr>
          <w:rFonts w:hint="eastAsia" w:ascii="宋体" w:hAnsi="宋体"/>
          <w:color w:val="auto"/>
        </w:rPr>
        <w:t>资格响应文件</w:t>
      </w:r>
    </w:p>
    <w:p>
      <w:pPr>
        <w:numPr>
          <w:ilvl w:val="0"/>
          <w:numId w:val="21"/>
        </w:numPr>
        <w:tabs>
          <w:tab w:val="left" w:pos="1134"/>
        </w:tabs>
        <w:spacing w:line="360" w:lineRule="auto"/>
        <w:ind w:left="0" w:firstLine="546"/>
        <w:rPr>
          <w:rFonts w:ascii="宋体" w:hAnsi="宋体"/>
          <w:b/>
          <w:color w:val="auto"/>
          <w:sz w:val="28"/>
          <w:szCs w:val="28"/>
        </w:rPr>
      </w:pPr>
      <w:r>
        <w:rPr>
          <w:rFonts w:hint="eastAsia" w:ascii="宋体" w:hAnsi="宋体"/>
          <w:b/>
          <w:color w:val="auto"/>
          <w:sz w:val="28"/>
          <w:szCs w:val="28"/>
        </w:rPr>
        <w:t>关于投标人申明的函；</w:t>
      </w:r>
    </w:p>
    <w:p>
      <w:pPr>
        <w:numPr>
          <w:ilvl w:val="0"/>
          <w:numId w:val="21"/>
        </w:numPr>
        <w:tabs>
          <w:tab w:val="left" w:pos="1134"/>
        </w:tabs>
        <w:spacing w:line="360" w:lineRule="auto"/>
        <w:ind w:left="0" w:firstLine="546"/>
        <w:rPr>
          <w:rFonts w:ascii="宋体" w:hAnsi="宋体"/>
          <w:b/>
          <w:color w:val="auto"/>
          <w:sz w:val="28"/>
          <w:szCs w:val="28"/>
        </w:rPr>
      </w:pPr>
      <w:r>
        <w:rPr>
          <w:rFonts w:hint="eastAsia" w:ascii="宋体" w:hAnsi="宋体"/>
          <w:b/>
          <w:color w:val="auto"/>
          <w:sz w:val="28"/>
          <w:szCs w:val="28"/>
        </w:rPr>
        <w:t>声明；</w:t>
      </w:r>
    </w:p>
    <w:p>
      <w:pPr>
        <w:numPr>
          <w:ilvl w:val="0"/>
          <w:numId w:val="21"/>
        </w:numPr>
        <w:tabs>
          <w:tab w:val="left" w:pos="1134"/>
        </w:tabs>
        <w:spacing w:line="360" w:lineRule="auto"/>
        <w:ind w:left="0" w:firstLine="565" w:firstLineChars="201"/>
        <w:rPr>
          <w:rFonts w:ascii="宋体" w:hAnsi="宋体"/>
          <w:b/>
          <w:color w:val="auto"/>
          <w:sz w:val="28"/>
          <w:szCs w:val="28"/>
        </w:rPr>
      </w:pPr>
      <w:r>
        <w:rPr>
          <w:rFonts w:hint="eastAsia" w:ascii="宋体" w:hAnsi="宋体"/>
          <w:b/>
          <w:color w:val="auto"/>
          <w:sz w:val="28"/>
          <w:szCs w:val="28"/>
        </w:rPr>
        <w:t>中小企业声明函（说明：提供了残疾人福利性单位声明函或监狱企业证明文件复印件的不需提供）；</w:t>
      </w:r>
    </w:p>
    <w:p>
      <w:pPr>
        <w:numPr>
          <w:ilvl w:val="0"/>
          <w:numId w:val="21"/>
        </w:numPr>
        <w:tabs>
          <w:tab w:val="left" w:pos="1134"/>
        </w:tabs>
        <w:spacing w:line="360" w:lineRule="auto"/>
        <w:ind w:left="0" w:firstLine="565" w:firstLineChars="201"/>
        <w:rPr>
          <w:rFonts w:ascii="宋体" w:hAnsi="宋体"/>
          <w:b/>
          <w:color w:val="auto"/>
          <w:sz w:val="28"/>
          <w:szCs w:val="28"/>
        </w:rPr>
      </w:pPr>
      <w:r>
        <w:rPr>
          <w:rFonts w:hint="eastAsia" w:ascii="宋体" w:hAnsi="宋体"/>
          <w:b/>
          <w:color w:val="auto"/>
          <w:sz w:val="28"/>
          <w:szCs w:val="28"/>
        </w:rPr>
        <w:t>残疾人福利性单位声明函（说明：提供了中小企业声明函或监狱企业证明文件复印件的不需提供）；</w:t>
      </w:r>
    </w:p>
    <w:p>
      <w:pPr>
        <w:numPr>
          <w:ilvl w:val="0"/>
          <w:numId w:val="21"/>
        </w:numPr>
        <w:tabs>
          <w:tab w:val="left" w:pos="1134"/>
        </w:tabs>
        <w:spacing w:line="360" w:lineRule="auto"/>
        <w:ind w:left="0" w:firstLine="546"/>
        <w:rPr>
          <w:rFonts w:ascii="宋体" w:hAnsi="宋体"/>
          <w:b/>
          <w:color w:val="auto"/>
          <w:sz w:val="28"/>
          <w:szCs w:val="28"/>
        </w:rPr>
      </w:pPr>
      <w:r>
        <w:rPr>
          <w:rFonts w:hint="eastAsia" w:ascii="宋体" w:hAnsi="宋体"/>
          <w:b/>
          <w:color w:val="auto"/>
          <w:sz w:val="28"/>
          <w:szCs w:val="28"/>
        </w:rPr>
        <w:t>投标人应提交的相关资格证明材料：</w:t>
      </w:r>
    </w:p>
    <w:p>
      <w:pPr>
        <w:pStyle w:val="79"/>
        <w:numPr>
          <w:ilvl w:val="0"/>
          <w:numId w:val="22"/>
        </w:numPr>
        <w:spacing w:before="60" w:line="360" w:lineRule="auto"/>
        <w:ind w:left="0" w:firstLine="546" w:firstLineChars="0"/>
        <w:rPr>
          <w:rFonts w:ascii="宋体" w:hAnsi="宋体"/>
          <w:b/>
          <w:color w:val="auto"/>
          <w:sz w:val="28"/>
          <w:szCs w:val="28"/>
        </w:rPr>
      </w:pPr>
      <w:r>
        <w:rPr>
          <w:rFonts w:hint="eastAsia" w:ascii="宋体" w:hAnsi="宋体"/>
          <w:b/>
          <w:color w:val="auto"/>
          <w:sz w:val="28"/>
          <w:szCs w:val="28"/>
        </w:rPr>
        <w:t xml:space="preserve">由省级以上监狱管理局、戒毒管理局（含新疆生产建设兵团）出具的投标人属于监狱企业的证明文件复印件（说明：提供了中小企业声明函或残疾人福利性单位声明函的不需提供）； </w:t>
      </w:r>
    </w:p>
    <w:p>
      <w:pPr>
        <w:pStyle w:val="79"/>
        <w:numPr>
          <w:ilvl w:val="0"/>
          <w:numId w:val="22"/>
        </w:numPr>
        <w:spacing w:before="60" w:line="360" w:lineRule="auto"/>
        <w:ind w:left="0" w:firstLine="546" w:firstLineChars="0"/>
        <w:rPr>
          <w:rFonts w:ascii="宋体" w:hAnsi="宋体"/>
          <w:b/>
          <w:color w:val="auto"/>
          <w:sz w:val="28"/>
          <w:szCs w:val="28"/>
        </w:rPr>
      </w:pPr>
      <w:r>
        <w:rPr>
          <w:rFonts w:hint="eastAsia" w:ascii="宋体" w:hAnsi="宋体"/>
          <w:b/>
          <w:color w:val="auto"/>
          <w:sz w:val="28"/>
          <w:szCs w:val="28"/>
        </w:rPr>
        <w:t>营业执照复印件（正本或副本）或法人证书复印件（正本或副本）或其他能够证明</w:t>
      </w:r>
      <w:r>
        <w:rPr>
          <w:rFonts w:ascii="宋体" w:hAnsi="宋体"/>
          <w:b/>
          <w:color w:val="auto"/>
          <w:sz w:val="28"/>
          <w:szCs w:val="28"/>
        </w:rPr>
        <w:t>供应商具有独立承担民事责任能力的</w:t>
      </w:r>
      <w:r>
        <w:rPr>
          <w:rFonts w:hint="eastAsia" w:ascii="宋体" w:hAnsi="宋体"/>
          <w:b/>
          <w:color w:val="auto"/>
          <w:sz w:val="28"/>
          <w:szCs w:val="28"/>
        </w:rPr>
        <w:t>相关证明材料复印件；</w:t>
      </w:r>
    </w:p>
    <w:p>
      <w:pPr>
        <w:pStyle w:val="79"/>
        <w:numPr>
          <w:ilvl w:val="0"/>
          <w:numId w:val="22"/>
        </w:numPr>
        <w:spacing w:before="60" w:line="360" w:lineRule="auto"/>
        <w:ind w:left="0" w:firstLine="546" w:firstLineChars="0"/>
        <w:rPr>
          <w:rFonts w:ascii="宋体" w:hAnsi="宋体"/>
          <w:b/>
          <w:color w:val="auto"/>
          <w:sz w:val="28"/>
          <w:szCs w:val="28"/>
        </w:rPr>
      </w:pPr>
      <w:r>
        <w:rPr>
          <w:rFonts w:hint="eastAsia" w:ascii="宋体" w:hAnsi="宋体"/>
          <w:b/>
          <w:color w:val="auto"/>
          <w:sz w:val="28"/>
          <w:szCs w:val="28"/>
        </w:rPr>
        <w:t>具有健全的财务会计制度的证明材料</w:t>
      </w:r>
      <w:r>
        <w:rPr>
          <w:rFonts w:hint="eastAsia" w:ascii="宋体" w:hAnsi="宋体"/>
          <w:b/>
          <w:color w:val="auto"/>
          <w:sz w:val="28"/>
          <w:szCs w:val="28"/>
          <w:lang w:eastAsia="zh-CN"/>
        </w:rPr>
        <w:t>（说明：单位参加投标：至投标文件递交截止时间成立1年以上的单位提供2020年的经审计的财务报告或财务报表（可以不审计，但须包括资产负债表）的复印件，成立不足1年的单位可提供财务管理制度或任意一月及以上的财务报表（可以不审计，但须包括资产负债表）；也可提供银行资信证明。自然人参加投标：提供中国人民银行征信中心出具的个人征信情况。）；</w:t>
      </w:r>
    </w:p>
    <w:p>
      <w:pPr>
        <w:pStyle w:val="79"/>
        <w:numPr>
          <w:ilvl w:val="0"/>
          <w:numId w:val="22"/>
        </w:numPr>
        <w:spacing w:before="60" w:line="360" w:lineRule="auto"/>
        <w:ind w:left="0" w:firstLine="546" w:firstLineChars="0"/>
        <w:rPr>
          <w:rFonts w:ascii="宋体" w:hAnsi="宋体"/>
          <w:b/>
          <w:color w:val="auto"/>
          <w:sz w:val="28"/>
          <w:szCs w:val="28"/>
        </w:rPr>
      </w:pPr>
      <w:r>
        <w:rPr>
          <w:rFonts w:hint="eastAsia" w:ascii="宋体" w:hAnsi="宋体"/>
          <w:b/>
          <w:color w:val="auto"/>
          <w:sz w:val="28"/>
          <w:szCs w:val="28"/>
        </w:rPr>
        <w:t>采购人对投标人履行合同所必须的设备和专业技术能力无特殊要求，投标人可不提供证明材料；</w:t>
      </w:r>
    </w:p>
    <w:p>
      <w:pPr>
        <w:pStyle w:val="79"/>
        <w:numPr>
          <w:ilvl w:val="0"/>
          <w:numId w:val="22"/>
        </w:numPr>
        <w:spacing w:before="60" w:line="360" w:lineRule="auto"/>
        <w:ind w:left="0" w:firstLine="546" w:firstLineChars="0"/>
        <w:rPr>
          <w:rFonts w:ascii="宋体" w:hAnsi="宋体"/>
          <w:b/>
          <w:color w:val="auto"/>
          <w:sz w:val="28"/>
          <w:szCs w:val="28"/>
        </w:rPr>
      </w:pPr>
      <w:r>
        <w:rPr>
          <w:rFonts w:hint="eastAsia" w:ascii="宋体" w:hAnsi="宋体"/>
          <w:b/>
          <w:color w:val="auto"/>
          <w:sz w:val="28"/>
          <w:szCs w:val="28"/>
        </w:rPr>
        <w:t>采购人对法律、行政法规规定的其他条件无特殊要求，投标人可不提供证明材料；</w:t>
      </w:r>
    </w:p>
    <w:p>
      <w:pPr>
        <w:pStyle w:val="7"/>
        <w:numPr>
          <w:ilvl w:val="3"/>
          <w:numId w:val="6"/>
        </w:numPr>
        <w:rPr>
          <w:rFonts w:ascii="宋体" w:hAnsi="宋体"/>
          <w:color w:val="auto"/>
        </w:rPr>
      </w:pPr>
      <w:r>
        <w:rPr>
          <w:rFonts w:hint="eastAsia" w:ascii="宋体" w:hAnsi="宋体"/>
          <w:color w:val="auto"/>
        </w:rPr>
        <w:t>商务技术</w:t>
      </w:r>
      <w:r>
        <w:rPr>
          <w:rFonts w:ascii="宋体" w:hAnsi="宋体"/>
          <w:color w:val="auto"/>
        </w:rPr>
        <w:t>响应</w:t>
      </w:r>
      <w:r>
        <w:rPr>
          <w:rFonts w:hint="eastAsia" w:ascii="宋体" w:hAnsi="宋体"/>
          <w:color w:val="auto"/>
        </w:rPr>
        <w:t>文件</w:t>
      </w:r>
    </w:p>
    <w:p>
      <w:pPr>
        <w:numPr>
          <w:ilvl w:val="0"/>
          <w:numId w:val="23"/>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投标函；</w:t>
      </w:r>
    </w:p>
    <w:p>
      <w:pPr>
        <w:pStyle w:val="226"/>
        <w:numPr>
          <w:ilvl w:val="0"/>
          <w:numId w:val="23"/>
        </w:numPr>
        <w:ind w:left="0" w:firstLine="567" w:firstLineChars="0"/>
        <w:rPr>
          <w:rFonts w:ascii="宋体" w:hAnsi="宋体"/>
          <w:b/>
          <w:color w:val="auto"/>
          <w:sz w:val="28"/>
          <w:szCs w:val="28"/>
        </w:rPr>
      </w:pPr>
      <w:r>
        <w:rPr>
          <w:rFonts w:hint="eastAsia" w:ascii="宋体" w:hAnsi="宋体"/>
          <w:b/>
          <w:color w:val="auto"/>
          <w:sz w:val="28"/>
          <w:szCs w:val="28"/>
        </w:rPr>
        <w:t>法定代表人或主要负责人身份证明书（说明：主要负责人为供应商提供的其具有独立承担民事责任能力的证明材料中的主要负责人员。）。</w:t>
      </w:r>
    </w:p>
    <w:p>
      <w:pPr>
        <w:numPr>
          <w:ilvl w:val="0"/>
          <w:numId w:val="23"/>
        </w:numPr>
        <w:tabs>
          <w:tab w:val="left" w:pos="1134"/>
        </w:tabs>
        <w:spacing w:line="360" w:lineRule="auto"/>
        <w:ind w:left="0" w:firstLine="567"/>
        <w:rPr>
          <w:rFonts w:ascii="宋体" w:hAnsi="宋体"/>
          <w:b/>
          <w:color w:val="auto"/>
          <w:sz w:val="28"/>
          <w:szCs w:val="28"/>
        </w:rPr>
      </w:pPr>
      <w:r>
        <w:rPr>
          <w:rFonts w:hint="eastAsia" w:ascii="宋体" w:hAnsi="宋体"/>
          <w:b/>
          <w:color w:val="auto"/>
          <w:sz w:val="28"/>
          <w:szCs w:val="28"/>
        </w:rPr>
        <w:t>投标人基本情况表；</w:t>
      </w:r>
    </w:p>
    <w:p>
      <w:pPr>
        <w:numPr>
          <w:ilvl w:val="0"/>
          <w:numId w:val="23"/>
        </w:numPr>
        <w:tabs>
          <w:tab w:val="left" w:pos="1134"/>
        </w:tabs>
        <w:spacing w:line="360" w:lineRule="auto"/>
        <w:ind w:left="0" w:firstLine="567"/>
        <w:rPr>
          <w:rFonts w:ascii="宋体" w:hAnsi="宋体"/>
          <w:b/>
          <w:color w:val="auto"/>
          <w:sz w:val="28"/>
          <w:szCs w:val="28"/>
        </w:rPr>
      </w:pPr>
      <w:r>
        <w:rPr>
          <w:rFonts w:hint="eastAsia" w:ascii="宋体" w:hAnsi="宋体"/>
          <w:b/>
          <w:color w:val="auto"/>
          <w:sz w:val="28"/>
          <w:szCs w:val="28"/>
        </w:rPr>
        <w:t>投标产品技术性能、技术参数和配置的详细描述；</w:t>
      </w:r>
    </w:p>
    <w:p>
      <w:pPr>
        <w:numPr>
          <w:ilvl w:val="0"/>
          <w:numId w:val="23"/>
        </w:numPr>
        <w:tabs>
          <w:tab w:val="left" w:pos="1134"/>
        </w:tabs>
        <w:spacing w:line="360" w:lineRule="auto"/>
        <w:ind w:left="0" w:firstLine="567"/>
        <w:rPr>
          <w:rFonts w:ascii="宋体" w:hAnsi="宋体"/>
          <w:b/>
          <w:color w:val="auto"/>
          <w:sz w:val="28"/>
          <w:szCs w:val="28"/>
        </w:rPr>
      </w:pPr>
      <w:r>
        <w:rPr>
          <w:rFonts w:hint="eastAsia" w:ascii="宋体" w:hAnsi="宋体"/>
          <w:b/>
          <w:color w:val="auto"/>
          <w:sz w:val="28"/>
          <w:szCs w:val="28"/>
        </w:rPr>
        <w:t>售后服务及承诺；</w:t>
      </w:r>
    </w:p>
    <w:p>
      <w:pPr>
        <w:numPr>
          <w:ilvl w:val="0"/>
          <w:numId w:val="23"/>
        </w:numPr>
        <w:tabs>
          <w:tab w:val="left" w:pos="1134"/>
        </w:tabs>
        <w:spacing w:line="360" w:lineRule="auto"/>
        <w:ind w:left="0" w:firstLine="567"/>
        <w:rPr>
          <w:rFonts w:ascii="宋体" w:hAnsi="宋体"/>
          <w:b/>
          <w:color w:val="auto"/>
          <w:sz w:val="28"/>
          <w:szCs w:val="28"/>
        </w:rPr>
      </w:pPr>
      <w:r>
        <w:rPr>
          <w:rFonts w:hint="eastAsia" w:ascii="宋体" w:hAnsi="宋体"/>
          <w:b/>
          <w:color w:val="auto"/>
          <w:sz w:val="28"/>
          <w:szCs w:val="28"/>
        </w:rPr>
        <w:t>承诺函。</w:t>
      </w:r>
    </w:p>
    <w:p>
      <w:pPr>
        <w:pStyle w:val="7"/>
        <w:numPr>
          <w:ilvl w:val="3"/>
          <w:numId w:val="6"/>
        </w:numPr>
        <w:ind w:left="0" w:hanging="8"/>
        <w:rPr>
          <w:rFonts w:ascii="宋体" w:hAnsi="宋体"/>
          <w:color w:val="auto"/>
        </w:rPr>
      </w:pPr>
      <w:r>
        <w:rPr>
          <w:rFonts w:hint="eastAsia" w:ascii="宋体" w:hAnsi="宋体"/>
          <w:color w:val="auto"/>
        </w:rPr>
        <w:t>报价</w:t>
      </w:r>
      <w:r>
        <w:rPr>
          <w:rFonts w:ascii="宋体" w:hAnsi="宋体"/>
          <w:color w:val="auto"/>
        </w:rPr>
        <w:t>要求响应文件</w:t>
      </w:r>
    </w:p>
    <w:p>
      <w:pPr>
        <w:pStyle w:val="77"/>
        <w:numPr>
          <w:ilvl w:val="0"/>
          <w:numId w:val="24"/>
        </w:numPr>
        <w:tabs>
          <w:tab w:val="left" w:pos="1134"/>
        </w:tabs>
        <w:spacing w:line="360" w:lineRule="auto"/>
        <w:ind w:left="0" w:firstLine="567"/>
        <w:rPr>
          <w:rFonts w:ascii="宋体" w:hAnsi="宋体"/>
          <w:b/>
          <w:color w:val="auto"/>
          <w:sz w:val="28"/>
          <w:szCs w:val="28"/>
        </w:rPr>
      </w:pPr>
      <w:r>
        <w:rPr>
          <w:rFonts w:hint="eastAsia" w:ascii="宋体" w:hAnsi="宋体"/>
          <w:b/>
          <w:color w:val="auto"/>
          <w:sz w:val="28"/>
          <w:szCs w:val="28"/>
        </w:rPr>
        <w:t>开标一览表（投标报价以投标人在政府采购云平台开标一览表中填写的报价为准）；</w:t>
      </w:r>
    </w:p>
    <w:p>
      <w:pPr>
        <w:tabs>
          <w:tab w:val="left" w:pos="1134"/>
        </w:tabs>
        <w:spacing w:line="360" w:lineRule="auto"/>
        <w:ind w:firstLine="562" w:firstLineChars="200"/>
        <w:rPr>
          <w:rFonts w:ascii="宋体" w:hAnsi="宋体"/>
          <w:b/>
          <w:color w:val="auto"/>
          <w:sz w:val="28"/>
          <w:szCs w:val="28"/>
        </w:rPr>
      </w:pPr>
      <w:r>
        <w:rPr>
          <w:rFonts w:hint="eastAsia" w:ascii="宋体" w:hAnsi="宋体"/>
          <w:b/>
          <w:color w:val="auto"/>
          <w:sz w:val="28"/>
          <w:szCs w:val="28"/>
        </w:rPr>
        <w:t>二、报价明细表(报价明细表中要求填写品牌、规格型号、制造商、进口或国产的，投标人必须载明其投标产品的品牌、规格型号、制造商、进口或国产)。</w:t>
      </w:r>
    </w:p>
    <w:p>
      <w:pPr>
        <w:keepNext/>
        <w:keepLines/>
        <w:numPr>
          <w:ilvl w:val="2"/>
          <w:numId w:val="6"/>
        </w:numPr>
        <w:spacing w:line="360" w:lineRule="auto"/>
        <w:ind w:left="0" w:firstLine="0"/>
        <w:outlineLvl w:val="2"/>
        <w:rPr>
          <w:rFonts w:ascii="宋体" w:hAnsi="宋体"/>
          <w:b/>
          <w:bCs/>
          <w:color w:val="auto"/>
          <w:sz w:val="28"/>
          <w:szCs w:val="28"/>
        </w:rPr>
      </w:pPr>
      <w:bookmarkStart w:id="61" w:name="_Toc316292020"/>
      <w:bookmarkEnd w:id="61"/>
      <w:bookmarkStart w:id="62" w:name="_Toc316291395"/>
      <w:bookmarkEnd w:id="62"/>
      <w:bookmarkStart w:id="63" w:name="_Toc316292019"/>
      <w:bookmarkEnd w:id="63"/>
      <w:bookmarkStart w:id="64" w:name="_Toc316291396"/>
      <w:bookmarkEnd w:id="64"/>
      <w:bookmarkStart w:id="65" w:name="_Toc217446049"/>
      <w:bookmarkStart w:id="66" w:name="_Toc183582218"/>
      <w:bookmarkStart w:id="67" w:name="_Toc183682355"/>
      <w:r>
        <w:rPr>
          <w:rFonts w:hint="eastAsia" w:ascii="宋体" w:hAnsi="宋体"/>
          <w:b/>
          <w:bCs/>
          <w:color w:val="auto"/>
          <w:sz w:val="28"/>
          <w:szCs w:val="28"/>
        </w:rPr>
        <w:t>投标文件格式</w:t>
      </w:r>
      <w:bookmarkEnd w:id="65"/>
      <w:bookmarkEnd w:id="66"/>
      <w:bookmarkEnd w:id="67"/>
      <w:r>
        <w:rPr>
          <w:rFonts w:hint="eastAsia" w:ascii="宋体" w:hAnsi="宋体"/>
          <w:b/>
          <w:bCs/>
          <w:color w:val="auto"/>
          <w:sz w:val="28"/>
          <w:szCs w:val="28"/>
        </w:rPr>
        <w:tab/>
      </w:r>
    </w:p>
    <w:p>
      <w:pPr>
        <w:numPr>
          <w:ilvl w:val="0"/>
          <w:numId w:val="2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numPr>
          <w:ilvl w:val="0"/>
          <w:numId w:val="2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对于没有格式要求的投标文件由投标人自行编写。</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投标报价</w:t>
      </w:r>
    </w:p>
    <w:p>
      <w:pPr>
        <w:numPr>
          <w:ilvl w:val="0"/>
          <w:numId w:val="26"/>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numPr>
          <w:ilvl w:val="0"/>
          <w:numId w:val="26"/>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auto"/>
          <w:sz w:val="28"/>
          <w:szCs w:val="28"/>
        </w:rPr>
      </w:pPr>
      <w:bookmarkStart w:id="68" w:name="_Toc217446050"/>
      <w:bookmarkStart w:id="69" w:name="_Toc183582223"/>
      <w:bookmarkStart w:id="70" w:name="_Toc183682360"/>
      <w:r>
        <w:rPr>
          <w:rFonts w:hint="eastAsia" w:ascii="宋体" w:hAnsi="宋体"/>
          <w:color w:val="auto"/>
          <w:sz w:val="28"/>
          <w:szCs w:val="28"/>
        </w:rPr>
        <w:t>三、投标文件报价出现前后不一致的，按照下列规定修正：（1）大写金额和小写金额不一致的，以大写金额为准，但大写金额出现文字错误，导致金额无法判断的除外；（</w:t>
      </w:r>
      <w:r>
        <w:rPr>
          <w:rFonts w:ascii="宋体" w:hAnsi="宋体"/>
          <w:color w:val="auto"/>
          <w:sz w:val="28"/>
          <w:szCs w:val="28"/>
        </w:rPr>
        <w:t>2</w:t>
      </w:r>
      <w:r>
        <w:rPr>
          <w:rFonts w:hint="eastAsia" w:ascii="宋体" w:hAnsi="宋体"/>
          <w:color w:val="auto"/>
          <w:sz w:val="28"/>
          <w:szCs w:val="28"/>
        </w:rPr>
        <w:t>）单价金额小数点或者百分比有明显错位的，应以总价为准，并修改单价；（</w:t>
      </w:r>
      <w:r>
        <w:rPr>
          <w:rFonts w:ascii="宋体" w:hAnsi="宋体"/>
          <w:color w:val="auto"/>
          <w:sz w:val="28"/>
          <w:szCs w:val="28"/>
        </w:rPr>
        <w:t>3</w:t>
      </w:r>
      <w:r>
        <w:rPr>
          <w:rFonts w:hint="eastAsia" w:ascii="宋体" w:hAnsi="宋体"/>
          <w:color w:val="auto"/>
          <w:sz w:val="28"/>
          <w:szCs w:val="28"/>
        </w:rPr>
        <w:t>）总价金额与按单价汇总金额不一致的，以单价金额计算结果为准。</w:t>
      </w:r>
    </w:p>
    <w:p>
      <w:pPr>
        <w:tabs>
          <w:tab w:val="left" w:pos="1134"/>
        </w:tabs>
        <w:spacing w:line="360" w:lineRule="auto"/>
        <w:ind w:firstLine="565" w:firstLineChars="202"/>
        <w:rPr>
          <w:rFonts w:ascii="宋体" w:hAnsi="宋体"/>
          <w:color w:val="auto"/>
          <w:sz w:val="28"/>
          <w:szCs w:val="28"/>
        </w:rPr>
      </w:pPr>
      <w:r>
        <w:rPr>
          <w:rFonts w:hint="eastAsia" w:cs="Arial"/>
          <w:color w:val="auto"/>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投标保证金</w:t>
      </w:r>
      <w:bookmarkEnd w:id="68"/>
      <w:bookmarkEnd w:id="69"/>
      <w:bookmarkEnd w:id="70"/>
    </w:p>
    <w:p>
      <w:pPr>
        <w:spacing w:line="360" w:lineRule="auto"/>
        <w:ind w:firstLine="560" w:firstLineChars="200"/>
        <w:rPr>
          <w:rFonts w:ascii="宋体" w:hAnsi="宋体"/>
          <w:color w:val="auto"/>
          <w:sz w:val="28"/>
          <w:szCs w:val="28"/>
        </w:rPr>
      </w:pPr>
      <w:r>
        <w:rPr>
          <w:rFonts w:hint="eastAsia" w:cs="Arial"/>
          <w:color w:val="auto"/>
          <w:sz w:val="28"/>
          <w:szCs w:val="28"/>
        </w:rPr>
        <w:t>本项目不收取投标保证金。</w:t>
      </w:r>
    </w:p>
    <w:p>
      <w:pPr>
        <w:keepNext/>
        <w:keepLines/>
        <w:numPr>
          <w:ilvl w:val="2"/>
          <w:numId w:val="6"/>
        </w:numPr>
        <w:tabs>
          <w:tab w:val="left" w:pos="851"/>
        </w:tabs>
        <w:spacing w:line="360" w:lineRule="auto"/>
        <w:ind w:left="0" w:firstLine="0"/>
        <w:outlineLvl w:val="2"/>
        <w:rPr>
          <w:rFonts w:ascii="宋体" w:hAnsi="宋体"/>
          <w:b/>
          <w:bCs/>
          <w:color w:val="auto"/>
          <w:sz w:val="28"/>
          <w:szCs w:val="28"/>
        </w:rPr>
      </w:pPr>
      <w:bookmarkStart w:id="71" w:name="_Toc316291400"/>
      <w:bookmarkEnd w:id="71"/>
      <w:bookmarkStart w:id="72" w:name="_Toc316292024"/>
      <w:bookmarkEnd w:id="72"/>
      <w:bookmarkStart w:id="73" w:name="_Toc217446051"/>
      <w:bookmarkStart w:id="74" w:name="_Toc183582224"/>
      <w:bookmarkStart w:id="75" w:name="_Toc183682361"/>
      <w:r>
        <w:rPr>
          <w:rFonts w:hint="eastAsia" w:ascii="宋体" w:hAnsi="宋体"/>
          <w:b/>
          <w:bCs/>
          <w:color w:val="auto"/>
          <w:sz w:val="28"/>
          <w:szCs w:val="28"/>
        </w:rPr>
        <w:t>投标有效期</w:t>
      </w:r>
      <w:bookmarkEnd w:id="73"/>
      <w:bookmarkEnd w:id="74"/>
      <w:bookmarkEnd w:id="75"/>
    </w:p>
    <w:p>
      <w:pPr>
        <w:numPr>
          <w:ilvl w:val="0"/>
          <w:numId w:val="2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投标有效期为</w:t>
      </w:r>
      <w:r>
        <w:rPr>
          <w:rFonts w:hint="eastAsia" w:ascii="Helvetica" w:hAnsi="Helvetica" w:cs="Helvetica"/>
          <w:color w:val="auto"/>
          <w:sz w:val="28"/>
          <w:szCs w:val="28"/>
        </w:rPr>
        <w:t>提交投标文件的截止之日起</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numPr>
          <w:ilvl w:val="0"/>
          <w:numId w:val="2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6"/>
        </w:numPr>
        <w:tabs>
          <w:tab w:val="left" w:pos="851"/>
        </w:tabs>
        <w:spacing w:after="200"/>
        <w:ind w:left="0" w:firstLine="0"/>
        <w:rPr>
          <w:color w:val="auto"/>
        </w:rPr>
      </w:pPr>
      <w:bookmarkStart w:id="76" w:name="_Toc217446054"/>
      <w:bookmarkStart w:id="77" w:name="_Toc183582227"/>
      <w:bookmarkStart w:id="78" w:name="_Toc183682364"/>
      <w:r>
        <w:rPr>
          <w:rFonts w:hint="eastAsia"/>
          <w:color w:val="auto"/>
        </w:rPr>
        <w:t>投标文件的制作和签章、加密</w:t>
      </w:r>
    </w:p>
    <w:p>
      <w:pPr>
        <w:spacing w:line="360" w:lineRule="auto"/>
        <w:ind w:firstLine="562" w:firstLineChars="200"/>
        <w:rPr>
          <w:rFonts w:ascii="宋体" w:hAnsi="宋体"/>
          <w:color w:val="auto"/>
          <w:sz w:val="28"/>
          <w:szCs w:val="28"/>
        </w:rPr>
      </w:pPr>
      <w:r>
        <w:rPr>
          <w:rFonts w:hint="eastAsia" w:ascii="宋体" w:hAnsi="宋体"/>
          <w:b/>
          <w:color w:val="auto"/>
          <w:sz w:val="28"/>
          <w:szCs w:val="28"/>
        </w:rPr>
        <w:t>一、投标文件应根据招标文件的要求进行制作。</w:t>
      </w:r>
      <w:r>
        <w:rPr>
          <w:rFonts w:hint="eastAsia" w:ascii="宋体" w:hAnsi="宋体"/>
          <w:color w:val="auto"/>
          <w:sz w:val="28"/>
          <w:szCs w:val="28"/>
        </w:rPr>
        <w:t>（说明：1、招标文件中要求提供复印件证明材料的，包含提供原件的影印件或复印件。2、要求提供复印件的证明材料须清晰可辨。）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二、投标文件制作详情：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color w:val="auto"/>
          <w:sz w:val="28"/>
          <w:szCs w:val="28"/>
        </w:rPr>
        <w:t>https://customer.zcygov.cn/CA-driver-download?utm=web-ca-front.3ddc8fbb.0.0.3a16b7402a4511ec900b6349b129e0db</w:t>
      </w:r>
      <w:r>
        <w:rPr>
          <w:rFonts w:hint="eastAsia" w:ascii="宋体" w:hAnsi="宋体"/>
          <w:color w:val="auto"/>
          <w:sz w:val="28"/>
          <w:szCs w:val="28"/>
        </w:rPr>
        <w:t>）。</w:t>
      </w:r>
      <w:r>
        <w:rPr>
          <w:rFonts w:hint="eastAsia" w:ascii="宋体" w:hAnsi="宋体"/>
          <w:b/>
          <w:color w:val="auto"/>
          <w:sz w:val="28"/>
          <w:szCs w:val="28"/>
        </w:rPr>
        <w:t>投标人应按招标文件要求，通过“政采云投标客户端”制作、加密并提交投标文件。</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2、投标文件应加盖投标人（法定名称）电子签章，不得使用投标人专用章（如经济合同章、投标专用章等）或下属单位印章代替。</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3、投标人应使用本企业CA数字证书对投标文件进行加密。</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color w:val="auto"/>
          <w:sz w:val="28"/>
          <w:szCs w:val="28"/>
        </w:rPr>
      </w:pPr>
      <w:r>
        <w:rPr>
          <w:rFonts w:hint="eastAsia" w:ascii="宋体" w:hAnsi="宋体"/>
          <w:color w:val="auto"/>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color w:val="auto"/>
          <w:sz w:val="28"/>
          <w:szCs w:val="28"/>
        </w:rPr>
      </w:pPr>
      <w:r>
        <w:rPr>
          <w:rFonts w:hint="eastAsia" w:ascii="宋体" w:hAnsi="宋体"/>
          <w:color w:val="auto"/>
          <w:sz w:val="28"/>
          <w:szCs w:val="28"/>
        </w:rPr>
        <w:t>8、CA技术支持：四川CA：400-0281130；天威CA： 028-86694886、1592864708；CFCA：028-65785326、18033549468。</w:t>
      </w:r>
    </w:p>
    <w:p>
      <w:pPr>
        <w:pStyle w:val="6"/>
        <w:numPr>
          <w:ilvl w:val="2"/>
          <w:numId w:val="6"/>
        </w:numPr>
        <w:spacing w:after="200"/>
        <w:ind w:left="0" w:firstLine="0"/>
        <w:rPr>
          <w:color w:val="auto"/>
        </w:rPr>
      </w:pPr>
      <w:r>
        <w:rPr>
          <w:rFonts w:hint="eastAsia"/>
          <w:color w:val="auto"/>
        </w:rPr>
        <w:t>投标文件的</w:t>
      </w:r>
      <w:bookmarkEnd w:id="76"/>
      <w:bookmarkEnd w:id="77"/>
      <w:bookmarkEnd w:id="78"/>
      <w:r>
        <w:rPr>
          <w:rFonts w:hint="eastAsia"/>
          <w:color w:val="auto"/>
        </w:rPr>
        <w:t>提交</w:t>
      </w:r>
    </w:p>
    <w:p>
      <w:pPr>
        <w:tabs>
          <w:tab w:val="left" w:pos="0"/>
        </w:tabs>
        <w:spacing w:line="360" w:lineRule="auto"/>
        <w:ind w:firstLine="420" w:firstLineChars="150"/>
        <w:rPr>
          <w:rFonts w:ascii="宋体" w:hAnsi="宋体" w:eastAsiaTheme="minorEastAsia" w:cstheme="minorBidi"/>
          <w:bCs/>
          <w:color w:val="auto"/>
          <w:sz w:val="28"/>
          <w:szCs w:val="28"/>
        </w:rPr>
      </w:pPr>
      <w:r>
        <w:rPr>
          <w:rFonts w:hint="eastAsia" w:ascii="宋体" w:hAnsi="宋体" w:eastAsiaTheme="minorEastAsia" w:cstheme="minorBidi"/>
          <w:bCs/>
          <w:color w:val="auto"/>
          <w:sz w:val="28"/>
          <w:szCs w:val="28"/>
        </w:rPr>
        <w:t>一、投标人应当在投标文件提交截止时间前，将生成的已加密的投标文件成功提交至“政府采购云平台”。</w:t>
      </w:r>
    </w:p>
    <w:p>
      <w:pPr>
        <w:tabs>
          <w:tab w:val="left" w:pos="0"/>
        </w:tabs>
        <w:spacing w:line="360" w:lineRule="auto"/>
        <w:ind w:firstLine="420" w:firstLineChars="150"/>
        <w:rPr>
          <w:rFonts w:ascii="宋体" w:hAnsi="宋体" w:eastAsiaTheme="minorEastAsia" w:cstheme="minorBidi"/>
          <w:bCs/>
          <w:color w:val="auto"/>
          <w:sz w:val="28"/>
          <w:szCs w:val="28"/>
        </w:rPr>
      </w:pPr>
      <w:r>
        <w:rPr>
          <w:rFonts w:hint="eastAsia" w:ascii="宋体" w:hAnsi="宋体" w:eastAsiaTheme="minorEastAsia" w:cstheme="minorBidi"/>
          <w:bCs/>
          <w:color w:val="auto"/>
          <w:sz w:val="28"/>
          <w:szCs w:val="28"/>
        </w:rPr>
        <w:t>二、因招标文件的修改推迟投标截止日期的，投标人按</w:t>
      </w:r>
      <w:r>
        <w:rPr>
          <w:rFonts w:hint="eastAsia" w:ascii="宋体" w:hAnsi="宋体" w:eastAsiaTheme="minorEastAsia" w:cstheme="minorBidi"/>
          <w:bCs/>
          <w:color w:val="auto"/>
          <w:sz w:val="28"/>
          <w:szCs w:val="28"/>
          <w:lang w:eastAsia="zh-CN"/>
        </w:rPr>
        <w:t>成都东部新区党工委管委会（成都市东部新城办）综合部</w:t>
      </w:r>
      <w:r>
        <w:rPr>
          <w:rFonts w:hint="eastAsia" w:ascii="宋体" w:hAnsi="宋体" w:eastAsiaTheme="minorEastAsia" w:cstheme="minorBidi"/>
          <w:bCs/>
          <w:color w:val="auto"/>
          <w:sz w:val="28"/>
          <w:szCs w:val="28"/>
        </w:rPr>
        <w:t>在“四川政府采购网”和“成都市公共资源交易服务中心”网站上发布的澄清公告中修改的时间提交投标文件。</w:t>
      </w:r>
    </w:p>
    <w:p>
      <w:pPr>
        <w:tabs>
          <w:tab w:val="left" w:pos="0"/>
        </w:tabs>
        <w:spacing w:line="360" w:lineRule="auto"/>
        <w:ind w:firstLine="420" w:firstLineChars="150"/>
        <w:rPr>
          <w:rFonts w:ascii="宋体" w:hAnsi="宋体"/>
          <w:bCs/>
          <w:color w:val="auto"/>
          <w:sz w:val="28"/>
          <w:szCs w:val="28"/>
        </w:rPr>
      </w:pPr>
      <w:r>
        <w:rPr>
          <w:rFonts w:hint="eastAsia" w:ascii="宋体" w:hAnsi="宋体" w:eastAsiaTheme="minorEastAsia" w:cstheme="minorBidi"/>
          <w:bCs/>
          <w:color w:val="auto"/>
          <w:sz w:val="28"/>
          <w:szCs w:val="28"/>
        </w:rPr>
        <w:t>三、投标人应充分考虑提交文件的不可预见因素，未在投标截止时间前完成提交的，在投标截止时间后将无法提交</w:t>
      </w:r>
      <w:r>
        <w:rPr>
          <w:rFonts w:hint="eastAsia" w:ascii="宋体" w:hAnsi="宋体"/>
          <w:bCs/>
          <w:color w:val="auto"/>
          <w:sz w:val="28"/>
          <w:szCs w:val="28"/>
        </w:rPr>
        <w:t>。</w:t>
      </w:r>
    </w:p>
    <w:p>
      <w:pPr>
        <w:pStyle w:val="6"/>
        <w:numPr>
          <w:ilvl w:val="2"/>
          <w:numId w:val="6"/>
        </w:numPr>
        <w:spacing w:after="200"/>
        <w:ind w:left="0" w:firstLine="0"/>
        <w:rPr>
          <w:color w:val="auto"/>
        </w:rPr>
      </w:pPr>
      <w:r>
        <w:rPr>
          <w:rFonts w:hint="eastAsia"/>
          <w:color w:val="auto"/>
        </w:rPr>
        <w:t>投标文件的补充、修改</w:t>
      </w:r>
    </w:p>
    <w:p>
      <w:pPr>
        <w:numPr>
          <w:ilvl w:val="0"/>
          <w:numId w:val="28"/>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numPr>
          <w:ilvl w:val="0"/>
          <w:numId w:val="28"/>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在投标截止时间之后，投标人不得对其提交的投标文件做任何补充、修改。</w:t>
      </w:r>
    </w:p>
    <w:p>
      <w:pPr>
        <w:pStyle w:val="6"/>
        <w:numPr>
          <w:ilvl w:val="2"/>
          <w:numId w:val="6"/>
        </w:numPr>
        <w:spacing w:after="200"/>
        <w:ind w:left="0" w:firstLine="0"/>
        <w:rPr>
          <w:color w:val="auto"/>
        </w:rPr>
      </w:pPr>
      <w:bookmarkStart w:id="79" w:name="_Toc316475586"/>
      <w:bookmarkEnd w:id="79"/>
      <w:bookmarkStart w:id="80" w:name="_Toc316475587"/>
      <w:bookmarkEnd w:id="80"/>
      <w:bookmarkStart w:id="81" w:name="_Toc183682365"/>
      <w:bookmarkStart w:id="82" w:name="_Toc217446055"/>
      <w:bookmarkStart w:id="83" w:name="_Toc183582228"/>
      <w:r>
        <w:rPr>
          <w:rFonts w:hint="eastAsia"/>
          <w:color w:val="auto"/>
        </w:rPr>
        <w:t>投标文件的</w:t>
      </w:r>
      <w:bookmarkEnd w:id="81"/>
      <w:bookmarkEnd w:id="82"/>
      <w:bookmarkEnd w:id="83"/>
      <w:r>
        <w:rPr>
          <w:rFonts w:hint="eastAsia"/>
          <w:color w:val="auto"/>
        </w:rPr>
        <w:t>撤回</w:t>
      </w:r>
    </w:p>
    <w:p>
      <w:pPr>
        <w:spacing w:before="120" w:after="200" w:line="360" w:lineRule="auto"/>
        <w:ind w:firstLine="560" w:firstLineChars="200"/>
        <w:rPr>
          <w:rFonts w:ascii="宋体" w:hAnsi="宋体"/>
          <w:bCs/>
          <w:color w:val="auto"/>
          <w:sz w:val="28"/>
          <w:szCs w:val="28"/>
        </w:rPr>
      </w:pPr>
      <w:r>
        <w:rPr>
          <w:rFonts w:hint="eastAsia" w:ascii="宋体" w:hAnsi="宋体"/>
          <w:bCs/>
          <w:color w:val="auto"/>
          <w:sz w:val="28"/>
          <w:szCs w:val="28"/>
        </w:rPr>
        <w:t>在投标截止时间之前，投标人可对已提交的投标文件进行撤回。在投标截止时间之后，投标人不得撤回投标文件。</w:t>
      </w:r>
    </w:p>
    <w:p>
      <w:pPr>
        <w:pStyle w:val="6"/>
        <w:numPr>
          <w:ilvl w:val="2"/>
          <w:numId w:val="6"/>
        </w:numPr>
        <w:spacing w:after="200" w:line="240" w:lineRule="auto"/>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color w:val="auto"/>
          <w:sz w:val="28"/>
          <w:szCs w:val="28"/>
        </w:rPr>
      </w:pPr>
      <w:r>
        <w:rPr>
          <w:rFonts w:hint="eastAsia" w:ascii="宋体" w:hAnsi="宋体"/>
          <w:bCs/>
          <w:color w:val="auto"/>
          <w:sz w:val="28"/>
          <w:szCs w:val="28"/>
        </w:rPr>
        <w:t>投标人</w:t>
      </w:r>
      <w:r>
        <w:rPr>
          <w:rFonts w:hint="eastAsia" w:ascii="宋体" w:hAnsi="宋体"/>
          <w:color w:val="auto"/>
          <w:sz w:val="28"/>
          <w:szCs w:val="28"/>
        </w:rPr>
        <w:t>登录政府采购云平台，点击“项目采购—开标评标”模块，找到对应项目，进入“开标大厅”，等待</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开启解密后，进行线上解密。</w:t>
      </w:r>
      <w:r>
        <w:rPr>
          <w:rFonts w:hint="eastAsia" w:ascii="宋体" w:hAnsi="宋体"/>
          <w:bCs/>
          <w:color w:val="auto"/>
          <w:sz w:val="28"/>
          <w:szCs w:val="28"/>
        </w:rPr>
        <w:t>除因</w:t>
      </w:r>
      <w:r>
        <w:rPr>
          <w:rFonts w:hint="eastAsia" w:ascii="宋体" w:hAnsi="宋体"/>
          <w:color w:val="auto"/>
          <w:sz w:val="28"/>
          <w:szCs w:val="28"/>
          <w:lang w:eastAsia="zh-CN"/>
        </w:rPr>
        <w:t>成都市公共资源交易服务中心</w:t>
      </w:r>
      <w:r>
        <w:rPr>
          <w:rFonts w:hint="eastAsia" w:ascii="宋体" w:hAnsi="宋体"/>
          <w:bCs/>
          <w:color w:val="auto"/>
          <w:sz w:val="28"/>
          <w:szCs w:val="28"/>
        </w:rPr>
        <w:t>断电、断网、系统故障或其他不可抗力等因素，导致系统无法使用外，投标人在规定的解密时间内，未成功解密的投标文件将视为无效投标文件。</w:t>
      </w:r>
    </w:p>
    <w:p>
      <w:pPr>
        <w:keepNext/>
        <w:keepLines/>
        <w:numPr>
          <w:ilvl w:val="1"/>
          <w:numId w:val="6"/>
        </w:numPr>
        <w:spacing w:line="360" w:lineRule="auto"/>
        <w:jc w:val="left"/>
        <w:outlineLvl w:val="1"/>
        <w:rPr>
          <w:rFonts w:ascii="宋体" w:hAnsi="宋体"/>
          <w:b/>
          <w:bCs/>
          <w:color w:val="auto"/>
          <w:sz w:val="28"/>
          <w:szCs w:val="28"/>
        </w:rPr>
      </w:pPr>
      <w:bookmarkStart w:id="84" w:name="_Toc217446056"/>
      <w:bookmarkStart w:id="85" w:name="_Toc19611"/>
      <w:bookmarkStart w:id="86" w:name="_Toc13545"/>
      <w:bookmarkStart w:id="87" w:name="_Toc183682368"/>
      <w:bookmarkStart w:id="88" w:name="_Toc77400782"/>
      <w:bookmarkStart w:id="89" w:name="_Toc86665547"/>
      <w:bookmarkStart w:id="90" w:name="_Toc89075878"/>
      <w:bookmarkStart w:id="91" w:name="_Toc16581"/>
      <w:bookmarkStart w:id="92" w:name="_Toc183582231"/>
      <w:r>
        <w:rPr>
          <w:rFonts w:hint="eastAsia" w:ascii="宋体" w:hAnsi="宋体"/>
          <w:b/>
          <w:bCs/>
          <w:color w:val="auto"/>
          <w:sz w:val="28"/>
          <w:szCs w:val="28"/>
        </w:rPr>
        <w:t>开标、资格审查、评标和中标</w:t>
      </w:r>
      <w:bookmarkEnd w:id="84"/>
      <w:bookmarkEnd w:id="85"/>
      <w:bookmarkEnd w:id="86"/>
      <w:bookmarkEnd w:id="87"/>
      <w:bookmarkEnd w:id="88"/>
      <w:bookmarkEnd w:id="89"/>
      <w:bookmarkEnd w:id="90"/>
      <w:bookmarkEnd w:id="91"/>
      <w:bookmarkEnd w:id="92"/>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开标及开标程序</w:t>
      </w:r>
    </w:p>
    <w:p>
      <w:pPr>
        <w:pStyle w:val="79"/>
        <w:numPr>
          <w:ilvl w:val="0"/>
          <w:numId w:val="29"/>
        </w:numPr>
        <w:tabs>
          <w:tab w:val="left" w:pos="1134"/>
        </w:tabs>
        <w:spacing w:before="120" w:after="200" w:line="360" w:lineRule="auto"/>
        <w:ind w:left="0" w:right="210" w:firstLine="567" w:firstLineChars="0"/>
        <w:rPr>
          <w:rFonts w:ascii="宋体" w:hAnsi="宋体" w:eastAsia="宋体" w:cs="宋体"/>
          <w:color w:val="auto"/>
          <w:sz w:val="28"/>
          <w:szCs w:val="28"/>
        </w:rPr>
      </w:pPr>
      <w:r>
        <w:rPr>
          <w:rFonts w:hint="eastAsia" w:ascii="宋体" w:hAnsi="宋体" w:eastAsia="宋体" w:cs="宋体"/>
          <w:color w:val="auto"/>
          <w:sz w:val="28"/>
          <w:szCs w:val="28"/>
        </w:rPr>
        <w:t>本项目为不见面开标项目。提交投标文件的投标人不足3家的，不予开标。</w:t>
      </w:r>
    </w:p>
    <w:p>
      <w:pPr>
        <w:pStyle w:val="79"/>
        <w:numPr>
          <w:ilvl w:val="0"/>
          <w:numId w:val="29"/>
        </w:numPr>
        <w:tabs>
          <w:tab w:val="left" w:pos="0"/>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79"/>
        <w:numPr>
          <w:ilvl w:val="0"/>
          <w:numId w:val="29"/>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解密投标文件。等待</w:t>
      </w:r>
      <w:r>
        <w:rPr>
          <w:rFonts w:hint="eastAsia" w:ascii="宋体" w:hAnsi="宋体" w:eastAsia="宋体" w:cs="宋体"/>
          <w:b/>
          <w:color w:val="auto"/>
          <w:sz w:val="28"/>
          <w:szCs w:val="28"/>
          <w:lang w:eastAsia="zh-CN"/>
        </w:rPr>
        <w:t>成都东部新区党工委管委会（成都市东部新城办）综合部</w:t>
      </w:r>
      <w:r>
        <w:rPr>
          <w:rFonts w:hint="eastAsia" w:ascii="宋体" w:hAnsi="宋体" w:eastAsia="宋体" w:cs="宋体"/>
          <w:b/>
          <w:color w:val="auto"/>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color w:val="auto"/>
          <w:sz w:val="28"/>
          <w:szCs w:val="28"/>
          <w:lang w:eastAsia="zh-CN"/>
        </w:rPr>
        <w:t>成都市公共资源交易服务中心</w:t>
      </w:r>
      <w:r>
        <w:rPr>
          <w:rFonts w:hint="eastAsia" w:ascii="宋体" w:hAnsi="宋体" w:eastAsia="宋体" w:cs="宋体"/>
          <w:b/>
          <w:color w:val="auto"/>
          <w:sz w:val="28"/>
          <w:szCs w:val="28"/>
        </w:rPr>
        <w:t>断电、断网、系统故障或其他不可抗力等因素，导致系统无法使用外，投标人在规定的解密时间内，未成功解密的投标文件将视为无效投标文件。</w:t>
      </w:r>
    </w:p>
    <w:p>
      <w:pPr>
        <w:pStyle w:val="79"/>
        <w:numPr>
          <w:ilvl w:val="0"/>
          <w:numId w:val="29"/>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79"/>
        <w:numPr>
          <w:ilvl w:val="0"/>
          <w:numId w:val="29"/>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投标人对开标过程和开标记录有疑义，以及认为采购人、</w:t>
      </w:r>
      <w:r>
        <w:rPr>
          <w:rFonts w:hint="eastAsia" w:ascii="宋体" w:hAnsi="宋体" w:eastAsia="宋体" w:cs="宋体"/>
          <w:b/>
          <w:color w:val="auto"/>
          <w:sz w:val="28"/>
          <w:szCs w:val="28"/>
          <w:lang w:eastAsia="zh-CN"/>
        </w:rPr>
        <w:t>成都东部新区党工委管委会（成都市东部新城办）综合部</w:t>
      </w:r>
      <w:r>
        <w:rPr>
          <w:rFonts w:hint="eastAsia" w:ascii="宋体" w:hAnsi="宋体" w:eastAsia="宋体" w:cs="宋体"/>
          <w:b/>
          <w:color w:val="auto"/>
          <w:sz w:val="28"/>
          <w:szCs w:val="28"/>
        </w:rPr>
        <w:t>相关工作人员有需要回避的情形的，及时向工作人员提出询问或者回避申请。采购人、</w:t>
      </w:r>
      <w:r>
        <w:rPr>
          <w:rFonts w:hint="eastAsia" w:ascii="宋体" w:hAnsi="宋体" w:eastAsia="宋体" w:cs="宋体"/>
          <w:b/>
          <w:color w:val="auto"/>
          <w:sz w:val="28"/>
          <w:szCs w:val="28"/>
          <w:lang w:eastAsia="zh-CN"/>
        </w:rPr>
        <w:t>成都东部新区党工委管委会（成都市东部新城办）综合部</w:t>
      </w:r>
      <w:r>
        <w:rPr>
          <w:rFonts w:hint="eastAsia" w:ascii="宋体" w:hAnsi="宋体" w:eastAsia="宋体" w:cs="宋体"/>
          <w:b/>
          <w:color w:val="auto"/>
          <w:sz w:val="28"/>
          <w:szCs w:val="28"/>
        </w:rPr>
        <w:t>对投标人提出的询问或者回避申请应当及时处理。</w:t>
      </w:r>
    </w:p>
    <w:p>
      <w:pPr>
        <w:pStyle w:val="79"/>
        <w:numPr>
          <w:ilvl w:val="0"/>
          <w:numId w:val="29"/>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79"/>
        <w:numPr>
          <w:ilvl w:val="0"/>
          <w:numId w:val="29"/>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政府采购云平台运行基本环境要求：电脑应安装并顺利运行64位win7以上操作系统，谷歌浏览器；正确的CA及签章驱动等；能流畅访问互联网。</w:t>
      </w:r>
    </w:p>
    <w:p>
      <w:pPr>
        <w:pStyle w:val="79"/>
        <w:numPr>
          <w:ilvl w:val="0"/>
          <w:numId w:val="29"/>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因</w:t>
      </w:r>
      <w:r>
        <w:rPr>
          <w:rFonts w:hint="eastAsia" w:ascii="宋体" w:hAnsi="宋体" w:eastAsia="宋体" w:cs="宋体"/>
          <w:b/>
          <w:color w:val="auto"/>
          <w:sz w:val="28"/>
          <w:szCs w:val="28"/>
          <w:lang w:eastAsia="zh-CN"/>
        </w:rPr>
        <w:t>成都市公共资源交易服务中心</w:t>
      </w:r>
      <w:r>
        <w:rPr>
          <w:rFonts w:hint="eastAsia" w:ascii="宋体" w:hAnsi="宋体" w:eastAsia="宋体" w:cs="宋体"/>
          <w:b/>
          <w:color w:val="auto"/>
          <w:sz w:val="28"/>
          <w:szCs w:val="28"/>
        </w:rPr>
        <w:t>断电、断网、系统故障或其他不可抗力等因素导致不见面开标系统无法正常运行的，开标活动中止或延迟，待系统恢复正常后继续进行开标活动。</w:t>
      </w:r>
    </w:p>
    <w:p>
      <w:pPr>
        <w:pStyle w:val="79"/>
        <w:numPr>
          <w:ilvl w:val="0"/>
          <w:numId w:val="29"/>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不见面开标过程中，各方主体均应遵守互联网有关规定，不得发表与交易活动无关的言论。</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资格审查</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详见招标文件第5章。</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评标</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详见招标文件第6章。</w:t>
      </w:r>
    </w:p>
    <w:p>
      <w:pPr>
        <w:keepNext/>
        <w:keepLines/>
        <w:numPr>
          <w:ilvl w:val="2"/>
          <w:numId w:val="6"/>
        </w:numPr>
        <w:spacing w:line="360" w:lineRule="auto"/>
        <w:ind w:left="0" w:firstLine="0"/>
        <w:outlineLvl w:val="2"/>
        <w:rPr>
          <w:rFonts w:ascii="宋体" w:hAnsi="宋体"/>
          <w:b/>
          <w:bCs/>
          <w:color w:val="auto"/>
          <w:sz w:val="28"/>
          <w:szCs w:val="28"/>
        </w:rPr>
      </w:pPr>
      <w:bookmarkStart w:id="93" w:name="_Toc183682375"/>
      <w:bookmarkStart w:id="94" w:name="_Toc183582238"/>
      <w:bookmarkStart w:id="95" w:name="_Toc217446063"/>
      <w:r>
        <w:rPr>
          <w:rFonts w:hint="eastAsia" w:ascii="宋体" w:hAnsi="宋体"/>
          <w:b/>
          <w:bCs/>
          <w:color w:val="auto"/>
          <w:sz w:val="28"/>
          <w:szCs w:val="28"/>
        </w:rPr>
        <w:t>中标通知</w:t>
      </w:r>
      <w:bookmarkEnd w:id="93"/>
      <w:bookmarkEnd w:id="94"/>
      <w:r>
        <w:rPr>
          <w:rFonts w:hint="eastAsia" w:ascii="宋体" w:hAnsi="宋体"/>
          <w:b/>
          <w:bCs/>
          <w:color w:val="auto"/>
          <w:sz w:val="28"/>
          <w:szCs w:val="28"/>
        </w:rPr>
        <w:t>书</w:t>
      </w:r>
      <w:bookmarkEnd w:id="95"/>
    </w:p>
    <w:p>
      <w:pPr>
        <w:spacing w:line="360" w:lineRule="auto"/>
        <w:ind w:right="210" w:firstLine="560" w:firstLineChars="200"/>
        <w:rPr>
          <w:rFonts w:ascii="宋体" w:hAnsi="宋体"/>
          <w:color w:val="auto"/>
          <w:sz w:val="28"/>
          <w:szCs w:val="28"/>
        </w:rPr>
      </w:pPr>
      <w:bookmarkStart w:id="96" w:name="_Toc217446064"/>
      <w:bookmarkStart w:id="97" w:name="_Toc183582240"/>
      <w:bookmarkStart w:id="98" w:name="_Toc183682377"/>
      <w:r>
        <w:rPr>
          <w:rFonts w:hint="eastAsia" w:ascii="宋体" w:hAnsi="宋体"/>
          <w:color w:val="auto"/>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二、中标通知书对采购人和中标人均具有法律效力。</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三、中标公告在四川政府采购网上公告后，中标供应商</w:t>
      </w:r>
      <w:r>
        <w:rPr>
          <w:rFonts w:hint="eastAsia" w:ascii="宋体" w:hAnsi="宋体"/>
          <w:color w:val="auto"/>
          <w:sz w:val="28"/>
          <w:szCs w:val="28"/>
          <w:lang w:eastAsia="zh-CN"/>
        </w:rPr>
        <w:t>接通知后</w:t>
      </w:r>
      <w:r>
        <w:rPr>
          <w:rFonts w:hint="eastAsia" w:ascii="宋体" w:hAnsi="宋体"/>
          <w:color w:val="auto"/>
          <w:sz w:val="28"/>
          <w:szCs w:val="28"/>
        </w:rPr>
        <w:t>登录政府采购云平台下载中标通知书。</w:t>
      </w:r>
    </w:p>
    <w:p>
      <w:pPr>
        <w:keepNext/>
        <w:keepLines/>
        <w:numPr>
          <w:ilvl w:val="1"/>
          <w:numId w:val="6"/>
        </w:numPr>
        <w:spacing w:before="240" w:line="360" w:lineRule="auto"/>
        <w:jc w:val="left"/>
        <w:outlineLvl w:val="1"/>
        <w:rPr>
          <w:rFonts w:ascii="宋体" w:hAnsi="宋体"/>
          <w:b/>
          <w:bCs/>
          <w:color w:val="auto"/>
          <w:sz w:val="28"/>
          <w:szCs w:val="28"/>
        </w:rPr>
      </w:pPr>
      <w:bookmarkStart w:id="99" w:name="_Toc2945"/>
      <w:bookmarkStart w:id="100" w:name="_Toc5460"/>
      <w:bookmarkStart w:id="101" w:name="_Toc5423"/>
      <w:bookmarkStart w:id="102" w:name="_Toc86665548"/>
      <w:r>
        <w:rPr>
          <w:rFonts w:hint="eastAsia" w:ascii="宋体" w:hAnsi="宋体"/>
          <w:b/>
          <w:bCs/>
          <w:color w:val="auto"/>
          <w:sz w:val="28"/>
          <w:szCs w:val="28"/>
        </w:rPr>
        <w:t>签订及履行合同和验收</w:t>
      </w:r>
      <w:bookmarkEnd w:id="96"/>
      <w:bookmarkEnd w:id="99"/>
      <w:bookmarkEnd w:id="100"/>
      <w:bookmarkEnd w:id="101"/>
      <w:bookmarkEnd w:id="102"/>
    </w:p>
    <w:p>
      <w:pPr>
        <w:keepNext/>
        <w:keepLines/>
        <w:numPr>
          <w:ilvl w:val="2"/>
          <w:numId w:val="6"/>
        </w:numPr>
        <w:spacing w:line="360" w:lineRule="auto"/>
        <w:ind w:left="0" w:firstLine="0"/>
        <w:outlineLvl w:val="2"/>
        <w:rPr>
          <w:rFonts w:ascii="宋体" w:hAnsi="宋体"/>
          <w:b/>
          <w:bCs/>
          <w:color w:val="auto"/>
          <w:sz w:val="28"/>
          <w:szCs w:val="28"/>
        </w:rPr>
      </w:pPr>
      <w:bookmarkStart w:id="103" w:name="_Toc217446065"/>
      <w:r>
        <w:rPr>
          <w:rFonts w:hint="eastAsia" w:ascii="宋体" w:hAnsi="宋体"/>
          <w:b/>
          <w:bCs/>
          <w:color w:val="auto"/>
          <w:sz w:val="28"/>
          <w:szCs w:val="28"/>
        </w:rPr>
        <w:t>签订合同</w:t>
      </w:r>
      <w:bookmarkEnd w:id="103"/>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四、询问或者质疑事项可能影响中标、成交结果的，采购人应当暂停签订合同，已经签订合同的，应当中止履行合同。</w:t>
      </w:r>
    </w:p>
    <w:p>
      <w:pPr>
        <w:keepNext/>
        <w:keepLines/>
        <w:numPr>
          <w:ilvl w:val="2"/>
          <w:numId w:val="6"/>
        </w:numPr>
        <w:spacing w:line="360" w:lineRule="auto"/>
        <w:ind w:left="3119" w:hanging="3119"/>
        <w:outlineLvl w:val="2"/>
        <w:rPr>
          <w:rFonts w:ascii="宋体" w:hAnsi="宋体"/>
          <w:b/>
          <w:bCs/>
          <w:color w:val="auto"/>
          <w:sz w:val="28"/>
          <w:szCs w:val="28"/>
        </w:rPr>
      </w:pPr>
      <w:bookmarkStart w:id="104" w:name="_Toc315871033"/>
      <w:bookmarkEnd w:id="104"/>
      <w:bookmarkStart w:id="105" w:name="_Toc217446066"/>
      <w:r>
        <w:rPr>
          <w:rFonts w:hint="eastAsia" w:ascii="宋体" w:hAnsi="宋体"/>
          <w:b/>
          <w:bCs/>
          <w:color w:val="auto"/>
          <w:sz w:val="28"/>
          <w:szCs w:val="28"/>
        </w:rPr>
        <w:t>合同分包</w:t>
      </w:r>
      <w:bookmarkEnd w:id="105"/>
      <w:r>
        <w:rPr>
          <w:rFonts w:hint="eastAsia" w:ascii="宋体" w:hAnsi="宋体"/>
          <w:b/>
          <w:bCs/>
          <w:color w:val="auto"/>
          <w:sz w:val="28"/>
          <w:szCs w:val="28"/>
        </w:rPr>
        <w:t>和转包</w:t>
      </w:r>
    </w:p>
    <w:p>
      <w:pPr>
        <w:keepNext/>
        <w:keepLines/>
        <w:numPr>
          <w:ilvl w:val="3"/>
          <w:numId w:val="6"/>
        </w:numPr>
        <w:spacing w:line="360" w:lineRule="auto"/>
        <w:ind w:left="1275" w:hanging="1275"/>
        <w:outlineLvl w:val="2"/>
        <w:rPr>
          <w:rFonts w:ascii="宋体" w:hAnsi="宋体"/>
          <w:b/>
          <w:bCs/>
          <w:color w:val="auto"/>
          <w:sz w:val="28"/>
          <w:szCs w:val="28"/>
        </w:rPr>
      </w:pPr>
      <w:r>
        <w:rPr>
          <w:rFonts w:hint="eastAsia" w:ascii="宋体" w:hAnsi="宋体"/>
          <w:b/>
          <w:bCs/>
          <w:color w:val="auto"/>
          <w:sz w:val="28"/>
          <w:szCs w:val="28"/>
        </w:rPr>
        <w:t>合同分包</w:t>
      </w:r>
    </w:p>
    <w:p>
      <w:pPr>
        <w:pStyle w:val="119"/>
        <w:spacing w:line="360" w:lineRule="auto"/>
        <w:ind w:firstLine="560" w:firstLineChars="200"/>
        <w:rPr>
          <w:rFonts w:cs="Times New Roman"/>
          <w:color w:val="auto"/>
          <w:sz w:val="28"/>
          <w:szCs w:val="28"/>
          <w:lang w:val="zh-CN"/>
        </w:rPr>
      </w:pPr>
      <w:r>
        <w:rPr>
          <w:rFonts w:hint="eastAsia" w:cs="Times New Roman"/>
          <w:color w:val="auto"/>
          <w:sz w:val="28"/>
          <w:szCs w:val="28"/>
          <w:lang w:val="zh-CN"/>
        </w:rPr>
        <w:t>本</w:t>
      </w:r>
      <w:r>
        <w:rPr>
          <w:rFonts w:cs="Times New Roman"/>
          <w:color w:val="auto"/>
          <w:sz w:val="28"/>
          <w:szCs w:val="28"/>
          <w:lang w:val="zh-CN"/>
        </w:rPr>
        <w:t>项目不允许分包</w:t>
      </w:r>
      <w:r>
        <w:rPr>
          <w:rFonts w:hint="eastAsia" w:cs="Times New Roman"/>
          <w:color w:val="auto"/>
          <w:sz w:val="28"/>
          <w:szCs w:val="28"/>
          <w:lang w:val="zh-CN"/>
        </w:rPr>
        <w:t>。</w:t>
      </w:r>
    </w:p>
    <w:p>
      <w:pPr>
        <w:keepNext/>
        <w:keepLines/>
        <w:numPr>
          <w:ilvl w:val="3"/>
          <w:numId w:val="6"/>
        </w:numPr>
        <w:spacing w:line="360" w:lineRule="auto"/>
        <w:ind w:left="1275" w:hanging="1275"/>
        <w:outlineLvl w:val="2"/>
        <w:rPr>
          <w:rFonts w:ascii="宋体" w:hAnsi="宋体"/>
          <w:b/>
          <w:bCs/>
          <w:color w:val="auto"/>
          <w:sz w:val="28"/>
          <w:szCs w:val="28"/>
        </w:rPr>
      </w:pPr>
      <w:r>
        <w:rPr>
          <w:rFonts w:hint="eastAsia" w:ascii="宋体" w:hAnsi="宋体"/>
          <w:b/>
          <w:bCs/>
          <w:color w:val="auto"/>
          <w:sz w:val="28"/>
          <w:szCs w:val="28"/>
        </w:rPr>
        <w:t>合同转包</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keepNext/>
        <w:keepLines/>
        <w:numPr>
          <w:ilvl w:val="2"/>
          <w:numId w:val="6"/>
        </w:numPr>
        <w:spacing w:before="240" w:line="360" w:lineRule="auto"/>
        <w:ind w:left="0" w:firstLine="0"/>
        <w:outlineLvl w:val="2"/>
        <w:rPr>
          <w:rFonts w:ascii="宋体" w:hAnsi="宋体"/>
          <w:b/>
          <w:bCs/>
          <w:color w:val="auto"/>
          <w:sz w:val="28"/>
          <w:szCs w:val="28"/>
        </w:rPr>
      </w:pPr>
      <w:bookmarkStart w:id="106" w:name="_Toc217446067"/>
      <w:r>
        <w:rPr>
          <w:rFonts w:hint="eastAsia" w:ascii="宋体" w:hAnsi="宋体"/>
          <w:b/>
          <w:bCs/>
          <w:color w:val="auto"/>
          <w:sz w:val="28"/>
          <w:szCs w:val="28"/>
        </w:rPr>
        <w:t>采购人增加合同标的的权</w:t>
      </w:r>
      <w:bookmarkEnd w:id="106"/>
      <w:r>
        <w:rPr>
          <w:rFonts w:hint="eastAsia" w:ascii="宋体" w:hAnsi="宋体"/>
          <w:b/>
          <w:bCs/>
          <w:color w:val="auto"/>
          <w:sz w:val="28"/>
          <w:szCs w:val="28"/>
        </w:rPr>
        <w:t>利</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6"/>
        </w:numPr>
        <w:spacing w:line="360" w:lineRule="auto"/>
        <w:ind w:left="0" w:firstLine="0"/>
        <w:outlineLvl w:val="2"/>
        <w:rPr>
          <w:rFonts w:ascii="宋体" w:hAnsi="宋体"/>
          <w:b/>
          <w:bCs/>
          <w:color w:val="auto"/>
          <w:sz w:val="28"/>
          <w:szCs w:val="28"/>
        </w:rPr>
      </w:pPr>
      <w:bookmarkStart w:id="107" w:name="_Toc217446068"/>
      <w:r>
        <w:rPr>
          <w:rFonts w:hint="eastAsia" w:ascii="宋体" w:hAnsi="宋体"/>
          <w:b/>
          <w:bCs/>
          <w:color w:val="auto"/>
          <w:sz w:val="28"/>
          <w:szCs w:val="28"/>
        </w:rPr>
        <w:t>履约保证金</w:t>
      </w:r>
      <w:bookmarkEnd w:id="107"/>
    </w:p>
    <w:p>
      <w:pPr>
        <w:spacing w:after="180" w:line="360" w:lineRule="auto"/>
        <w:ind w:firstLine="560" w:firstLineChars="200"/>
        <w:rPr>
          <w:rFonts w:ascii="宋体" w:hAnsi="宋体"/>
          <w:color w:val="auto"/>
          <w:sz w:val="28"/>
          <w:szCs w:val="28"/>
        </w:rPr>
      </w:pPr>
      <w:bookmarkStart w:id="108" w:name="_Toc217446069"/>
      <w:r>
        <w:rPr>
          <w:rFonts w:hint="eastAsia" w:ascii="宋体" w:hAnsi="宋体"/>
          <w:color w:val="auto"/>
          <w:sz w:val="28"/>
          <w:szCs w:val="28"/>
        </w:rPr>
        <w:t>本项目</w:t>
      </w:r>
      <w:r>
        <w:rPr>
          <w:rFonts w:ascii="宋体" w:hAnsi="宋体"/>
          <w:color w:val="auto"/>
          <w:sz w:val="28"/>
          <w:szCs w:val="28"/>
        </w:rPr>
        <w:t>不收取履约保证金</w:t>
      </w:r>
      <w:r>
        <w:rPr>
          <w:rFonts w:hint="eastAsia" w:ascii="宋体" w:hAnsi="宋体"/>
          <w:color w:val="auto"/>
          <w:sz w:val="28"/>
          <w:szCs w:val="28"/>
        </w:rPr>
        <w:t>。</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合同公告</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采购人应当自政府采购合同签订之日起2个工作日内，在四川政府采购网公告，但政府采购合同中涉及国家秘密、商业秘密的内容除外。</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合同备案</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疫情防控期间，采购人原则上在5个工作日内与供应商签订政府采购合同及按成都市财政局的要求完成合同备案工作。</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履行合同</w:t>
      </w:r>
      <w:bookmarkEnd w:id="108"/>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一、合同一经签订，双方应严格履行合同规定的义务。</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二、在合同履行过程中，如发生合同纠纷，合同双方应按照《中华人民共和国民法典》及合同条款的有关规定进行处理。</w:t>
      </w:r>
    </w:p>
    <w:p>
      <w:pPr>
        <w:keepNext/>
        <w:keepLines/>
        <w:numPr>
          <w:ilvl w:val="2"/>
          <w:numId w:val="6"/>
        </w:numPr>
        <w:spacing w:line="360" w:lineRule="auto"/>
        <w:ind w:left="0" w:firstLine="0"/>
        <w:outlineLvl w:val="2"/>
        <w:rPr>
          <w:rFonts w:ascii="宋体" w:hAnsi="宋体"/>
          <w:b/>
          <w:bCs/>
          <w:color w:val="auto"/>
          <w:sz w:val="28"/>
          <w:szCs w:val="28"/>
        </w:rPr>
      </w:pPr>
      <w:bookmarkStart w:id="109" w:name="_Toc217446070"/>
      <w:r>
        <w:rPr>
          <w:rFonts w:hint="eastAsia" w:ascii="宋体" w:hAnsi="宋体"/>
          <w:b/>
          <w:bCs/>
          <w:color w:val="auto"/>
          <w:sz w:val="28"/>
          <w:szCs w:val="28"/>
        </w:rPr>
        <w:t>验收</w:t>
      </w:r>
      <w:bookmarkEnd w:id="109"/>
      <w:r>
        <w:rPr>
          <w:rFonts w:hint="eastAsia" w:ascii="宋体" w:hAnsi="宋体"/>
          <w:b/>
          <w:bCs/>
          <w:color w:val="auto"/>
          <w:sz w:val="28"/>
          <w:szCs w:val="28"/>
        </w:rPr>
        <w:t>考核</w:t>
      </w:r>
    </w:p>
    <w:bookmarkEnd w:id="97"/>
    <w:bookmarkEnd w:id="98"/>
    <w:p>
      <w:pPr>
        <w:pStyle w:val="25"/>
        <w:spacing w:line="360" w:lineRule="auto"/>
        <w:ind w:left="0" w:leftChars="0" w:firstLine="565" w:firstLineChars="202"/>
        <w:rPr>
          <w:rFonts w:ascii="宋体" w:hAnsi="宋体"/>
          <w:color w:val="auto"/>
          <w:sz w:val="28"/>
          <w:szCs w:val="28"/>
        </w:rPr>
      </w:pPr>
      <w:bookmarkStart w:id="110" w:name="_Toc217446074"/>
      <w:bookmarkStart w:id="111" w:name="_Toc183682380"/>
      <w:bookmarkStart w:id="112" w:name="_Toc183582243"/>
      <w:r>
        <w:rPr>
          <w:rFonts w:hint="eastAsia" w:ascii="宋体" w:hAnsi="宋体"/>
          <w:color w:val="auto"/>
          <w:sz w:val="28"/>
          <w:szCs w:val="28"/>
        </w:rPr>
        <w:t>采购人严格按照国家相关法律法规的要求组织验收或考核，采购</w:t>
      </w:r>
      <w:r>
        <w:rPr>
          <w:rFonts w:ascii="宋体" w:hAnsi="宋体"/>
          <w:color w:val="auto"/>
          <w:sz w:val="28"/>
          <w:szCs w:val="28"/>
        </w:rPr>
        <w:t>预算金额大</w:t>
      </w:r>
      <w:r>
        <w:rPr>
          <w:rFonts w:hint="eastAsia" w:ascii="宋体" w:hAnsi="宋体"/>
          <w:color w:val="auto"/>
          <w:sz w:val="28"/>
          <w:szCs w:val="28"/>
        </w:rPr>
        <w:t>的采购</w:t>
      </w:r>
      <w:r>
        <w:rPr>
          <w:rFonts w:ascii="宋体" w:hAnsi="宋体"/>
          <w:color w:val="auto"/>
          <w:sz w:val="28"/>
          <w:szCs w:val="28"/>
        </w:rPr>
        <w:t>项目、政府</w:t>
      </w:r>
      <w:r>
        <w:rPr>
          <w:rFonts w:hint="eastAsia" w:ascii="宋体" w:hAnsi="宋体"/>
          <w:color w:val="auto"/>
          <w:sz w:val="28"/>
          <w:szCs w:val="28"/>
        </w:rPr>
        <w:t>向</w:t>
      </w:r>
      <w:r>
        <w:rPr>
          <w:rFonts w:ascii="宋体" w:hAnsi="宋体"/>
          <w:color w:val="auto"/>
          <w:sz w:val="28"/>
          <w:szCs w:val="28"/>
        </w:rPr>
        <w:t>社会公共提供的公共服务项目、采购人和实际使用人或者受益者分离、有质疑投诉举报的的采购项目，</w:t>
      </w:r>
      <w:r>
        <w:rPr>
          <w:rFonts w:hint="eastAsia" w:ascii="宋体" w:hAnsi="宋体"/>
          <w:color w:val="auto"/>
          <w:sz w:val="28"/>
          <w:szCs w:val="28"/>
        </w:rPr>
        <w:t>可以</w:t>
      </w:r>
      <w:r>
        <w:rPr>
          <w:rFonts w:ascii="宋体" w:hAnsi="宋体"/>
          <w:color w:val="auto"/>
          <w:sz w:val="28"/>
          <w:szCs w:val="28"/>
        </w:rPr>
        <w:t>邀请国家认可的</w:t>
      </w:r>
      <w:r>
        <w:rPr>
          <w:rFonts w:hint="eastAsia" w:ascii="宋体" w:hAnsi="宋体"/>
          <w:color w:val="auto"/>
          <w:sz w:val="28"/>
          <w:szCs w:val="28"/>
        </w:rPr>
        <w:t>第三方</w:t>
      </w:r>
      <w:r>
        <w:rPr>
          <w:rFonts w:ascii="宋体" w:hAnsi="宋体"/>
          <w:color w:val="auto"/>
          <w:sz w:val="28"/>
          <w:szCs w:val="28"/>
        </w:rPr>
        <w:t>检测机构或者集采机构参与</w:t>
      </w:r>
      <w:r>
        <w:rPr>
          <w:rFonts w:hint="eastAsia" w:ascii="宋体" w:hAnsi="宋体"/>
          <w:color w:val="auto"/>
          <w:sz w:val="28"/>
          <w:szCs w:val="28"/>
        </w:rPr>
        <w:t>履约</w:t>
      </w:r>
      <w:r>
        <w:rPr>
          <w:rFonts w:ascii="宋体" w:hAnsi="宋体"/>
          <w:color w:val="auto"/>
          <w:sz w:val="28"/>
          <w:szCs w:val="28"/>
        </w:rPr>
        <w:t>验收工作</w:t>
      </w:r>
      <w:r>
        <w:rPr>
          <w:rFonts w:hint="eastAsia" w:ascii="宋体" w:hAnsi="宋体"/>
          <w:color w:val="auto"/>
          <w:sz w:val="28"/>
          <w:szCs w:val="28"/>
        </w:rPr>
        <w:t>。</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资金支付</w:t>
      </w:r>
    </w:p>
    <w:p>
      <w:pPr>
        <w:shd w:val="clear" w:color="auto" w:fill="FFFFFF"/>
        <w:spacing w:line="360" w:lineRule="auto"/>
        <w:ind w:firstLine="570"/>
        <w:rPr>
          <w:rFonts w:ascii="宋体" w:hAnsi="宋体" w:cs="Helvetica"/>
          <w:color w:val="auto"/>
          <w:sz w:val="28"/>
          <w:szCs w:val="28"/>
        </w:rPr>
      </w:pPr>
      <w:r>
        <w:rPr>
          <w:rFonts w:hint="eastAsia" w:ascii="宋体" w:hAnsi="宋体" w:cs="Helvetica"/>
          <w:color w:val="auto"/>
          <w:sz w:val="28"/>
          <w:szCs w:val="28"/>
        </w:rPr>
        <w:t>采购人按财政部门的相关规定及采购合同的约定进行支付。</w:t>
      </w:r>
    </w:p>
    <w:p>
      <w:pPr>
        <w:keepNext/>
        <w:keepLines/>
        <w:numPr>
          <w:ilvl w:val="1"/>
          <w:numId w:val="6"/>
        </w:numPr>
        <w:spacing w:line="360" w:lineRule="auto"/>
        <w:jc w:val="left"/>
        <w:outlineLvl w:val="1"/>
        <w:rPr>
          <w:rFonts w:ascii="宋体" w:hAnsi="宋体"/>
          <w:b/>
          <w:bCs/>
          <w:color w:val="auto"/>
          <w:sz w:val="28"/>
          <w:szCs w:val="28"/>
        </w:rPr>
      </w:pPr>
      <w:bookmarkStart w:id="113" w:name="_Toc19455"/>
      <w:bookmarkStart w:id="114" w:name="_Toc8657"/>
      <w:bookmarkStart w:id="115" w:name="_Toc451"/>
      <w:bookmarkStart w:id="116" w:name="_Toc86665549"/>
      <w:r>
        <w:rPr>
          <w:rFonts w:hint="eastAsia" w:ascii="宋体" w:hAnsi="宋体"/>
          <w:b/>
          <w:bCs/>
          <w:color w:val="auto"/>
          <w:sz w:val="28"/>
          <w:szCs w:val="28"/>
        </w:rPr>
        <w:t>投标纪律要求</w:t>
      </w:r>
      <w:bookmarkEnd w:id="110"/>
      <w:bookmarkEnd w:id="113"/>
      <w:bookmarkEnd w:id="114"/>
      <w:bookmarkEnd w:id="115"/>
      <w:bookmarkEnd w:id="116"/>
    </w:p>
    <w:p>
      <w:pPr>
        <w:keepNext/>
        <w:keepLines/>
        <w:numPr>
          <w:ilvl w:val="2"/>
          <w:numId w:val="6"/>
        </w:numPr>
        <w:spacing w:line="360" w:lineRule="auto"/>
        <w:ind w:left="0" w:firstLine="0"/>
        <w:outlineLvl w:val="2"/>
        <w:rPr>
          <w:rFonts w:ascii="宋体" w:hAnsi="宋体"/>
          <w:b/>
          <w:bCs/>
          <w:color w:val="auto"/>
          <w:sz w:val="28"/>
          <w:szCs w:val="28"/>
        </w:rPr>
      </w:pPr>
      <w:bookmarkStart w:id="117" w:name="_Toc217446075"/>
      <w:r>
        <w:rPr>
          <w:rFonts w:hint="eastAsia" w:ascii="宋体" w:hAnsi="宋体"/>
          <w:b/>
          <w:bCs/>
          <w:color w:val="auto"/>
          <w:sz w:val="28"/>
          <w:szCs w:val="28"/>
        </w:rPr>
        <w:t>投标人不得具有的情形</w:t>
      </w:r>
      <w:bookmarkEnd w:id="117"/>
    </w:p>
    <w:p>
      <w:pPr>
        <w:spacing w:after="180" w:line="360" w:lineRule="auto"/>
        <w:ind w:firstLine="567"/>
        <w:rPr>
          <w:rFonts w:ascii="宋体" w:hAnsi="宋体"/>
          <w:color w:val="auto"/>
          <w:sz w:val="28"/>
          <w:szCs w:val="28"/>
        </w:rPr>
      </w:pPr>
      <w:r>
        <w:rPr>
          <w:rFonts w:hint="eastAsia" w:ascii="宋体" w:hAnsi="宋体"/>
          <w:color w:val="auto"/>
          <w:sz w:val="28"/>
          <w:szCs w:val="28"/>
        </w:rPr>
        <w:t>投标人参加投标不得有下列情形：</w:t>
      </w:r>
    </w:p>
    <w:p>
      <w:pPr>
        <w:numPr>
          <w:ilvl w:val="1"/>
          <w:numId w:val="30"/>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numPr>
          <w:ilvl w:val="1"/>
          <w:numId w:val="30"/>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提供虚假材料谋取中标；</w:t>
      </w:r>
    </w:p>
    <w:p>
      <w:pPr>
        <w:numPr>
          <w:ilvl w:val="1"/>
          <w:numId w:val="30"/>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采取不正当手段诋毁、排挤其他投标人；</w:t>
      </w:r>
    </w:p>
    <w:p>
      <w:pPr>
        <w:numPr>
          <w:ilvl w:val="1"/>
          <w:numId w:val="30"/>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与采购人或</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、其他投标人恶意串通；</w:t>
      </w:r>
    </w:p>
    <w:p>
      <w:pPr>
        <w:numPr>
          <w:ilvl w:val="1"/>
          <w:numId w:val="30"/>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向采购人或</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、评标委员会成员行贿或者提供其他不正当利益；</w:t>
      </w:r>
    </w:p>
    <w:p>
      <w:pPr>
        <w:numPr>
          <w:ilvl w:val="1"/>
          <w:numId w:val="30"/>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在招标过程中与采购人或</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进行协商谈判；</w:t>
      </w:r>
    </w:p>
    <w:p>
      <w:pPr>
        <w:numPr>
          <w:ilvl w:val="1"/>
          <w:numId w:val="30"/>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中标后无正当理由拒不与采购人签订政府采购合同；</w:t>
      </w:r>
    </w:p>
    <w:p>
      <w:pPr>
        <w:numPr>
          <w:ilvl w:val="1"/>
          <w:numId w:val="30"/>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未按照采购文件确定的事项签订政府采购合同；</w:t>
      </w:r>
    </w:p>
    <w:p>
      <w:pPr>
        <w:numPr>
          <w:ilvl w:val="1"/>
          <w:numId w:val="30"/>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将政府采购合同转包或者违规分包；</w:t>
      </w:r>
    </w:p>
    <w:p>
      <w:pPr>
        <w:numPr>
          <w:ilvl w:val="1"/>
          <w:numId w:val="30"/>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提供假冒伪劣产品；</w:t>
      </w:r>
    </w:p>
    <w:p>
      <w:pPr>
        <w:numPr>
          <w:ilvl w:val="1"/>
          <w:numId w:val="30"/>
        </w:numPr>
        <w:tabs>
          <w:tab w:val="left" w:pos="1134"/>
          <w:tab w:val="left" w:pos="1418"/>
        </w:tabs>
        <w:spacing w:line="360" w:lineRule="auto"/>
        <w:ind w:left="420" w:firstLine="147"/>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left="567"/>
        <w:rPr>
          <w:rFonts w:ascii="宋体" w:hAnsi="宋体"/>
          <w:color w:val="auto"/>
          <w:sz w:val="28"/>
          <w:szCs w:val="28"/>
        </w:rPr>
      </w:pPr>
      <w:r>
        <w:rPr>
          <w:rFonts w:hint="eastAsia" w:ascii="宋体" w:hAnsi="宋体"/>
          <w:color w:val="auto"/>
          <w:sz w:val="28"/>
          <w:szCs w:val="28"/>
        </w:rPr>
        <w:t>十二、拒绝有关部门的监督检查或者向监督检查部门提供虚假情况；</w:t>
      </w:r>
    </w:p>
    <w:p>
      <w:pPr>
        <w:spacing w:after="180" w:line="360" w:lineRule="auto"/>
        <w:ind w:firstLine="565" w:firstLineChars="202"/>
        <w:rPr>
          <w:rFonts w:ascii="宋体" w:hAnsi="宋体"/>
          <w:color w:val="auto"/>
          <w:sz w:val="28"/>
          <w:szCs w:val="28"/>
        </w:rPr>
      </w:pPr>
      <w:r>
        <w:rPr>
          <w:rFonts w:hint="eastAsia" w:ascii="宋体" w:hAnsi="宋体"/>
          <w:color w:val="auto"/>
          <w:sz w:val="28"/>
          <w:szCs w:val="28"/>
        </w:rPr>
        <w:t>十三、法律法规规定的其他禁止情形。</w:t>
      </w:r>
    </w:p>
    <w:p>
      <w:pPr>
        <w:spacing w:after="180"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投标人有上述情形的，按照规定追究法律责任，具备一至十条情形之一的，其</w:t>
      </w:r>
      <w:r>
        <w:rPr>
          <w:rFonts w:ascii="宋体" w:hAnsi="宋体"/>
          <w:b/>
          <w:color w:val="auto"/>
          <w:sz w:val="28"/>
          <w:szCs w:val="28"/>
        </w:rPr>
        <w:t>投标文件无效，</w:t>
      </w:r>
      <w:r>
        <w:rPr>
          <w:rFonts w:hint="eastAsia" w:ascii="宋体" w:hAnsi="宋体"/>
          <w:b/>
          <w:color w:val="auto"/>
          <w:sz w:val="28"/>
          <w:szCs w:val="28"/>
        </w:rPr>
        <w:t>或</w:t>
      </w:r>
      <w:r>
        <w:rPr>
          <w:rFonts w:ascii="宋体" w:hAnsi="宋体"/>
          <w:b/>
          <w:color w:val="auto"/>
          <w:sz w:val="28"/>
          <w:szCs w:val="28"/>
        </w:rPr>
        <w:t>取消被</w:t>
      </w:r>
      <w:r>
        <w:rPr>
          <w:rFonts w:hint="eastAsia" w:ascii="宋体" w:hAnsi="宋体"/>
          <w:b/>
          <w:color w:val="auto"/>
          <w:sz w:val="28"/>
          <w:szCs w:val="28"/>
        </w:rPr>
        <w:t>确认为中标</w:t>
      </w:r>
      <w:r>
        <w:rPr>
          <w:rFonts w:ascii="宋体" w:hAnsi="宋体"/>
          <w:b/>
          <w:color w:val="auto"/>
          <w:sz w:val="28"/>
          <w:szCs w:val="28"/>
        </w:rPr>
        <w:t>供应商的资格或认定</w:t>
      </w:r>
      <w:r>
        <w:rPr>
          <w:rFonts w:hint="eastAsia" w:ascii="宋体" w:hAnsi="宋体"/>
          <w:b/>
          <w:color w:val="auto"/>
          <w:sz w:val="28"/>
          <w:szCs w:val="28"/>
        </w:rPr>
        <w:t>中标</w:t>
      </w:r>
      <w:r>
        <w:rPr>
          <w:rFonts w:ascii="宋体" w:hAnsi="宋体"/>
          <w:b/>
          <w:color w:val="auto"/>
          <w:sz w:val="28"/>
          <w:szCs w:val="28"/>
        </w:rPr>
        <w:t>无效</w:t>
      </w:r>
      <w:r>
        <w:rPr>
          <w:rFonts w:hint="eastAsia" w:ascii="宋体" w:hAnsi="宋体"/>
          <w:b/>
          <w:color w:val="auto"/>
          <w:sz w:val="28"/>
          <w:szCs w:val="28"/>
        </w:rPr>
        <w:t>。</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回避</w:t>
      </w:r>
    </w:p>
    <w:p>
      <w:pPr>
        <w:shd w:val="clear" w:color="auto" w:fill="FFFFFF"/>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在政府采购活动中，采购人员</w:t>
      </w:r>
      <w:r>
        <w:rPr>
          <w:rFonts w:hint="eastAsia" w:cs="Helvetica"/>
          <w:color w:val="auto"/>
          <w:sz w:val="28"/>
          <w:szCs w:val="28"/>
        </w:rPr>
        <w:t>（如</w:t>
      </w:r>
      <w:r>
        <w:rPr>
          <w:rFonts w:hint="eastAsia"/>
          <w:color w:val="auto"/>
          <w:sz w:val="28"/>
          <w:szCs w:val="28"/>
        </w:rPr>
        <w:t>采购人内部负责采购项目的具体经办工作人员或直接分管采购项目的负责人、</w:t>
      </w:r>
      <w:r>
        <w:rPr>
          <w:rFonts w:hint="eastAsia" w:cs="Arial"/>
          <w:color w:val="auto"/>
          <w:sz w:val="28"/>
          <w:szCs w:val="28"/>
          <w:lang w:eastAsia="zh-CN"/>
        </w:rPr>
        <w:t>成都东部新区党工委管委会（成都市东部新城办）综合部</w:t>
      </w:r>
      <w:r>
        <w:rPr>
          <w:rFonts w:hint="eastAsia"/>
          <w:color w:val="auto"/>
          <w:sz w:val="28"/>
          <w:szCs w:val="28"/>
        </w:rPr>
        <w:t>负责采购项目的具体经办工作人员或直接分管采购活动的负责人等</w:t>
      </w:r>
      <w:r>
        <w:rPr>
          <w:rFonts w:hint="eastAsia" w:cs="Helvetica"/>
          <w:color w:val="auto"/>
          <w:sz w:val="28"/>
          <w:szCs w:val="28"/>
        </w:rPr>
        <w:t>）</w:t>
      </w:r>
      <w:r>
        <w:rPr>
          <w:rFonts w:hint="eastAsia" w:ascii="宋体" w:hAnsi="宋体" w:cs="Helvetica"/>
          <w:color w:val="auto"/>
          <w:sz w:val="28"/>
          <w:szCs w:val="28"/>
        </w:rPr>
        <w:t>及相关人员（包括</w:t>
      </w:r>
      <w:r>
        <w:rPr>
          <w:rFonts w:ascii="宋体" w:hAnsi="宋体" w:cs="Helvetica"/>
          <w:color w:val="auto"/>
          <w:sz w:val="28"/>
          <w:szCs w:val="28"/>
        </w:rPr>
        <w:t>评标委员会的组成人员</w:t>
      </w:r>
      <w:r>
        <w:rPr>
          <w:rFonts w:hint="eastAsia" w:ascii="宋体" w:hAnsi="宋体" w:cs="Helvetica"/>
          <w:color w:val="auto"/>
          <w:sz w:val="28"/>
          <w:szCs w:val="28"/>
        </w:rPr>
        <w:t>）与</w:t>
      </w:r>
      <w:r>
        <w:rPr>
          <w:rFonts w:hint="eastAsia" w:ascii="宋体" w:hAnsi="宋体"/>
          <w:color w:val="auto"/>
          <w:sz w:val="28"/>
          <w:szCs w:val="28"/>
        </w:rPr>
        <w:t>供应商</w:t>
      </w:r>
      <w:r>
        <w:rPr>
          <w:rFonts w:hint="eastAsia" w:ascii="宋体" w:hAnsi="宋体" w:cs="Helvetica"/>
          <w:color w:val="auto"/>
          <w:sz w:val="28"/>
          <w:szCs w:val="28"/>
        </w:rPr>
        <w:t>有下列利害关系之一的，应当回避：</w:t>
      </w:r>
    </w:p>
    <w:p>
      <w:pPr>
        <w:shd w:val="clear" w:color="auto" w:fill="FFFFFF"/>
        <w:spacing w:line="360" w:lineRule="auto"/>
        <w:ind w:left="708" w:hanging="708" w:hangingChars="253"/>
        <w:rPr>
          <w:rFonts w:ascii="宋体" w:hAnsi="宋体" w:cs="Helvetica"/>
          <w:color w:val="auto"/>
          <w:sz w:val="28"/>
          <w:szCs w:val="28"/>
        </w:rPr>
      </w:pPr>
      <w:r>
        <w:rPr>
          <w:rFonts w:hint="eastAsia" w:ascii="宋体" w:hAnsi="宋体" w:cs="Helvetica"/>
          <w:color w:val="auto"/>
          <w:sz w:val="28"/>
          <w:szCs w:val="28"/>
        </w:rPr>
        <w:t>　　（一）参加采购活动前3年内与</w:t>
      </w:r>
      <w:r>
        <w:rPr>
          <w:rFonts w:hint="eastAsia" w:ascii="宋体" w:hAnsi="宋体"/>
          <w:color w:val="auto"/>
          <w:sz w:val="28"/>
          <w:szCs w:val="28"/>
        </w:rPr>
        <w:t>供应商</w:t>
      </w:r>
      <w:r>
        <w:rPr>
          <w:rFonts w:hint="eastAsia" w:ascii="宋体" w:hAnsi="宋体" w:cs="Helvetica"/>
          <w:color w:val="auto"/>
          <w:sz w:val="28"/>
          <w:szCs w:val="28"/>
        </w:rPr>
        <w:t>存在劳动关系；</w:t>
      </w:r>
    </w:p>
    <w:p>
      <w:pPr>
        <w:shd w:val="clear" w:color="auto" w:fill="FFFFFF"/>
        <w:spacing w:line="360" w:lineRule="auto"/>
        <w:rPr>
          <w:rFonts w:ascii="宋体" w:hAnsi="宋体" w:cs="Helvetica"/>
          <w:color w:val="auto"/>
          <w:sz w:val="28"/>
          <w:szCs w:val="28"/>
        </w:rPr>
      </w:pPr>
      <w:r>
        <w:rPr>
          <w:rFonts w:hint="eastAsia" w:ascii="宋体" w:hAnsi="宋体" w:cs="Helvetica"/>
          <w:color w:val="auto"/>
          <w:sz w:val="28"/>
          <w:szCs w:val="28"/>
        </w:rPr>
        <w:t>　　（二）参加采购活动前3年内担任</w:t>
      </w:r>
      <w:r>
        <w:rPr>
          <w:rFonts w:hint="eastAsia" w:ascii="宋体" w:hAnsi="宋体"/>
          <w:color w:val="auto"/>
          <w:sz w:val="28"/>
          <w:szCs w:val="28"/>
        </w:rPr>
        <w:t>供应商</w:t>
      </w:r>
      <w:r>
        <w:rPr>
          <w:rFonts w:hint="eastAsia" w:ascii="宋体" w:hAnsi="宋体" w:cs="Helvetica"/>
          <w:color w:val="auto"/>
          <w:sz w:val="28"/>
          <w:szCs w:val="28"/>
        </w:rPr>
        <w:t>的董事、监事；</w:t>
      </w:r>
    </w:p>
    <w:p>
      <w:pPr>
        <w:shd w:val="clear" w:color="auto" w:fill="FFFFFF"/>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（三）参加采购活动前3年内是</w:t>
      </w:r>
      <w:r>
        <w:rPr>
          <w:rFonts w:hint="eastAsia" w:ascii="宋体" w:hAnsi="宋体"/>
          <w:color w:val="auto"/>
          <w:sz w:val="28"/>
          <w:szCs w:val="28"/>
        </w:rPr>
        <w:t>供应商</w:t>
      </w:r>
      <w:r>
        <w:rPr>
          <w:rFonts w:hint="eastAsia" w:ascii="宋体" w:hAnsi="宋体" w:cs="Helvetica"/>
          <w:color w:val="auto"/>
          <w:sz w:val="28"/>
          <w:szCs w:val="28"/>
        </w:rPr>
        <w:t>的控股股东或者实际控制人；</w:t>
      </w:r>
    </w:p>
    <w:p>
      <w:pPr>
        <w:shd w:val="clear" w:color="auto" w:fill="FFFFFF"/>
        <w:spacing w:line="360" w:lineRule="auto"/>
        <w:ind w:firstLine="570"/>
        <w:rPr>
          <w:rFonts w:ascii="宋体" w:hAnsi="宋体" w:cs="Helvetica"/>
          <w:color w:val="auto"/>
          <w:sz w:val="28"/>
          <w:szCs w:val="28"/>
        </w:rPr>
      </w:pPr>
      <w:r>
        <w:rPr>
          <w:rFonts w:hint="eastAsia" w:ascii="宋体" w:hAnsi="宋体" w:cs="Helvetica"/>
          <w:color w:val="auto"/>
          <w:sz w:val="28"/>
          <w:szCs w:val="28"/>
        </w:rPr>
        <w:t>（四）与</w:t>
      </w:r>
      <w:r>
        <w:rPr>
          <w:rFonts w:hint="eastAsia" w:ascii="宋体" w:hAnsi="宋体"/>
          <w:color w:val="auto"/>
          <w:sz w:val="28"/>
          <w:szCs w:val="28"/>
        </w:rPr>
        <w:t>供应商</w:t>
      </w:r>
      <w:r>
        <w:rPr>
          <w:rFonts w:hint="eastAsia" w:ascii="宋体" w:hAnsi="宋体" w:cs="Helvetica"/>
          <w:color w:val="auto"/>
          <w:sz w:val="28"/>
          <w:szCs w:val="28"/>
        </w:rPr>
        <w:t>的法定代表人或者负责人有夫妻、直系血亲、三代以内旁系血亲或者近姻亲关系；</w:t>
      </w:r>
    </w:p>
    <w:p>
      <w:pPr>
        <w:shd w:val="clear" w:color="auto" w:fill="FFFFFF"/>
        <w:spacing w:line="360" w:lineRule="auto"/>
        <w:ind w:firstLine="570"/>
        <w:rPr>
          <w:rFonts w:ascii="宋体" w:hAnsi="宋体" w:cs="Helvetica"/>
          <w:color w:val="auto"/>
          <w:sz w:val="28"/>
          <w:szCs w:val="28"/>
        </w:rPr>
      </w:pPr>
      <w:r>
        <w:rPr>
          <w:rFonts w:hint="eastAsia" w:ascii="宋体" w:hAnsi="宋体" w:cs="Helvetica"/>
          <w:color w:val="auto"/>
          <w:sz w:val="28"/>
          <w:szCs w:val="28"/>
        </w:rPr>
        <w:t>（五）与</w:t>
      </w:r>
      <w:r>
        <w:rPr>
          <w:rFonts w:hint="eastAsia" w:ascii="宋体" w:hAnsi="宋体"/>
          <w:color w:val="auto"/>
          <w:sz w:val="28"/>
          <w:szCs w:val="28"/>
        </w:rPr>
        <w:t>供应商</w:t>
      </w:r>
      <w:r>
        <w:rPr>
          <w:rFonts w:hint="eastAsia" w:ascii="宋体" w:hAnsi="宋体" w:cs="Helvetica"/>
          <w:color w:val="auto"/>
          <w:sz w:val="28"/>
          <w:szCs w:val="28"/>
        </w:rPr>
        <w:t>有其他可能影响政府采购活动公平、公正进行的关系。</w:t>
      </w:r>
    </w:p>
    <w:p>
      <w:pPr>
        <w:shd w:val="clear" w:color="auto" w:fill="FFFFFF"/>
        <w:spacing w:line="360" w:lineRule="auto"/>
        <w:ind w:firstLine="570"/>
        <w:rPr>
          <w:rFonts w:ascii="宋体" w:hAnsi="宋体" w:cs="Helvetica"/>
          <w:color w:val="auto"/>
          <w:sz w:val="28"/>
          <w:szCs w:val="28"/>
        </w:rPr>
      </w:pPr>
      <w:r>
        <w:rPr>
          <w:rFonts w:hint="eastAsia" w:ascii="宋体" w:hAnsi="宋体"/>
          <w:color w:val="auto"/>
          <w:sz w:val="28"/>
          <w:szCs w:val="28"/>
        </w:rPr>
        <w:t>供应商</w:t>
      </w:r>
      <w:r>
        <w:rPr>
          <w:rFonts w:hint="eastAsia" w:ascii="宋体" w:hAnsi="宋体" w:cs="Helvetica"/>
          <w:color w:val="auto"/>
          <w:sz w:val="28"/>
          <w:szCs w:val="28"/>
        </w:rPr>
        <w:t>认为采购人员及相关人员与其他</w:t>
      </w:r>
      <w:r>
        <w:rPr>
          <w:rFonts w:hint="eastAsia" w:ascii="宋体" w:hAnsi="宋体"/>
          <w:color w:val="auto"/>
          <w:sz w:val="28"/>
          <w:szCs w:val="28"/>
        </w:rPr>
        <w:t>供应商</w:t>
      </w:r>
      <w:r>
        <w:rPr>
          <w:rFonts w:hint="eastAsia" w:ascii="宋体" w:hAnsi="宋体" w:cs="Helvetica"/>
          <w:color w:val="auto"/>
          <w:sz w:val="28"/>
          <w:szCs w:val="28"/>
        </w:rPr>
        <w:t>有利害关系的，可以向采购人或者</w:t>
      </w:r>
      <w:r>
        <w:rPr>
          <w:rFonts w:hint="eastAsia" w:ascii="宋体" w:hAnsi="宋体" w:cs="Arial"/>
          <w:color w:val="auto"/>
          <w:sz w:val="28"/>
          <w:szCs w:val="28"/>
        </w:rPr>
        <w:t>采购代理机构</w:t>
      </w:r>
      <w:r>
        <w:rPr>
          <w:rFonts w:hint="eastAsia" w:ascii="宋体" w:hAnsi="宋体" w:cs="Helvetica"/>
          <w:color w:val="auto"/>
          <w:sz w:val="28"/>
          <w:szCs w:val="28"/>
        </w:rPr>
        <w:t>书面提出回避申请，并说明理由。采购人或者</w:t>
      </w:r>
      <w:r>
        <w:rPr>
          <w:rFonts w:hint="eastAsia" w:ascii="宋体" w:hAnsi="宋体" w:cs="Arial"/>
          <w:color w:val="auto"/>
          <w:sz w:val="28"/>
          <w:szCs w:val="28"/>
        </w:rPr>
        <w:t>采购代理机构</w:t>
      </w:r>
      <w:r>
        <w:rPr>
          <w:rFonts w:hint="eastAsia" w:ascii="宋体" w:hAnsi="宋体" w:cs="Helvetica"/>
          <w:color w:val="auto"/>
          <w:sz w:val="28"/>
          <w:szCs w:val="28"/>
        </w:rPr>
        <w:t>应当及时询问被申请回避人员，有利害关系的被申请回避人员应当回避。</w:t>
      </w:r>
    </w:p>
    <w:p>
      <w:pPr>
        <w:keepNext/>
        <w:keepLines/>
        <w:numPr>
          <w:ilvl w:val="1"/>
          <w:numId w:val="6"/>
        </w:numPr>
        <w:spacing w:line="360" w:lineRule="auto"/>
        <w:jc w:val="left"/>
        <w:outlineLvl w:val="1"/>
        <w:rPr>
          <w:rFonts w:ascii="宋体" w:hAnsi="宋体"/>
          <w:b/>
          <w:bCs/>
          <w:color w:val="auto"/>
          <w:sz w:val="28"/>
          <w:szCs w:val="28"/>
        </w:rPr>
      </w:pPr>
      <w:bookmarkStart w:id="118" w:name="_Toc27101"/>
      <w:bookmarkStart w:id="119" w:name="_Toc8659"/>
      <w:bookmarkStart w:id="120" w:name="_Toc86665550"/>
      <w:bookmarkStart w:id="121" w:name="_Toc2828"/>
      <w:bookmarkStart w:id="122" w:name="_Toc217446078"/>
      <w:r>
        <w:rPr>
          <w:rFonts w:hint="eastAsia" w:ascii="宋体" w:hAnsi="宋体"/>
          <w:b/>
          <w:bCs/>
          <w:color w:val="auto"/>
          <w:sz w:val="28"/>
          <w:szCs w:val="28"/>
        </w:rPr>
        <w:t>询问、质疑和投诉</w:t>
      </w:r>
      <w:bookmarkEnd w:id="118"/>
      <w:bookmarkEnd w:id="119"/>
      <w:bookmarkEnd w:id="120"/>
      <w:bookmarkEnd w:id="121"/>
      <w:bookmarkEnd w:id="122"/>
      <w:bookmarkStart w:id="123" w:name="_Toc217446079"/>
    </w:p>
    <w:bookmarkEnd w:id="111"/>
    <w:bookmarkEnd w:id="112"/>
    <w:bookmarkEnd w:id="123"/>
    <w:p>
      <w:pPr>
        <w:numPr>
          <w:ilvl w:val="0"/>
          <w:numId w:val="31"/>
        </w:numPr>
        <w:spacing w:line="360" w:lineRule="auto"/>
        <w:ind w:left="0" w:firstLine="567"/>
        <w:jc w:val="left"/>
        <w:rPr>
          <w:color w:val="auto"/>
          <w:sz w:val="28"/>
          <w:szCs w:val="28"/>
        </w:rPr>
      </w:pPr>
      <w:r>
        <w:rPr>
          <w:rFonts w:hint="eastAsia"/>
          <w:color w:val="auto"/>
          <w:sz w:val="28"/>
          <w:szCs w:val="28"/>
        </w:rPr>
        <w:t>询问、质疑、投诉的接收和处理严格按照《中华人民共和国政府采购法》、《中华人民共和国政府采购法实施条例》《中华人民共和国财政部货物和服务招投标管理办法》（财政部第</w:t>
      </w:r>
      <w:r>
        <w:rPr>
          <w:color w:val="auto"/>
          <w:sz w:val="28"/>
          <w:szCs w:val="28"/>
        </w:rPr>
        <w:t>87</w:t>
      </w:r>
      <w:r>
        <w:rPr>
          <w:rFonts w:hint="eastAsia"/>
          <w:color w:val="auto"/>
          <w:sz w:val="28"/>
          <w:szCs w:val="28"/>
        </w:rPr>
        <w:t>号令）和《政府采购质疑和投诉办法》（财政部</w:t>
      </w:r>
      <w:r>
        <w:rPr>
          <w:color w:val="auto"/>
          <w:sz w:val="28"/>
          <w:szCs w:val="28"/>
        </w:rPr>
        <w:t>94</w:t>
      </w:r>
      <w:r>
        <w:rPr>
          <w:rFonts w:hint="eastAsia"/>
          <w:color w:val="auto"/>
          <w:sz w:val="28"/>
          <w:szCs w:val="28"/>
        </w:rPr>
        <w:t>号令）的规定办理。</w:t>
      </w:r>
    </w:p>
    <w:p>
      <w:pPr>
        <w:numPr>
          <w:ilvl w:val="0"/>
          <w:numId w:val="31"/>
        </w:numPr>
        <w:spacing w:line="360" w:lineRule="auto"/>
        <w:ind w:left="0" w:firstLine="567"/>
        <w:jc w:val="left"/>
        <w:rPr>
          <w:color w:val="auto"/>
          <w:sz w:val="28"/>
          <w:szCs w:val="28"/>
        </w:rPr>
      </w:pPr>
      <w:r>
        <w:rPr>
          <w:rFonts w:hint="eastAsia"/>
          <w:color w:val="auto"/>
          <w:sz w:val="28"/>
          <w:szCs w:val="28"/>
        </w:rPr>
        <w:t>供应商</w:t>
      </w:r>
      <w:r>
        <w:rPr>
          <w:rFonts w:hint="eastAsia" w:ascii="宋体" w:hAnsi="宋体"/>
          <w:color w:val="auto"/>
          <w:sz w:val="28"/>
          <w:szCs w:val="28"/>
        </w:rPr>
        <w:t>询问、质疑的对象</w:t>
      </w:r>
    </w:p>
    <w:p>
      <w:pPr>
        <w:numPr>
          <w:ilvl w:val="1"/>
          <w:numId w:val="32"/>
        </w:numPr>
        <w:tabs>
          <w:tab w:val="left" w:pos="0"/>
          <w:tab w:val="left" w:pos="1276"/>
        </w:tabs>
        <w:spacing w:after="120" w:line="360" w:lineRule="auto"/>
        <w:ind w:left="0" w:firstLine="567"/>
        <w:rPr>
          <w:rFonts w:ascii="宋体" w:hAnsi="宋体"/>
          <w:color w:val="auto"/>
          <w:sz w:val="28"/>
          <w:szCs w:val="28"/>
        </w:rPr>
      </w:pPr>
      <w:r>
        <w:rPr>
          <w:rFonts w:hint="eastAsia"/>
          <w:color w:val="auto"/>
          <w:sz w:val="28"/>
          <w:szCs w:val="28"/>
        </w:rPr>
        <w:t>供应商</w:t>
      </w:r>
      <w:r>
        <w:rPr>
          <w:rFonts w:hint="eastAsia" w:ascii="宋体" w:hAnsi="宋体"/>
          <w:color w:val="auto"/>
          <w:sz w:val="28"/>
          <w:szCs w:val="28"/>
        </w:rPr>
        <w:t>对招标文件中</w:t>
      </w:r>
      <w:r>
        <w:rPr>
          <w:rFonts w:hint="eastAsia"/>
          <w:color w:val="auto"/>
          <w:sz w:val="28"/>
          <w:szCs w:val="28"/>
        </w:rPr>
        <w:t>供应商</w:t>
      </w:r>
      <w:r>
        <w:rPr>
          <w:rFonts w:hint="eastAsia" w:ascii="宋体" w:hAnsi="宋体"/>
          <w:color w:val="auto"/>
          <w:sz w:val="28"/>
          <w:szCs w:val="28"/>
        </w:rPr>
        <w:t>参加本次政府采购活动应当具备的条件，招标项目技术、服务、商务及其他要求，评标细则及标准，和中标结果中关于资格审查提出询问或质疑的，向采购人提出；</w:t>
      </w:r>
    </w:p>
    <w:p>
      <w:pPr>
        <w:numPr>
          <w:ilvl w:val="1"/>
          <w:numId w:val="32"/>
        </w:numPr>
        <w:tabs>
          <w:tab w:val="left" w:pos="1276"/>
        </w:tabs>
        <w:spacing w:after="120" w:line="360" w:lineRule="auto"/>
        <w:ind w:left="0" w:firstLine="567"/>
        <w:rPr>
          <w:rFonts w:ascii="宋体" w:hAnsi="宋体"/>
          <w:color w:val="auto"/>
          <w:sz w:val="28"/>
          <w:szCs w:val="28"/>
        </w:rPr>
      </w:pPr>
      <w:r>
        <w:rPr>
          <w:rFonts w:hint="eastAsia"/>
          <w:color w:val="auto"/>
          <w:sz w:val="28"/>
          <w:szCs w:val="28"/>
        </w:rPr>
        <w:t>供应商对除上述招标文件中的其他内容，采购过程及中标结果中（除资格审查）</w:t>
      </w:r>
      <w:r>
        <w:rPr>
          <w:rFonts w:hint="eastAsia" w:ascii="宋体" w:hAnsi="宋体"/>
          <w:color w:val="auto"/>
          <w:sz w:val="28"/>
          <w:szCs w:val="28"/>
        </w:rPr>
        <w:t>提出询问或质疑的，向</w:t>
      </w:r>
      <w:r>
        <w:rPr>
          <w:rFonts w:hint="eastAsia" w:ascii="宋体" w:hAnsi="宋体" w:cs="Arial"/>
          <w:color w:val="auto"/>
          <w:sz w:val="28"/>
          <w:szCs w:val="28"/>
          <w:lang w:eastAsia="zh-CN"/>
        </w:rPr>
        <w:t>成都东部新区党工委管委会（成都市东部新城办）综合部</w:t>
      </w:r>
      <w:r>
        <w:rPr>
          <w:rFonts w:hint="eastAsia" w:ascii="宋体" w:hAnsi="宋体"/>
          <w:color w:val="auto"/>
          <w:sz w:val="28"/>
          <w:szCs w:val="28"/>
        </w:rPr>
        <w:t>提出。</w:t>
      </w:r>
    </w:p>
    <w:p>
      <w:pPr>
        <w:numPr>
          <w:ilvl w:val="0"/>
          <w:numId w:val="31"/>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供应商提出的询问，应当明确询问事项，如以书面形式提出的，应由供应商签字并加盖公章。</w:t>
      </w:r>
    </w:p>
    <w:p>
      <w:pPr>
        <w:numPr>
          <w:ilvl w:val="0"/>
          <w:numId w:val="31"/>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供应商应在法定质疑期内一次性提出针对同一采购程序环节的质疑。</w:t>
      </w:r>
    </w:p>
    <w:p>
      <w:pPr>
        <w:numPr>
          <w:ilvl w:val="0"/>
          <w:numId w:val="31"/>
        </w:numPr>
        <w:tabs>
          <w:tab w:val="left" w:pos="1134"/>
        </w:tabs>
        <w:spacing w:after="120" w:line="500" w:lineRule="exact"/>
        <w:ind w:left="0" w:firstLine="567"/>
        <w:rPr>
          <w:rFonts w:ascii="宋体" w:hAnsi="宋体"/>
          <w:color w:val="auto"/>
          <w:sz w:val="28"/>
          <w:szCs w:val="28"/>
        </w:rPr>
      </w:pPr>
      <w:r>
        <w:rPr>
          <w:rFonts w:hint="eastAsia" w:ascii="宋体" w:hAnsi="宋体"/>
          <w:color w:val="auto"/>
          <w:sz w:val="28"/>
          <w:szCs w:val="28"/>
        </w:rPr>
        <w:t>供应商可通过“政府采购云平台”，或现场等方式向采购人或</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提交质疑资料。</w:t>
      </w:r>
    </w:p>
    <w:p>
      <w:pPr>
        <w:numPr>
          <w:ilvl w:val="0"/>
          <w:numId w:val="31"/>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供应商提出质疑时应当准备的资料</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（一）质疑书正本1份；</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（二）法定代表人或主要负责人授权委托书1份（委托代理人办理质疑事宜的需提供）；</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（三）法定代表人或主要负责人身份证复印件1份；</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（四）委托代理人身份证复印件1份（委托代理人办理质疑事宜的需提供）；</w:t>
      </w:r>
    </w:p>
    <w:p>
      <w:pPr>
        <w:pStyle w:val="38"/>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（五）针对质疑事项必要的证明材料。</w:t>
      </w:r>
    </w:p>
    <w:p>
      <w:pPr>
        <w:numPr>
          <w:ilvl w:val="0"/>
          <w:numId w:val="31"/>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供应商对采购人或</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的质疑答复不满意，或者采购人或</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未在规定期限内作出答复的，供应商可以在答复期满后15个工作日内向同级财政部门提起投诉。</w:t>
      </w: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keepNext/>
        <w:keepLines/>
        <w:numPr>
          <w:ilvl w:val="0"/>
          <w:numId w:val="6"/>
        </w:numPr>
        <w:spacing w:before="340" w:after="330" w:line="400" w:lineRule="exact"/>
        <w:ind w:left="567"/>
        <w:jc w:val="center"/>
        <w:outlineLvl w:val="0"/>
        <w:rPr>
          <w:rFonts w:ascii="宋体" w:hAnsi="宋体"/>
          <w:b/>
          <w:bCs/>
          <w:color w:val="auto"/>
          <w:spacing w:val="-20"/>
          <w:kern w:val="44"/>
          <w:sz w:val="32"/>
          <w:szCs w:val="32"/>
        </w:rPr>
      </w:pPr>
      <w:bookmarkStart w:id="124" w:name="_Toc315871045"/>
      <w:bookmarkEnd w:id="124"/>
      <w:bookmarkStart w:id="125" w:name="_Toc316292049"/>
      <w:bookmarkEnd w:id="125"/>
      <w:bookmarkStart w:id="126" w:name="_Toc316292052"/>
      <w:bookmarkEnd w:id="126"/>
      <w:bookmarkStart w:id="127" w:name="_Toc316292051"/>
      <w:bookmarkEnd w:id="127"/>
      <w:bookmarkStart w:id="128" w:name="_Toc315871049"/>
      <w:bookmarkEnd w:id="128"/>
      <w:bookmarkStart w:id="129" w:name="_Toc316292050"/>
      <w:bookmarkEnd w:id="129"/>
      <w:bookmarkStart w:id="130" w:name="_Toc316292048"/>
      <w:bookmarkEnd w:id="130"/>
      <w:bookmarkStart w:id="131" w:name="_Toc315871048"/>
      <w:bookmarkEnd w:id="131"/>
      <w:bookmarkStart w:id="132" w:name="_Toc315871050"/>
      <w:bookmarkEnd w:id="132"/>
      <w:bookmarkStart w:id="133" w:name="_Toc315871047"/>
      <w:bookmarkEnd w:id="133"/>
      <w:bookmarkStart w:id="134" w:name="_Toc315871046"/>
      <w:bookmarkEnd w:id="134"/>
      <w:bookmarkStart w:id="135" w:name="_Toc11720"/>
      <w:bookmarkStart w:id="136" w:name="_Toc86665551"/>
      <w:bookmarkStart w:id="137" w:name="_Toc7343"/>
      <w:bookmarkStart w:id="138" w:name="_Toc25872"/>
      <w:r>
        <w:rPr>
          <w:rFonts w:hint="eastAsia" w:ascii="宋体" w:hAnsi="宋体"/>
          <w:b/>
          <w:bCs/>
          <w:color w:val="auto"/>
          <w:spacing w:val="-20"/>
          <w:kern w:val="44"/>
          <w:sz w:val="32"/>
          <w:szCs w:val="32"/>
        </w:rPr>
        <w:t>投标文件格式</w:t>
      </w:r>
      <w:bookmarkEnd w:id="135"/>
      <w:bookmarkEnd w:id="136"/>
      <w:bookmarkEnd w:id="137"/>
      <w:bookmarkEnd w:id="138"/>
    </w:p>
    <w:p>
      <w:pPr>
        <w:keepNext/>
        <w:keepLines/>
        <w:numPr>
          <w:ilvl w:val="1"/>
          <w:numId w:val="6"/>
        </w:numPr>
        <w:spacing w:before="260" w:after="260" w:line="360" w:lineRule="auto"/>
        <w:jc w:val="left"/>
        <w:outlineLvl w:val="1"/>
        <w:rPr>
          <w:rFonts w:ascii="宋体" w:hAnsi="宋体"/>
          <w:b/>
          <w:bCs/>
          <w:color w:val="auto"/>
          <w:sz w:val="28"/>
          <w:szCs w:val="28"/>
        </w:rPr>
      </w:pPr>
      <w:bookmarkStart w:id="139" w:name="_Toc7207"/>
      <w:bookmarkStart w:id="140" w:name="_Toc86665552"/>
      <w:bookmarkStart w:id="141" w:name="_Toc19004"/>
      <w:bookmarkStart w:id="142" w:name="_Toc30333"/>
      <w:r>
        <w:rPr>
          <w:rFonts w:hint="eastAsia" w:ascii="宋体" w:hAnsi="宋体"/>
          <w:b/>
          <w:bCs/>
          <w:color w:val="auto"/>
          <w:sz w:val="28"/>
          <w:szCs w:val="28"/>
        </w:rPr>
        <w:t>投标文件封面格式</w:t>
      </w:r>
      <w:bookmarkEnd w:id="139"/>
      <w:bookmarkEnd w:id="140"/>
      <w:bookmarkEnd w:id="141"/>
      <w:bookmarkEnd w:id="142"/>
    </w:p>
    <w:p>
      <w:pPr>
        <w:spacing w:line="360" w:lineRule="auto"/>
        <w:rPr>
          <w:rFonts w:ascii="宋体" w:hAnsi="宋体"/>
          <w:bCs/>
          <w:color w:val="auto"/>
          <w:szCs w:val="21"/>
        </w:rPr>
      </w:pPr>
    </w:p>
    <w:p>
      <w:pPr>
        <w:spacing w:line="360" w:lineRule="auto"/>
        <w:rPr>
          <w:rFonts w:ascii="宋体" w:hAnsi="宋体"/>
          <w:bCs/>
          <w:color w:val="auto"/>
          <w:szCs w:val="21"/>
        </w:rPr>
      </w:pPr>
    </w:p>
    <w:p>
      <w:pPr>
        <w:spacing w:line="360" w:lineRule="auto"/>
        <w:jc w:val="right"/>
        <w:rPr>
          <w:rFonts w:ascii="宋体" w:hAnsi="宋体"/>
          <w:color w:val="auto"/>
        </w:rPr>
      </w:pPr>
    </w:p>
    <w:p>
      <w:pPr>
        <w:spacing w:line="360" w:lineRule="auto"/>
        <w:jc w:val="center"/>
        <w:rPr>
          <w:rFonts w:ascii="宋体" w:hAnsi="宋体"/>
          <w:color w:val="auto"/>
          <w:spacing w:val="78"/>
          <w:sz w:val="96"/>
          <w:szCs w:val="120"/>
        </w:rPr>
      </w:pPr>
      <w:r>
        <w:rPr>
          <w:rFonts w:hint="eastAsia" w:ascii="宋体" w:hAnsi="宋体"/>
          <w:color w:val="auto"/>
          <w:spacing w:val="78"/>
          <w:sz w:val="96"/>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spacing w:line="360" w:lineRule="auto"/>
        <w:ind w:left="1751" w:hanging="1751" w:hangingChars="545"/>
        <w:rPr>
          <w:rFonts w:hint="eastAsia" w:ascii="宋体" w:hAnsi="宋体" w:eastAsia="宋体"/>
          <w:b/>
          <w:bCs/>
          <w:color w:val="auto"/>
          <w:sz w:val="32"/>
          <w:szCs w:val="32"/>
          <w:lang w:eastAsia="zh-CN"/>
        </w:rPr>
      </w:pPr>
      <w:r>
        <w:rPr>
          <w:rFonts w:hint="eastAsia" w:ascii="宋体" w:hAnsi="宋体"/>
          <w:b/>
          <w:bCs/>
          <w:color w:val="auto"/>
          <w:sz w:val="32"/>
          <w:szCs w:val="32"/>
        </w:rPr>
        <w:t>项目名称：</w:t>
      </w:r>
      <w:r>
        <w:rPr>
          <w:rFonts w:hint="eastAsia" w:ascii="宋体" w:hAnsi="宋体"/>
          <w:b/>
          <w:bCs/>
          <w:color w:val="auto"/>
          <w:sz w:val="32"/>
          <w:szCs w:val="32"/>
          <w:lang w:eastAsia="zh-CN"/>
        </w:rPr>
        <w:t>成都东部新区便民服务中心标准化建设家具采购项目</w:t>
      </w:r>
    </w:p>
    <w:p>
      <w:pPr>
        <w:spacing w:line="360" w:lineRule="auto"/>
        <w:rPr>
          <w:rFonts w:hint="eastAsia" w:ascii="宋体" w:hAnsi="宋体" w:eastAsia="宋体"/>
          <w:b/>
          <w:color w:val="auto"/>
          <w:sz w:val="32"/>
          <w:szCs w:val="32"/>
          <w:u w:val="single"/>
          <w:lang w:eastAsia="zh-CN"/>
        </w:rPr>
      </w:pPr>
      <w:r>
        <w:rPr>
          <w:rFonts w:hint="eastAsia" w:ascii="宋体" w:hAnsi="宋体"/>
          <w:b/>
          <w:bCs/>
          <w:color w:val="auto"/>
          <w:sz w:val="32"/>
          <w:szCs w:val="32"/>
        </w:rPr>
        <w:t>项目编号：</w:t>
      </w:r>
      <w:r>
        <w:rPr>
          <w:rFonts w:hint="eastAsia" w:ascii="宋体" w:hAnsi="宋体"/>
          <w:b/>
          <w:bCs/>
          <w:color w:val="auto"/>
          <w:sz w:val="32"/>
          <w:szCs w:val="32"/>
          <w:lang w:eastAsia="zh-CN"/>
        </w:rPr>
        <w:t>东部新区政采（2021）A0064号</w:t>
      </w: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ind w:firstLine="630" w:firstLineChars="196"/>
        <w:rPr>
          <w:rFonts w:ascii="宋体" w:hAnsi="宋体"/>
          <w:b/>
          <w:bCs/>
          <w:color w:val="auto"/>
          <w:sz w:val="32"/>
          <w:szCs w:val="32"/>
        </w:rPr>
      </w:pPr>
      <w:r>
        <w:rPr>
          <w:rFonts w:hint="eastAsia" w:ascii="宋体" w:hAnsi="宋体"/>
          <w:b/>
          <w:bCs/>
          <w:color w:val="auto"/>
          <w:sz w:val="32"/>
          <w:szCs w:val="32"/>
        </w:rPr>
        <w:t>投标人名称：XXXX</w:t>
      </w: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期：202X年XX月XX日</w:t>
      </w: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keepNext/>
        <w:keepLines/>
        <w:numPr>
          <w:ilvl w:val="1"/>
          <w:numId w:val="6"/>
        </w:numPr>
        <w:spacing w:before="260" w:after="260" w:line="360" w:lineRule="auto"/>
        <w:jc w:val="left"/>
        <w:outlineLvl w:val="1"/>
        <w:rPr>
          <w:rFonts w:ascii="宋体" w:hAnsi="宋体"/>
          <w:b/>
          <w:bCs/>
          <w:color w:val="auto"/>
          <w:sz w:val="28"/>
          <w:szCs w:val="28"/>
        </w:rPr>
      </w:pPr>
      <w:bookmarkStart w:id="143" w:name="_Toc509"/>
      <w:bookmarkStart w:id="144" w:name="_Toc10901"/>
      <w:bookmarkStart w:id="145" w:name="_Toc86665553"/>
      <w:bookmarkStart w:id="146" w:name="_Toc6500"/>
      <w:r>
        <w:rPr>
          <w:rFonts w:hint="eastAsia" w:ascii="宋体" w:hAnsi="宋体"/>
          <w:b/>
          <w:bCs/>
          <w:color w:val="auto"/>
          <w:sz w:val="28"/>
          <w:szCs w:val="28"/>
        </w:rPr>
        <w:t>资格响应文件</w:t>
      </w:r>
      <w:bookmarkEnd w:id="143"/>
      <w:bookmarkEnd w:id="144"/>
      <w:bookmarkEnd w:id="145"/>
      <w:bookmarkEnd w:id="146"/>
    </w:p>
    <w:p>
      <w:pPr>
        <w:keepNext/>
        <w:keepLines/>
        <w:numPr>
          <w:ilvl w:val="2"/>
          <w:numId w:val="6"/>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关于投标人申明的函</w:t>
      </w:r>
    </w:p>
    <w:p>
      <w:pPr>
        <w:spacing w:line="360" w:lineRule="auto"/>
        <w:rPr>
          <w:rFonts w:hint="eastAsia" w:ascii="宋体" w:hAnsi="宋体" w:eastAsia="宋体"/>
          <w:color w:val="auto"/>
          <w:sz w:val="28"/>
          <w:szCs w:val="28"/>
          <w:lang w:eastAsia="zh-CN"/>
        </w:rPr>
      </w:pPr>
      <w:bookmarkStart w:id="147" w:name="_Toc238581782"/>
      <w:bookmarkStart w:id="148" w:name="_Toc119203988"/>
      <w:bookmarkStart w:id="149" w:name="_Toc119295087"/>
      <w:bookmarkStart w:id="150" w:name="_Toc146903609"/>
      <w:bookmarkStart w:id="151" w:name="_Toc119296788"/>
      <w:bookmarkStart w:id="152" w:name="_Toc52184753"/>
      <w:r>
        <w:rPr>
          <w:rFonts w:hint="eastAsia" w:ascii="宋体" w:hAnsi="宋体"/>
          <w:color w:val="auto"/>
          <w:sz w:val="28"/>
          <w:szCs w:val="28"/>
        </w:rPr>
        <w:t>致：</w:t>
      </w:r>
      <w:bookmarkEnd w:id="147"/>
      <w:r>
        <w:rPr>
          <w:rFonts w:hint="eastAsia" w:ascii="宋体" w:hAnsi="宋体"/>
          <w:color w:val="auto"/>
          <w:sz w:val="28"/>
          <w:szCs w:val="28"/>
          <w:lang w:eastAsia="zh-CN"/>
        </w:rPr>
        <w:t>成都东部新区党工委管委会（成都市东部新城办）综合部</w:t>
      </w:r>
    </w:p>
    <w:p>
      <w:pPr>
        <w:spacing w:line="360" w:lineRule="auto"/>
        <w:ind w:firstLine="565" w:firstLineChars="202"/>
        <w:rPr>
          <w:rFonts w:ascii="宋体" w:hAnsi="宋体"/>
          <w:color w:val="auto"/>
          <w:sz w:val="28"/>
          <w:szCs w:val="28"/>
        </w:rPr>
      </w:pPr>
      <w:bookmarkStart w:id="153" w:name="_Toc238581783"/>
      <w:r>
        <w:rPr>
          <w:rFonts w:hint="eastAsia" w:ascii="宋体" w:hAnsi="宋体"/>
          <w:color w:val="auto"/>
          <w:sz w:val="28"/>
          <w:szCs w:val="28"/>
        </w:rPr>
        <w:t>关于我方对</w:t>
      </w:r>
      <w:r>
        <w:rPr>
          <w:rFonts w:hint="eastAsia" w:ascii="宋体" w:hAnsi="宋体"/>
          <w:b/>
          <w:color w:val="auto"/>
          <w:sz w:val="28"/>
          <w:szCs w:val="28"/>
          <w:u w:val="single"/>
          <w:lang w:eastAsia="zh-CN"/>
        </w:rPr>
        <w:t>成都东部新区便民服务中心标准化建设家具采购项目</w:t>
      </w:r>
      <w:r>
        <w:rPr>
          <w:rFonts w:hint="eastAsia" w:ascii="宋体" w:hAnsi="宋体"/>
          <w:b/>
          <w:color w:val="auto"/>
          <w:sz w:val="28"/>
          <w:szCs w:val="28"/>
          <w:u w:val="single"/>
        </w:rPr>
        <w:t>（项目编号：</w:t>
      </w:r>
      <w:r>
        <w:rPr>
          <w:rFonts w:hint="eastAsia" w:ascii="宋体" w:hAnsi="宋体"/>
          <w:b/>
          <w:color w:val="auto"/>
          <w:sz w:val="28"/>
          <w:szCs w:val="28"/>
          <w:u w:val="single"/>
          <w:lang w:eastAsia="zh-CN"/>
        </w:rPr>
        <w:t>东部新区政采（2021）A0064号</w:t>
      </w:r>
      <w:r>
        <w:rPr>
          <w:rFonts w:hint="eastAsia" w:ascii="宋体" w:hAnsi="宋体"/>
          <w:b/>
          <w:color w:val="auto"/>
          <w:sz w:val="28"/>
          <w:szCs w:val="28"/>
          <w:u w:val="single"/>
        </w:rPr>
        <w:t>）</w:t>
      </w:r>
      <w:r>
        <w:rPr>
          <w:rFonts w:hint="eastAsia" w:ascii="宋体" w:hAnsi="宋体"/>
          <w:color w:val="auto"/>
          <w:sz w:val="28"/>
          <w:szCs w:val="28"/>
        </w:rPr>
        <w:t>的公开招标，提交的下列文件和说明是准确的和真实的。</w:t>
      </w:r>
      <w:bookmarkEnd w:id="153"/>
    </w:p>
    <w:p>
      <w:pPr>
        <w:widowControl/>
        <w:numPr>
          <w:ilvl w:val="2"/>
          <w:numId w:val="33"/>
        </w:numPr>
        <w:spacing w:line="360" w:lineRule="auto"/>
        <w:ind w:left="0" w:firstLine="560" w:firstLineChars="200"/>
        <w:rPr>
          <w:rFonts w:ascii="宋体" w:hAnsi="宋体"/>
          <w:color w:val="auto"/>
          <w:sz w:val="28"/>
          <w:szCs w:val="28"/>
        </w:rPr>
      </w:pPr>
      <w:bookmarkStart w:id="154" w:name="_Toc238581784"/>
      <w:r>
        <w:rPr>
          <w:rFonts w:hint="eastAsia" w:ascii="宋体" w:hAnsi="宋体"/>
          <w:color w:val="auto"/>
          <w:sz w:val="28"/>
          <w:szCs w:val="28"/>
        </w:rPr>
        <w:t>投标人名称及概况：</w:t>
      </w:r>
      <w:bookmarkEnd w:id="148"/>
      <w:bookmarkEnd w:id="149"/>
      <w:bookmarkEnd w:id="150"/>
      <w:bookmarkEnd w:id="151"/>
      <w:bookmarkEnd w:id="152"/>
      <w:bookmarkEnd w:id="154"/>
    </w:p>
    <w:p>
      <w:pPr>
        <w:widowControl/>
        <w:numPr>
          <w:ilvl w:val="0"/>
          <w:numId w:val="34"/>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投标人名称：XXXX</w:t>
      </w:r>
    </w:p>
    <w:p>
      <w:pPr>
        <w:widowControl/>
        <w:numPr>
          <w:ilvl w:val="0"/>
          <w:numId w:val="34"/>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地址：XXXX           邮编：XXXX</w:t>
      </w:r>
    </w:p>
    <w:p>
      <w:pPr>
        <w:spacing w:line="360" w:lineRule="auto"/>
        <w:ind w:firstLine="700" w:firstLineChars="250"/>
        <w:rPr>
          <w:rFonts w:ascii="宋体" w:hAnsi="宋体"/>
          <w:color w:val="auto"/>
          <w:sz w:val="28"/>
          <w:szCs w:val="28"/>
          <w:u w:val="single"/>
        </w:rPr>
      </w:pPr>
      <w:r>
        <w:rPr>
          <w:rFonts w:hint="eastAsia" w:ascii="宋体" w:hAnsi="宋体"/>
          <w:color w:val="auto"/>
          <w:sz w:val="28"/>
          <w:szCs w:val="28"/>
        </w:rPr>
        <w:t>传真/电话：XXXX</w:t>
      </w:r>
    </w:p>
    <w:p>
      <w:pPr>
        <w:widowControl/>
        <w:numPr>
          <w:ilvl w:val="0"/>
          <w:numId w:val="34"/>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成立日期或注册日期：XXXX</w:t>
      </w:r>
    </w:p>
    <w:p>
      <w:pPr>
        <w:widowControl/>
        <w:numPr>
          <w:ilvl w:val="0"/>
          <w:numId w:val="34"/>
        </w:numPr>
        <w:spacing w:line="360" w:lineRule="auto"/>
        <w:ind w:left="0" w:firstLine="560" w:firstLineChars="200"/>
        <w:jc w:val="left"/>
        <w:rPr>
          <w:rFonts w:ascii="宋体" w:hAnsi="宋体"/>
          <w:color w:val="auto"/>
          <w:sz w:val="28"/>
          <w:szCs w:val="28"/>
          <w:u w:val="single"/>
        </w:rPr>
      </w:pPr>
      <w:r>
        <w:rPr>
          <w:rFonts w:hint="eastAsia" w:ascii="宋体" w:hAnsi="宋体"/>
          <w:color w:val="auto"/>
          <w:sz w:val="28"/>
          <w:szCs w:val="28"/>
        </w:rPr>
        <w:t>法定代表人或主要负责人姓名：XXXX</w:t>
      </w:r>
    </w:p>
    <w:p>
      <w:pPr>
        <w:widowControl/>
        <w:numPr>
          <w:ilvl w:val="2"/>
          <w:numId w:val="33"/>
        </w:numPr>
        <w:tabs>
          <w:tab w:val="left" w:pos="1276"/>
        </w:tabs>
        <w:spacing w:line="360" w:lineRule="auto"/>
        <w:ind w:left="0" w:firstLine="567"/>
        <w:rPr>
          <w:rFonts w:ascii="宋体" w:hAnsi="宋体"/>
          <w:color w:val="auto"/>
          <w:sz w:val="28"/>
          <w:szCs w:val="28"/>
        </w:rPr>
      </w:pPr>
      <w:r>
        <w:rPr>
          <w:rFonts w:hint="eastAsia" w:ascii="宋体" w:hAnsi="宋体"/>
          <w:color w:val="auto"/>
          <w:sz w:val="28"/>
          <w:szCs w:val="28"/>
        </w:rPr>
        <w:t>开户银行名称：XXXX</w:t>
      </w:r>
    </w:p>
    <w:p>
      <w:pPr>
        <w:spacing w:line="360" w:lineRule="auto"/>
        <w:ind w:firstLine="1260" w:firstLineChars="450"/>
        <w:rPr>
          <w:rFonts w:ascii="宋体" w:hAnsi="宋体"/>
          <w:color w:val="auto"/>
          <w:sz w:val="28"/>
          <w:szCs w:val="28"/>
          <w:u w:val="single"/>
        </w:rPr>
      </w:pPr>
      <w:r>
        <w:rPr>
          <w:rFonts w:hint="eastAsia" w:ascii="宋体" w:hAnsi="宋体"/>
          <w:color w:val="auto"/>
          <w:sz w:val="28"/>
          <w:szCs w:val="28"/>
        </w:rPr>
        <w:t>地址：XXXX</w:t>
      </w:r>
    </w:p>
    <w:p>
      <w:pPr>
        <w:spacing w:line="360" w:lineRule="auto"/>
        <w:ind w:firstLine="1260" w:firstLineChars="450"/>
        <w:rPr>
          <w:rFonts w:ascii="宋体" w:hAnsi="宋体"/>
          <w:color w:val="auto"/>
          <w:sz w:val="28"/>
          <w:szCs w:val="28"/>
        </w:rPr>
      </w:pPr>
      <w:r>
        <w:rPr>
          <w:rFonts w:hint="eastAsia" w:ascii="宋体" w:hAnsi="宋体"/>
          <w:color w:val="auto"/>
          <w:sz w:val="28"/>
          <w:szCs w:val="28"/>
        </w:rPr>
        <w:t>账号：XXXX</w:t>
      </w: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spacing w:line="360" w:lineRule="auto"/>
        <w:ind w:left="283" w:leftChars="135" w:firstLine="280" w:firstLineChars="100"/>
        <w:rPr>
          <w:rFonts w:ascii="宋体" w:hAnsi="宋体"/>
          <w:color w:val="auto"/>
          <w:sz w:val="28"/>
          <w:szCs w:val="28"/>
          <w:u w:val="single"/>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声明</w:t>
      </w:r>
    </w:p>
    <w:p>
      <w:pPr>
        <w:tabs>
          <w:tab w:val="left" w:pos="1260"/>
        </w:tabs>
        <w:spacing w:line="560" w:lineRule="exact"/>
        <w:ind w:firstLine="560" w:firstLineChars="200"/>
        <w:rPr>
          <w:rFonts w:hint="eastAsia" w:ascii="宋体" w:hAnsi="宋体" w:eastAsia="宋体"/>
          <w:color w:val="auto"/>
          <w:sz w:val="28"/>
          <w:szCs w:val="28"/>
          <w:lang w:eastAsia="zh-CN"/>
        </w:rPr>
      </w:pPr>
      <w:r>
        <w:rPr>
          <w:rFonts w:hint="eastAsia" w:ascii="宋体" w:hAnsi="宋体"/>
          <w:color w:val="auto"/>
          <w:sz w:val="28"/>
          <w:szCs w:val="28"/>
        </w:rPr>
        <w:t>致：</w:t>
      </w:r>
      <w:r>
        <w:rPr>
          <w:rFonts w:hint="eastAsia" w:ascii="宋体" w:hAnsi="宋体"/>
          <w:color w:val="auto"/>
          <w:sz w:val="28"/>
          <w:szCs w:val="28"/>
          <w:lang w:eastAsia="zh-CN"/>
        </w:rPr>
        <w:t>成都东部新区党工委管委会（成都市东部新城办）综合部</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我单位作为</w:t>
      </w:r>
      <w:r>
        <w:rPr>
          <w:rFonts w:hint="eastAsia" w:ascii="宋体" w:hAnsi="宋体"/>
          <w:b/>
          <w:color w:val="auto"/>
          <w:sz w:val="28"/>
          <w:szCs w:val="28"/>
          <w:u w:val="single"/>
          <w:lang w:eastAsia="zh-CN"/>
        </w:rPr>
        <w:t>成都东部新区便民服务中心标准化建设家具采购项目</w:t>
      </w:r>
      <w:r>
        <w:rPr>
          <w:rFonts w:hint="eastAsia" w:ascii="宋体" w:hAnsi="宋体"/>
          <w:b/>
          <w:color w:val="auto"/>
          <w:sz w:val="28"/>
          <w:szCs w:val="28"/>
          <w:u w:val="single"/>
        </w:rPr>
        <w:t>（项目编号：</w:t>
      </w:r>
      <w:r>
        <w:rPr>
          <w:rFonts w:hint="eastAsia" w:ascii="宋体" w:hAnsi="宋体"/>
          <w:b/>
          <w:color w:val="auto"/>
          <w:sz w:val="28"/>
          <w:szCs w:val="28"/>
          <w:u w:val="single"/>
          <w:lang w:eastAsia="zh-CN"/>
        </w:rPr>
        <w:t>东部新区政采（2021）A0064号</w:t>
      </w:r>
      <w:r>
        <w:rPr>
          <w:rFonts w:hint="eastAsia" w:ascii="宋体" w:hAnsi="宋体"/>
          <w:b/>
          <w:color w:val="auto"/>
          <w:sz w:val="28"/>
          <w:szCs w:val="28"/>
          <w:u w:val="single"/>
        </w:rPr>
        <w:t>）</w:t>
      </w:r>
      <w:r>
        <w:rPr>
          <w:rFonts w:hint="eastAsia" w:ascii="宋体" w:hAnsi="宋体"/>
          <w:color w:val="auto"/>
          <w:sz w:val="28"/>
          <w:szCs w:val="28"/>
        </w:rPr>
        <w:t>的投标人，在此郑重声明：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三、与我单位负责人为同一人或者存在直接控股、管理关系的不同供应商：</w:t>
      </w:r>
      <w:r>
        <w:rPr>
          <w:rFonts w:hint="eastAsia" w:ascii="宋体" w:hAnsi="宋体"/>
          <w:b/>
          <w:color w:val="auto"/>
          <w:sz w:val="28"/>
          <w:szCs w:val="28"/>
          <w:u w:val="single"/>
        </w:rPr>
        <w:t>（说明：填写“无”或“（一）供应商名称１；（二）供应商名称２；（三）……”）</w:t>
      </w:r>
      <w:r>
        <w:rPr>
          <w:rFonts w:hint="eastAsia" w:ascii="宋体" w:hAnsi="宋体"/>
          <w:b/>
          <w:color w:val="auto"/>
          <w:sz w:val="28"/>
          <w:szCs w:val="28"/>
        </w:rPr>
        <w:t xml:space="preserve"> </w:t>
      </w:r>
      <w:r>
        <w:rPr>
          <w:rFonts w:hint="eastAsia" w:ascii="宋体" w:hAnsi="宋体"/>
          <w:color w:val="auto"/>
          <w:sz w:val="28"/>
          <w:szCs w:val="28"/>
        </w:rPr>
        <w:t>。</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bCs/>
          <w:color w:val="auto"/>
          <w:sz w:val="28"/>
          <w:szCs w:val="28"/>
        </w:rPr>
      </w:pPr>
      <w:r>
        <w:rPr>
          <w:rFonts w:hint="eastAsia" w:ascii="宋体" w:hAnsi="宋体"/>
          <w:color w:val="auto"/>
          <w:sz w:val="28"/>
          <w:szCs w:val="28"/>
        </w:rPr>
        <w:t>六、我单位</w:t>
      </w:r>
      <w:r>
        <w:rPr>
          <w:rFonts w:hint="eastAsia" w:ascii="宋体" w:hAnsi="宋体"/>
          <w:b/>
          <w:color w:val="auto"/>
          <w:sz w:val="28"/>
          <w:szCs w:val="28"/>
          <w:u w:val="single"/>
        </w:rPr>
        <w:t>（说明：填写“未处于”或“处于”）</w:t>
      </w:r>
      <w:r>
        <w:rPr>
          <w:rFonts w:hint="eastAsia" w:ascii="宋体" w:hAnsi="宋体"/>
          <w:bCs/>
          <w:color w:val="auto"/>
          <w:sz w:val="28"/>
          <w:szCs w:val="28"/>
        </w:rPr>
        <w:t>被行政部门禁止参与政府采购活动的期限内。</w:t>
      </w:r>
    </w:p>
    <w:p>
      <w:pPr>
        <w:tabs>
          <w:tab w:val="left" w:pos="1260"/>
        </w:tabs>
        <w:spacing w:line="360" w:lineRule="auto"/>
        <w:ind w:firstLine="560" w:firstLineChars="200"/>
        <w:rPr>
          <w:rFonts w:ascii="宋体" w:hAnsi="宋体"/>
          <w:color w:val="auto"/>
          <w:sz w:val="28"/>
        </w:rPr>
      </w:pPr>
      <w:r>
        <w:rPr>
          <w:rFonts w:hint="eastAsia" w:ascii="宋体" w:hAnsi="宋体"/>
          <w:color w:val="auto"/>
          <w:sz w:val="28"/>
        </w:rPr>
        <w:t>七</w:t>
      </w:r>
      <w:r>
        <w:rPr>
          <w:rFonts w:ascii="宋体" w:hAnsi="宋体"/>
          <w:color w:val="auto"/>
          <w:sz w:val="28"/>
        </w:rPr>
        <w:t>、</w:t>
      </w:r>
      <w:r>
        <w:rPr>
          <w:rFonts w:hint="eastAsia" w:ascii="宋体" w:hAnsi="宋体"/>
          <w:color w:val="auto"/>
          <w:sz w:val="28"/>
        </w:rPr>
        <w:t>我单位</w:t>
      </w:r>
      <w:r>
        <w:rPr>
          <w:rFonts w:hint="eastAsia" w:ascii="宋体" w:hAnsi="宋体"/>
          <w:b/>
          <w:color w:val="auto"/>
          <w:sz w:val="28"/>
          <w:u w:val="single"/>
        </w:rPr>
        <w:t>（说明：填写“具有”或“不具有”）</w:t>
      </w:r>
      <w:r>
        <w:rPr>
          <w:rFonts w:hint="eastAsia" w:ascii="宋体" w:hAnsi="宋体"/>
          <w:color w:val="auto"/>
          <w:sz w:val="28"/>
        </w:rPr>
        <w:t>健全的</w:t>
      </w:r>
      <w:r>
        <w:rPr>
          <w:rFonts w:ascii="宋体" w:hAnsi="宋体"/>
          <w:color w:val="auto"/>
          <w:sz w:val="28"/>
        </w:rPr>
        <w:t>财务会计制度</w:t>
      </w:r>
      <w:r>
        <w:rPr>
          <w:rFonts w:hint="eastAsia" w:ascii="宋体" w:hAnsi="宋体"/>
          <w:color w:val="auto"/>
          <w:sz w:val="28"/>
        </w:rPr>
        <w:t>。</w:t>
      </w:r>
    </w:p>
    <w:p>
      <w:pPr>
        <w:pStyle w:val="2"/>
        <w:ind w:firstLine="560" w:firstLineChars="200"/>
        <w:rPr>
          <w:rFonts w:ascii="宋体" w:hAnsi="宋体"/>
          <w:bCs/>
          <w:color w:val="auto"/>
          <w:sz w:val="28"/>
          <w:szCs w:val="28"/>
        </w:rPr>
      </w:pPr>
      <w:r>
        <w:rPr>
          <w:rFonts w:hint="eastAsia" w:ascii="宋体" w:hAnsi="宋体"/>
          <w:bCs/>
          <w:color w:val="auto"/>
          <w:sz w:val="28"/>
          <w:szCs w:val="28"/>
        </w:rPr>
        <w:t>八</w:t>
      </w:r>
      <w:r>
        <w:rPr>
          <w:rFonts w:ascii="宋体" w:hAnsi="宋体"/>
          <w:bCs/>
          <w:color w:val="auto"/>
          <w:sz w:val="28"/>
          <w:szCs w:val="28"/>
        </w:rPr>
        <w:t>、</w:t>
      </w:r>
      <w:r>
        <w:rPr>
          <w:rFonts w:hint="eastAsia" w:ascii="宋体" w:hAnsi="宋体"/>
          <w:bCs/>
          <w:color w:val="auto"/>
          <w:sz w:val="28"/>
          <w:szCs w:val="28"/>
        </w:rPr>
        <w:t>我单位</w:t>
      </w:r>
      <w:r>
        <w:rPr>
          <w:rFonts w:hint="eastAsia" w:ascii="宋体" w:hAnsi="宋体"/>
          <w:b/>
          <w:bCs/>
          <w:color w:val="auto"/>
          <w:sz w:val="28"/>
          <w:szCs w:val="28"/>
          <w:u w:val="single"/>
        </w:rPr>
        <w:t>（说明：填写“有”或“无”）</w:t>
      </w:r>
      <w:r>
        <w:rPr>
          <w:rFonts w:hint="eastAsia" w:ascii="宋体" w:hAnsi="宋体"/>
          <w:bCs/>
          <w:color w:val="auto"/>
          <w:sz w:val="28"/>
          <w:szCs w:val="28"/>
        </w:rPr>
        <w:t>依法缴纳社会</w:t>
      </w:r>
      <w:r>
        <w:rPr>
          <w:rFonts w:ascii="宋体" w:hAnsi="宋体"/>
          <w:bCs/>
          <w:color w:val="auto"/>
          <w:sz w:val="28"/>
          <w:szCs w:val="28"/>
        </w:rPr>
        <w:t>保障资金的良好记录。</w:t>
      </w:r>
    </w:p>
    <w:p>
      <w:pPr>
        <w:pStyle w:val="2"/>
        <w:ind w:firstLine="420"/>
        <w:rPr>
          <w:color w:val="auto"/>
        </w:rPr>
      </w:pPr>
      <w:r>
        <w:rPr>
          <w:rFonts w:hint="eastAsia" w:ascii="宋体" w:hAnsi="宋体"/>
          <w:bCs/>
          <w:color w:val="auto"/>
          <w:sz w:val="28"/>
          <w:szCs w:val="28"/>
        </w:rPr>
        <w:t>九</w:t>
      </w:r>
      <w:r>
        <w:rPr>
          <w:rFonts w:ascii="宋体" w:hAnsi="宋体"/>
          <w:bCs/>
          <w:color w:val="auto"/>
          <w:sz w:val="28"/>
          <w:szCs w:val="28"/>
        </w:rPr>
        <w:t>、我单位</w:t>
      </w:r>
      <w:r>
        <w:rPr>
          <w:rFonts w:hint="eastAsia" w:ascii="宋体" w:hAnsi="宋体"/>
          <w:b/>
          <w:bCs/>
          <w:color w:val="auto"/>
          <w:sz w:val="28"/>
          <w:szCs w:val="28"/>
          <w:u w:val="single"/>
        </w:rPr>
        <w:t>（说明：填写“有”或“无”）</w:t>
      </w:r>
      <w:r>
        <w:rPr>
          <w:rFonts w:hint="eastAsia" w:ascii="宋体" w:hAnsi="宋体"/>
          <w:bCs/>
          <w:color w:val="auto"/>
          <w:sz w:val="28"/>
          <w:szCs w:val="28"/>
        </w:rPr>
        <w:t>依法缴纳税收</w:t>
      </w:r>
      <w:r>
        <w:rPr>
          <w:rFonts w:ascii="宋体" w:hAnsi="宋体"/>
          <w:bCs/>
          <w:color w:val="auto"/>
          <w:sz w:val="28"/>
          <w:szCs w:val="28"/>
        </w:rPr>
        <w:t>的良好记录。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特此声明。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tabs>
          <w:tab w:val="left" w:pos="1260"/>
        </w:tabs>
        <w:spacing w:line="560" w:lineRule="exact"/>
        <w:ind w:firstLine="560" w:firstLineChars="200"/>
        <w:rPr>
          <w:rFonts w:ascii="宋体" w:hAnsi="宋体"/>
          <w:color w:val="auto"/>
          <w:sz w:val="28"/>
          <w:szCs w:val="28"/>
          <w:u w:val="single"/>
        </w:rPr>
      </w:pPr>
      <w:r>
        <w:rPr>
          <w:rFonts w:hint="eastAsia" w:ascii="宋体" w:hAnsi="宋体"/>
          <w:color w:val="auto"/>
          <w:sz w:val="28"/>
          <w:szCs w:val="28"/>
        </w:rPr>
        <w:t>日    期：202</w:t>
      </w:r>
      <w:r>
        <w:rPr>
          <w:rFonts w:hint="eastAsia" w:ascii="宋体" w:hAnsi="宋体"/>
          <w:color w:val="auto"/>
          <w:sz w:val="28"/>
          <w:szCs w:val="28"/>
          <w:u w:val="single"/>
        </w:rPr>
        <w:t>X</w:t>
      </w:r>
      <w:r>
        <w:rPr>
          <w:rFonts w:hint="eastAsia" w:ascii="宋体" w:hAnsi="宋体"/>
          <w:color w:val="auto"/>
          <w:sz w:val="28"/>
          <w:szCs w:val="28"/>
        </w:rPr>
        <w:t>年</w:t>
      </w:r>
      <w:r>
        <w:rPr>
          <w:rFonts w:hint="eastAsia" w:ascii="宋体" w:hAnsi="宋体"/>
          <w:color w:val="auto"/>
          <w:sz w:val="28"/>
          <w:szCs w:val="28"/>
          <w:u w:val="single"/>
        </w:rPr>
        <w:t>XX</w:t>
      </w:r>
      <w:r>
        <w:rPr>
          <w:rFonts w:hint="eastAsia" w:ascii="宋体" w:hAnsi="宋体"/>
          <w:color w:val="auto"/>
          <w:sz w:val="28"/>
          <w:szCs w:val="28"/>
        </w:rPr>
        <w:t>月</w:t>
      </w:r>
      <w:r>
        <w:rPr>
          <w:rFonts w:hint="eastAsia" w:ascii="宋体" w:hAnsi="宋体"/>
          <w:color w:val="auto"/>
          <w:sz w:val="28"/>
          <w:szCs w:val="28"/>
          <w:u w:val="single"/>
        </w:rPr>
        <w:t>XX</w:t>
      </w:r>
      <w:r>
        <w:rPr>
          <w:rFonts w:hint="eastAsia" w:ascii="宋体" w:hAnsi="宋体"/>
          <w:color w:val="auto"/>
          <w:sz w:val="28"/>
          <w:szCs w:val="28"/>
        </w:rPr>
        <w:t>日</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说明：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2.</w:t>
      </w:r>
      <w:r>
        <w:rPr>
          <w:rFonts w:ascii="宋体" w:hAnsi="宋体"/>
          <w:color w:val="auto"/>
          <w:sz w:val="28"/>
          <w:szCs w:val="28"/>
        </w:rPr>
        <w:t xml:space="preserve"> </w:t>
      </w:r>
      <w:r>
        <w:rPr>
          <w:rFonts w:hint="eastAsia" w:ascii="宋体" w:hAnsi="宋体"/>
          <w:color w:val="auto"/>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color w:val="auto"/>
          <w:sz w:val="28"/>
          <w:szCs w:val="28"/>
        </w:rPr>
      </w:pPr>
      <w:r>
        <w:rPr>
          <w:rFonts w:hint="eastAsia" w:ascii="宋体" w:hAnsi="宋体"/>
          <w:color w:val="auto"/>
          <w:sz w:val="28"/>
          <w:szCs w:val="28"/>
        </w:rPr>
        <w:t>6.</w:t>
      </w:r>
      <w:r>
        <w:rPr>
          <w:rFonts w:ascii="宋体" w:hAnsi="宋体"/>
          <w:color w:val="auto"/>
          <w:sz w:val="28"/>
          <w:szCs w:val="28"/>
        </w:rPr>
        <w:t>对声明中第七条的说明：</w:t>
      </w:r>
      <w:r>
        <w:rPr>
          <w:rFonts w:hint="eastAsia" w:ascii="宋体" w:hAnsi="宋体"/>
          <w:color w:val="auto"/>
          <w:sz w:val="28"/>
          <w:szCs w:val="28"/>
        </w:rPr>
        <w:t>投标人</w:t>
      </w:r>
      <w:r>
        <w:rPr>
          <w:rFonts w:ascii="宋体" w:hAnsi="宋体"/>
          <w:color w:val="auto"/>
          <w:sz w:val="28"/>
          <w:szCs w:val="28"/>
        </w:rPr>
        <w:t>不具有健全的财务会计制度的，应填写“</w:t>
      </w:r>
      <w:r>
        <w:rPr>
          <w:rFonts w:hint="eastAsia" w:ascii="宋体" w:hAnsi="宋体"/>
          <w:color w:val="auto"/>
          <w:sz w:val="28"/>
          <w:szCs w:val="28"/>
        </w:rPr>
        <w:t>不具有</w:t>
      </w:r>
      <w:r>
        <w:rPr>
          <w:rFonts w:ascii="宋体" w:hAnsi="宋体"/>
          <w:color w:val="auto"/>
          <w:sz w:val="28"/>
          <w:szCs w:val="28"/>
        </w:rPr>
        <w:t>”</w:t>
      </w:r>
      <w:r>
        <w:rPr>
          <w:rFonts w:hint="eastAsia" w:ascii="宋体" w:hAnsi="宋体"/>
          <w:color w:val="auto"/>
          <w:sz w:val="28"/>
          <w:szCs w:val="28"/>
        </w:rPr>
        <w:t>，投标人投标文件将被认定为无效；</w:t>
      </w:r>
    </w:p>
    <w:p>
      <w:pPr>
        <w:spacing w:line="360" w:lineRule="auto"/>
        <w:ind w:firstLine="560" w:firstLineChars="200"/>
        <w:rPr>
          <w:rFonts w:ascii="宋体" w:hAnsi="宋体"/>
          <w:color w:val="auto"/>
          <w:sz w:val="28"/>
          <w:szCs w:val="28"/>
        </w:rPr>
      </w:pPr>
      <w:r>
        <w:rPr>
          <w:rFonts w:ascii="宋体" w:hAnsi="宋体"/>
          <w:color w:val="auto"/>
          <w:sz w:val="28"/>
          <w:szCs w:val="28"/>
        </w:rPr>
        <w:t>7</w:t>
      </w:r>
      <w:r>
        <w:rPr>
          <w:rFonts w:hint="eastAsia" w:ascii="宋体" w:hAnsi="宋体"/>
          <w:color w:val="auto"/>
          <w:sz w:val="28"/>
          <w:szCs w:val="28"/>
        </w:rPr>
        <w:t>.</w:t>
      </w:r>
      <w:r>
        <w:rPr>
          <w:rFonts w:ascii="宋体" w:hAnsi="宋体"/>
          <w:color w:val="auto"/>
          <w:sz w:val="28"/>
          <w:szCs w:val="28"/>
        </w:rPr>
        <w:t>对声明中第八条的说明：如</w:t>
      </w:r>
      <w:r>
        <w:rPr>
          <w:rFonts w:hint="eastAsia" w:ascii="宋体" w:hAnsi="宋体"/>
          <w:color w:val="auto"/>
          <w:sz w:val="28"/>
          <w:szCs w:val="28"/>
        </w:rPr>
        <w:t>投标人无依法缴纳社会</w:t>
      </w:r>
      <w:r>
        <w:rPr>
          <w:rFonts w:ascii="宋体" w:hAnsi="宋体"/>
          <w:color w:val="auto"/>
          <w:sz w:val="28"/>
          <w:szCs w:val="28"/>
        </w:rPr>
        <w:t>保障资金的良好记录</w:t>
      </w:r>
      <w:r>
        <w:rPr>
          <w:rFonts w:hint="eastAsia" w:ascii="宋体" w:hAnsi="宋体"/>
          <w:color w:val="auto"/>
          <w:sz w:val="28"/>
          <w:szCs w:val="28"/>
        </w:rPr>
        <w:t>的，</w:t>
      </w:r>
      <w:r>
        <w:rPr>
          <w:rFonts w:ascii="宋体" w:hAnsi="宋体"/>
          <w:color w:val="auto"/>
          <w:sz w:val="28"/>
          <w:szCs w:val="28"/>
        </w:rPr>
        <w:t>应填写“</w:t>
      </w:r>
      <w:r>
        <w:rPr>
          <w:rFonts w:hint="eastAsia" w:ascii="宋体" w:hAnsi="宋体"/>
          <w:color w:val="auto"/>
          <w:sz w:val="28"/>
          <w:szCs w:val="28"/>
        </w:rPr>
        <w:t>无</w:t>
      </w:r>
      <w:r>
        <w:rPr>
          <w:rFonts w:ascii="宋体" w:hAnsi="宋体"/>
          <w:color w:val="auto"/>
          <w:sz w:val="28"/>
          <w:szCs w:val="28"/>
        </w:rPr>
        <w:t>”</w:t>
      </w:r>
      <w:r>
        <w:rPr>
          <w:rFonts w:hint="eastAsia" w:ascii="宋体" w:hAnsi="宋体"/>
          <w:color w:val="auto"/>
          <w:sz w:val="28"/>
          <w:szCs w:val="28"/>
        </w:rPr>
        <w:t>，投标人投标文件将被认定为</w:t>
      </w:r>
      <w:r>
        <w:rPr>
          <w:rFonts w:ascii="宋体" w:hAnsi="宋体"/>
          <w:color w:val="auto"/>
          <w:sz w:val="28"/>
          <w:szCs w:val="28"/>
        </w:rPr>
        <w:t>无效</w:t>
      </w:r>
      <w:r>
        <w:rPr>
          <w:rFonts w:hint="eastAsia" w:ascii="宋体" w:hAnsi="宋体"/>
          <w:color w:val="auto"/>
          <w:sz w:val="28"/>
          <w:szCs w:val="28"/>
        </w:rPr>
        <w:t>。</w:t>
      </w:r>
    </w:p>
    <w:p>
      <w:pPr>
        <w:tabs>
          <w:tab w:val="left" w:pos="1260"/>
        </w:tabs>
        <w:spacing w:line="560" w:lineRule="exact"/>
        <w:ind w:firstLine="560" w:firstLineChars="200"/>
        <w:rPr>
          <w:rFonts w:ascii="宋体" w:hAnsi="宋体"/>
          <w:color w:val="auto"/>
          <w:szCs w:val="28"/>
        </w:rPr>
      </w:pPr>
      <w:r>
        <w:rPr>
          <w:rFonts w:ascii="宋体" w:hAnsi="宋体"/>
          <w:color w:val="auto"/>
          <w:sz w:val="28"/>
          <w:szCs w:val="28"/>
        </w:rPr>
        <w:t>8</w:t>
      </w:r>
      <w:r>
        <w:rPr>
          <w:rFonts w:hint="eastAsia" w:ascii="宋体" w:hAnsi="宋体"/>
          <w:color w:val="auto"/>
          <w:sz w:val="28"/>
          <w:szCs w:val="28"/>
        </w:rPr>
        <w:t>.</w:t>
      </w:r>
      <w:r>
        <w:rPr>
          <w:rFonts w:ascii="宋体" w:hAnsi="宋体"/>
          <w:color w:val="auto"/>
          <w:sz w:val="28"/>
          <w:szCs w:val="28"/>
        </w:rPr>
        <w:t>对声明中第九条的说明：如</w:t>
      </w:r>
      <w:r>
        <w:rPr>
          <w:rFonts w:hint="eastAsia" w:ascii="宋体" w:hAnsi="宋体"/>
          <w:color w:val="auto"/>
          <w:sz w:val="28"/>
          <w:szCs w:val="28"/>
        </w:rPr>
        <w:t>投标人无依法缴纳税收</w:t>
      </w:r>
      <w:r>
        <w:rPr>
          <w:rFonts w:ascii="宋体" w:hAnsi="宋体"/>
          <w:color w:val="auto"/>
          <w:sz w:val="28"/>
          <w:szCs w:val="28"/>
        </w:rPr>
        <w:t>的良好记录</w:t>
      </w:r>
      <w:r>
        <w:rPr>
          <w:rFonts w:hint="eastAsia" w:ascii="宋体" w:hAnsi="宋体"/>
          <w:color w:val="auto"/>
          <w:sz w:val="28"/>
          <w:szCs w:val="28"/>
        </w:rPr>
        <w:t>的，</w:t>
      </w:r>
      <w:r>
        <w:rPr>
          <w:rFonts w:ascii="宋体" w:hAnsi="宋体"/>
          <w:color w:val="auto"/>
          <w:sz w:val="28"/>
          <w:szCs w:val="28"/>
        </w:rPr>
        <w:t>应填写“</w:t>
      </w:r>
      <w:r>
        <w:rPr>
          <w:rFonts w:hint="eastAsia" w:ascii="宋体" w:hAnsi="宋体"/>
          <w:color w:val="auto"/>
          <w:sz w:val="28"/>
          <w:szCs w:val="28"/>
        </w:rPr>
        <w:t>无</w:t>
      </w:r>
      <w:r>
        <w:rPr>
          <w:rFonts w:ascii="宋体" w:hAnsi="宋体"/>
          <w:color w:val="auto"/>
          <w:sz w:val="28"/>
          <w:szCs w:val="28"/>
        </w:rPr>
        <w:t>”</w:t>
      </w:r>
      <w:r>
        <w:rPr>
          <w:rFonts w:hint="eastAsia" w:ascii="宋体" w:hAnsi="宋体"/>
          <w:color w:val="auto"/>
          <w:sz w:val="28"/>
          <w:szCs w:val="28"/>
        </w:rPr>
        <w:t>，投标人投标文件将被认定为</w:t>
      </w:r>
      <w:r>
        <w:rPr>
          <w:rFonts w:ascii="宋体" w:hAnsi="宋体"/>
          <w:color w:val="auto"/>
          <w:sz w:val="28"/>
          <w:szCs w:val="28"/>
        </w:rPr>
        <w:t>无效</w:t>
      </w:r>
      <w:r>
        <w:rPr>
          <w:rFonts w:hint="eastAsia" w:ascii="宋体" w:hAnsi="宋体"/>
          <w:color w:val="auto"/>
          <w:sz w:val="28"/>
          <w:szCs w:val="28"/>
        </w:rPr>
        <w:t>。</w:t>
      </w:r>
    </w:p>
    <w:p>
      <w:pPr>
        <w:tabs>
          <w:tab w:val="left" w:pos="1260"/>
        </w:tabs>
        <w:spacing w:line="560" w:lineRule="exact"/>
        <w:ind w:firstLine="420" w:firstLineChars="200"/>
        <w:rPr>
          <w:rFonts w:ascii="宋体" w:hAnsi="宋体"/>
          <w:color w:val="auto"/>
          <w:szCs w:val="28"/>
        </w:rPr>
      </w:pPr>
    </w:p>
    <w:p>
      <w:pPr>
        <w:tabs>
          <w:tab w:val="left" w:pos="1260"/>
        </w:tabs>
        <w:spacing w:line="560" w:lineRule="exact"/>
        <w:ind w:firstLine="420" w:firstLineChars="200"/>
        <w:rPr>
          <w:rFonts w:ascii="宋体" w:hAnsi="宋体"/>
          <w:color w:val="auto"/>
          <w:szCs w:val="28"/>
        </w:rPr>
      </w:pPr>
    </w:p>
    <w:p>
      <w:pPr>
        <w:tabs>
          <w:tab w:val="left" w:pos="1260"/>
        </w:tabs>
        <w:spacing w:line="560" w:lineRule="exact"/>
        <w:ind w:firstLine="420" w:firstLineChars="200"/>
        <w:rPr>
          <w:rFonts w:ascii="宋体" w:hAnsi="宋体"/>
          <w:color w:val="auto"/>
          <w:szCs w:val="28"/>
        </w:rPr>
      </w:pPr>
    </w:p>
    <w:p>
      <w:pPr>
        <w:tabs>
          <w:tab w:val="left" w:pos="1260"/>
        </w:tabs>
        <w:spacing w:line="560" w:lineRule="exact"/>
        <w:ind w:firstLine="420" w:firstLineChars="200"/>
        <w:rPr>
          <w:rFonts w:ascii="宋体" w:hAnsi="宋体"/>
          <w:color w:val="auto"/>
          <w:szCs w:val="28"/>
        </w:rPr>
      </w:pPr>
    </w:p>
    <w:p>
      <w:pPr>
        <w:widowControl/>
        <w:jc w:val="left"/>
        <w:rPr>
          <w:rFonts w:ascii="宋体" w:hAnsi="宋体"/>
          <w:b/>
          <w:bCs/>
          <w:color w:val="auto"/>
          <w:sz w:val="28"/>
          <w:szCs w:val="28"/>
        </w:rPr>
      </w:pPr>
      <w:r>
        <w:rPr>
          <w:rFonts w:ascii="宋体" w:hAnsi="宋体"/>
          <w:b/>
          <w:bCs/>
          <w:color w:val="auto"/>
          <w:sz w:val="28"/>
          <w:szCs w:val="28"/>
        </w:rPr>
        <w:br w:type="page"/>
      </w:r>
    </w:p>
    <w:p>
      <w:pPr>
        <w:keepNext/>
        <w:keepLines/>
        <w:numPr>
          <w:ilvl w:val="2"/>
          <w:numId w:val="6"/>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中小企业声明函</w:t>
      </w:r>
    </w:p>
    <w:p>
      <w:pPr>
        <w:spacing w:line="440" w:lineRule="exact"/>
        <w:ind w:firstLine="574" w:firstLineChars="196"/>
        <w:jc w:val="center"/>
        <w:rPr>
          <w:rFonts w:ascii="宋体" w:hAnsi="宋体"/>
          <w:b/>
          <w:color w:val="auto"/>
          <w:sz w:val="28"/>
          <w:szCs w:val="28"/>
        </w:rPr>
      </w:pPr>
      <w:r>
        <w:rPr>
          <w:rFonts w:hint="eastAsia" w:ascii="宋体" w:hAnsi="宋体"/>
          <w:b/>
          <w:color w:val="auto"/>
          <w:spacing w:val="6"/>
          <w:sz w:val="28"/>
          <w:szCs w:val="28"/>
        </w:rPr>
        <w:t>中小企业声明函</w:t>
      </w:r>
    </w:p>
    <w:p>
      <w:pPr>
        <w:spacing w:line="480" w:lineRule="exact"/>
        <w:ind w:firstLine="561"/>
        <w:rPr>
          <w:rFonts w:ascii="宋体" w:hAnsi="宋体"/>
          <w:color w:val="auto"/>
          <w:sz w:val="28"/>
          <w:szCs w:val="28"/>
        </w:rPr>
      </w:pPr>
      <w:r>
        <w:rPr>
          <w:rFonts w:hint="eastAsia" w:ascii="宋体" w:hAnsi="宋体"/>
          <w:color w:val="auto"/>
          <w:sz w:val="28"/>
          <w:szCs w:val="28"/>
        </w:rPr>
        <w:t>本公司郑重声明，根据《政府采购促进中小企业发展管理办法》（财库﹝2020﹞46 号）的规定，本公司参加</w:t>
      </w:r>
      <w:r>
        <w:rPr>
          <w:rFonts w:hint="eastAsia" w:ascii="宋体" w:hAnsi="宋体"/>
          <w:b/>
          <w:color w:val="auto"/>
          <w:sz w:val="28"/>
          <w:szCs w:val="28"/>
          <w:u w:val="single"/>
          <w:lang w:eastAsia="zh-CN"/>
        </w:rPr>
        <w:t>成都东部新区党工委管委会（成都市东部新城办）综合部</w:t>
      </w:r>
      <w:r>
        <w:rPr>
          <w:rFonts w:hint="eastAsia" w:ascii="宋体" w:hAnsi="宋体"/>
          <w:b/>
          <w:bCs/>
          <w:color w:val="auto"/>
          <w:sz w:val="28"/>
          <w:szCs w:val="28"/>
          <w:u w:val="single"/>
        </w:rPr>
        <w:t>（采购人）</w:t>
      </w:r>
      <w:r>
        <w:rPr>
          <w:rFonts w:hint="eastAsia" w:ascii="宋体" w:hAnsi="宋体"/>
          <w:color w:val="auto"/>
          <w:sz w:val="28"/>
          <w:szCs w:val="28"/>
        </w:rPr>
        <w:t>（单位名称）的</w:t>
      </w:r>
      <w:r>
        <w:rPr>
          <w:rFonts w:hint="eastAsia" w:ascii="宋体" w:hAnsi="宋体"/>
          <w:b/>
          <w:color w:val="auto"/>
          <w:sz w:val="28"/>
          <w:szCs w:val="28"/>
          <w:u w:val="single"/>
          <w:lang w:eastAsia="zh-CN"/>
        </w:rPr>
        <w:t>成都东部新区便民服务中心标准化建设家具采购项目</w:t>
      </w:r>
      <w:r>
        <w:rPr>
          <w:rFonts w:hint="eastAsia" w:ascii="宋体" w:hAnsi="宋体"/>
          <w:color w:val="auto"/>
          <w:sz w:val="28"/>
          <w:szCs w:val="28"/>
        </w:rPr>
        <w:t>（项目名称）采购活动，</w:t>
      </w:r>
      <w:r>
        <w:rPr>
          <w:rFonts w:hint="eastAsia" w:ascii="宋体" w:hAnsi="宋体"/>
          <w:b/>
          <w:color w:val="auto"/>
          <w:sz w:val="28"/>
          <w:szCs w:val="28"/>
        </w:rPr>
        <w:t>提供的货物全部由符合政策要求的中小企业制造。</w:t>
      </w:r>
      <w:r>
        <w:rPr>
          <w:rFonts w:hint="eastAsia" w:ascii="宋体" w:hAnsi="宋体"/>
          <w:color w:val="auto"/>
          <w:sz w:val="28"/>
          <w:szCs w:val="28"/>
        </w:rPr>
        <w:t>相关企业的具体情况如下：</w:t>
      </w:r>
    </w:p>
    <w:p>
      <w:pPr>
        <w:spacing w:line="480" w:lineRule="exact"/>
        <w:ind w:firstLine="561"/>
        <w:rPr>
          <w:rFonts w:ascii="宋体" w:hAnsi="宋体"/>
          <w:color w:val="auto"/>
          <w:sz w:val="28"/>
          <w:szCs w:val="28"/>
        </w:rPr>
      </w:pPr>
      <w:r>
        <w:rPr>
          <w:rFonts w:hint="eastAsia" w:ascii="宋体" w:hAnsi="宋体"/>
          <w:color w:val="auto"/>
          <w:sz w:val="28"/>
          <w:szCs w:val="28"/>
        </w:rPr>
        <w:t xml:space="preserve"> 1. </w:t>
      </w:r>
      <w:r>
        <w:rPr>
          <w:rFonts w:hint="eastAsia" w:ascii="宋体" w:hAnsi="宋体"/>
          <w:color w:val="auto"/>
          <w:sz w:val="28"/>
          <w:szCs w:val="28"/>
          <w:u w:val="single"/>
        </w:rPr>
        <w:t>___XXXX____</w:t>
      </w:r>
      <w:r>
        <w:rPr>
          <w:rFonts w:hint="eastAsia" w:ascii="宋体" w:hAnsi="宋体"/>
          <w:color w:val="auto"/>
          <w:sz w:val="28"/>
          <w:szCs w:val="28"/>
        </w:rPr>
        <w:t>（标的名称），属于</w:t>
      </w:r>
      <w:r>
        <w:rPr>
          <w:rFonts w:hint="eastAsia" w:ascii="宋体" w:hAnsi="宋体"/>
          <w:color w:val="auto"/>
          <w:sz w:val="28"/>
          <w:szCs w:val="28"/>
          <w:u w:val="single"/>
        </w:rPr>
        <w:t>___XXXX____</w:t>
      </w:r>
      <w:r>
        <w:rPr>
          <w:rFonts w:hint="eastAsia" w:ascii="宋体" w:hAnsi="宋体"/>
          <w:color w:val="auto"/>
          <w:sz w:val="28"/>
          <w:szCs w:val="28"/>
        </w:rPr>
        <w:t>（采购文件中明确的所属行业）行业；制造商为</w:t>
      </w:r>
      <w:r>
        <w:rPr>
          <w:rFonts w:hint="eastAsia" w:ascii="宋体" w:hAnsi="宋体"/>
          <w:color w:val="auto"/>
          <w:sz w:val="28"/>
          <w:szCs w:val="28"/>
          <w:u w:val="single"/>
        </w:rPr>
        <w:t>___XXXX__</w:t>
      </w:r>
      <w:r>
        <w:rPr>
          <w:rFonts w:hint="eastAsia" w:ascii="宋体" w:hAnsi="宋体"/>
          <w:color w:val="auto"/>
          <w:sz w:val="28"/>
          <w:szCs w:val="28"/>
        </w:rPr>
        <w:t>（企业名称），从业人员</w:t>
      </w:r>
      <w:r>
        <w:rPr>
          <w:rFonts w:hint="eastAsia" w:ascii="宋体" w:hAnsi="宋体"/>
          <w:color w:val="auto"/>
          <w:sz w:val="28"/>
          <w:szCs w:val="28"/>
          <w:u w:val="single"/>
        </w:rPr>
        <w:t>___XXXX___</w:t>
      </w:r>
      <w:r>
        <w:rPr>
          <w:rFonts w:hint="eastAsia" w:ascii="宋体" w:hAnsi="宋体"/>
          <w:color w:val="auto"/>
          <w:sz w:val="28"/>
          <w:szCs w:val="28"/>
        </w:rPr>
        <w:t>人，营业收入为</w:t>
      </w:r>
      <w:r>
        <w:rPr>
          <w:rFonts w:hint="eastAsia" w:ascii="宋体" w:hAnsi="宋体"/>
          <w:color w:val="auto"/>
          <w:sz w:val="28"/>
          <w:szCs w:val="28"/>
          <w:u w:val="single"/>
        </w:rPr>
        <w:t>__XXXX__</w:t>
      </w:r>
      <w:r>
        <w:rPr>
          <w:rFonts w:hint="eastAsia" w:ascii="宋体" w:hAnsi="宋体"/>
          <w:color w:val="auto"/>
          <w:sz w:val="28"/>
          <w:szCs w:val="28"/>
        </w:rPr>
        <w:t>万元，资产总额为</w:t>
      </w:r>
      <w:r>
        <w:rPr>
          <w:rFonts w:hint="eastAsia" w:ascii="宋体" w:hAnsi="宋体"/>
          <w:color w:val="auto"/>
          <w:sz w:val="28"/>
          <w:szCs w:val="28"/>
          <w:u w:val="single"/>
        </w:rPr>
        <w:t>___XXXX___</w:t>
      </w:r>
      <w:r>
        <w:rPr>
          <w:rFonts w:hint="eastAsia" w:ascii="宋体" w:hAnsi="宋体"/>
          <w:color w:val="auto"/>
          <w:sz w:val="28"/>
          <w:szCs w:val="28"/>
        </w:rPr>
        <w:t>万元</w:t>
      </w:r>
      <w:r>
        <w:rPr>
          <w:rFonts w:hint="eastAsia" w:ascii="宋体" w:hAnsi="宋体"/>
          <w:color w:val="auto"/>
          <w:sz w:val="28"/>
          <w:szCs w:val="28"/>
          <w:vertAlign w:val="superscript"/>
        </w:rPr>
        <w:t>1</w:t>
      </w:r>
      <w:r>
        <w:rPr>
          <w:rFonts w:hint="eastAsia" w:ascii="宋体" w:hAnsi="宋体"/>
          <w:color w:val="auto"/>
          <w:sz w:val="28"/>
          <w:szCs w:val="28"/>
        </w:rPr>
        <w:t>，属于</w:t>
      </w:r>
      <w:r>
        <w:rPr>
          <w:rFonts w:hint="eastAsia" w:ascii="宋体" w:hAnsi="宋体"/>
          <w:color w:val="auto"/>
          <w:sz w:val="28"/>
          <w:szCs w:val="28"/>
          <w:u w:val="single"/>
        </w:rPr>
        <w:t>___XXXX__</w:t>
      </w:r>
      <w:r>
        <w:rPr>
          <w:rFonts w:hint="eastAsia" w:ascii="宋体" w:hAnsi="宋体"/>
          <w:color w:val="auto"/>
          <w:sz w:val="28"/>
          <w:szCs w:val="28"/>
        </w:rPr>
        <w:t>（中型企业、小型企业、微型企业）。</w:t>
      </w:r>
    </w:p>
    <w:p>
      <w:pPr>
        <w:spacing w:line="480" w:lineRule="exact"/>
        <w:ind w:firstLine="561"/>
        <w:rPr>
          <w:rFonts w:ascii="宋体" w:hAnsi="宋体"/>
          <w:color w:val="auto"/>
          <w:sz w:val="28"/>
          <w:szCs w:val="28"/>
        </w:rPr>
      </w:pPr>
      <w:r>
        <w:rPr>
          <w:rFonts w:hint="eastAsia" w:ascii="宋体" w:hAnsi="宋体"/>
          <w:color w:val="auto"/>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color w:val="auto"/>
          <w:sz w:val="28"/>
          <w:szCs w:val="28"/>
        </w:rPr>
      </w:pPr>
      <w:r>
        <w:rPr>
          <w:rFonts w:hint="eastAsia" w:ascii="宋体" w:hAnsi="宋体"/>
          <w:color w:val="auto"/>
          <w:sz w:val="28"/>
          <w:szCs w:val="28"/>
        </w:rPr>
        <w:t>本企业对上述声明内容的真实性负责。如有虚假，将依法承担相应责任。</w:t>
      </w:r>
    </w:p>
    <w:p>
      <w:pPr>
        <w:spacing w:line="480" w:lineRule="exact"/>
        <w:ind w:right="280" w:firstLine="561"/>
        <w:jc w:val="right"/>
        <w:rPr>
          <w:rFonts w:ascii="宋体" w:hAnsi="宋体"/>
          <w:color w:val="auto"/>
          <w:sz w:val="28"/>
          <w:szCs w:val="28"/>
        </w:rPr>
      </w:pPr>
      <w:r>
        <w:rPr>
          <w:rFonts w:hint="eastAsia" w:ascii="宋体" w:hAnsi="宋体"/>
          <w:color w:val="auto"/>
          <w:sz w:val="28"/>
          <w:szCs w:val="28"/>
        </w:rPr>
        <w:t>企业名称：</w:t>
      </w:r>
      <w:r>
        <w:rPr>
          <w:rFonts w:hint="eastAsia" w:ascii="宋体" w:hAnsi="宋体"/>
          <w:color w:val="auto"/>
          <w:sz w:val="28"/>
          <w:szCs w:val="28"/>
          <w:u w:val="single"/>
        </w:rPr>
        <w:t>___XXXX____</w:t>
      </w:r>
    </w:p>
    <w:p>
      <w:pPr>
        <w:spacing w:line="480" w:lineRule="exact"/>
        <w:ind w:firstLine="561"/>
        <w:rPr>
          <w:rFonts w:ascii="宋体" w:hAnsi="宋体"/>
          <w:color w:val="auto"/>
          <w:sz w:val="28"/>
          <w:szCs w:val="28"/>
        </w:rPr>
      </w:pPr>
      <w:r>
        <w:rPr>
          <w:rFonts w:hint="eastAsia" w:ascii="宋体" w:hAnsi="宋体"/>
          <w:color w:val="auto"/>
          <w:sz w:val="28"/>
          <w:szCs w:val="28"/>
        </w:rPr>
        <w:t xml:space="preserve">                                日 期：202X年XX月XX日</w:t>
      </w:r>
    </w:p>
    <w:p>
      <w:pPr>
        <w:pStyle w:val="79"/>
        <w:tabs>
          <w:tab w:val="left" w:pos="567"/>
          <w:tab w:val="left" w:pos="709"/>
          <w:tab w:val="left" w:pos="851"/>
        </w:tabs>
        <w:spacing w:line="520" w:lineRule="exact"/>
        <w:ind w:firstLine="0" w:firstLineChars="0"/>
        <w:rPr>
          <w:rFonts w:ascii="宋体" w:hAnsi="宋体" w:eastAsia="宋体"/>
          <w:b/>
          <w:color w:val="auto"/>
          <w:sz w:val="28"/>
          <w:szCs w:val="28"/>
        </w:rPr>
      </w:pPr>
    </w:p>
    <w:p>
      <w:pPr>
        <w:pStyle w:val="79"/>
        <w:tabs>
          <w:tab w:val="left" w:pos="567"/>
          <w:tab w:val="left" w:pos="709"/>
          <w:tab w:val="left" w:pos="851"/>
        </w:tabs>
        <w:spacing w:line="520" w:lineRule="exact"/>
        <w:ind w:firstLine="0" w:firstLineChars="0"/>
        <w:rPr>
          <w:rFonts w:ascii="宋体" w:hAnsi="宋体" w:eastAsia="宋体"/>
          <w:b/>
          <w:color w:val="auto"/>
          <w:sz w:val="28"/>
          <w:szCs w:val="28"/>
        </w:rPr>
      </w:pPr>
    </w:p>
    <w:p>
      <w:pPr>
        <w:pStyle w:val="79"/>
        <w:tabs>
          <w:tab w:val="left" w:pos="567"/>
          <w:tab w:val="left" w:pos="709"/>
          <w:tab w:val="left" w:pos="851"/>
        </w:tabs>
        <w:spacing w:line="520" w:lineRule="exact"/>
        <w:ind w:firstLine="0" w:firstLineChars="0"/>
        <w:rPr>
          <w:rFonts w:ascii="宋体" w:hAnsi="宋体" w:eastAsia="宋体"/>
          <w:b/>
          <w:color w:val="auto"/>
          <w:sz w:val="28"/>
          <w:szCs w:val="28"/>
          <w:vertAlign w:val="superscript"/>
        </w:rPr>
      </w:pPr>
      <w:r>
        <w:rPr>
          <w:rFonts w:hint="eastAsia" w:ascii="宋体" w:hAnsi="宋体" w:eastAsia="宋体"/>
          <w:b/>
          <w:color w:val="auto"/>
          <w:sz w:val="28"/>
          <w:szCs w:val="28"/>
        </w:rPr>
        <w:t>说明： 从业人员、营业收入、资产总额填报上一年度数据，无上一年度数据的新成立企业可不填报。</w:t>
      </w:r>
    </w:p>
    <w:p>
      <w:pPr>
        <w:pStyle w:val="79"/>
        <w:tabs>
          <w:tab w:val="left" w:pos="567"/>
          <w:tab w:val="left" w:pos="709"/>
          <w:tab w:val="left" w:pos="851"/>
        </w:tabs>
        <w:spacing w:line="520" w:lineRule="exact"/>
        <w:ind w:firstLine="0" w:firstLineChars="0"/>
        <w:rPr>
          <w:rFonts w:ascii="宋体" w:hAnsi="宋体" w:eastAsia="宋体"/>
          <w:b/>
          <w:color w:val="auto"/>
          <w:sz w:val="28"/>
          <w:szCs w:val="28"/>
        </w:rPr>
      </w:pPr>
    </w:p>
    <w:p>
      <w:pPr>
        <w:pStyle w:val="79"/>
        <w:tabs>
          <w:tab w:val="left" w:pos="567"/>
          <w:tab w:val="left" w:pos="709"/>
          <w:tab w:val="left" w:pos="851"/>
        </w:tabs>
        <w:spacing w:line="520" w:lineRule="exact"/>
        <w:ind w:firstLine="0" w:firstLineChars="0"/>
        <w:rPr>
          <w:rFonts w:ascii="宋体" w:hAnsi="宋体" w:eastAsia="宋体"/>
          <w:b/>
          <w:color w:val="auto"/>
          <w:sz w:val="28"/>
          <w:szCs w:val="28"/>
        </w:rPr>
      </w:pPr>
    </w:p>
    <w:p>
      <w:pPr>
        <w:pStyle w:val="79"/>
        <w:tabs>
          <w:tab w:val="left" w:pos="567"/>
          <w:tab w:val="left" w:pos="709"/>
          <w:tab w:val="left" w:pos="851"/>
        </w:tabs>
        <w:spacing w:line="520" w:lineRule="exact"/>
        <w:ind w:firstLine="0" w:firstLineChars="0"/>
        <w:rPr>
          <w:rFonts w:ascii="宋体" w:hAnsi="宋体" w:eastAsia="宋体"/>
          <w:b/>
          <w:color w:val="auto"/>
          <w:sz w:val="28"/>
          <w:szCs w:val="28"/>
        </w:rPr>
      </w:pPr>
    </w:p>
    <w:p>
      <w:pPr>
        <w:pStyle w:val="79"/>
        <w:tabs>
          <w:tab w:val="left" w:pos="567"/>
          <w:tab w:val="left" w:pos="709"/>
          <w:tab w:val="left" w:pos="851"/>
        </w:tabs>
        <w:spacing w:line="520" w:lineRule="exact"/>
        <w:ind w:firstLine="0" w:firstLineChars="0"/>
        <w:rPr>
          <w:rFonts w:ascii="宋体" w:hAnsi="宋体" w:eastAsia="宋体"/>
          <w:b/>
          <w:color w:val="auto"/>
          <w:sz w:val="28"/>
          <w:szCs w:val="28"/>
        </w:rPr>
      </w:pPr>
    </w:p>
    <w:p>
      <w:pPr>
        <w:widowControl/>
        <w:jc w:val="left"/>
        <w:rPr>
          <w:rFonts w:ascii="宋体" w:hAnsi="宋体"/>
          <w:b/>
          <w:bCs/>
          <w:color w:val="auto"/>
          <w:sz w:val="28"/>
          <w:szCs w:val="28"/>
        </w:rPr>
      </w:pPr>
      <w:r>
        <w:rPr>
          <w:rFonts w:ascii="宋体" w:hAnsi="宋体"/>
          <w:b/>
          <w:bCs/>
          <w:color w:val="auto"/>
          <w:sz w:val="28"/>
          <w:szCs w:val="28"/>
        </w:rPr>
        <w:br w:type="page"/>
      </w:r>
    </w:p>
    <w:p>
      <w:pPr>
        <w:keepNext/>
        <w:keepLines/>
        <w:numPr>
          <w:ilvl w:val="2"/>
          <w:numId w:val="6"/>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残疾人福利性单位声明函</w:t>
      </w:r>
    </w:p>
    <w:p>
      <w:pPr>
        <w:spacing w:line="588" w:lineRule="exact"/>
        <w:ind w:firstLine="562" w:firstLineChars="200"/>
        <w:jc w:val="center"/>
        <w:rPr>
          <w:b/>
          <w:color w:val="auto"/>
          <w:sz w:val="28"/>
          <w:szCs w:val="28"/>
        </w:rPr>
      </w:pPr>
      <w:r>
        <w:rPr>
          <w:rFonts w:hint="eastAsia"/>
          <w:b/>
          <w:color w:val="auto"/>
          <w:sz w:val="28"/>
          <w:szCs w:val="28"/>
        </w:rPr>
        <w:t>残疾人福利性单位声明函</w:t>
      </w:r>
    </w:p>
    <w:p>
      <w:pPr>
        <w:spacing w:line="588"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color w:val="auto"/>
          <w:sz w:val="28"/>
          <w:szCs w:val="28"/>
          <w:u w:val="single"/>
          <w:lang w:eastAsia="zh-CN"/>
        </w:rPr>
        <w:t>成都东部新区党工委管委会（成都市东部新城办）综合部</w:t>
      </w:r>
      <w:r>
        <w:rPr>
          <w:rFonts w:hint="eastAsia" w:ascii="宋体" w:hAnsi="宋体"/>
          <w:b/>
          <w:bCs/>
          <w:color w:val="auto"/>
          <w:sz w:val="28"/>
          <w:szCs w:val="28"/>
          <w:u w:val="single"/>
        </w:rPr>
        <w:t>（采购人）</w:t>
      </w:r>
      <w:r>
        <w:rPr>
          <w:rFonts w:hint="eastAsia" w:ascii="宋体" w:hAnsi="宋体"/>
          <w:color w:val="auto"/>
          <w:spacing w:val="6"/>
          <w:sz w:val="28"/>
          <w:szCs w:val="28"/>
          <w:u w:val="single"/>
        </w:rPr>
        <w:t>的</w:t>
      </w:r>
      <w:r>
        <w:rPr>
          <w:rFonts w:hint="eastAsia" w:ascii="宋体" w:hAnsi="宋体"/>
          <w:b/>
          <w:color w:val="auto"/>
          <w:sz w:val="28"/>
          <w:szCs w:val="28"/>
          <w:u w:val="single"/>
          <w:lang w:eastAsia="zh-CN"/>
        </w:rPr>
        <w:t>成都东部新区便民服务中心标准化建设家具采购项目</w:t>
      </w:r>
      <w:r>
        <w:rPr>
          <w:rFonts w:hint="eastAsia" w:ascii="宋体" w:hAnsi="宋体"/>
          <w:color w:val="auto"/>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本单位对上述声明的真实性负责。如有虚假，将依法承担相应责任。</w:t>
      </w:r>
    </w:p>
    <w:p>
      <w:pPr>
        <w:spacing w:line="588" w:lineRule="exact"/>
        <w:ind w:firstLine="584" w:firstLineChars="200"/>
        <w:rPr>
          <w:rFonts w:ascii="宋体" w:hAnsi="宋体"/>
          <w:color w:val="auto"/>
          <w:spacing w:val="6"/>
          <w:sz w:val="28"/>
          <w:szCs w:val="28"/>
        </w:rPr>
      </w:pPr>
    </w:p>
    <w:p>
      <w:pPr>
        <w:spacing w:line="588" w:lineRule="exact"/>
        <w:ind w:firstLine="584" w:firstLineChars="200"/>
        <w:rPr>
          <w:rFonts w:ascii="宋体" w:hAnsi="宋体"/>
          <w:color w:val="auto"/>
          <w:spacing w:val="6"/>
          <w:sz w:val="28"/>
          <w:szCs w:val="28"/>
        </w:rPr>
      </w:pPr>
    </w:p>
    <w:p>
      <w:pPr>
        <w:spacing w:line="588" w:lineRule="exact"/>
        <w:jc w:val="right"/>
        <w:rPr>
          <w:rFonts w:ascii="宋体" w:hAnsi="宋体"/>
          <w:color w:val="auto"/>
          <w:spacing w:val="6"/>
          <w:sz w:val="28"/>
          <w:szCs w:val="28"/>
        </w:rPr>
      </w:pPr>
    </w:p>
    <w:p>
      <w:pPr>
        <w:tabs>
          <w:tab w:val="left" w:pos="3969"/>
        </w:tabs>
        <w:spacing w:line="588" w:lineRule="exact"/>
        <w:ind w:right="-58"/>
        <w:jc w:val="right"/>
        <w:rPr>
          <w:rFonts w:ascii="宋体" w:hAnsi="宋体"/>
          <w:color w:val="auto"/>
          <w:spacing w:val="6"/>
          <w:sz w:val="28"/>
          <w:szCs w:val="28"/>
        </w:rPr>
      </w:pPr>
      <w:r>
        <w:rPr>
          <w:rFonts w:hint="eastAsia" w:ascii="宋体" w:hAnsi="宋体"/>
          <w:color w:val="auto"/>
          <w:spacing w:val="6"/>
          <w:sz w:val="28"/>
          <w:szCs w:val="28"/>
        </w:rPr>
        <w:t>单位名称：</w:t>
      </w:r>
      <w:r>
        <w:rPr>
          <w:rFonts w:hint="eastAsia" w:ascii="宋体" w:hAnsi="宋体"/>
          <w:color w:val="auto"/>
          <w:spacing w:val="6"/>
          <w:sz w:val="28"/>
          <w:szCs w:val="28"/>
          <w:u w:val="single"/>
        </w:rPr>
        <w:t>XXXX</w:t>
      </w:r>
    </w:p>
    <w:p>
      <w:pPr>
        <w:tabs>
          <w:tab w:val="left" w:pos="3969"/>
        </w:tabs>
        <w:spacing w:line="588" w:lineRule="exact"/>
        <w:ind w:right="-58"/>
        <w:jc w:val="right"/>
        <w:rPr>
          <w:rFonts w:ascii="宋体" w:hAnsi="宋体"/>
          <w:bCs/>
          <w:color w:val="auto"/>
          <w:sz w:val="28"/>
        </w:rPr>
      </w:pPr>
      <w:r>
        <w:rPr>
          <w:rFonts w:hint="eastAsia" w:ascii="宋体" w:hAnsi="宋体"/>
          <w:color w:val="auto"/>
          <w:spacing w:val="6"/>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tabs>
          <w:tab w:val="left" w:pos="3969"/>
        </w:tabs>
        <w:spacing w:line="588" w:lineRule="exact"/>
        <w:ind w:right="-58"/>
        <w:jc w:val="right"/>
        <w:rPr>
          <w:rFonts w:ascii="宋体" w:hAnsi="宋体"/>
          <w:bCs/>
          <w:color w:val="auto"/>
          <w:sz w:val="28"/>
        </w:rPr>
      </w:pPr>
    </w:p>
    <w:p>
      <w:pPr>
        <w:tabs>
          <w:tab w:val="left" w:pos="3969"/>
        </w:tabs>
        <w:spacing w:line="588" w:lineRule="exact"/>
        <w:ind w:right="-58"/>
        <w:jc w:val="right"/>
        <w:rPr>
          <w:rFonts w:ascii="宋体" w:hAnsi="宋体"/>
          <w:bCs/>
          <w:color w:val="auto"/>
          <w:sz w:val="28"/>
        </w:rPr>
      </w:pPr>
    </w:p>
    <w:p>
      <w:pPr>
        <w:tabs>
          <w:tab w:val="left" w:pos="3969"/>
        </w:tabs>
        <w:spacing w:line="588" w:lineRule="exact"/>
        <w:ind w:right="-58"/>
        <w:jc w:val="right"/>
        <w:rPr>
          <w:rFonts w:ascii="宋体" w:hAnsi="宋体"/>
          <w:bCs/>
          <w:color w:val="auto"/>
          <w:sz w:val="28"/>
        </w:rPr>
      </w:pPr>
    </w:p>
    <w:p>
      <w:pPr>
        <w:tabs>
          <w:tab w:val="left" w:pos="3969"/>
        </w:tabs>
        <w:spacing w:line="588" w:lineRule="exact"/>
        <w:ind w:right="-58"/>
        <w:jc w:val="right"/>
        <w:rPr>
          <w:rFonts w:ascii="宋体" w:hAnsi="宋体"/>
          <w:bCs/>
          <w:color w:val="auto"/>
          <w:sz w:val="28"/>
        </w:rPr>
      </w:pPr>
    </w:p>
    <w:p>
      <w:pPr>
        <w:widowControl/>
        <w:jc w:val="left"/>
        <w:rPr>
          <w:rFonts w:ascii="宋体" w:hAnsi="宋体"/>
          <w:b/>
          <w:bCs/>
          <w:color w:val="auto"/>
          <w:sz w:val="28"/>
          <w:szCs w:val="28"/>
        </w:rPr>
      </w:pPr>
    </w:p>
    <w:p>
      <w:pPr>
        <w:widowControl/>
        <w:jc w:val="left"/>
        <w:rPr>
          <w:rFonts w:ascii="宋体" w:hAnsi="宋体"/>
          <w:b/>
          <w:bCs/>
          <w:color w:val="auto"/>
          <w:sz w:val="28"/>
          <w:szCs w:val="28"/>
        </w:rPr>
      </w:pPr>
      <w:r>
        <w:rPr>
          <w:rFonts w:ascii="宋体" w:hAnsi="宋体"/>
          <w:b/>
          <w:bCs/>
          <w:color w:val="auto"/>
          <w:sz w:val="28"/>
          <w:szCs w:val="28"/>
        </w:rPr>
        <w:br w:type="page"/>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投标人应提交的相关资格证明材料</w:t>
      </w:r>
    </w:p>
    <w:p>
      <w:pPr>
        <w:spacing w:line="360" w:lineRule="auto"/>
        <w:ind w:firstLine="560" w:firstLineChars="200"/>
        <w:rPr>
          <w:color w:val="auto"/>
          <w:sz w:val="28"/>
          <w:szCs w:val="28"/>
          <w:highlight w:val="none"/>
        </w:rPr>
      </w:pPr>
      <w:r>
        <w:rPr>
          <w:rFonts w:hint="eastAsia"/>
          <w:color w:val="auto"/>
          <w:sz w:val="28"/>
          <w:szCs w:val="28"/>
          <w:highlight w:val="none"/>
        </w:rPr>
        <w:t>投标人按招标文件要求，应提供以下相关资格证明材料：</w:t>
      </w:r>
    </w:p>
    <w:p>
      <w:pPr>
        <w:pStyle w:val="79"/>
        <w:numPr>
          <w:ilvl w:val="0"/>
          <w:numId w:val="35"/>
        </w:numPr>
        <w:tabs>
          <w:tab w:val="left" w:pos="1134"/>
        </w:tabs>
        <w:spacing w:before="60" w:line="360" w:lineRule="auto"/>
        <w:ind w:left="0" w:firstLine="567" w:firstLineChars="0"/>
        <w:rPr>
          <w:rFonts w:ascii="宋体" w:hAnsi="宋体"/>
          <w:color w:val="auto"/>
          <w:sz w:val="28"/>
          <w:szCs w:val="28"/>
          <w:highlight w:val="none"/>
        </w:rPr>
      </w:pPr>
      <w:r>
        <w:rPr>
          <w:rFonts w:hint="eastAsia" w:ascii="宋体" w:hAnsi="宋体"/>
          <w:color w:val="auto"/>
          <w:sz w:val="28"/>
          <w:szCs w:val="28"/>
          <w:highlight w:val="none"/>
        </w:rPr>
        <w:t>由省级以上监狱管理局、戒毒管理局（含新疆生产建设兵团）出具的投标人属于监狱企业的证明文件复印件（说明：提供了中小企业声明函或残疾人福利性单位声明函的不需提供）；</w:t>
      </w:r>
    </w:p>
    <w:p>
      <w:pPr>
        <w:pStyle w:val="79"/>
        <w:numPr>
          <w:ilvl w:val="0"/>
          <w:numId w:val="35"/>
        </w:numPr>
        <w:tabs>
          <w:tab w:val="left" w:pos="1134"/>
        </w:tabs>
        <w:spacing w:before="60" w:line="360" w:lineRule="auto"/>
        <w:ind w:left="0" w:firstLine="567" w:firstLineChars="0"/>
        <w:rPr>
          <w:rFonts w:ascii="宋体" w:hAnsi="宋体"/>
          <w:color w:val="auto"/>
          <w:sz w:val="28"/>
          <w:szCs w:val="28"/>
          <w:highlight w:val="none"/>
        </w:rPr>
      </w:pPr>
      <w:r>
        <w:rPr>
          <w:rFonts w:hint="eastAsia" w:ascii="宋体" w:hAnsi="宋体"/>
          <w:color w:val="auto"/>
          <w:sz w:val="28"/>
          <w:szCs w:val="28"/>
          <w:highlight w:val="none"/>
        </w:rPr>
        <w:t>营业执照复印件（正本或副本）或法人证书复印件（正本或副本）</w:t>
      </w:r>
      <w:r>
        <w:rPr>
          <w:rFonts w:hint="eastAsia" w:ascii="宋体" w:hAnsi="宋体"/>
          <w:color w:val="auto"/>
          <w:kern w:val="0"/>
          <w:sz w:val="28"/>
          <w:szCs w:val="28"/>
          <w:highlight w:val="none"/>
        </w:rPr>
        <w:t>或其他能够证明供应商具有独立承担民事责任能力的相关证明材料复印件；</w:t>
      </w:r>
      <w:r>
        <w:rPr>
          <w:rFonts w:hint="eastAsia" w:ascii="宋体" w:hAnsi="宋体"/>
          <w:color w:val="auto"/>
          <w:sz w:val="28"/>
          <w:szCs w:val="28"/>
          <w:highlight w:val="none"/>
        </w:rPr>
        <w:t xml:space="preserve"> </w:t>
      </w:r>
    </w:p>
    <w:p>
      <w:pPr>
        <w:pStyle w:val="79"/>
        <w:numPr>
          <w:ilvl w:val="0"/>
          <w:numId w:val="35"/>
        </w:numPr>
        <w:tabs>
          <w:tab w:val="left" w:pos="1134"/>
        </w:tabs>
        <w:spacing w:before="60" w:line="360" w:lineRule="auto"/>
        <w:ind w:left="0" w:firstLine="567" w:firstLineChars="0"/>
        <w:rPr>
          <w:rFonts w:ascii="宋体" w:hAnsi="宋体"/>
          <w:color w:val="auto"/>
          <w:sz w:val="28"/>
          <w:szCs w:val="28"/>
          <w:highlight w:val="none"/>
        </w:rPr>
      </w:pPr>
      <w:r>
        <w:rPr>
          <w:rFonts w:hint="eastAsia" w:ascii="宋体" w:hAnsi="宋体"/>
          <w:color w:val="auto"/>
          <w:sz w:val="28"/>
          <w:szCs w:val="28"/>
          <w:highlight w:val="none"/>
        </w:rPr>
        <w:t>具有健全的财务会计制度的证明材料</w:t>
      </w:r>
      <w:r>
        <w:rPr>
          <w:rFonts w:hint="eastAsia" w:ascii="宋体" w:hAnsi="宋体"/>
          <w:color w:val="auto"/>
          <w:sz w:val="28"/>
          <w:szCs w:val="28"/>
          <w:highlight w:val="none"/>
          <w:lang w:eastAsia="zh-CN"/>
        </w:rPr>
        <w:t>（说明：单位参加投标：至投标文件递交截止时间成立1年以上的单位提供2020年的经审计的财务报告或财务报表（可以不审计，但须包括资产负债表）的复印件，成立不足1年的单位可提供财务管理制度或任意一月及以上的财务报表（可以不审计，但须包括资产负债表）；也可提供银行资信证明。自然人参加投标：提供中国人民银行征信中心出具的个人征信情况。）</w:t>
      </w:r>
    </w:p>
    <w:p>
      <w:pPr>
        <w:pStyle w:val="79"/>
        <w:numPr>
          <w:ilvl w:val="0"/>
          <w:numId w:val="35"/>
        </w:numPr>
        <w:tabs>
          <w:tab w:val="left" w:pos="1134"/>
        </w:tabs>
        <w:spacing w:before="60" w:line="360" w:lineRule="auto"/>
        <w:ind w:left="0" w:firstLine="567" w:firstLineChars="0"/>
        <w:rPr>
          <w:rFonts w:ascii="宋体" w:hAnsi="宋体"/>
          <w:color w:val="auto"/>
          <w:sz w:val="28"/>
          <w:szCs w:val="28"/>
          <w:highlight w:val="none"/>
        </w:rPr>
      </w:pPr>
      <w:r>
        <w:rPr>
          <w:rFonts w:hint="eastAsia"/>
          <w:color w:val="auto"/>
          <w:sz w:val="28"/>
          <w:szCs w:val="28"/>
          <w:highlight w:val="none"/>
        </w:rPr>
        <w:t>采购人对投标人履行合同所必须的设备和专业技术能力无其他特殊要求，投标人可不提供证明材料；</w:t>
      </w:r>
    </w:p>
    <w:p>
      <w:pPr>
        <w:pStyle w:val="79"/>
        <w:numPr>
          <w:ilvl w:val="0"/>
          <w:numId w:val="35"/>
        </w:numPr>
        <w:tabs>
          <w:tab w:val="left" w:pos="0"/>
          <w:tab w:val="left" w:pos="1134"/>
        </w:tabs>
        <w:spacing w:before="60" w:line="360" w:lineRule="auto"/>
        <w:ind w:left="0" w:firstLine="546" w:firstLineChars="0"/>
        <w:rPr>
          <w:rFonts w:ascii="宋体" w:hAnsi="宋体"/>
          <w:color w:val="auto"/>
          <w:sz w:val="28"/>
          <w:szCs w:val="28"/>
          <w:highlight w:val="none"/>
        </w:rPr>
      </w:pPr>
      <w:r>
        <w:rPr>
          <w:rFonts w:hint="eastAsia" w:ascii="宋体" w:hAnsi="宋体"/>
          <w:color w:val="auto"/>
          <w:sz w:val="28"/>
          <w:szCs w:val="28"/>
          <w:highlight w:val="none"/>
        </w:rPr>
        <w:t>采购人对法律、行政法规规定的其他条件无其他特殊要求，投标人可不提供证明材料。</w:t>
      </w:r>
    </w:p>
    <w:p>
      <w:pPr>
        <w:widowControl/>
        <w:jc w:val="left"/>
        <w:rPr>
          <w:rFonts w:ascii="宋体" w:hAnsi="宋体"/>
          <w:b/>
          <w:bCs/>
          <w:color w:val="auto"/>
          <w:sz w:val="28"/>
          <w:szCs w:val="28"/>
        </w:rPr>
      </w:pPr>
      <w:r>
        <w:rPr>
          <w:rFonts w:ascii="宋体" w:hAnsi="宋体"/>
          <w:b/>
          <w:bCs/>
          <w:color w:val="auto"/>
          <w:sz w:val="28"/>
          <w:szCs w:val="28"/>
        </w:rPr>
        <w:br w:type="page"/>
      </w:r>
    </w:p>
    <w:p>
      <w:pPr>
        <w:keepNext/>
        <w:keepLines/>
        <w:numPr>
          <w:ilvl w:val="1"/>
          <w:numId w:val="6"/>
        </w:numPr>
        <w:spacing w:line="360" w:lineRule="auto"/>
        <w:jc w:val="left"/>
        <w:outlineLvl w:val="1"/>
        <w:rPr>
          <w:rFonts w:ascii="宋体" w:hAnsi="宋体"/>
          <w:b/>
          <w:bCs/>
          <w:color w:val="auto"/>
          <w:sz w:val="28"/>
          <w:szCs w:val="28"/>
        </w:rPr>
      </w:pPr>
      <w:bookmarkStart w:id="155" w:name="_Toc86665554"/>
      <w:bookmarkStart w:id="156" w:name="_Toc6871"/>
      <w:bookmarkStart w:id="157" w:name="_Toc26354"/>
      <w:bookmarkStart w:id="158" w:name="_Toc27795"/>
      <w:r>
        <w:rPr>
          <w:rFonts w:hint="eastAsia" w:ascii="宋体" w:hAnsi="宋体"/>
          <w:b/>
          <w:bCs/>
          <w:color w:val="auto"/>
          <w:sz w:val="28"/>
          <w:szCs w:val="28"/>
        </w:rPr>
        <w:t>商务技术</w:t>
      </w:r>
      <w:r>
        <w:rPr>
          <w:rFonts w:ascii="宋体" w:hAnsi="宋体"/>
          <w:b/>
          <w:bCs/>
          <w:color w:val="auto"/>
          <w:sz w:val="28"/>
          <w:szCs w:val="28"/>
        </w:rPr>
        <w:t>响应文件</w:t>
      </w:r>
      <w:bookmarkEnd w:id="155"/>
      <w:bookmarkEnd w:id="156"/>
      <w:bookmarkEnd w:id="157"/>
      <w:bookmarkEnd w:id="158"/>
    </w:p>
    <w:p>
      <w:pPr>
        <w:keepNext/>
        <w:keepLines/>
        <w:numPr>
          <w:ilvl w:val="2"/>
          <w:numId w:val="6"/>
        </w:numPr>
        <w:spacing w:line="360" w:lineRule="auto"/>
        <w:ind w:left="569" w:hanging="569"/>
        <w:outlineLvl w:val="2"/>
        <w:rPr>
          <w:rFonts w:ascii="宋体" w:hAnsi="宋体"/>
          <w:b/>
          <w:bCs/>
          <w:color w:val="auto"/>
          <w:sz w:val="28"/>
          <w:szCs w:val="28"/>
        </w:rPr>
      </w:pPr>
      <w:r>
        <w:rPr>
          <w:rFonts w:hint="eastAsia" w:ascii="宋体" w:hAnsi="宋体"/>
          <w:b/>
          <w:bCs/>
          <w:color w:val="auto"/>
          <w:sz w:val="28"/>
          <w:szCs w:val="28"/>
        </w:rPr>
        <w:t>投标函</w:t>
      </w:r>
    </w:p>
    <w:p>
      <w:pPr>
        <w:spacing w:line="560" w:lineRule="exact"/>
        <w:rPr>
          <w:rFonts w:ascii="宋体" w:hAnsi="宋体"/>
          <w:bCs/>
          <w:color w:val="auto"/>
          <w:sz w:val="28"/>
          <w:szCs w:val="28"/>
        </w:rPr>
      </w:pPr>
      <w:r>
        <w:rPr>
          <w:rFonts w:hint="eastAsia" w:ascii="宋体" w:hAnsi="宋体"/>
          <w:bCs/>
          <w:color w:val="auto"/>
          <w:sz w:val="28"/>
          <w:szCs w:val="28"/>
          <w:lang w:eastAsia="zh-CN"/>
        </w:rPr>
        <w:t>成都东部新区党工委管委会（成都市东部新城办）综合部</w:t>
      </w:r>
      <w:r>
        <w:rPr>
          <w:rFonts w:hint="eastAsia" w:ascii="宋体" w:hAnsi="宋体"/>
          <w:bCs/>
          <w:color w:val="auto"/>
          <w:sz w:val="28"/>
          <w:szCs w:val="28"/>
        </w:rPr>
        <w:t>：</w:t>
      </w:r>
    </w:p>
    <w:p>
      <w:pPr>
        <w:spacing w:line="560" w:lineRule="exact"/>
        <w:ind w:firstLine="565" w:firstLineChars="202"/>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color w:val="auto"/>
          <w:sz w:val="28"/>
          <w:szCs w:val="28"/>
          <w:u w:val="single"/>
          <w:lang w:eastAsia="zh-CN"/>
        </w:rPr>
        <w:t>成都东部新区便民服务中心标准化建设家具采购项目</w:t>
      </w:r>
      <w:r>
        <w:rPr>
          <w:rFonts w:hint="eastAsia" w:ascii="宋体" w:hAnsi="宋体"/>
          <w:b/>
          <w:bCs/>
          <w:color w:val="auto"/>
          <w:sz w:val="28"/>
          <w:szCs w:val="28"/>
          <w:u w:val="single"/>
        </w:rPr>
        <w:t>”（项目编号：</w:t>
      </w:r>
      <w:r>
        <w:rPr>
          <w:rFonts w:hint="eastAsia" w:ascii="宋体" w:hAnsi="宋体"/>
          <w:b/>
          <w:bCs/>
          <w:color w:val="auto"/>
          <w:sz w:val="28"/>
          <w:szCs w:val="28"/>
          <w:u w:val="single"/>
          <w:lang w:eastAsia="zh-CN"/>
        </w:rPr>
        <w:t>东部新区政采（2021）A0064号</w:t>
      </w:r>
      <w:r>
        <w:rPr>
          <w:rFonts w:hint="eastAsia" w:ascii="宋体" w:hAnsi="宋体"/>
          <w:b/>
          <w:bCs/>
          <w:color w:val="auto"/>
          <w:sz w:val="28"/>
          <w:szCs w:val="28"/>
          <w:u w:val="single"/>
        </w:rPr>
        <w:t>）</w:t>
      </w:r>
      <w:r>
        <w:rPr>
          <w:rFonts w:hint="eastAsia" w:ascii="宋体" w:hAnsi="宋体"/>
          <w:bCs/>
          <w:color w:val="auto"/>
          <w:sz w:val="28"/>
          <w:szCs w:val="28"/>
        </w:rPr>
        <w:t>招标文件，决定参加贵单位组织的本项目投标。</w:t>
      </w:r>
    </w:p>
    <w:p>
      <w:pPr>
        <w:numPr>
          <w:ilvl w:val="1"/>
          <w:numId w:val="36"/>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我方自愿按照招标文件规定的各项要求向采购人提供所需货物及服务，</w:t>
      </w:r>
      <w:r>
        <w:rPr>
          <w:rFonts w:hint="eastAsia" w:ascii="宋体" w:hAnsi="宋体"/>
          <w:b/>
          <w:color w:val="auto"/>
          <w:sz w:val="28"/>
          <w:szCs w:val="28"/>
        </w:rPr>
        <w:t>投标报价以《开标一览表》为准</w:t>
      </w:r>
      <w:r>
        <w:rPr>
          <w:rFonts w:hint="eastAsia" w:ascii="宋体" w:hAnsi="宋体"/>
          <w:color w:val="auto"/>
          <w:sz w:val="28"/>
          <w:szCs w:val="28"/>
        </w:rPr>
        <w:t>。</w:t>
      </w:r>
    </w:p>
    <w:p>
      <w:pPr>
        <w:numPr>
          <w:ilvl w:val="1"/>
          <w:numId w:val="36"/>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numPr>
          <w:ilvl w:val="1"/>
          <w:numId w:val="36"/>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numPr>
          <w:ilvl w:val="1"/>
          <w:numId w:val="36"/>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投标有效期为从投标截止之日起120天。</w:t>
      </w:r>
    </w:p>
    <w:p>
      <w:pPr>
        <w:numPr>
          <w:ilvl w:val="1"/>
          <w:numId w:val="36"/>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numPr>
          <w:ilvl w:val="1"/>
          <w:numId w:val="36"/>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我单位联系方式：</w:t>
      </w:r>
      <w:r>
        <w:rPr>
          <w:rFonts w:hint="eastAsia" w:ascii="宋体" w:hAnsi="宋体"/>
          <w:color w:val="auto"/>
          <w:sz w:val="28"/>
          <w:szCs w:val="28"/>
          <w:u w:val="single"/>
        </w:rPr>
        <w:t>XXXX</w:t>
      </w:r>
    </w:p>
    <w:p>
      <w:pPr>
        <w:spacing w:line="360" w:lineRule="auto"/>
        <w:ind w:left="420" w:firstLine="565" w:firstLineChars="202"/>
        <w:rPr>
          <w:rFonts w:ascii="宋体" w:hAnsi="宋体"/>
          <w:color w:val="auto"/>
          <w:sz w:val="28"/>
          <w:szCs w:val="28"/>
          <w:u w:val="single"/>
        </w:rPr>
      </w:pPr>
      <w:r>
        <w:rPr>
          <w:rFonts w:hint="eastAsia" w:ascii="宋体" w:hAnsi="宋体"/>
          <w:color w:val="auto"/>
          <w:sz w:val="28"/>
          <w:szCs w:val="28"/>
        </w:rPr>
        <w:t>地    址：</w:t>
      </w:r>
      <w:r>
        <w:rPr>
          <w:rFonts w:hint="eastAsia" w:ascii="宋体" w:hAnsi="宋体"/>
          <w:color w:val="auto"/>
          <w:sz w:val="28"/>
          <w:szCs w:val="28"/>
          <w:u w:val="single"/>
        </w:rPr>
        <w:t>XXXX</w:t>
      </w:r>
    </w:p>
    <w:p>
      <w:pPr>
        <w:spacing w:line="360" w:lineRule="auto"/>
        <w:ind w:left="420" w:firstLine="565" w:firstLineChars="202"/>
        <w:rPr>
          <w:rFonts w:ascii="宋体" w:hAnsi="宋体"/>
          <w:color w:val="auto"/>
          <w:sz w:val="28"/>
          <w:szCs w:val="28"/>
          <w:u w:val="single"/>
        </w:rPr>
      </w:pPr>
      <w:r>
        <w:rPr>
          <w:rFonts w:hint="eastAsia" w:ascii="宋体" w:hAnsi="宋体"/>
          <w:color w:val="auto"/>
          <w:sz w:val="28"/>
          <w:szCs w:val="28"/>
        </w:rPr>
        <w:t>传    真：</w:t>
      </w:r>
      <w:r>
        <w:rPr>
          <w:rFonts w:hint="eastAsia" w:ascii="宋体" w:hAnsi="宋体"/>
          <w:color w:val="auto"/>
          <w:sz w:val="28"/>
          <w:szCs w:val="28"/>
          <w:u w:val="single"/>
        </w:rPr>
        <w:t>XXXX</w:t>
      </w:r>
    </w:p>
    <w:p>
      <w:pPr>
        <w:spacing w:line="360" w:lineRule="auto"/>
        <w:ind w:left="420" w:firstLine="565" w:firstLineChars="202"/>
        <w:rPr>
          <w:rFonts w:ascii="宋体" w:hAnsi="宋体"/>
          <w:color w:val="auto"/>
          <w:sz w:val="28"/>
          <w:szCs w:val="28"/>
          <w:u w:val="single"/>
        </w:rPr>
      </w:pPr>
      <w:r>
        <w:rPr>
          <w:rFonts w:hint="eastAsia" w:ascii="宋体" w:hAnsi="宋体"/>
          <w:color w:val="auto"/>
          <w:sz w:val="28"/>
          <w:szCs w:val="28"/>
        </w:rPr>
        <w:t>邮政编码：</w:t>
      </w:r>
      <w:r>
        <w:rPr>
          <w:rFonts w:hint="eastAsia" w:ascii="宋体" w:hAnsi="宋体"/>
          <w:color w:val="auto"/>
          <w:sz w:val="28"/>
          <w:szCs w:val="28"/>
          <w:u w:val="single"/>
        </w:rPr>
        <w:t>XXXX</w:t>
      </w:r>
    </w:p>
    <w:p>
      <w:pPr>
        <w:spacing w:after="120" w:line="360" w:lineRule="auto"/>
        <w:ind w:left="420" w:leftChars="200" w:firstLine="560" w:firstLine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spacing w:line="360" w:lineRule="auto"/>
        <w:ind w:left="283" w:leftChars="135" w:firstLine="700" w:firstLineChars="25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bookmarkStart w:id="159" w:name="_Toc314574804"/>
      <w:bookmarkStart w:id="160" w:name="_Toc237145395"/>
      <w:bookmarkStart w:id="161" w:name="_Toc240367172"/>
      <w:bookmarkStart w:id="162" w:name="_Toc240865266"/>
      <w:bookmarkStart w:id="163" w:name="_Toc239846734"/>
      <w:bookmarkStart w:id="164" w:name="_Toc239849853"/>
      <w:bookmarkStart w:id="165" w:name="_Toc265494342"/>
      <w:bookmarkStart w:id="166" w:name="_Toc229802674"/>
      <w:bookmarkStart w:id="167" w:name="_Toc231030275"/>
    </w:p>
    <w:p>
      <w:pPr>
        <w:widowControl/>
        <w:jc w:val="left"/>
        <w:rPr>
          <w:rFonts w:ascii="宋体" w:hAnsi="宋体"/>
          <w:b/>
          <w:bCs/>
          <w:color w:val="auto"/>
          <w:sz w:val="28"/>
          <w:szCs w:val="28"/>
        </w:rPr>
      </w:pPr>
      <w:r>
        <w:rPr>
          <w:rFonts w:ascii="宋体" w:hAnsi="宋体"/>
          <w:b/>
          <w:bCs/>
          <w:color w:val="auto"/>
          <w:sz w:val="28"/>
          <w:szCs w:val="28"/>
        </w:rPr>
        <w:br w:type="page"/>
      </w:r>
    </w:p>
    <w:p>
      <w:pPr>
        <w:keepNext/>
        <w:keepLines/>
        <w:numPr>
          <w:ilvl w:val="2"/>
          <w:numId w:val="6"/>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法定代表人或主要负责人身份证明书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XXXX（法定代表人或主要负责人姓名）</w:t>
      </w:r>
      <w:r>
        <w:rPr>
          <w:rFonts w:hint="eastAsia" w:ascii="宋体" w:hAnsi="宋体"/>
          <w:color w:val="auto"/>
          <w:sz w:val="28"/>
          <w:lang w:val="zh-CN"/>
        </w:rPr>
        <w:t>在</w:t>
      </w:r>
      <w:r>
        <w:rPr>
          <w:rFonts w:hint="eastAsia" w:ascii="宋体" w:hAnsi="宋体"/>
          <w:color w:val="auto"/>
          <w:sz w:val="28"/>
          <w:u w:val="single"/>
          <w:lang w:val="zh-CN"/>
        </w:rPr>
        <w:t>XXXX（投标人名称）</w:t>
      </w:r>
      <w:r>
        <w:rPr>
          <w:rFonts w:hint="eastAsia" w:ascii="宋体" w:hAnsi="宋体"/>
          <w:color w:val="auto"/>
          <w:sz w:val="28"/>
          <w:lang w:val="zh-CN"/>
        </w:rPr>
        <w:t>处任</w:t>
      </w:r>
      <w:r>
        <w:rPr>
          <w:rFonts w:hint="eastAsia" w:ascii="宋体" w:hAnsi="宋体"/>
          <w:color w:val="auto"/>
          <w:sz w:val="28"/>
          <w:u w:val="single"/>
          <w:lang w:val="zh-CN"/>
        </w:rPr>
        <w:t>XXXX（职务名称）</w:t>
      </w:r>
      <w:r>
        <w:rPr>
          <w:rFonts w:hint="eastAsia" w:ascii="宋体" w:hAnsi="宋体"/>
          <w:color w:val="auto"/>
          <w:sz w:val="28"/>
          <w:lang w:val="zh-CN"/>
        </w:rPr>
        <w:t>职务，是</w:t>
      </w:r>
      <w:r>
        <w:rPr>
          <w:rFonts w:hint="eastAsia" w:ascii="宋体" w:hAnsi="宋体"/>
          <w:color w:val="auto"/>
          <w:sz w:val="28"/>
          <w:u w:val="single"/>
          <w:lang w:val="zh-CN"/>
        </w:rPr>
        <w:t>XXXX（投标人名称）</w:t>
      </w:r>
      <w:r>
        <w:rPr>
          <w:rFonts w:hint="eastAsia" w:ascii="宋体" w:hAnsi="宋体"/>
          <w:color w:val="auto"/>
          <w:sz w:val="28"/>
          <w:lang w:val="zh-CN"/>
        </w:rPr>
        <w:t>的法定代表人</w:t>
      </w:r>
      <w:r>
        <w:rPr>
          <w:rFonts w:hint="eastAsia" w:ascii="宋体" w:hAnsi="宋体"/>
          <w:color w:val="auto"/>
          <w:sz w:val="28"/>
          <w:u w:val="single"/>
          <w:lang w:val="zh-CN"/>
        </w:rPr>
        <w:t>或主要负责人</w:t>
      </w:r>
      <w:r>
        <w:rPr>
          <w:rFonts w:hint="eastAsia" w:ascii="宋体" w:hAnsi="宋体"/>
          <w:color w:val="auto"/>
          <w:sz w:val="28"/>
          <w:lang w:val="zh-CN"/>
        </w:rPr>
        <w:t>。</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bookmarkStart w:id="168" w:name="_Toc263768866"/>
      <w:r>
        <w:rPr>
          <w:rFonts w:hint="eastAsia" w:ascii="宋体" w:hAnsi="宋体"/>
          <w:color w:val="auto"/>
          <w:sz w:val="28"/>
          <w:lang w:val="zh-CN"/>
        </w:rPr>
        <w:t>特此证明。</w:t>
      </w:r>
      <w:bookmarkEnd w:id="168"/>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u w:val="single"/>
          <w:lang w:val="zh-CN"/>
        </w:rPr>
        <w:t>XXXX</w:t>
      </w:r>
    </w:p>
    <w:p>
      <w:pPr>
        <w:spacing w:line="360" w:lineRule="auto"/>
        <w:rPr>
          <w:rFonts w:ascii="宋体" w:hAnsi="宋体"/>
          <w:b/>
          <w:color w:val="auto"/>
          <w:sz w:val="28"/>
          <w:u w:val="single"/>
          <w:lang w:val="zh-CN"/>
        </w:rPr>
      </w:pPr>
      <w:r>
        <w:rPr>
          <w:rFonts w:hint="eastAsia" w:ascii="宋体" w:hAnsi="宋体"/>
          <w:color w:val="auto"/>
          <w:sz w:val="28"/>
        </w:rPr>
        <w:t>日期：</w:t>
      </w:r>
      <w:r>
        <w:rPr>
          <w:rFonts w:hint="eastAsia" w:ascii="宋体" w:hAnsi="宋体"/>
          <w:bCs/>
          <w:color w:val="auto"/>
          <w:sz w:val="28"/>
        </w:rPr>
        <w:t>20</w:t>
      </w:r>
      <w:r>
        <w:rPr>
          <w:rFonts w:hint="eastAsia" w:ascii="宋体" w:hAnsi="宋体"/>
          <w:color w:val="auto"/>
          <w:sz w:val="28"/>
          <w:lang w:val="zh-CN"/>
        </w:rPr>
        <w:t>2</w:t>
      </w:r>
      <w:r>
        <w:rPr>
          <w:rFonts w:hint="eastAsia" w:ascii="宋体" w:hAnsi="宋体"/>
          <w:color w:val="auto"/>
          <w:sz w:val="28"/>
          <w:u w:val="single"/>
          <w:lang w:val="zh-CN"/>
        </w:rPr>
        <w:t>X</w:t>
      </w:r>
      <w:r>
        <w:rPr>
          <w:rFonts w:hint="eastAsia" w:ascii="宋体" w:hAnsi="宋体"/>
          <w:bCs/>
          <w:color w:val="auto"/>
          <w:sz w:val="28"/>
        </w:rPr>
        <w:t>年</w:t>
      </w:r>
      <w:r>
        <w:rPr>
          <w:rFonts w:hint="eastAsia" w:ascii="宋体" w:hAnsi="宋体"/>
          <w:color w:val="auto"/>
          <w:sz w:val="28"/>
          <w:u w:val="single"/>
          <w:lang w:val="zh-CN"/>
        </w:rPr>
        <w:t>XX</w:t>
      </w:r>
      <w:r>
        <w:rPr>
          <w:rFonts w:hint="eastAsia" w:ascii="宋体" w:hAnsi="宋体"/>
          <w:bCs/>
          <w:color w:val="auto"/>
          <w:sz w:val="28"/>
        </w:rPr>
        <w:t>月</w:t>
      </w:r>
      <w:r>
        <w:rPr>
          <w:rFonts w:hint="eastAsia" w:ascii="宋体" w:hAnsi="宋体"/>
          <w:color w:val="auto"/>
          <w:sz w:val="28"/>
          <w:u w:val="single"/>
          <w:lang w:val="zh-CN"/>
        </w:rPr>
        <w:t>XX</w:t>
      </w:r>
      <w:r>
        <w:rPr>
          <w:rFonts w:hint="eastAsia" w:ascii="宋体" w:hAnsi="宋体"/>
          <w:bCs/>
          <w:color w:val="auto"/>
          <w:sz w:val="28"/>
        </w:rPr>
        <w:t>日</w:t>
      </w:r>
    </w:p>
    <w:p>
      <w:pPr>
        <w:spacing w:after="180" w:line="360" w:lineRule="auto"/>
        <w:ind w:firstLine="568" w:firstLineChars="202"/>
        <w:rPr>
          <w:rFonts w:ascii="宋体" w:hAnsi="宋体"/>
          <w:b/>
          <w:color w:val="auto"/>
          <w:sz w:val="28"/>
          <w:szCs w:val="28"/>
        </w:rPr>
      </w:pPr>
    </w:p>
    <w:p>
      <w:pPr>
        <w:spacing w:after="180" w:line="360" w:lineRule="auto"/>
        <w:ind w:firstLine="568" w:firstLineChars="202"/>
        <w:rPr>
          <w:rFonts w:ascii="宋体" w:hAnsi="宋体"/>
          <w:b/>
          <w:color w:val="auto"/>
          <w:sz w:val="28"/>
          <w:szCs w:val="28"/>
        </w:rPr>
      </w:pPr>
      <w:r>
        <w:rPr>
          <w:rFonts w:hint="eastAsia" w:ascii="宋体" w:hAnsi="宋体"/>
          <w:b/>
          <w:color w:val="auto"/>
          <w:sz w:val="28"/>
          <w:szCs w:val="28"/>
        </w:rPr>
        <w:t>说明：（1）上述证明文件在投标文件中附有法定代表人或</w:t>
      </w:r>
      <w:r>
        <w:rPr>
          <w:rFonts w:ascii="宋体" w:hAnsi="宋体"/>
          <w:b/>
          <w:color w:val="auto"/>
          <w:sz w:val="28"/>
          <w:szCs w:val="28"/>
        </w:rPr>
        <w:t>主要负责人</w:t>
      </w:r>
      <w:r>
        <w:rPr>
          <w:rFonts w:hint="eastAsia" w:ascii="宋体" w:hAnsi="宋体"/>
          <w:b/>
          <w:color w:val="auto"/>
          <w:sz w:val="28"/>
          <w:szCs w:val="28"/>
        </w:rPr>
        <w:t>身份证复印件（身份证两面均应复印）或护照复印件（投标人的法定代表人</w:t>
      </w:r>
      <w:r>
        <w:rPr>
          <w:rFonts w:hint="eastAsia" w:ascii="宋体" w:hAnsi="宋体"/>
          <w:b/>
          <w:color w:val="auto"/>
          <w:sz w:val="28"/>
          <w:szCs w:val="28"/>
          <w:u w:val="single"/>
        </w:rPr>
        <w:t>或</w:t>
      </w:r>
      <w:r>
        <w:rPr>
          <w:rFonts w:ascii="宋体" w:hAnsi="宋体"/>
          <w:b/>
          <w:color w:val="auto"/>
          <w:sz w:val="28"/>
          <w:szCs w:val="28"/>
          <w:u w:val="single"/>
        </w:rPr>
        <w:t>主要负责人</w:t>
      </w:r>
      <w:r>
        <w:rPr>
          <w:rFonts w:hint="eastAsia" w:ascii="宋体" w:hAnsi="宋体"/>
          <w:b/>
          <w:color w:val="auto"/>
          <w:sz w:val="28"/>
          <w:szCs w:val="28"/>
        </w:rPr>
        <w:t>为外籍人士的，则提供护照复印件）时才能生效。</w:t>
      </w:r>
      <w:r>
        <w:rPr>
          <w:rFonts w:hint="eastAsia" w:ascii="宋体" w:hAnsi="宋体"/>
          <w:b/>
          <w:color w:val="auto"/>
          <w:sz w:val="28"/>
          <w:szCs w:val="28"/>
          <w:lang w:val="zh-CN"/>
        </w:rPr>
        <w:t>（</w:t>
      </w:r>
      <w:r>
        <w:rPr>
          <w:rFonts w:ascii="宋体" w:hAnsi="宋体"/>
          <w:b/>
          <w:color w:val="auto"/>
          <w:sz w:val="28"/>
          <w:szCs w:val="28"/>
          <w:lang w:val="zh-CN"/>
        </w:rPr>
        <w:t>2）主要负责人为</w:t>
      </w:r>
      <w:r>
        <w:rPr>
          <w:rFonts w:hint="eastAsia" w:ascii="宋体" w:hAnsi="宋体"/>
          <w:b/>
          <w:color w:val="auto"/>
          <w:sz w:val="28"/>
          <w:szCs w:val="28"/>
          <w:lang w:val="zh-CN"/>
        </w:rPr>
        <w:t>投标人</w:t>
      </w:r>
      <w:r>
        <w:rPr>
          <w:rFonts w:ascii="宋体" w:hAnsi="宋体"/>
          <w:b/>
          <w:color w:val="auto"/>
          <w:sz w:val="28"/>
          <w:szCs w:val="28"/>
          <w:lang w:val="zh-CN"/>
        </w:rPr>
        <w:t>提供的其</w:t>
      </w:r>
      <w:r>
        <w:rPr>
          <w:rFonts w:hint="eastAsia" w:ascii="宋体" w:hAnsi="宋体"/>
          <w:b/>
          <w:color w:val="auto"/>
          <w:sz w:val="28"/>
          <w:szCs w:val="28"/>
          <w:lang w:val="zh-CN"/>
        </w:rPr>
        <w:t>具有独立承担民事责任能力的</w:t>
      </w:r>
      <w:r>
        <w:rPr>
          <w:rFonts w:ascii="宋体" w:hAnsi="宋体"/>
          <w:b/>
          <w:color w:val="auto"/>
          <w:sz w:val="28"/>
          <w:szCs w:val="28"/>
          <w:lang w:val="zh-CN"/>
        </w:rPr>
        <w:t>证明材料中</w:t>
      </w:r>
      <w:r>
        <w:rPr>
          <w:rFonts w:hint="eastAsia" w:ascii="宋体" w:hAnsi="宋体"/>
          <w:b/>
          <w:color w:val="auto"/>
          <w:sz w:val="28"/>
          <w:szCs w:val="28"/>
          <w:lang w:val="zh-CN"/>
        </w:rPr>
        <w:t>的</w:t>
      </w:r>
      <w:r>
        <w:rPr>
          <w:rFonts w:ascii="宋体" w:hAnsi="宋体"/>
          <w:b/>
          <w:color w:val="auto"/>
          <w:sz w:val="28"/>
          <w:szCs w:val="28"/>
          <w:lang w:val="zh-CN"/>
        </w:rPr>
        <w:t>主要</w:t>
      </w:r>
      <w:r>
        <w:rPr>
          <w:rFonts w:hint="eastAsia" w:ascii="宋体" w:hAnsi="宋体"/>
          <w:b/>
          <w:color w:val="auto"/>
          <w:sz w:val="28"/>
          <w:szCs w:val="28"/>
          <w:lang w:val="zh-CN"/>
        </w:rPr>
        <w:t>负责</w:t>
      </w:r>
      <w:r>
        <w:rPr>
          <w:rFonts w:ascii="宋体" w:hAnsi="宋体"/>
          <w:b/>
          <w:color w:val="auto"/>
          <w:sz w:val="28"/>
          <w:szCs w:val="28"/>
          <w:lang w:val="zh-CN"/>
        </w:rPr>
        <w:t>人员。</w:t>
      </w:r>
      <w:r>
        <w:rPr>
          <w:rFonts w:hint="eastAsia" w:ascii="宋体" w:hAnsi="宋体"/>
          <w:b/>
          <w:color w:val="auto"/>
          <w:sz w:val="28"/>
          <w:szCs w:val="28"/>
        </w:rPr>
        <w:t xml:space="preserve"> </w:t>
      </w:r>
      <w:bookmarkEnd w:id="159"/>
      <w:bookmarkEnd w:id="160"/>
      <w:bookmarkEnd w:id="161"/>
      <w:bookmarkEnd w:id="162"/>
      <w:bookmarkEnd w:id="163"/>
      <w:bookmarkEnd w:id="164"/>
      <w:bookmarkEnd w:id="165"/>
      <w:bookmarkEnd w:id="166"/>
      <w:bookmarkEnd w:id="167"/>
      <w:bookmarkStart w:id="169" w:name="_Toc315871054"/>
      <w:bookmarkEnd w:id="169"/>
      <w:bookmarkStart w:id="170" w:name="_Toc302997926"/>
      <w:bookmarkStart w:id="171" w:name="_Toc263768870"/>
      <w:bookmarkStart w:id="172" w:name="_Toc220299393"/>
      <w:bookmarkStart w:id="173" w:name="_Toc263753605"/>
      <w:bookmarkStart w:id="174" w:name="_Toc217446083"/>
    </w:p>
    <w:p>
      <w:pPr>
        <w:widowControl/>
        <w:jc w:val="left"/>
        <w:rPr>
          <w:rFonts w:ascii="宋体" w:hAnsi="宋体"/>
          <w:b/>
          <w:bCs/>
          <w:color w:val="auto"/>
          <w:sz w:val="28"/>
          <w:szCs w:val="28"/>
        </w:rPr>
      </w:pPr>
      <w:r>
        <w:rPr>
          <w:rFonts w:ascii="宋体" w:hAnsi="宋体"/>
          <w:b/>
          <w:bCs/>
          <w:color w:val="auto"/>
          <w:sz w:val="28"/>
          <w:szCs w:val="28"/>
        </w:rPr>
        <w:br w:type="page"/>
      </w:r>
    </w:p>
    <w:p>
      <w:pPr>
        <w:keepNext/>
        <w:keepLines/>
        <w:numPr>
          <w:ilvl w:val="2"/>
          <w:numId w:val="6"/>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投标人基本情况表</w:t>
      </w:r>
      <w:bookmarkEnd w:id="170"/>
    </w:p>
    <w:tbl>
      <w:tblPr>
        <w:tblStyle w:val="41"/>
        <w:tblW w:w="852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color w:val="auto"/>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法定代表人或主要负责人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统一社会信用代码</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176"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color w:val="auto"/>
                <w:szCs w:val="21"/>
              </w:rPr>
            </w:pPr>
          </w:p>
        </w:tc>
      </w:tr>
    </w:tbl>
    <w:p>
      <w:pPr>
        <w:adjustRightInd w:val="0"/>
        <w:spacing w:line="400" w:lineRule="exact"/>
        <w:rPr>
          <w:rFonts w:ascii="宋体" w:hAnsi="宋体"/>
          <w:bCs/>
          <w:color w:val="auto"/>
          <w:sz w:val="28"/>
          <w:szCs w:val="28"/>
        </w:rPr>
      </w:pPr>
    </w:p>
    <w:p>
      <w:pPr>
        <w:spacing w:after="120" w:line="360" w:lineRule="auto"/>
        <w:ind w:left="420" w:leftChars="20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ab/>
      </w:r>
      <w:r>
        <w:rPr>
          <w:rFonts w:hint="eastAsia" w:ascii="宋体" w:hAnsi="宋体"/>
          <w:bCs/>
          <w:color w:val="auto"/>
          <w:sz w:val="28"/>
          <w:szCs w:val="28"/>
          <w:u w:val="single"/>
        </w:rPr>
        <w:t>XXXX</w:t>
      </w:r>
    </w:p>
    <w:p>
      <w:pPr>
        <w:adjustRightInd w:val="0"/>
        <w:spacing w:line="400" w:lineRule="exact"/>
        <w:ind w:firstLine="700" w:firstLineChars="250"/>
        <w:rPr>
          <w:rFonts w:hint="eastAsia" w:ascii="宋体" w:hAnsi="宋体"/>
          <w:bCs/>
          <w:color w:val="auto"/>
          <w:sz w:val="28"/>
        </w:rPr>
        <w:sectPr>
          <w:pgSz w:w="12240" w:h="15840"/>
          <w:pgMar w:top="1440" w:right="1800" w:bottom="1440" w:left="1800" w:header="708" w:footer="708" w:gutter="0"/>
          <w:cols w:space="708" w:num="1"/>
          <w:docGrid w:linePitch="360" w:charSpace="0"/>
        </w:sect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keepNext/>
        <w:keepLines/>
        <w:numPr>
          <w:ilvl w:val="2"/>
          <w:numId w:val="6"/>
        </w:numPr>
        <w:spacing w:line="360" w:lineRule="auto"/>
        <w:ind w:left="3119" w:hanging="3119"/>
        <w:outlineLvl w:val="2"/>
        <w:rPr>
          <w:rFonts w:hint="eastAsia" w:ascii="宋体" w:hAnsi="宋体" w:eastAsia="宋体" w:cs="宋体"/>
          <w:b/>
          <w:bCs/>
          <w:i w:val="0"/>
          <w:iCs/>
          <w:color w:val="auto"/>
          <w:sz w:val="30"/>
          <w:szCs w:val="30"/>
          <w:highlight w:val="none"/>
          <w:lang w:eastAsia="zh-CN"/>
        </w:rPr>
      </w:pPr>
      <w:bookmarkStart w:id="175" w:name="_Toc497752268"/>
      <w:bookmarkStart w:id="176" w:name="_Toc507188799"/>
      <w:r>
        <w:rPr>
          <w:rFonts w:hint="eastAsia" w:ascii="宋体" w:hAnsi="宋体" w:eastAsia="宋体" w:cs="宋体"/>
          <w:b/>
          <w:bCs/>
          <w:i w:val="0"/>
          <w:iCs/>
          <w:color w:val="auto"/>
          <w:sz w:val="30"/>
          <w:szCs w:val="30"/>
          <w:highlight w:val="none"/>
          <w:lang w:eastAsia="zh-CN"/>
        </w:rPr>
        <w:t>技术应答表</w:t>
      </w:r>
      <w:bookmarkEnd w:id="175"/>
      <w:bookmarkEnd w:id="176"/>
    </w:p>
    <w:p>
      <w:pPr>
        <w:snapToGrid w:val="0"/>
        <w:spacing w:line="360" w:lineRule="auto"/>
        <w:ind w:right="-624" w:rightChars="-297"/>
        <w:rPr>
          <w:rFonts w:hint="eastAsia" w:ascii="宋体" w:hAnsi="宋体" w:eastAsia="宋体"/>
          <w:b/>
          <w:color w:val="auto"/>
          <w:sz w:val="28"/>
          <w:szCs w:val="28"/>
          <w:lang w:eastAsia="zh-CN"/>
        </w:rPr>
      </w:pPr>
      <w:r>
        <w:rPr>
          <w:rFonts w:hint="eastAsia" w:ascii="宋体" w:hAnsi="宋体"/>
          <w:b/>
          <w:color w:val="auto"/>
          <w:sz w:val="28"/>
        </w:rPr>
        <w:t>项目名称：</w:t>
      </w:r>
      <w:r>
        <w:rPr>
          <w:rFonts w:hint="eastAsia" w:ascii="宋体" w:hAnsi="宋体"/>
          <w:b/>
          <w:color w:val="auto"/>
          <w:sz w:val="28"/>
          <w:szCs w:val="28"/>
          <w:u w:val="single"/>
          <w:lang w:eastAsia="zh-CN"/>
        </w:rPr>
        <w:t>成都东部新区便民服务中心标准化建设家具采购项目</w:t>
      </w:r>
    </w:p>
    <w:p>
      <w:pPr>
        <w:snapToGrid w:val="0"/>
        <w:spacing w:line="360" w:lineRule="auto"/>
        <w:ind w:right="-624" w:rightChars="-297"/>
        <w:rPr>
          <w:rFonts w:hint="eastAsia"/>
          <w:color w:val="auto"/>
          <w:lang w:eastAsia="zh-CN"/>
        </w:rPr>
      </w:pPr>
      <w:r>
        <w:rPr>
          <w:rFonts w:hint="eastAsia" w:ascii="宋体" w:hAnsi="宋体"/>
          <w:b/>
          <w:color w:val="auto"/>
          <w:sz w:val="28"/>
        </w:rPr>
        <w:t>项目编号：</w:t>
      </w:r>
      <w:r>
        <w:rPr>
          <w:rFonts w:hint="eastAsia" w:ascii="宋体" w:hAnsi="宋体"/>
          <w:b/>
          <w:color w:val="auto"/>
          <w:sz w:val="28"/>
          <w:u w:val="single"/>
          <w:lang w:eastAsia="zh-CN"/>
        </w:rPr>
        <w:t>东部新区政采（2021）A0064号</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2749"/>
        <w:gridCol w:w="4033"/>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225" w:type="dxa"/>
            <w:noWrap w:val="0"/>
            <w:vAlign w:val="center"/>
          </w:tcPr>
          <w:p>
            <w:pPr>
              <w:tabs>
                <w:tab w:val="left" w:pos="6880"/>
              </w:tabs>
              <w:spacing w:line="360" w:lineRule="auto"/>
              <w:jc w:val="center"/>
              <w:rPr>
                <w:rFonts w:hint="eastAsia" w:ascii="宋体" w:hAnsi="宋体" w:eastAsia="宋体" w:cs="宋体"/>
                <w:b/>
                <w:i w:val="0"/>
                <w:iCs/>
                <w:color w:val="auto"/>
                <w:kern w:val="0"/>
                <w:sz w:val="24"/>
                <w:szCs w:val="24"/>
                <w:highlight w:val="none"/>
              </w:rPr>
            </w:pPr>
            <w:r>
              <w:rPr>
                <w:rFonts w:hint="eastAsia" w:ascii="宋体" w:hAnsi="宋体" w:eastAsia="宋体" w:cs="宋体"/>
                <w:b/>
                <w:i w:val="0"/>
                <w:iCs/>
                <w:color w:val="auto"/>
                <w:kern w:val="0"/>
                <w:sz w:val="24"/>
                <w:szCs w:val="24"/>
                <w:highlight w:val="none"/>
              </w:rPr>
              <w:t>序号</w:t>
            </w:r>
          </w:p>
        </w:tc>
        <w:tc>
          <w:tcPr>
            <w:tcW w:w="2749" w:type="dxa"/>
            <w:noWrap w:val="0"/>
            <w:vAlign w:val="center"/>
          </w:tcPr>
          <w:p>
            <w:pPr>
              <w:tabs>
                <w:tab w:val="left" w:pos="6880"/>
              </w:tabs>
              <w:spacing w:line="360" w:lineRule="auto"/>
              <w:jc w:val="center"/>
              <w:rPr>
                <w:rFonts w:hint="eastAsia" w:ascii="宋体" w:hAnsi="宋体" w:eastAsia="宋体" w:cs="宋体"/>
                <w:b/>
                <w:i w:val="0"/>
                <w:iCs/>
                <w:color w:val="auto"/>
                <w:kern w:val="0"/>
                <w:sz w:val="24"/>
                <w:szCs w:val="24"/>
                <w:highlight w:val="none"/>
              </w:rPr>
            </w:pPr>
            <w:r>
              <w:rPr>
                <w:rFonts w:hint="eastAsia" w:ascii="宋体" w:hAnsi="宋体" w:eastAsia="宋体" w:cs="宋体"/>
                <w:b/>
                <w:i w:val="0"/>
                <w:iCs/>
                <w:color w:val="auto"/>
                <w:kern w:val="0"/>
                <w:sz w:val="24"/>
                <w:szCs w:val="24"/>
                <w:highlight w:val="none"/>
              </w:rPr>
              <w:t>招标文件要求</w:t>
            </w:r>
          </w:p>
        </w:tc>
        <w:tc>
          <w:tcPr>
            <w:tcW w:w="4033" w:type="dxa"/>
            <w:noWrap w:val="0"/>
            <w:vAlign w:val="center"/>
          </w:tcPr>
          <w:p>
            <w:pPr>
              <w:tabs>
                <w:tab w:val="left" w:pos="6880"/>
              </w:tabs>
              <w:spacing w:line="360" w:lineRule="auto"/>
              <w:jc w:val="center"/>
              <w:rPr>
                <w:rFonts w:hint="eastAsia" w:ascii="宋体" w:hAnsi="宋体" w:eastAsia="宋体" w:cs="宋体"/>
                <w:b/>
                <w:i w:val="0"/>
                <w:iCs/>
                <w:color w:val="auto"/>
                <w:kern w:val="0"/>
                <w:sz w:val="24"/>
                <w:szCs w:val="24"/>
                <w:highlight w:val="none"/>
              </w:rPr>
            </w:pPr>
            <w:r>
              <w:rPr>
                <w:rFonts w:hint="eastAsia" w:ascii="宋体" w:hAnsi="宋体" w:eastAsia="宋体" w:cs="宋体"/>
                <w:b/>
                <w:i w:val="0"/>
                <w:iCs/>
                <w:color w:val="auto"/>
                <w:kern w:val="0"/>
                <w:sz w:val="24"/>
                <w:szCs w:val="24"/>
                <w:highlight w:val="none"/>
              </w:rPr>
              <w:t>技术应答</w:t>
            </w:r>
          </w:p>
        </w:tc>
        <w:tc>
          <w:tcPr>
            <w:tcW w:w="1460" w:type="dxa"/>
            <w:noWrap w:val="0"/>
            <w:vAlign w:val="center"/>
          </w:tcPr>
          <w:p>
            <w:pPr>
              <w:tabs>
                <w:tab w:val="left" w:pos="6880"/>
              </w:tabs>
              <w:spacing w:line="360" w:lineRule="auto"/>
              <w:jc w:val="center"/>
              <w:rPr>
                <w:rFonts w:hint="eastAsia" w:ascii="宋体" w:hAnsi="宋体" w:eastAsia="宋体" w:cs="宋体"/>
                <w:b/>
                <w:i w:val="0"/>
                <w:iCs/>
                <w:color w:val="auto"/>
                <w:kern w:val="0"/>
                <w:sz w:val="24"/>
                <w:szCs w:val="24"/>
                <w:highlight w:val="none"/>
              </w:rPr>
            </w:pPr>
            <w:r>
              <w:rPr>
                <w:rFonts w:hint="eastAsia" w:ascii="宋体" w:hAnsi="宋体" w:eastAsia="宋体" w:cs="宋体"/>
                <w:b/>
                <w:i w:val="0"/>
                <w:iCs/>
                <w:color w:val="auto"/>
                <w:kern w:val="0"/>
                <w:sz w:val="24"/>
                <w:szCs w:val="24"/>
                <w:highlight w:val="none"/>
              </w:rPr>
              <w:t>响应/偏离</w:t>
            </w:r>
            <w:r>
              <w:rPr>
                <w:rFonts w:hint="eastAsia" w:ascii="宋体" w:hAnsi="宋体" w:eastAsia="宋体" w:cs="宋体"/>
                <w:b/>
                <w:i w:val="0"/>
                <w:iCs/>
                <w:color w:val="auto"/>
                <w:kern w:val="0"/>
                <w:sz w:val="24"/>
                <w:szCs w:val="24"/>
                <w:highlight w:val="none"/>
                <w:lang w:eastAsia="zh-CN"/>
              </w:rPr>
              <w:t>及</w:t>
            </w:r>
            <w:r>
              <w:rPr>
                <w:rFonts w:hint="eastAsia" w:ascii="宋体" w:hAnsi="宋体" w:eastAsia="宋体" w:cs="宋体"/>
                <w:b/>
                <w:i w:val="0"/>
                <w:iCs/>
                <w:color w:val="auto"/>
                <w:kern w:val="0"/>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25" w:type="dxa"/>
            <w:noWrap w:val="0"/>
            <w:vAlign w:val="center"/>
          </w:tcPr>
          <w:p>
            <w:pPr>
              <w:tabs>
                <w:tab w:val="left" w:pos="34"/>
              </w:tabs>
              <w:spacing w:line="360" w:lineRule="auto"/>
              <w:rPr>
                <w:rFonts w:hint="eastAsia" w:ascii="宋体" w:hAnsi="宋体" w:eastAsia="宋体" w:cs="宋体"/>
                <w:i w:val="0"/>
                <w:iCs/>
                <w:color w:val="auto"/>
                <w:kern w:val="0"/>
                <w:sz w:val="24"/>
                <w:szCs w:val="24"/>
                <w:highlight w:val="none"/>
              </w:rPr>
            </w:pPr>
            <w:r>
              <w:rPr>
                <w:rFonts w:hint="eastAsia" w:ascii="宋体" w:hAnsi="宋体" w:eastAsia="宋体" w:cs="宋体"/>
                <w:i w:val="0"/>
                <w:iCs/>
                <w:color w:val="auto"/>
                <w:kern w:val="0"/>
                <w:sz w:val="24"/>
                <w:szCs w:val="24"/>
                <w:highlight w:val="none"/>
              </w:rPr>
              <w:t>1</w:t>
            </w:r>
          </w:p>
        </w:tc>
        <w:tc>
          <w:tcPr>
            <w:tcW w:w="2749"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4033"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1460"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25" w:type="dxa"/>
            <w:noWrap w:val="0"/>
            <w:vAlign w:val="center"/>
          </w:tcPr>
          <w:p>
            <w:pPr>
              <w:tabs>
                <w:tab w:val="left" w:pos="34"/>
              </w:tabs>
              <w:spacing w:line="360" w:lineRule="auto"/>
              <w:rPr>
                <w:rFonts w:hint="eastAsia" w:ascii="宋体" w:hAnsi="宋体" w:eastAsia="宋体" w:cs="宋体"/>
                <w:i w:val="0"/>
                <w:iCs/>
                <w:color w:val="auto"/>
                <w:kern w:val="0"/>
                <w:sz w:val="24"/>
                <w:szCs w:val="24"/>
                <w:highlight w:val="none"/>
              </w:rPr>
            </w:pPr>
            <w:r>
              <w:rPr>
                <w:rFonts w:hint="eastAsia" w:ascii="宋体" w:hAnsi="宋体" w:eastAsia="宋体" w:cs="宋体"/>
                <w:i w:val="0"/>
                <w:iCs/>
                <w:color w:val="auto"/>
                <w:kern w:val="0"/>
                <w:sz w:val="24"/>
                <w:szCs w:val="24"/>
                <w:highlight w:val="none"/>
              </w:rPr>
              <w:t>2</w:t>
            </w:r>
          </w:p>
        </w:tc>
        <w:tc>
          <w:tcPr>
            <w:tcW w:w="2749"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4033"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1460"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25" w:type="dxa"/>
            <w:noWrap w:val="0"/>
            <w:vAlign w:val="center"/>
          </w:tcPr>
          <w:p>
            <w:pPr>
              <w:tabs>
                <w:tab w:val="left" w:pos="34"/>
              </w:tabs>
              <w:spacing w:line="360" w:lineRule="auto"/>
              <w:rPr>
                <w:rFonts w:hint="eastAsia" w:ascii="宋体" w:hAnsi="宋体" w:eastAsia="宋体" w:cs="宋体"/>
                <w:i w:val="0"/>
                <w:iCs/>
                <w:color w:val="auto"/>
                <w:kern w:val="0"/>
                <w:sz w:val="24"/>
                <w:szCs w:val="24"/>
                <w:highlight w:val="none"/>
              </w:rPr>
            </w:pPr>
            <w:r>
              <w:rPr>
                <w:rFonts w:hint="eastAsia" w:ascii="宋体" w:hAnsi="宋体" w:eastAsia="宋体" w:cs="宋体"/>
                <w:i w:val="0"/>
                <w:iCs/>
                <w:color w:val="auto"/>
                <w:kern w:val="0"/>
                <w:sz w:val="24"/>
                <w:szCs w:val="24"/>
                <w:highlight w:val="none"/>
              </w:rPr>
              <w:t>3</w:t>
            </w:r>
          </w:p>
        </w:tc>
        <w:tc>
          <w:tcPr>
            <w:tcW w:w="2749"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4033"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1460"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25" w:type="dxa"/>
            <w:noWrap w:val="0"/>
            <w:vAlign w:val="center"/>
          </w:tcPr>
          <w:p>
            <w:pPr>
              <w:tabs>
                <w:tab w:val="left" w:pos="34"/>
              </w:tabs>
              <w:spacing w:line="360" w:lineRule="auto"/>
              <w:rPr>
                <w:rFonts w:hint="eastAsia" w:ascii="宋体" w:hAnsi="宋体" w:eastAsia="宋体" w:cs="宋体"/>
                <w:i w:val="0"/>
                <w:iCs/>
                <w:color w:val="auto"/>
                <w:kern w:val="0"/>
                <w:sz w:val="24"/>
                <w:szCs w:val="24"/>
                <w:highlight w:val="none"/>
              </w:rPr>
            </w:pPr>
            <w:r>
              <w:rPr>
                <w:rFonts w:hint="eastAsia" w:ascii="宋体" w:hAnsi="宋体" w:eastAsia="宋体" w:cs="宋体"/>
                <w:i w:val="0"/>
                <w:iCs/>
                <w:color w:val="auto"/>
                <w:kern w:val="0"/>
                <w:sz w:val="24"/>
                <w:szCs w:val="24"/>
                <w:highlight w:val="none"/>
              </w:rPr>
              <w:t>4</w:t>
            </w:r>
          </w:p>
        </w:tc>
        <w:tc>
          <w:tcPr>
            <w:tcW w:w="2749"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4033"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1460"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225" w:type="dxa"/>
            <w:noWrap w:val="0"/>
            <w:vAlign w:val="center"/>
          </w:tcPr>
          <w:p>
            <w:pPr>
              <w:tabs>
                <w:tab w:val="left" w:pos="34"/>
              </w:tabs>
              <w:spacing w:line="360" w:lineRule="auto"/>
              <w:rPr>
                <w:rFonts w:hint="eastAsia" w:ascii="宋体" w:hAnsi="宋体" w:eastAsia="宋体" w:cs="宋体"/>
                <w:i w:val="0"/>
                <w:iCs/>
                <w:color w:val="auto"/>
                <w:kern w:val="0"/>
                <w:sz w:val="24"/>
                <w:szCs w:val="24"/>
                <w:highlight w:val="none"/>
              </w:rPr>
            </w:pPr>
            <w:r>
              <w:rPr>
                <w:rFonts w:hint="eastAsia" w:ascii="宋体" w:hAnsi="宋体" w:eastAsia="宋体" w:cs="宋体"/>
                <w:i w:val="0"/>
                <w:iCs/>
                <w:color w:val="auto"/>
                <w:kern w:val="0"/>
                <w:sz w:val="24"/>
                <w:szCs w:val="24"/>
                <w:highlight w:val="none"/>
              </w:rPr>
              <w:t>5</w:t>
            </w:r>
          </w:p>
        </w:tc>
        <w:tc>
          <w:tcPr>
            <w:tcW w:w="2749"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4033"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1460"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25" w:type="dxa"/>
            <w:noWrap w:val="0"/>
            <w:vAlign w:val="center"/>
          </w:tcPr>
          <w:p>
            <w:pPr>
              <w:tabs>
                <w:tab w:val="left" w:pos="34"/>
              </w:tabs>
              <w:spacing w:line="360" w:lineRule="auto"/>
              <w:rPr>
                <w:rFonts w:hint="eastAsia" w:ascii="宋体" w:hAnsi="宋体" w:eastAsia="宋体" w:cs="宋体"/>
                <w:i w:val="0"/>
                <w:iCs/>
                <w:color w:val="auto"/>
                <w:kern w:val="0"/>
                <w:sz w:val="24"/>
                <w:szCs w:val="24"/>
                <w:highlight w:val="none"/>
              </w:rPr>
            </w:pPr>
            <w:r>
              <w:rPr>
                <w:rFonts w:hint="eastAsia" w:ascii="宋体" w:hAnsi="宋体" w:eastAsia="宋体" w:cs="宋体"/>
                <w:i w:val="0"/>
                <w:iCs/>
                <w:color w:val="auto"/>
                <w:kern w:val="0"/>
                <w:sz w:val="24"/>
                <w:szCs w:val="24"/>
                <w:highlight w:val="none"/>
              </w:rPr>
              <w:t>…</w:t>
            </w:r>
          </w:p>
        </w:tc>
        <w:tc>
          <w:tcPr>
            <w:tcW w:w="2749"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4033"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1460"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25" w:type="dxa"/>
            <w:noWrap w:val="0"/>
            <w:vAlign w:val="center"/>
          </w:tcPr>
          <w:p>
            <w:pPr>
              <w:tabs>
                <w:tab w:val="left" w:pos="34"/>
              </w:tabs>
              <w:spacing w:line="360" w:lineRule="auto"/>
              <w:rPr>
                <w:rFonts w:hint="eastAsia" w:ascii="宋体" w:hAnsi="宋体" w:eastAsia="宋体" w:cs="宋体"/>
                <w:i w:val="0"/>
                <w:iCs/>
                <w:color w:val="auto"/>
                <w:kern w:val="0"/>
                <w:sz w:val="24"/>
                <w:szCs w:val="24"/>
                <w:highlight w:val="none"/>
              </w:rPr>
            </w:pPr>
          </w:p>
        </w:tc>
        <w:tc>
          <w:tcPr>
            <w:tcW w:w="2749"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4033"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1460"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225" w:type="dxa"/>
            <w:noWrap w:val="0"/>
            <w:vAlign w:val="center"/>
          </w:tcPr>
          <w:p>
            <w:pPr>
              <w:tabs>
                <w:tab w:val="left" w:pos="34"/>
              </w:tabs>
              <w:spacing w:line="360" w:lineRule="auto"/>
              <w:rPr>
                <w:rFonts w:hint="eastAsia" w:ascii="宋体" w:hAnsi="宋体" w:eastAsia="宋体" w:cs="宋体"/>
                <w:i w:val="0"/>
                <w:iCs/>
                <w:color w:val="auto"/>
                <w:kern w:val="0"/>
                <w:sz w:val="24"/>
                <w:szCs w:val="24"/>
                <w:highlight w:val="none"/>
              </w:rPr>
            </w:pPr>
          </w:p>
        </w:tc>
        <w:tc>
          <w:tcPr>
            <w:tcW w:w="2749"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4033"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c>
          <w:tcPr>
            <w:tcW w:w="1460" w:type="dxa"/>
            <w:noWrap w:val="0"/>
            <w:vAlign w:val="center"/>
          </w:tcPr>
          <w:p>
            <w:pPr>
              <w:tabs>
                <w:tab w:val="left" w:pos="6880"/>
              </w:tabs>
              <w:spacing w:line="360" w:lineRule="auto"/>
              <w:rPr>
                <w:rFonts w:hint="eastAsia" w:ascii="宋体" w:hAnsi="宋体" w:eastAsia="宋体" w:cs="宋体"/>
                <w:i w:val="0"/>
                <w:iCs/>
                <w:color w:val="auto"/>
                <w:kern w:val="0"/>
                <w:sz w:val="24"/>
                <w:szCs w:val="24"/>
                <w:highlight w:val="none"/>
              </w:rPr>
            </w:pPr>
          </w:p>
        </w:tc>
      </w:tr>
    </w:tbl>
    <w:p>
      <w:pPr>
        <w:spacing w:line="360" w:lineRule="auto"/>
        <w:rPr>
          <w:rFonts w:hint="eastAsia" w:ascii="宋体" w:hAnsi="宋体" w:eastAsia="宋体" w:cs="宋体"/>
          <w:i w:val="0"/>
          <w:iCs/>
          <w:color w:val="auto"/>
          <w:sz w:val="24"/>
          <w:szCs w:val="24"/>
          <w:highlight w:val="none"/>
          <w:lang w:eastAsia="zh-CN"/>
        </w:rPr>
      </w:pPr>
    </w:p>
    <w:p>
      <w:pPr>
        <w:adjustRightInd w:val="0"/>
        <w:spacing w:after="156" w:afterLines="0" w:line="360" w:lineRule="auto"/>
        <w:ind w:firstLine="424" w:firstLineChars="177"/>
        <w:rPr>
          <w:rFonts w:hint="eastAsia" w:ascii="宋体" w:hAnsi="宋体" w:eastAsia="宋体" w:cs="宋体"/>
          <w:i w:val="0"/>
          <w:iCs/>
          <w:color w:val="auto"/>
          <w:sz w:val="24"/>
          <w:szCs w:val="21"/>
          <w:highlight w:val="none"/>
          <w:lang w:eastAsia="zh-CN" w:bidi="ar-SA"/>
        </w:rPr>
      </w:pPr>
      <w:r>
        <w:rPr>
          <w:rFonts w:hint="eastAsia" w:ascii="宋体" w:hAnsi="宋体" w:eastAsia="宋体" w:cs="宋体"/>
          <w:i w:val="0"/>
          <w:iCs/>
          <w:color w:val="auto"/>
          <w:sz w:val="24"/>
          <w:szCs w:val="21"/>
          <w:highlight w:val="none"/>
          <w:lang w:eastAsia="zh-CN" w:bidi="ar-SA"/>
        </w:rPr>
        <w:t>注：</w:t>
      </w:r>
    </w:p>
    <w:p>
      <w:pPr>
        <w:adjustRightInd w:val="0"/>
        <w:spacing w:after="156" w:afterLines="0" w:line="360" w:lineRule="auto"/>
        <w:ind w:firstLine="424" w:firstLineChars="177"/>
        <w:rPr>
          <w:rFonts w:hint="eastAsia" w:ascii="宋体" w:hAnsi="宋体" w:eastAsia="宋体" w:cs="宋体"/>
          <w:i w:val="0"/>
          <w:iCs/>
          <w:color w:val="auto"/>
          <w:sz w:val="24"/>
          <w:szCs w:val="21"/>
          <w:highlight w:val="none"/>
          <w:lang w:eastAsia="zh-CN" w:bidi="ar-SA"/>
        </w:rPr>
      </w:pPr>
      <w:r>
        <w:rPr>
          <w:rFonts w:hint="eastAsia" w:ascii="宋体" w:hAnsi="宋体" w:eastAsia="宋体" w:cs="宋体"/>
          <w:i w:val="0"/>
          <w:iCs/>
          <w:color w:val="auto"/>
          <w:sz w:val="24"/>
          <w:szCs w:val="21"/>
          <w:highlight w:val="none"/>
          <w:lang w:eastAsia="zh-CN" w:bidi="ar-SA"/>
        </w:rPr>
        <w:t>1. 本表针对第六章 “技术及服务要求”内容进行应答。</w:t>
      </w:r>
    </w:p>
    <w:p>
      <w:pPr>
        <w:adjustRightInd w:val="0"/>
        <w:spacing w:after="156" w:afterLines="0" w:line="360" w:lineRule="auto"/>
        <w:ind w:firstLine="424" w:firstLineChars="177"/>
        <w:rPr>
          <w:rFonts w:hint="eastAsia" w:ascii="宋体" w:hAnsi="宋体" w:eastAsia="宋体" w:cs="宋体"/>
          <w:i w:val="0"/>
          <w:iCs/>
          <w:color w:val="auto"/>
          <w:sz w:val="24"/>
          <w:szCs w:val="21"/>
          <w:highlight w:val="none"/>
          <w:lang w:eastAsia="zh-CN" w:bidi="ar-SA"/>
        </w:rPr>
      </w:pPr>
      <w:r>
        <w:rPr>
          <w:rFonts w:hint="eastAsia" w:ascii="宋体" w:hAnsi="宋体" w:eastAsia="宋体" w:cs="宋体"/>
          <w:i w:val="0"/>
          <w:iCs/>
          <w:color w:val="auto"/>
          <w:sz w:val="24"/>
          <w:szCs w:val="21"/>
          <w:highlight w:val="none"/>
          <w:lang w:eastAsia="zh-CN" w:bidi="ar-SA"/>
        </w:rPr>
        <w:t>2．供应商必须据实填写，不得虚假填写，否则将取消其投标或中标资格。</w:t>
      </w:r>
    </w:p>
    <w:p>
      <w:pPr>
        <w:adjustRightInd w:val="0"/>
        <w:spacing w:after="156" w:afterLines="0" w:line="360" w:lineRule="auto"/>
        <w:ind w:firstLine="424" w:firstLineChars="177"/>
        <w:rPr>
          <w:rFonts w:hint="eastAsia" w:ascii="宋体" w:hAnsi="宋体" w:eastAsia="宋体" w:cs="宋体"/>
          <w:i w:val="0"/>
          <w:iCs/>
          <w:color w:val="auto"/>
          <w:sz w:val="24"/>
          <w:szCs w:val="21"/>
          <w:highlight w:val="none"/>
          <w:lang w:eastAsia="zh-CN" w:bidi="ar-SA"/>
        </w:rPr>
      </w:pPr>
      <w:r>
        <w:rPr>
          <w:rFonts w:hint="eastAsia" w:ascii="宋体" w:hAnsi="宋体" w:eastAsia="宋体" w:cs="宋体"/>
          <w:i w:val="0"/>
          <w:iCs/>
          <w:color w:val="auto"/>
          <w:sz w:val="24"/>
          <w:szCs w:val="21"/>
          <w:highlight w:val="none"/>
          <w:lang w:eastAsia="zh-CN" w:bidi="ar-SA"/>
        </w:rPr>
        <w:t>3.可以仅填写偏离项（正偏离或负偏离）。若无偏离项，可在“投标应答”栏填写“全部响应”或在本表不填写任何内容（但须提供本表）。</w:t>
      </w:r>
    </w:p>
    <w:p>
      <w:pPr>
        <w:adjustRightInd w:val="0"/>
        <w:spacing w:after="156" w:afterLines="0" w:line="360" w:lineRule="auto"/>
        <w:ind w:firstLine="424" w:firstLineChars="177"/>
        <w:rPr>
          <w:rFonts w:hint="eastAsia" w:ascii="宋体" w:hAnsi="宋体" w:eastAsia="宋体" w:cs="宋体"/>
          <w:i w:val="0"/>
          <w:iCs/>
          <w:color w:val="auto"/>
          <w:sz w:val="24"/>
          <w:szCs w:val="21"/>
          <w:highlight w:val="none"/>
          <w:lang w:eastAsia="zh-CN" w:bidi="ar-SA"/>
        </w:rPr>
      </w:pPr>
    </w:p>
    <w:p>
      <w:pPr>
        <w:adjustRightInd w:val="0"/>
        <w:spacing w:after="156" w:afterLines="0" w:line="360" w:lineRule="auto"/>
        <w:ind w:firstLine="424" w:firstLineChars="177"/>
        <w:rPr>
          <w:rFonts w:hint="eastAsia" w:ascii="宋体" w:hAnsi="宋体" w:eastAsia="宋体" w:cs="宋体"/>
          <w:i w:val="0"/>
          <w:iCs/>
          <w:color w:val="auto"/>
          <w:sz w:val="24"/>
          <w:szCs w:val="21"/>
          <w:highlight w:val="none"/>
          <w:lang w:eastAsia="zh-CN" w:bidi="ar-SA"/>
        </w:rPr>
      </w:pPr>
      <w:r>
        <w:rPr>
          <w:rFonts w:hint="eastAsia" w:ascii="宋体" w:hAnsi="宋体" w:eastAsia="宋体" w:cs="宋体"/>
          <w:i w:val="0"/>
          <w:iCs/>
          <w:color w:val="auto"/>
          <w:sz w:val="24"/>
          <w:szCs w:val="21"/>
          <w:highlight w:val="none"/>
          <w:lang w:eastAsia="zh-CN" w:bidi="ar-SA"/>
        </w:rPr>
        <w:t>投标人名称：</w:t>
      </w:r>
      <w:r>
        <w:rPr>
          <w:rFonts w:hint="eastAsia" w:ascii="宋体" w:hAnsi="宋体" w:eastAsia="宋体" w:cs="宋体"/>
          <w:i w:val="0"/>
          <w:iCs/>
          <w:color w:val="auto"/>
          <w:sz w:val="24"/>
          <w:szCs w:val="21"/>
          <w:highlight w:val="none"/>
          <w:u w:val="single"/>
          <w:lang w:eastAsia="zh-CN" w:bidi="ar-SA"/>
        </w:rPr>
        <w:tab/>
      </w:r>
      <w:r>
        <w:rPr>
          <w:rFonts w:hint="eastAsia" w:ascii="宋体" w:hAnsi="宋体" w:eastAsia="宋体" w:cs="宋体"/>
          <w:i w:val="0"/>
          <w:iCs/>
          <w:color w:val="auto"/>
          <w:sz w:val="24"/>
          <w:szCs w:val="21"/>
          <w:highlight w:val="none"/>
          <w:u w:val="single"/>
          <w:lang w:eastAsia="zh-CN" w:bidi="ar-SA"/>
        </w:rPr>
        <w:t>XXXX</w:t>
      </w:r>
      <w:r>
        <w:rPr>
          <w:rFonts w:hint="eastAsia" w:ascii="宋体" w:hAnsi="宋体" w:eastAsia="宋体" w:cs="宋体"/>
          <w:i w:val="0"/>
          <w:iCs/>
          <w:color w:val="auto"/>
          <w:sz w:val="24"/>
          <w:szCs w:val="21"/>
          <w:highlight w:val="none"/>
          <w:lang w:eastAsia="zh-CN" w:bidi="ar-SA"/>
        </w:rPr>
        <w:t xml:space="preserve">   </w:t>
      </w:r>
    </w:p>
    <w:p>
      <w:pPr>
        <w:pStyle w:val="2"/>
        <w:ind w:firstLine="480" w:firstLineChars="200"/>
        <w:rPr>
          <w:color w:val="auto"/>
        </w:rPr>
      </w:pPr>
      <w:r>
        <w:rPr>
          <w:rFonts w:hint="eastAsia" w:ascii="宋体" w:hAnsi="宋体" w:eastAsia="宋体" w:cs="宋体"/>
          <w:i w:val="0"/>
          <w:iCs/>
          <w:color w:val="auto"/>
          <w:sz w:val="24"/>
          <w:szCs w:val="21"/>
          <w:highlight w:val="none"/>
          <w:lang w:eastAsia="zh-CN" w:bidi="ar-SA"/>
        </w:rPr>
        <w:t>日期:202X年XX月XX日</w:t>
      </w:r>
    </w:p>
    <w:p>
      <w:pPr>
        <w:adjustRightInd w:val="0"/>
        <w:spacing w:line="400" w:lineRule="exact"/>
        <w:ind w:firstLine="700" w:firstLineChars="250"/>
        <w:rPr>
          <w:rFonts w:ascii="宋体" w:hAnsi="宋体"/>
          <w:bCs/>
          <w:color w:val="auto"/>
          <w:sz w:val="28"/>
        </w:rPr>
      </w:pPr>
    </w:p>
    <w:p>
      <w:pPr>
        <w:adjustRightInd w:val="0"/>
        <w:spacing w:line="400" w:lineRule="exact"/>
        <w:ind w:firstLine="700" w:firstLineChars="250"/>
        <w:rPr>
          <w:rFonts w:ascii="宋体" w:hAnsi="宋体"/>
          <w:bCs/>
          <w:color w:val="auto"/>
          <w:sz w:val="28"/>
          <w:szCs w:val="28"/>
        </w:rPr>
        <w:sectPr>
          <w:pgSz w:w="12240" w:h="15840"/>
          <w:pgMar w:top="1440" w:right="1800" w:bottom="1440" w:left="1800" w:header="708" w:footer="708" w:gutter="0"/>
          <w:cols w:space="708" w:num="1"/>
          <w:docGrid w:linePitch="360" w:charSpace="0"/>
        </w:sectPr>
      </w:pPr>
    </w:p>
    <w:p>
      <w:pPr>
        <w:keepNext/>
        <w:keepLines/>
        <w:numPr>
          <w:ilvl w:val="2"/>
          <w:numId w:val="6"/>
        </w:numPr>
        <w:spacing w:line="360" w:lineRule="auto"/>
        <w:ind w:left="3119" w:hanging="3119"/>
        <w:outlineLvl w:val="2"/>
        <w:rPr>
          <w:rFonts w:hint="eastAsia" w:ascii="宋体" w:hAnsi="宋体" w:eastAsia="宋体" w:cs="宋体"/>
          <w:b/>
          <w:bCs/>
          <w:i w:val="0"/>
          <w:iCs/>
          <w:color w:val="auto"/>
          <w:sz w:val="30"/>
          <w:szCs w:val="30"/>
          <w:highlight w:val="none"/>
          <w:lang w:eastAsia="zh-CN"/>
        </w:rPr>
      </w:pPr>
      <w:r>
        <w:rPr>
          <w:rFonts w:hint="eastAsia" w:ascii="宋体" w:hAnsi="宋体" w:eastAsia="宋体" w:cs="宋体"/>
          <w:b/>
          <w:bCs/>
          <w:i w:val="0"/>
          <w:iCs/>
          <w:color w:val="auto"/>
          <w:sz w:val="30"/>
          <w:szCs w:val="30"/>
          <w:highlight w:val="none"/>
          <w:lang w:eastAsia="zh-CN"/>
        </w:rPr>
        <w:t>商务应答表</w:t>
      </w:r>
    </w:p>
    <w:p>
      <w:pPr>
        <w:snapToGrid w:val="0"/>
        <w:spacing w:line="360" w:lineRule="auto"/>
        <w:ind w:right="-624" w:rightChars="-297"/>
        <w:rPr>
          <w:rFonts w:hint="eastAsia" w:ascii="宋体" w:hAnsi="宋体" w:eastAsia="宋体"/>
          <w:b/>
          <w:color w:val="auto"/>
          <w:sz w:val="28"/>
          <w:szCs w:val="28"/>
          <w:lang w:eastAsia="zh-CN"/>
        </w:rPr>
      </w:pPr>
      <w:r>
        <w:rPr>
          <w:rFonts w:hint="eastAsia" w:ascii="宋体" w:hAnsi="宋体"/>
          <w:b/>
          <w:color w:val="auto"/>
          <w:sz w:val="28"/>
        </w:rPr>
        <w:t>项目名称：</w:t>
      </w:r>
      <w:r>
        <w:rPr>
          <w:rFonts w:hint="eastAsia" w:ascii="宋体" w:hAnsi="宋体"/>
          <w:b/>
          <w:color w:val="auto"/>
          <w:sz w:val="28"/>
          <w:szCs w:val="28"/>
          <w:u w:val="single"/>
          <w:lang w:eastAsia="zh-CN"/>
        </w:rPr>
        <w:t>成都东部新区便民服务中心标准化建设家具采购项目</w:t>
      </w:r>
    </w:p>
    <w:p>
      <w:pPr>
        <w:snapToGrid w:val="0"/>
        <w:spacing w:line="360" w:lineRule="auto"/>
        <w:ind w:right="-624" w:rightChars="-297"/>
        <w:rPr>
          <w:rFonts w:hint="eastAsia"/>
          <w:color w:val="auto"/>
          <w:lang w:eastAsia="zh-CN"/>
        </w:rPr>
      </w:pPr>
      <w:r>
        <w:rPr>
          <w:rFonts w:hint="eastAsia" w:ascii="宋体" w:hAnsi="宋体"/>
          <w:b/>
          <w:color w:val="auto"/>
          <w:sz w:val="28"/>
        </w:rPr>
        <w:t>项目编号：</w:t>
      </w:r>
      <w:r>
        <w:rPr>
          <w:rFonts w:hint="eastAsia" w:ascii="宋体" w:hAnsi="宋体"/>
          <w:b/>
          <w:color w:val="auto"/>
          <w:sz w:val="28"/>
          <w:u w:val="single"/>
          <w:lang w:eastAsia="zh-CN"/>
        </w:rPr>
        <w:t>东部新区政采（2021）A0064号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914"/>
        <w:gridCol w:w="2771"/>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957" w:type="dxa"/>
            <w:noWrap w:val="0"/>
            <w:vAlign w:val="center"/>
          </w:tcPr>
          <w:p>
            <w:pPr>
              <w:spacing w:after="156" w:afterLines="0" w:line="360" w:lineRule="auto"/>
              <w:jc w:val="center"/>
              <w:rPr>
                <w:rFonts w:hint="eastAsia" w:ascii="宋体" w:hAnsi="宋体" w:eastAsia="宋体" w:cs="宋体"/>
                <w:b/>
                <w:i w:val="0"/>
                <w:iCs/>
                <w:color w:val="auto"/>
                <w:sz w:val="24"/>
                <w:szCs w:val="24"/>
                <w:highlight w:val="none"/>
              </w:rPr>
            </w:pPr>
            <w:r>
              <w:rPr>
                <w:rFonts w:hint="eastAsia" w:ascii="宋体" w:hAnsi="宋体" w:eastAsia="宋体" w:cs="宋体"/>
                <w:b/>
                <w:i w:val="0"/>
                <w:iCs/>
                <w:color w:val="auto"/>
                <w:sz w:val="24"/>
                <w:szCs w:val="24"/>
                <w:highlight w:val="none"/>
              </w:rPr>
              <w:t>序号</w:t>
            </w:r>
          </w:p>
        </w:tc>
        <w:tc>
          <w:tcPr>
            <w:tcW w:w="2914" w:type="dxa"/>
            <w:noWrap w:val="0"/>
            <w:vAlign w:val="center"/>
          </w:tcPr>
          <w:p>
            <w:pPr>
              <w:spacing w:after="156" w:afterLines="0" w:line="360" w:lineRule="auto"/>
              <w:jc w:val="center"/>
              <w:rPr>
                <w:rFonts w:hint="eastAsia" w:ascii="宋体" w:hAnsi="宋体" w:eastAsia="宋体" w:cs="宋体"/>
                <w:b/>
                <w:i w:val="0"/>
                <w:iCs/>
                <w:color w:val="auto"/>
                <w:sz w:val="24"/>
                <w:szCs w:val="24"/>
                <w:highlight w:val="none"/>
              </w:rPr>
            </w:pPr>
            <w:r>
              <w:rPr>
                <w:rFonts w:hint="eastAsia" w:ascii="宋体" w:hAnsi="宋体" w:eastAsia="宋体" w:cs="宋体"/>
                <w:b/>
                <w:i w:val="0"/>
                <w:iCs/>
                <w:color w:val="auto"/>
                <w:sz w:val="24"/>
                <w:szCs w:val="24"/>
                <w:highlight w:val="none"/>
              </w:rPr>
              <w:t>招标要求</w:t>
            </w:r>
          </w:p>
        </w:tc>
        <w:tc>
          <w:tcPr>
            <w:tcW w:w="2771" w:type="dxa"/>
            <w:noWrap w:val="0"/>
            <w:vAlign w:val="center"/>
          </w:tcPr>
          <w:p>
            <w:pPr>
              <w:spacing w:after="156" w:afterLines="0" w:line="360" w:lineRule="auto"/>
              <w:jc w:val="center"/>
              <w:rPr>
                <w:rFonts w:hint="eastAsia" w:ascii="宋体" w:hAnsi="宋体" w:eastAsia="宋体" w:cs="宋体"/>
                <w:b/>
                <w:i w:val="0"/>
                <w:iCs/>
                <w:color w:val="auto"/>
                <w:sz w:val="24"/>
                <w:szCs w:val="24"/>
                <w:highlight w:val="none"/>
              </w:rPr>
            </w:pPr>
            <w:r>
              <w:rPr>
                <w:rFonts w:hint="eastAsia" w:ascii="宋体" w:hAnsi="宋体" w:eastAsia="宋体" w:cs="宋体"/>
                <w:b/>
                <w:i w:val="0"/>
                <w:iCs/>
                <w:color w:val="auto"/>
                <w:sz w:val="24"/>
                <w:szCs w:val="24"/>
                <w:highlight w:val="none"/>
              </w:rPr>
              <w:t>投标应答</w:t>
            </w:r>
          </w:p>
        </w:tc>
        <w:tc>
          <w:tcPr>
            <w:tcW w:w="2166" w:type="dxa"/>
            <w:noWrap w:val="0"/>
            <w:vAlign w:val="center"/>
          </w:tcPr>
          <w:p>
            <w:pPr>
              <w:spacing w:after="156" w:afterLines="0" w:line="360" w:lineRule="auto"/>
              <w:jc w:val="center"/>
              <w:rPr>
                <w:rFonts w:hint="eastAsia" w:ascii="宋体" w:hAnsi="宋体" w:eastAsia="宋体" w:cs="宋体"/>
                <w:b/>
                <w:i w:val="0"/>
                <w:iCs/>
                <w:color w:val="auto"/>
                <w:sz w:val="24"/>
                <w:szCs w:val="24"/>
                <w:highlight w:val="none"/>
                <w:lang w:eastAsia="zh-CN"/>
              </w:rPr>
            </w:pPr>
            <w:r>
              <w:rPr>
                <w:rFonts w:hint="eastAsia" w:ascii="宋体" w:hAnsi="宋体" w:eastAsia="宋体" w:cs="宋体"/>
                <w:b/>
                <w:i w:val="0"/>
                <w:iCs/>
                <w:color w:val="auto"/>
                <w:sz w:val="24"/>
                <w:szCs w:val="24"/>
                <w:highlight w:val="none"/>
                <w:lang w:eastAsia="zh-CN"/>
              </w:rPr>
              <w:t>响应/偏离及说明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957"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914"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771"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c>
          <w:tcPr>
            <w:tcW w:w="2166" w:type="dxa"/>
            <w:noWrap w:val="0"/>
            <w:vAlign w:val="top"/>
          </w:tcPr>
          <w:p>
            <w:pPr>
              <w:spacing w:after="156" w:afterLines="0" w:line="360" w:lineRule="auto"/>
              <w:rPr>
                <w:rFonts w:hint="eastAsia" w:ascii="宋体" w:hAnsi="宋体" w:eastAsia="宋体" w:cs="宋体"/>
                <w:i w:val="0"/>
                <w:iCs/>
                <w:color w:val="auto"/>
                <w:sz w:val="24"/>
                <w:szCs w:val="24"/>
                <w:highlight w:val="none"/>
                <w:lang w:eastAsia="zh-CN"/>
              </w:rPr>
            </w:pPr>
          </w:p>
        </w:tc>
      </w:tr>
    </w:tbl>
    <w:p>
      <w:pPr>
        <w:spacing w:before="156" w:beforeLines="50" w:after="156" w:afterLines="0" w:line="360" w:lineRule="auto"/>
        <w:ind w:left="708" w:hanging="708" w:hangingChars="295"/>
        <w:rPr>
          <w:rFonts w:hint="eastAsia" w:ascii="宋体" w:hAnsi="宋体" w:eastAsia="宋体" w:cs="宋体"/>
          <w:i w:val="0"/>
          <w:iCs/>
          <w:color w:val="auto"/>
          <w:sz w:val="24"/>
          <w:szCs w:val="24"/>
          <w:highlight w:val="none"/>
          <w:lang w:eastAsia="zh-CN"/>
        </w:rPr>
      </w:pPr>
    </w:p>
    <w:p>
      <w:pPr>
        <w:spacing w:after="156" w:afterLines="0" w:line="360" w:lineRule="auto"/>
        <w:rPr>
          <w:rFonts w:hint="eastAsia" w:ascii="宋体" w:hAnsi="宋体" w:eastAsia="宋体" w:cs="宋体"/>
          <w:bCs/>
          <w:i w:val="0"/>
          <w:iCs/>
          <w:color w:val="auto"/>
          <w:sz w:val="24"/>
          <w:szCs w:val="24"/>
          <w:highlight w:val="none"/>
          <w:lang w:eastAsia="zh-CN"/>
        </w:rPr>
      </w:pPr>
      <w:r>
        <w:rPr>
          <w:rFonts w:hint="eastAsia" w:ascii="宋体" w:hAnsi="宋体" w:eastAsia="宋体" w:cs="宋体"/>
          <w:bCs/>
          <w:i w:val="0"/>
          <w:iCs/>
          <w:color w:val="auto"/>
          <w:sz w:val="24"/>
          <w:szCs w:val="24"/>
          <w:highlight w:val="none"/>
          <w:lang w:eastAsia="zh-CN"/>
        </w:rPr>
        <w:t>注：1.供应商必须据实填写，不得虚假应答，否则将取消其投标或中标资格。</w:t>
      </w:r>
    </w:p>
    <w:p>
      <w:pPr>
        <w:spacing w:after="156" w:afterLines="0" w:line="360" w:lineRule="auto"/>
        <w:rPr>
          <w:rFonts w:hint="eastAsia" w:ascii="宋体" w:hAnsi="宋体" w:eastAsia="宋体" w:cs="宋体"/>
          <w:bCs/>
          <w:i w:val="0"/>
          <w:iCs/>
          <w:color w:val="auto"/>
          <w:sz w:val="24"/>
          <w:szCs w:val="24"/>
          <w:highlight w:val="none"/>
          <w:lang w:eastAsia="zh-CN"/>
        </w:rPr>
      </w:pPr>
      <w:r>
        <w:rPr>
          <w:rFonts w:hint="eastAsia" w:ascii="宋体" w:hAnsi="宋体" w:eastAsia="宋体" w:cs="宋体"/>
          <w:bCs/>
          <w:i w:val="0"/>
          <w:iCs/>
          <w:color w:val="auto"/>
          <w:sz w:val="24"/>
          <w:szCs w:val="24"/>
          <w:highlight w:val="none"/>
          <w:lang w:eastAsia="zh-CN"/>
        </w:rPr>
        <w:t>2.本表针对“第六章  中的商务要求 、第八章 ”内容进行应答。</w:t>
      </w:r>
    </w:p>
    <w:p>
      <w:pPr>
        <w:spacing w:after="156" w:afterLines="0" w:line="360" w:lineRule="auto"/>
        <w:rPr>
          <w:rFonts w:hint="eastAsia" w:ascii="宋体" w:hAnsi="宋体" w:eastAsia="宋体" w:cs="宋体"/>
          <w:bCs/>
          <w:i w:val="0"/>
          <w:iCs/>
          <w:color w:val="auto"/>
          <w:sz w:val="24"/>
          <w:szCs w:val="24"/>
          <w:highlight w:val="none"/>
          <w:lang w:eastAsia="zh-CN"/>
        </w:rPr>
      </w:pPr>
      <w:r>
        <w:rPr>
          <w:rFonts w:hint="eastAsia" w:ascii="宋体" w:hAnsi="宋体" w:eastAsia="宋体" w:cs="宋体"/>
          <w:bCs/>
          <w:i w:val="0"/>
          <w:iCs/>
          <w:color w:val="auto"/>
          <w:sz w:val="24"/>
          <w:szCs w:val="24"/>
          <w:highlight w:val="none"/>
          <w:lang w:eastAsia="zh-CN"/>
        </w:rPr>
        <w:t>3.可以仅填写偏离项（正偏离或负偏离）。若无偏离项，可在“投标应答”栏填写“全部响应”或在本表不填写任何内容（但须提供本表）。</w:t>
      </w:r>
    </w:p>
    <w:p>
      <w:pPr>
        <w:spacing w:after="156" w:afterLines="0" w:line="360" w:lineRule="auto"/>
        <w:rPr>
          <w:rFonts w:hint="eastAsia" w:ascii="宋体" w:hAnsi="宋体" w:eastAsia="宋体" w:cs="宋体"/>
          <w:bCs/>
          <w:i w:val="0"/>
          <w:iCs/>
          <w:color w:val="auto"/>
          <w:sz w:val="24"/>
          <w:szCs w:val="24"/>
          <w:highlight w:val="none"/>
          <w:lang w:eastAsia="zh-CN"/>
        </w:rPr>
      </w:pPr>
    </w:p>
    <w:p>
      <w:pPr>
        <w:spacing w:after="156" w:afterLines="0" w:line="360" w:lineRule="auto"/>
        <w:rPr>
          <w:rFonts w:hint="eastAsia" w:ascii="宋体" w:hAnsi="宋体" w:eastAsia="宋体" w:cs="宋体"/>
          <w:bCs/>
          <w:i w:val="0"/>
          <w:iCs/>
          <w:color w:val="auto"/>
          <w:sz w:val="24"/>
          <w:szCs w:val="24"/>
          <w:highlight w:val="none"/>
          <w:lang w:eastAsia="zh-CN"/>
        </w:rPr>
      </w:pPr>
      <w:r>
        <w:rPr>
          <w:rFonts w:hint="eastAsia" w:ascii="宋体" w:hAnsi="宋体" w:eastAsia="宋体" w:cs="宋体"/>
          <w:bCs/>
          <w:i w:val="0"/>
          <w:iCs/>
          <w:color w:val="auto"/>
          <w:sz w:val="24"/>
          <w:szCs w:val="24"/>
          <w:highlight w:val="none"/>
          <w:lang w:eastAsia="zh-CN"/>
        </w:rPr>
        <w:t>投标人名称：</w:t>
      </w:r>
      <w:r>
        <w:rPr>
          <w:rFonts w:hint="eastAsia" w:ascii="宋体" w:hAnsi="宋体" w:eastAsia="宋体" w:cs="宋体"/>
          <w:bCs/>
          <w:i w:val="0"/>
          <w:iCs/>
          <w:color w:val="auto"/>
          <w:sz w:val="24"/>
          <w:szCs w:val="24"/>
          <w:highlight w:val="none"/>
          <w:u w:val="single"/>
          <w:lang w:eastAsia="zh-CN"/>
        </w:rPr>
        <w:t xml:space="preserve"> </w:t>
      </w:r>
      <w:r>
        <w:rPr>
          <w:rFonts w:hint="eastAsia" w:ascii="宋体" w:hAnsi="宋体" w:eastAsia="宋体" w:cs="宋体"/>
          <w:bCs/>
          <w:i w:val="0"/>
          <w:iCs/>
          <w:color w:val="auto"/>
          <w:sz w:val="24"/>
          <w:szCs w:val="24"/>
          <w:highlight w:val="none"/>
          <w:u w:val="single"/>
          <w:lang w:eastAsia="zh-CN"/>
        </w:rPr>
        <w:tab/>
      </w:r>
      <w:r>
        <w:rPr>
          <w:rFonts w:hint="eastAsia" w:ascii="宋体" w:hAnsi="宋体" w:eastAsia="宋体" w:cs="宋体"/>
          <w:bCs/>
          <w:i w:val="0"/>
          <w:iCs/>
          <w:color w:val="auto"/>
          <w:sz w:val="24"/>
          <w:szCs w:val="24"/>
          <w:highlight w:val="none"/>
          <w:u w:val="single"/>
          <w:lang w:eastAsia="zh-CN"/>
        </w:rPr>
        <w:t xml:space="preserve">XXXX  </w:t>
      </w:r>
      <w:r>
        <w:rPr>
          <w:rFonts w:hint="eastAsia" w:ascii="宋体" w:hAnsi="宋体" w:eastAsia="宋体" w:cs="宋体"/>
          <w:bCs/>
          <w:i w:val="0"/>
          <w:iCs/>
          <w:color w:val="auto"/>
          <w:sz w:val="24"/>
          <w:szCs w:val="24"/>
          <w:highlight w:val="none"/>
          <w:lang w:eastAsia="zh-CN"/>
        </w:rPr>
        <w:t xml:space="preserve"> </w:t>
      </w:r>
    </w:p>
    <w:p>
      <w:pPr>
        <w:pStyle w:val="2"/>
        <w:rPr>
          <w:color w:val="auto"/>
        </w:rPr>
        <w:sectPr>
          <w:pgSz w:w="12240" w:h="15840"/>
          <w:pgMar w:top="1440" w:right="1800" w:bottom="1440" w:left="1800" w:header="708" w:footer="708" w:gutter="0"/>
          <w:cols w:space="708" w:num="1"/>
          <w:docGrid w:linePitch="360" w:charSpace="0"/>
        </w:sectPr>
      </w:pPr>
      <w:r>
        <w:rPr>
          <w:rFonts w:hint="eastAsia" w:ascii="宋体" w:hAnsi="宋体" w:eastAsia="宋体" w:cs="宋体"/>
          <w:bCs/>
          <w:i w:val="0"/>
          <w:iCs/>
          <w:color w:val="auto"/>
          <w:sz w:val="24"/>
          <w:szCs w:val="24"/>
          <w:highlight w:val="none"/>
          <w:lang w:eastAsia="zh-CN"/>
        </w:rPr>
        <w:t>日期:202X年XX月XX日</w:t>
      </w:r>
    </w:p>
    <w:p>
      <w:pPr>
        <w:rPr>
          <w:color w:val="auto"/>
        </w:rPr>
      </w:pPr>
    </w:p>
    <w:bookmarkEnd w:id="171"/>
    <w:bookmarkEnd w:id="172"/>
    <w:bookmarkEnd w:id="173"/>
    <w:p>
      <w:pPr>
        <w:keepNext/>
        <w:keepLines/>
        <w:numPr>
          <w:ilvl w:val="2"/>
          <w:numId w:val="6"/>
        </w:numPr>
        <w:spacing w:line="360" w:lineRule="auto"/>
        <w:ind w:left="142" w:hanging="142"/>
        <w:outlineLvl w:val="2"/>
        <w:rPr>
          <w:rFonts w:ascii="宋体" w:hAnsi="宋体"/>
          <w:b/>
          <w:bCs/>
          <w:color w:val="auto"/>
          <w:sz w:val="28"/>
          <w:szCs w:val="28"/>
        </w:rPr>
      </w:pPr>
      <w:bookmarkStart w:id="177" w:name="_Toc263768877"/>
      <w:bookmarkStart w:id="178" w:name="_Toc302997928"/>
      <w:bookmarkStart w:id="179" w:name="_Toc263753619"/>
      <w:r>
        <w:rPr>
          <w:rFonts w:hint="eastAsia" w:ascii="宋体" w:hAnsi="宋体"/>
          <w:b/>
          <w:bCs/>
          <w:color w:val="auto"/>
          <w:sz w:val="28"/>
          <w:szCs w:val="28"/>
        </w:rPr>
        <w:t>投标产品技术性能、技术参数和配置的详细描述</w:t>
      </w:r>
    </w:p>
    <w:p>
      <w:pPr>
        <w:snapToGrid w:val="0"/>
        <w:spacing w:line="360" w:lineRule="auto"/>
        <w:ind w:right="-624" w:rightChars="-297"/>
        <w:rPr>
          <w:rFonts w:hint="eastAsia" w:ascii="宋体" w:hAnsi="宋体" w:eastAsia="宋体"/>
          <w:b/>
          <w:color w:val="auto"/>
          <w:sz w:val="28"/>
          <w:lang w:eastAsia="zh-CN"/>
        </w:rPr>
      </w:pPr>
      <w:r>
        <w:rPr>
          <w:rFonts w:hint="eastAsia" w:ascii="宋体" w:hAnsi="宋体"/>
          <w:b/>
          <w:color w:val="auto"/>
          <w:sz w:val="28"/>
        </w:rPr>
        <w:t>项目名称：</w:t>
      </w:r>
      <w:r>
        <w:rPr>
          <w:rFonts w:hint="eastAsia" w:ascii="宋体" w:hAnsi="宋体"/>
          <w:b/>
          <w:color w:val="auto"/>
          <w:sz w:val="28"/>
          <w:u w:val="single"/>
          <w:lang w:eastAsia="zh-CN"/>
        </w:rPr>
        <w:t>成都东部新区便民服务中心标准化建设家具采购项目</w:t>
      </w:r>
    </w:p>
    <w:p>
      <w:pPr>
        <w:snapToGrid w:val="0"/>
        <w:spacing w:line="360" w:lineRule="auto"/>
        <w:ind w:right="-624" w:rightChars="-297"/>
        <w:rPr>
          <w:rFonts w:hint="eastAsia" w:ascii="宋体" w:hAnsi="宋体" w:eastAsia="宋体"/>
          <w:color w:val="auto"/>
          <w:lang w:eastAsia="zh-CN"/>
        </w:rPr>
      </w:pPr>
      <w:r>
        <w:rPr>
          <w:rFonts w:hint="eastAsia" w:ascii="宋体" w:hAnsi="宋体"/>
          <w:b/>
          <w:color w:val="auto"/>
          <w:sz w:val="28"/>
        </w:rPr>
        <w:t>项目编号：</w:t>
      </w:r>
      <w:r>
        <w:rPr>
          <w:rFonts w:hint="eastAsia" w:ascii="宋体" w:hAnsi="宋体"/>
          <w:b/>
          <w:color w:val="auto"/>
          <w:sz w:val="28"/>
          <w:szCs w:val="28"/>
          <w:u w:val="single"/>
          <w:lang w:eastAsia="zh-CN"/>
        </w:rPr>
        <w:t>东部新区政采（2021）A0064号</w:t>
      </w:r>
    </w:p>
    <w:p>
      <w:pPr>
        <w:spacing w:line="360" w:lineRule="auto"/>
        <w:rPr>
          <w:rFonts w:ascii="宋体" w:hAnsi="宋体"/>
          <w:b/>
          <w:color w:val="auto"/>
          <w:sz w:val="28"/>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keepNext/>
        <w:keepLines/>
        <w:numPr>
          <w:ilvl w:val="2"/>
          <w:numId w:val="6"/>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售后服务及承诺</w:t>
      </w:r>
      <w:bookmarkEnd w:id="177"/>
      <w:bookmarkEnd w:id="178"/>
      <w:bookmarkEnd w:id="179"/>
    </w:p>
    <w:p>
      <w:pPr>
        <w:snapToGrid w:val="0"/>
        <w:spacing w:line="360" w:lineRule="auto"/>
        <w:ind w:right="-624" w:rightChars="-297"/>
        <w:rPr>
          <w:rFonts w:hint="eastAsia" w:ascii="宋体" w:hAnsi="宋体" w:eastAsia="宋体"/>
          <w:b/>
          <w:color w:val="auto"/>
          <w:sz w:val="28"/>
          <w:szCs w:val="28"/>
          <w:lang w:eastAsia="zh-CN"/>
        </w:rPr>
      </w:pPr>
      <w:r>
        <w:rPr>
          <w:rFonts w:hint="eastAsia" w:ascii="宋体" w:hAnsi="宋体"/>
          <w:b/>
          <w:color w:val="auto"/>
          <w:sz w:val="28"/>
        </w:rPr>
        <w:t>项目名称：</w:t>
      </w:r>
      <w:r>
        <w:rPr>
          <w:rFonts w:hint="eastAsia" w:ascii="宋体" w:hAnsi="宋体"/>
          <w:b/>
          <w:color w:val="auto"/>
          <w:sz w:val="28"/>
          <w:szCs w:val="28"/>
          <w:u w:val="single"/>
          <w:lang w:eastAsia="zh-CN"/>
        </w:rPr>
        <w:t>成都东部新区便民服务中心标准化建设家具采购项目</w:t>
      </w:r>
    </w:p>
    <w:p>
      <w:pPr>
        <w:snapToGrid w:val="0"/>
        <w:spacing w:line="360" w:lineRule="auto"/>
        <w:ind w:right="-624" w:rightChars="-297"/>
        <w:rPr>
          <w:rFonts w:hint="eastAsia" w:ascii="宋体" w:hAnsi="宋体" w:eastAsia="宋体"/>
          <w:b/>
          <w:color w:val="auto"/>
          <w:sz w:val="28"/>
          <w:lang w:eastAsia="zh-CN"/>
        </w:rPr>
      </w:pPr>
      <w:r>
        <w:rPr>
          <w:rFonts w:hint="eastAsia" w:ascii="宋体" w:hAnsi="宋体"/>
          <w:b/>
          <w:color w:val="auto"/>
          <w:sz w:val="28"/>
        </w:rPr>
        <w:t>项目编号：</w:t>
      </w:r>
      <w:r>
        <w:rPr>
          <w:rFonts w:hint="eastAsia" w:ascii="宋体" w:hAnsi="宋体"/>
          <w:b/>
          <w:color w:val="auto"/>
          <w:sz w:val="28"/>
          <w:u w:val="single"/>
          <w:lang w:eastAsia="zh-CN"/>
        </w:rPr>
        <w:t>东部新区政采（2021）A0064号</w:t>
      </w:r>
    </w:p>
    <w:p>
      <w:pPr>
        <w:tabs>
          <w:tab w:val="left" w:pos="720"/>
        </w:tabs>
        <w:spacing w:line="360" w:lineRule="auto"/>
        <w:ind w:firstLine="560" w:firstLineChars="200"/>
        <w:rPr>
          <w:rFonts w:ascii="宋体" w:hAnsi="宋体"/>
          <w:color w:val="auto"/>
          <w:sz w:val="28"/>
        </w:rPr>
      </w:pPr>
      <w:r>
        <w:rPr>
          <w:rFonts w:hint="eastAsia" w:ascii="宋体" w:hAnsi="宋体"/>
          <w:color w:val="auto"/>
          <w:sz w:val="28"/>
        </w:rPr>
        <w:t>一、验收标准</w:t>
      </w:r>
    </w:p>
    <w:p>
      <w:pPr>
        <w:spacing w:line="360" w:lineRule="auto"/>
        <w:ind w:firstLine="565" w:firstLineChars="202"/>
        <w:rPr>
          <w:rFonts w:ascii="宋体" w:hAnsi="宋体"/>
          <w:color w:val="auto"/>
          <w:sz w:val="28"/>
        </w:rPr>
      </w:pPr>
      <w:r>
        <w:rPr>
          <w:rFonts w:hint="eastAsia" w:ascii="宋体" w:hAnsi="宋体"/>
          <w:color w:val="auto"/>
          <w:sz w:val="28"/>
        </w:rPr>
        <w:t xml:space="preserve">    （投标人应提出详细的验收程序和所执行的验收标准）</w:t>
      </w:r>
    </w:p>
    <w:p>
      <w:pPr>
        <w:spacing w:line="360" w:lineRule="auto"/>
        <w:ind w:firstLine="565" w:firstLineChars="202"/>
        <w:rPr>
          <w:rFonts w:ascii="宋体" w:hAnsi="宋体"/>
          <w:color w:val="auto"/>
          <w:sz w:val="28"/>
        </w:rPr>
      </w:pPr>
    </w:p>
    <w:p>
      <w:pPr>
        <w:spacing w:line="360" w:lineRule="auto"/>
        <w:ind w:firstLine="565" w:firstLineChars="202"/>
        <w:rPr>
          <w:rFonts w:ascii="宋体" w:hAnsi="宋体"/>
          <w:color w:val="auto"/>
          <w:sz w:val="28"/>
        </w:rPr>
      </w:pPr>
      <w:r>
        <w:rPr>
          <w:rFonts w:hint="eastAsia" w:ascii="宋体" w:hAnsi="宋体"/>
          <w:color w:val="auto"/>
          <w:sz w:val="28"/>
        </w:rPr>
        <w:t>二、交货进度计划及保障措施</w:t>
      </w:r>
    </w:p>
    <w:p>
      <w:pPr>
        <w:spacing w:line="360" w:lineRule="auto"/>
        <w:ind w:firstLine="565" w:firstLineChars="202"/>
        <w:rPr>
          <w:rFonts w:ascii="宋体" w:hAnsi="宋体"/>
          <w:color w:val="auto"/>
          <w:sz w:val="28"/>
        </w:rPr>
      </w:pPr>
    </w:p>
    <w:p>
      <w:pPr>
        <w:spacing w:line="360" w:lineRule="auto"/>
        <w:ind w:firstLine="565" w:firstLineChars="202"/>
        <w:rPr>
          <w:rFonts w:ascii="宋体" w:hAnsi="宋体"/>
          <w:color w:val="auto"/>
          <w:sz w:val="28"/>
        </w:rPr>
      </w:pPr>
    </w:p>
    <w:p>
      <w:pPr>
        <w:tabs>
          <w:tab w:val="left" w:pos="720"/>
        </w:tabs>
        <w:spacing w:line="360" w:lineRule="auto"/>
        <w:ind w:firstLine="560" w:firstLineChars="200"/>
        <w:rPr>
          <w:rFonts w:ascii="宋体" w:hAnsi="宋体"/>
          <w:color w:val="auto"/>
          <w:sz w:val="28"/>
        </w:rPr>
      </w:pPr>
      <w:r>
        <w:rPr>
          <w:rFonts w:hint="eastAsia" w:ascii="宋体" w:hAnsi="宋体"/>
          <w:color w:val="auto"/>
          <w:sz w:val="28"/>
        </w:rPr>
        <w:t>三、售后服务承诺</w:t>
      </w:r>
    </w:p>
    <w:p>
      <w:pPr>
        <w:ind w:firstLine="565" w:firstLineChars="202"/>
        <w:rPr>
          <w:rFonts w:ascii="宋体" w:hAnsi="宋体"/>
          <w:color w:val="auto"/>
          <w:sz w:val="28"/>
        </w:rPr>
      </w:pPr>
      <w:r>
        <w:rPr>
          <w:rFonts w:hint="eastAsia" w:ascii="宋体" w:hAnsi="宋体"/>
          <w:color w:val="auto"/>
          <w:sz w:val="28"/>
        </w:rPr>
        <w:t>（售后服务承诺应包括但不限于以下内容）</w:t>
      </w:r>
    </w:p>
    <w:p>
      <w:pPr>
        <w:spacing w:line="400" w:lineRule="exact"/>
        <w:ind w:firstLine="560" w:firstLineChars="200"/>
        <w:rPr>
          <w:rFonts w:ascii="宋体" w:hAnsi="宋体"/>
          <w:color w:val="auto"/>
          <w:sz w:val="28"/>
        </w:rPr>
      </w:pPr>
      <w:r>
        <w:rPr>
          <w:rFonts w:hint="eastAsia" w:ascii="宋体" w:hAnsi="宋体"/>
          <w:color w:val="auto"/>
          <w:sz w:val="28"/>
        </w:rPr>
        <w:t>（一）产品制造厂家或投标人设立的售后服务机构网点清单、服务电话和维修人员名单；</w:t>
      </w:r>
    </w:p>
    <w:p>
      <w:pPr>
        <w:spacing w:line="400" w:lineRule="exact"/>
        <w:ind w:firstLine="560" w:firstLineChars="200"/>
        <w:rPr>
          <w:rFonts w:ascii="宋体" w:hAnsi="宋体"/>
          <w:color w:val="auto"/>
          <w:sz w:val="28"/>
        </w:rPr>
      </w:pPr>
      <w:r>
        <w:rPr>
          <w:rFonts w:hint="eastAsia" w:ascii="宋体" w:hAnsi="宋体"/>
          <w:color w:val="auto"/>
          <w:sz w:val="28"/>
        </w:rPr>
        <w:t>（二）说明投标产品的保修时间、保修期内的保修内容与范围、维修响应时间等；</w:t>
      </w:r>
    </w:p>
    <w:p>
      <w:pPr>
        <w:ind w:firstLine="565" w:firstLineChars="202"/>
        <w:rPr>
          <w:rFonts w:ascii="宋体" w:hAnsi="宋体"/>
          <w:color w:val="auto"/>
          <w:sz w:val="28"/>
        </w:rPr>
      </w:pPr>
      <w:r>
        <w:rPr>
          <w:rFonts w:hint="eastAsia" w:ascii="宋体" w:hAnsi="宋体"/>
          <w:color w:val="auto"/>
          <w:sz w:val="28"/>
        </w:rPr>
        <w:t>（三）……</w:t>
      </w:r>
    </w:p>
    <w:p>
      <w:pPr>
        <w:ind w:firstLine="565" w:firstLineChars="202"/>
        <w:rPr>
          <w:rFonts w:ascii="宋体" w:hAnsi="宋体"/>
          <w:color w:val="auto"/>
          <w:sz w:val="28"/>
        </w:rPr>
      </w:pPr>
      <w:r>
        <w:rPr>
          <w:rFonts w:hint="eastAsia" w:ascii="宋体" w:hAnsi="宋体"/>
          <w:color w:val="auto"/>
          <w:sz w:val="28"/>
        </w:rPr>
        <w:t>四、技术支持的能力及方案</w:t>
      </w:r>
    </w:p>
    <w:p>
      <w:pPr>
        <w:ind w:firstLine="565" w:firstLineChars="202"/>
        <w:rPr>
          <w:rFonts w:ascii="宋体" w:hAnsi="宋体"/>
          <w:color w:val="auto"/>
          <w:sz w:val="28"/>
        </w:rPr>
      </w:pPr>
    </w:p>
    <w:p>
      <w:pPr>
        <w:ind w:firstLine="565" w:firstLineChars="202"/>
        <w:rPr>
          <w:rFonts w:ascii="宋体" w:hAnsi="宋体"/>
          <w:color w:val="auto"/>
          <w:sz w:val="28"/>
        </w:rPr>
      </w:pPr>
    </w:p>
    <w:p>
      <w:pPr>
        <w:tabs>
          <w:tab w:val="left" w:pos="720"/>
        </w:tabs>
        <w:ind w:firstLine="560" w:firstLineChars="200"/>
        <w:rPr>
          <w:rFonts w:ascii="宋体" w:hAnsi="宋体"/>
          <w:color w:val="auto"/>
          <w:sz w:val="28"/>
        </w:rPr>
      </w:pPr>
      <w:r>
        <w:rPr>
          <w:rFonts w:hint="eastAsia" w:ascii="宋体" w:hAnsi="宋体"/>
          <w:color w:val="auto"/>
          <w:sz w:val="28"/>
        </w:rPr>
        <w:t>五、其他说明的内容</w:t>
      </w:r>
      <w:bookmarkEnd w:id="174"/>
      <w:bookmarkStart w:id="180" w:name="_Toc316475719"/>
    </w:p>
    <w:p>
      <w:pPr>
        <w:ind w:firstLine="565" w:firstLineChars="202"/>
        <w:rPr>
          <w:rFonts w:ascii="宋体" w:hAnsi="宋体"/>
          <w:color w:val="auto"/>
          <w:sz w:val="28"/>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ind w:firstLine="565" w:firstLineChars="202"/>
        <w:rPr>
          <w:rFonts w:ascii="宋体" w:hAnsi="宋体"/>
          <w:bCs/>
          <w:color w:val="auto"/>
          <w:sz w:val="28"/>
          <w:szCs w:val="28"/>
        </w:rPr>
      </w:pPr>
    </w:p>
    <w:p>
      <w:pPr>
        <w:rPr>
          <w:rFonts w:ascii="宋体" w:hAnsi="宋体"/>
          <w:bCs/>
          <w:color w:val="auto"/>
          <w:sz w:val="28"/>
          <w:szCs w:val="28"/>
        </w:rPr>
      </w:pPr>
    </w:p>
    <w:p>
      <w:pPr>
        <w:rPr>
          <w:rFonts w:ascii="宋体" w:hAnsi="宋体"/>
          <w:bCs/>
          <w:color w:val="auto"/>
          <w:sz w:val="28"/>
          <w:szCs w:val="28"/>
        </w:rPr>
      </w:pPr>
    </w:p>
    <w:p>
      <w:pPr>
        <w:rPr>
          <w:rFonts w:ascii="宋体" w:hAnsi="宋体"/>
          <w:bCs/>
          <w:color w:val="auto"/>
          <w:sz w:val="28"/>
          <w:szCs w:val="28"/>
        </w:rPr>
      </w:pPr>
    </w:p>
    <w:p>
      <w:pPr>
        <w:rPr>
          <w:rFonts w:ascii="宋体" w:hAnsi="宋体"/>
          <w:bCs/>
          <w:color w:val="auto"/>
          <w:sz w:val="28"/>
          <w:szCs w:val="28"/>
        </w:rPr>
      </w:pPr>
    </w:p>
    <w:p>
      <w:pPr>
        <w:widowControl/>
        <w:jc w:val="left"/>
        <w:rPr>
          <w:rFonts w:ascii="宋体" w:hAnsi="宋体"/>
          <w:b/>
          <w:color w:val="auto"/>
          <w:sz w:val="28"/>
          <w:szCs w:val="28"/>
        </w:rPr>
      </w:pPr>
    </w:p>
    <w:p>
      <w:pPr>
        <w:keepNext/>
        <w:keepLines/>
        <w:numPr>
          <w:ilvl w:val="2"/>
          <w:numId w:val="6"/>
        </w:numPr>
        <w:spacing w:line="360" w:lineRule="auto"/>
        <w:outlineLvl w:val="2"/>
        <w:rPr>
          <w:rFonts w:ascii="宋体" w:hAnsi="宋体"/>
          <w:b/>
          <w:color w:val="auto"/>
          <w:sz w:val="28"/>
          <w:szCs w:val="28"/>
        </w:rPr>
      </w:pPr>
      <w:r>
        <w:rPr>
          <w:rFonts w:hint="eastAsia" w:ascii="宋体" w:hAnsi="宋体"/>
          <w:b/>
          <w:color w:val="auto"/>
          <w:sz w:val="28"/>
          <w:szCs w:val="28"/>
        </w:rPr>
        <w:t>承诺函</w:t>
      </w:r>
    </w:p>
    <w:p>
      <w:pPr>
        <w:snapToGrid w:val="0"/>
        <w:spacing w:line="560" w:lineRule="exact"/>
        <w:rPr>
          <w:rFonts w:hint="eastAsia" w:ascii="宋体" w:hAnsi="宋体" w:eastAsia="宋体"/>
          <w:b/>
          <w:color w:val="auto"/>
          <w:sz w:val="28"/>
          <w:szCs w:val="28"/>
          <w:lang w:eastAsia="zh-CN"/>
        </w:rPr>
      </w:pPr>
      <w:r>
        <w:rPr>
          <w:rFonts w:hint="eastAsia" w:ascii="宋体" w:hAnsi="宋体"/>
          <w:b/>
          <w:color w:val="auto"/>
          <w:sz w:val="28"/>
          <w:szCs w:val="28"/>
        </w:rPr>
        <w:t>项目名称：</w:t>
      </w:r>
      <w:r>
        <w:rPr>
          <w:rFonts w:hint="eastAsia" w:ascii="宋体" w:hAnsi="宋体"/>
          <w:b/>
          <w:color w:val="auto"/>
          <w:sz w:val="28"/>
          <w:szCs w:val="28"/>
          <w:u w:val="single"/>
          <w:lang w:eastAsia="zh-CN"/>
        </w:rPr>
        <w:t>成都东部新区便民服务中心标准化建设家具采购项目</w:t>
      </w:r>
    </w:p>
    <w:p>
      <w:pPr>
        <w:snapToGrid w:val="0"/>
        <w:spacing w:line="360" w:lineRule="auto"/>
        <w:rPr>
          <w:rFonts w:hint="eastAsia" w:ascii="宋体" w:hAnsi="宋体" w:eastAsia="宋体"/>
          <w:b/>
          <w:color w:val="auto"/>
          <w:sz w:val="28"/>
          <w:szCs w:val="28"/>
          <w:lang w:eastAsia="zh-CN"/>
        </w:rPr>
      </w:pPr>
      <w:r>
        <w:rPr>
          <w:rFonts w:hint="eastAsia" w:ascii="宋体" w:hAnsi="宋体"/>
          <w:b/>
          <w:color w:val="auto"/>
          <w:sz w:val="28"/>
          <w:szCs w:val="28"/>
        </w:rPr>
        <w:t>项目编号：</w:t>
      </w:r>
      <w:r>
        <w:rPr>
          <w:rFonts w:hint="eastAsia" w:ascii="宋体" w:hAnsi="宋体"/>
          <w:b/>
          <w:color w:val="auto"/>
          <w:sz w:val="28"/>
          <w:szCs w:val="28"/>
          <w:u w:val="single"/>
          <w:lang w:eastAsia="zh-CN"/>
        </w:rPr>
        <w:t>东部新区政采（2021）A0064号</w:t>
      </w:r>
    </w:p>
    <w:p>
      <w:pPr>
        <w:snapToGrid w:val="0"/>
        <w:spacing w:line="360" w:lineRule="auto"/>
        <w:rPr>
          <w:rFonts w:ascii="宋体" w:hAnsi="宋体"/>
          <w:b/>
          <w:color w:val="auto"/>
          <w:sz w:val="28"/>
          <w:szCs w:val="28"/>
        </w:rPr>
      </w:pPr>
    </w:p>
    <w:p>
      <w:pPr>
        <w:snapToGrid w:val="0"/>
        <w:spacing w:line="360" w:lineRule="auto"/>
        <w:ind w:firstLine="560" w:firstLineChars="200"/>
        <w:rPr>
          <w:rFonts w:ascii="宋体" w:hAnsi="宋体"/>
          <w:color w:val="auto"/>
          <w:sz w:val="28"/>
        </w:rPr>
      </w:pPr>
      <w:r>
        <w:rPr>
          <w:rFonts w:hint="eastAsia" w:ascii="宋体" w:hAnsi="宋体"/>
          <w:color w:val="auto"/>
          <w:sz w:val="28"/>
        </w:rPr>
        <w:t>我公司作为参加本项目的投标人，在此郑重承诺：</w:t>
      </w:r>
    </w:p>
    <w:p>
      <w:pPr>
        <w:adjustRightInd w:val="0"/>
        <w:snapToGrid w:val="0"/>
        <w:spacing w:line="360" w:lineRule="auto"/>
        <w:ind w:firstLine="560" w:firstLineChars="200"/>
        <w:rPr>
          <w:rFonts w:ascii="宋体" w:hAnsi="宋体"/>
          <w:color w:val="auto"/>
          <w:spacing w:val="6"/>
          <w:sz w:val="28"/>
          <w:szCs w:val="28"/>
        </w:rPr>
      </w:pPr>
      <w:r>
        <w:rPr>
          <w:rFonts w:hint="eastAsia" w:asciiTheme="minorEastAsia" w:hAnsiTheme="minorEastAsia"/>
          <w:bCs/>
          <w:color w:val="auto"/>
          <w:sz w:val="28"/>
          <w:szCs w:val="28"/>
        </w:rPr>
        <w:t>一</w:t>
      </w:r>
      <w:r>
        <w:rPr>
          <w:rFonts w:hint="eastAsia" w:asciiTheme="minorEastAsia" w:hAnsiTheme="minorEastAsia"/>
          <w:bCs/>
          <w:color w:val="auto"/>
          <w:sz w:val="28"/>
          <w:szCs w:val="28"/>
          <w:lang w:val="zh-CN"/>
        </w:rPr>
        <w:t>、我方承诺在中标后签订合同前，提供投标文件中用于评分的证明材料的原件供采购人查验，如中标人无法提供原件或经查验原件系伪造，采购人有权取消其中标资格，并报同级财政部门处理。</w:t>
      </w:r>
    </w:p>
    <w:p>
      <w:pPr>
        <w:adjustRightInd w:val="0"/>
        <w:snapToGrid w:val="0"/>
        <w:spacing w:line="360" w:lineRule="auto"/>
        <w:ind w:firstLine="560" w:firstLineChars="200"/>
        <w:rPr>
          <w:rFonts w:ascii="宋体" w:hAnsi="宋体"/>
          <w:color w:val="auto"/>
          <w:spacing w:val="6"/>
          <w:sz w:val="28"/>
          <w:szCs w:val="28"/>
        </w:rPr>
      </w:pPr>
      <w:r>
        <w:rPr>
          <w:rFonts w:hint="eastAsia" w:asciiTheme="minorEastAsia" w:hAnsiTheme="minorEastAsia"/>
          <w:color w:val="auto"/>
          <w:sz w:val="28"/>
          <w:szCs w:val="28"/>
          <w:lang w:val="zh-CN"/>
        </w:rPr>
        <w:t>二</w:t>
      </w:r>
      <w:r>
        <w:rPr>
          <w:rFonts w:asciiTheme="minorEastAsia" w:hAnsiTheme="minorEastAsia"/>
          <w:color w:val="auto"/>
          <w:sz w:val="28"/>
          <w:szCs w:val="28"/>
          <w:lang w:val="zh-CN"/>
        </w:rPr>
        <w:t>、</w:t>
      </w:r>
      <w:r>
        <w:rPr>
          <w:rFonts w:hint="eastAsia" w:cs="宋体" w:asciiTheme="minorEastAsia" w:hAnsiTheme="minorEastAsia"/>
          <w:color w:val="auto"/>
          <w:sz w:val="28"/>
          <w:szCs w:val="28"/>
        </w:rPr>
        <w:t>我方为本项目提供的所有产品、辅材中属于《国家强制性产品认证目录》范围内产品的，均通过国家强制性产品认证并取得认证证书。</w:t>
      </w:r>
    </w:p>
    <w:p>
      <w:pPr>
        <w:adjustRightInd w:val="0"/>
        <w:snapToGrid w:val="0"/>
        <w:spacing w:line="360" w:lineRule="auto"/>
        <w:ind w:firstLine="560" w:firstLineChars="200"/>
        <w:rPr>
          <w:rFonts w:ascii="宋体" w:hAnsi="宋体"/>
          <w:color w:val="auto"/>
          <w:spacing w:val="6"/>
          <w:sz w:val="28"/>
          <w:szCs w:val="28"/>
        </w:rPr>
      </w:pPr>
      <w:r>
        <w:rPr>
          <w:rFonts w:hint="eastAsia" w:asciiTheme="minorEastAsia" w:hAnsiTheme="minorEastAsia"/>
          <w:color w:val="auto"/>
          <w:sz w:val="28"/>
          <w:szCs w:val="28"/>
          <w:lang w:val="zh-CN"/>
        </w:rPr>
        <w:t>三</w:t>
      </w:r>
      <w:r>
        <w:rPr>
          <w:rFonts w:asciiTheme="minorEastAsia" w:hAnsiTheme="minorEastAsia"/>
          <w:color w:val="auto"/>
          <w:sz w:val="28"/>
          <w:szCs w:val="28"/>
          <w:lang w:val="zh-CN"/>
        </w:rPr>
        <w:t>、</w:t>
      </w:r>
      <w:r>
        <w:rPr>
          <w:rFonts w:hint="eastAsia" w:asciiTheme="minorEastAsia" w:hAnsiTheme="minorEastAsia"/>
          <w:color w:val="auto"/>
          <w:sz w:val="28"/>
          <w:szCs w:val="28"/>
          <w:lang w:val="zh-CN"/>
        </w:rPr>
        <w:t>我方</w:t>
      </w:r>
      <w:r>
        <w:rPr>
          <w:rFonts w:hint="eastAsia" w:cs="宋体" w:asciiTheme="minorEastAsia" w:hAnsiTheme="minorEastAsia"/>
          <w:color w:val="auto"/>
          <w:sz w:val="28"/>
          <w:szCs w:val="28"/>
        </w:rPr>
        <w:t>为本项目提供的所有产品、辅材</w:t>
      </w:r>
      <w:r>
        <w:rPr>
          <w:rFonts w:hint="eastAsia" w:asciiTheme="minorEastAsia" w:hAnsiTheme="minorEastAsia"/>
          <w:color w:val="auto"/>
          <w:sz w:val="28"/>
          <w:szCs w:val="28"/>
        </w:rPr>
        <w:t>符合现行的强制性国家相关标准、行业标准。</w:t>
      </w:r>
    </w:p>
    <w:p>
      <w:pPr>
        <w:tabs>
          <w:tab w:val="left" w:pos="1134"/>
        </w:tabs>
        <w:snapToGrid w:val="0"/>
        <w:spacing w:after="200" w:line="360" w:lineRule="auto"/>
        <w:ind w:firstLine="560" w:firstLineChars="200"/>
        <w:rPr>
          <w:rFonts w:asciiTheme="minorEastAsia" w:hAnsiTheme="minorEastAsia"/>
          <w:bCs/>
          <w:color w:val="auto"/>
          <w:sz w:val="28"/>
          <w:szCs w:val="28"/>
          <w:lang w:val="zh-CN"/>
        </w:rPr>
      </w:pPr>
      <w:r>
        <w:rPr>
          <w:rFonts w:hint="eastAsia" w:asciiTheme="minorEastAsia" w:hAnsiTheme="minorEastAsia"/>
          <w:bCs/>
          <w:color w:val="auto"/>
          <w:sz w:val="28"/>
          <w:szCs w:val="28"/>
        </w:rPr>
        <w:t>四</w:t>
      </w:r>
      <w:r>
        <w:rPr>
          <w:rFonts w:hint="eastAsia" w:asciiTheme="minorEastAsia" w:hAnsiTheme="minorEastAsia"/>
          <w:bCs/>
          <w:color w:val="auto"/>
          <w:sz w:val="28"/>
          <w:szCs w:val="28"/>
          <w:lang w:val="zh-CN"/>
        </w:rPr>
        <w:t>、我方承诺所有家具生产工序均满足《固定污染源排污许可分类管理名录》的要求。</w:t>
      </w:r>
    </w:p>
    <w:p>
      <w:pPr>
        <w:tabs>
          <w:tab w:val="left" w:pos="1134"/>
        </w:tabs>
        <w:snapToGrid w:val="0"/>
        <w:spacing w:after="200" w:line="360" w:lineRule="auto"/>
        <w:ind w:firstLine="560" w:firstLineChars="200"/>
        <w:rPr>
          <w:rFonts w:ascii="宋体" w:hAnsi="宋体"/>
          <w:color w:val="auto"/>
          <w:spacing w:val="6"/>
          <w:sz w:val="28"/>
          <w:szCs w:val="28"/>
        </w:rPr>
      </w:pPr>
      <w:r>
        <w:rPr>
          <w:rFonts w:hint="eastAsia" w:asciiTheme="minorEastAsia" w:hAnsiTheme="minorEastAsia"/>
          <w:bCs/>
          <w:color w:val="auto"/>
          <w:sz w:val="28"/>
          <w:szCs w:val="28"/>
          <w:lang w:val="zh-CN"/>
        </w:rPr>
        <w:t>五</w:t>
      </w:r>
      <w:r>
        <w:rPr>
          <w:rFonts w:asciiTheme="minorEastAsia" w:hAnsiTheme="minorEastAsia"/>
          <w:bCs/>
          <w:color w:val="auto"/>
          <w:sz w:val="28"/>
          <w:szCs w:val="28"/>
          <w:lang w:val="zh-CN"/>
        </w:rPr>
        <w:t>、</w:t>
      </w:r>
      <w:r>
        <w:rPr>
          <w:rFonts w:hint="eastAsia" w:asciiTheme="minorEastAsia" w:hAnsiTheme="minorEastAsia"/>
          <w:bCs/>
          <w:color w:val="auto"/>
          <w:sz w:val="28"/>
          <w:szCs w:val="28"/>
          <w:lang w:val="zh-CN"/>
        </w:rPr>
        <w:t>我方</w:t>
      </w:r>
      <w:r>
        <w:rPr>
          <w:rFonts w:hint="eastAsia" w:ascii="宋体" w:hAnsi="宋体"/>
          <w:color w:val="auto"/>
          <w:spacing w:val="6"/>
          <w:sz w:val="28"/>
          <w:szCs w:val="28"/>
        </w:rPr>
        <w:t>报价为本项目（或单个物品）的全部费用，包括设备、运输、安装、调试、工作、生活、交通、通讯、设备（仪器）使用费、劳务费、加班费、管理费、意外险费、利润、税金等一切费用。</w:t>
      </w:r>
    </w:p>
    <w:p>
      <w:pPr>
        <w:tabs>
          <w:tab w:val="left" w:pos="1134"/>
        </w:tabs>
        <w:snapToGrid w:val="0"/>
        <w:spacing w:line="360" w:lineRule="auto"/>
        <w:ind w:firstLine="565" w:firstLineChars="202"/>
        <w:rPr>
          <w:rFonts w:asciiTheme="minorEastAsia" w:hAnsiTheme="minorEastAsia"/>
          <w:bCs/>
          <w:color w:val="auto"/>
          <w:sz w:val="28"/>
          <w:szCs w:val="28"/>
          <w:lang w:val="zh-CN"/>
        </w:rPr>
      </w:pPr>
      <w:r>
        <w:rPr>
          <w:rFonts w:hint="eastAsia" w:asciiTheme="minorEastAsia" w:hAnsiTheme="minorEastAsia"/>
          <w:color w:val="auto"/>
          <w:sz w:val="28"/>
          <w:szCs w:val="28"/>
        </w:rPr>
        <w:t>六</w:t>
      </w:r>
      <w:r>
        <w:rPr>
          <w:rFonts w:asciiTheme="minorEastAsia" w:hAnsiTheme="minorEastAsia"/>
          <w:bCs/>
          <w:color w:val="auto"/>
          <w:sz w:val="28"/>
          <w:szCs w:val="28"/>
          <w:lang w:val="zh-CN"/>
        </w:rPr>
        <w:t>、</w:t>
      </w:r>
      <w:r>
        <w:rPr>
          <w:rFonts w:hint="eastAsia" w:asciiTheme="minorEastAsia" w:hAnsiTheme="minorEastAsia"/>
          <w:bCs/>
          <w:color w:val="auto"/>
          <w:sz w:val="28"/>
          <w:szCs w:val="28"/>
          <w:lang w:val="zh-CN"/>
        </w:rPr>
        <w:t>包装环保要求</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1.商品包装层数不得超过3层，空隙率不大于40%；</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2.商品包装尽可能使用单一材质的包装材料，如因功能需求必需使用不同材质，不同材质间应便于分离；</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3.商品包装中铅、汞、镉、六价铬的总含量应不大于100mg/kg；</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4.商品包装印刷使用的油墨中挥发性有机化合物(VOCs)含量应不大于5%（以重量计）；</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5.塑料材质商品包装上呈现的印刷颜色不得超过6色；</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6.纸质商品包装应使用75%以上的可再生纤维原料生产；</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7.木质商品包装的原料应来源于可持续性森林。</w:t>
      </w:r>
    </w:p>
    <w:p>
      <w:pPr>
        <w:tabs>
          <w:tab w:val="left" w:pos="1134"/>
        </w:tabs>
        <w:snapToGrid w:val="0"/>
        <w:spacing w:line="360" w:lineRule="auto"/>
        <w:ind w:firstLine="565" w:firstLineChars="202"/>
        <w:rPr>
          <w:rFonts w:asciiTheme="minorEastAsia" w:hAnsiTheme="minorEastAsia"/>
          <w:bCs/>
          <w:color w:val="auto"/>
          <w:sz w:val="28"/>
          <w:szCs w:val="28"/>
        </w:rPr>
      </w:pPr>
    </w:p>
    <w:p>
      <w:pPr>
        <w:snapToGrid w:val="0"/>
        <w:spacing w:line="360" w:lineRule="auto"/>
        <w:ind w:firstLine="560" w:firstLineChars="200"/>
        <w:rPr>
          <w:rFonts w:ascii="宋体" w:hAnsi="宋体"/>
          <w:color w:val="auto"/>
          <w:sz w:val="28"/>
          <w:szCs w:val="28"/>
        </w:rPr>
      </w:pPr>
    </w:p>
    <w:p>
      <w:pPr>
        <w:snapToGrid w:val="0"/>
        <w:spacing w:line="360" w:lineRule="auto"/>
        <w:ind w:firstLine="560" w:firstLineChars="200"/>
        <w:rPr>
          <w:rFonts w:ascii="宋体" w:hAnsi="宋体"/>
          <w:color w:val="auto"/>
          <w:sz w:val="28"/>
          <w:szCs w:val="28"/>
        </w:rPr>
      </w:pPr>
    </w:p>
    <w:p>
      <w:pPr>
        <w:snapToGrid w:val="0"/>
        <w:spacing w:line="360" w:lineRule="auto"/>
        <w:ind w:firstLine="560" w:firstLineChars="200"/>
        <w:rPr>
          <w:rFonts w:ascii="宋体" w:hAnsi="宋体"/>
          <w:color w:val="auto"/>
          <w:sz w:val="28"/>
          <w:szCs w:val="28"/>
        </w:rPr>
      </w:pPr>
    </w:p>
    <w:p>
      <w:pPr>
        <w:snapToGrid w:val="0"/>
        <w:spacing w:line="360" w:lineRule="auto"/>
        <w:ind w:firstLine="560" w:firstLineChars="200"/>
        <w:rPr>
          <w:color w:val="auto"/>
        </w:rPr>
      </w:pPr>
      <w:r>
        <w:rPr>
          <w:rFonts w:hint="eastAsia" w:ascii="宋体" w:hAnsi="宋体"/>
          <w:color w:val="auto"/>
          <w:sz w:val="28"/>
          <w:szCs w:val="28"/>
        </w:rPr>
        <w:t>特此承诺。</w:t>
      </w: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keepNext/>
        <w:keepLines/>
        <w:numPr>
          <w:ilvl w:val="1"/>
          <w:numId w:val="6"/>
        </w:numPr>
        <w:spacing w:line="360" w:lineRule="auto"/>
        <w:jc w:val="left"/>
        <w:outlineLvl w:val="1"/>
        <w:rPr>
          <w:rFonts w:ascii="宋体" w:hAnsi="宋体"/>
          <w:b/>
          <w:bCs/>
          <w:color w:val="auto"/>
          <w:sz w:val="28"/>
          <w:szCs w:val="28"/>
        </w:rPr>
      </w:pPr>
      <w:bookmarkStart w:id="181" w:name="_Toc16096"/>
      <w:bookmarkStart w:id="182" w:name="_Toc86665555"/>
      <w:bookmarkStart w:id="183" w:name="_Toc24639"/>
      <w:bookmarkStart w:id="184" w:name="_Toc17894"/>
      <w:r>
        <w:rPr>
          <w:rFonts w:hint="eastAsia" w:ascii="宋体" w:hAnsi="宋体"/>
          <w:b/>
          <w:bCs/>
          <w:color w:val="auto"/>
          <w:sz w:val="28"/>
          <w:szCs w:val="28"/>
        </w:rPr>
        <w:t>报价</w:t>
      </w:r>
      <w:r>
        <w:rPr>
          <w:rFonts w:ascii="宋体" w:hAnsi="宋体"/>
          <w:b/>
          <w:bCs/>
          <w:color w:val="auto"/>
          <w:sz w:val="28"/>
          <w:szCs w:val="28"/>
        </w:rPr>
        <w:t>要求响应文件</w:t>
      </w:r>
      <w:bookmarkEnd w:id="181"/>
      <w:bookmarkEnd w:id="182"/>
      <w:bookmarkEnd w:id="183"/>
      <w:bookmarkEnd w:id="184"/>
    </w:p>
    <w:p>
      <w:pPr>
        <w:keepNext/>
        <w:keepLines/>
        <w:numPr>
          <w:ilvl w:val="2"/>
          <w:numId w:val="6"/>
        </w:numPr>
        <w:spacing w:line="360" w:lineRule="auto"/>
        <w:outlineLvl w:val="2"/>
        <w:rPr>
          <w:rFonts w:ascii="宋体" w:hAnsi="宋体"/>
          <w:b/>
          <w:bCs/>
          <w:color w:val="auto"/>
          <w:sz w:val="28"/>
          <w:szCs w:val="28"/>
        </w:rPr>
      </w:pPr>
      <w:r>
        <w:rPr>
          <w:rFonts w:hint="eastAsia" w:ascii="宋体" w:hAnsi="宋体"/>
          <w:b/>
          <w:bCs/>
          <w:color w:val="auto"/>
          <w:sz w:val="28"/>
          <w:szCs w:val="28"/>
        </w:rPr>
        <w:t>开标</w:t>
      </w:r>
      <w:r>
        <w:rPr>
          <w:rFonts w:ascii="宋体" w:hAnsi="宋体"/>
          <w:b/>
          <w:bCs/>
          <w:color w:val="auto"/>
          <w:sz w:val="28"/>
          <w:szCs w:val="28"/>
        </w:rPr>
        <w:t>一览表</w:t>
      </w:r>
    </w:p>
    <w:p>
      <w:pPr>
        <w:tabs>
          <w:tab w:val="left" w:pos="1134"/>
        </w:tabs>
        <w:spacing w:line="560" w:lineRule="exact"/>
        <w:ind w:firstLine="427" w:firstLineChars="152"/>
        <w:rPr>
          <w:rFonts w:hint="eastAsia" w:ascii="宋体" w:hAnsi="宋体"/>
          <w:b/>
          <w:bCs/>
          <w:color w:val="auto"/>
          <w:sz w:val="28"/>
          <w:szCs w:val="28"/>
          <w:lang w:eastAsia="zh-CN"/>
        </w:rPr>
      </w:pPr>
      <w:r>
        <w:rPr>
          <w:rFonts w:hint="eastAsia" w:ascii="宋体" w:hAnsi="宋体"/>
          <w:b/>
          <w:bCs/>
          <w:color w:val="auto"/>
          <w:sz w:val="28"/>
          <w:szCs w:val="28"/>
          <w:lang w:val="en-US" w:eastAsia="zh-CN"/>
        </w:rPr>
        <w:t>项目名称：</w:t>
      </w:r>
      <w:r>
        <w:rPr>
          <w:rFonts w:hint="eastAsia" w:ascii="宋体" w:hAnsi="宋体"/>
          <w:b/>
          <w:bCs/>
          <w:color w:val="auto"/>
          <w:sz w:val="28"/>
          <w:szCs w:val="28"/>
          <w:u w:val="single"/>
          <w:lang w:eastAsia="zh-CN"/>
        </w:rPr>
        <w:t>成都东部新区便民服务中心标准化建设家具采购项目</w:t>
      </w:r>
    </w:p>
    <w:p>
      <w:pPr>
        <w:tabs>
          <w:tab w:val="left" w:pos="1134"/>
        </w:tabs>
        <w:spacing w:line="560" w:lineRule="exact"/>
        <w:ind w:firstLine="427" w:firstLineChars="152"/>
        <w:rPr>
          <w:rFonts w:hint="eastAsia" w:ascii="宋体" w:hAnsi="宋体"/>
          <w:b/>
          <w:bCs/>
          <w:color w:val="auto"/>
          <w:sz w:val="28"/>
          <w:szCs w:val="28"/>
          <w:lang w:eastAsia="zh-CN"/>
        </w:rPr>
      </w:pPr>
      <w:r>
        <w:rPr>
          <w:rFonts w:hint="eastAsia" w:ascii="宋体" w:hAnsi="宋体"/>
          <w:b/>
          <w:color w:val="auto"/>
          <w:sz w:val="28"/>
          <w:szCs w:val="28"/>
          <w:u w:val="none"/>
          <w:lang w:val="en-US" w:eastAsia="zh-CN"/>
        </w:rPr>
        <w:t>项目编号：</w:t>
      </w:r>
      <w:r>
        <w:rPr>
          <w:rFonts w:hint="eastAsia" w:ascii="宋体" w:hAnsi="宋体"/>
          <w:b/>
          <w:color w:val="auto"/>
          <w:sz w:val="28"/>
          <w:szCs w:val="28"/>
          <w:u w:val="single"/>
        </w:rPr>
        <w:t>成都市政采（202X）AXXXX号</w:t>
      </w:r>
    </w:p>
    <w:tbl>
      <w:tblPr>
        <w:tblStyle w:val="41"/>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jc w:val="center"/>
              <w:rPr>
                <w:rFonts w:ascii="宋体" w:hAnsi="宋体"/>
                <w:color w:val="auto"/>
                <w:sz w:val="28"/>
                <w:szCs w:val="28"/>
              </w:rPr>
            </w:pPr>
            <w:r>
              <w:rPr>
                <w:rFonts w:hint="eastAsia" w:ascii="宋体" w:hAnsi="宋体"/>
                <w:color w:val="auto"/>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rPr>
                <w:rFonts w:ascii="宋体" w:hAnsi="宋体"/>
                <w:color w:val="auto"/>
                <w:sz w:val="28"/>
                <w:szCs w:val="28"/>
              </w:rPr>
            </w:pPr>
          </w:p>
        </w:tc>
      </w:tr>
    </w:tbl>
    <w:p>
      <w:pPr>
        <w:tabs>
          <w:tab w:val="left" w:pos="1134"/>
        </w:tabs>
        <w:spacing w:line="560" w:lineRule="exact"/>
        <w:ind w:firstLine="425" w:firstLineChars="152"/>
        <w:rPr>
          <w:rFonts w:ascii="宋体" w:hAnsi="宋体"/>
          <w:color w:val="auto"/>
          <w:sz w:val="28"/>
          <w:szCs w:val="28"/>
        </w:rPr>
      </w:pPr>
    </w:p>
    <w:p>
      <w:pPr>
        <w:tabs>
          <w:tab w:val="left" w:pos="1134"/>
        </w:tabs>
        <w:spacing w:line="560" w:lineRule="exact"/>
        <w:ind w:firstLine="427" w:firstLineChars="152"/>
        <w:rPr>
          <w:rFonts w:ascii="宋体" w:hAnsi="宋体"/>
          <w:b/>
          <w:bCs/>
          <w:color w:val="auto"/>
          <w:sz w:val="28"/>
        </w:rPr>
      </w:pPr>
      <w:r>
        <w:rPr>
          <w:rFonts w:hint="eastAsia" w:ascii="宋体" w:hAnsi="宋体"/>
          <w:b/>
          <w:color w:val="auto"/>
          <w:sz w:val="28"/>
          <w:szCs w:val="28"/>
        </w:rPr>
        <w:t>投标报价以投标人在政府采购云平台开标一览表中填写的报价为准。</w:t>
      </w: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ind w:left="283" w:leftChars="135" w:firstLine="700" w:firstLineChars="250"/>
        <w:rPr>
          <w:rFonts w:ascii="宋体" w:hAnsi="宋体"/>
          <w:bCs/>
          <w:color w:val="auto"/>
          <w:sz w:val="28"/>
        </w:rPr>
      </w:pPr>
    </w:p>
    <w:p>
      <w:pPr>
        <w:spacing w:line="360" w:lineRule="auto"/>
        <w:rPr>
          <w:rFonts w:ascii="宋体" w:hAnsi="宋体"/>
          <w:bCs/>
          <w:color w:val="auto"/>
          <w:sz w:val="28"/>
        </w:rPr>
      </w:pPr>
    </w:p>
    <w:p>
      <w:pPr>
        <w:keepNext/>
        <w:keepLines/>
        <w:numPr>
          <w:ilvl w:val="2"/>
          <w:numId w:val="6"/>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报价明细表</w:t>
      </w:r>
    </w:p>
    <w:p>
      <w:pPr>
        <w:snapToGrid w:val="0"/>
        <w:spacing w:line="360" w:lineRule="auto"/>
        <w:rPr>
          <w:rFonts w:ascii="宋体" w:hAnsi="宋体"/>
          <w:b/>
          <w:color w:val="auto"/>
          <w:sz w:val="28"/>
          <w:szCs w:val="28"/>
          <w:u w:val="single"/>
        </w:rPr>
      </w:pPr>
      <w:r>
        <w:rPr>
          <w:rFonts w:hint="eastAsia" w:ascii="宋体" w:hAnsi="宋体"/>
          <w:b/>
          <w:color w:val="auto"/>
          <w:sz w:val="28"/>
          <w:szCs w:val="28"/>
        </w:rPr>
        <w:t>项目名称：</w:t>
      </w:r>
      <w:r>
        <w:rPr>
          <w:rFonts w:hint="eastAsia" w:ascii="宋体" w:hAnsi="宋体"/>
          <w:b/>
          <w:bCs/>
          <w:color w:val="auto"/>
          <w:sz w:val="28"/>
          <w:szCs w:val="28"/>
          <w:u w:val="single"/>
          <w:lang w:eastAsia="zh-CN"/>
        </w:rPr>
        <w:t>成都东部新区便民服务中心标准化建设家具采购项目</w:t>
      </w:r>
    </w:p>
    <w:p>
      <w:pPr>
        <w:snapToGrid w:val="0"/>
        <w:spacing w:line="360" w:lineRule="auto"/>
        <w:rPr>
          <w:rFonts w:ascii="宋体" w:hAnsi="宋体"/>
          <w:b/>
          <w:color w:val="auto"/>
          <w:sz w:val="28"/>
          <w:szCs w:val="28"/>
        </w:rPr>
      </w:pPr>
      <w:r>
        <w:rPr>
          <w:rFonts w:hint="eastAsia" w:ascii="宋体" w:hAnsi="宋体"/>
          <w:b/>
          <w:color w:val="auto"/>
          <w:sz w:val="28"/>
          <w:szCs w:val="28"/>
        </w:rPr>
        <w:t>项目编号：</w:t>
      </w:r>
      <w:r>
        <w:rPr>
          <w:rFonts w:hint="eastAsia" w:ascii="宋体" w:hAnsi="宋体"/>
          <w:b/>
          <w:color w:val="auto"/>
          <w:sz w:val="28"/>
          <w:szCs w:val="28"/>
          <w:u w:val="single"/>
        </w:rPr>
        <w:t>成都市政采（202X）AXXXX号</w:t>
      </w:r>
    </w:p>
    <w:tbl>
      <w:tblPr>
        <w:tblStyle w:val="41"/>
        <w:tblpPr w:leftFromText="180" w:rightFromText="180" w:vertAnchor="text" w:tblpXSpec="center" w:tblpY="1"/>
        <w:tblOverlap w:val="never"/>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709"/>
        <w:gridCol w:w="1216"/>
        <w:gridCol w:w="962"/>
        <w:gridCol w:w="657"/>
        <w:gridCol w:w="778"/>
        <w:gridCol w:w="708"/>
        <w:gridCol w:w="782"/>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货物名称（标的</w:t>
            </w:r>
            <w:r>
              <w:rPr>
                <w:rFonts w:ascii="宋体" w:hAnsi="宋体"/>
                <w:b/>
                <w:color w:val="auto"/>
                <w:szCs w:val="28"/>
              </w:rPr>
              <w:t>名称</w:t>
            </w:r>
            <w:r>
              <w:rPr>
                <w:rFonts w:hint="eastAsia" w:ascii="宋体" w:hAnsi="宋体"/>
                <w:b/>
                <w:color w:val="auto"/>
                <w:szCs w:val="28"/>
              </w:rPr>
              <w:t>）</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品牌</w:t>
            </w:r>
          </w:p>
        </w:tc>
        <w:tc>
          <w:tcPr>
            <w:tcW w:w="121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规格型号(mm)</w:t>
            </w:r>
          </w:p>
        </w:tc>
        <w:tc>
          <w:tcPr>
            <w:tcW w:w="96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制造商</w:t>
            </w:r>
          </w:p>
        </w:tc>
        <w:tc>
          <w:tcPr>
            <w:tcW w:w="65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进口或国产</w:t>
            </w:r>
          </w:p>
        </w:tc>
        <w:tc>
          <w:tcPr>
            <w:tcW w:w="7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数量</w:t>
            </w:r>
          </w:p>
        </w:tc>
        <w:tc>
          <w:tcPr>
            <w:tcW w:w="70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单位</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单价（元）</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color w:val="auto"/>
                <w:szCs w:val="28"/>
              </w:rPr>
            </w:pPr>
            <w:r>
              <w:rPr>
                <w:rFonts w:hint="eastAsia" w:ascii="宋体" w:hAnsi="宋体"/>
                <w:b/>
                <w:color w:val="auto"/>
                <w:szCs w:val="28"/>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引导台</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3</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张</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引导台</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4</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张</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填单台</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4</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张</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窗口办公桌（单人位）</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45</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张</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窗口办公桌（双人位）</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3</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套</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办公椅</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58</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把</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接待椅</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51</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把</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异形沙发</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1</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组</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异形沙发</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1</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组</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填单桌</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4</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张</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填单椅</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24</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把</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洽谈桌</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12</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张</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olor w:val="auto"/>
                <w:sz w:val="18"/>
                <w:szCs w:val="22"/>
              </w:rPr>
            </w:pPr>
            <w:r>
              <w:rPr>
                <w:rFonts w:hint="eastAsia" w:ascii="宋体" w:hAnsi="宋体"/>
                <w:color w:val="auto"/>
                <w:sz w:val="22"/>
                <w:szCs w:val="22"/>
              </w:rPr>
              <w:t>洽谈椅</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26</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把</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olor w:val="auto"/>
                <w:sz w:val="22"/>
                <w:szCs w:val="22"/>
              </w:rPr>
            </w:pPr>
            <w:r>
              <w:rPr>
                <w:rFonts w:hint="eastAsia" w:ascii="宋体" w:hAnsi="宋体"/>
                <w:color w:val="auto"/>
                <w:sz w:val="22"/>
                <w:szCs w:val="22"/>
              </w:rPr>
              <w:t>沙发（单人位）</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22</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张</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olor w:val="auto"/>
                <w:sz w:val="22"/>
                <w:szCs w:val="22"/>
              </w:rPr>
            </w:pPr>
            <w:r>
              <w:rPr>
                <w:rFonts w:hint="eastAsia" w:ascii="宋体" w:hAnsi="宋体"/>
                <w:color w:val="auto"/>
                <w:sz w:val="22"/>
                <w:szCs w:val="22"/>
              </w:rPr>
              <w:t>沙发（三人位</w:t>
            </w:r>
            <w:r>
              <w:rPr>
                <w:rFonts w:hint="eastAsia" w:ascii="宋体" w:hAnsi="宋体"/>
                <w:color w:val="auto"/>
                <w:sz w:val="22"/>
                <w:szCs w:val="22"/>
                <w:lang w:eastAsia="zh-CN"/>
              </w:rPr>
              <w:t>）</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11</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张</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79"/>
              <w:numPr>
                <w:ilvl w:val="0"/>
                <w:numId w:val="37"/>
              </w:numPr>
              <w:spacing w:line="400" w:lineRule="exact"/>
              <w:ind w:firstLineChars="0"/>
              <w:jc w:val="center"/>
              <w:rPr>
                <w:rFonts w:ascii="宋体" w:hAnsi="宋体"/>
                <w:color w:val="auto"/>
                <w:szCs w:val="28"/>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color w:val="auto"/>
                <w:sz w:val="22"/>
                <w:szCs w:val="22"/>
              </w:rPr>
            </w:pPr>
            <w:r>
              <w:rPr>
                <w:rFonts w:hint="eastAsia" w:ascii="宋体" w:hAnsi="宋体"/>
                <w:color w:val="auto"/>
                <w:sz w:val="22"/>
                <w:szCs w:val="22"/>
              </w:rPr>
              <w:t>茶几</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12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auto"/>
                <w:sz w:val="24"/>
                <w:szCs w:val="28"/>
              </w:rPr>
            </w:pPr>
          </w:p>
        </w:tc>
        <w:tc>
          <w:tcPr>
            <w:tcW w:w="96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65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color w:val="auto"/>
                <w:szCs w:val="28"/>
              </w:rPr>
            </w:pPr>
          </w:p>
        </w:tc>
        <w:tc>
          <w:tcPr>
            <w:tcW w:w="77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1"/>
              </w:rPr>
            </w:pPr>
            <w:r>
              <w:rPr>
                <w:rFonts w:hint="eastAsia" w:ascii="宋体" w:hAnsi="宋体" w:eastAsia="宋体" w:cs="宋体"/>
                <w:color w:val="auto"/>
                <w:kern w:val="0"/>
                <w:sz w:val="22"/>
                <w:szCs w:val="21"/>
                <w:lang w:bidi="ar"/>
              </w:rPr>
              <w:t>11</w:t>
            </w:r>
          </w:p>
        </w:tc>
        <w:tc>
          <w:tcPr>
            <w:tcW w:w="708" w:type="dxa"/>
            <w:tcBorders>
              <w:top w:val="single" w:color="auto" w:sz="4" w:space="0"/>
              <w:left w:val="single" w:color="auto" w:sz="4" w:space="0"/>
              <w:bottom w:val="single" w:color="auto" w:sz="4" w:space="0"/>
              <w:right w:val="single" w:color="auto" w:sz="4" w:space="0"/>
            </w:tcBorders>
            <w:vAlign w:val="center"/>
          </w:tcPr>
          <w:p>
            <w:pPr>
              <w:widowControl/>
              <w:tabs>
                <w:tab w:val="left" w:pos="0"/>
              </w:tabs>
              <w:jc w:val="center"/>
              <w:textAlignment w:val="center"/>
              <w:rPr>
                <w:rFonts w:hint="eastAsia" w:ascii="宋体" w:hAnsi="宋体" w:eastAsia="宋体" w:cs="宋体"/>
                <w:color w:val="auto"/>
                <w:sz w:val="20"/>
                <w:szCs w:val="24"/>
              </w:rPr>
            </w:pPr>
            <w:r>
              <w:rPr>
                <w:rFonts w:hint="eastAsia" w:ascii="宋体" w:hAnsi="宋体" w:eastAsia="宋体" w:cs="宋体"/>
                <w:color w:val="auto"/>
                <w:kern w:val="0"/>
                <w:sz w:val="22"/>
                <w:szCs w:val="21"/>
                <w:lang w:bidi="ar"/>
              </w:rPr>
              <w:t>套</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88" w:type="dxa"/>
            <w:gridSpan w:val="9"/>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r>
              <w:rPr>
                <w:rFonts w:hint="eastAsia" w:ascii="宋体" w:hAnsi="宋体"/>
                <w:b/>
                <w:color w:val="auto"/>
                <w:szCs w:val="28"/>
              </w:rPr>
              <w:t>投标报价（总价合计）：</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8"/>
              </w:rPr>
            </w:pPr>
          </w:p>
        </w:tc>
      </w:tr>
    </w:tbl>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r>
        <w:rPr>
          <w:rFonts w:hint="eastAsia" w:ascii="宋体" w:hAnsi="宋体"/>
          <w:b/>
          <w:color w:val="auto"/>
          <w:sz w:val="28"/>
          <w:szCs w:val="28"/>
        </w:rPr>
        <w:t>说明：</w:t>
      </w:r>
    </w:p>
    <w:p>
      <w:pPr>
        <w:spacing w:line="440" w:lineRule="atLeast"/>
        <w:ind w:firstLine="419" w:firstLineChars="149"/>
        <w:rPr>
          <w:rFonts w:ascii="宋体" w:hAnsi="宋体"/>
          <w:b/>
          <w:color w:val="auto"/>
          <w:sz w:val="28"/>
          <w:szCs w:val="28"/>
        </w:rPr>
      </w:pPr>
      <w:r>
        <w:rPr>
          <w:rFonts w:hint="eastAsia" w:ascii="宋体" w:hAnsi="宋体"/>
          <w:b/>
          <w:color w:val="auto"/>
          <w:sz w:val="28"/>
          <w:szCs w:val="28"/>
        </w:rPr>
        <w:t>1、进口产品是指通过中国海关报关验放进入中国境内且产自关境外的产品。</w:t>
      </w:r>
    </w:p>
    <w:p>
      <w:pPr>
        <w:spacing w:line="440" w:lineRule="atLeast"/>
        <w:ind w:firstLine="419" w:firstLineChars="149"/>
        <w:rPr>
          <w:rFonts w:ascii="宋体" w:hAnsi="宋体"/>
          <w:b/>
          <w:color w:val="auto"/>
          <w:sz w:val="28"/>
          <w:szCs w:val="28"/>
        </w:rPr>
      </w:pPr>
      <w:r>
        <w:rPr>
          <w:rFonts w:hint="eastAsia" w:ascii="宋体" w:hAnsi="宋体"/>
          <w:b/>
          <w:color w:val="auto"/>
          <w:sz w:val="28"/>
          <w:szCs w:val="28"/>
        </w:rPr>
        <w:t>2、分项报价明细表格式中要求填写品牌、规格型号、制造商、进口或国产的，投标人必须载明其投标产品的品牌、规格型号、制造商、进口或国产。</w:t>
      </w:r>
    </w:p>
    <w:p>
      <w:pPr>
        <w:spacing w:line="440" w:lineRule="atLeast"/>
        <w:ind w:firstLine="1262" w:firstLineChars="449"/>
        <w:rPr>
          <w:rFonts w:ascii="宋体" w:hAnsi="宋体"/>
          <w:b/>
          <w:color w:val="auto"/>
          <w:sz w:val="28"/>
          <w:szCs w:val="28"/>
        </w:rPr>
      </w:pPr>
    </w:p>
    <w:p>
      <w:pPr>
        <w:widowControl/>
        <w:jc w:val="left"/>
        <w:rPr>
          <w:rFonts w:ascii="宋体" w:hAnsi="宋体"/>
          <w:bCs/>
          <w:color w:val="auto"/>
          <w:sz w:val="28"/>
          <w:u w:val="single"/>
        </w:rPr>
      </w:pPr>
      <w:r>
        <w:rPr>
          <w:rFonts w:ascii="宋体" w:hAnsi="宋体"/>
          <w:bCs/>
          <w:color w:val="auto"/>
          <w:sz w:val="28"/>
          <w:u w:val="single"/>
        </w:rPr>
        <w:br w:type="page"/>
      </w:r>
    </w:p>
    <w:bookmarkEnd w:id="180"/>
    <w:p>
      <w:pPr>
        <w:keepNext/>
        <w:keepLines/>
        <w:numPr>
          <w:ilvl w:val="0"/>
          <w:numId w:val="6"/>
        </w:numPr>
        <w:spacing w:line="360" w:lineRule="auto"/>
        <w:ind w:left="0" w:firstLine="0"/>
        <w:jc w:val="center"/>
        <w:outlineLvl w:val="0"/>
        <w:rPr>
          <w:rFonts w:hint="eastAsia" w:ascii="宋体" w:hAnsi="宋体" w:eastAsia="宋体" w:cs="宋体"/>
          <w:b/>
          <w:bCs/>
          <w:color w:val="auto"/>
          <w:spacing w:val="-20"/>
          <w:kern w:val="44"/>
          <w:sz w:val="32"/>
          <w:szCs w:val="32"/>
        </w:rPr>
      </w:pPr>
      <w:bookmarkStart w:id="185" w:name="_Toc10274"/>
      <w:bookmarkStart w:id="186" w:name="_Toc217446093"/>
      <w:bookmarkStart w:id="187" w:name="_Toc24071"/>
      <w:bookmarkStart w:id="188" w:name="_Toc86665556"/>
      <w:bookmarkStart w:id="189" w:name="_Toc6889"/>
      <w:bookmarkStart w:id="190" w:name="_Toc321382057"/>
      <w:bookmarkStart w:id="191" w:name="_Toc316292231"/>
      <w:r>
        <w:rPr>
          <w:rFonts w:hint="eastAsia" w:ascii="宋体" w:hAnsi="宋体" w:eastAsia="宋体" w:cs="宋体"/>
          <w:b/>
          <w:bCs/>
          <w:color w:val="auto"/>
          <w:spacing w:val="-20"/>
          <w:kern w:val="44"/>
          <w:sz w:val="32"/>
          <w:szCs w:val="32"/>
        </w:rPr>
        <w:t>招标项目技术、服务、商务及其他要求</w:t>
      </w:r>
      <w:bookmarkEnd w:id="185"/>
      <w:bookmarkEnd w:id="186"/>
      <w:bookmarkEnd w:id="187"/>
      <w:bookmarkEnd w:id="188"/>
      <w:bookmarkEnd w:id="189"/>
    </w:p>
    <w:p>
      <w:pPr>
        <w:keepNext/>
        <w:keepLines/>
        <w:numPr>
          <w:ilvl w:val="1"/>
          <w:numId w:val="6"/>
        </w:numPr>
        <w:spacing w:line="360" w:lineRule="auto"/>
        <w:jc w:val="left"/>
        <w:outlineLvl w:val="1"/>
        <w:rPr>
          <w:rFonts w:hint="eastAsia" w:ascii="宋体" w:hAnsi="宋体" w:eastAsia="宋体" w:cs="宋体"/>
          <w:b/>
          <w:bCs/>
          <w:color w:val="auto"/>
          <w:sz w:val="24"/>
        </w:rPr>
      </w:pPr>
      <w:bookmarkStart w:id="192" w:name="_Toc12994"/>
      <w:bookmarkStart w:id="193" w:name="_Toc5869_WPSOffice_Level2"/>
      <w:bookmarkStart w:id="194" w:name="_Toc23056"/>
      <w:bookmarkStart w:id="195" w:name="_Toc3099"/>
      <w:r>
        <w:rPr>
          <w:rFonts w:hint="eastAsia" w:ascii="宋体" w:hAnsi="宋体" w:eastAsia="宋体" w:cs="宋体"/>
          <w:b/>
          <w:bCs/>
          <w:color w:val="auto"/>
          <w:sz w:val="24"/>
        </w:rPr>
        <w:t>项目概述</w:t>
      </w:r>
      <w:bookmarkEnd w:id="192"/>
      <w:bookmarkEnd w:id="193"/>
      <w:bookmarkEnd w:id="194"/>
      <w:bookmarkEnd w:id="195"/>
    </w:p>
    <w:p>
      <w:pPr>
        <w:pStyle w:val="232"/>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为</w:t>
      </w:r>
      <w:r>
        <w:rPr>
          <w:rFonts w:hint="eastAsia" w:ascii="宋体" w:hAnsi="宋体" w:eastAsia="宋体" w:cs="宋体"/>
          <w:bCs/>
          <w:color w:val="auto"/>
          <w:sz w:val="24"/>
        </w:rPr>
        <w:t>改善职工办公环境</w:t>
      </w:r>
      <w:r>
        <w:rPr>
          <w:rFonts w:hint="eastAsia" w:ascii="宋体" w:hAnsi="宋体" w:eastAsia="宋体" w:cs="宋体"/>
          <w:color w:val="auto"/>
          <w:sz w:val="24"/>
        </w:rPr>
        <w:t>，拟通过公开招标确定1名供应商，提供</w:t>
      </w:r>
      <w:r>
        <w:rPr>
          <w:rFonts w:hint="eastAsia" w:ascii="宋体" w:hAnsi="宋体" w:eastAsia="宋体" w:cs="宋体"/>
          <w:bCs/>
          <w:color w:val="auto"/>
          <w:sz w:val="24"/>
        </w:rPr>
        <w:t>办公</w:t>
      </w:r>
      <w:r>
        <w:rPr>
          <w:rFonts w:hint="eastAsia" w:ascii="宋体" w:hAnsi="宋体" w:eastAsia="宋体" w:cs="宋体"/>
          <w:color w:val="auto"/>
          <w:sz w:val="24"/>
        </w:rPr>
        <w:t>家具一批，并完成家具安装等工作。</w:t>
      </w:r>
    </w:p>
    <w:p>
      <w:pPr>
        <w:keepNext/>
        <w:keepLines/>
        <w:numPr>
          <w:ilvl w:val="1"/>
          <w:numId w:val="6"/>
        </w:numPr>
        <w:spacing w:line="360" w:lineRule="auto"/>
        <w:jc w:val="left"/>
        <w:outlineLvl w:val="1"/>
        <w:rPr>
          <w:rFonts w:hint="eastAsia" w:ascii="宋体" w:hAnsi="宋体" w:eastAsia="宋体" w:cs="宋体"/>
          <w:color w:val="auto"/>
          <w:sz w:val="24"/>
        </w:rPr>
      </w:pPr>
      <w:bookmarkStart w:id="196" w:name="_Toc32411"/>
      <w:bookmarkStart w:id="197" w:name="_Toc2567_WPSOffice_Level2"/>
      <w:bookmarkStart w:id="198" w:name="_Toc7666"/>
      <w:bookmarkStart w:id="199" w:name="_Toc25039"/>
      <w:r>
        <w:rPr>
          <w:rFonts w:hint="eastAsia" w:ascii="宋体" w:hAnsi="宋体" w:eastAsia="宋体" w:cs="宋体"/>
          <w:b/>
          <w:bCs/>
          <w:color w:val="auto"/>
          <w:sz w:val="24"/>
        </w:rPr>
        <w:t>本项目核心产品</w:t>
      </w:r>
      <w:r>
        <w:rPr>
          <w:rFonts w:hint="eastAsia" w:ascii="宋体" w:hAnsi="宋体" w:eastAsia="宋体" w:cs="宋体"/>
          <w:color w:val="auto"/>
          <w:sz w:val="24"/>
        </w:rPr>
        <w:t>：</w:t>
      </w:r>
      <w:bookmarkEnd w:id="196"/>
    </w:p>
    <w:p>
      <w:pPr>
        <w:pStyle w:val="232"/>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本项目的核心产品为：</w:t>
      </w:r>
      <w:r>
        <w:rPr>
          <w:rFonts w:hint="eastAsia" w:ascii="宋体" w:hAnsi="宋体" w:eastAsia="宋体" w:cs="宋体"/>
          <w:color w:val="auto"/>
          <w:sz w:val="24"/>
          <w:lang w:val="en-US" w:eastAsia="zh-CN"/>
        </w:rPr>
        <w:t>序号4</w:t>
      </w:r>
      <w:r>
        <w:rPr>
          <w:rFonts w:hint="eastAsia" w:ascii="宋体" w:hAnsi="宋体" w:eastAsia="宋体" w:cs="宋体"/>
          <w:color w:val="auto"/>
          <w:kern w:val="0"/>
          <w:sz w:val="24"/>
          <w:lang w:bidi="ar"/>
        </w:rPr>
        <w:t>窗口办公桌（单人位）</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val="en-US" w:eastAsia="zh-CN" w:bidi="ar"/>
        </w:rPr>
        <w:t>序号6</w:t>
      </w:r>
      <w:r>
        <w:rPr>
          <w:rFonts w:hint="eastAsia" w:ascii="宋体" w:hAnsi="宋体" w:eastAsia="宋体" w:cs="宋体"/>
          <w:color w:val="auto"/>
          <w:sz w:val="24"/>
        </w:rPr>
        <w:t>办公椅、</w:t>
      </w:r>
      <w:r>
        <w:rPr>
          <w:rFonts w:hint="eastAsia" w:ascii="宋体" w:hAnsi="宋体" w:eastAsia="宋体" w:cs="宋体"/>
          <w:color w:val="auto"/>
          <w:sz w:val="24"/>
          <w:lang w:val="en-US" w:eastAsia="zh-CN"/>
        </w:rPr>
        <w:t>序号14</w:t>
      </w:r>
      <w:r>
        <w:rPr>
          <w:rFonts w:hint="eastAsia" w:ascii="宋体" w:hAnsi="宋体" w:eastAsia="宋体" w:cs="宋体"/>
          <w:color w:val="auto"/>
          <w:kern w:val="0"/>
          <w:sz w:val="24"/>
          <w:lang w:bidi="ar"/>
        </w:rPr>
        <w:t>沙发（单人位）</w:t>
      </w:r>
      <w:r>
        <w:rPr>
          <w:rFonts w:hint="eastAsia" w:ascii="宋体" w:hAnsi="宋体" w:eastAsia="宋体" w:cs="宋体"/>
          <w:color w:val="auto"/>
          <w:sz w:val="24"/>
        </w:rPr>
        <w:t>，若为相同品牌产品按招标文件第二章规定执行。</w:t>
      </w:r>
    </w:p>
    <w:p>
      <w:pPr>
        <w:keepNext/>
        <w:keepLines/>
        <w:numPr>
          <w:ilvl w:val="1"/>
          <w:numId w:val="6"/>
        </w:numPr>
        <w:spacing w:line="360" w:lineRule="auto"/>
        <w:jc w:val="left"/>
        <w:outlineLvl w:val="1"/>
        <w:rPr>
          <w:rFonts w:hint="eastAsia" w:ascii="宋体" w:hAnsi="宋体" w:eastAsia="宋体" w:cs="宋体"/>
          <w:b/>
          <w:bCs/>
          <w:color w:val="auto"/>
          <w:sz w:val="24"/>
        </w:rPr>
      </w:pPr>
      <w:bookmarkStart w:id="200" w:name="_Toc7336"/>
      <w:r>
        <w:rPr>
          <w:rFonts w:hint="eastAsia" w:ascii="宋体" w:hAnsi="宋体" w:eastAsia="宋体" w:cs="宋体"/>
          <w:b/>
          <w:bCs/>
          <w:color w:val="auto"/>
          <w:sz w:val="24"/>
        </w:rPr>
        <w:t>采购清单</w:t>
      </w:r>
      <w:bookmarkEnd w:id="197"/>
      <w:bookmarkEnd w:id="198"/>
      <w:bookmarkEnd w:id="199"/>
      <w:bookmarkEnd w:id="200"/>
    </w:p>
    <w:tbl>
      <w:tblPr>
        <w:tblStyle w:val="41"/>
        <w:tblW w:w="8805" w:type="dxa"/>
        <w:jc w:val="center"/>
        <w:tblLayout w:type="fixed"/>
        <w:tblCellMar>
          <w:top w:w="0" w:type="dxa"/>
          <w:left w:w="108" w:type="dxa"/>
          <w:bottom w:w="0" w:type="dxa"/>
          <w:right w:w="108" w:type="dxa"/>
        </w:tblCellMar>
      </w:tblPr>
      <w:tblGrid>
        <w:gridCol w:w="750"/>
        <w:gridCol w:w="1075"/>
        <w:gridCol w:w="1834"/>
        <w:gridCol w:w="2070"/>
        <w:gridCol w:w="735"/>
        <w:gridCol w:w="780"/>
        <w:gridCol w:w="1561"/>
      </w:tblGrid>
      <w:tr>
        <w:tblPrEx>
          <w:tblCellMar>
            <w:top w:w="0" w:type="dxa"/>
            <w:left w:w="108" w:type="dxa"/>
            <w:bottom w:w="0" w:type="dxa"/>
            <w:right w:w="108" w:type="dxa"/>
          </w:tblCellMar>
        </w:tblPrEx>
        <w:trPr>
          <w:trHeight w:val="581"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序号</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名称</w:t>
            </w:r>
          </w:p>
        </w:tc>
        <w:tc>
          <w:tcPr>
            <w:tcW w:w="1834"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规格</w:t>
            </w:r>
            <w:r>
              <w:rPr>
                <w:rFonts w:hint="eastAsia" w:ascii="宋体" w:hAnsi="宋体" w:eastAsia="宋体" w:cs="宋体"/>
                <w:b/>
                <w:bCs/>
                <w:color w:val="auto"/>
                <w:sz w:val="24"/>
              </w:rPr>
              <w:t>(mm)</w:t>
            </w:r>
            <w:r>
              <w:rPr>
                <w:rFonts w:hint="eastAsia" w:ascii="宋体" w:hAnsi="宋体" w:eastAsia="宋体" w:cs="宋体"/>
                <w:b/>
                <w:bCs/>
                <w:color w:val="auto"/>
                <w:sz w:val="24"/>
              </w:rPr>
              <w:br w:type="textWrapping"/>
            </w:r>
            <w:r>
              <w:rPr>
                <w:rFonts w:hint="eastAsia" w:ascii="宋体" w:hAnsi="宋体" w:eastAsia="宋体" w:cs="宋体"/>
                <w:b/>
                <w:bCs/>
                <w:color w:val="auto"/>
                <w:sz w:val="24"/>
              </w:rPr>
              <w:t>允差值±5mm</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图式</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数量</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单位</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备注</w:t>
            </w:r>
          </w:p>
        </w:tc>
      </w:tr>
      <w:tr>
        <w:tblPrEx>
          <w:tblCellMar>
            <w:top w:w="0" w:type="dxa"/>
            <w:left w:w="108" w:type="dxa"/>
            <w:bottom w:w="0" w:type="dxa"/>
            <w:right w:w="108" w:type="dxa"/>
          </w:tblCellMar>
        </w:tblPrEx>
        <w:trPr>
          <w:trHeight w:val="660" w:hRule="atLeast"/>
          <w:jc w:val="center"/>
        </w:trPr>
        <w:tc>
          <w:tcPr>
            <w:tcW w:w="8805" w:type="dxa"/>
            <w:gridSpan w:val="7"/>
            <w:tcBorders>
              <w:top w:val="single" w:color="000000" w:sz="4" w:space="0"/>
              <w:left w:val="single" w:color="000000" w:sz="4" w:space="0"/>
              <w:bottom w:val="single" w:color="000000" w:sz="4" w:space="0"/>
              <w:right w:val="single" w:color="000000" w:sz="4" w:space="0"/>
            </w:tcBorders>
            <w:shd w:val="clear" w:color="auto" w:fill="B4C6E7"/>
            <w:noWrap/>
            <w:vAlign w:val="center"/>
          </w:tcPr>
          <w:p>
            <w:pPr>
              <w:widowControl/>
              <w:tabs>
                <w:tab w:val="left" w:pos="0"/>
              </w:tabs>
              <w:jc w:val="center"/>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便民服务中心大厅</w:t>
            </w:r>
          </w:p>
        </w:tc>
      </w:tr>
      <w:tr>
        <w:tblPrEx>
          <w:tblCellMar>
            <w:top w:w="0" w:type="dxa"/>
            <w:left w:w="108" w:type="dxa"/>
            <w:bottom w:w="0" w:type="dxa"/>
            <w:right w:w="108" w:type="dxa"/>
          </w:tblCellMar>
        </w:tblPrEx>
        <w:trPr>
          <w:trHeight w:val="1318"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w:t>
            </w:r>
          </w:p>
        </w:tc>
        <w:tc>
          <w:tcPr>
            <w:tcW w:w="10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引导台</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1200*600*1100</w:t>
            </w:r>
          </w:p>
        </w:tc>
        <w:tc>
          <w:tcPr>
            <w:tcW w:w="207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59264" behindDoc="0" locked="0" layoutInCell="1" allowOverlap="1">
                  <wp:simplePos x="0" y="0"/>
                  <wp:positionH relativeFrom="column">
                    <wp:posOffset>55245</wp:posOffset>
                  </wp:positionH>
                  <wp:positionV relativeFrom="paragraph">
                    <wp:posOffset>372110</wp:posOffset>
                  </wp:positionV>
                  <wp:extent cx="1152525" cy="1071245"/>
                  <wp:effectExtent l="0" t="0" r="9525" b="14605"/>
                  <wp:wrapNone/>
                  <wp:docPr id="1" name="图片_30"/>
                  <wp:cNvGraphicFramePr/>
                  <a:graphic xmlns:a="http://schemas.openxmlformats.org/drawingml/2006/main">
                    <a:graphicData uri="http://schemas.openxmlformats.org/drawingml/2006/picture">
                      <pic:pic xmlns:pic="http://schemas.openxmlformats.org/drawingml/2006/picture">
                        <pic:nvPicPr>
                          <pic:cNvPr id="1" name="图片_30"/>
                          <pic:cNvPicPr/>
                        </pic:nvPicPr>
                        <pic:blipFill>
                          <a:blip r:embed="rId5"/>
                          <a:stretch>
                            <a:fillRect/>
                          </a:stretch>
                        </pic:blipFill>
                        <pic:spPr>
                          <a:xfrm>
                            <a:off x="0" y="0"/>
                            <a:ext cx="1152525" cy="107124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张</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三岔街道、董家埂、壮溪各1张</w:t>
            </w:r>
          </w:p>
        </w:tc>
      </w:tr>
      <w:tr>
        <w:tblPrEx>
          <w:tblCellMar>
            <w:top w:w="0" w:type="dxa"/>
            <w:left w:w="108" w:type="dxa"/>
            <w:bottom w:w="0" w:type="dxa"/>
            <w:right w:w="108" w:type="dxa"/>
          </w:tblCellMar>
        </w:tblPrEx>
        <w:trPr>
          <w:trHeight w:val="1279"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w:t>
            </w:r>
          </w:p>
        </w:tc>
        <w:tc>
          <w:tcPr>
            <w:tcW w:w="10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0"/>
              </w:tabs>
              <w:jc w:val="center"/>
              <w:rPr>
                <w:rFonts w:hint="eastAsia" w:ascii="宋体" w:hAnsi="宋体" w:eastAsia="宋体" w:cs="宋体"/>
                <w:color w:val="auto"/>
                <w:sz w:val="24"/>
              </w:rPr>
            </w:pP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1600*600*1100</w:t>
            </w:r>
          </w:p>
        </w:tc>
        <w:tc>
          <w:tcPr>
            <w:tcW w:w="2070"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0"/>
              </w:tabs>
              <w:jc w:val="center"/>
              <w:rPr>
                <w:rFonts w:hint="eastAsia" w:ascii="宋体" w:hAnsi="宋体" w:eastAsia="宋体" w:cs="宋体"/>
                <w:color w:val="auto"/>
                <w:sz w:val="24"/>
              </w:rPr>
            </w:pP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张</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武庙镇、高明镇、海螺镇、福田各1张</w:t>
            </w:r>
          </w:p>
        </w:tc>
      </w:tr>
      <w:tr>
        <w:tblPrEx>
          <w:tblCellMar>
            <w:top w:w="0" w:type="dxa"/>
            <w:left w:w="108" w:type="dxa"/>
            <w:bottom w:w="0" w:type="dxa"/>
            <w:right w:w="108" w:type="dxa"/>
          </w:tblCellMar>
        </w:tblPrEx>
        <w:trPr>
          <w:trHeight w:val="1936"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填单台</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1200*450*1050</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60288" behindDoc="0" locked="0" layoutInCell="1" allowOverlap="1">
                  <wp:simplePos x="0" y="0"/>
                  <wp:positionH relativeFrom="column">
                    <wp:posOffset>96520</wp:posOffset>
                  </wp:positionH>
                  <wp:positionV relativeFrom="paragraph">
                    <wp:posOffset>153670</wp:posOffset>
                  </wp:positionV>
                  <wp:extent cx="1042670" cy="922655"/>
                  <wp:effectExtent l="0" t="0" r="5080" b="10795"/>
                  <wp:wrapNone/>
                  <wp:docPr id="3" name="图片_29"/>
                  <wp:cNvGraphicFramePr/>
                  <a:graphic xmlns:a="http://schemas.openxmlformats.org/drawingml/2006/main">
                    <a:graphicData uri="http://schemas.openxmlformats.org/drawingml/2006/picture">
                      <pic:pic xmlns:pic="http://schemas.openxmlformats.org/drawingml/2006/picture">
                        <pic:nvPicPr>
                          <pic:cNvPr id="3" name="图片_29"/>
                          <pic:cNvPicPr/>
                        </pic:nvPicPr>
                        <pic:blipFill>
                          <a:blip r:embed="rId6"/>
                          <a:stretch>
                            <a:fillRect/>
                          </a:stretch>
                        </pic:blipFill>
                        <pic:spPr>
                          <a:xfrm>
                            <a:off x="0" y="0"/>
                            <a:ext cx="1042670" cy="92265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张</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三岔、壮溪、董家埂、丹景各1张</w:t>
            </w:r>
          </w:p>
        </w:tc>
      </w:tr>
      <w:tr>
        <w:tblPrEx>
          <w:tblCellMar>
            <w:top w:w="0" w:type="dxa"/>
            <w:left w:w="108" w:type="dxa"/>
            <w:bottom w:w="0" w:type="dxa"/>
            <w:right w:w="108" w:type="dxa"/>
          </w:tblCellMar>
        </w:tblPrEx>
        <w:trPr>
          <w:trHeight w:val="28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窗口办公桌（单人位）</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1600*800*750（带副柜）</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61312" behindDoc="0" locked="0" layoutInCell="1" allowOverlap="1">
                  <wp:simplePos x="0" y="0"/>
                  <wp:positionH relativeFrom="column">
                    <wp:posOffset>89535</wp:posOffset>
                  </wp:positionH>
                  <wp:positionV relativeFrom="paragraph">
                    <wp:posOffset>447040</wp:posOffset>
                  </wp:positionV>
                  <wp:extent cx="1141095" cy="953770"/>
                  <wp:effectExtent l="0" t="0" r="1905" b="17780"/>
                  <wp:wrapNone/>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7"/>
                          <a:stretch>
                            <a:fillRect/>
                          </a:stretch>
                        </pic:blipFill>
                        <pic:spPr>
                          <a:xfrm>
                            <a:off x="0" y="0"/>
                            <a:ext cx="1141095" cy="953770"/>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45</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张</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三岔街道6张、壮溪7张、武庙镇8张、高明镇8张、海螺镇8张、福田8张</w:t>
            </w:r>
          </w:p>
        </w:tc>
      </w:tr>
      <w:tr>
        <w:tblPrEx>
          <w:tblCellMar>
            <w:top w:w="0" w:type="dxa"/>
            <w:left w:w="108" w:type="dxa"/>
            <w:bottom w:w="0" w:type="dxa"/>
            <w:right w:w="108" w:type="dxa"/>
          </w:tblCellMar>
        </w:tblPrEx>
        <w:trPr>
          <w:trHeight w:val="236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5</w:t>
            </w:r>
          </w:p>
        </w:tc>
        <w:tc>
          <w:tcPr>
            <w:tcW w:w="107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窗口办公桌（双人位）</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1400*1235*1050</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62336" behindDoc="0" locked="0" layoutInCell="1" allowOverlap="1">
                  <wp:simplePos x="0" y="0"/>
                  <wp:positionH relativeFrom="column">
                    <wp:posOffset>48260</wp:posOffset>
                  </wp:positionH>
                  <wp:positionV relativeFrom="paragraph">
                    <wp:posOffset>198120</wp:posOffset>
                  </wp:positionV>
                  <wp:extent cx="1190625" cy="1049655"/>
                  <wp:effectExtent l="0" t="0" r="9525" b="17145"/>
                  <wp:wrapNone/>
                  <wp:docPr id="5" name="图片_22"/>
                  <wp:cNvGraphicFramePr/>
                  <a:graphic xmlns:a="http://schemas.openxmlformats.org/drawingml/2006/main">
                    <a:graphicData uri="http://schemas.openxmlformats.org/drawingml/2006/picture">
                      <pic:pic xmlns:pic="http://schemas.openxmlformats.org/drawingml/2006/picture">
                        <pic:nvPicPr>
                          <pic:cNvPr id="5" name="图片_22"/>
                          <pic:cNvPicPr/>
                        </pic:nvPicPr>
                        <pic:blipFill>
                          <a:blip r:embed="rId8"/>
                          <a:stretch>
                            <a:fillRect/>
                          </a:stretch>
                        </pic:blipFill>
                        <pic:spPr>
                          <a:xfrm>
                            <a:off x="0" y="0"/>
                            <a:ext cx="1190625" cy="104965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套</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董家埂3套                  不含大理石柜台报价</w:t>
            </w:r>
          </w:p>
        </w:tc>
      </w:tr>
      <w:tr>
        <w:tblPrEx>
          <w:tblCellMar>
            <w:top w:w="0" w:type="dxa"/>
            <w:left w:w="108" w:type="dxa"/>
            <w:bottom w:w="0" w:type="dxa"/>
            <w:right w:w="108" w:type="dxa"/>
          </w:tblCellMar>
        </w:tblPrEx>
        <w:trPr>
          <w:trHeight w:val="244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6</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办公椅</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常规</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63360" behindDoc="0" locked="0" layoutInCell="1" allowOverlap="1">
                  <wp:simplePos x="0" y="0"/>
                  <wp:positionH relativeFrom="column">
                    <wp:posOffset>198755</wp:posOffset>
                  </wp:positionH>
                  <wp:positionV relativeFrom="paragraph">
                    <wp:posOffset>187325</wp:posOffset>
                  </wp:positionV>
                  <wp:extent cx="949960" cy="1260475"/>
                  <wp:effectExtent l="0" t="0" r="2540" b="15875"/>
                  <wp:wrapNone/>
                  <wp:docPr id="10" name="图片_14"/>
                  <wp:cNvGraphicFramePr/>
                  <a:graphic xmlns:a="http://schemas.openxmlformats.org/drawingml/2006/main">
                    <a:graphicData uri="http://schemas.openxmlformats.org/drawingml/2006/picture">
                      <pic:pic xmlns:pic="http://schemas.openxmlformats.org/drawingml/2006/picture">
                        <pic:nvPicPr>
                          <pic:cNvPr id="10" name="图片_14"/>
                          <pic:cNvPicPr/>
                        </pic:nvPicPr>
                        <pic:blipFill>
                          <a:blip r:embed="rId9"/>
                          <a:stretch>
                            <a:fillRect/>
                          </a:stretch>
                        </pic:blipFill>
                        <pic:spPr>
                          <a:xfrm>
                            <a:off x="0" y="0"/>
                            <a:ext cx="949960" cy="126047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58</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把</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董家埂7把、三岔街道7把、壮溪8把、武庙镇9把、高明镇9把、海螺镇9把、福田9把</w:t>
            </w:r>
          </w:p>
        </w:tc>
      </w:tr>
      <w:tr>
        <w:tblPrEx>
          <w:tblCellMar>
            <w:top w:w="0" w:type="dxa"/>
            <w:left w:w="108" w:type="dxa"/>
            <w:bottom w:w="0" w:type="dxa"/>
            <w:right w:w="108" w:type="dxa"/>
          </w:tblCellMar>
        </w:tblPrEx>
        <w:trPr>
          <w:trHeight w:val="26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7</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接待椅</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常规</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64384" behindDoc="0" locked="0" layoutInCell="1" allowOverlap="1">
                  <wp:simplePos x="0" y="0"/>
                  <wp:positionH relativeFrom="column">
                    <wp:posOffset>310515</wp:posOffset>
                  </wp:positionH>
                  <wp:positionV relativeFrom="paragraph">
                    <wp:posOffset>421640</wp:posOffset>
                  </wp:positionV>
                  <wp:extent cx="735330" cy="1007745"/>
                  <wp:effectExtent l="0" t="0" r="7620" b="1905"/>
                  <wp:wrapNone/>
                  <wp:docPr id="7" name="图片_17"/>
                  <wp:cNvGraphicFramePr/>
                  <a:graphic xmlns:a="http://schemas.openxmlformats.org/drawingml/2006/main">
                    <a:graphicData uri="http://schemas.openxmlformats.org/drawingml/2006/picture">
                      <pic:pic xmlns:pic="http://schemas.openxmlformats.org/drawingml/2006/picture">
                        <pic:nvPicPr>
                          <pic:cNvPr id="7" name="图片_17"/>
                          <pic:cNvPicPr/>
                        </pic:nvPicPr>
                        <pic:blipFill>
                          <a:blip r:embed="rId10"/>
                          <a:stretch>
                            <a:fillRect/>
                          </a:stretch>
                        </pic:blipFill>
                        <pic:spPr>
                          <a:xfrm>
                            <a:off x="0" y="0"/>
                            <a:ext cx="735330" cy="100774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51</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把</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董家埂6把、三岔街道6把、壮溪7把、武庙镇8把、高明镇8把、海螺镇8把、福田8把</w:t>
            </w:r>
          </w:p>
        </w:tc>
      </w:tr>
      <w:tr>
        <w:tblPrEx>
          <w:tblCellMar>
            <w:top w:w="0" w:type="dxa"/>
            <w:left w:w="108" w:type="dxa"/>
            <w:bottom w:w="0" w:type="dxa"/>
            <w:right w:w="108" w:type="dxa"/>
          </w:tblCellMar>
        </w:tblPrEx>
        <w:trPr>
          <w:trHeight w:val="366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8</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异形沙发</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定制尺寸</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65408" behindDoc="0" locked="0" layoutInCell="1" allowOverlap="1">
                  <wp:simplePos x="0" y="0"/>
                  <wp:positionH relativeFrom="column">
                    <wp:posOffset>172085</wp:posOffset>
                  </wp:positionH>
                  <wp:positionV relativeFrom="paragraph">
                    <wp:posOffset>1404620</wp:posOffset>
                  </wp:positionV>
                  <wp:extent cx="977265" cy="749935"/>
                  <wp:effectExtent l="0" t="0" r="13335" b="12065"/>
                  <wp:wrapNone/>
                  <wp:docPr id="9" name="图片_16"/>
                  <wp:cNvGraphicFramePr/>
                  <a:graphic xmlns:a="http://schemas.openxmlformats.org/drawingml/2006/main">
                    <a:graphicData uri="http://schemas.openxmlformats.org/drawingml/2006/picture">
                      <pic:pic xmlns:pic="http://schemas.openxmlformats.org/drawingml/2006/picture">
                        <pic:nvPicPr>
                          <pic:cNvPr id="9" name="图片_16"/>
                          <pic:cNvPicPr/>
                        </pic:nvPicPr>
                        <pic:blipFill>
                          <a:blip r:embed="rId11"/>
                          <a:stretch>
                            <a:fillRect/>
                          </a:stretch>
                        </pic:blipFill>
                        <pic:spPr>
                          <a:xfrm>
                            <a:off x="0" y="0"/>
                            <a:ext cx="977265" cy="749935"/>
                          </a:xfrm>
                          <a:prstGeom prst="rect">
                            <a:avLst/>
                          </a:prstGeom>
                          <a:noFill/>
                          <a:ln>
                            <a:noFill/>
                          </a:ln>
                        </pic:spPr>
                      </pic:pic>
                    </a:graphicData>
                  </a:graphic>
                </wp:anchor>
              </w:drawing>
            </w:r>
            <w:r>
              <w:rPr>
                <w:rFonts w:hint="eastAsia" w:ascii="宋体" w:hAnsi="宋体" w:eastAsia="宋体" w:cs="宋体"/>
                <w:color w:val="auto"/>
                <w:kern w:val="0"/>
                <w:sz w:val="24"/>
                <w:bdr w:val="single" w:color="000000" w:sz="4" w:space="0"/>
              </w:rPr>
              <w:drawing>
                <wp:anchor distT="0" distB="0" distL="114300" distR="114300" simplePos="0" relativeHeight="251666432" behindDoc="0" locked="0" layoutInCell="1" allowOverlap="1">
                  <wp:simplePos x="0" y="0"/>
                  <wp:positionH relativeFrom="column">
                    <wp:posOffset>53975</wp:posOffset>
                  </wp:positionH>
                  <wp:positionV relativeFrom="paragraph">
                    <wp:posOffset>504825</wp:posOffset>
                  </wp:positionV>
                  <wp:extent cx="1183005" cy="785495"/>
                  <wp:effectExtent l="0" t="0" r="17145" b="14605"/>
                  <wp:wrapNone/>
                  <wp:docPr id="8" name="图片_15"/>
                  <wp:cNvGraphicFramePr/>
                  <a:graphic xmlns:a="http://schemas.openxmlformats.org/drawingml/2006/main">
                    <a:graphicData uri="http://schemas.openxmlformats.org/drawingml/2006/picture">
                      <pic:pic xmlns:pic="http://schemas.openxmlformats.org/drawingml/2006/picture">
                        <pic:nvPicPr>
                          <pic:cNvPr id="8" name="图片_15"/>
                          <pic:cNvPicPr/>
                        </pic:nvPicPr>
                        <pic:blipFill>
                          <a:blip r:embed="rId12"/>
                          <a:stretch>
                            <a:fillRect/>
                          </a:stretch>
                        </pic:blipFill>
                        <pic:spPr>
                          <a:xfrm>
                            <a:off x="0" y="0"/>
                            <a:ext cx="1183005" cy="78549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组</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董家埂</w:t>
            </w:r>
          </w:p>
        </w:tc>
      </w:tr>
      <w:tr>
        <w:tblPrEx>
          <w:tblCellMar>
            <w:top w:w="0" w:type="dxa"/>
            <w:left w:w="108" w:type="dxa"/>
            <w:bottom w:w="0" w:type="dxa"/>
            <w:right w:w="108" w:type="dxa"/>
          </w:tblCellMar>
        </w:tblPrEx>
        <w:trPr>
          <w:trHeight w:val="25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9</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异形沙发</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900W×655D×720H</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67456" behindDoc="0" locked="0" layoutInCell="1" allowOverlap="1">
                  <wp:simplePos x="0" y="0"/>
                  <wp:positionH relativeFrom="column">
                    <wp:posOffset>62230</wp:posOffset>
                  </wp:positionH>
                  <wp:positionV relativeFrom="paragraph">
                    <wp:posOffset>447675</wp:posOffset>
                  </wp:positionV>
                  <wp:extent cx="1183005" cy="762635"/>
                  <wp:effectExtent l="0" t="0" r="17145" b="18415"/>
                  <wp:wrapNone/>
                  <wp:docPr id="12" name="图片_12"/>
                  <wp:cNvGraphicFramePr/>
                  <a:graphic xmlns:a="http://schemas.openxmlformats.org/drawingml/2006/main">
                    <a:graphicData uri="http://schemas.openxmlformats.org/drawingml/2006/picture">
                      <pic:pic xmlns:pic="http://schemas.openxmlformats.org/drawingml/2006/picture">
                        <pic:nvPicPr>
                          <pic:cNvPr id="12" name="图片_12"/>
                          <pic:cNvPicPr/>
                        </pic:nvPicPr>
                        <pic:blipFill>
                          <a:blip r:embed="rId13"/>
                          <a:stretch>
                            <a:fillRect/>
                          </a:stretch>
                        </pic:blipFill>
                        <pic:spPr>
                          <a:xfrm>
                            <a:off x="0" y="0"/>
                            <a:ext cx="1183005" cy="76263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组</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三岔街道</w:t>
            </w:r>
          </w:p>
        </w:tc>
      </w:tr>
      <w:tr>
        <w:tblPrEx>
          <w:tblCellMar>
            <w:top w:w="0" w:type="dxa"/>
            <w:left w:w="108" w:type="dxa"/>
            <w:bottom w:w="0" w:type="dxa"/>
            <w:right w:w="108" w:type="dxa"/>
          </w:tblCellMar>
        </w:tblPrEx>
        <w:trPr>
          <w:trHeight w:val="304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10</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填单桌</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2000*1000*760</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68480" behindDoc="0" locked="0" layoutInCell="1" allowOverlap="1">
                  <wp:simplePos x="0" y="0"/>
                  <wp:positionH relativeFrom="column">
                    <wp:posOffset>-46355</wp:posOffset>
                  </wp:positionH>
                  <wp:positionV relativeFrom="paragraph">
                    <wp:posOffset>530225</wp:posOffset>
                  </wp:positionV>
                  <wp:extent cx="1183005" cy="847725"/>
                  <wp:effectExtent l="0" t="0" r="17145" b="9525"/>
                  <wp:wrapNone/>
                  <wp:docPr id="13" name="图片_7"/>
                  <wp:cNvGraphicFramePr/>
                  <a:graphic xmlns:a="http://schemas.openxmlformats.org/drawingml/2006/main">
                    <a:graphicData uri="http://schemas.openxmlformats.org/drawingml/2006/picture">
                      <pic:pic xmlns:pic="http://schemas.openxmlformats.org/drawingml/2006/picture">
                        <pic:nvPicPr>
                          <pic:cNvPr id="13" name="图片_7"/>
                          <pic:cNvPicPr/>
                        </pic:nvPicPr>
                        <pic:blipFill>
                          <a:blip r:embed="rId14"/>
                          <a:stretch>
                            <a:fillRect/>
                          </a:stretch>
                        </pic:blipFill>
                        <pic:spPr>
                          <a:xfrm>
                            <a:off x="0" y="0"/>
                            <a:ext cx="1183005" cy="84772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4</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张</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福田、海螺、武庙、高明各1张</w:t>
            </w:r>
          </w:p>
        </w:tc>
      </w:tr>
      <w:tr>
        <w:tblPrEx>
          <w:tblCellMar>
            <w:top w:w="0" w:type="dxa"/>
            <w:left w:w="108" w:type="dxa"/>
            <w:bottom w:w="0" w:type="dxa"/>
            <w:right w:w="108" w:type="dxa"/>
          </w:tblCellMar>
        </w:tblPrEx>
        <w:trPr>
          <w:trHeight w:val="252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11</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填单椅</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505*540*860</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69504" behindDoc="0" locked="0" layoutInCell="1" allowOverlap="1">
                  <wp:simplePos x="0" y="0"/>
                  <wp:positionH relativeFrom="column">
                    <wp:posOffset>133985</wp:posOffset>
                  </wp:positionH>
                  <wp:positionV relativeFrom="paragraph">
                    <wp:posOffset>121920</wp:posOffset>
                  </wp:positionV>
                  <wp:extent cx="1007110" cy="1335405"/>
                  <wp:effectExtent l="0" t="0" r="2540" b="17145"/>
                  <wp:wrapNone/>
                  <wp:docPr id="11" name="图片_8"/>
                  <wp:cNvGraphicFramePr/>
                  <a:graphic xmlns:a="http://schemas.openxmlformats.org/drawingml/2006/main">
                    <a:graphicData uri="http://schemas.openxmlformats.org/drawingml/2006/picture">
                      <pic:pic xmlns:pic="http://schemas.openxmlformats.org/drawingml/2006/picture">
                        <pic:nvPicPr>
                          <pic:cNvPr id="11" name="图片_8"/>
                          <pic:cNvPicPr/>
                        </pic:nvPicPr>
                        <pic:blipFill>
                          <a:blip r:embed="rId15"/>
                          <a:stretch>
                            <a:fillRect/>
                          </a:stretch>
                        </pic:blipFill>
                        <pic:spPr>
                          <a:xfrm>
                            <a:off x="0" y="0"/>
                            <a:ext cx="1007110" cy="133540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24</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把</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福田、海螺、武庙、高明各6把</w:t>
            </w:r>
          </w:p>
        </w:tc>
      </w:tr>
      <w:tr>
        <w:tblPrEx>
          <w:tblCellMar>
            <w:top w:w="0" w:type="dxa"/>
            <w:left w:w="108" w:type="dxa"/>
            <w:bottom w:w="0" w:type="dxa"/>
            <w:right w:w="108" w:type="dxa"/>
          </w:tblCellMar>
        </w:tblPrEx>
        <w:trPr>
          <w:trHeight w:val="304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12</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洽谈桌</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φ700*750</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70528" behindDoc="0" locked="0" layoutInCell="1" allowOverlap="1">
                  <wp:simplePos x="0" y="0"/>
                  <wp:positionH relativeFrom="column">
                    <wp:posOffset>-6985</wp:posOffset>
                  </wp:positionH>
                  <wp:positionV relativeFrom="paragraph">
                    <wp:posOffset>549275</wp:posOffset>
                  </wp:positionV>
                  <wp:extent cx="1196975" cy="1116330"/>
                  <wp:effectExtent l="0" t="0" r="3175" b="7620"/>
                  <wp:wrapNone/>
                  <wp:docPr id="17" name="图片_18"/>
                  <wp:cNvGraphicFramePr/>
                  <a:graphic xmlns:a="http://schemas.openxmlformats.org/drawingml/2006/main">
                    <a:graphicData uri="http://schemas.openxmlformats.org/drawingml/2006/picture">
                      <pic:pic xmlns:pic="http://schemas.openxmlformats.org/drawingml/2006/picture">
                        <pic:nvPicPr>
                          <pic:cNvPr id="17" name="图片_18"/>
                          <pic:cNvPicPr/>
                        </pic:nvPicPr>
                        <pic:blipFill>
                          <a:blip r:embed="rId16"/>
                          <a:stretch>
                            <a:fillRect/>
                          </a:stretch>
                        </pic:blipFill>
                        <pic:spPr>
                          <a:xfrm>
                            <a:off x="0" y="0"/>
                            <a:ext cx="1196975" cy="1116330"/>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12</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张</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壮溪2张、董家埂1张，海螺2张，福田3张，武庙2张，高明2张</w:t>
            </w:r>
          </w:p>
        </w:tc>
      </w:tr>
      <w:tr>
        <w:tblPrEx>
          <w:tblCellMar>
            <w:top w:w="0" w:type="dxa"/>
            <w:left w:w="108" w:type="dxa"/>
            <w:bottom w:w="0" w:type="dxa"/>
            <w:right w:w="108" w:type="dxa"/>
          </w:tblCellMar>
        </w:tblPrEx>
        <w:trPr>
          <w:trHeight w:val="296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13</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洽谈椅</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630*580*740</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71552" behindDoc="0" locked="0" layoutInCell="1" allowOverlap="1">
                  <wp:simplePos x="0" y="0"/>
                  <wp:positionH relativeFrom="column">
                    <wp:posOffset>-6985</wp:posOffset>
                  </wp:positionH>
                  <wp:positionV relativeFrom="paragraph">
                    <wp:posOffset>372745</wp:posOffset>
                  </wp:positionV>
                  <wp:extent cx="1290320" cy="1180465"/>
                  <wp:effectExtent l="0" t="0" r="5080" b="635"/>
                  <wp:wrapNone/>
                  <wp:docPr id="14" name="图片_1"/>
                  <wp:cNvGraphicFramePr/>
                  <a:graphic xmlns:a="http://schemas.openxmlformats.org/drawingml/2006/main">
                    <a:graphicData uri="http://schemas.openxmlformats.org/drawingml/2006/picture">
                      <pic:pic xmlns:pic="http://schemas.openxmlformats.org/drawingml/2006/picture">
                        <pic:nvPicPr>
                          <pic:cNvPr id="14" name="图片_1"/>
                          <pic:cNvPicPr/>
                        </pic:nvPicPr>
                        <pic:blipFill>
                          <a:blip r:embed="rId17"/>
                          <a:stretch>
                            <a:fillRect/>
                          </a:stretch>
                        </pic:blipFill>
                        <pic:spPr>
                          <a:xfrm>
                            <a:off x="0" y="0"/>
                            <a:ext cx="1290320" cy="118046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26</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把</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壮溪6把、董家埂2把、海螺4把、福田6把、武庙4把，高明4把</w:t>
            </w:r>
          </w:p>
        </w:tc>
      </w:tr>
      <w:tr>
        <w:tblPrEx>
          <w:tblCellMar>
            <w:top w:w="0" w:type="dxa"/>
            <w:left w:w="108" w:type="dxa"/>
            <w:bottom w:w="0" w:type="dxa"/>
            <w:right w:w="108" w:type="dxa"/>
          </w:tblCellMar>
        </w:tblPrEx>
        <w:trPr>
          <w:trHeight w:val="17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14</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沙发    （单人位）</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ø780*780*740</w:t>
            </w:r>
          </w:p>
        </w:tc>
        <w:tc>
          <w:tcPr>
            <w:tcW w:w="207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72576" behindDoc="0" locked="0" layoutInCell="1" allowOverlap="1">
                  <wp:simplePos x="0" y="0"/>
                  <wp:positionH relativeFrom="column">
                    <wp:posOffset>172085</wp:posOffset>
                  </wp:positionH>
                  <wp:positionV relativeFrom="paragraph">
                    <wp:posOffset>104140</wp:posOffset>
                  </wp:positionV>
                  <wp:extent cx="937895" cy="1172845"/>
                  <wp:effectExtent l="0" t="0" r="14605" b="8255"/>
                  <wp:wrapNone/>
                  <wp:docPr id="18" name="图片_25"/>
                  <wp:cNvGraphicFramePr/>
                  <a:graphic xmlns:a="http://schemas.openxmlformats.org/drawingml/2006/main">
                    <a:graphicData uri="http://schemas.openxmlformats.org/drawingml/2006/picture">
                      <pic:pic xmlns:pic="http://schemas.openxmlformats.org/drawingml/2006/picture">
                        <pic:nvPicPr>
                          <pic:cNvPr id="18" name="图片_25"/>
                          <pic:cNvPicPr/>
                        </pic:nvPicPr>
                        <pic:blipFill>
                          <a:blip r:embed="rId18"/>
                          <a:stretch>
                            <a:fillRect/>
                          </a:stretch>
                        </pic:blipFill>
                        <pic:spPr>
                          <a:xfrm>
                            <a:off x="0" y="0"/>
                            <a:ext cx="937895" cy="1172845"/>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22</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张</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三岔街道2张、壮溪2张、武庙镇4张、高明镇4张、海螺镇4张、福田4张、丹景2张</w:t>
            </w:r>
          </w:p>
        </w:tc>
      </w:tr>
      <w:tr>
        <w:tblPrEx>
          <w:tblCellMar>
            <w:top w:w="0" w:type="dxa"/>
            <w:left w:w="108" w:type="dxa"/>
            <w:bottom w:w="0" w:type="dxa"/>
            <w:right w:w="108" w:type="dxa"/>
          </w:tblCellMar>
        </w:tblPrEx>
        <w:trPr>
          <w:trHeight w:val="170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15</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沙发    （三人位）</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ø1950*750*800</w:t>
            </w:r>
          </w:p>
        </w:tc>
        <w:tc>
          <w:tcPr>
            <w:tcW w:w="2070"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0"/>
              </w:tabs>
              <w:jc w:val="center"/>
              <w:rPr>
                <w:rFonts w:hint="eastAsia" w:ascii="宋体" w:hAnsi="宋体" w:eastAsia="宋体" w:cs="宋体"/>
                <w:color w:val="auto"/>
                <w:sz w:val="24"/>
              </w:rPr>
            </w:pP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11</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张</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三岔街道1张、董家埂1张、壮溪2张、武庙镇2张、高明镇2张、海螺镇2张、福田3张、丹景1张</w:t>
            </w:r>
          </w:p>
        </w:tc>
      </w:tr>
      <w:tr>
        <w:tblPrEx>
          <w:tblCellMar>
            <w:top w:w="0" w:type="dxa"/>
            <w:left w:w="108" w:type="dxa"/>
            <w:bottom w:w="0" w:type="dxa"/>
            <w:right w:w="108" w:type="dxa"/>
          </w:tblCellMar>
        </w:tblPrEx>
        <w:trPr>
          <w:trHeight w:val="27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16</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茶几</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1200*620*460</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bdr w:val="single" w:color="000000" w:sz="4" w:space="0"/>
              </w:rPr>
              <w:drawing>
                <wp:anchor distT="0" distB="0" distL="114300" distR="114300" simplePos="0" relativeHeight="251673600" behindDoc="0" locked="0" layoutInCell="1" allowOverlap="1">
                  <wp:simplePos x="0" y="0"/>
                  <wp:positionH relativeFrom="column">
                    <wp:posOffset>-18415</wp:posOffset>
                  </wp:positionH>
                  <wp:positionV relativeFrom="paragraph">
                    <wp:posOffset>388620</wp:posOffset>
                  </wp:positionV>
                  <wp:extent cx="1251585" cy="1198880"/>
                  <wp:effectExtent l="0" t="0" r="5715" b="1270"/>
                  <wp:wrapNone/>
                  <wp:docPr id="15" name="图片_27"/>
                  <wp:cNvGraphicFramePr/>
                  <a:graphic xmlns:a="http://schemas.openxmlformats.org/drawingml/2006/main">
                    <a:graphicData uri="http://schemas.openxmlformats.org/drawingml/2006/picture">
                      <pic:pic xmlns:pic="http://schemas.openxmlformats.org/drawingml/2006/picture">
                        <pic:nvPicPr>
                          <pic:cNvPr id="15" name="图片_27"/>
                          <pic:cNvPicPr/>
                        </pic:nvPicPr>
                        <pic:blipFill>
                          <a:blip r:embed="rId19"/>
                          <a:stretch>
                            <a:fillRect/>
                          </a:stretch>
                        </pic:blipFill>
                        <pic:spPr>
                          <a:xfrm>
                            <a:off x="0" y="0"/>
                            <a:ext cx="1251585" cy="1198880"/>
                          </a:xfrm>
                          <a:prstGeom prst="rect">
                            <a:avLst/>
                          </a:prstGeom>
                          <a:noFill/>
                          <a:ln>
                            <a:noFill/>
                          </a:ln>
                        </pic:spPr>
                      </pic:pic>
                    </a:graphicData>
                  </a:graphic>
                </wp:anchor>
              </w:drawing>
            </w:r>
          </w:p>
        </w:tc>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11</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套</w:t>
            </w:r>
          </w:p>
        </w:tc>
        <w:tc>
          <w:tcPr>
            <w:tcW w:w="1561"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三岔街道1套、壮溪1套、武庙镇2套、高明镇2套、海螺镇2套、福田2套、丹景1套</w:t>
            </w:r>
          </w:p>
        </w:tc>
      </w:tr>
    </w:tbl>
    <w:p>
      <w:pPr>
        <w:pStyle w:val="5"/>
        <w:jc w:val="center"/>
        <w:rPr>
          <w:rFonts w:hint="eastAsia" w:ascii="宋体" w:hAnsi="宋体" w:eastAsia="宋体" w:cs="宋体"/>
          <w:color w:val="auto"/>
        </w:rPr>
      </w:pPr>
      <w:bookmarkStart w:id="201" w:name="_Toc19045"/>
      <w:bookmarkStart w:id="202" w:name="_Toc1172"/>
      <w:bookmarkStart w:id="203" w:name="_Toc12968"/>
      <w:r>
        <w:rPr>
          <w:rFonts w:hint="eastAsia" w:ascii="宋体" w:hAnsi="宋体" w:eastAsia="宋体" w:cs="宋体"/>
          <w:color w:val="auto"/>
        </w:rPr>
        <w:t>技术参数及功能要求</w:t>
      </w:r>
      <w:bookmarkEnd w:id="201"/>
      <w:bookmarkEnd w:id="202"/>
      <w:bookmarkEnd w:id="203"/>
    </w:p>
    <w:tbl>
      <w:tblPr>
        <w:tblStyle w:val="41"/>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60"/>
        <w:gridCol w:w="1665"/>
        <w:gridCol w:w="5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58" w:type="dxa"/>
            <w:vAlign w:val="center"/>
          </w:tcPr>
          <w:p>
            <w:pPr>
              <w:tabs>
                <w:tab w:val="left" w:pos="0"/>
              </w:tabs>
              <w:wordWrap w:val="0"/>
              <w:spacing w:line="360" w:lineRule="auto"/>
              <w:jc w:val="center"/>
              <w:textAlignment w:val="center"/>
              <w:rPr>
                <w:rFonts w:hint="eastAsia" w:ascii="宋体" w:hAnsi="宋体" w:eastAsia="宋体" w:cs="宋体"/>
                <w:color w:val="auto"/>
                <w:sz w:val="24"/>
              </w:rPr>
            </w:pPr>
            <w:bookmarkStart w:id="204" w:name="_Toc9683"/>
            <w:bookmarkStart w:id="205" w:name="_Toc12739"/>
            <w:bookmarkStart w:id="206" w:name="_Toc6974"/>
            <w:bookmarkStart w:id="207" w:name="_Toc8752_WPSOffice_Level2"/>
            <w:bookmarkStart w:id="208" w:name="_Toc7101"/>
            <w:bookmarkStart w:id="209" w:name="_Toc27497"/>
            <w:r>
              <w:rPr>
                <w:rFonts w:hint="eastAsia" w:ascii="宋体" w:hAnsi="宋体" w:eastAsia="宋体" w:cs="宋体"/>
                <w:b/>
                <w:bCs/>
                <w:color w:val="auto"/>
                <w:sz w:val="24"/>
              </w:rPr>
              <w:t>序号</w:t>
            </w:r>
          </w:p>
        </w:tc>
        <w:tc>
          <w:tcPr>
            <w:tcW w:w="1260" w:type="dxa"/>
            <w:vAlign w:val="center"/>
          </w:tcPr>
          <w:p>
            <w:pPr>
              <w:tabs>
                <w:tab w:val="left" w:pos="0"/>
              </w:tabs>
              <w:wordWrap w:val="0"/>
              <w:spacing w:line="360" w:lineRule="auto"/>
              <w:jc w:val="center"/>
              <w:textAlignment w:val="center"/>
              <w:rPr>
                <w:rFonts w:hint="eastAsia" w:ascii="宋体" w:hAnsi="宋体" w:eastAsia="宋体" w:cs="宋体"/>
                <w:color w:val="auto"/>
                <w:sz w:val="24"/>
              </w:rPr>
            </w:pPr>
            <w:r>
              <w:rPr>
                <w:rFonts w:hint="eastAsia" w:ascii="宋体" w:hAnsi="宋体" w:eastAsia="宋体" w:cs="宋体"/>
                <w:b/>
                <w:bCs/>
                <w:color w:val="auto"/>
                <w:sz w:val="24"/>
              </w:rPr>
              <w:t>货物名称</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规格型号(mm)</w:t>
            </w:r>
            <w:r>
              <w:rPr>
                <w:rFonts w:hint="eastAsia" w:ascii="宋体" w:hAnsi="宋体" w:eastAsia="宋体" w:cs="宋体"/>
                <w:b/>
                <w:bCs/>
                <w:color w:val="auto"/>
                <w:sz w:val="24"/>
              </w:rPr>
              <w:br w:type="textWrapping"/>
            </w:r>
            <w:r>
              <w:rPr>
                <w:rFonts w:hint="eastAsia" w:ascii="宋体" w:hAnsi="宋体" w:eastAsia="宋体" w:cs="宋体"/>
                <w:b/>
                <w:bCs/>
                <w:color w:val="auto"/>
                <w:sz w:val="24"/>
              </w:rPr>
              <w:t>允差值±5mm</w:t>
            </w:r>
          </w:p>
        </w:tc>
        <w:tc>
          <w:tcPr>
            <w:tcW w:w="5163" w:type="dxa"/>
            <w:vAlign w:val="center"/>
          </w:tcPr>
          <w:p>
            <w:pPr>
              <w:tabs>
                <w:tab w:val="left" w:pos="0"/>
              </w:tabs>
              <w:wordWrap w:val="0"/>
              <w:spacing w:line="360" w:lineRule="auto"/>
              <w:jc w:val="center"/>
              <w:textAlignment w:val="center"/>
              <w:rPr>
                <w:rFonts w:hint="eastAsia" w:ascii="宋体" w:hAnsi="宋体" w:eastAsia="宋体" w:cs="宋体"/>
                <w:color w:val="auto"/>
                <w:sz w:val="24"/>
              </w:rPr>
            </w:pPr>
            <w:r>
              <w:rPr>
                <w:rFonts w:hint="eastAsia" w:ascii="宋体" w:hAnsi="宋体" w:eastAsia="宋体" w:cs="宋体"/>
                <w:b/>
                <w:bCs/>
                <w:color w:val="auto"/>
                <w:sz w:val="24"/>
              </w:rPr>
              <w:t>技术参数及功能要求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w:t>
            </w:r>
          </w:p>
        </w:tc>
        <w:tc>
          <w:tcPr>
            <w:tcW w:w="1260" w:type="dxa"/>
            <w:vAlign w:val="center"/>
          </w:tcPr>
          <w:p>
            <w:pPr>
              <w:widowControl/>
              <w:tabs>
                <w:tab w:val="left" w:pos="0"/>
              </w:tabs>
              <w:spacing w:line="360" w:lineRule="auto"/>
              <w:jc w:val="center"/>
              <w:rPr>
                <w:rFonts w:hint="eastAsia" w:ascii="宋体" w:hAnsi="宋体" w:eastAsia="宋体" w:cs="宋体"/>
                <w:color w:val="auto"/>
                <w:sz w:val="24"/>
              </w:rPr>
            </w:pPr>
            <w:r>
              <w:rPr>
                <w:rFonts w:hint="eastAsia" w:ascii="宋体" w:hAnsi="宋体" w:eastAsia="宋体" w:cs="宋体"/>
                <w:bCs/>
                <w:color w:val="auto"/>
                <w:sz w:val="24"/>
              </w:rPr>
              <w:t>引导台</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color w:val="auto"/>
                <w:kern w:val="0"/>
                <w:sz w:val="24"/>
                <w:lang w:bidi="ar"/>
              </w:rPr>
              <w:t>1200*600*1100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kern w:val="0"/>
                <w:sz w:val="24"/>
                <w:lang w:eastAsia="zh-CN" w:bidi="ar"/>
              </w:rPr>
            </w:pPr>
            <w:r>
              <w:rPr>
                <w:rFonts w:hint="eastAsia" w:ascii="宋体" w:hAnsi="宋体" w:eastAsia="宋体" w:cs="宋体"/>
                <w:color w:val="auto"/>
                <w:lang w:eastAsia="zh-CN"/>
              </w:rPr>
              <w:t>▲</w:t>
            </w:r>
            <w:r>
              <w:rPr>
                <w:rFonts w:hint="eastAsia" w:ascii="宋体" w:hAnsi="宋体" w:eastAsia="宋体" w:cs="宋体"/>
                <w:color w:val="auto"/>
                <w:kern w:val="0"/>
                <w:sz w:val="24"/>
                <w:lang w:bidi="ar"/>
              </w:rPr>
              <w:t>基材：采用≥15mm高密度纤维板，经过防虫、防腐等化学处理，持久不变形，密度＞0.82g/cm³，板内密度偏差±10.0%，内结合强度≥0.9MPa，含水率＜7%，静曲强度＞36.0MPa，甲醛释放量≤0.04mg/m³，符合GB/T 31765-2015《高密度纤维板》检验依据。（需提供第三方检测机构出具的高密度纤维板检验报告，并加盖投标人公章</w:t>
            </w:r>
            <w:r>
              <w:rPr>
                <w:rFonts w:hint="eastAsia" w:ascii="宋体" w:hAnsi="宋体" w:eastAsia="宋体" w:cs="宋体"/>
                <w:color w:val="auto"/>
                <w:kern w:val="0"/>
                <w:sz w:val="24"/>
                <w:lang w:eastAsia="zh-CN" w:bidi="ar"/>
              </w:rPr>
              <w:t>）</w:t>
            </w:r>
          </w:p>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rPr>
              <w:t>★</w:t>
            </w:r>
            <w:r>
              <w:rPr>
                <w:rFonts w:hint="eastAsia" w:ascii="宋体" w:hAnsi="宋体" w:eastAsia="宋体" w:cs="宋体"/>
                <w:color w:val="auto"/>
                <w:kern w:val="0"/>
                <w:sz w:val="24"/>
                <w:lang w:bidi="ar"/>
              </w:rPr>
              <w:t>符合GB 18580-2017《室内装饰装修材料 人造板及其制品中甲醛释放限量》</w:t>
            </w:r>
            <w:r>
              <w:rPr>
                <w:rFonts w:hint="eastAsia" w:ascii="宋体" w:hAnsi="宋体" w:eastAsia="宋体" w:cs="宋体"/>
                <w:color w:val="auto"/>
                <w:kern w:val="0"/>
                <w:sz w:val="24"/>
                <w:lang w:val="en-US" w:eastAsia="zh-CN" w:bidi="ar"/>
              </w:rPr>
              <w:t>标准。</w:t>
            </w:r>
          </w:p>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lang w:eastAsia="zh-CN"/>
              </w:rPr>
              <w:t>▲</w:t>
            </w:r>
            <w:r>
              <w:rPr>
                <w:rFonts w:hint="eastAsia" w:ascii="宋体" w:hAnsi="宋体" w:eastAsia="宋体" w:cs="宋体"/>
                <w:color w:val="auto"/>
                <w:kern w:val="0"/>
                <w:sz w:val="24"/>
                <w:lang w:bidi="ar"/>
              </w:rPr>
              <w:t>油漆：采用净味水性油漆，挥发性有机化合物含量≤260g/L，苯系物含量（苯、甲苯、乙苯和二甲苯总和）≤10mg/kg，耐干热性[（70±2）℃，15min]≤3级，游离甲醛含量≤55mg/kg；（需提供第三方检测机构出具的水性木器漆检验报告，并加盖投标人公章）</w:t>
            </w:r>
            <w:r>
              <w:rPr>
                <w:rFonts w:hint="eastAsia" w:ascii="宋体" w:hAnsi="宋体" w:eastAsia="宋体" w:cs="宋体"/>
                <w:color w:val="auto"/>
                <w:kern w:val="0"/>
                <w:sz w:val="24"/>
                <w:lang w:eastAsia="zh-CN" w:bidi="ar"/>
              </w:rPr>
              <w:t>。</w:t>
            </w:r>
          </w:p>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kern w:val="0"/>
                <w:sz w:val="24"/>
                <w:lang w:bidi="ar"/>
              </w:rPr>
              <w:t>五金件：①静音导轨符合 QB/T2454-2013《家具五金 抽屉导轨》标准，耐久性达到 40000 次，符合垂直向下静载荷检验要求，符合水平侧向静载荷检验要求，符合耐腐蚀检验要求；②缓冲铰链：符合 QB/T 2189-2013《家具五金 杯状暗铰链》标准，耐久性达到 40000 次，符合垂直静载荷检验要求，符合水平静载荷过载试验，符合耐腐蚀试验要求。③紧固件：符合 QB/T 3826-1999《轻工产品金属镀层和化学处理层的耐腐蚀试验方法 中性盐雾试验（NSS）法》、QB/T 3832-1999《轻工产品金属镀层腐蚀试验结果的评价》、GB/T 3325-2017《金属家具通用技术条件》标准，24h中性盐雾试验不低于8级。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2</w:t>
            </w:r>
          </w:p>
        </w:tc>
        <w:tc>
          <w:tcPr>
            <w:tcW w:w="1260" w:type="dxa"/>
            <w:vAlign w:val="center"/>
          </w:tcPr>
          <w:p>
            <w:pPr>
              <w:widowControl/>
              <w:tabs>
                <w:tab w:val="left" w:pos="0"/>
              </w:tabs>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引导台</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color w:val="auto"/>
                <w:kern w:val="0"/>
                <w:sz w:val="24"/>
                <w:lang w:bidi="ar"/>
              </w:rPr>
              <w:t>1600*600*1100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基材：采用≥15mm高密度纤维板，经过防虫、防腐等化学处理，持久不变形，密度＞0.82g/cm³，板内密度偏差±10.0%，内结合强度≥0.9MPa，含水率＜7%，静曲强度＞36.0MPa，甲醛释放量≤0.04mg/m³，符合GB/T 31765-2015《高密度纤维板》检验依据。</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rPr>
              <w:t>★</w:t>
            </w:r>
            <w:r>
              <w:rPr>
                <w:rFonts w:hint="eastAsia" w:ascii="宋体" w:hAnsi="宋体" w:eastAsia="宋体" w:cs="宋体"/>
                <w:color w:val="auto"/>
                <w:kern w:val="0"/>
                <w:sz w:val="24"/>
                <w:lang w:bidi="ar"/>
              </w:rPr>
              <w:t>GB 18580-2017《室内装饰装修材料 人造板及其制品中甲醛释放限量》</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油漆：采用净味水性油漆，挥发性有机化合物含量≤260g/L，苯系物含量（苯、甲苯、乙苯和二甲苯总和）≤10mg/kg，耐干热性[（70±2）℃，15min]≤3级，游离甲醛含量≤55mg/kg；</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五金件：①静音导轨符合 QB/T2454-2013《家具五金 抽屉导轨》标准，耐久性达到 40000 次，符合垂直向下静载荷检验要求，符合水平侧向静载荷检验要求，符合耐腐蚀检验要求；②缓冲铰链：符合 QB/T 2189-2013《家具五金 杯状暗铰链》标准，耐久性达到 40000 次，符合垂直静载荷检验要求，符合水平静载荷过载试验，符合耐腐蚀试验要求。③紧固件：符合 QB/T 3826-1999《轻工产品金属镀层和化学处理层的耐腐蚀试验方法 中性盐雾试验（NSS）法》、QB/T 3832-1999《轻工产品金属镀层腐蚀试验结果的评价》、GB/T 3325-2017《金属家具通用技术条件》标准，24h中性盐雾试验不低于8级。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3</w:t>
            </w:r>
          </w:p>
        </w:tc>
        <w:tc>
          <w:tcPr>
            <w:tcW w:w="1260" w:type="dxa"/>
            <w:vAlign w:val="center"/>
          </w:tcPr>
          <w:p>
            <w:pPr>
              <w:widowControl/>
              <w:tabs>
                <w:tab w:val="left" w:pos="0"/>
              </w:tabs>
              <w:spacing w:line="360" w:lineRule="auto"/>
              <w:jc w:val="center"/>
              <w:rPr>
                <w:rFonts w:hint="eastAsia" w:ascii="宋体" w:hAnsi="宋体" w:eastAsia="宋体" w:cs="宋体"/>
                <w:color w:val="auto"/>
                <w:sz w:val="24"/>
              </w:rPr>
            </w:pPr>
            <w:r>
              <w:rPr>
                <w:rFonts w:hint="eastAsia" w:ascii="宋体" w:hAnsi="宋体" w:eastAsia="宋体" w:cs="宋体"/>
                <w:bCs/>
                <w:color w:val="auto"/>
                <w:sz w:val="24"/>
              </w:rPr>
              <w:t>填单台</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1200*450*1050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基材：采用≥15mm高密度纤维板，经过防虫、防腐化学处理，密度＞0.82g/cm³，板内密度偏差±10.0%，内结合强度≥0.9MPa，含水率＜7%，静曲强度＞36.0MPa，甲醛释放量≤0.04mg/m³，符合GB/T 31765-2015《高密度纤维板》检验依据。</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rPr>
              <w:t>★</w:t>
            </w:r>
            <w:r>
              <w:rPr>
                <w:rFonts w:hint="eastAsia" w:ascii="宋体" w:hAnsi="宋体" w:eastAsia="宋体" w:cs="宋体"/>
                <w:color w:val="auto"/>
                <w:kern w:val="0"/>
                <w:sz w:val="24"/>
                <w:lang w:bidi="ar"/>
              </w:rPr>
              <w:t>GB 18580-2017《室内装饰装修材料 人造板及其制品中甲醛释放限量》</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采用净味水性油漆，挥发性有机化合物含量≤260g/L，苯系物含量（苯、甲苯、乙苯和二甲苯总和）≤10mg/kg，耐干热性[（70±2）℃，15min]≤3级，游离甲醛含量≤55mg/kg；</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五金件：①静音导轨符合 QB/T2454-2013《家具五金 抽屉导轨》标准，耐久性达到 40000 次，符合垂直向下静载荷检验要求，符合水平侧向静载荷检验要求，符合耐腐蚀检验要求；②缓冲铰链：符合 QB/T 2189-2013《家具五金 杯状暗铰链》标准，耐久性达到 40000 次，符合垂直静载荷检验要求，符合水平静载荷过载试验，符合耐腐蚀试验要求。③紧固件：符合 QB/T 3826-1999《轻工产品金属镀层和化学处理层的耐腐蚀试验方法 中性盐雾试验（NSS）法》、QB/T 3832-1999《轻工产品金属镀层腐蚀试验结果的评价》、GB/T 3325-2017《金属家具通用技术条件》标准，24h中性盐雾试验不低于8级。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4</w:t>
            </w:r>
          </w:p>
        </w:tc>
        <w:tc>
          <w:tcPr>
            <w:tcW w:w="1260" w:type="dxa"/>
            <w:vAlign w:val="center"/>
          </w:tcPr>
          <w:p>
            <w:pPr>
              <w:widowControl/>
              <w:tabs>
                <w:tab w:val="left" w:pos="0"/>
              </w:tabs>
              <w:spacing w:line="360" w:lineRule="auto"/>
              <w:jc w:val="center"/>
              <w:rPr>
                <w:rFonts w:hint="eastAsia" w:ascii="宋体" w:hAnsi="宋体" w:eastAsia="宋体" w:cs="宋体"/>
                <w:color w:val="auto"/>
                <w:sz w:val="24"/>
              </w:rPr>
            </w:pPr>
            <w:r>
              <w:rPr>
                <w:rFonts w:hint="eastAsia" w:ascii="宋体" w:hAnsi="宋体" w:eastAsia="宋体" w:cs="宋体"/>
                <w:bCs/>
                <w:color w:val="auto"/>
                <w:sz w:val="24"/>
              </w:rPr>
              <w:t>窗口办公桌   （单人位）</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1600*800*750 （带副柜）</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kern w:val="0"/>
                <w:szCs w:val="21"/>
                <w:lang w:bidi="ar"/>
              </w:rPr>
            </w:pPr>
            <w:r>
              <w:rPr>
                <w:rFonts w:hint="eastAsia" w:ascii="宋体" w:hAnsi="宋体" w:eastAsia="宋体" w:cs="宋体"/>
                <w:color w:val="auto"/>
                <w:kern w:val="0"/>
                <w:sz w:val="24"/>
                <w:lang w:bidi="ar"/>
              </w:rPr>
              <w:t>基材：采用E1级三聚氰胺板板，甲醛释放量≤0.12mg/m³，内结合强度≥0.45MPa，含水率＜8.5%，2h吸水厚度膨胀率≤3.5%，符合 GB/T 15102-2017《㓎渍胶膜纸饰面纤维板和刨花板》检验依据。</w:t>
            </w:r>
          </w:p>
          <w:p>
            <w:pPr>
              <w:widowControl/>
              <w:numPr>
                <w:ilvl w:val="0"/>
                <w:numId w:val="38"/>
              </w:numPr>
              <w:tabs>
                <w:tab w:val="left" w:pos="0"/>
                <w:tab w:val="clear" w:pos="312"/>
              </w:tabs>
              <w:wordWrap w:val="0"/>
              <w:spacing w:line="360" w:lineRule="auto"/>
              <w:rPr>
                <w:rFonts w:hint="eastAsia" w:ascii="宋体" w:hAnsi="宋体" w:eastAsia="宋体" w:cs="宋体"/>
                <w:color w:val="auto"/>
                <w:kern w:val="0"/>
                <w:szCs w:val="21"/>
                <w:lang w:bidi="ar"/>
              </w:rPr>
            </w:pPr>
            <w:r>
              <w:rPr>
                <w:rFonts w:hint="eastAsia" w:ascii="宋体" w:hAnsi="宋体" w:eastAsia="宋体" w:cs="宋体"/>
                <w:color w:val="auto"/>
              </w:rPr>
              <w:t>★</w:t>
            </w:r>
            <w:r>
              <w:rPr>
                <w:rFonts w:hint="eastAsia" w:ascii="宋体" w:hAnsi="宋体" w:eastAsia="宋体" w:cs="宋体"/>
                <w:color w:val="auto"/>
                <w:kern w:val="0"/>
                <w:sz w:val="24"/>
                <w:lang w:bidi="ar"/>
              </w:rPr>
              <w:t>GB 18580-2017《室内装饰装修材料 人造板及其制品中甲醛释放限量》</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lang w:eastAsia="zh-CN"/>
              </w:rPr>
              <w:t>▲</w:t>
            </w:r>
            <w:r>
              <w:rPr>
                <w:rFonts w:hint="eastAsia" w:ascii="宋体" w:hAnsi="宋体" w:eastAsia="宋体" w:cs="宋体"/>
                <w:color w:val="auto"/>
                <w:kern w:val="0"/>
                <w:sz w:val="24"/>
                <w:lang w:bidi="ar"/>
              </w:rPr>
              <w:t>封边条：甲醛释放量≤0.1mg/L，检验依据QB/T4463-2013 家具用封边条技术要求。（需提供第三方检测机构出具的封边条检验报告，并加盖投标人公章）</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五金件：①静音导轨符合 QB/T2454-2013《家具五金 抽屉导轨》标准，耐久性达到 40000 次，符合垂直向下静载荷检验要求，符合水平侧向静载荷检验要求，符合耐腐蚀检验要求；②缓冲铰链：符合 QB/T 2189-2013《家具五金 杯状暗铰链》标准，耐久性达到 40000 次，符合垂直静载荷检验要求，符合水平静载荷过载试验，符合耐腐蚀试验要求。③三连锁（抽屉锁）：符合 GB/T 3325-2017《金属家具通用技术条件》标准。④紧固件：符合 QB/T 3826-1999《轻工产品金属镀层和化学处理层的耐腐蚀试验方法 中性盐雾试验（NSS）法》、QB/T 3832-1999《轻工产品金属镀层腐蚀试验结果的评价》、GB/T 3325-2017《金属家具通用技术条件》标准，24h中性盐雾试验不低于8级。</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lang w:eastAsia="zh-CN"/>
              </w:rPr>
              <w:t>▲</w:t>
            </w:r>
            <w:r>
              <w:rPr>
                <w:rFonts w:hint="eastAsia" w:ascii="宋体" w:hAnsi="宋体" w:eastAsia="宋体" w:cs="宋体"/>
                <w:color w:val="auto"/>
                <w:kern w:val="0"/>
                <w:sz w:val="24"/>
                <w:lang w:bidi="ar"/>
              </w:rPr>
              <w:t>脚架：采用三角形六边矩管，采用鱼嘴形卡扣配件连接，配件自带3个不同一平行线螺丝孔，与矩管连接部分和卡口一体成型。金属喷漆（塑）涂层硬度≥5H，金属喷漆（塑）涂层冲击强度（冲击高度400mm，无剥落、裂纹、皱纹），金属喷漆（塑）附着力不低于2级，金属喷漆（塑）涂层耐腐蚀：100h内无鼓泡产生、100h后无锈迹、剥落、起皱、变色和失光等现象，涂层和覆面层中可溶性重金属（铅、镉、铬、汞）＜2mg/kg；符合GB/T 3325-2017金属家具通用技术条件 检验依据。 ）（需提供第三方检测机构出具的脚架检验报告，并加盖投标人公章）</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lang w:eastAsia="zh-CN"/>
              </w:rPr>
              <w:t>▲</w:t>
            </w:r>
            <w:r>
              <w:rPr>
                <w:rFonts w:hint="eastAsia" w:ascii="宋体" w:hAnsi="宋体" w:eastAsia="宋体" w:cs="宋体"/>
                <w:color w:val="auto"/>
                <w:sz w:val="24"/>
              </w:rPr>
              <w:t>需由取得质量、环境、质量管理体系认证的厂家生产。注：提供全国认证认可信息公共服务平台查询网站截图和证书原件扫描件。认证范围须包含但不限于：木制家具（桌类、台类）设计、生产、售后服务。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5</w:t>
            </w:r>
          </w:p>
        </w:tc>
        <w:tc>
          <w:tcPr>
            <w:tcW w:w="1260" w:type="dxa"/>
            <w:vAlign w:val="center"/>
          </w:tcPr>
          <w:p>
            <w:pPr>
              <w:widowControl/>
              <w:tabs>
                <w:tab w:val="left" w:pos="0"/>
              </w:tabs>
              <w:spacing w:line="360" w:lineRule="auto"/>
              <w:jc w:val="center"/>
              <w:rPr>
                <w:rFonts w:hint="eastAsia" w:ascii="宋体" w:hAnsi="宋体" w:eastAsia="宋体" w:cs="宋体"/>
                <w:color w:val="auto"/>
                <w:sz w:val="24"/>
              </w:rPr>
            </w:pPr>
            <w:r>
              <w:rPr>
                <w:rFonts w:hint="eastAsia" w:ascii="宋体" w:hAnsi="宋体" w:eastAsia="宋体" w:cs="宋体"/>
                <w:bCs/>
                <w:color w:val="auto"/>
                <w:sz w:val="24"/>
              </w:rPr>
              <w:t>窗口办公桌   （双人位）</w:t>
            </w:r>
          </w:p>
        </w:tc>
        <w:tc>
          <w:tcPr>
            <w:tcW w:w="1665" w:type="dxa"/>
            <w:vAlign w:val="center"/>
          </w:tcPr>
          <w:p>
            <w:pPr>
              <w:widowControl/>
              <w:tabs>
                <w:tab w:val="left" w:pos="0"/>
              </w:tabs>
              <w:wordWrap w:val="0"/>
              <w:overflowPunct w:val="0"/>
              <w:spacing w:line="360" w:lineRule="auto"/>
              <w:rPr>
                <w:rFonts w:hint="eastAsia" w:ascii="宋体" w:hAnsi="宋体" w:eastAsia="宋体" w:cs="宋体"/>
                <w:bCs/>
                <w:color w:val="auto"/>
                <w:sz w:val="24"/>
              </w:rPr>
            </w:pPr>
            <w:r>
              <w:rPr>
                <w:rFonts w:hint="eastAsia" w:ascii="宋体" w:hAnsi="宋体" w:eastAsia="宋体" w:cs="宋体"/>
                <w:bCs/>
                <w:color w:val="auto"/>
                <w:sz w:val="24"/>
              </w:rPr>
              <w:t>1400*1235*1050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基材：采用E1级三聚氰胺板板，甲醛释放量≤0.12mg/m³，内结合强度≥0.45MPa，含水率＜8.5%，2h吸水厚度膨胀率≤3.5%，符合 GB/T 15102-2017《㓎渍胶膜纸饰面纤维板和刨花板》检验依据。</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rPr>
              <w:t>★</w:t>
            </w:r>
            <w:r>
              <w:rPr>
                <w:rFonts w:hint="eastAsia" w:ascii="宋体" w:hAnsi="宋体" w:eastAsia="宋体" w:cs="宋体"/>
                <w:color w:val="auto"/>
                <w:kern w:val="0"/>
                <w:sz w:val="24"/>
                <w:lang w:bidi="ar"/>
              </w:rPr>
              <w:t>GB 18580-2017《室内装饰装修材料 人造板及其制品中甲醛释放限量》</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封边条：甲醛释放量≤0.1mg/L，检验依据QB/T4463-2013 家具用封边条技术要求。</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五金件：①静音导轨符合 QB/T2454-2013《家具五金 抽屉导轨》标准，耐久性达到 40000 次，符合垂直向下静载荷检验要求，符合水平侧向静载荷检验要求，符合耐腐蚀检验要求；②缓冲铰链：符合 QB/T 2189-2013《家具五金 杯状暗铰链》标准，耐久性达到 40000 次，符合垂直静载荷检验要求，符合水平静载荷过载试验，符合耐腐蚀试验要求。③三连锁（抽屉锁）：符合 GB/T 3325-2017《金属家具通用技术条件》标准。④紧固件：符合 QB/T 3826-1999《轻工产品金属镀层和化学处理层的耐腐蚀试验方法 中性盐雾试验（NSS）法》、QB/T 3832-1999《轻工产品金属镀层腐蚀试验结果的评价》、GB/T 3325-2017《金属家具通用技术条件》标准，24h中性盐雾试验不低于8级。</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脚架：采用三角形六边矩管，采用鱼嘴形卡扣配件连接，配件自带3个不同一平行线螺丝孔，与矩管连接部分和卡口一体成型。金属喷漆（塑）涂层硬度≥5H，金属喷漆（塑）涂层冲击强度（冲击高度400mm，无剥落、裂纹、皱纹），金属喷漆（塑）附着力不低于2级，金属喷漆（塑）涂层耐腐蚀：100h内无鼓泡产生、100h后无锈迹、剥落、起皱、变色和失光等现象，涂层和覆面层中可溶性重金属（铅、镉、铬、汞）＜2mg/kg；符合GB/T 3325-2017金属家具通用技术条件 检验依据。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6</w:t>
            </w:r>
          </w:p>
        </w:tc>
        <w:tc>
          <w:tcPr>
            <w:tcW w:w="1260" w:type="dxa"/>
            <w:vAlign w:val="center"/>
          </w:tcPr>
          <w:p>
            <w:pPr>
              <w:widowControl/>
              <w:tabs>
                <w:tab w:val="left" w:pos="0"/>
              </w:tabs>
              <w:spacing w:line="360" w:lineRule="auto"/>
              <w:jc w:val="center"/>
              <w:rPr>
                <w:rFonts w:hint="eastAsia" w:ascii="宋体" w:hAnsi="宋体" w:eastAsia="宋体" w:cs="宋体"/>
                <w:color w:val="auto"/>
                <w:sz w:val="24"/>
              </w:rPr>
            </w:pPr>
            <w:r>
              <w:rPr>
                <w:rFonts w:hint="eastAsia" w:ascii="宋体" w:hAnsi="宋体" w:eastAsia="宋体" w:cs="宋体"/>
                <w:bCs/>
                <w:color w:val="auto"/>
                <w:sz w:val="24"/>
              </w:rPr>
              <w:t>办公椅</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常规</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kern w:val="0"/>
                <w:szCs w:val="21"/>
                <w:lang w:bidi="ar"/>
              </w:rPr>
            </w:pPr>
            <w:r>
              <w:rPr>
                <w:rFonts w:hint="eastAsia" w:ascii="宋体" w:hAnsi="宋体" w:eastAsia="宋体" w:cs="宋体"/>
                <w:color w:val="auto"/>
                <w:lang w:eastAsia="zh-CN"/>
              </w:rPr>
              <w:t>▲</w:t>
            </w:r>
            <w:r>
              <w:rPr>
                <w:rFonts w:hint="eastAsia" w:ascii="宋体" w:hAnsi="宋体" w:eastAsia="宋体" w:cs="宋体"/>
                <w:color w:val="auto"/>
                <w:kern w:val="0"/>
                <w:sz w:val="24"/>
                <w:lang w:bidi="ar"/>
              </w:rPr>
              <w:t>面料：耐干摩擦＞4级，甲醛释放量≤0.001mg/kg，可分解致癌芳香胺染料≤0.001mg/kg，阻燃性能（无续然、无阴燃）；（需提供第三方检测机构出具的阻燃麻绒面料检验报告，并加盖投标人公章）</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rPr>
              <w:t>★</w:t>
            </w:r>
            <w:r>
              <w:rPr>
                <w:rFonts w:hint="eastAsia" w:ascii="宋体" w:hAnsi="宋体" w:eastAsia="宋体" w:cs="宋体"/>
                <w:color w:val="auto"/>
                <w:kern w:val="0"/>
                <w:sz w:val="24"/>
                <w:lang w:bidi="ar"/>
              </w:rPr>
              <w:t>符合GB  18401-2010国家纺织产品基本安全技术规范、GB 17927.2-2011软体家具 床垫和沙发 抗引燃特性的评定标准</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脚轮：通过 QB/T 2280-2016《办公家具 办公椅》标准。</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lang w:eastAsia="zh-CN"/>
              </w:rPr>
              <w:t>▲</w:t>
            </w:r>
            <w:r>
              <w:rPr>
                <w:rFonts w:hint="eastAsia" w:ascii="宋体" w:hAnsi="宋体" w:eastAsia="宋体" w:cs="宋体"/>
                <w:color w:val="auto"/>
                <w:kern w:val="0"/>
                <w:sz w:val="24"/>
                <w:lang w:bidi="ar"/>
              </w:rPr>
              <w:t>海绵：采用≥45密度高回弹阻燃聚胺脂定型海绵，回弹率≥40%，拉伸强度≥105kpa，产品符合GB/T 10802-2006 通用软质聚醚型聚氨酯泡沫塑料。（需提供第三方检测机构出具的海绵检验报告，并加盖投标人公章）</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lang w:eastAsia="zh-CN"/>
              </w:rPr>
              <w:t>▲</w:t>
            </w:r>
            <w:r>
              <w:rPr>
                <w:rFonts w:hint="eastAsia" w:ascii="宋体" w:hAnsi="宋体" w:eastAsia="宋体" w:cs="宋体"/>
                <w:color w:val="auto"/>
                <w:kern w:val="0"/>
                <w:sz w:val="24"/>
                <w:lang w:bidi="ar"/>
              </w:rPr>
              <w:t>五星脚架：电镀层无剥落、返锈、毛刺、烧焦、起泡、针孔、裂纹，24h中性盐雾试验不低于8级，符合GB/T  3325-2017金属家具通用技术条件、QB/T 3826-1999轻工产品金属镀层。（需提供第三方检测机构出具的五星脚架检验报告，并加盖投标人公章）</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lang w:eastAsia="zh-CN"/>
              </w:rPr>
              <w:t>▲</w:t>
            </w:r>
            <w:r>
              <w:rPr>
                <w:rFonts w:hint="eastAsia" w:ascii="宋体" w:hAnsi="宋体" w:eastAsia="宋体" w:cs="宋体"/>
                <w:color w:val="auto"/>
                <w:sz w:val="24"/>
              </w:rPr>
              <w:t>需由取得质量、环境、质量管理体系认证的厂家生产。注：提供全国认证认可信息公共服务平台查询网站截图和证书原件扫描件。认证范围须包含但不限于：</w:t>
            </w:r>
            <w:r>
              <w:rPr>
                <w:rFonts w:hint="eastAsia" w:ascii="宋体" w:hAnsi="宋体" w:eastAsia="宋体" w:cs="宋体"/>
                <w:color w:val="auto"/>
                <w:sz w:val="24"/>
                <w:lang w:eastAsia="zh-CN"/>
              </w:rPr>
              <w:t>软体</w:t>
            </w:r>
            <w:r>
              <w:rPr>
                <w:rFonts w:hint="eastAsia" w:ascii="宋体" w:hAnsi="宋体" w:eastAsia="宋体" w:cs="宋体"/>
                <w:color w:val="auto"/>
                <w:sz w:val="24"/>
              </w:rPr>
              <w:t>家具（椅类）设计、生产、售后服务。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7</w:t>
            </w:r>
          </w:p>
        </w:tc>
        <w:tc>
          <w:tcPr>
            <w:tcW w:w="1260" w:type="dxa"/>
            <w:vAlign w:val="center"/>
          </w:tcPr>
          <w:p>
            <w:pPr>
              <w:widowControl/>
              <w:tabs>
                <w:tab w:val="left" w:pos="0"/>
              </w:tabs>
              <w:spacing w:line="360" w:lineRule="auto"/>
              <w:jc w:val="center"/>
              <w:rPr>
                <w:rFonts w:hint="eastAsia" w:ascii="宋体" w:hAnsi="宋体" w:eastAsia="宋体" w:cs="宋体"/>
                <w:color w:val="auto"/>
                <w:sz w:val="24"/>
              </w:rPr>
            </w:pPr>
            <w:r>
              <w:rPr>
                <w:rFonts w:hint="eastAsia" w:ascii="宋体" w:hAnsi="宋体" w:eastAsia="宋体" w:cs="宋体"/>
                <w:bCs/>
                <w:color w:val="auto"/>
                <w:sz w:val="24"/>
              </w:rPr>
              <w:t>接待椅</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常规</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kern w:val="0"/>
                <w:sz w:val="24"/>
                <w:lang w:bidi="ar"/>
              </w:rPr>
              <w:t>面料：耐干摩擦＞4级，甲醛释放量≤0.001mg/kg，可分解致癌芳香胺染料≤0.001mg/kg，阻燃性能（无续然、无阴燃）</w:t>
            </w:r>
            <w:r>
              <w:rPr>
                <w:rFonts w:hint="eastAsia" w:ascii="宋体" w:hAnsi="宋体" w:eastAsia="宋体" w:cs="宋体"/>
                <w:color w:val="auto"/>
                <w:kern w:val="0"/>
                <w:sz w:val="24"/>
                <w:lang w:val="en-US" w:eastAsia="zh-CN" w:bidi="ar"/>
              </w:rPr>
              <w:t>.</w:t>
            </w:r>
          </w:p>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rPr>
              <w:t>★</w:t>
            </w:r>
            <w:r>
              <w:rPr>
                <w:rFonts w:hint="eastAsia" w:ascii="宋体" w:hAnsi="宋体" w:eastAsia="宋体" w:cs="宋体"/>
                <w:color w:val="auto"/>
                <w:kern w:val="0"/>
                <w:sz w:val="24"/>
                <w:lang w:bidi="ar"/>
              </w:rPr>
              <w:t>符合GB  18401-2010国家纺织产品基本安全技术规范、GB 17927.2-2011软体家具 床垫和沙发 抗引燃特性的评定 标准；</w:t>
            </w:r>
          </w:p>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kern w:val="0"/>
                <w:sz w:val="24"/>
                <w:lang w:bidi="ar"/>
              </w:rPr>
              <w:t>脚轮</w:t>
            </w:r>
            <w:r>
              <w:rPr>
                <w:rFonts w:hint="eastAsia" w:ascii="宋体" w:hAnsi="宋体" w:eastAsia="宋体" w:cs="宋体"/>
                <w:color w:val="auto"/>
                <w:kern w:val="0"/>
                <w:sz w:val="24"/>
                <w:highlight w:val="none"/>
                <w:lang w:bidi="ar"/>
              </w:rPr>
              <w:t>：通过 QB/T 2280-2016《办公家具 办公椅》标准。</w:t>
            </w:r>
          </w:p>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kern w:val="0"/>
                <w:sz w:val="24"/>
                <w:lang w:bidi="ar"/>
              </w:rPr>
              <w:t>海绵：采用≥45密度高回弹阻燃聚胺脂定型海绵，回弹率≥40%，拉伸强度≥105kpa，产品符合GB/T 10802-2006 通用软质聚醚型聚氨酯泡沫塑料。</w:t>
            </w:r>
          </w:p>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lang w:eastAsia="zh-CN"/>
              </w:rPr>
              <w:t>▲</w:t>
            </w:r>
            <w:r>
              <w:rPr>
                <w:rFonts w:hint="eastAsia" w:ascii="宋体" w:hAnsi="宋体" w:eastAsia="宋体" w:cs="宋体"/>
                <w:color w:val="auto"/>
                <w:kern w:val="0"/>
                <w:sz w:val="24"/>
                <w:lang w:bidi="ar"/>
              </w:rPr>
              <w:t>弓形脚架：金属件外观表面无剥落、返锈、毛刺，耐腐蚀等级不低于8级。符合GB/T  3325-2017金属家具通用技术条件、QB/T 3826-1999轻工产品金属镀层和化学处理层的耐腐蚀试验方法 中性盐雾试验（NSS）法 、QB/T 3832-1999轻工产品金属镀层腐蚀试验结果的评价 标准；（需提供第三方检测机构出具的弓形脚架检验报告，并加盖投标人公章）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8</w:t>
            </w:r>
          </w:p>
        </w:tc>
        <w:tc>
          <w:tcPr>
            <w:tcW w:w="1260" w:type="dxa"/>
            <w:vAlign w:val="center"/>
          </w:tcPr>
          <w:p>
            <w:pPr>
              <w:widowControl/>
              <w:tabs>
                <w:tab w:val="left" w:pos="0"/>
              </w:tabs>
              <w:spacing w:line="360" w:lineRule="auto"/>
              <w:jc w:val="center"/>
              <w:rPr>
                <w:rFonts w:hint="eastAsia" w:ascii="宋体" w:hAnsi="宋体" w:eastAsia="宋体" w:cs="宋体"/>
                <w:color w:val="auto"/>
                <w:sz w:val="24"/>
              </w:rPr>
            </w:pPr>
            <w:r>
              <w:rPr>
                <w:rFonts w:hint="eastAsia" w:ascii="宋体" w:hAnsi="宋体" w:eastAsia="宋体" w:cs="宋体"/>
                <w:bCs/>
                <w:color w:val="auto"/>
                <w:sz w:val="24"/>
              </w:rPr>
              <w:t>异形沙发</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定制尺寸</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kern w:val="0"/>
                <w:sz w:val="24"/>
                <w:lang w:bidi="ar"/>
              </w:rPr>
              <w:t>面料：采用麻布。</w:t>
            </w:r>
          </w:p>
          <w:p>
            <w:pPr>
              <w:widowControl/>
              <w:numPr>
                <w:ilvl w:val="0"/>
                <w:numId w:val="0"/>
              </w:numPr>
              <w:tabs>
                <w:tab w:val="left" w:pos="0"/>
              </w:tabs>
              <w:wordWrap w:val="0"/>
              <w:spacing w:line="360" w:lineRule="auto"/>
              <w:rPr>
                <w:rFonts w:hint="eastAsia" w:ascii="宋体" w:hAnsi="宋体" w:eastAsia="宋体" w:cs="宋体"/>
                <w:b/>
                <w:bCs/>
                <w:color w:val="auto"/>
                <w:sz w:val="24"/>
              </w:rPr>
            </w:pPr>
            <w:r>
              <w:rPr>
                <w:rFonts w:hint="eastAsia" w:ascii="宋体" w:hAnsi="宋体" w:eastAsia="宋体" w:cs="宋体"/>
                <w:color w:val="auto"/>
                <w:kern w:val="0"/>
                <w:sz w:val="24"/>
                <w:lang w:bidi="ar"/>
              </w:rPr>
              <w:t xml:space="preserve">海绵：采用高密度阻燃海绵，用抽纱或丝绒覆面，表面有防腐化和防变型保护膜，回弹率≥35%，拉伸强度≥90kPa，伸长率≥130%，干热老化后拉伸强度≥55kPa，湿热老化后拉伸强度≥55kPa。 </w:t>
            </w:r>
          </w:p>
          <w:p>
            <w:pPr>
              <w:widowControl/>
              <w:numPr>
                <w:ilvl w:val="0"/>
                <w:numId w:val="38"/>
              </w:numPr>
              <w:tabs>
                <w:tab w:val="left" w:pos="0"/>
                <w:tab w:val="clear" w:pos="312"/>
              </w:tabs>
              <w:wordWrap w:val="0"/>
              <w:spacing w:line="360" w:lineRule="auto"/>
              <w:rPr>
                <w:rFonts w:hint="eastAsia" w:ascii="宋体" w:hAnsi="宋体" w:eastAsia="宋体" w:cs="宋体"/>
                <w:b/>
                <w:bCs/>
                <w:color w:val="auto"/>
                <w:sz w:val="24"/>
              </w:rPr>
            </w:pPr>
            <w:r>
              <w:rPr>
                <w:rFonts w:hint="eastAsia" w:ascii="宋体" w:hAnsi="宋体" w:eastAsia="宋体" w:cs="宋体"/>
                <w:color w:val="auto"/>
                <w:kern w:val="0"/>
                <w:sz w:val="24"/>
                <w:lang w:bidi="ar"/>
              </w:rPr>
              <w:t>框架：采用实木框架，经过防虫、防腐特殊处理，含水率≤10%</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打底：高弹力弹簧+尼龙绷带</w:t>
            </w:r>
            <w:r>
              <w:rPr>
                <w:rFonts w:hint="eastAsia" w:ascii="宋体" w:hAnsi="宋体" w:eastAsia="宋体" w:cs="宋体"/>
                <w:color w:val="auto"/>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9</w:t>
            </w:r>
          </w:p>
        </w:tc>
        <w:tc>
          <w:tcPr>
            <w:tcW w:w="1260" w:type="dxa"/>
            <w:vAlign w:val="center"/>
          </w:tcPr>
          <w:p>
            <w:pPr>
              <w:widowControl/>
              <w:tabs>
                <w:tab w:val="left" w:pos="0"/>
              </w:tabs>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异形沙发</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900×655×720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sz w:val="24"/>
              </w:rPr>
              <w:t>面料：采用麻布。</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sz w:val="24"/>
              </w:rPr>
              <w:t>海绵：采用高密度阻燃海绵，用抽纱或丝绒覆面，表面有防腐化和防变型保护膜，回弹率≥35%，拉伸强度≥90kPa，伸长率≥130%，干热老化后拉伸强度≥55kPa，湿热老化后拉伸强度≥55kPa。</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sz w:val="24"/>
              </w:rPr>
              <w:t>框架：采用实木框架，经过防虫、防腐特殊处理，含水率≤10%；</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sz w:val="24"/>
              </w:rPr>
              <w:t>打底：高弹力弹簧+尼龙绷带；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10</w:t>
            </w:r>
          </w:p>
        </w:tc>
        <w:tc>
          <w:tcPr>
            <w:tcW w:w="1260" w:type="dxa"/>
            <w:vAlign w:val="center"/>
          </w:tcPr>
          <w:p>
            <w:pPr>
              <w:widowControl/>
              <w:tabs>
                <w:tab w:val="left" w:pos="0"/>
              </w:tabs>
              <w:spacing w:line="360" w:lineRule="auto"/>
              <w:jc w:val="center"/>
              <w:rPr>
                <w:rFonts w:hint="eastAsia" w:ascii="宋体" w:hAnsi="宋体" w:eastAsia="宋体" w:cs="宋体"/>
                <w:bCs/>
                <w:color w:val="auto"/>
                <w:sz w:val="24"/>
              </w:rPr>
            </w:pPr>
            <w:r>
              <w:rPr>
                <w:rFonts w:hint="eastAsia" w:ascii="宋体" w:hAnsi="宋体" w:eastAsia="宋体" w:cs="宋体"/>
                <w:color w:val="auto"/>
                <w:sz w:val="24"/>
              </w:rPr>
              <w:t>填单桌</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2000*1000*760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基材：采用E1级三聚氰胺板板，甲醛释放量≤0.12mg/m³，内结合强度≥0.45MPa，含水率＜8.5%，2h吸水厚度膨胀率≤3.5%，符合 、GB/T 15102-2017《㓎渍胶膜纸饰面纤维板和刨花板》检验依据。</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rPr>
              <w:t>★</w:t>
            </w:r>
            <w:r>
              <w:rPr>
                <w:rFonts w:hint="eastAsia" w:ascii="宋体" w:hAnsi="宋体" w:eastAsia="宋体" w:cs="宋体"/>
                <w:color w:val="auto"/>
                <w:lang w:val="en-US" w:eastAsia="zh-CN"/>
              </w:rPr>
              <w:t xml:space="preserve"> </w:t>
            </w:r>
            <w:r>
              <w:rPr>
                <w:rFonts w:hint="eastAsia" w:ascii="宋体" w:hAnsi="宋体" w:eastAsia="宋体" w:cs="宋体"/>
                <w:color w:val="auto"/>
                <w:kern w:val="0"/>
                <w:sz w:val="24"/>
                <w:lang w:bidi="ar"/>
              </w:rPr>
              <w:t>GB 18580-2017《室内装饰装修材料 人造板及其制品中甲醛释放限量》</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2.封边条：甲醛释放量≤0.1mg/L，检验依据QB/T4463-2013 家具用封边条技术要求。</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五金件：①紧固件：符合 QB/T 3826-1999《轻工产品金属镀层和化学处理层的耐腐蚀试验方法 中性盐雾试验（NSS）法》、QB/T 3832-1999《轻工产品金属镀层腐蚀试验结果的评价》、GB/T 3325-2017《金属家具通用技术条件》标准，24h中性盐雾试验不低于8级。</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脚架：采用三角形六边矩管，采用鱼嘴形卡扣配件连接，配件自带3个不同一平行线螺丝孔，与矩管连接部分和卡口一体成型。金属喷漆（塑）涂层硬度≥5H，金属喷漆（塑）涂层冲击强度（冲击高度400mm，无剥落、裂纹、皱纹），金属喷漆（塑）附着力不低于2级，金属喷漆（塑）涂层耐腐蚀：100h内无鼓泡产生、100h后无锈迹、剥落、起皱、变色和失光等现象，涂层和覆面层中可溶性重金属（铅、镉、铬、汞）＜2mg/kg；符合GB/T 3325-2017金属家具通用技术条件 检验依据。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11</w:t>
            </w:r>
          </w:p>
        </w:tc>
        <w:tc>
          <w:tcPr>
            <w:tcW w:w="1260" w:type="dxa"/>
            <w:vAlign w:val="center"/>
          </w:tcPr>
          <w:p>
            <w:pPr>
              <w:widowControl/>
              <w:tabs>
                <w:tab w:val="left" w:pos="0"/>
              </w:tabs>
              <w:spacing w:line="360" w:lineRule="auto"/>
              <w:jc w:val="center"/>
              <w:rPr>
                <w:rFonts w:hint="eastAsia" w:ascii="宋体" w:hAnsi="宋体" w:eastAsia="宋体" w:cs="宋体"/>
                <w:bCs/>
                <w:color w:val="auto"/>
                <w:sz w:val="24"/>
              </w:rPr>
            </w:pPr>
            <w:r>
              <w:rPr>
                <w:rFonts w:hint="eastAsia" w:ascii="宋体" w:hAnsi="宋体" w:eastAsia="宋体" w:cs="宋体"/>
                <w:color w:val="auto"/>
                <w:sz w:val="24"/>
              </w:rPr>
              <w:t>填单椅</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505*540*860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 xml:space="preserve">面料：耐磨弹力绒布座饰面        </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配置：12厘实心喷涂架，采用PP注塑胶椅、有多色可选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12</w:t>
            </w:r>
          </w:p>
        </w:tc>
        <w:tc>
          <w:tcPr>
            <w:tcW w:w="1260" w:type="dxa"/>
            <w:vAlign w:val="center"/>
          </w:tcPr>
          <w:p>
            <w:pPr>
              <w:widowControl/>
              <w:tabs>
                <w:tab w:val="left" w:pos="0"/>
              </w:tabs>
              <w:spacing w:line="360" w:lineRule="auto"/>
              <w:jc w:val="center"/>
              <w:rPr>
                <w:rFonts w:hint="eastAsia" w:ascii="宋体" w:hAnsi="宋体" w:eastAsia="宋体" w:cs="宋体"/>
                <w:bCs/>
                <w:color w:val="auto"/>
                <w:sz w:val="24"/>
              </w:rPr>
            </w:pPr>
            <w:r>
              <w:rPr>
                <w:rFonts w:hint="eastAsia" w:ascii="宋体" w:hAnsi="宋体" w:eastAsia="宋体" w:cs="宋体"/>
                <w:color w:val="auto"/>
                <w:sz w:val="24"/>
              </w:rPr>
              <w:t>洽谈桌</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φ700*750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基材：采用E1级三聚氰胺板板，甲醛释放量≤0.12mg/m³，内结合强度≥0.45MPa，含水率＜8.5%，2h吸水厚度膨胀率≤3.5%，符合 GB/T 15102-2017《㓎渍胶膜纸饰面纤维板和刨花板》检验依据。</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rPr>
              <w:t>★</w:t>
            </w:r>
            <w:r>
              <w:rPr>
                <w:rFonts w:hint="eastAsia" w:ascii="宋体" w:hAnsi="宋体" w:eastAsia="宋体" w:cs="宋体"/>
                <w:color w:val="auto"/>
                <w:kern w:val="0"/>
                <w:sz w:val="24"/>
                <w:lang w:bidi="ar"/>
              </w:rPr>
              <w:t>GB 18580-2017《室内装饰装修材料 人造板及其制品中甲醛释放限量》</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封边条：甲醛释放量≤0.1mg/L，检验依据QB/T4463-2013 家具用封边条技术要求。</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五金件：①紧固件：符合 QB/T 3826-1999《轻工产品金属镀层和化学处理层的耐腐蚀试验方法 中性盐雾试验（NSS）法》、QB/T 3832-1999《轻工产品金属镀层腐蚀试验结果的评价》、GB/T 3325-2017《金属家具通用技术条件》标准，24h中性盐雾试验不低于8级。</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lang w:eastAsia="zh-CN"/>
              </w:rPr>
              <w:t>▲</w:t>
            </w:r>
            <w:r>
              <w:rPr>
                <w:rFonts w:hint="eastAsia" w:ascii="宋体" w:hAnsi="宋体" w:eastAsia="宋体" w:cs="宋体"/>
                <w:bCs/>
                <w:color w:val="auto"/>
                <w:sz w:val="24"/>
              </w:rPr>
              <w:t>需由取得质量、环境、质量管理体系认证的厂家生产。注：提供全国认证认可信息公共服务平台查询网站截图和证书原件扫描件。认证范围须包含但不限于：木制家具（桌类、台类）设计、生产、售后服务。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7" w:hRule="atLeast"/>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13</w:t>
            </w:r>
          </w:p>
        </w:tc>
        <w:tc>
          <w:tcPr>
            <w:tcW w:w="1260" w:type="dxa"/>
            <w:vAlign w:val="center"/>
          </w:tcPr>
          <w:p>
            <w:pPr>
              <w:widowControl/>
              <w:tabs>
                <w:tab w:val="left" w:pos="0"/>
              </w:tabs>
              <w:spacing w:line="360" w:lineRule="auto"/>
              <w:jc w:val="center"/>
              <w:rPr>
                <w:rFonts w:hint="eastAsia" w:ascii="宋体" w:hAnsi="宋体" w:eastAsia="宋体" w:cs="宋体"/>
                <w:bCs/>
                <w:color w:val="auto"/>
                <w:sz w:val="24"/>
              </w:rPr>
            </w:pPr>
            <w:r>
              <w:rPr>
                <w:rFonts w:hint="eastAsia" w:ascii="宋体" w:hAnsi="宋体" w:eastAsia="宋体" w:cs="宋体"/>
                <w:color w:val="auto"/>
                <w:sz w:val="24"/>
              </w:rPr>
              <w:t>洽谈椅</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630*580*740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饰面：采用西皮饰面，符合GB/T 16799-2018 家具用皮革。</w:t>
            </w:r>
          </w:p>
          <w:p>
            <w:pPr>
              <w:widowControl/>
              <w:numPr>
                <w:ilvl w:val="0"/>
                <w:numId w:val="38"/>
              </w:numPr>
              <w:tabs>
                <w:tab w:val="left" w:pos="0"/>
                <w:tab w:val="clear" w:pos="312"/>
              </w:tabs>
              <w:wordWrap w:val="0"/>
              <w:spacing w:line="360" w:lineRule="auto"/>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 xml:space="preserve">海绵：采用一次成型环保PU高弹45#高密度泡绵；        </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框架：采用硬木材料，经防腐防虫处理；符合国家木工通用技术标准，含水率低于10%的硬木木方及15mm多层夹板；</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弹簧：采用高强度锰钢蛇形退火弹簧，强力织带橡筋。</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沙发脚：采用2.0</w:t>
            </w:r>
            <w:r>
              <w:rPr>
                <w:rFonts w:hint="eastAsia" w:ascii="宋体" w:hAnsi="宋体" w:cs="宋体"/>
                <w:color w:val="auto"/>
                <w:kern w:val="0"/>
                <w:sz w:val="24"/>
                <w:lang w:val="en-US" w:eastAsia="zh-CN" w:bidi="ar"/>
              </w:rPr>
              <w:t>CM</w:t>
            </w:r>
            <w:r>
              <w:rPr>
                <w:rFonts w:hint="eastAsia" w:ascii="宋体" w:hAnsi="宋体" w:eastAsia="宋体" w:cs="宋体"/>
                <w:color w:val="auto"/>
                <w:kern w:val="0"/>
                <w:sz w:val="24"/>
                <w:lang w:bidi="ar"/>
              </w:rPr>
              <w:t>厚五金配件或木质配件，与家具颜色相协调。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14</w:t>
            </w:r>
          </w:p>
        </w:tc>
        <w:tc>
          <w:tcPr>
            <w:tcW w:w="1260" w:type="dxa"/>
            <w:vAlign w:val="center"/>
          </w:tcPr>
          <w:p>
            <w:pPr>
              <w:widowControl/>
              <w:tabs>
                <w:tab w:val="left" w:pos="0"/>
              </w:tabs>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沙发     （单人位）</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ø780*780*740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 xml:space="preserve">.饰面：采用西皮饰面，符合GB/T 16799-2018 家具用皮革； </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采用高密度阻燃海绵，用抽纱或丝绒覆面，表面有防腐化和防变型保护膜，回弹率≥35%，拉伸强度≥90kPa，伸长率≥130%，干热老化后拉伸强度≥55kPa，湿热老化后拉伸强度≥55kPa。</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框架：采用硬木材料，经防腐防虫处理；符合国家木工通用技术标准，含水率低于10%的硬木木方及15mm多层夹板；</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弹簧：采用高强度锰钢蛇形退火弹簧，强力织带橡筋。</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kern w:val="0"/>
                <w:sz w:val="24"/>
                <w:lang w:bidi="ar"/>
              </w:rPr>
              <w:t>沙发脚：采用2.0</w:t>
            </w:r>
            <w:r>
              <w:rPr>
                <w:rFonts w:hint="eastAsia" w:ascii="宋体" w:hAnsi="宋体" w:cs="宋体"/>
                <w:color w:val="auto"/>
                <w:kern w:val="0"/>
                <w:sz w:val="24"/>
                <w:lang w:val="en-US" w:eastAsia="zh-CN" w:bidi="ar"/>
              </w:rPr>
              <w:t>CM</w:t>
            </w:r>
            <w:r>
              <w:rPr>
                <w:rFonts w:hint="eastAsia" w:ascii="宋体" w:hAnsi="宋体" w:eastAsia="宋体" w:cs="宋体"/>
                <w:color w:val="auto"/>
                <w:kern w:val="0"/>
                <w:sz w:val="24"/>
                <w:lang w:bidi="ar"/>
              </w:rPr>
              <w:t>厚五金配件或木质配件，与家具颜色相协调。</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lang w:eastAsia="zh-CN"/>
              </w:rPr>
              <w:t>▲</w:t>
            </w:r>
            <w:r>
              <w:rPr>
                <w:rFonts w:hint="eastAsia" w:ascii="宋体" w:hAnsi="宋体" w:eastAsia="宋体" w:cs="宋体"/>
                <w:bCs/>
                <w:color w:val="auto"/>
                <w:sz w:val="24"/>
              </w:rPr>
              <w:t>需由取得质量、环境、质量管理体系认证的厂家生产。注：提供全国认证认可信息公共服务平台查询网站截图和证书原件扫描件。认证范围须包含但不限于：软体家具（沙发、椅类）设计、生产、售后服务。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15</w:t>
            </w:r>
          </w:p>
        </w:tc>
        <w:tc>
          <w:tcPr>
            <w:tcW w:w="1260" w:type="dxa"/>
            <w:vAlign w:val="center"/>
          </w:tcPr>
          <w:p>
            <w:pPr>
              <w:widowControl/>
              <w:tabs>
                <w:tab w:val="left" w:pos="0"/>
              </w:tabs>
              <w:spacing w:line="360" w:lineRule="auto"/>
              <w:jc w:val="center"/>
              <w:rPr>
                <w:rFonts w:hint="eastAsia" w:ascii="宋体" w:hAnsi="宋体" w:eastAsia="宋体" w:cs="宋体"/>
                <w:color w:val="auto"/>
                <w:sz w:val="24"/>
              </w:rPr>
            </w:pPr>
            <w:r>
              <w:rPr>
                <w:rFonts w:hint="eastAsia" w:ascii="宋体" w:hAnsi="宋体" w:eastAsia="宋体" w:cs="宋体"/>
                <w:bCs/>
                <w:color w:val="auto"/>
                <w:sz w:val="24"/>
              </w:rPr>
              <w:t>沙发     （三人位）</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ø1950*750*800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饰面：采用西皮饰面，符合GB/T 16799-2018 家具用皮革；</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采用高密度阻燃海绵，用抽纱或丝绒覆面，表面有防腐化和防变型保护膜，回弹率≥35%，拉伸强度≥90kPa，伸长率≥130%，干热老化后拉伸强度≥55kPa，湿热老化后拉伸强度≥55kPa。</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框架：采用硬木材料，经防腐防虫处理；符合国家木工通用技术标准，含水率低于10%的硬木木方及15mm多层夹板；</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弹簧：采用高强度锰钢蛇形退火弹簧，强力织带橡筋。</w:t>
            </w:r>
          </w:p>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kern w:val="0"/>
                <w:sz w:val="24"/>
                <w:lang w:bidi="ar"/>
              </w:rPr>
              <w:t>沙发脚：采用2.0</w:t>
            </w:r>
            <w:r>
              <w:rPr>
                <w:rFonts w:hint="eastAsia" w:ascii="宋体" w:hAnsi="宋体" w:cs="宋体"/>
                <w:color w:val="auto"/>
                <w:kern w:val="0"/>
                <w:sz w:val="24"/>
                <w:lang w:val="en-US" w:eastAsia="zh-CN" w:bidi="ar"/>
              </w:rPr>
              <w:t>CM</w:t>
            </w:r>
            <w:r>
              <w:rPr>
                <w:rFonts w:hint="eastAsia" w:ascii="宋体" w:hAnsi="宋体" w:eastAsia="宋体" w:cs="宋体"/>
                <w:color w:val="auto"/>
                <w:kern w:val="0"/>
                <w:sz w:val="24"/>
                <w:lang w:bidi="ar"/>
              </w:rPr>
              <w:t>厚五金配件或木质配件，与家具颜色相协调。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tabs>
                <w:tab w:val="left" w:pos="0"/>
              </w:tabs>
              <w:wordWrap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16</w:t>
            </w:r>
          </w:p>
        </w:tc>
        <w:tc>
          <w:tcPr>
            <w:tcW w:w="1260" w:type="dxa"/>
            <w:vAlign w:val="center"/>
          </w:tcPr>
          <w:p>
            <w:pPr>
              <w:widowControl/>
              <w:tabs>
                <w:tab w:val="left" w:pos="0"/>
              </w:tabs>
              <w:spacing w:line="360" w:lineRule="auto"/>
              <w:jc w:val="center"/>
              <w:rPr>
                <w:rFonts w:hint="eastAsia" w:ascii="宋体" w:hAnsi="宋体" w:eastAsia="宋体" w:cs="宋体"/>
                <w:bCs/>
                <w:color w:val="auto"/>
                <w:sz w:val="24"/>
              </w:rPr>
            </w:pPr>
            <w:r>
              <w:rPr>
                <w:rFonts w:hint="eastAsia" w:ascii="宋体" w:hAnsi="宋体" w:eastAsia="宋体" w:cs="宋体"/>
                <w:color w:val="auto"/>
                <w:sz w:val="24"/>
              </w:rPr>
              <w:t>茶几</w:t>
            </w:r>
          </w:p>
        </w:tc>
        <w:tc>
          <w:tcPr>
            <w:tcW w:w="1665" w:type="dxa"/>
            <w:vAlign w:val="center"/>
          </w:tcPr>
          <w:p>
            <w:pPr>
              <w:widowControl/>
              <w:tabs>
                <w:tab w:val="left" w:pos="0"/>
              </w:tabs>
              <w:wordWrap w:val="0"/>
              <w:overflowPunct w:val="0"/>
              <w:spacing w:line="360" w:lineRule="auto"/>
              <w:jc w:val="center"/>
              <w:rPr>
                <w:rFonts w:hint="eastAsia" w:ascii="宋体" w:hAnsi="宋体" w:eastAsia="宋体" w:cs="宋体"/>
                <w:bCs/>
                <w:color w:val="auto"/>
                <w:sz w:val="24"/>
              </w:rPr>
            </w:pPr>
            <w:r>
              <w:rPr>
                <w:rFonts w:hint="eastAsia" w:ascii="宋体" w:hAnsi="宋体" w:eastAsia="宋体" w:cs="宋体"/>
                <w:bCs/>
                <w:color w:val="auto"/>
                <w:sz w:val="24"/>
              </w:rPr>
              <w:t>1200*600*460</w:t>
            </w:r>
          </w:p>
        </w:tc>
        <w:tc>
          <w:tcPr>
            <w:tcW w:w="5163" w:type="dxa"/>
            <w:vAlign w:val="center"/>
          </w:tcPr>
          <w:p>
            <w:pPr>
              <w:widowControl/>
              <w:numPr>
                <w:ilvl w:val="0"/>
                <w:numId w:val="38"/>
              </w:numPr>
              <w:tabs>
                <w:tab w:val="left" w:pos="0"/>
                <w:tab w:val="clear" w:pos="312"/>
              </w:tabs>
              <w:wordWrap w:val="0"/>
              <w:spacing w:line="360" w:lineRule="auto"/>
              <w:rPr>
                <w:rFonts w:hint="eastAsia" w:ascii="宋体" w:hAnsi="宋体" w:eastAsia="宋体" w:cs="宋体"/>
                <w:color w:val="auto"/>
                <w:sz w:val="24"/>
              </w:rPr>
            </w:pPr>
            <w:r>
              <w:rPr>
                <w:rFonts w:hint="eastAsia" w:ascii="宋体" w:hAnsi="宋体" w:eastAsia="宋体" w:cs="宋体"/>
                <w:color w:val="auto"/>
                <w:sz w:val="24"/>
              </w:rPr>
              <w:t>台面采用岩板，脚架：采用三角形六边矩管，采用鱼嘴形卡扣配件连接，配件自带3个不同一平行线螺丝孔，与矩管连接部分和卡口一体成型。金属喷漆（塑）涂层硬度≥5H，金属喷漆（塑）涂层冲击强度（冲击高度400mm，无剥落、裂纹、皱纹），金属喷漆（塑）附着力不低于2级，金属喷漆（塑）涂层耐腐蚀：100h内无鼓泡产生、100h后无锈迹、剥落、起皱、变色和失光等现象，涂层和覆面层中可溶性重金属（铅、镉、铬、汞）＜2mg/kg；符合GB/T 3325-2017金属家具通用技术条件 检验依据。 ）</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sz w:val="24"/>
              </w:rPr>
              <w:t>五金件：①紧固件：符合 QB/T 3826-1999《轻工产品金属镀层和化学处理层的耐腐蚀试验方法 中性盐雾试验（NSS）法》、QB/T 3832-1999《轻工产品金属镀层腐蚀试验结果的评价》、GB/T 3325-2017《金属家具通用技术条件》标准，24h中性盐雾试验不低于8级。</w:t>
            </w:r>
          </w:p>
          <w:p>
            <w:pPr>
              <w:widowControl/>
              <w:numPr>
                <w:ilvl w:val="0"/>
                <w:numId w:val="38"/>
              </w:numPr>
              <w:tabs>
                <w:tab w:val="left" w:pos="0"/>
                <w:tab w:val="clear" w:pos="312"/>
              </w:tabs>
              <w:wordWrap w:val="0"/>
              <w:spacing w:line="360" w:lineRule="auto"/>
              <w:rPr>
                <w:rFonts w:hint="eastAsia" w:ascii="宋体" w:hAnsi="宋体" w:eastAsia="宋体" w:cs="宋体"/>
                <w:bCs/>
                <w:color w:val="auto"/>
                <w:sz w:val="24"/>
              </w:rPr>
            </w:pPr>
            <w:r>
              <w:rPr>
                <w:rFonts w:hint="eastAsia" w:ascii="宋体" w:hAnsi="宋体" w:eastAsia="宋体" w:cs="宋体"/>
                <w:color w:val="auto"/>
                <w:sz w:val="24"/>
              </w:rPr>
              <w:t>脚架：采用三角形六边矩管，采用鱼嘴形卡扣配件连接，配件自带3个不同一平行线螺丝孔，与矩管连接部分和卡口一体成型。金属喷漆（塑）涂层硬度≥5H，金属喷漆（塑）涂层冲击强度（冲击高度400mm，无剥落、裂纹、皱纹），金属喷漆（塑）附着力不低于2级，金属喷漆（塑）涂层耐腐蚀：100h内无鼓泡产生、100h后无锈迹、剥落、起皱、变色和失光等现象，涂层和覆面层中可溶性重金属（铅、镉、铬、汞）＜2mg/kg；符合GB/T 3325-2017金属家具通用技术条件 检验依据。 ）</w:t>
            </w:r>
          </w:p>
        </w:tc>
      </w:tr>
    </w:tbl>
    <w:p>
      <w:pPr>
        <w:keepNext/>
        <w:keepLines/>
        <w:numPr>
          <w:ilvl w:val="1"/>
          <w:numId w:val="6"/>
        </w:numPr>
        <w:spacing w:line="360" w:lineRule="auto"/>
        <w:jc w:val="left"/>
        <w:outlineLvl w:val="1"/>
        <w:rPr>
          <w:rFonts w:hint="eastAsia" w:ascii="宋体" w:hAnsi="宋体" w:eastAsia="宋体" w:cs="宋体"/>
          <w:b/>
          <w:bCs/>
          <w:color w:val="auto"/>
          <w:sz w:val="24"/>
        </w:rPr>
      </w:pPr>
      <w:bookmarkStart w:id="210" w:name="_Toc26797"/>
      <w:bookmarkStart w:id="211" w:name="_Toc14418"/>
      <w:r>
        <w:rPr>
          <w:rFonts w:hint="eastAsia" w:ascii="宋体" w:hAnsi="宋体" w:eastAsia="宋体" w:cs="宋体"/>
          <w:color w:val="auto"/>
        </w:rPr>
        <w:t>★</w:t>
      </w:r>
      <w:r>
        <w:rPr>
          <w:rFonts w:hint="eastAsia" w:ascii="宋体" w:hAnsi="宋体" w:eastAsia="宋体" w:cs="宋体"/>
          <w:b/>
          <w:bCs/>
          <w:color w:val="auto"/>
          <w:sz w:val="24"/>
        </w:rPr>
        <w:t>质量要求</w:t>
      </w:r>
      <w:bookmarkStart w:id="212" w:name="_Toc26731"/>
      <w:bookmarkStart w:id="213" w:name="_Toc18135"/>
      <w:r>
        <w:rPr>
          <w:rFonts w:hint="eastAsia" w:ascii="宋体" w:hAnsi="宋体" w:eastAsia="宋体" w:cs="宋体"/>
          <w:b/>
          <w:bCs/>
          <w:color w:val="auto"/>
          <w:sz w:val="24"/>
        </w:rPr>
        <w:t>(须在其他投标文件中单独提供承诺函进行响应，格式自拟)</w:t>
      </w:r>
      <w:bookmarkEnd w:id="210"/>
      <w:bookmarkEnd w:id="211"/>
      <w:bookmarkEnd w:id="212"/>
      <w:bookmarkEnd w:id="213"/>
    </w:p>
    <w:p>
      <w:pPr>
        <w:numPr>
          <w:ilvl w:val="0"/>
          <w:numId w:val="39"/>
        </w:numPr>
        <w:tabs>
          <w:tab w:val="left" w:pos="0"/>
        </w:tabs>
        <w:wordWrap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供应商须提供全新的货物(含零部件、配件等)，表面无划伤、无碰撞痕迹，且权属清楚，不得侵害他人的知识产权，并按照相关要求包装完好。</w:t>
      </w:r>
    </w:p>
    <w:p>
      <w:pPr>
        <w:numPr>
          <w:ilvl w:val="0"/>
          <w:numId w:val="39"/>
        </w:numPr>
        <w:tabs>
          <w:tab w:val="left" w:pos="0"/>
        </w:tabs>
        <w:wordWrap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国家或行业主管部门对供应商和采购产品的技术标准、质量标准等有强制性规定的，必须符合其要求。</w:t>
      </w:r>
    </w:p>
    <w:p>
      <w:pPr>
        <w:numPr>
          <w:ilvl w:val="0"/>
          <w:numId w:val="39"/>
        </w:numPr>
        <w:tabs>
          <w:tab w:val="left" w:pos="0"/>
        </w:tabs>
        <w:wordWrap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投标产品必须符合或优于国家(行业)标准、地方标准或者其他标准、规范要求。</w:t>
      </w:r>
    </w:p>
    <w:p>
      <w:pPr>
        <w:numPr>
          <w:ilvl w:val="0"/>
          <w:numId w:val="39"/>
        </w:numPr>
        <w:tabs>
          <w:tab w:val="left" w:pos="0"/>
        </w:tabs>
        <w:wordWrap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交货验收时每台货物上均应有产品质量检验合格标志，且须提供产品质检部门从同类产品中抽样检查合格的检测报告。</w:t>
      </w:r>
    </w:p>
    <w:p>
      <w:pPr>
        <w:numPr>
          <w:ilvl w:val="0"/>
          <w:numId w:val="39"/>
        </w:numPr>
        <w:tabs>
          <w:tab w:val="left" w:pos="0"/>
        </w:tabs>
        <w:wordWrap w:val="0"/>
        <w:spacing w:line="360" w:lineRule="auto"/>
        <w:ind w:firstLine="480" w:firstLineChars="200"/>
        <w:rPr>
          <w:rFonts w:hint="eastAsia" w:ascii="宋体" w:hAnsi="宋体" w:eastAsia="宋体" w:cs="宋体"/>
          <w:color w:val="auto"/>
          <w:sz w:val="24"/>
        </w:rPr>
      </w:pPr>
      <w:r>
        <w:rPr>
          <w:rFonts w:hint="eastAsia" w:ascii="宋体" w:hAnsi="宋体" w:eastAsia="宋体" w:cs="宋体"/>
          <w:bCs/>
          <w:color w:val="auto"/>
          <w:sz w:val="24"/>
        </w:rPr>
        <w:t>货物制造质量出现问题，供应商应负责三包(包修、包换、包退)，费用由供应商负担，采购人有权到产品生产厂家生产场地检查货物质量和生产进度。</w:t>
      </w:r>
      <w:bookmarkStart w:id="214" w:name="_Toc16181"/>
      <w:bookmarkStart w:id="215" w:name="_Toc26625"/>
      <w:bookmarkStart w:id="216" w:name="_Toc4417"/>
      <w:bookmarkStart w:id="217" w:name="_Toc19037"/>
      <w:bookmarkStart w:id="218" w:name="_Toc17742"/>
      <w:bookmarkStart w:id="219" w:name="_Toc5356"/>
      <w:bookmarkStart w:id="220" w:name="_Toc3438"/>
      <w:bookmarkStart w:id="221" w:name="_Toc21207"/>
      <w:bookmarkStart w:id="222" w:name="_Toc26780"/>
      <w:bookmarkStart w:id="223" w:name="_Toc3794"/>
      <w:bookmarkStart w:id="224" w:name="_Toc10954"/>
      <w:bookmarkStart w:id="225" w:name="_Toc19984"/>
      <w:bookmarkStart w:id="226" w:name="_Toc31748"/>
      <w:bookmarkStart w:id="227" w:name="_Toc21534"/>
      <w:bookmarkStart w:id="228" w:name="_Toc25480"/>
      <w:bookmarkStart w:id="229" w:name="_Toc29055"/>
      <w:bookmarkStart w:id="230" w:name="_Toc8627"/>
    </w:p>
    <w:p>
      <w:pPr>
        <w:keepNext/>
        <w:keepLines/>
        <w:numPr>
          <w:ilvl w:val="1"/>
          <w:numId w:val="6"/>
        </w:numPr>
        <w:spacing w:line="360" w:lineRule="auto"/>
        <w:jc w:val="left"/>
        <w:outlineLvl w:val="1"/>
        <w:rPr>
          <w:rFonts w:hint="eastAsia" w:ascii="宋体" w:hAnsi="宋体" w:eastAsia="宋体" w:cs="宋体"/>
          <w:b/>
          <w:bCs/>
          <w:color w:val="auto"/>
          <w:sz w:val="24"/>
        </w:rPr>
      </w:pPr>
      <w:bookmarkStart w:id="231" w:name="_Toc6604"/>
      <w:bookmarkStart w:id="232" w:name="_Toc21403"/>
      <w:r>
        <w:rPr>
          <w:rFonts w:hint="eastAsia" w:ascii="宋体" w:hAnsi="宋体" w:eastAsia="宋体" w:cs="宋体"/>
          <w:b/>
          <w:bCs/>
          <w:color w:val="auto"/>
          <w:sz w:val="24"/>
        </w:rPr>
        <w:t>售后服务要求</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numPr>
          <w:ilvl w:val="0"/>
          <w:numId w:val="40"/>
        </w:numPr>
        <w:tabs>
          <w:tab w:val="left" w:pos="0"/>
        </w:tabs>
        <w:wordWrap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质保期内供应商负责对所投产品免费上门维修、更换损坏的零部件（耗材和人为原因造成损坏除外），如因货物性能故障连续维修两次仍不能正常使用的，供应商应在一个月内无偿更换相同型号及同等功能的全新货物并重新计算质保期；每年免费巡回保养二次；如果货物出现故障，收到采购人通知后，中标供应商在1小时内作出响应，8～72小时内到现场解决。</w:t>
      </w:r>
    </w:p>
    <w:p>
      <w:pPr>
        <w:numPr>
          <w:ilvl w:val="0"/>
          <w:numId w:val="40"/>
        </w:numPr>
        <w:tabs>
          <w:tab w:val="left" w:pos="0"/>
        </w:tabs>
        <w:wordWrap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质保期外供应商继续提供售后服务，终身免收差旅费（包括机票，住宿，交通费等）和人工服务费，如需更换零配件、附件，按成本价提供。</w:t>
      </w:r>
    </w:p>
    <w:p>
      <w:pPr>
        <w:numPr>
          <w:ilvl w:val="0"/>
          <w:numId w:val="40"/>
        </w:numPr>
        <w:tabs>
          <w:tab w:val="left" w:pos="0"/>
        </w:tabs>
        <w:wordWrap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免费上门安装调试，现场操作培训，培训包括货物的基本原理、操作及一般货物维护保养知识。</w:t>
      </w:r>
      <w:bookmarkEnd w:id="204"/>
      <w:bookmarkEnd w:id="205"/>
      <w:bookmarkEnd w:id="206"/>
      <w:bookmarkEnd w:id="207"/>
      <w:bookmarkEnd w:id="208"/>
      <w:bookmarkEnd w:id="209"/>
    </w:p>
    <w:p>
      <w:pPr>
        <w:keepNext/>
        <w:keepLines/>
        <w:numPr>
          <w:ilvl w:val="1"/>
          <w:numId w:val="6"/>
        </w:numPr>
        <w:spacing w:line="360" w:lineRule="auto"/>
        <w:jc w:val="left"/>
        <w:outlineLvl w:val="1"/>
        <w:rPr>
          <w:rFonts w:hint="eastAsia" w:ascii="宋体" w:hAnsi="宋体" w:eastAsia="宋体" w:cs="宋体"/>
          <w:b/>
          <w:color w:val="auto"/>
          <w:sz w:val="24"/>
        </w:rPr>
      </w:pPr>
      <w:bookmarkStart w:id="233" w:name="_Toc3071"/>
      <w:bookmarkStart w:id="234" w:name="_Toc18851"/>
      <w:bookmarkStart w:id="235" w:name="_Toc9028"/>
      <w:bookmarkStart w:id="236" w:name="_Toc27668"/>
      <w:bookmarkStart w:id="237" w:name="_Toc26671"/>
      <w:bookmarkStart w:id="238" w:name="_Toc6972"/>
      <w:bookmarkStart w:id="239" w:name="_Toc29785"/>
      <w:r>
        <w:rPr>
          <w:rFonts w:hint="eastAsia" w:ascii="宋体" w:hAnsi="宋体" w:eastAsia="宋体" w:cs="宋体"/>
          <w:color w:val="auto"/>
        </w:rPr>
        <w:t>★</w:t>
      </w:r>
      <w:r>
        <w:rPr>
          <w:rFonts w:hint="eastAsia" w:ascii="宋体" w:hAnsi="宋体" w:eastAsia="宋体" w:cs="宋体"/>
          <w:b/>
          <w:color w:val="auto"/>
          <w:sz w:val="24"/>
        </w:rPr>
        <w:t>商务要求</w:t>
      </w:r>
      <w:bookmarkEnd w:id="233"/>
      <w:bookmarkEnd w:id="234"/>
      <w:bookmarkEnd w:id="235"/>
      <w:bookmarkEnd w:id="236"/>
      <w:bookmarkEnd w:id="237"/>
      <w:bookmarkEnd w:id="238"/>
      <w:bookmarkEnd w:id="239"/>
    </w:p>
    <w:p>
      <w:pPr>
        <w:pStyle w:val="233"/>
        <w:numPr>
          <w:ilvl w:val="2"/>
          <w:numId w:val="41"/>
        </w:numPr>
        <w:spacing w:line="360" w:lineRule="auto"/>
        <w:ind w:firstLine="482"/>
        <w:rPr>
          <w:rFonts w:hint="eastAsia" w:ascii="宋体" w:hAnsi="宋体" w:eastAsia="宋体" w:cs="宋体"/>
          <w:color w:val="auto"/>
          <w:sz w:val="24"/>
        </w:rPr>
      </w:pPr>
      <w:bookmarkStart w:id="240" w:name="_Toc6938"/>
      <w:bookmarkStart w:id="241" w:name="_Toc1161"/>
      <w:bookmarkStart w:id="242" w:name="_Toc28300"/>
      <w:bookmarkStart w:id="243" w:name="_Toc22207"/>
      <w:bookmarkStart w:id="244" w:name="_Toc3473"/>
      <w:bookmarkStart w:id="245" w:name="_Toc30243"/>
      <w:bookmarkStart w:id="246" w:name="_Toc9694"/>
      <w:r>
        <w:rPr>
          <w:rFonts w:hint="eastAsia" w:ascii="宋体" w:hAnsi="宋体" w:eastAsia="宋体" w:cs="宋体"/>
          <w:color w:val="auto"/>
          <w:sz w:val="24"/>
        </w:rPr>
        <w:t>履约时间和地点</w:t>
      </w:r>
      <w:bookmarkEnd w:id="240"/>
      <w:bookmarkEnd w:id="241"/>
      <w:bookmarkEnd w:id="242"/>
      <w:bookmarkEnd w:id="243"/>
      <w:bookmarkEnd w:id="244"/>
      <w:bookmarkEnd w:id="245"/>
      <w:bookmarkEnd w:id="246"/>
    </w:p>
    <w:p>
      <w:pPr>
        <w:pStyle w:val="234"/>
        <w:keepNext w:val="0"/>
        <w:keepLines w:val="0"/>
        <w:numPr>
          <w:ilvl w:val="4"/>
          <w:numId w:val="0"/>
        </w:numPr>
        <w:tabs>
          <w:tab w:val="left" w:pos="0"/>
        </w:tabs>
        <w:wordWrap w:val="0"/>
        <w:spacing w:before="0" w:after="0" w:line="360" w:lineRule="auto"/>
        <w:ind w:firstLine="480" w:firstLineChars="200"/>
        <w:jc w:val="both"/>
        <w:outlineLvl w:val="9"/>
        <w:rPr>
          <w:rFonts w:hint="eastAsia" w:ascii="宋体" w:hAnsi="宋体" w:eastAsia="宋体" w:cs="宋体"/>
          <w:b w:val="0"/>
          <w:bCs/>
          <w:color w:val="auto"/>
          <w:szCs w:val="24"/>
        </w:rPr>
      </w:pPr>
      <w:r>
        <w:rPr>
          <w:rFonts w:hint="eastAsia" w:ascii="宋体" w:hAnsi="宋体" w:eastAsia="宋体" w:cs="宋体"/>
          <w:b w:val="0"/>
          <w:bCs/>
          <w:color w:val="auto"/>
          <w:szCs w:val="24"/>
        </w:rPr>
        <w:t>1.履约时间：本项目在合同签订后60日内全部完成交货安装；</w:t>
      </w:r>
    </w:p>
    <w:p>
      <w:pPr>
        <w:pStyle w:val="235"/>
        <w:widowControl w:val="0"/>
        <w:wordWrap w:val="0"/>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2.履约地点：成都东部新区，采购人指地点。</w:t>
      </w:r>
    </w:p>
    <w:p>
      <w:pPr>
        <w:pStyle w:val="233"/>
        <w:spacing w:line="360" w:lineRule="auto"/>
        <w:ind w:firstLine="482"/>
        <w:rPr>
          <w:rFonts w:hint="eastAsia" w:ascii="宋体" w:hAnsi="宋体" w:eastAsia="宋体" w:cs="宋体"/>
          <w:color w:val="auto"/>
          <w:sz w:val="24"/>
        </w:rPr>
      </w:pPr>
      <w:bookmarkStart w:id="247" w:name="_Toc29530"/>
      <w:bookmarkStart w:id="248" w:name="_Toc5798"/>
      <w:bookmarkStart w:id="249" w:name="_Toc1419"/>
      <w:bookmarkStart w:id="250" w:name="_Toc14015"/>
      <w:bookmarkStart w:id="251" w:name="_Toc20065"/>
      <w:bookmarkStart w:id="252" w:name="_Toc30259"/>
      <w:r>
        <w:rPr>
          <w:rFonts w:hint="eastAsia" w:ascii="宋体" w:hAnsi="宋体" w:eastAsia="宋体" w:cs="宋体"/>
          <w:color w:val="auto"/>
          <w:sz w:val="24"/>
        </w:rPr>
        <w:t>质保期(质保期自验收合格之日起算)：所有家具质保期不低于</w:t>
      </w:r>
      <w:r>
        <w:rPr>
          <w:rFonts w:hint="eastAsia" w:ascii="宋体" w:hAnsi="宋体" w:eastAsia="宋体" w:cs="宋体"/>
          <w:color w:val="auto"/>
          <w:sz w:val="24"/>
          <w:lang w:val="en-US" w:eastAsia="zh-CN"/>
        </w:rPr>
        <w:t>4</w:t>
      </w:r>
      <w:r>
        <w:rPr>
          <w:rFonts w:hint="eastAsia" w:ascii="宋体" w:hAnsi="宋体" w:eastAsia="宋体" w:cs="宋体"/>
          <w:color w:val="auto"/>
          <w:sz w:val="24"/>
        </w:rPr>
        <w:t>年</w:t>
      </w:r>
      <w:r>
        <w:rPr>
          <w:rFonts w:hint="eastAsia" w:ascii="宋体" w:hAnsi="宋体" w:eastAsia="宋体" w:cs="宋体"/>
          <w:b w:val="0"/>
          <w:bCs/>
          <w:color w:val="auto"/>
          <w:sz w:val="24"/>
        </w:rPr>
        <w:t>。</w:t>
      </w:r>
      <w:bookmarkEnd w:id="247"/>
      <w:bookmarkEnd w:id="248"/>
      <w:bookmarkEnd w:id="249"/>
      <w:bookmarkEnd w:id="250"/>
    </w:p>
    <w:p>
      <w:pPr>
        <w:pStyle w:val="233"/>
        <w:spacing w:line="360" w:lineRule="auto"/>
        <w:ind w:firstLine="482"/>
        <w:rPr>
          <w:rFonts w:hint="eastAsia" w:ascii="宋体" w:hAnsi="宋体" w:eastAsia="宋体" w:cs="宋体"/>
          <w:color w:val="auto"/>
          <w:sz w:val="24"/>
        </w:rPr>
      </w:pPr>
      <w:bookmarkStart w:id="253" w:name="_Toc15507"/>
      <w:bookmarkStart w:id="254" w:name="_Toc5073"/>
      <w:bookmarkStart w:id="255" w:name="_Toc1092"/>
      <w:bookmarkStart w:id="256" w:name="_Toc26613"/>
      <w:r>
        <w:rPr>
          <w:rFonts w:hint="eastAsia" w:ascii="宋体" w:hAnsi="宋体" w:eastAsia="宋体" w:cs="宋体"/>
          <w:color w:val="auto"/>
          <w:sz w:val="24"/>
        </w:rPr>
        <w:t>付款方式</w:t>
      </w:r>
      <w:bookmarkEnd w:id="251"/>
      <w:bookmarkEnd w:id="252"/>
      <w:bookmarkEnd w:id="253"/>
      <w:bookmarkEnd w:id="254"/>
      <w:bookmarkEnd w:id="255"/>
      <w:bookmarkEnd w:id="256"/>
    </w:p>
    <w:p>
      <w:pPr>
        <w:pStyle w:val="234"/>
        <w:keepNext w:val="0"/>
        <w:keepLines w:val="0"/>
        <w:tabs>
          <w:tab w:val="left" w:pos="0"/>
        </w:tabs>
        <w:spacing w:before="0" w:after="0" w:line="360" w:lineRule="auto"/>
        <w:ind w:firstLine="480" w:firstLineChars="200"/>
        <w:outlineLvl w:val="9"/>
        <w:rPr>
          <w:rFonts w:hint="eastAsia" w:ascii="宋体" w:hAnsi="宋体" w:eastAsia="宋体" w:cs="宋体"/>
          <w:b w:val="0"/>
          <w:bCs/>
          <w:color w:val="auto"/>
          <w:szCs w:val="24"/>
        </w:rPr>
      </w:pPr>
      <w:r>
        <w:rPr>
          <w:rFonts w:hint="eastAsia" w:ascii="宋体" w:hAnsi="宋体" w:eastAsia="宋体" w:cs="宋体"/>
          <w:b w:val="0"/>
          <w:bCs/>
          <w:color w:val="auto"/>
          <w:szCs w:val="24"/>
        </w:rPr>
        <w:t>1.政府采购合同签订生效后10个工作日内，采购人向中标人支付合同金额的30%价款，交货安装调试完毕并经验收合格后，采购人接到中标人提供的与合同清单一致的正规发票15个工作日内支付合同金额的65%价款；12个月后支付合同金额的5%价款。</w:t>
      </w:r>
    </w:p>
    <w:p>
      <w:pPr>
        <w:pStyle w:val="234"/>
        <w:keepNext w:val="0"/>
        <w:keepLines w:val="0"/>
        <w:tabs>
          <w:tab w:val="left" w:pos="0"/>
        </w:tabs>
        <w:spacing w:before="0" w:after="0" w:line="360" w:lineRule="auto"/>
        <w:ind w:firstLine="480" w:firstLineChars="200"/>
        <w:outlineLvl w:val="9"/>
        <w:rPr>
          <w:rFonts w:hint="eastAsia" w:ascii="宋体" w:hAnsi="宋体" w:eastAsia="宋体" w:cs="宋体"/>
          <w:b w:val="0"/>
          <w:bCs/>
          <w:color w:val="auto"/>
          <w:szCs w:val="24"/>
        </w:rPr>
      </w:pPr>
      <w:r>
        <w:rPr>
          <w:rFonts w:hint="eastAsia" w:ascii="宋体" w:hAnsi="宋体" w:eastAsia="宋体" w:cs="宋体"/>
          <w:b w:val="0"/>
          <w:bCs/>
          <w:color w:val="auto"/>
          <w:szCs w:val="24"/>
        </w:rPr>
        <w:t>2.每次付款前，中标人须向采购人出具合法有效完整的增值税发票及凭证资料后进行支付结算，付款方式均采用公对公的银行转账，采购人接受转账的开户信息以合同载明的为准。如因中标人未按照要求提供合法有效的发票导致逾期付款的，不视为甲方违约，甲方不承担任何责任。</w:t>
      </w:r>
    </w:p>
    <w:p>
      <w:pPr>
        <w:pStyle w:val="233"/>
        <w:spacing w:line="360" w:lineRule="auto"/>
        <w:ind w:firstLine="482"/>
        <w:rPr>
          <w:rFonts w:hint="eastAsia" w:ascii="宋体" w:hAnsi="宋体" w:eastAsia="宋体" w:cs="宋体"/>
          <w:color w:val="auto"/>
          <w:sz w:val="24"/>
        </w:rPr>
      </w:pPr>
      <w:bookmarkStart w:id="257" w:name="_Toc9165"/>
      <w:bookmarkStart w:id="258" w:name="_Toc10694"/>
      <w:bookmarkStart w:id="259" w:name="_Toc11474"/>
      <w:bookmarkStart w:id="260" w:name="_Toc8918"/>
      <w:bookmarkStart w:id="261" w:name="_Toc20854"/>
      <w:bookmarkStart w:id="262" w:name="_Toc5691"/>
      <w:r>
        <w:rPr>
          <w:rFonts w:hint="eastAsia" w:ascii="宋体" w:hAnsi="宋体" w:eastAsia="宋体" w:cs="宋体"/>
          <w:color w:val="auto"/>
          <w:sz w:val="24"/>
        </w:rPr>
        <w:t>合同价款</w:t>
      </w:r>
      <w:bookmarkEnd w:id="257"/>
      <w:bookmarkEnd w:id="258"/>
      <w:bookmarkEnd w:id="259"/>
      <w:bookmarkEnd w:id="260"/>
      <w:bookmarkEnd w:id="261"/>
      <w:bookmarkEnd w:id="262"/>
    </w:p>
    <w:p>
      <w:pPr>
        <w:pStyle w:val="234"/>
        <w:keepNext w:val="0"/>
        <w:keepLines w:val="0"/>
        <w:tabs>
          <w:tab w:val="left" w:pos="0"/>
        </w:tabs>
        <w:spacing w:before="0" w:after="0" w:line="360" w:lineRule="auto"/>
        <w:ind w:firstLine="480" w:firstLineChars="200"/>
        <w:outlineLvl w:val="9"/>
        <w:rPr>
          <w:rFonts w:hint="eastAsia" w:ascii="宋体" w:hAnsi="宋体" w:eastAsia="宋体" w:cs="宋体"/>
          <w:b w:val="0"/>
          <w:bCs/>
          <w:color w:val="auto"/>
          <w:szCs w:val="24"/>
        </w:rPr>
      </w:pPr>
      <w:r>
        <w:rPr>
          <w:rFonts w:hint="eastAsia" w:ascii="宋体" w:hAnsi="宋体" w:eastAsia="宋体" w:cs="宋体"/>
          <w:b w:val="0"/>
          <w:bCs/>
          <w:color w:val="auto"/>
          <w:szCs w:val="24"/>
        </w:rPr>
        <w:t>合同价应是供应商响应采购项目要求的全部采购内容的价格体现，包括货物设计、材料、制造、包装、运输、安装、调试、检测、技术服务、培训、利润、验收合格交付使用之前及保修期内保修服务与备用物件等等所有其他有关各项费用以及相关税费。</w:t>
      </w:r>
    </w:p>
    <w:p>
      <w:pPr>
        <w:pStyle w:val="233"/>
        <w:spacing w:line="360" w:lineRule="auto"/>
        <w:ind w:firstLine="482"/>
        <w:rPr>
          <w:rFonts w:hint="eastAsia" w:ascii="宋体" w:hAnsi="宋体" w:eastAsia="宋体" w:cs="宋体"/>
          <w:color w:val="auto"/>
          <w:sz w:val="24"/>
        </w:rPr>
      </w:pPr>
      <w:bookmarkStart w:id="263" w:name="_Toc4100"/>
      <w:bookmarkStart w:id="264" w:name="_Toc32743"/>
      <w:bookmarkStart w:id="265" w:name="_Toc14180"/>
      <w:bookmarkStart w:id="266" w:name="_Toc29832"/>
      <w:bookmarkStart w:id="267" w:name="_Toc30863"/>
      <w:bookmarkStart w:id="268" w:name="_Toc13414"/>
      <w:r>
        <w:rPr>
          <w:rFonts w:hint="eastAsia" w:ascii="宋体" w:hAnsi="宋体" w:eastAsia="宋体" w:cs="宋体"/>
          <w:color w:val="auto"/>
          <w:sz w:val="24"/>
        </w:rPr>
        <w:t>项目验收方法和标准</w:t>
      </w:r>
      <w:bookmarkEnd w:id="263"/>
      <w:bookmarkEnd w:id="264"/>
      <w:bookmarkEnd w:id="265"/>
      <w:bookmarkEnd w:id="266"/>
      <w:bookmarkEnd w:id="267"/>
      <w:bookmarkEnd w:id="268"/>
    </w:p>
    <w:p>
      <w:pPr>
        <w:tabs>
          <w:tab w:val="left" w:pos="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1.验收流程：验收分交货验收、综合验收两个阶段。</w:t>
      </w:r>
    </w:p>
    <w:p>
      <w:pPr>
        <w:tabs>
          <w:tab w:val="left" w:pos="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交货验收：货物运抵采购人指定的地点时，供应商代表到现场交货，交货时须书面告知采购人签收注意事项，包括但不限于提醒签收人注意外包装完好无损、倾倒标识指示等细节。采购人代表检查所提示项无误后签收，完成货物交接。</w:t>
      </w:r>
    </w:p>
    <w:p>
      <w:pPr>
        <w:tabs>
          <w:tab w:val="left" w:pos="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综合验收：采购人在货物安装调试结束后组织综合验收，包括形成技术验收报告，完成资产验收。采购人无故不进行综合验收工作并已使用货物的，视同已安装调试完成并验收合格。如综合验收合格，双方签署验收报告。</w:t>
      </w:r>
    </w:p>
    <w:p>
      <w:pPr>
        <w:tabs>
          <w:tab w:val="left" w:pos="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4.其他未尽事宜应严格按照《财政部关于进一步加强政府采购需求和履约验收管理的指导意见》(财库〔2016〕205号)的要求进行验收。</w:t>
      </w:r>
    </w:p>
    <w:p>
      <w:pPr>
        <w:pStyle w:val="233"/>
        <w:spacing w:line="360" w:lineRule="auto"/>
        <w:ind w:firstLine="482"/>
        <w:rPr>
          <w:rFonts w:hint="eastAsia" w:ascii="宋体" w:hAnsi="宋体" w:eastAsia="宋体" w:cs="宋体"/>
          <w:color w:val="auto"/>
          <w:sz w:val="24"/>
        </w:rPr>
      </w:pPr>
      <w:bookmarkStart w:id="269" w:name="_Toc821"/>
      <w:bookmarkStart w:id="270" w:name="_Toc5676"/>
      <w:bookmarkStart w:id="271" w:name="_Toc14411"/>
      <w:bookmarkStart w:id="272" w:name="_Toc8843"/>
      <w:bookmarkStart w:id="273" w:name="_Toc7030"/>
      <w:bookmarkStart w:id="274" w:name="_Toc20928"/>
      <w:r>
        <w:rPr>
          <w:rFonts w:hint="eastAsia" w:ascii="宋体" w:hAnsi="宋体" w:eastAsia="宋体" w:cs="宋体"/>
          <w:color w:val="auto"/>
          <w:sz w:val="24"/>
        </w:rPr>
        <w:t>违约责任</w:t>
      </w:r>
      <w:bookmarkEnd w:id="269"/>
      <w:bookmarkEnd w:id="270"/>
      <w:bookmarkEnd w:id="271"/>
      <w:bookmarkEnd w:id="272"/>
      <w:bookmarkEnd w:id="273"/>
      <w:bookmarkEnd w:id="274"/>
    </w:p>
    <w:p>
      <w:pPr>
        <w:tabs>
          <w:tab w:val="left" w:pos="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1.供应商必须遵守采购合同并执行合同中的各项规定，保证采购合同的正常履行。</w:t>
      </w:r>
    </w:p>
    <w:p>
      <w:pPr>
        <w:tabs>
          <w:tab w:val="left" w:pos="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tabs>
          <w:tab w:val="left" w:pos="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bCs/>
          <w:color w:val="auto"/>
          <w:sz w:val="24"/>
        </w:rPr>
        <w:t>.</w:t>
      </w:r>
      <w:r>
        <w:rPr>
          <w:rFonts w:hint="eastAsia" w:ascii="宋体" w:hAnsi="宋体" w:eastAsia="宋体" w:cs="宋体"/>
          <w:color w:val="auto"/>
          <w:sz w:val="24"/>
        </w:rPr>
        <w:t>供应商必须遵守采购合同按时完成合同相关工作，若由于供应商原因导致合同迟延履</w:t>
      </w:r>
      <w:r>
        <w:rPr>
          <w:rFonts w:hint="eastAsia" w:ascii="宋体" w:hAnsi="宋体" w:eastAsia="宋体" w:cs="宋体"/>
          <w:color w:val="auto"/>
          <w:spacing w:val="-6"/>
          <w:sz w:val="24"/>
        </w:rPr>
        <w:t>行，供应商应承担采购合同中约定的违约责任。</w:t>
      </w:r>
    </w:p>
    <w:p>
      <w:pPr>
        <w:tabs>
          <w:tab w:val="left" w:pos="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w:t>
      </w:r>
      <w:r>
        <w:rPr>
          <w:rFonts w:hint="eastAsia" w:ascii="宋体" w:hAnsi="宋体" w:eastAsia="宋体" w:cs="宋体"/>
          <w:bCs/>
          <w:color w:val="auto"/>
          <w:sz w:val="24"/>
        </w:rPr>
        <w:t>.</w:t>
      </w:r>
      <w:r>
        <w:rPr>
          <w:rFonts w:hint="eastAsia" w:ascii="宋体" w:hAnsi="宋体" w:eastAsia="宋体" w:cs="宋体"/>
          <w:color w:val="auto"/>
          <w:sz w:val="24"/>
        </w:rPr>
        <w:t>供应商应当遵守采购人的相关项目需求及相关技术要求及实质性条款，实施完成采购合同应当完全满足相关项目需求及相关技术要求及实质性条款，若供应商瑕疵履行采购合同，采购人有权向供应商要求赔偿合同总价款20%的违约金，若造成相关损失的，采购人有权要求供应商承担所有赔偿责任。</w:t>
      </w:r>
    </w:p>
    <w:p>
      <w:pPr>
        <w:pStyle w:val="23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5.有下列情形之一的，当事人可以解除合同：</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5.1因不可抗力致使不能实现合同目的(由于非供应商或采购人原因，致使合同实质性条款无法实现的)；</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5.2当事人一方迟延履行主要债务，经催告后在合理期限内仍未履行；</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5.3当事人一方迟延履行债务或者有其他违约行为致使不能实现合同目的；</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5.4法律规定的其他情形。</w:t>
      </w:r>
    </w:p>
    <w:p>
      <w:pPr>
        <w:pStyle w:val="233"/>
        <w:spacing w:line="360" w:lineRule="auto"/>
        <w:ind w:firstLine="482"/>
        <w:rPr>
          <w:rFonts w:hint="eastAsia" w:ascii="宋体" w:hAnsi="宋体" w:eastAsia="宋体" w:cs="宋体"/>
          <w:color w:val="auto"/>
          <w:sz w:val="24"/>
        </w:rPr>
      </w:pPr>
      <w:bookmarkStart w:id="275" w:name="_Toc31338"/>
      <w:bookmarkStart w:id="276" w:name="_Toc26434"/>
      <w:bookmarkStart w:id="277" w:name="_Toc25580"/>
      <w:bookmarkStart w:id="278" w:name="_Toc8056"/>
      <w:bookmarkStart w:id="279" w:name="_Toc16574"/>
      <w:bookmarkStart w:id="280" w:name="_Toc16538"/>
      <w:r>
        <w:rPr>
          <w:rFonts w:hint="eastAsia" w:ascii="宋体" w:hAnsi="宋体" w:eastAsia="宋体" w:cs="宋体"/>
          <w:color w:val="auto"/>
          <w:sz w:val="24"/>
        </w:rPr>
        <w:t>解决争议的方法</w:t>
      </w:r>
      <w:bookmarkEnd w:id="275"/>
      <w:bookmarkEnd w:id="276"/>
      <w:bookmarkEnd w:id="277"/>
      <w:bookmarkEnd w:id="278"/>
      <w:bookmarkEnd w:id="279"/>
      <w:bookmarkEnd w:id="280"/>
    </w:p>
    <w:p>
      <w:pPr>
        <w:pStyle w:val="23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1.因货物的质量问题发生争议，由采购人或其指定的第三方机构进行质量鉴定。货物符合标准的，鉴定费由采购人承担；货物不符合质量标准的，鉴定费由中标人承担。</w:t>
      </w:r>
    </w:p>
    <w:p>
      <w:pPr>
        <w:pStyle w:val="23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2.合同履行期间，若双方发生争议，可协商或由有关部门调解解决，协商或调解不成的，向项目所在地仲裁委员会申请仲裁。</w:t>
      </w:r>
    </w:p>
    <w:p>
      <w:pPr>
        <w:pStyle w:val="23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3.仲裁裁决应为最终决定，并对双方具有约束力。</w:t>
      </w:r>
    </w:p>
    <w:p>
      <w:pPr>
        <w:pStyle w:val="23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4.除另有裁决外，仲裁费应由败诉方负担。 </w:t>
      </w:r>
    </w:p>
    <w:p>
      <w:pPr>
        <w:pStyle w:val="23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5.在仲裁期间，除正在进行仲裁部分外，合同其他部分继续执行。</w:t>
      </w:r>
      <w:bookmarkStart w:id="281" w:name="_Toc32286_WPSOffice_Level2"/>
      <w:bookmarkStart w:id="282" w:name="_Toc20781"/>
      <w:bookmarkStart w:id="283" w:name="_Toc27313"/>
    </w:p>
    <w:p>
      <w:pPr>
        <w:pStyle w:val="233"/>
        <w:spacing w:line="360" w:lineRule="auto"/>
        <w:ind w:firstLine="482"/>
        <w:rPr>
          <w:rFonts w:hint="eastAsia" w:ascii="宋体" w:hAnsi="宋体" w:eastAsia="宋体" w:cs="宋体"/>
          <w:color w:val="auto"/>
          <w:sz w:val="24"/>
        </w:rPr>
      </w:pPr>
      <w:bookmarkStart w:id="284" w:name="_Toc13362"/>
      <w:bookmarkStart w:id="285" w:name="_Toc14685"/>
      <w:bookmarkStart w:id="286" w:name="_Toc29358"/>
      <w:bookmarkStart w:id="287" w:name="_Toc12680"/>
      <w:bookmarkStart w:id="288" w:name="_Toc14109"/>
      <w:bookmarkStart w:id="289" w:name="_Toc12073"/>
      <w:r>
        <w:rPr>
          <w:rFonts w:hint="eastAsia" w:ascii="宋体" w:hAnsi="宋体" w:eastAsia="宋体" w:cs="宋体"/>
          <w:color w:val="auto"/>
          <w:sz w:val="24"/>
        </w:rPr>
        <w:t>其他要求</w:t>
      </w:r>
      <w:bookmarkEnd w:id="281"/>
      <w:bookmarkEnd w:id="282"/>
      <w:bookmarkEnd w:id="283"/>
      <w:bookmarkEnd w:id="284"/>
      <w:bookmarkEnd w:id="285"/>
      <w:bookmarkEnd w:id="286"/>
      <w:bookmarkEnd w:id="287"/>
      <w:bookmarkEnd w:id="288"/>
      <w:bookmarkEnd w:id="289"/>
    </w:p>
    <w:p>
      <w:pPr>
        <w:pStyle w:val="235"/>
        <w:widowControl w:val="0"/>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1.供应商应保证所提供的货物、服务或其任何一部分均不会侵犯任何第三方的专利权、商标权或著作权(在其他投标文件中单独提供承诺函进行响应，格式自拟)</w:t>
      </w:r>
      <w:r>
        <w:rPr>
          <w:rFonts w:hint="eastAsia" w:ascii="宋体" w:hAnsi="宋体" w:eastAsia="宋体" w:cs="宋体"/>
          <w:color w:val="auto"/>
          <w:sz w:val="24"/>
          <w:szCs w:val="24"/>
        </w:rPr>
        <w:t>。</w:t>
      </w:r>
    </w:p>
    <w:p>
      <w:pPr>
        <w:pStyle w:val="235"/>
        <w:widowControl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2.采购人在项目执行过程中定期核对供应商提供完成项目所配备的人员数量及相关信息，对于未按照采购文件及投标文件相关内容执行或存在不合理的部分有权下达整改通知书，并要求供应商限期整改。</w:t>
      </w:r>
    </w:p>
    <w:p>
      <w:pPr>
        <w:pStyle w:val="235"/>
        <w:widowControl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3.供应商在项目执行过程中定期及时向采购人通告本项目供货的重大事项及其进度。</w:t>
      </w:r>
    </w:p>
    <w:p>
      <w:pPr>
        <w:pStyle w:val="235"/>
        <w:widowControl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4.接受项目行业管理部门及政府有关部门的指导，接受采购人的监督。</w:t>
      </w:r>
    </w:p>
    <w:p>
      <w:pPr>
        <w:pStyle w:val="149"/>
        <w:tabs>
          <w:tab w:val="left" w:pos="0"/>
          <w:tab w:val="left" w:pos="1134"/>
        </w:tabs>
        <w:wordWrap w:val="0"/>
        <w:ind w:firstLine="480"/>
        <w:rPr>
          <w:rFonts w:hint="eastAsia" w:ascii="宋体" w:hAnsi="宋体" w:eastAsia="宋体" w:cs="宋体"/>
          <w:color w:val="auto"/>
          <w:sz w:val="24"/>
        </w:rPr>
      </w:pPr>
      <w:r>
        <w:rPr>
          <w:rFonts w:hint="eastAsia" w:ascii="宋体" w:hAnsi="宋体" w:eastAsia="宋体" w:cs="宋体"/>
          <w:color w:val="auto"/>
          <w:sz w:val="24"/>
        </w:rPr>
        <w:t>5.供应商所提供的货物应是经检验合格的全新正品。投标人不得以次充好，产品来源渠道必须合法，同时应根据国家有关规定、厂家服务承诺及采购单位的要求做好售后服务工作。供应商所提供的货物若发现有诸如数量、型号和外观尺寸与合同不符，或产生更换或补货等情形并导致项目时间延误，采购人有权根据合同有关条款的规定对因此造成的直接损失向供应商索赔。</w:t>
      </w:r>
    </w:p>
    <w:p>
      <w:pPr>
        <w:pStyle w:val="149"/>
        <w:tabs>
          <w:tab w:val="left" w:pos="0"/>
          <w:tab w:val="left" w:pos="1134"/>
        </w:tabs>
        <w:wordWrap w:val="0"/>
        <w:ind w:firstLine="480"/>
        <w:rPr>
          <w:rFonts w:hint="eastAsia" w:ascii="宋体" w:hAnsi="宋体" w:eastAsia="宋体" w:cs="宋体"/>
          <w:color w:val="auto"/>
          <w:sz w:val="24"/>
        </w:rPr>
      </w:pPr>
      <w:r>
        <w:rPr>
          <w:rFonts w:hint="eastAsia" w:ascii="宋体" w:hAnsi="宋体" w:eastAsia="宋体" w:cs="宋体"/>
          <w:color w:val="auto"/>
          <w:sz w:val="24"/>
        </w:rPr>
        <w:t>6.中标人须严格按照《商品包装政府采购需求标准(试行)》、《快递包装政府采购需求标准(试行)》(财办库〔2020〕123号)的要求进行产品及相关快递服务的具体包装。</w:t>
      </w:r>
    </w:p>
    <w:p>
      <w:pPr>
        <w:pStyle w:val="149"/>
        <w:tabs>
          <w:tab w:val="left" w:pos="0"/>
          <w:tab w:val="left" w:pos="1134"/>
        </w:tabs>
        <w:wordWrap w:val="0"/>
        <w:ind w:firstLine="48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7.签订合同时提供投标文件要求的检测报告原件核查。</w:t>
      </w:r>
    </w:p>
    <w:p>
      <w:pPr>
        <w:pStyle w:val="236"/>
        <w:spacing w:line="360" w:lineRule="auto"/>
        <w:ind w:firstLine="482"/>
        <w:rPr>
          <w:rFonts w:hint="eastAsia" w:ascii="宋体" w:hAnsi="宋体" w:eastAsia="宋体" w:cs="宋体"/>
          <w:color w:val="auto"/>
          <w:sz w:val="24"/>
        </w:rPr>
      </w:pPr>
    </w:p>
    <w:p>
      <w:pPr>
        <w:pStyle w:val="236"/>
        <w:spacing w:line="360" w:lineRule="auto"/>
        <w:ind w:firstLine="482"/>
        <w:rPr>
          <w:rFonts w:ascii="宋体" w:hAnsi="宋体"/>
          <w:b/>
          <w:bCs/>
          <w:color w:val="auto"/>
          <w:spacing w:val="-20"/>
          <w:kern w:val="44"/>
          <w:sz w:val="32"/>
          <w:szCs w:val="32"/>
        </w:rPr>
      </w:pPr>
      <w:r>
        <w:rPr>
          <w:rFonts w:hint="eastAsia" w:ascii="宋体" w:hAnsi="宋体" w:eastAsia="宋体" w:cs="宋体"/>
          <w:color w:val="auto"/>
          <w:sz w:val="24"/>
        </w:rPr>
        <w:t>注意：①本章带“</w:t>
      </w:r>
      <w:r>
        <w:rPr>
          <w:rFonts w:hint="eastAsia" w:ascii="宋体" w:hAnsi="宋体" w:eastAsia="宋体" w:cs="宋体"/>
          <w:color w:val="auto"/>
        </w:rPr>
        <w:t>★</w:t>
      </w:r>
      <w:r>
        <w:rPr>
          <w:rFonts w:hint="eastAsia" w:ascii="宋体" w:hAnsi="宋体" w:eastAsia="宋体" w:cs="宋体"/>
          <w:color w:val="auto"/>
          <w:sz w:val="24"/>
        </w:rPr>
        <w:t>”号</w:t>
      </w:r>
      <w:r>
        <w:rPr>
          <w:rFonts w:hint="eastAsia" w:ascii="宋体" w:hAnsi="宋体" w:eastAsia="宋体" w:cs="宋体"/>
          <w:color w:val="auto"/>
          <w:sz w:val="24"/>
          <w:lang w:val="en-US" w:eastAsia="zh-CN"/>
        </w:rPr>
        <w:t>条款</w:t>
      </w:r>
      <w:r>
        <w:rPr>
          <w:rFonts w:hint="eastAsia" w:ascii="宋体" w:hAnsi="宋体" w:eastAsia="宋体" w:cs="宋体"/>
          <w:color w:val="auto"/>
          <w:sz w:val="24"/>
        </w:rPr>
        <w:t>作为</w:t>
      </w:r>
      <w:r>
        <w:rPr>
          <w:rFonts w:hint="eastAsia" w:ascii="宋体" w:hAnsi="宋体" w:eastAsia="宋体" w:cs="宋体"/>
          <w:color w:val="auto"/>
          <w:sz w:val="24"/>
          <w:lang w:val="en-US" w:eastAsia="zh-CN"/>
        </w:rPr>
        <w:t>实质性要求</w:t>
      </w:r>
      <w:r>
        <w:rPr>
          <w:rFonts w:hint="eastAsia" w:ascii="宋体" w:hAnsi="宋体" w:eastAsia="宋体" w:cs="宋体"/>
          <w:color w:val="auto"/>
          <w:sz w:val="24"/>
        </w:rPr>
        <w:t>，不得有负偏离。②本项目涉及企业资质、产品认证、人员执业资格等描述与国家最新要求不一致时以最新要求为准。</w:t>
      </w:r>
      <w:r>
        <w:rPr>
          <w:rFonts w:ascii="宋体" w:hAnsi="宋体"/>
          <w:b/>
          <w:bCs/>
          <w:color w:val="auto"/>
          <w:spacing w:val="-20"/>
          <w:kern w:val="44"/>
          <w:sz w:val="32"/>
          <w:szCs w:val="32"/>
        </w:rPr>
        <w:br w:type="page"/>
      </w:r>
    </w:p>
    <w:p>
      <w:pPr>
        <w:keepNext/>
        <w:keepLines/>
        <w:numPr>
          <w:ilvl w:val="0"/>
          <w:numId w:val="6"/>
        </w:numPr>
        <w:spacing w:before="340" w:after="330" w:line="400" w:lineRule="exact"/>
        <w:outlineLvl w:val="0"/>
        <w:rPr>
          <w:rFonts w:ascii="宋体" w:hAnsi="宋体"/>
          <w:b/>
          <w:bCs/>
          <w:color w:val="auto"/>
          <w:spacing w:val="-20"/>
          <w:kern w:val="44"/>
          <w:sz w:val="32"/>
          <w:szCs w:val="32"/>
        </w:rPr>
      </w:pPr>
      <w:bookmarkStart w:id="290" w:name="_Toc86665564"/>
      <w:bookmarkStart w:id="291" w:name="_Toc28278"/>
      <w:bookmarkStart w:id="292" w:name="_Toc10883"/>
      <w:bookmarkStart w:id="293" w:name="_Toc2786"/>
      <w:r>
        <w:rPr>
          <w:rFonts w:hint="eastAsia" w:ascii="宋体" w:hAnsi="宋体"/>
          <w:b/>
          <w:bCs/>
          <w:color w:val="auto"/>
          <w:spacing w:val="-20"/>
          <w:kern w:val="44"/>
          <w:sz w:val="32"/>
          <w:szCs w:val="32"/>
        </w:rPr>
        <w:t>资格性审查</w:t>
      </w:r>
      <w:bookmarkEnd w:id="290"/>
      <w:bookmarkEnd w:id="291"/>
      <w:bookmarkEnd w:id="292"/>
      <w:bookmarkEnd w:id="293"/>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将以电子邮件形式通知各投标人。资格性审查标准见下表：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444"/>
        <w:gridCol w:w="1747"/>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1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auto"/>
                <w:sz w:val="20"/>
              </w:rPr>
            </w:pPr>
            <w:r>
              <w:rPr>
                <w:rFonts w:hint="eastAsia"/>
                <w:b/>
                <w:color w:val="auto"/>
                <w:sz w:val="20"/>
              </w:rPr>
              <w:t>资格性审查项</w:t>
            </w:r>
          </w:p>
        </w:tc>
        <w:tc>
          <w:tcPr>
            <w:tcW w:w="5943"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auto"/>
                <w:sz w:val="20"/>
              </w:rPr>
            </w:pPr>
            <w:r>
              <w:rPr>
                <w:rFonts w:hint="eastAsia"/>
                <w:b/>
                <w:color w:val="auto"/>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rPr>
            </w:pPr>
            <w:r>
              <w:rPr>
                <w:color w:val="auto"/>
                <w:sz w:val="20"/>
              </w:rPr>
              <w:t>1</w:t>
            </w:r>
          </w:p>
        </w:tc>
        <w:tc>
          <w:tcPr>
            <w:tcW w:w="2191"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color w:val="auto"/>
                <w:sz w:val="20"/>
              </w:rPr>
              <w:t>在中华人民共和国境内依法登记注册</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1、营业执照（正本或副本）或法人登记证（正本或副本）或其他能够证明投标人具有独立承担民事责任能力的相关证明材料复印件【注：</w:t>
            </w:r>
            <w:r>
              <w:rPr>
                <w:rFonts w:hint="eastAsia" w:ascii="宋体" w:hAnsi="宋体"/>
                <w:color w:val="auto"/>
                <w:sz w:val="20"/>
                <w:szCs w:val="28"/>
              </w:rPr>
              <w:t>①</w:t>
            </w:r>
            <w:r>
              <w:rPr>
                <w:rFonts w:hint="eastAsia"/>
                <w:color w:val="auto"/>
                <w:sz w:val="20"/>
              </w:rPr>
              <w:t>营业执照或法人登记证或其他证明材料载明有期限的，应在有效期限内；</w:t>
            </w:r>
            <w:r>
              <w:rPr>
                <w:rFonts w:hint="eastAsia" w:ascii="宋体" w:hAnsi="宋体"/>
                <w:color w:val="auto"/>
                <w:sz w:val="20"/>
                <w:szCs w:val="28"/>
              </w:rPr>
              <w:t>②</w:t>
            </w:r>
            <w:r>
              <w:rPr>
                <w:rFonts w:hint="eastAsia"/>
                <w:color w:val="auto"/>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rPr>
            </w:pPr>
            <w:r>
              <w:rPr>
                <w:color w:val="auto"/>
                <w:sz w:val="20"/>
              </w:rPr>
              <w:t>2</w:t>
            </w:r>
          </w:p>
        </w:tc>
        <w:tc>
          <w:tcPr>
            <w:tcW w:w="444"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书面声明材料</w:t>
            </w: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具有良好的商业信誉的证明材料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投标人具有良好的商业信誉的书面声明材料。【说明：</w:t>
            </w:r>
            <w:r>
              <w:rPr>
                <w:rFonts w:hint="eastAsia" w:ascii="宋体" w:hAnsi="宋体"/>
                <w:color w:val="auto"/>
                <w:sz w:val="20"/>
                <w:szCs w:val="28"/>
              </w:rPr>
              <w:t>①</w:t>
            </w:r>
            <w:r>
              <w:rPr>
                <w:rFonts w:hint="eastAsia"/>
                <w:color w:val="auto"/>
                <w:sz w:val="20"/>
              </w:rPr>
              <w:t>按招标文件第</w:t>
            </w:r>
            <w:r>
              <w:rPr>
                <w:color w:val="auto"/>
                <w:sz w:val="20"/>
              </w:rPr>
              <w:t>3</w:t>
            </w:r>
            <w:r>
              <w:rPr>
                <w:rFonts w:hint="eastAsia"/>
                <w:color w:val="auto"/>
                <w:sz w:val="20"/>
              </w:rPr>
              <w:t>章的内容及要求提供书面声明材料</w:t>
            </w:r>
            <w:r>
              <w:rPr>
                <w:rFonts w:hint="eastAsia" w:ascii="宋体" w:hAnsi="宋体"/>
                <w:color w:val="auto"/>
                <w:sz w:val="20"/>
                <w:szCs w:val="28"/>
              </w:rPr>
              <w:t>；②供应商具有良好的商业信誉</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参加政府采购活动前三年内，在经营活动中没有重大违法记录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投标人参加政府采购活动前三年内，在经营活动中没有重大违法记录的书面声明材料。【说明：</w:t>
            </w:r>
            <w:r>
              <w:rPr>
                <w:rFonts w:hint="eastAsia" w:ascii="宋体" w:hAnsi="宋体"/>
                <w:color w:val="auto"/>
                <w:sz w:val="20"/>
                <w:szCs w:val="28"/>
              </w:rPr>
              <w:t>①</w:t>
            </w:r>
            <w:r>
              <w:rPr>
                <w:rFonts w:hint="eastAsia"/>
                <w:color w:val="auto"/>
                <w:sz w:val="20"/>
              </w:rPr>
              <w:t>按第</w:t>
            </w:r>
            <w:r>
              <w:rPr>
                <w:color w:val="auto"/>
                <w:sz w:val="20"/>
              </w:rPr>
              <w:t>3</w:t>
            </w:r>
            <w:r>
              <w:rPr>
                <w:rFonts w:hint="eastAsia"/>
                <w:color w:val="auto"/>
                <w:sz w:val="20"/>
              </w:rPr>
              <w:t>章的内容及要求提供书面声明材料；</w:t>
            </w:r>
            <w:r>
              <w:rPr>
                <w:rFonts w:hint="eastAsia" w:ascii="宋体" w:hAnsi="宋体"/>
                <w:color w:val="auto"/>
                <w:sz w:val="20"/>
                <w:szCs w:val="28"/>
              </w:rPr>
              <w:t>②供应商参加政府采购活动前三年内，在经营活动中没有重大违法记录</w:t>
            </w:r>
            <w:r>
              <w:rPr>
                <w:rFonts w:hint="eastAsia"/>
                <w:color w:val="auto"/>
                <w:sz w:val="20"/>
              </w:rPr>
              <w:t>。】</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投标人未列入失信被执行人、重大税收违法案件当事人名单、政府采购严重违法失信行为记录名单的书面声明材料。【说明：</w:t>
            </w:r>
            <w:r>
              <w:rPr>
                <w:rFonts w:hint="eastAsia" w:ascii="宋体" w:hAnsi="宋体"/>
                <w:color w:val="auto"/>
                <w:sz w:val="20"/>
                <w:szCs w:val="28"/>
              </w:rPr>
              <w:t>①</w:t>
            </w:r>
            <w:r>
              <w:rPr>
                <w:rFonts w:hint="eastAsia"/>
                <w:color w:val="auto"/>
                <w:sz w:val="20"/>
              </w:rPr>
              <w:t>投标人未列入失信被执行人、重大税收违法案件当事人名单、政府采购严重违法失信行为记录名单；</w:t>
            </w:r>
            <w:r>
              <w:rPr>
                <w:rFonts w:hint="eastAsia" w:ascii="宋体" w:hAnsi="宋体"/>
                <w:color w:val="auto"/>
                <w:sz w:val="20"/>
                <w:szCs w:val="28"/>
              </w:rPr>
              <w:t>②</w:t>
            </w:r>
            <w:r>
              <w:rPr>
                <w:rFonts w:hint="eastAsia"/>
                <w:color w:val="auto"/>
                <w:sz w:val="20"/>
              </w:rPr>
              <w:t>按第</w:t>
            </w:r>
            <w:r>
              <w:rPr>
                <w:color w:val="auto"/>
                <w:sz w:val="20"/>
              </w:rPr>
              <w:t>3</w:t>
            </w:r>
            <w:r>
              <w:rPr>
                <w:rFonts w:hint="eastAsia"/>
                <w:color w:val="auto"/>
                <w:sz w:val="20"/>
              </w:rPr>
              <w:t>章的内容及要求提供书面声明材料。】</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投标人未处于被行政部门禁止参与政府采购活动的期限内。【说明：</w:t>
            </w:r>
            <w:r>
              <w:rPr>
                <w:rFonts w:hint="eastAsia" w:ascii="宋体" w:hAnsi="宋体"/>
                <w:color w:val="auto"/>
                <w:sz w:val="20"/>
                <w:szCs w:val="28"/>
              </w:rPr>
              <w:t>①</w:t>
            </w:r>
            <w:r>
              <w:rPr>
                <w:rFonts w:hint="eastAsia"/>
                <w:color w:val="auto"/>
                <w:sz w:val="20"/>
              </w:rPr>
              <w:t>按招标文件第</w:t>
            </w:r>
            <w:r>
              <w:rPr>
                <w:color w:val="auto"/>
                <w:sz w:val="20"/>
              </w:rPr>
              <w:t>3</w:t>
            </w:r>
            <w:r>
              <w:rPr>
                <w:rFonts w:hint="eastAsia"/>
                <w:color w:val="auto"/>
                <w:sz w:val="20"/>
              </w:rPr>
              <w:t>章的内容及要求提供书面声明材料</w:t>
            </w:r>
            <w:r>
              <w:rPr>
                <w:rFonts w:hint="eastAsia" w:ascii="宋体" w:hAnsi="宋体"/>
                <w:color w:val="auto"/>
                <w:sz w:val="20"/>
                <w:szCs w:val="28"/>
              </w:rPr>
              <w:t>；②供应商未处于被行政部门禁止参与政府采购活动的期限内。</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在行贿犯罪信息查询期限内，投标人及其现任法定代表人、主要负责人没有行贿犯罪记录的书面声明材料。【说明：</w:t>
            </w:r>
            <w:r>
              <w:rPr>
                <w:rFonts w:hint="eastAsia" w:ascii="宋体" w:hAnsi="宋体"/>
                <w:color w:val="auto"/>
                <w:sz w:val="20"/>
                <w:szCs w:val="28"/>
              </w:rPr>
              <w:t>①</w:t>
            </w:r>
            <w:r>
              <w:rPr>
                <w:rFonts w:hint="eastAsia"/>
                <w:color w:val="auto"/>
                <w:sz w:val="20"/>
              </w:rPr>
              <w:t>按招标文件第</w:t>
            </w:r>
            <w:r>
              <w:rPr>
                <w:color w:val="auto"/>
                <w:sz w:val="20"/>
              </w:rPr>
              <w:t>3</w:t>
            </w:r>
            <w:r>
              <w:rPr>
                <w:rFonts w:hint="eastAsia"/>
                <w:color w:val="auto"/>
                <w:sz w:val="20"/>
              </w:rPr>
              <w:t>章的内容及要求提供书面声明材料，投标文件中不需提供中国裁判文书网（</w:t>
            </w:r>
            <w:r>
              <w:rPr>
                <w:color w:val="auto"/>
                <w:sz w:val="20"/>
              </w:rPr>
              <w:t>https://wenshu.court.gov.cn</w:t>
            </w:r>
            <w:r>
              <w:rPr>
                <w:rFonts w:hint="eastAsia"/>
                <w:color w:val="auto"/>
                <w:sz w:val="20"/>
              </w:rPr>
              <w:t>）查询结果的证明材料；</w:t>
            </w:r>
            <w:r>
              <w:rPr>
                <w:rFonts w:hint="eastAsia" w:ascii="宋体" w:hAnsi="宋体"/>
                <w:color w:val="auto"/>
                <w:sz w:val="20"/>
                <w:szCs w:val="28"/>
              </w:rPr>
              <w:t>②在行贿犯罪信息查询期限内，供应商及其现任法定代表人、主要负责人没有行贿犯罪记录</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单位负责人为同一人或者存在直接控股、管理关系的不同供应商，不得参加同一项目的投标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负责人为同一人或者存在直接控股、管理关系的</w:t>
            </w:r>
            <w:r>
              <w:rPr>
                <w:rFonts w:hint="eastAsia"/>
                <w:color w:val="auto"/>
                <w:sz w:val="20"/>
              </w:rPr>
              <w:t>不同投标人</w:t>
            </w:r>
            <w:r>
              <w:rPr>
                <w:color w:val="auto"/>
                <w:sz w:val="20"/>
              </w:rPr>
              <w:t>未同时参加本项目书面声明材料。【说明：</w:t>
            </w:r>
            <w:r>
              <w:rPr>
                <w:rFonts w:hint="eastAsia"/>
                <w:color w:val="auto"/>
                <w:sz w:val="20"/>
              </w:rPr>
              <w:t>①</w:t>
            </w:r>
            <w:r>
              <w:rPr>
                <w:color w:val="auto"/>
                <w:sz w:val="20"/>
              </w:rPr>
              <w:t>按</w:t>
            </w:r>
            <w:r>
              <w:rPr>
                <w:rFonts w:hint="eastAsia"/>
                <w:color w:val="auto"/>
                <w:sz w:val="20"/>
              </w:rPr>
              <w:t>招标</w:t>
            </w:r>
            <w:r>
              <w:rPr>
                <w:color w:val="auto"/>
                <w:sz w:val="20"/>
              </w:rPr>
              <w:t>文件3.2.2声明内容提供书面声明材料；</w:t>
            </w:r>
            <w:r>
              <w:rPr>
                <w:rFonts w:hint="eastAsia"/>
                <w:color w:val="auto"/>
                <w:sz w:val="20"/>
              </w:rPr>
              <w:t>②</w:t>
            </w:r>
            <w:r>
              <w:rPr>
                <w:color w:val="auto"/>
                <w:sz w:val="20"/>
              </w:rPr>
              <w:t>参加本项目采购活动的</w:t>
            </w:r>
            <w:r>
              <w:rPr>
                <w:rFonts w:hint="eastAsia"/>
                <w:color w:val="auto"/>
                <w:sz w:val="20"/>
              </w:rPr>
              <w:t>投标人</w:t>
            </w:r>
            <w:r>
              <w:rPr>
                <w:color w:val="auto"/>
                <w:sz w:val="20"/>
              </w:rPr>
              <w:t>中无与其他同时参加本项目的</w:t>
            </w:r>
            <w:r>
              <w:rPr>
                <w:rFonts w:hint="eastAsia"/>
                <w:color w:val="auto"/>
                <w:sz w:val="20"/>
              </w:rPr>
              <w:t>投标人</w:t>
            </w:r>
            <w:r>
              <w:rPr>
                <w:color w:val="auto"/>
                <w:sz w:val="20"/>
              </w:rPr>
              <w:t>负责人为同一人的情况，不存在直接控股、管理关系的</w:t>
            </w:r>
            <w:r>
              <w:rPr>
                <w:rFonts w:hint="eastAsia"/>
                <w:color w:val="auto"/>
                <w:sz w:val="20"/>
              </w:rPr>
              <w:t>投标人</w:t>
            </w:r>
            <w:r>
              <w:rPr>
                <w:color w:val="auto"/>
                <w:sz w:val="20"/>
              </w:rPr>
              <w:t>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Borders>
              <w:left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3</w:t>
            </w:r>
          </w:p>
        </w:tc>
        <w:tc>
          <w:tcPr>
            <w:tcW w:w="444" w:type="dxa"/>
            <w:vMerge w:val="restart"/>
            <w:tcBorders>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其他</w:t>
            </w: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采购人对投标人履行合同所必须的设备和专业技术能力无其他特殊要求，投标人</w:t>
            </w:r>
            <w:r>
              <w:rPr>
                <w:rFonts w:hint="eastAsia" w:ascii="宋体" w:hAnsi="宋体"/>
                <w:color w:val="auto"/>
                <w:sz w:val="20"/>
                <w:szCs w:val="28"/>
              </w:rPr>
              <w:t>可不提供证明材料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采购人对法律、行政法规规定的其他条件无其他特殊要求，投标人</w:t>
            </w:r>
            <w:r>
              <w:rPr>
                <w:rFonts w:hint="eastAsia" w:ascii="宋体" w:hAnsi="宋体"/>
                <w:color w:val="auto"/>
                <w:sz w:val="20"/>
                <w:szCs w:val="28"/>
              </w:rPr>
              <w:t>可不提供证明材料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、根据招标文件的要求不属于禁止参加投标或投标无效的供应商；</w:t>
            </w:r>
          </w:p>
          <w:p>
            <w:pPr>
              <w:tabs>
                <w:tab w:val="left" w:pos="851"/>
              </w:tabs>
              <w:spacing w:line="360" w:lineRule="auto"/>
              <w:rPr>
                <w:color w:val="auto"/>
                <w:sz w:val="20"/>
              </w:rPr>
            </w:pPr>
            <w:r>
              <w:rPr>
                <w:color w:val="auto"/>
                <w:sz w:val="20"/>
              </w:rPr>
              <w:t>2</w:t>
            </w:r>
            <w:r>
              <w:rPr>
                <w:rFonts w:hint="eastAsia"/>
                <w:color w:val="auto"/>
                <w:sz w:val="20"/>
              </w:rPr>
              <w:t>、资格审查小组未发现或者未知晓投标人存在属于国家相关法律法规规定的禁止参加投标或投标无效的供应商。</w:t>
            </w:r>
          </w:p>
          <w:p>
            <w:pPr>
              <w:tabs>
                <w:tab w:val="left" w:pos="851"/>
              </w:tabs>
              <w:spacing w:line="360" w:lineRule="auto"/>
              <w:rPr>
                <w:color w:val="auto"/>
                <w:sz w:val="20"/>
              </w:rPr>
            </w:pP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资质要求</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44"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投标文件资格响应文件的语言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2" w:type="dxa"/>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4</w:t>
            </w:r>
          </w:p>
        </w:tc>
        <w:tc>
          <w:tcPr>
            <w:tcW w:w="2191"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投标文件资格响应</w:t>
            </w:r>
            <w:r>
              <w:rPr>
                <w:color w:val="auto"/>
                <w:sz w:val="20"/>
              </w:rPr>
              <w:t>文件</w:t>
            </w:r>
            <w:r>
              <w:rPr>
                <w:rFonts w:hint="eastAsia"/>
                <w:color w:val="auto"/>
                <w:sz w:val="20"/>
              </w:rPr>
              <w:t>组成</w:t>
            </w:r>
          </w:p>
        </w:tc>
        <w:tc>
          <w:tcPr>
            <w:tcW w:w="5943" w:type="dxa"/>
            <w:tcBorders>
              <w:top w:val="single" w:color="auto" w:sz="2" w:space="0"/>
              <w:left w:val="single" w:color="auto" w:sz="2" w:space="0"/>
              <w:bottom w:val="single" w:color="auto" w:sz="2" w:space="0"/>
              <w:right w:val="single" w:color="auto" w:sz="2" w:space="0"/>
            </w:tcBorders>
            <w:vAlign w:val="center"/>
          </w:tcPr>
          <w:p>
            <w:pPr>
              <w:rPr>
                <w:color w:val="auto"/>
              </w:rPr>
            </w:pPr>
            <w:r>
              <w:rPr>
                <w:rFonts w:hint="eastAsia" w:ascii="宋体" w:hAnsi="宋体"/>
                <w:color w:val="auto"/>
                <w:sz w:val="20"/>
                <w:szCs w:val="28"/>
              </w:rPr>
              <w:t>符合招标文件“</w:t>
            </w:r>
            <w:r>
              <w:rPr>
                <w:rFonts w:ascii="宋体" w:hAnsi="宋体"/>
                <w:color w:val="auto"/>
                <w:sz w:val="20"/>
                <w:szCs w:val="28"/>
              </w:rPr>
              <w:t>2.4.</w:t>
            </w:r>
            <w:r>
              <w:rPr>
                <w:rFonts w:hint="eastAsia" w:ascii="宋体" w:hAnsi="宋体"/>
                <w:color w:val="auto"/>
                <w:sz w:val="20"/>
                <w:szCs w:val="28"/>
              </w:rPr>
              <w:t>6投标</w:t>
            </w:r>
            <w:r>
              <w:rPr>
                <w:rFonts w:ascii="宋体" w:hAnsi="宋体"/>
                <w:color w:val="auto"/>
                <w:sz w:val="20"/>
                <w:szCs w:val="28"/>
              </w:rPr>
              <w:t>文件的组成”规定要求。</w:t>
            </w:r>
            <w:r>
              <w:rPr>
                <w:rFonts w:hint="eastAsia" w:ascii="宋体" w:hAnsi="宋体"/>
                <w:color w:val="auto"/>
                <w:sz w:val="20"/>
                <w:szCs w:val="28"/>
              </w:rPr>
              <w:t>【说明：投标人按招标文件3.2.1关于投标人申明的</w:t>
            </w:r>
            <w:r>
              <w:rPr>
                <w:rFonts w:hint="eastAsia"/>
                <w:color w:val="auto"/>
                <w:sz w:val="20"/>
              </w:rPr>
              <w:t>内容</w:t>
            </w:r>
            <w:r>
              <w:rPr>
                <w:rFonts w:hint="eastAsia" w:ascii="宋体" w:hAnsi="宋体"/>
                <w:color w:val="auto"/>
                <w:sz w:val="20"/>
                <w:szCs w:val="28"/>
              </w:rPr>
              <w:t>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5</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单位参加</w:t>
            </w:r>
            <w:r>
              <w:rPr>
                <w:rFonts w:hint="eastAsia"/>
                <w:color w:val="auto"/>
                <w:sz w:val="20"/>
                <w:highlight w:val="none"/>
                <w:lang w:eastAsia="zh-CN"/>
              </w:rPr>
              <w:t>投标</w:t>
            </w:r>
            <w:r>
              <w:rPr>
                <w:rFonts w:hint="eastAsia"/>
                <w:color w:val="auto"/>
                <w:sz w:val="20"/>
                <w:highlight w:val="none"/>
              </w:rPr>
              <w:t>：至</w:t>
            </w:r>
            <w:r>
              <w:rPr>
                <w:rFonts w:hint="eastAsia"/>
                <w:color w:val="auto"/>
                <w:sz w:val="20"/>
                <w:highlight w:val="none"/>
                <w:lang w:eastAsia="zh-CN"/>
              </w:rPr>
              <w:t>投标</w:t>
            </w:r>
            <w:r>
              <w:rPr>
                <w:rFonts w:hint="eastAsia"/>
                <w:color w:val="auto"/>
                <w:sz w:val="20"/>
                <w:highlight w:val="none"/>
              </w:rPr>
              <w:t>文件递交截止时间成立1年以上的单位提供2020年的经审计的财务报告或财务报表（可以不审计，但须包括资产负债表）的复印件，成立不足1年的单位可提供财务管理制度或任意一月及以上的财务报表（可以不审计，但须包括资产负债表）；也可提供银行资信证明。自然人参加</w:t>
            </w:r>
            <w:r>
              <w:rPr>
                <w:rFonts w:hint="eastAsia"/>
                <w:color w:val="auto"/>
                <w:sz w:val="20"/>
                <w:highlight w:val="none"/>
                <w:lang w:eastAsia="zh-CN"/>
              </w:rPr>
              <w:t>投标</w:t>
            </w:r>
            <w:r>
              <w:rPr>
                <w:rFonts w:hint="eastAsia"/>
                <w:color w:val="auto"/>
                <w:sz w:val="20"/>
                <w:highlight w:val="none"/>
              </w:rPr>
              <w:t>：提供中国人民银行征信中心出具的个人征信情况</w:t>
            </w:r>
            <w:r>
              <w:rPr>
                <w:rFonts w:hint="eastAsia"/>
                <w:color w:val="auto"/>
                <w:sz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6</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7</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8</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本项目为专门面向中小企业采购项目，投标人提供的货物全部由符合政策要求的中小企业制造（说明：监狱企业、残疾人福利性单位视同小型、微型企业）</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中小企业声明函或残疾人福利性单位声明函或投标产品制造商属于监狱企业的证明文件复印件【说明：（1）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2）投标人投标产品全部由采购标的以及其所属行业的中型企业、小型企业、微型企业制造；（3）残疾人福利性单位、监狱企业视同为小型微型企业。】。</w:t>
            </w:r>
          </w:p>
        </w:tc>
      </w:tr>
    </w:tbl>
    <w:p>
      <w:pPr>
        <w:tabs>
          <w:tab w:val="left" w:pos="851"/>
        </w:tabs>
        <w:spacing w:line="360" w:lineRule="auto"/>
        <w:rPr>
          <w:rFonts w:ascii="宋体" w:hAnsi="宋体"/>
          <w:color w:val="auto"/>
          <w:sz w:val="28"/>
          <w:szCs w:val="28"/>
        </w:rPr>
      </w:pP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将通知投标人（以短信、现场公示、电话、“政府采购云平台”等任一方式）。投标人如对资格审查结论有异议的，应及时向</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反馈意见。</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将及时告知资格审查小组。（说明：无论投标人是否收到通知或提供反馈意见，均不影响资格审查和评标工作，且</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四、通过资格性审查的供应商＜3名，采购失败。</w:t>
      </w:r>
    </w:p>
    <w:p>
      <w:pPr>
        <w:tabs>
          <w:tab w:val="left" w:pos="851"/>
        </w:tabs>
        <w:spacing w:line="360" w:lineRule="auto"/>
        <w:ind w:firstLine="565" w:firstLineChars="202"/>
        <w:rPr>
          <w:rFonts w:ascii="宋体" w:hAnsi="宋体"/>
          <w:color w:val="auto"/>
          <w:sz w:val="28"/>
          <w:szCs w:val="28"/>
        </w:rPr>
      </w:pPr>
    </w:p>
    <w:p>
      <w:pPr>
        <w:tabs>
          <w:tab w:val="left" w:pos="851"/>
        </w:tabs>
        <w:spacing w:line="360" w:lineRule="auto"/>
        <w:rPr>
          <w:rFonts w:ascii="宋体" w:hAnsi="宋体"/>
          <w:color w:val="auto"/>
          <w:sz w:val="28"/>
          <w:szCs w:val="28"/>
        </w:rPr>
      </w:pPr>
    </w:p>
    <w:p>
      <w:pPr>
        <w:widowControl/>
        <w:jc w:val="left"/>
        <w:rPr>
          <w:rFonts w:ascii="宋体" w:hAnsi="宋体"/>
          <w:b/>
          <w:bCs/>
          <w:color w:val="auto"/>
          <w:spacing w:val="-20"/>
          <w:kern w:val="44"/>
          <w:sz w:val="32"/>
          <w:szCs w:val="32"/>
        </w:rPr>
      </w:pPr>
      <w:r>
        <w:rPr>
          <w:rFonts w:ascii="宋体" w:hAnsi="宋体"/>
          <w:b/>
          <w:bCs/>
          <w:color w:val="auto"/>
          <w:spacing w:val="-20"/>
          <w:kern w:val="44"/>
          <w:sz w:val="32"/>
          <w:szCs w:val="32"/>
        </w:rPr>
        <w:br w:type="page"/>
      </w:r>
    </w:p>
    <w:p>
      <w:pPr>
        <w:keepNext/>
        <w:keepLines/>
        <w:numPr>
          <w:ilvl w:val="0"/>
          <w:numId w:val="6"/>
        </w:numPr>
        <w:spacing w:line="360" w:lineRule="auto"/>
        <w:ind w:left="0" w:firstLine="0"/>
        <w:jc w:val="center"/>
        <w:outlineLvl w:val="0"/>
        <w:rPr>
          <w:rFonts w:ascii="宋体" w:hAnsi="宋体"/>
          <w:b/>
          <w:bCs/>
          <w:color w:val="auto"/>
          <w:spacing w:val="-20"/>
          <w:kern w:val="44"/>
          <w:sz w:val="32"/>
          <w:szCs w:val="32"/>
        </w:rPr>
      </w:pPr>
      <w:bookmarkStart w:id="294" w:name="_Toc27738"/>
      <w:bookmarkStart w:id="295" w:name="_Toc12537"/>
      <w:bookmarkStart w:id="296" w:name="_Toc15305"/>
      <w:bookmarkStart w:id="297" w:name="_Toc86665565"/>
      <w:r>
        <w:rPr>
          <w:rFonts w:hint="eastAsia" w:ascii="宋体" w:hAnsi="宋体"/>
          <w:b/>
          <w:bCs/>
          <w:color w:val="auto"/>
          <w:spacing w:val="-20"/>
          <w:kern w:val="44"/>
          <w:sz w:val="32"/>
          <w:szCs w:val="32"/>
        </w:rPr>
        <w:t>评标办法</w:t>
      </w:r>
      <w:bookmarkEnd w:id="294"/>
      <w:bookmarkEnd w:id="295"/>
      <w:bookmarkEnd w:id="296"/>
      <w:bookmarkEnd w:id="297"/>
    </w:p>
    <w:p>
      <w:pPr>
        <w:keepNext/>
        <w:keepLines/>
        <w:numPr>
          <w:ilvl w:val="1"/>
          <w:numId w:val="6"/>
        </w:numPr>
        <w:spacing w:line="360" w:lineRule="auto"/>
        <w:jc w:val="left"/>
        <w:outlineLvl w:val="1"/>
        <w:rPr>
          <w:rFonts w:ascii="宋体" w:hAnsi="宋体"/>
          <w:b/>
          <w:bCs/>
          <w:color w:val="auto"/>
          <w:sz w:val="28"/>
          <w:szCs w:val="28"/>
        </w:rPr>
      </w:pPr>
      <w:bookmarkStart w:id="298" w:name="_Toc86665566"/>
      <w:bookmarkStart w:id="299" w:name="_Toc9828"/>
      <w:bookmarkStart w:id="300" w:name="_Toc16417"/>
      <w:bookmarkStart w:id="301" w:name="_Toc20838"/>
      <w:r>
        <w:rPr>
          <w:rFonts w:hint="eastAsia" w:ascii="宋体" w:hAnsi="宋体"/>
          <w:b/>
          <w:bCs/>
          <w:color w:val="auto"/>
          <w:sz w:val="28"/>
          <w:szCs w:val="28"/>
        </w:rPr>
        <w:t>总则</w:t>
      </w:r>
      <w:bookmarkEnd w:id="298"/>
      <w:bookmarkEnd w:id="299"/>
      <w:bookmarkEnd w:id="300"/>
      <w:bookmarkEnd w:id="301"/>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负责组织，具体评标事务由采购人或</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依法组建的评标委员会负责。评标委员会由采购人代表和评审专家组成。</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熟悉和理解招标文件；</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对投标文件进行比较和评价；</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起草评标报告并进行签署；</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或者财政、监察等有关部门报告或举报非法干预评标工作的行为；</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向采购人、</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或者有关部门报告评标中发现的违法行为。</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法律、法规和规章规定的其他职责。</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评标委员会发现招标文件表述不明确或需要说明的事项，可提请采购人和</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书面解释说明。</w:t>
      </w:r>
    </w:p>
    <w:p>
      <w:pPr>
        <w:keepNext/>
        <w:keepLines/>
        <w:numPr>
          <w:ilvl w:val="1"/>
          <w:numId w:val="6"/>
        </w:numPr>
        <w:spacing w:line="360" w:lineRule="auto"/>
        <w:jc w:val="left"/>
        <w:outlineLvl w:val="1"/>
        <w:rPr>
          <w:rFonts w:ascii="宋体" w:hAnsi="宋体"/>
          <w:b/>
          <w:bCs/>
          <w:color w:val="auto"/>
          <w:sz w:val="28"/>
          <w:szCs w:val="28"/>
        </w:rPr>
      </w:pPr>
      <w:bookmarkStart w:id="302" w:name="_Toc30154"/>
      <w:bookmarkStart w:id="303" w:name="_Toc6926"/>
      <w:bookmarkStart w:id="304" w:name="_Toc15556"/>
      <w:bookmarkStart w:id="305" w:name="_Toc86665567"/>
      <w:r>
        <w:rPr>
          <w:rFonts w:hint="eastAsia" w:ascii="宋体" w:hAnsi="宋体"/>
          <w:b/>
          <w:bCs/>
          <w:color w:val="auto"/>
          <w:sz w:val="28"/>
          <w:szCs w:val="28"/>
        </w:rPr>
        <w:t>评标方法</w:t>
      </w:r>
      <w:bookmarkEnd w:id="302"/>
      <w:bookmarkEnd w:id="303"/>
      <w:bookmarkEnd w:id="304"/>
      <w:bookmarkEnd w:id="305"/>
    </w:p>
    <w:p>
      <w:pPr>
        <w:spacing w:line="360" w:lineRule="auto"/>
        <w:ind w:firstLine="565" w:firstLineChars="202"/>
        <w:rPr>
          <w:rFonts w:ascii="宋体" w:hAnsi="宋体"/>
          <w:color w:val="auto"/>
          <w:sz w:val="28"/>
          <w:szCs w:val="28"/>
        </w:rPr>
      </w:pPr>
      <w:r>
        <w:rPr>
          <w:rFonts w:hint="eastAsia" w:ascii="宋体" w:hAnsi="宋体"/>
          <w:color w:val="auto"/>
          <w:sz w:val="28"/>
          <w:szCs w:val="28"/>
        </w:rPr>
        <w:t>综合评分法。</w:t>
      </w:r>
    </w:p>
    <w:p>
      <w:pPr>
        <w:keepNext/>
        <w:keepLines/>
        <w:numPr>
          <w:ilvl w:val="1"/>
          <w:numId w:val="6"/>
        </w:numPr>
        <w:spacing w:line="360" w:lineRule="auto"/>
        <w:jc w:val="left"/>
        <w:outlineLvl w:val="1"/>
        <w:rPr>
          <w:rFonts w:ascii="宋体" w:hAnsi="宋体"/>
          <w:b/>
          <w:bCs/>
          <w:color w:val="auto"/>
          <w:sz w:val="28"/>
          <w:szCs w:val="28"/>
        </w:rPr>
      </w:pPr>
      <w:bookmarkStart w:id="306" w:name="_Toc32504"/>
      <w:bookmarkStart w:id="307" w:name="_Toc24860"/>
      <w:bookmarkStart w:id="308" w:name="_Toc19632"/>
      <w:bookmarkStart w:id="309" w:name="_Toc86665568"/>
      <w:r>
        <w:rPr>
          <w:rFonts w:hint="eastAsia" w:ascii="宋体" w:hAnsi="宋体"/>
          <w:b/>
          <w:bCs/>
          <w:color w:val="auto"/>
          <w:sz w:val="28"/>
          <w:szCs w:val="28"/>
        </w:rPr>
        <w:t>评标程序</w:t>
      </w:r>
      <w:bookmarkEnd w:id="306"/>
      <w:bookmarkEnd w:id="307"/>
      <w:bookmarkEnd w:id="308"/>
      <w:bookmarkEnd w:id="309"/>
    </w:p>
    <w:p>
      <w:pPr>
        <w:keepNext/>
        <w:keepLines/>
        <w:numPr>
          <w:ilvl w:val="2"/>
          <w:numId w:val="6"/>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符合性审查</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符合性审查标准见下表（按以下顺序审查）：</w:t>
      </w:r>
    </w:p>
    <w:tbl>
      <w:tblPr>
        <w:tblStyle w:val="41"/>
        <w:tblW w:w="91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143"/>
        <w:gridCol w:w="6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rPr>
            </w:pPr>
            <w:r>
              <w:rPr>
                <w:rFonts w:hint="eastAsia" w:ascii="宋体" w:hAnsi="宋体"/>
                <w:b/>
                <w:color w:val="auto"/>
                <w:sz w:val="24"/>
                <w:szCs w:val="28"/>
              </w:rPr>
              <w:t>序号</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auto"/>
                <w:sz w:val="24"/>
                <w:szCs w:val="28"/>
              </w:rPr>
            </w:pPr>
            <w:r>
              <w:rPr>
                <w:rFonts w:hint="eastAsia" w:ascii="宋体" w:hAnsi="宋体"/>
                <w:b/>
                <w:color w:val="auto"/>
                <w:sz w:val="24"/>
                <w:szCs w:val="28"/>
              </w:rPr>
              <w:t>符合性审查项</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auto"/>
                <w:sz w:val="24"/>
                <w:szCs w:val="28"/>
              </w:rPr>
            </w:pPr>
            <w:r>
              <w:rPr>
                <w:rFonts w:hint="eastAsia" w:ascii="宋体" w:hAnsi="宋体"/>
                <w:b/>
                <w:color w:val="auto"/>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1</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w:t>
            </w:r>
            <w:r>
              <w:rPr>
                <w:rFonts w:ascii="宋体" w:hAnsi="宋体"/>
                <w:color w:val="auto"/>
                <w:sz w:val="24"/>
                <w:szCs w:val="28"/>
              </w:rPr>
              <w:t>技术响应文件</w:t>
            </w:r>
            <w:r>
              <w:rPr>
                <w:rFonts w:hint="eastAsia" w:ascii="宋体" w:hAnsi="宋体"/>
                <w:color w:val="auto"/>
                <w:sz w:val="24"/>
                <w:szCs w:val="28"/>
              </w:rPr>
              <w:t>及</w:t>
            </w:r>
            <w:r>
              <w:rPr>
                <w:rFonts w:ascii="宋体" w:hAnsi="宋体"/>
                <w:color w:val="auto"/>
                <w:sz w:val="24"/>
                <w:szCs w:val="28"/>
              </w:rPr>
              <w:t>报价要求响应文件</w:t>
            </w:r>
            <w:r>
              <w:rPr>
                <w:rFonts w:hint="eastAsia" w:ascii="宋体" w:hAnsi="宋体"/>
                <w:color w:val="auto"/>
                <w:sz w:val="24"/>
                <w:szCs w:val="28"/>
              </w:rPr>
              <w:t>组成</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2</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w:t>
            </w:r>
            <w:r>
              <w:rPr>
                <w:rFonts w:ascii="宋体" w:hAnsi="宋体"/>
                <w:color w:val="auto"/>
                <w:sz w:val="24"/>
                <w:szCs w:val="28"/>
              </w:rPr>
              <w:t>技术响应文件</w:t>
            </w:r>
            <w:r>
              <w:rPr>
                <w:rFonts w:hint="eastAsia" w:ascii="宋体" w:hAnsi="宋体"/>
                <w:color w:val="auto"/>
                <w:sz w:val="24"/>
                <w:szCs w:val="28"/>
              </w:rPr>
              <w:t>、</w:t>
            </w:r>
            <w:r>
              <w:rPr>
                <w:rFonts w:ascii="宋体" w:hAnsi="宋体"/>
                <w:color w:val="auto"/>
                <w:sz w:val="24"/>
                <w:szCs w:val="28"/>
              </w:rPr>
              <w:t>报价要求响应文件</w:t>
            </w:r>
            <w:r>
              <w:rPr>
                <w:rFonts w:hint="eastAsia" w:ascii="宋体" w:hAnsi="宋体"/>
                <w:color w:val="auto"/>
                <w:sz w:val="24"/>
                <w:szCs w:val="28"/>
              </w:rPr>
              <w:t>的计量单位、语言、报价货币、投标有效期</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3</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投标报价</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开标一览表、</w:t>
            </w:r>
            <w:r>
              <w:rPr>
                <w:rFonts w:ascii="宋体" w:hAnsi="宋体"/>
                <w:color w:val="auto"/>
                <w:sz w:val="24"/>
                <w:szCs w:val="28"/>
              </w:rPr>
              <w:t>投标文件</w:t>
            </w:r>
            <w:r>
              <w:rPr>
                <w:rFonts w:hint="eastAsia" w:ascii="宋体" w:hAnsi="宋体"/>
                <w:color w:val="auto"/>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auto"/>
                <w:sz w:val="24"/>
                <w:szCs w:val="28"/>
              </w:rPr>
              <w:t>②</w:t>
            </w:r>
            <w:r>
              <w:rPr>
                <w:rFonts w:hint="eastAsia" w:ascii="宋体" w:hAnsi="宋体"/>
                <w:color w:val="auto"/>
                <w:sz w:val="24"/>
                <w:szCs w:val="28"/>
              </w:rPr>
              <w:t>单价金额小数点或者百分比有明显错位的，以总价为准，并修改单价；</w:t>
            </w:r>
            <w:r>
              <w:rPr>
                <w:rFonts w:hint="eastAsia" w:ascii="宋体" w:hAnsi="宋体" w:cs="宋体"/>
                <w:color w:val="auto"/>
                <w:sz w:val="24"/>
                <w:szCs w:val="28"/>
              </w:rPr>
              <w:t>③</w:t>
            </w:r>
            <w:r>
              <w:rPr>
                <w:rFonts w:hint="eastAsia" w:ascii="宋体" w:hAnsi="宋体"/>
                <w:color w:val="auto"/>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Pr>
                <w:rFonts w:ascii="宋体" w:hAnsi="宋体"/>
                <w:color w:val="auto"/>
                <w:sz w:val="24"/>
                <w:szCs w:val="28"/>
              </w:rPr>
              <w:t>5）如因断电、断网、系统故障或其他不可抗力等因素，导致系统无法使用的，由投标人按评标委员会的要求进行澄清或者说明</w:t>
            </w:r>
            <w:r>
              <w:rPr>
                <w:rFonts w:hint="eastAsia" w:ascii="宋体" w:hAnsi="宋体"/>
                <w:color w:val="auto"/>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4</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第4章打★号的技术、服务、商务和其他要求</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投标文件均实质性响应招标文件中加★号的技术、服务、商务和其他要求。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5</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进口产品</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6</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不属于禁止参加投标或投标无效的投标人</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（1）根据招标文件的要求不属于禁止参加投标或投标无效的投标人；</w:t>
            </w:r>
          </w:p>
          <w:p>
            <w:pPr>
              <w:tabs>
                <w:tab w:val="left" w:pos="851"/>
              </w:tabs>
              <w:spacing w:line="360" w:lineRule="auto"/>
              <w:rPr>
                <w:rFonts w:ascii="宋体" w:hAnsi="宋体"/>
                <w:color w:val="auto"/>
                <w:sz w:val="24"/>
                <w:szCs w:val="28"/>
              </w:rPr>
            </w:pPr>
            <w:r>
              <w:rPr>
                <w:rFonts w:hint="eastAsia" w:ascii="宋体" w:hAnsi="宋体"/>
                <w:color w:val="auto"/>
                <w:sz w:val="24"/>
                <w:szCs w:val="28"/>
              </w:rPr>
              <w:t>（2）评标委员会未发现或者未知晓投标人存在属于国家相关法律法规规定的禁止参加投标或投标无效的投标人。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7</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法定代表人或主要负责人身份证复印件或护照复印件</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eastAsia="zh-CN"/>
              </w:rPr>
            </w:pPr>
            <w:r>
              <w:rPr>
                <w:rFonts w:hint="eastAsia" w:ascii="宋体" w:hAnsi="宋体"/>
                <w:color w:val="auto"/>
                <w:sz w:val="24"/>
                <w:szCs w:val="28"/>
                <w:lang w:val="en-US" w:eastAsia="zh-CN"/>
              </w:rPr>
              <w:t>8</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除资格性审查要求的证明材料外，招标文件要求提供的其他证明材料</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rPr>
            </w:pPr>
            <w:r>
              <w:rPr>
                <w:rFonts w:hint="eastAsia"/>
                <w:color w:val="auto"/>
                <w:sz w:val="24"/>
              </w:rPr>
              <w:t>除资格性审查要求的证明材料外，招标文件要求提供的其他证明材料</w:t>
            </w:r>
            <w:r>
              <w:rPr>
                <w:rFonts w:hint="eastAsia"/>
                <w:color w:val="auto"/>
                <w:sz w:val="24"/>
                <w:lang w:eastAsia="zh-CN"/>
              </w:rPr>
              <w:t>（如有）</w:t>
            </w:r>
            <w:r>
              <w:rPr>
                <w:rFonts w:hint="eastAsia"/>
                <w:color w:val="auto"/>
                <w:sz w:val="24"/>
              </w:rPr>
              <w:t>。【说明：无须提供证明材料，上传空白页即可，不对本项上传的材料作符合性审查】</w:t>
            </w:r>
          </w:p>
        </w:tc>
      </w:tr>
    </w:tbl>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将通知投标人（以短信、现场公示、电话、 “政府采购云平台”等任一方式）。投标人如对评审结论有异议的，应及时向</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反馈意见。</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解释、澄清有关问题</w:t>
      </w:r>
    </w:p>
    <w:p>
      <w:pPr>
        <w:numPr>
          <w:ilvl w:val="0"/>
          <w:numId w:val="44"/>
        </w:numPr>
        <w:tabs>
          <w:tab w:val="left" w:pos="1134"/>
        </w:tabs>
        <w:spacing w:line="360" w:lineRule="auto"/>
        <w:ind w:left="0" w:firstLine="525"/>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书面解释。</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的解释不得改变招标文件的原义或者影响公平、公正，解释事项如果涉及投标人权益的以有利于投标人的原则进行解释。</w:t>
      </w:r>
    </w:p>
    <w:p>
      <w:pPr>
        <w:numPr>
          <w:ilvl w:val="0"/>
          <w:numId w:val="44"/>
        </w:numPr>
        <w:tabs>
          <w:tab w:val="left" w:pos="1134"/>
        </w:tabs>
        <w:spacing w:after="200" w:line="560" w:lineRule="exact"/>
        <w:ind w:left="0" w:firstLine="525"/>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4"/>
        </w:numPr>
        <w:tabs>
          <w:tab w:val="left" w:pos="1134"/>
        </w:tabs>
        <w:spacing w:line="360" w:lineRule="auto"/>
        <w:ind w:left="0" w:firstLine="525"/>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5"/>
        </w:numPr>
        <w:tabs>
          <w:tab w:val="left" w:pos="1260"/>
          <w:tab w:val="clear" w:pos="846"/>
        </w:tabs>
        <w:spacing w:line="360" w:lineRule="auto"/>
        <w:ind w:left="0" w:firstLine="525"/>
        <w:rPr>
          <w:rFonts w:ascii="宋体" w:hAnsi="宋体" w:cstheme="minorBidi"/>
          <w:color w:val="auto"/>
          <w:sz w:val="28"/>
          <w:szCs w:val="28"/>
        </w:rPr>
      </w:pPr>
      <w:r>
        <w:rPr>
          <w:rFonts w:hint="eastAsia" w:ascii="宋体" w:hAnsi="宋体" w:cstheme="minorBidi"/>
          <w:color w:val="auto"/>
          <w:sz w:val="28"/>
          <w:szCs w:val="28"/>
        </w:rPr>
        <w:t>投标人投标文件中不响应招标文件规定的技术参数指标和商务应答；</w:t>
      </w:r>
    </w:p>
    <w:p>
      <w:pPr>
        <w:numPr>
          <w:ilvl w:val="0"/>
          <w:numId w:val="45"/>
        </w:numPr>
        <w:tabs>
          <w:tab w:val="left" w:pos="1260"/>
        </w:tabs>
        <w:spacing w:line="360" w:lineRule="auto"/>
        <w:ind w:left="0" w:firstLine="525"/>
        <w:rPr>
          <w:rFonts w:ascii="宋体" w:hAnsi="宋体" w:cstheme="minorBidi"/>
          <w:color w:val="auto"/>
          <w:sz w:val="28"/>
          <w:szCs w:val="28"/>
        </w:rPr>
      </w:pPr>
      <w:r>
        <w:rPr>
          <w:rFonts w:hint="eastAsia" w:ascii="宋体" w:hAnsi="宋体" w:cstheme="minorBidi"/>
          <w:color w:val="auto"/>
          <w:sz w:val="28"/>
          <w:szCs w:val="28"/>
        </w:rPr>
        <w:t>投标人投标文件中未提供的证明其是否符合招标文件资格性、符合性规定要求的相关材料。</w:t>
      </w:r>
    </w:p>
    <w:p>
      <w:pPr>
        <w:numPr>
          <w:ilvl w:val="0"/>
          <w:numId w:val="45"/>
        </w:numPr>
        <w:tabs>
          <w:tab w:val="left" w:pos="993"/>
          <w:tab w:val="left" w:pos="1260"/>
          <w:tab w:val="clear" w:pos="846"/>
        </w:tabs>
        <w:spacing w:line="360" w:lineRule="auto"/>
        <w:ind w:left="0" w:firstLine="525"/>
        <w:rPr>
          <w:rFonts w:ascii="宋体" w:hAnsi="宋体" w:cstheme="minorBidi"/>
          <w:color w:val="auto"/>
          <w:sz w:val="28"/>
          <w:szCs w:val="28"/>
        </w:rPr>
      </w:pPr>
      <w:r>
        <w:rPr>
          <w:rFonts w:hint="eastAsia" w:ascii="宋体" w:hAnsi="宋体" w:cstheme="minorBidi"/>
          <w:color w:val="auto"/>
          <w:sz w:val="28"/>
          <w:szCs w:val="28"/>
        </w:rPr>
        <w:t>投标人投标文件中的材料因</w:t>
      </w:r>
      <w:r>
        <w:rPr>
          <w:rFonts w:hint="eastAsia" w:ascii="宋体" w:hAnsi="宋体" w:cstheme="minorBidi"/>
          <w:color w:val="auto"/>
          <w:sz w:val="28"/>
          <w:szCs w:val="28"/>
          <w:highlight w:val="none"/>
          <w:lang w:eastAsia="zh-CN"/>
        </w:rPr>
        <w:t>扫描上传</w:t>
      </w:r>
      <w:r>
        <w:rPr>
          <w:rFonts w:hint="eastAsia" w:ascii="宋体" w:hAnsi="宋体" w:cstheme="minorBidi"/>
          <w:color w:val="auto"/>
          <w:sz w:val="28"/>
          <w:szCs w:val="28"/>
        </w:rPr>
        <w:t>等不清晰而难以辨认的。</w:t>
      </w:r>
    </w:p>
    <w:p>
      <w:pPr>
        <w:numPr>
          <w:ilvl w:val="0"/>
          <w:numId w:val="44"/>
        </w:numPr>
        <w:tabs>
          <w:tab w:val="left" w:pos="1134"/>
        </w:tabs>
        <w:spacing w:line="360" w:lineRule="auto"/>
        <w:ind w:left="0" w:firstLine="525"/>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（二）大写金额和小写金额不一致的，以大写金额为准，但大写金额出现文字错误，导致金额无法判断的除外；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（三）单价金额小数点或者百分比有明显错位的，以总价为准，并修改单价；</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（四）总价金额与按单价汇总金额不一致的，以单价金额计算结果为准。</w:t>
      </w:r>
    </w:p>
    <w:p>
      <w:pPr>
        <w:spacing w:line="360" w:lineRule="auto"/>
        <w:ind w:firstLine="561"/>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tabs>
          <w:tab w:val="left" w:pos="720"/>
        </w:tabs>
        <w:spacing w:line="360" w:lineRule="auto"/>
        <w:ind w:firstLine="561"/>
        <w:rPr>
          <w:color w:val="auto"/>
          <w:sz w:val="28"/>
          <w:szCs w:val="28"/>
        </w:rPr>
      </w:pPr>
      <w:r>
        <w:rPr>
          <w:rFonts w:hint="eastAsia"/>
          <w:color w:val="auto"/>
          <w:sz w:val="28"/>
          <w:szCs w:val="28"/>
        </w:rPr>
        <w:t>五、对不同语言文本投标文件的解释发生异议的，以中文文本为准。</w:t>
      </w:r>
    </w:p>
    <w:p>
      <w:pPr>
        <w:tabs>
          <w:tab w:val="left" w:pos="720"/>
        </w:tabs>
        <w:spacing w:line="560" w:lineRule="exact"/>
        <w:ind w:firstLine="560" w:firstLineChars="200"/>
        <w:rPr>
          <w:color w:val="auto"/>
          <w:sz w:val="28"/>
          <w:szCs w:val="28"/>
        </w:rPr>
      </w:pPr>
      <w:r>
        <w:rPr>
          <w:rFonts w:hint="eastAsia"/>
          <w:color w:val="auto"/>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360" w:lineRule="auto"/>
        <w:ind w:firstLine="568" w:firstLineChars="202"/>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比较与评价</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按招标文件中规定的评标细则及标准，对符合性检查合格的投标文件进行商务和技术评估，综合比较和评价。</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numPr>
          <w:ilvl w:val="0"/>
          <w:numId w:val="46"/>
        </w:numPr>
        <w:tabs>
          <w:tab w:val="left" w:pos="851"/>
          <w:tab w:val="left" w:pos="1276"/>
        </w:tabs>
        <w:spacing w:line="360" w:lineRule="auto"/>
        <w:ind w:left="0" w:firstLine="424"/>
        <w:rPr>
          <w:rFonts w:ascii="宋体" w:hAnsi="宋体" w:cstheme="minorBidi"/>
          <w:color w:val="auto"/>
          <w:sz w:val="28"/>
          <w:szCs w:val="28"/>
        </w:rPr>
      </w:pPr>
      <w:r>
        <w:rPr>
          <w:rFonts w:hint="eastAsia" w:ascii="宋体" w:hAnsi="宋体" w:cstheme="minorBidi"/>
          <w:color w:val="auto"/>
          <w:sz w:val="28"/>
          <w:szCs w:val="28"/>
        </w:rPr>
        <w:t>分值汇总计算错误的；</w:t>
      </w:r>
    </w:p>
    <w:p>
      <w:pPr>
        <w:numPr>
          <w:ilvl w:val="0"/>
          <w:numId w:val="46"/>
        </w:numPr>
        <w:tabs>
          <w:tab w:val="left" w:pos="851"/>
          <w:tab w:val="left" w:pos="1276"/>
        </w:tabs>
        <w:spacing w:line="360" w:lineRule="auto"/>
        <w:ind w:left="0" w:firstLine="424"/>
        <w:rPr>
          <w:rFonts w:ascii="宋体" w:hAnsi="宋体" w:cstheme="minorBidi"/>
          <w:color w:val="auto"/>
          <w:sz w:val="28"/>
          <w:szCs w:val="28"/>
        </w:rPr>
      </w:pPr>
      <w:r>
        <w:rPr>
          <w:rFonts w:hint="eastAsia" w:ascii="宋体" w:hAnsi="宋体" w:cstheme="minorBidi"/>
          <w:color w:val="auto"/>
          <w:sz w:val="28"/>
          <w:szCs w:val="28"/>
        </w:rPr>
        <w:t>分项评分超出评分标准范围的；</w:t>
      </w:r>
    </w:p>
    <w:p>
      <w:pPr>
        <w:numPr>
          <w:ilvl w:val="0"/>
          <w:numId w:val="46"/>
        </w:numPr>
        <w:tabs>
          <w:tab w:val="left" w:pos="851"/>
          <w:tab w:val="left" w:pos="1276"/>
          <w:tab w:val="left" w:pos="1560"/>
        </w:tabs>
        <w:spacing w:line="360" w:lineRule="auto"/>
        <w:ind w:left="0" w:firstLine="424"/>
        <w:rPr>
          <w:rFonts w:ascii="宋体" w:hAnsi="宋体" w:cstheme="minorBidi"/>
          <w:color w:val="auto"/>
          <w:sz w:val="28"/>
          <w:szCs w:val="28"/>
        </w:rPr>
      </w:pPr>
      <w:r>
        <w:rPr>
          <w:rFonts w:hint="eastAsia" w:ascii="宋体" w:hAnsi="宋体" w:cstheme="minorBidi"/>
          <w:color w:val="auto"/>
          <w:sz w:val="28"/>
          <w:szCs w:val="28"/>
        </w:rPr>
        <w:t>评标委员会成员对客观评审因素评分不一致的；</w:t>
      </w:r>
    </w:p>
    <w:p>
      <w:pPr>
        <w:numPr>
          <w:ilvl w:val="0"/>
          <w:numId w:val="46"/>
        </w:numPr>
        <w:tabs>
          <w:tab w:val="left" w:pos="851"/>
          <w:tab w:val="left" w:pos="1276"/>
        </w:tabs>
        <w:spacing w:line="360" w:lineRule="auto"/>
        <w:ind w:left="0" w:firstLine="426"/>
        <w:rPr>
          <w:rFonts w:ascii="宋体" w:hAnsi="宋体" w:cstheme="minorBidi"/>
          <w:color w:val="auto"/>
          <w:sz w:val="28"/>
          <w:szCs w:val="28"/>
        </w:rPr>
      </w:pPr>
      <w:r>
        <w:rPr>
          <w:rFonts w:hint="eastAsia" w:ascii="宋体" w:hAnsi="宋体" w:cstheme="minorBidi"/>
          <w:color w:val="auto"/>
          <w:sz w:val="28"/>
          <w:szCs w:val="28"/>
        </w:rPr>
        <w:t>经评标委员会认定评分畸高、畸低的。</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确定中标候选人名单</w:t>
      </w:r>
    </w:p>
    <w:p>
      <w:pPr>
        <w:tabs>
          <w:tab w:val="left" w:pos="851"/>
        </w:tabs>
        <w:spacing w:line="360" w:lineRule="auto"/>
        <w:ind w:firstLine="565" w:firstLineChars="202"/>
        <w:rPr>
          <w:rFonts w:ascii="Helvetica" w:hAnsi="Helvetica" w:cs="Helvetica"/>
          <w:color w:val="auto"/>
          <w:kern w:val="0"/>
          <w:sz w:val="28"/>
          <w:szCs w:val="28"/>
        </w:rPr>
      </w:pPr>
      <w:r>
        <w:rPr>
          <w:rFonts w:hint="eastAsia" w:ascii="宋体" w:hAnsi="宋体"/>
          <w:color w:val="auto"/>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color w:val="auto"/>
          <w:kern w:val="0"/>
          <w:sz w:val="28"/>
          <w:szCs w:val="28"/>
        </w:rPr>
        <w:t>投标文件满足招标文件全部实质性要求，且按照评审因素的量化指标评审得分最高的投标人为排名第一的中标候选人。</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6"/>
        </w:numPr>
        <w:spacing w:before="240" w:line="360" w:lineRule="auto"/>
        <w:ind w:left="0" w:firstLine="0"/>
        <w:outlineLvl w:val="2"/>
        <w:rPr>
          <w:rFonts w:ascii="宋体" w:hAnsi="宋体"/>
          <w:b/>
          <w:bCs/>
          <w:color w:val="auto"/>
          <w:sz w:val="28"/>
          <w:szCs w:val="28"/>
        </w:rPr>
      </w:pPr>
      <w:r>
        <w:rPr>
          <w:rFonts w:hint="eastAsia" w:ascii="宋体" w:hAnsi="宋体"/>
          <w:b/>
          <w:bCs/>
          <w:color w:val="auto"/>
          <w:sz w:val="28"/>
          <w:szCs w:val="28"/>
        </w:rPr>
        <w:t>编写评标报告</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numPr>
          <w:ilvl w:val="0"/>
          <w:numId w:val="47"/>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招标公告刊登的媒体名称、开标日期和地点；</w:t>
      </w:r>
    </w:p>
    <w:p>
      <w:pPr>
        <w:numPr>
          <w:ilvl w:val="0"/>
          <w:numId w:val="47"/>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投标人名单和评标委员会成员名单；</w:t>
      </w:r>
    </w:p>
    <w:p>
      <w:pPr>
        <w:numPr>
          <w:ilvl w:val="0"/>
          <w:numId w:val="47"/>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评标方法和标准；</w:t>
      </w:r>
    </w:p>
    <w:p>
      <w:pPr>
        <w:numPr>
          <w:ilvl w:val="0"/>
          <w:numId w:val="47"/>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numPr>
          <w:ilvl w:val="0"/>
          <w:numId w:val="47"/>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numPr>
          <w:ilvl w:val="0"/>
          <w:numId w:val="47"/>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其他需要说明的情况，包括评标过程中投标人根据评标委员会要求进行的澄清、说明或者补正，评标委员会成员的更换等；</w:t>
      </w:r>
    </w:p>
    <w:p>
      <w:pPr>
        <w:numPr>
          <w:ilvl w:val="0"/>
          <w:numId w:val="47"/>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6"/>
        </w:numPr>
        <w:spacing w:line="360" w:lineRule="auto"/>
        <w:jc w:val="left"/>
        <w:outlineLvl w:val="1"/>
        <w:rPr>
          <w:rFonts w:ascii="宋体" w:hAnsi="宋体"/>
          <w:b/>
          <w:bCs/>
          <w:color w:val="auto"/>
          <w:sz w:val="28"/>
          <w:szCs w:val="28"/>
        </w:rPr>
      </w:pPr>
      <w:bookmarkStart w:id="310" w:name="_Toc28049"/>
      <w:bookmarkStart w:id="311" w:name="_Toc86665569"/>
      <w:bookmarkStart w:id="312" w:name="_Toc16117"/>
      <w:bookmarkStart w:id="313" w:name="_Toc7781"/>
      <w:r>
        <w:rPr>
          <w:rFonts w:hint="eastAsia" w:ascii="宋体" w:hAnsi="宋体"/>
          <w:b/>
          <w:bCs/>
          <w:color w:val="auto"/>
          <w:sz w:val="28"/>
          <w:szCs w:val="28"/>
        </w:rPr>
        <w:t>评标争议处理规则</w:t>
      </w:r>
      <w:bookmarkEnd w:id="310"/>
      <w:bookmarkEnd w:id="311"/>
      <w:bookmarkEnd w:id="312"/>
      <w:bookmarkEnd w:id="313"/>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书面反映。采购人或</w:t>
      </w:r>
      <w:r>
        <w:rPr>
          <w:rFonts w:hint="eastAsia" w:cs="Arial"/>
          <w:color w:val="auto"/>
          <w:sz w:val="28"/>
          <w:szCs w:val="28"/>
          <w:lang w:eastAsia="zh-CN"/>
        </w:rPr>
        <w:t>成都东部新区党工委管委会（成都市东部新城办）综合部</w:t>
      </w:r>
      <w:r>
        <w:rPr>
          <w:rFonts w:hint="eastAsia" w:ascii="宋体" w:hAnsi="宋体"/>
          <w:color w:val="auto"/>
          <w:sz w:val="28"/>
          <w:szCs w:val="28"/>
        </w:rPr>
        <w:t>收到书面反映后，应当书面报告采购项目同级财政部门依法处理。</w:t>
      </w:r>
    </w:p>
    <w:p>
      <w:pPr>
        <w:keepNext/>
        <w:keepLines/>
        <w:numPr>
          <w:ilvl w:val="1"/>
          <w:numId w:val="6"/>
        </w:numPr>
        <w:spacing w:line="360" w:lineRule="auto"/>
        <w:jc w:val="left"/>
        <w:outlineLvl w:val="1"/>
        <w:rPr>
          <w:rFonts w:ascii="宋体" w:hAnsi="宋体"/>
          <w:b/>
          <w:bCs/>
          <w:color w:val="auto"/>
          <w:sz w:val="28"/>
          <w:szCs w:val="28"/>
        </w:rPr>
      </w:pPr>
      <w:bookmarkStart w:id="314" w:name="_Toc15454"/>
      <w:bookmarkStart w:id="315" w:name="_Toc86665570"/>
      <w:bookmarkStart w:id="316" w:name="_Toc28794"/>
      <w:bookmarkStart w:id="317" w:name="_Toc31692"/>
      <w:r>
        <w:rPr>
          <w:rFonts w:hint="eastAsia" w:ascii="宋体" w:hAnsi="宋体"/>
          <w:b/>
          <w:bCs/>
          <w:color w:val="auto"/>
          <w:sz w:val="28"/>
          <w:szCs w:val="28"/>
        </w:rPr>
        <w:t>评标细则及标准</w:t>
      </w:r>
      <w:bookmarkEnd w:id="314"/>
      <w:bookmarkEnd w:id="315"/>
      <w:bookmarkEnd w:id="316"/>
      <w:bookmarkEnd w:id="317"/>
    </w:p>
    <w:p>
      <w:pPr>
        <w:numPr>
          <w:ilvl w:val="0"/>
          <w:numId w:val="48"/>
        </w:numPr>
        <w:tabs>
          <w:tab w:val="left" w:pos="1155"/>
        </w:tabs>
        <w:spacing w:after="200" w:line="360" w:lineRule="auto"/>
        <w:ind w:left="0" w:firstLine="567"/>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numPr>
          <w:ilvl w:val="0"/>
          <w:numId w:val="48"/>
        </w:numPr>
        <w:tabs>
          <w:tab w:val="left" w:pos="1155"/>
        </w:tabs>
        <w:spacing w:after="200" w:line="360" w:lineRule="auto"/>
        <w:ind w:left="0" w:firstLine="567"/>
        <w:rPr>
          <w:rFonts w:ascii="宋体" w:hAnsi="宋体"/>
          <w:color w:val="auto"/>
          <w:sz w:val="28"/>
          <w:szCs w:val="28"/>
        </w:rPr>
      </w:pPr>
      <w:r>
        <w:rPr>
          <w:rFonts w:hint="eastAsia" w:ascii="宋体" w:hAnsi="宋体"/>
          <w:color w:val="auto"/>
          <w:sz w:val="28"/>
          <w:szCs w:val="28"/>
        </w:rPr>
        <w:t>本次综合评分的因素是：价格、服务、商务等。</w:t>
      </w:r>
    </w:p>
    <w:p>
      <w:pPr>
        <w:numPr>
          <w:ilvl w:val="0"/>
          <w:numId w:val="48"/>
        </w:numPr>
        <w:tabs>
          <w:tab w:val="left" w:pos="1155"/>
        </w:tabs>
        <w:spacing w:after="200" w:line="360" w:lineRule="auto"/>
        <w:ind w:left="0" w:firstLine="525"/>
        <w:rPr>
          <w:rFonts w:ascii="宋体" w:hAnsi="宋体"/>
          <w:color w:val="auto"/>
          <w:sz w:val="28"/>
          <w:szCs w:val="28"/>
        </w:rPr>
      </w:pPr>
      <w:r>
        <w:rPr>
          <w:rFonts w:hint="eastAsia" w:ascii="宋体" w:hAnsi="宋体"/>
          <w:color w:val="auto"/>
          <w:sz w:val="28"/>
          <w:szCs w:val="28"/>
        </w:rPr>
        <w:t>评标委员会成员应依据招标文件规定的评分标准和方法独立打分。</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评分办法</w:t>
      </w:r>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widowControl/>
        <w:spacing w:line="360" w:lineRule="auto"/>
        <w:ind w:firstLine="560" w:firstLineChars="200"/>
        <w:rPr>
          <w:rFonts w:ascii="宋体" w:hAnsi="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kern w:val="0"/>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kern w:val="0"/>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kern w:val="0"/>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评分标准</w:t>
      </w:r>
    </w:p>
    <w:tbl>
      <w:tblPr>
        <w:tblStyle w:val="41"/>
        <w:tblW w:w="8519" w:type="dxa"/>
        <w:tblInd w:w="0" w:type="dxa"/>
        <w:tblLayout w:type="fixed"/>
        <w:tblCellMar>
          <w:top w:w="0" w:type="dxa"/>
          <w:left w:w="108" w:type="dxa"/>
          <w:bottom w:w="0" w:type="dxa"/>
          <w:right w:w="108" w:type="dxa"/>
        </w:tblCellMar>
      </w:tblPr>
      <w:tblGrid>
        <w:gridCol w:w="759"/>
        <w:gridCol w:w="1215"/>
        <w:gridCol w:w="840"/>
        <w:gridCol w:w="4680"/>
        <w:gridCol w:w="1025"/>
      </w:tblGrid>
      <w:tr>
        <w:tblPrEx>
          <w:tblCellMar>
            <w:top w:w="0" w:type="dxa"/>
            <w:left w:w="108" w:type="dxa"/>
            <w:bottom w:w="0" w:type="dxa"/>
            <w:right w:w="108" w:type="dxa"/>
          </w:tblCellMar>
        </w:tblPrEx>
        <w:trPr>
          <w:trHeight w:val="985" w:hRule="atLeast"/>
        </w:trPr>
        <w:tc>
          <w:tcPr>
            <w:tcW w:w="759"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序号</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评分因素及权重</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分值</w:t>
            </w:r>
          </w:p>
        </w:tc>
        <w:tc>
          <w:tcPr>
            <w:tcW w:w="4680"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评分标准</w:t>
            </w:r>
          </w:p>
        </w:tc>
        <w:tc>
          <w:tcPr>
            <w:tcW w:w="102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b/>
                <w:bCs/>
                <w:color w:val="auto"/>
                <w:sz w:val="24"/>
              </w:rPr>
            </w:pPr>
            <w:r>
              <w:rPr>
                <w:rFonts w:hint="eastAsia" w:ascii="宋体" w:hAnsi="宋体" w:eastAsia="宋体" w:cs="宋体"/>
                <w:b/>
                <w:bCs/>
                <w:color w:val="auto"/>
                <w:kern w:val="0"/>
                <w:sz w:val="24"/>
                <w:lang w:bidi="ar"/>
              </w:rPr>
              <w:t>说 明</w:t>
            </w:r>
          </w:p>
        </w:tc>
      </w:tr>
      <w:tr>
        <w:tblPrEx>
          <w:tblCellMar>
            <w:top w:w="0" w:type="dxa"/>
            <w:left w:w="108" w:type="dxa"/>
            <w:bottom w:w="0" w:type="dxa"/>
            <w:right w:w="108" w:type="dxa"/>
          </w:tblCellMar>
        </w:tblPrEx>
        <w:trPr>
          <w:trHeight w:val="1401" w:hRule="atLeast"/>
        </w:trPr>
        <w:tc>
          <w:tcPr>
            <w:tcW w:w="759"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报价30%</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30分</w:t>
            </w:r>
          </w:p>
        </w:tc>
        <w:tc>
          <w:tcPr>
            <w:tcW w:w="4680"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left"/>
              <w:textAlignment w:val="center"/>
              <w:rPr>
                <w:rFonts w:hint="eastAsia" w:ascii="宋体" w:hAnsi="宋体" w:eastAsia="宋体" w:cs="宋体"/>
                <w:color w:val="auto"/>
                <w:sz w:val="24"/>
              </w:rPr>
            </w:pPr>
            <w:r>
              <w:rPr>
                <w:rFonts w:hint="eastAsia" w:ascii="宋体" w:hAnsi="宋体" w:eastAsia="宋体" w:cs="宋体"/>
                <w:color w:val="auto"/>
                <w:sz w:val="24"/>
              </w:rPr>
              <w:t>以本次有效的最低投标报价为基准价，投标报价得分=(基准价／投标报价)* 30分×100%；</w:t>
            </w:r>
          </w:p>
        </w:tc>
        <w:tc>
          <w:tcPr>
            <w:tcW w:w="102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left"/>
              <w:textAlignment w:val="center"/>
              <w:rPr>
                <w:rFonts w:hint="eastAsia" w:ascii="宋体" w:hAnsi="宋体" w:eastAsia="宋体" w:cs="宋体"/>
                <w:color w:val="auto"/>
                <w:sz w:val="24"/>
              </w:rPr>
            </w:pPr>
            <w:r>
              <w:rPr>
                <w:rFonts w:hint="eastAsia" w:ascii="宋体" w:hAnsi="宋体" w:eastAsia="宋体" w:cs="宋体"/>
                <w:color w:val="auto"/>
                <w:sz w:val="24"/>
              </w:rPr>
              <w:t>共同评分因素</w:t>
            </w:r>
          </w:p>
        </w:tc>
      </w:tr>
      <w:tr>
        <w:tblPrEx>
          <w:tblCellMar>
            <w:top w:w="0" w:type="dxa"/>
            <w:left w:w="108" w:type="dxa"/>
            <w:bottom w:w="0" w:type="dxa"/>
            <w:right w:w="108" w:type="dxa"/>
          </w:tblCellMar>
        </w:tblPrEx>
        <w:trPr>
          <w:trHeight w:val="1401" w:hRule="atLeast"/>
        </w:trPr>
        <w:tc>
          <w:tcPr>
            <w:tcW w:w="759"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2</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技术要求</w:t>
            </w:r>
            <w:r>
              <w:rPr>
                <w:rFonts w:hint="eastAsia" w:ascii="宋体" w:hAnsi="宋体" w:eastAsia="宋体" w:cs="宋体"/>
                <w:color w:val="auto"/>
                <w:kern w:val="0"/>
                <w:sz w:val="24"/>
                <w:lang w:val="en-US" w:eastAsia="zh-CN" w:bidi="ar"/>
              </w:rPr>
              <w:t>40</w:t>
            </w:r>
            <w:r>
              <w:rPr>
                <w:rFonts w:hint="eastAsia" w:ascii="宋体" w:hAnsi="宋体" w:eastAsia="宋体" w:cs="宋体"/>
                <w:color w:val="auto"/>
                <w:kern w:val="0"/>
                <w:sz w:val="24"/>
                <w:lang w:bidi="ar"/>
              </w:rPr>
              <w:t>%</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val="en-US" w:eastAsia="zh-CN" w:bidi="ar"/>
              </w:rPr>
              <w:t>40</w:t>
            </w:r>
            <w:r>
              <w:rPr>
                <w:rFonts w:hint="eastAsia" w:ascii="宋体" w:hAnsi="宋体" w:eastAsia="宋体" w:cs="宋体"/>
                <w:color w:val="auto"/>
                <w:kern w:val="0"/>
                <w:sz w:val="24"/>
                <w:lang w:bidi="ar"/>
              </w:rPr>
              <w:t>分</w:t>
            </w:r>
          </w:p>
        </w:tc>
        <w:tc>
          <w:tcPr>
            <w:tcW w:w="4680"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left"/>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1、投标人投标产品技术参数完全符合招标文件技术要求的，得</w:t>
            </w:r>
            <w:r>
              <w:rPr>
                <w:rFonts w:hint="eastAsia" w:ascii="宋体" w:hAnsi="宋体" w:eastAsia="宋体" w:cs="宋体"/>
                <w:color w:val="auto"/>
                <w:kern w:val="0"/>
                <w:sz w:val="24"/>
                <w:lang w:val="en-US" w:eastAsia="zh-CN" w:bidi="ar"/>
              </w:rPr>
              <w:t>40</w:t>
            </w:r>
            <w:r>
              <w:rPr>
                <w:rFonts w:hint="eastAsia" w:ascii="宋体" w:hAnsi="宋体" w:eastAsia="宋体" w:cs="宋体"/>
                <w:color w:val="auto"/>
                <w:kern w:val="0"/>
                <w:sz w:val="24"/>
                <w:lang w:bidi="ar"/>
              </w:rPr>
              <w:t>分；</w:t>
            </w:r>
          </w:p>
          <w:p>
            <w:pPr>
              <w:widowControl/>
              <w:tabs>
                <w:tab w:val="left" w:pos="0"/>
              </w:tabs>
              <w:spacing w:line="360" w:lineRule="auto"/>
              <w:jc w:val="left"/>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其中带“</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”条款技术参数及要求响应得分=（投标人满足带“</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”条款技术参数的条款数量/带“</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”条款技术参数条款总数量）*</w:t>
            </w:r>
            <w:r>
              <w:rPr>
                <w:rFonts w:hint="eastAsia" w:ascii="宋体" w:hAnsi="宋体" w:eastAsia="宋体" w:cs="宋体"/>
                <w:color w:val="auto"/>
                <w:kern w:val="0"/>
                <w:sz w:val="24"/>
                <w:lang w:val="en-US" w:eastAsia="zh-CN" w:bidi="ar"/>
              </w:rPr>
              <w:t>30</w:t>
            </w:r>
            <w:r>
              <w:rPr>
                <w:rFonts w:hint="eastAsia" w:ascii="宋体" w:hAnsi="宋体" w:eastAsia="宋体" w:cs="宋体"/>
                <w:color w:val="auto"/>
                <w:kern w:val="0"/>
                <w:sz w:val="24"/>
                <w:lang w:bidi="ar"/>
              </w:rPr>
              <w:t>；</w:t>
            </w:r>
          </w:p>
          <w:p>
            <w:pPr>
              <w:widowControl/>
              <w:tabs>
                <w:tab w:val="left" w:pos="0"/>
              </w:tabs>
              <w:spacing w:line="360" w:lineRule="auto"/>
              <w:jc w:val="left"/>
              <w:textAlignment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不带“</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”条款技术参数及要求响应得分=（投标人满足不带“</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”条款技术参数的条款数量/不带“</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”条款技术参数条款总数量）*</w:t>
            </w:r>
            <w:r>
              <w:rPr>
                <w:rFonts w:hint="eastAsia" w:ascii="宋体" w:hAnsi="宋体" w:eastAsia="宋体" w:cs="宋体"/>
                <w:color w:val="auto"/>
                <w:kern w:val="0"/>
                <w:sz w:val="24"/>
                <w:lang w:val="en-US" w:eastAsia="zh-CN" w:bidi="ar"/>
              </w:rPr>
              <w:t>10</w:t>
            </w:r>
            <w:r>
              <w:rPr>
                <w:rFonts w:hint="eastAsia" w:ascii="宋体" w:hAnsi="宋体" w:eastAsia="宋体" w:cs="宋体"/>
                <w:color w:val="auto"/>
                <w:kern w:val="0"/>
                <w:sz w:val="24"/>
                <w:lang w:bidi="ar"/>
              </w:rPr>
              <w:t>；</w:t>
            </w:r>
          </w:p>
          <w:p>
            <w:pPr>
              <w:widowControl/>
              <w:tabs>
                <w:tab w:val="left" w:pos="0"/>
              </w:tabs>
              <w:spacing w:line="360" w:lineRule="auto"/>
              <w:jc w:val="left"/>
              <w:textAlignment w:val="center"/>
              <w:rPr>
                <w:rFonts w:hint="eastAsia" w:ascii="宋体" w:hAnsi="宋体" w:eastAsia="宋体" w:cs="宋体"/>
                <w:color w:val="auto"/>
                <w:sz w:val="24"/>
                <w:lang w:val="en-US" w:eastAsia="zh-CN"/>
              </w:rPr>
            </w:pPr>
            <w:r>
              <w:rPr>
                <w:rFonts w:hint="eastAsia" w:ascii="宋体" w:hAnsi="宋体" w:eastAsia="宋体" w:cs="宋体"/>
                <w:color w:val="auto"/>
                <w:kern w:val="0"/>
                <w:sz w:val="24"/>
                <w:lang w:bidi="ar"/>
              </w:rPr>
              <w:t>注：1.技术参数条款总数量为招标文件技术要求序号数量即</w:t>
            </w:r>
            <w:r>
              <w:rPr>
                <w:rFonts w:hint="eastAsia" w:ascii="宋体" w:hAnsi="宋体" w:eastAsia="宋体" w:cs="宋体"/>
                <w:color w:val="auto"/>
                <w:kern w:val="0"/>
                <w:sz w:val="24"/>
                <w:lang w:val="en-US" w:eastAsia="zh-CN" w:bidi="ar"/>
              </w:rPr>
              <w:t>73</w:t>
            </w:r>
            <w:r>
              <w:rPr>
                <w:rFonts w:hint="eastAsia" w:ascii="宋体" w:hAnsi="宋体" w:eastAsia="宋体" w:cs="宋体"/>
                <w:color w:val="auto"/>
                <w:kern w:val="0"/>
                <w:sz w:val="24"/>
                <w:lang w:bidi="ar"/>
              </w:rPr>
              <w:t>条；2.其中带“</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”条款（</w:t>
            </w:r>
            <w:r>
              <w:rPr>
                <w:rFonts w:hint="eastAsia" w:ascii="宋体" w:hAnsi="宋体" w:eastAsia="宋体" w:cs="宋体"/>
                <w:color w:val="auto"/>
                <w:kern w:val="0"/>
                <w:sz w:val="24"/>
                <w:lang w:val="en-US" w:eastAsia="zh-CN" w:bidi="ar"/>
              </w:rPr>
              <w:t>12</w:t>
            </w:r>
            <w:r>
              <w:rPr>
                <w:rFonts w:hint="eastAsia" w:ascii="宋体" w:hAnsi="宋体" w:eastAsia="宋体" w:cs="宋体"/>
                <w:color w:val="auto"/>
                <w:kern w:val="0"/>
                <w:sz w:val="24"/>
                <w:lang w:bidi="ar"/>
              </w:rPr>
              <w:t>条）</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3.不带“</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”条款</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val="en-US" w:eastAsia="zh-CN" w:bidi="ar"/>
              </w:rPr>
              <w:t>50</w:t>
            </w:r>
            <w:r>
              <w:rPr>
                <w:rFonts w:hint="eastAsia" w:ascii="宋体" w:hAnsi="宋体" w:eastAsia="宋体" w:cs="宋体"/>
                <w:color w:val="auto"/>
                <w:kern w:val="0"/>
                <w:sz w:val="24"/>
                <w:lang w:bidi="ar"/>
              </w:rPr>
              <w:t>条</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val="en-US" w:eastAsia="zh-CN" w:bidi="ar"/>
              </w:rPr>
              <w:t>4.带</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bidi="ar"/>
              </w:rPr>
              <w:t>条款</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val="en-US" w:eastAsia="zh-CN" w:bidi="ar"/>
              </w:rPr>
              <w:t>9条</w:t>
            </w:r>
            <w:r>
              <w:rPr>
                <w:rFonts w:hint="eastAsia" w:ascii="宋体" w:hAnsi="宋体" w:eastAsia="宋体" w:cs="宋体"/>
                <w:color w:val="auto"/>
                <w:kern w:val="0"/>
                <w:sz w:val="24"/>
                <w:lang w:eastAsia="zh-CN" w:bidi="ar"/>
              </w:rPr>
              <w:t>）</w:t>
            </w:r>
            <w:r>
              <w:rPr>
                <w:rFonts w:hint="eastAsia" w:ascii="宋体" w:hAnsi="宋体" w:eastAsia="宋体" w:cs="宋体"/>
                <w:color w:val="auto"/>
                <w:kern w:val="0"/>
                <w:sz w:val="24"/>
                <w:lang w:val="en-US" w:eastAsia="zh-CN" w:bidi="ar"/>
              </w:rPr>
              <w:t>为实质性要求，不允许负偏离。</w:t>
            </w:r>
          </w:p>
        </w:tc>
        <w:tc>
          <w:tcPr>
            <w:tcW w:w="102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left"/>
              <w:textAlignment w:val="center"/>
              <w:rPr>
                <w:rFonts w:hint="eastAsia" w:ascii="宋体" w:hAnsi="宋体" w:eastAsia="宋体" w:cs="宋体"/>
                <w:color w:val="auto"/>
                <w:sz w:val="24"/>
              </w:rPr>
            </w:pPr>
            <w:r>
              <w:rPr>
                <w:rFonts w:hint="eastAsia" w:ascii="宋体" w:hAnsi="宋体" w:eastAsia="宋体" w:cs="宋体"/>
                <w:color w:val="auto"/>
                <w:sz w:val="24"/>
              </w:rPr>
              <w:t>技术类评分因素</w:t>
            </w:r>
          </w:p>
        </w:tc>
      </w:tr>
      <w:tr>
        <w:tblPrEx>
          <w:tblCellMar>
            <w:top w:w="0" w:type="dxa"/>
            <w:left w:w="108" w:type="dxa"/>
            <w:bottom w:w="0" w:type="dxa"/>
            <w:right w:w="108" w:type="dxa"/>
          </w:tblCellMar>
        </w:tblPrEx>
        <w:trPr>
          <w:trHeight w:val="383" w:hRule="atLeast"/>
        </w:trPr>
        <w:tc>
          <w:tcPr>
            <w:tcW w:w="759"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lang w:eastAsia="zh-CN"/>
              </w:rPr>
            </w:pPr>
            <w:r>
              <w:rPr>
                <w:rFonts w:hint="eastAsia" w:ascii="宋体" w:hAnsi="宋体" w:eastAsia="宋体" w:cs="宋体"/>
                <w:color w:val="auto"/>
                <w:kern w:val="0"/>
                <w:sz w:val="24"/>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项目实施方案15%</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15分</w:t>
            </w:r>
          </w:p>
        </w:tc>
        <w:tc>
          <w:tcPr>
            <w:tcW w:w="4680"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根据投标人提供的项目实施方案进行综合评审，方案需包含：（1）项目运输配送及进度安排，（2）设备安装调试，（3）拟投入本项目人员配置及分工，（4）项目实施难点分析及解决方案，（5）项目质量及服务保障措施。方案内容完整，有具体详细的阐述，阐述逻辑严谨且符合项目实际的得</w:t>
            </w:r>
            <w:r>
              <w:rPr>
                <w:rFonts w:hint="eastAsia" w:ascii="宋体" w:hAnsi="宋体" w:eastAsia="宋体" w:cs="宋体"/>
                <w:color w:val="auto"/>
                <w:kern w:val="0"/>
                <w:sz w:val="24"/>
                <w:lang w:val="en-US" w:eastAsia="zh-CN" w:bidi="ar"/>
              </w:rPr>
              <w:t>1</w:t>
            </w:r>
            <w:r>
              <w:rPr>
                <w:rFonts w:hint="eastAsia" w:ascii="宋体" w:hAnsi="宋体" w:eastAsia="宋体" w:cs="宋体"/>
                <w:color w:val="auto"/>
                <w:kern w:val="0"/>
                <w:sz w:val="24"/>
                <w:lang w:bidi="ar"/>
              </w:rPr>
              <w:t>5分，每缺少一项方案内容</w:t>
            </w:r>
            <w:r>
              <w:rPr>
                <w:rFonts w:hint="eastAsia" w:ascii="宋体" w:hAnsi="宋体" w:eastAsia="宋体" w:cs="宋体"/>
                <w:color w:val="auto"/>
                <w:kern w:val="0"/>
                <w:sz w:val="24"/>
                <w:lang w:val="en-US" w:eastAsia="zh-CN" w:bidi="ar"/>
              </w:rPr>
              <w:t>或</w:t>
            </w:r>
            <w:r>
              <w:rPr>
                <w:rFonts w:hint="eastAsia" w:ascii="宋体" w:hAnsi="宋体" w:eastAsia="宋体" w:cs="宋体"/>
                <w:color w:val="auto"/>
                <w:kern w:val="0"/>
                <w:sz w:val="24"/>
                <w:lang w:bidi="ar"/>
              </w:rPr>
              <w:t>每有任意一项内容描述存在缺陷或</w:t>
            </w:r>
            <w:r>
              <w:rPr>
                <w:rFonts w:hint="eastAsia" w:ascii="宋体" w:hAnsi="宋体" w:eastAsia="宋体" w:cs="宋体"/>
                <w:color w:val="auto"/>
                <w:kern w:val="0"/>
                <w:sz w:val="24"/>
                <w:lang w:val="en-US" w:eastAsia="zh-CN" w:bidi="ar"/>
              </w:rPr>
              <w:t>不符合项目实际或前后不一致的</w:t>
            </w:r>
            <w:r>
              <w:rPr>
                <w:rFonts w:hint="eastAsia" w:ascii="宋体" w:hAnsi="宋体" w:eastAsia="宋体" w:cs="宋体"/>
                <w:color w:val="auto"/>
                <w:kern w:val="0"/>
                <w:sz w:val="24"/>
                <w:lang w:bidi="ar"/>
              </w:rPr>
              <w:t>扣</w:t>
            </w:r>
            <w:r>
              <w:rPr>
                <w:rFonts w:hint="eastAsia" w:ascii="宋体" w:hAnsi="宋体" w:eastAsia="宋体" w:cs="宋体"/>
                <w:color w:val="auto"/>
                <w:kern w:val="0"/>
                <w:sz w:val="24"/>
                <w:lang w:val="en-US" w:eastAsia="zh-CN" w:bidi="ar"/>
              </w:rPr>
              <w:t>3</w:t>
            </w:r>
            <w:r>
              <w:rPr>
                <w:rFonts w:hint="eastAsia" w:ascii="宋体" w:hAnsi="宋体" w:eastAsia="宋体" w:cs="宋体"/>
                <w:color w:val="auto"/>
                <w:kern w:val="0"/>
                <w:sz w:val="24"/>
                <w:lang w:bidi="ar"/>
              </w:rPr>
              <w:t>分，本项最多</w:t>
            </w:r>
            <w:r>
              <w:rPr>
                <w:rFonts w:hint="eastAsia" w:ascii="宋体" w:hAnsi="宋体" w:eastAsia="宋体" w:cs="宋体"/>
                <w:color w:val="auto"/>
                <w:kern w:val="0"/>
                <w:sz w:val="24"/>
                <w:lang w:val="en-US" w:eastAsia="zh-CN" w:bidi="ar"/>
              </w:rPr>
              <w:t>扣</w:t>
            </w:r>
            <w:r>
              <w:rPr>
                <w:rFonts w:hint="eastAsia" w:ascii="宋体" w:hAnsi="宋体" w:eastAsia="宋体" w:cs="宋体"/>
                <w:color w:val="auto"/>
                <w:kern w:val="0"/>
                <w:sz w:val="24"/>
                <w:lang w:bidi="ar"/>
              </w:rPr>
              <w:t>15分。未提供方案不得分。</w:t>
            </w:r>
          </w:p>
        </w:tc>
        <w:tc>
          <w:tcPr>
            <w:tcW w:w="102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left"/>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共同评分</w:t>
            </w:r>
          </w:p>
        </w:tc>
      </w:tr>
      <w:tr>
        <w:tblPrEx>
          <w:tblCellMar>
            <w:top w:w="0" w:type="dxa"/>
            <w:left w:w="108" w:type="dxa"/>
            <w:bottom w:w="0" w:type="dxa"/>
            <w:right w:w="108" w:type="dxa"/>
          </w:tblCellMar>
        </w:tblPrEx>
        <w:trPr>
          <w:trHeight w:val="1175" w:hRule="atLeast"/>
        </w:trPr>
        <w:tc>
          <w:tcPr>
            <w:tcW w:w="759"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lang w:eastAsia="zh-CN"/>
              </w:rPr>
            </w:pPr>
            <w:r>
              <w:rPr>
                <w:rFonts w:hint="eastAsia" w:ascii="宋体" w:hAnsi="宋体" w:eastAsia="宋体" w:cs="宋体"/>
                <w:color w:val="auto"/>
                <w:kern w:val="0"/>
                <w:sz w:val="24"/>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售后服务9%</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lang w:bidi="ar"/>
              </w:rPr>
              <w:t>9分</w:t>
            </w:r>
          </w:p>
        </w:tc>
        <w:tc>
          <w:tcPr>
            <w:tcW w:w="4680" w:type="dxa"/>
            <w:tcBorders>
              <w:top w:val="single" w:color="000000" w:sz="4" w:space="0"/>
              <w:left w:val="single" w:color="000000" w:sz="4" w:space="0"/>
              <w:bottom w:val="single" w:color="000000" w:sz="4" w:space="0"/>
              <w:right w:val="single" w:color="000000" w:sz="4" w:space="0"/>
            </w:tcBorders>
            <w:vAlign w:val="center"/>
          </w:tcPr>
          <w:p>
            <w:pPr>
              <w:pStyle w:val="2"/>
              <w:spacing w:line="360" w:lineRule="auto"/>
              <w:rPr>
                <w:rFonts w:hint="eastAsia" w:ascii="宋体" w:hAnsi="宋体" w:eastAsia="宋体" w:cs="宋体"/>
                <w:color w:val="auto"/>
              </w:rPr>
            </w:pPr>
            <w:r>
              <w:rPr>
                <w:rFonts w:hint="eastAsia" w:ascii="宋体" w:hAnsi="宋体" w:eastAsia="宋体" w:cs="宋体"/>
                <w:color w:val="auto"/>
                <w:kern w:val="0"/>
                <w:sz w:val="24"/>
                <w:szCs w:val="22"/>
                <w:lang w:val="en-US" w:eastAsia="zh-CN" w:bidi="ar"/>
              </w:rPr>
              <w:t>根据投标人所提供的售后服务方案进行综合评审，包含但不限于：①质量保障措施、②技术支持、③应急方案。方案内容完整，有具体详细的阐述，阐述逻辑严谨且符合项目实际的得9分，每缺少一项方案内容或每有任意一项内容描述存在缺陷或不符合项目实际或前后不一致的扣3分，本项最多扣9分。未提供方案不得分。</w:t>
            </w:r>
          </w:p>
        </w:tc>
        <w:tc>
          <w:tcPr>
            <w:tcW w:w="1025"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left"/>
              <w:rPr>
                <w:rFonts w:hint="eastAsia" w:ascii="宋体" w:hAnsi="宋体" w:eastAsia="宋体" w:cs="宋体"/>
                <w:color w:val="auto"/>
                <w:sz w:val="24"/>
              </w:rPr>
            </w:pPr>
            <w:r>
              <w:rPr>
                <w:rFonts w:hint="eastAsia" w:ascii="宋体" w:hAnsi="宋体" w:eastAsia="宋体" w:cs="宋体"/>
                <w:color w:val="auto"/>
                <w:sz w:val="24"/>
              </w:rPr>
              <w:t>共同评分因素</w:t>
            </w:r>
          </w:p>
        </w:tc>
      </w:tr>
      <w:tr>
        <w:tblPrEx>
          <w:tblCellMar>
            <w:top w:w="0" w:type="dxa"/>
            <w:left w:w="108" w:type="dxa"/>
            <w:bottom w:w="0" w:type="dxa"/>
            <w:right w:w="108" w:type="dxa"/>
          </w:tblCellMar>
        </w:tblPrEx>
        <w:trPr>
          <w:trHeight w:val="1175" w:hRule="atLeast"/>
        </w:trPr>
        <w:tc>
          <w:tcPr>
            <w:tcW w:w="759" w:type="dxa"/>
            <w:tcBorders>
              <w:top w:val="single" w:color="000000" w:sz="4" w:space="0"/>
              <w:left w:val="single" w:color="000000" w:sz="4" w:space="0"/>
              <w:bottom w:val="single" w:color="000000" w:sz="4" w:space="0"/>
              <w:right w:val="single" w:color="000000" w:sz="4" w:space="0"/>
            </w:tcBorders>
            <w:vAlign w:val="center"/>
          </w:tcPr>
          <w:p>
            <w:pPr>
              <w:widowControl/>
              <w:tabs>
                <w:tab w:val="left" w:pos="0"/>
              </w:tabs>
              <w:spacing w:line="360" w:lineRule="auto"/>
              <w:jc w:val="center"/>
              <w:textAlignment w:val="center"/>
              <w:rPr>
                <w:rFonts w:hint="eastAsia" w:ascii="宋体" w:hAnsi="宋体" w:eastAsia="宋体" w:cs="宋体"/>
                <w:color w:val="auto"/>
                <w:kern w:val="0"/>
                <w:sz w:val="24"/>
                <w:lang w:val="en-US" w:eastAsia="zh-CN" w:bidi="ar"/>
              </w:rPr>
            </w:pPr>
            <w:r>
              <w:rPr>
                <w:rFonts w:hint="eastAsia" w:ascii="宋体" w:hAnsi="宋体" w:eastAsia="宋体" w:cs="宋体"/>
                <w:color w:val="auto"/>
                <w:kern w:val="0"/>
                <w:sz w:val="24"/>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i w:val="0"/>
                <w:iCs w:val="0"/>
                <w:color w:val="auto"/>
                <w:kern w:val="0"/>
                <w:sz w:val="24"/>
                <w:szCs w:val="24"/>
              </w:rPr>
              <w:t>政策扶持</w:t>
            </w:r>
            <w:r>
              <w:rPr>
                <w:rFonts w:hint="eastAsia" w:ascii="宋体" w:hAnsi="宋体" w:eastAsia="宋体" w:cs="宋体"/>
                <w:i w:val="0"/>
                <w:iCs w:val="0"/>
                <w:color w:val="auto"/>
                <w:kern w:val="0"/>
                <w:sz w:val="24"/>
                <w:szCs w:val="24"/>
                <w:lang w:val="en-US" w:eastAsia="zh-CN"/>
              </w:rPr>
              <w:t>6</w:t>
            </w:r>
            <w:r>
              <w:rPr>
                <w:rFonts w:hint="eastAsia" w:ascii="宋体" w:hAnsi="宋体" w:eastAsia="宋体" w:cs="宋体"/>
                <w:i w:val="0"/>
                <w:iCs w:val="0"/>
                <w:color w:val="auto"/>
                <w:kern w:val="0"/>
                <w:sz w:val="24"/>
                <w:szCs w:val="24"/>
              </w:rPr>
              <w:t>%</w:t>
            </w:r>
          </w:p>
        </w:tc>
        <w:tc>
          <w:tcPr>
            <w:tcW w:w="84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6分</w:t>
            </w:r>
          </w:p>
        </w:tc>
        <w:tc>
          <w:tcPr>
            <w:tcW w:w="4680" w:type="dxa"/>
            <w:tcBorders>
              <w:top w:val="single" w:color="000000" w:sz="4" w:space="0"/>
              <w:left w:val="single" w:color="000000" w:sz="4" w:space="0"/>
              <w:bottom w:val="single" w:color="000000" w:sz="4" w:space="0"/>
              <w:right w:val="single" w:color="000000" w:sz="4" w:space="0"/>
            </w:tcBorders>
            <w:vAlign w:val="center"/>
          </w:tcPr>
          <w:p>
            <w:pPr>
              <w:pStyle w:val="2"/>
              <w:spacing w:line="360" w:lineRule="auto"/>
              <w:rPr>
                <w:rFonts w:hint="eastAsia" w:ascii="宋体" w:hAnsi="宋体" w:eastAsia="宋体" w:cs="宋体"/>
                <w:color w:val="auto"/>
                <w:kern w:val="0"/>
                <w:sz w:val="24"/>
              </w:rPr>
            </w:pPr>
            <w:r>
              <w:rPr>
                <w:rFonts w:hint="eastAsia" w:ascii="宋体" w:hAnsi="宋体" w:eastAsia="宋体" w:cs="宋体"/>
                <w:i w:val="0"/>
                <w:iCs w:val="0"/>
                <w:color w:val="auto"/>
                <w:kern w:val="0"/>
                <w:sz w:val="24"/>
                <w:szCs w:val="24"/>
                <w:lang w:eastAsia="zh-CN"/>
              </w:rPr>
              <w:t>供应商</w:t>
            </w:r>
            <w:r>
              <w:rPr>
                <w:rFonts w:hint="eastAsia" w:ascii="宋体" w:hAnsi="宋体" w:eastAsia="宋体" w:cs="宋体"/>
                <w:i w:val="0"/>
                <w:iCs w:val="0"/>
                <w:color w:val="auto"/>
                <w:kern w:val="0"/>
                <w:sz w:val="24"/>
                <w:szCs w:val="24"/>
              </w:rPr>
              <w:t>所投产品中每有一项属于节能产品政府采购品目清单中优先采购范围的得</w:t>
            </w:r>
            <w:r>
              <w:rPr>
                <w:rFonts w:hint="eastAsia" w:ascii="宋体" w:hAnsi="宋体" w:eastAsia="宋体" w:cs="宋体"/>
                <w:i w:val="0"/>
                <w:iCs w:val="0"/>
                <w:color w:val="auto"/>
                <w:kern w:val="0"/>
                <w:sz w:val="24"/>
                <w:szCs w:val="24"/>
                <w:lang w:val="en-US" w:eastAsia="zh-CN"/>
              </w:rPr>
              <w:t>1</w:t>
            </w:r>
            <w:r>
              <w:rPr>
                <w:rFonts w:hint="eastAsia" w:ascii="宋体" w:hAnsi="宋体" w:eastAsia="宋体" w:cs="宋体"/>
                <w:i w:val="0"/>
                <w:iCs w:val="0"/>
                <w:color w:val="auto"/>
                <w:kern w:val="0"/>
                <w:sz w:val="24"/>
                <w:szCs w:val="24"/>
              </w:rPr>
              <w:t>分；每有一项属于环境标志产品政府采购品目清单中优先采购范围的得</w:t>
            </w:r>
            <w:r>
              <w:rPr>
                <w:rFonts w:hint="eastAsia" w:ascii="宋体" w:hAnsi="宋体" w:eastAsia="宋体" w:cs="宋体"/>
                <w:i w:val="0"/>
                <w:iCs w:val="0"/>
                <w:color w:val="auto"/>
                <w:kern w:val="0"/>
                <w:sz w:val="24"/>
                <w:szCs w:val="24"/>
                <w:lang w:val="en-US" w:eastAsia="zh-CN"/>
              </w:rPr>
              <w:t>1</w:t>
            </w:r>
            <w:r>
              <w:rPr>
                <w:rFonts w:hint="eastAsia" w:ascii="宋体" w:hAnsi="宋体" w:eastAsia="宋体" w:cs="宋体"/>
                <w:i w:val="0"/>
                <w:iCs w:val="0"/>
                <w:color w:val="auto"/>
                <w:kern w:val="0"/>
                <w:sz w:val="24"/>
                <w:szCs w:val="24"/>
              </w:rPr>
              <w:t>分；本项最多得</w:t>
            </w:r>
            <w:r>
              <w:rPr>
                <w:rFonts w:hint="eastAsia" w:ascii="宋体" w:hAnsi="宋体" w:eastAsia="宋体" w:cs="宋体"/>
                <w:i w:val="0"/>
                <w:iCs w:val="0"/>
                <w:color w:val="auto"/>
                <w:kern w:val="0"/>
                <w:sz w:val="24"/>
                <w:szCs w:val="24"/>
                <w:lang w:val="en-US" w:eastAsia="zh-CN"/>
              </w:rPr>
              <w:t>6</w:t>
            </w:r>
            <w:r>
              <w:rPr>
                <w:rFonts w:hint="eastAsia" w:ascii="宋体" w:hAnsi="宋体" w:eastAsia="宋体" w:cs="宋体"/>
                <w:i w:val="0"/>
                <w:iCs w:val="0"/>
                <w:color w:val="auto"/>
                <w:kern w:val="0"/>
                <w:sz w:val="24"/>
                <w:szCs w:val="24"/>
              </w:rPr>
              <w:t>分。</w:t>
            </w:r>
            <w:r>
              <w:rPr>
                <w:rFonts w:hint="eastAsia" w:ascii="宋体" w:hAnsi="宋体" w:eastAsia="宋体" w:cs="宋体"/>
                <w:i w:val="0"/>
                <w:iCs w:val="0"/>
                <w:color w:val="auto"/>
                <w:kern w:val="0"/>
                <w:sz w:val="24"/>
                <w:szCs w:val="24"/>
              </w:rPr>
              <w:br w:type="textWrapping"/>
            </w:r>
            <w:r>
              <w:rPr>
                <w:rFonts w:hint="eastAsia" w:ascii="宋体" w:hAnsi="宋体" w:eastAsia="宋体" w:cs="宋体"/>
                <w:i w:val="0"/>
                <w:iCs w:val="0"/>
                <w:color w:val="auto"/>
                <w:kern w:val="0"/>
                <w:sz w:val="24"/>
                <w:szCs w:val="24"/>
              </w:rPr>
              <w:t>注：</w:t>
            </w:r>
            <w:r>
              <w:rPr>
                <w:rFonts w:hint="eastAsia" w:ascii="宋体" w:hAnsi="宋体" w:eastAsia="宋体" w:cs="宋体"/>
                <w:i w:val="0"/>
                <w:iCs w:val="0"/>
                <w:color w:val="auto"/>
                <w:kern w:val="0"/>
                <w:sz w:val="24"/>
                <w:szCs w:val="24"/>
              </w:rPr>
              <w:br w:type="textWrapping"/>
            </w:r>
            <w:r>
              <w:rPr>
                <w:rFonts w:hint="eastAsia" w:ascii="宋体" w:hAnsi="宋体" w:eastAsia="宋体" w:cs="宋体"/>
                <w:i w:val="0"/>
                <w:iCs w:val="0"/>
                <w:color w:val="auto"/>
                <w:kern w:val="0"/>
                <w:sz w:val="24"/>
                <w:szCs w:val="24"/>
              </w:rPr>
              <w:t>（1）可重复计分；</w:t>
            </w:r>
            <w:r>
              <w:rPr>
                <w:rFonts w:hint="eastAsia" w:ascii="宋体" w:hAnsi="宋体" w:eastAsia="宋体" w:cs="宋体"/>
                <w:i w:val="0"/>
                <w:iCs w:val="0"/>
                <w:color w:val="auto"/>
                <w:kern w:val="0"/>
                <w:sz w:val="24"/>
                <w:szCs w:val="24"/>
              </w:rPr>
              <w:br w:type="textWrapping"/>
            </w:r>
            <w:r>
              <w:rPr>
                <w:rFonts w:hint="eastAsia" w:ascii="宋体" w:hAnsi="宋体" w:eastAsia="宋体" w:cs="宋体"/>
                <w:i w:val="0"/>
                <w:iCs w:val="0"/>
                <w:color w:val="auto"/>
                <w:kern w:val="0"/>
                <w:sz w:val="24"/>
                <w:szCs w:val="24"/>
              </w:rPr>
              <w:t>（2）本项目采购的产品中属于节能产品政府采购品目清单中强制采购范围的，不属于本项评分范围。</w:t>
            </w:r>
            <w:r>
              <w:rPr>
                <w:rFonts w:hint="eastAsia" w:ascii="宋体" w:hAnsi="宋体" w:eastAsia="宋体" w:cs="宋体"/>
                <w:i w:val="0"/>
                <w:iCs w:val="0"/>
                <w:color w:val="auto"/>
                <w:kern w:val="0"/>
                <w:sz w:val="24"/>
                <w:szCs w:val="24"/>
              </w:rPr>
              <w:br w:type="textWrapping"/>
            </w:r>
            <w:r>
              <w:rPr>
                <w:rFonts w:hint="eastAsia" w:ascii="宋体" w:hAnsi="宋体" w:eastAsia="宋体" w:cs="宋体"/>
                <w:i w:val="0"/>
                <w:iCs w:val="0"/>
                <w:color w:val="auto"/>
                <w:kern w:val="0"/>
                <w:sz w:val="24"/>
                <w:szCs w:val="24"/>
              </w:rPr>
              <w:t>（3）供应商所响应的产品属于节能产品或环境标志产品政府采购品目清单中优先采购范围的，应当在响应文件中提供国家确定的认证机构出具的、处于有效期之内的节能产品或环境标志产品认证证书复印件</w:t>
            </w:r>
            <w:r>
              <w:rPr>
                <w:rFonts w:hint="eastAsia" w:ascii="宋体" w:hAnsi="宋体" w:eastAsia="宋体" w:cs="宋体"/>
                <w:i w:val="0"/>
                <w:iCs w:val="0"/>
                <w:color w:val="auto"/>
                <w:kern w:val="0"/>
                <w:sz w:val="24"/>
                <w:szCs w:val="24"/>
                <w:lang w:eastAsia="zh-CN"/>
              </w:rPr>
              <w:t>、</w:t>
            </w:r>
            <w:r>
              <w:rPr>
                <w:rFonts w:hint="eastAsia" w:ascii="宋体" w:hAnsi="宋体" w:eastAsia="宋体" w:cs="宋体"/>
                <w:color w:val="auto"/>
                <w:kern w:val="0"/>
                <w:sz w:val="24"/>
                <w:lang w:bidi="ar"/>
              </w:rPr>
              <w:t>提供全国认证认可信息公共服务平台查询网站截图</w:t>
            </w:r>
            <w:r>
              <w:rPr>
                <w:rFonts w:hint="eastAsia" w:ascii="宋体" w:hAnsi="宋体" w:eastAsia="宋体" w:cs="宋体"/>
                <w:i w:val="0"/>
                <w:iCs w:val="0"/>
                <w:color w:val="auto"/>
                <w:kern w:val="0"/>
                <w:sz w:val="24"/>
                <w:szCs w:val="24"/>
              </w:rPr>
              <w:t>并加盖供应商公章（鲜章），否则不予给分。</w:t>
            </w:r>
          </w:p>
        </w:tc>
        <w:tc>
          <w:tcPr>
            <w:tcW w:w="102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color w:val="auto"/>
                <w:kern w:val="0"/>
                <w:sz w:val="24"/>
              </w:rPr>
            </w:pPr>
          </w:p>
        </w:tc>
      </w:tr>
    </w:tbl>
    <w:p>
      <w:pPr>
        <w:ind w:firstLine="700" w:firstLineChars="250"/>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keepNext/>
        <w:keepLines/>
        <w:numPr>
          <w:ilvl w:val="1"/>
          <w:numId w:val="6"/>
        </w:numPr>
        <w:spacing w:before="260" w:after="260" w:line="360" w:lineRule="auto"/>
        <w:jc w:val="left"/>
        <w:outlineLvl w:val="1"/>
        <w:rPr>
          <w:rFonts w:ascii="宋体" w:hAnsi="宋体"/>
          <w:b/>
          <w:bCs/>
          <w:color w:val="auto"/>
          <w:sz w:val="28"/>
          <w:szCs w:val="28"/>
        </w:rPr>
      </w:pPr>
      <w:bookmarkStart w:id="318" w:name="_Toc6586"/>
      <w:bookmarkStart w:id="319" w:name="_Toc14234"/>
      <w:bookmarkStart w:id="320" w:name="_Toc86665571"/>
      <w:bookmarkStart w:id="321" w:name="_Toc5218"/>
      <w:r>
        <w:rPr>
          <w:rFonts w:hint="eastAsia" w:ascii="宋体" w:hAnsi="宋体"/>
          <w:b/>
          <w:bCs/>
          <w:color w:val="auto"/>
          <w:sz w:val="28"/>
          <w:szCs w:val="28"/>
        </w:rPr>
        <w:t>废标</w:t>
      </w:r>
      <w:bookmarkEnd w:id="318"/>
      <w:bookmarkEnd w:id="319"/>
      <w:bookmarkEnd w:id="320"/>
      <w:bookmarkEnd w:id="321"/>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出现影响采购公正的违法、违规行为的；</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投标人的报价均超过了采购预算，采购人不能支付的；</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因重大变故，采购任务取消的；</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将在“四川政府采购网”网站上</w:t>
      </w:r>
      <w:r>
        <w:rPr>
          <w:rFonts w:hint="eastAsia" w:ascii="宋体" w:hAnsi="宋体"/>
          <w:color w:val="auto"/>
          <w:sz w:val="28"/>
          <w:szCs w:val="28"/>
          <w:lang w:val="en-US" w:eastAsia="zh-CN"/>
        </w:rPr>
        <w:t>发布</w:t>
      </w:r>
      <w:r>
        <w:rPr>
          <w:rFonts w:hint="eastAsia" w:ascii="宋体" w:hAnsi="宋体"/>
          <w:color w:val="auto"/>
          <w:sz w:val="28"/>
          <w:szCs w:val="28"/>
        </w:rPr>
        <w:t>公告。</w:t>
      </w:r>
    </w:p>
    <w:p>
      <w:pPr>
        <w:keepNext/>
        <w:keepLines/>
        <w:numPr>
          <w:ilvl w:val="1"/>
          <w:numId w:val="6"/>
        </w:numPr>
        <w:spacing w:before="260" w:after="260" w:line="360" w:lineRule="auto"/>
        <w:jc w:val="left"/>
        <w:outlineLvl w:val="1"/>
        <w:rPr>
          <w:rFonts w:ascii="宋体" w:hAnsi="宋体"/>
          <w:b/>
          <w:bCs/>
          <w:color w:val="auto"/>
          <w:sz w:val="28"/>
          <w:szCs w:val="28"/>
        </w:rPr>
      </w:pPr>
      <w:bookmarkStart w:id="322" w:name="_Toc12572"/>
      <w:bookmarkStart w:id="323" w:name="_Toc86665572"/>
      <w:bookmarkStart w:id="324" w:name="_Toc7228"/>
      <w:bookmarkStart w:id="325" w:name="_Toc8709"/>
      <w:r>
        <w:rPr>
          <w:rFonts w:hint="eastAsia" w:ascii="宋体" w:hAnsi="宋体"/>
          <w:b/>
          <w:bCs/>
          <w:color w:val="auto"/>
          <w:sz w:val="28"/>
          <w:szCs w:val="28"/>
        </w:rPr>
        <w:t>定标</w:t>
      </w:r>
      <w:bookmarkEnd w:id="322"/>
      <w:bookmarkEnd w:id="323"/>
      <w:bookmarkEnd w:id="324"/>
      <w:bookmarkEnd w:id="325"/>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定标原则</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本项目根据评标委员会确定的中标候选人名单，采购人按顺序确定1名中标人。中标候选供应商并列的，</w:t>
      </w:r>
      <w:r>
        <w:rPr>
          <w:rFonts w:hint="eastAsia" w:ascii="宋体"/>
          <w:color w:val="auto"/>
          <w:sz w:val="28"/>
          <w:szCs w:val="28"/>
        </w:rPr>
        <w:t>由采购人采取随机抽取的方式确定中标人</w:t>
      </w:r>
      <w:r>
        <w:rPr>
          <w:rFonts w:hint="eastAsia" w:ascii="宋体" w:hAnsi="宋体"/>
          <w:color w:val="auto"/>
          <w:sz w:val="28"/>
          <w:szCs w:val="28"/>
        </w:rPr>
        <w:t>。</w:t>
      </w:r>
    </w:p>
    <w:p>
      <w:pPr>
        <w:spacing w:line="560" w:lineRule="exact"/>
        <w:ind w:firstLine="560" w:firstLineChars="200"/>
        <w:rPr>
          <w:rFonts w:ascii="宋体" w:hAnsi="宋体"/>
          <w:color w:val="auto"/>
          <w:sz w:val="28"/>
          <w:szCs w:val="28"/>
        </w:rPr>
      </w:pPr>
      <w:r>
        <w:rPr>
          <w:rFonts w:hint="eastAsia" w:cs="Helvetica" w:asciiTheme="minorEastAsia" w:hAnsiTheme="minorEastAsia" w:eastAsiaTheme="minorEastAsia"/>
          <w:color w:val="auto"/>
          <w:kern w:val="0"/>
          <w:sz w:val="28"/>
          <w:szCs w:val="28"/>
        </w:rPr>
        <w:t>采购人在收到评标报告</w:t>
      </w:r>
      <w:r>
        <w:rPr>
          <w:rFonts w:hint="eastAsia" w:cs="宋体" w:asciiTheme="minorEastAsia" w:hAnsiTheme="minorEastAsia" w:eastAsiaTheme="minorEastAsia"/>
          <w:color w:val="auto"/>
          <w:kern w:val="0"/>
          <w:sz w:val="28"/>
          <w:szCs w:val="28"/>
        </w:rPr>
        <w:t>5</w:t>
      </w:r>
      <w:r>
        <w:rPr>
          <w:rFonts w:hint="eastAsia" w:cs="Helvetica" w:asciiTheme="minorEastAsia" w:hAnsiTheme="minorEastAsia" w:eastAsiaTheme="minorEastAsia"/>
          <w:color w:val="auto"/>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6"/>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定标程序</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一、评审委员会将评审情况写出书面报告。</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二、</w:t>
      </w:r>
      <w:r>
        <w:rPr>
          <w:rFonts w:hint="eastAsia" w:ascii="宋体" w:hAnsi="宋体" w:cs="Helvetica"/>
          <w:color w:val="auto"/>
          <w:sz w:val="28"/>
          <w:szCs w:val="28"/>
          <w:lang w:eastAsia="zh-CN"/>
        </w:rPr>
        <w:t>成都东部新区党工委管委会（成都市东部新城办）综合部</w:t>
      </w:r>
      <w:r>
        <w:rPr>
          <w:rFonts w:hint="eastAsia" w:ascii="宋体" w:hAnsi="宋体" w:cs="Helvetica"/>
          <w:color w:val="auto"/>
          <w:sz w:val="28"/>
          <w:szCs w:val="28"/>
        </w:rPr>
        <w:t>在评审结束之日起2个工作日内将评审报告送采购人。</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三、采购人在收到评审报告后3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四、根据采购人确定的中标（成交）人，</w:t>
      </w:r>
      <w:r>
        <w:rPr>
          <w:rFonts w:hint="eastAsia" w:ascii="宋体" w:hAnsi="宋体" w:cs="Helvetica"/>
          <w:color w:val="auto"/>
          <w:sz w:val="28"/>
          <w:szCs w:val="28"/>
          <w:lang w:eastAsia="zh-CN"/>
        </w:rPr>
        <w:t>成都东部新区党工委管委会（成都市东部新城办）综合部</w:t>
      </w:r>
      <w:r>
        <w:rPr>
          <w:rFonts w:hint="eastAsia" w:ascii="宋体" w:hAnsi="宋体" w:cs="Helvetica"/>
          <w:color w:val="auto"/>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五、采购人、</w:t>
      </w:r>
      <w:r>
        <w:rPr>
          <w:rFonts w:hint="eastAsia" w:ascii="宋体" w:hAnsi="宋体" w:cs="Helvetica"/>
          <w:color w:val="auto"/>
          <w:sz w:val="28"/>
          <w:szCs w:val="28"/>
          <w:lang w:eastAsia="zh-CN"/>
        </w:rPr>
        <w:t>成都东部新区党工委管委会（成都市东部新城办）综合部</w:t>
      </w:r>
      <w:r>
        <w:rPr>
          <w:rFonts w:hint="eastAsia" w:ascii="宋体" w:hAnsi="宋体" w:cs="Helvetica"/>
          <w:color w:val="auto"/>
          <w:sz w:val="28"/>
          <w:szCs w:val="28"/>
        </w:rPr>
        <w:t>不解释中标（成交）或未中标（成交）原因，不退回投标文件和其他投标资料。</w:t>
      </w:r>
    </w:p>
    <w:p>
      <w:pPr>
        <w:keepNext/>
        <w:keepLines/>
        <w:numPr>
          <w:ilvl w:val="1"/>
          <w:numId w:val="6"/>
        </w:numPr>
        <w:spacing w:line="360" w:lineRule="auto"/>
        <w:jc w:val="left"/>
        <w:outlineLvl w:val="1"/>
        <w:rPr>
          <w:rFonts w:ascii="宋体" w:hAnsi="宋体"/>
          <w:b/>
          <w:bCs/>
          <w:color w:val="auto"/>
          <w:sz w:val="28"/>
          <w:szCs w:val="28"/>
        </w:rPr>
      </w:pPr>
      <w:bookmarkStart w:id="326" w:name="_Toc9194"/>
      <w:bookmarkStart w:id="327" w:name="_Toc28435"/>
      <w:bookmarkStart w:id="328" w:name="_Toc29221"/>
      <w:bookmarkStart w:id="329" w:name="_Toc86665573"/>
      <w:r>
        <w:rPr>
          <w:rFonts w:hint="eastAsia" w:ascii="宋体" w:hAnsi="宋体"/>
          <w:b/>
          <w:bCs/>
          <w:color w:val="auto"/>
          <w:sz w:val="28"/>
          <w:szCs w:val="28"/>
        </w:rPr>
        <w:t>评审专家在政府采购活动中承担以下义务</w:t>
      </w:r>
      <w:bookmarkEnd w:id="326"/>
      <w:bookmarkEnd w:id="327"/>
      <w:bookmarkEnd w:id="328"/>
      <w:bookmarkEnd w:id="329"/>
    </w:p>
    <w:p>
      <w:pPr>
        <w:pStyle w:val="79"/>
        <w:numPr>
          <w:ilvl w:val="0"/>
          <w:numId w:val="50"/>
        </w:numPr>
        <w:tabs>
          <w:tab w:val="left" w:pos="284"/>
        </w:tabs>
        <w:spacing w:line="360" w:lineRule="auto"/>
        <w:ind w:left="0" w:firstLine="420" w:firstLineChars="0"/>
        <w:jc w:val="left"/>
        <w:rPr>
          <w:color w:val="auto"/>
          <w:sz w:val="28"/>
          <w:szCs w:val="28"/>
        </w:rPr>
      </w:pPr>
      <w:r>
        <w:rPr>
          <w:rFonts w:hint="eastAsia"/>
          <w:color w:val="auto"/>
          <w:sz w:val="28"/>
          <w:szCs w:val="28"/>
        </w:rPr>
        <w:t>遵守评审工作纪律；</w:t>
      </w:r>
    </w:p>
    <w:p>
      <w:pPr>
        <w:pStyle w:val="79"/>
        <w:numPr>
          <w:ilvl w:val="0"/>
          <w:numId w:val="50"/>
        </w:numPr>
        <w:tabs>
          <w:tab w:val="left" w:pos="284"/>
        </w:tabs>
        <w:spacing w:line="360" w:lineRule="auto"/>
        <w:ind w:left="0" w:firstLine="420" w:firstLineChars="0"/>
        <w:jc w:val="left"/>
        <w:rPr>
          <w:color w:val="auto"/>
          <w:sz w:val="28"/>
          <w:szCs w:val="28"/>
        </w:rPr>
      </w:pPr>
      <w:r>
        <w:rPr>
          <w:rFonts w:hint="eastAsia"/>
          <w:color w:val="auto"/>
          <w:sz w:val="28"/>
          <w:szCs w:val="28"/>
        </w:rPr>
        <w:t>按照客观、公正、审慎的原则，根据招标文件规定的评审程序、评审方法和评审标准进行独立评审；</w:t>
      </w:r>
    </w:p>
    <w:p>
      <w:pPr>
        <w:pStyle w:val="79"/>
        <w:numPr>
          <w:ilvl w:val="0"/>
          <w:numId w:val="50"/>
        </w:numPr>
        <w:tabs>
          <w:tab w:val="left" w:pos="284"/>
        </w:tabs>
        <w:spacing w:line="360" w:lineRule="auto"/>
        <w:ind w:left="0" w:firstLine="420" w:firstLineChars="0"/>
        <w:jc w:val="left"/>
        <w:rPr>
          <w:color w:val="auto"/>
          <w:sz w:val="28"/>
          <w:szCs w:val="28"/>
        </w:rPr>
      </w:pPr>
      <w:r>
        <w:rPr>
          <w:rFonts w:hint="eastAsia"/>
          <w:color w:val="auto"/>
          <w:sz w:val="28"/>
          <w:szCs w:val="28"/>
        </w:rPr>
        <w:t>不得泄露评审文件、评审情况和在评审过程中获悉的商业秘密；</w:t>
      </w:r>
    </w:p>
    <w:p>
      <w:pPr>
        <w:pStyle w:val="79"/>
        <w:numPr>
          <w:ilvl w:val="0"/>
          <w:numId w:val="50"/>
        </w:numPr>
        <w:tabs>
          <w:tab w:val="left" w:pos="284"/>
        </w:tabs>
        <w:spacing w:line="360" w:lineRule="auto"/>
        <w:ind w:left="0" w:firstLine="420" w:firstLineChars="0"/>
        <w:jc w:val="left"/>
        <w:rPr>
          <w:color w:val="auto"/>
          <w:sz w:val="28"/>
          <w:szCs w:val="28"/>
        </w:rPr>
      </w:pPr>
      <w:r>
        <w:rPr>
          <w:rFonts w:hint="eastAsia"/>
          <w:color w:val="auto"/>
          <w:sz w:val="28"/>
          <w:szCs w:val="28"/>
        </w:rPr>
        <w:t>及时向财政部门报告评审过程中发现的采购人、采购代理机构向评审专家做倾向性、误导性的解释或者说明，以及供应商行贿、提供虚假材料或者串通等违法行为；</w:t>
      </w:r>
    </w:p>
    <w:p>
      <w:pPr>
        <w:pStyle w:val="79"/>
        <w:numPr>
          <w:ilvl w:val="0"/>
          <w:numId w:val="50"/>
        </w:numPr>
        <w:tabs>
          <w:tab w:val="left" w:pos="284"/>
        </w:tabs>
        <w:spacing w:line="360" w:lineRule="auto"/>
        <w:ind w:left="0" w:firstLine="420" w:firstLineChars="0"/>
        <w:jc w:val="left"/>
        <w:rPr>
          <w:color w:val="auto"/>
          <w:sz w:val="28"/>
          <w:szCs w:val="28"/>
        </w:rPr>
      </w:pPr>
      <w:r>
        <w:rPr>
          <w:rFonts w:hint="eastAsia"/>
          <w:color w:val="auto"/>
          <w:sz w:val="28"/>
          <w:szCs w:val="28"/>
        </w:rPr>
        <w:t>发现招标文件内容违反国家有关强制性规定或者招标文件存在歧义、重大缺陷导致评审工作无法进行时，停止评审并向采购人或者采购代理机构书面说明情况；</w:t>
      </w:r>
    </w:p>
    <w:p>
      <w:pPr>
        <w:pStyle w:val="79"/>
        <w:numPr>
          <w:ilvl w:val="0"/>
          <w:numId w:val="50"/>
        </w:numPr>
        <w:tabs>
          <w:tab w:val="left" w:pos="284"/>
        </w:tabs>
        <w:spacing w:line="360" w:lineRule="auto"/>
        <w:ind w:left="0" w:firstLine="420" w:firstLineChars="0"/>
        <w:jc w:val="left"/>
        <w:rPr>
          <w:color w:val="auto"/>
          <w:sz w:val="28"/>
          <w:szCs w:val="28"/>
        </w:rPr>
      </w:pPr>
      <w:r>
        <w:rPr>
          <w:rFonts w:hint="eastAsia"/>
          <w:color w:val="auto"/>
          <w:sz w:val="28"/>
          <w:szCs w:val="28"/>
        </w:rPr>
        <w:t>及时向财政、监察等部门举报在评审过程中受到非法干预的情况；</w:t>
      </w:r>
    </w:p>
    <w:p>
      <w:pPr>
        <w:pStyle w:val="79"/>
        <w:numPr>
          <w:ilvl w:val="0"/>
          <w:numId w:val="50"/>
        </w:numPr>
        <w:tabs>
          <w:tab w:val="left" w:pos="284"/>
        </w:tabs>
        <w:spacing w:line="360" w:lineRule="auto"/>
        <w:ind w:left="0" w:firstLine="420" w:firstLineChars="0"/>
        <w:jc w:val="left"/>
        <w:rPr>
          <w:color w:val="auto"/>
          <w:sz w:val="28"/>
          <w:szCs w:val="28"/>
        </w:rPr>
      </w:pPr>
      <w:r>
        <w:rPr>
          <w:rFonts w:hint="eastAsia"/>
          <w:color w:val="auto"/>
          <w:sz w:val="28"/>
          <w:szCs w:val="28"/>
        </w:rPr>
        <w:t>配合答复处理供应商的询问、质疑和投诉等事项；</w:t>
      </w:r>
    </w:p>
    <w:p>
      <w:pPr>
        <w:pStyle w:val="79"/>
        <w:numPr>
          <w:ilvl w:val="0"/>
          <w:numId w:val="50"/>
        </w:numPr>
        <w:tabs>
          <w:tab w:val="left" w:pos="284"/>
        </w:tabs>
        <w:spacing w:line="360" w:lineRule="auto"/>
        <w:ind w:left="0" w:firstLine="420" w:firstLineChars="0"/>
        <w:jc w:val="left"/>
        <w:rPr>
          <w:color w:val="auto"/>
          <w:sz w:val="28"/>
          <w:szCs w:val="28"/>
        </w:rPr>
      </w:pPr>
      <w:r>
        <w:rPr>
          <w:rFonts w:hint="eastAsia"/>
          <w:color w:val="auto"/>
          <w:sz w:val="28"/>
          <w:szCs w:val="28"/>
        </w:rPr>
        <w:t>法律、法规和规章规定的其他义务。</w:t>
      </w:r>
    </w:p>
    <w:p>
      <w:pPr>
        <w:keepNext/>
        <w:keepLines/>
        <w:numPr>
          <w:ilvl w:val="1"/>
          <w:numId w:val="6"/>
        </w:numPr>
        <w:spacing w:before="240" w:line="360" w:lineRule="auto"/>
        <w:jc w:val="left"/>
        <w:outlineLvl w:val="1"/>
        <w:rPr>
          <w:rFonts w:ascii="宋体" w:hAnsi="宋体"/>
          <w:b/>
          <w:bCs/>
          <w:color w:val="auto"/>
          <w:sz w:val="28"/>
          <w:szCs w:val="28"/>
        </w:rPr>
      </w:pPr>
      <w:bookmarkStart w:id="330" w:name="_Toc6096"/>
      <w:bookmarkStart w:id="331" w:name="_Toc606"/>
      <w:bookmarkStart w:id="332" w:name="_Toc86665574"/>
      <w:bookmarkStart w:id="333" w:name="_Toc29063"/>
      <w:r>
        <w:rPr>
          <w:rFonts w:hint="eastAsia" w:ascii="宋体" w:hAnsi="宋体"/>
          <w:b/>
          <w:bCs/>
          <w:color w:val="auto"/>
          <w:sz w:val="28"/>
          <w:szCs w:val="28"/>
        </w:rPr>
        <w:t>评审专家在政府采购活动中应当遵守以下工作纪律</w:t>
      </w:r>
      <w:bookmarkEnd w:id="330"/>
      <w:bookmarkEnd w:id="331"/>
      <w:bookmarkEnd w:id="332"/>
      <w:bookmarkEnd w:id="333"/>
    </w:p>
    <w:p>
      <w:pPr>
        <w:numPr>
          <w:ilvl w:val="0"/>
          <w:numId w:val="51"/>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51"/>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color w:val="auto"/>
          <w:sz w:val="28"/>
          <w:szCs w:val="28"/>
          <w:lang w:eastAsia="zh-CN"/>
        </w:rPr>
        <w:t>成都东部新区党工委管委会（成都市东部新城办）综合部</w:t>
      </w:r>
      <w:r>
        <w:rPr>
          <w:rFonts w:hint="eastAsia" w:ascii="宋体" w:hAnsi="宋体"/>
          <w:color w:val="auto"/>
          <w:sz w:val="28"/>
          <w:szCs w:val="28"/>
        </w:rPr>
        <w:t>，不得私自转托他人；</w:t>
      </w:r>
    </w:p>
    <w:p>
      <w:pPr>
        <w:numPr>
          <w:ilvl w:val="0"/>
          <w:numId w:val="51"/>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对需要专业</w:t>
      </w:r>
      <w:r>
        <w:rPr>
          <w:rFonts w:ascii="宋体" w:hAnsi="宋体"/>
          <w:color w:val="auto"/>
          <w:sz w:val="28"/>
          <w:szCs w:val="28"/>
        </w:rPr>
        <w:t>判断的主管评审因素不得协商评分；</w:t>
      </w:r>
    </w:p>
    <w:p>
      <w:pPr>
        <w:numPr>
          <w:ilvl w:val="0"/>
          <w:numId w:val="51"/>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在</w:t>
      </w:r>
      <w:r>
        <w:rPr>
          <w:rFonts w:ascii="宋体" w:hAnsi="宋体"/>
          <w:color w:val="auto"/>
          <w:sz w:val="28"/>
          <w:szCs w:val="28"/>
        </w:rPr>
        <w:t>评审过程中不得擅离职守，影响</w:t>
      </w:r>
      <w:r>
        <w:rPr>
          <w:rFonts w:hint="eastAsia" w:ascii="宋体" w:hAnsi="宋体"/>
          <w:color w:val="auto"/>
          <w:sz w:val="28"/>
          <w:szCs w:val="28"/>
        </w:rPr>
        <w:t>评审</w:t>
      </w:r>
      <w:r>
        <w:rPr>
          <w:rFonts w:ascii="宋体" w:hAnsi="宋体"/>
          <w:color w:val="auto"/>
          <w:sz w:val="28"/>
          <w:szCs w:val="28"/>
        </w:rPr>
        <w:t>程序</w:t>
      </w:r>
      <w:r>
        <w:rPr>
          <w:rFonts w:hint="eastAsia" w:ascii="宋体" w:hAnsi="宋体"/>
          <w:color w:val="auto"/>
          <w:sz w:val="28"/>
          <w:szCs w:val="28"/>
        </w:rPr>
        <w:t>正常进行；</w:t>
      </w:r>
    </w:p>
    <w:p>
      <w:pPr>
        <w:numPr>
          <w:ilvl w:val="0"/>
          <w:numId w:val="51"/>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评审过程中，不得与外界联系，因发生不可预见情况，确实需要与外界联系的，应当在监督人员监督之下办理；</w:t>
      </w:r>
    </w:p>
    <w:p>
      <w:pPr>
        <w:numPr>
          <w:ilvl w:val="0"/>
          <w:numId w:val="51"/>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51"/>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在评审过程中和评审结束后，不得记录、复制或带走任何评审资料，不得向外界透露评审内容；</w:t>
      </w:r>
    </w:p>
    <w:p>
      <w:pPr>
        <w:numPr>
          <w:ilvl w:val="0"/>
          <w:numId w:val="51"/>
        </w:numPr>
        <w:tabs>
          <w:tab w:val="left" w:pos="1155"/>
          <w:tab w:val="left" w:pos="1276"/>
          <w:tab w:val="left" w:pos="1418"/>
          <w:tab w:val="left" w:pos="7665"/>
        </w:tabs>
        <w:spacing w:line="360" w:lineRule="auto"/>
        <w:ind w:left="0" w:firstLine="567"/>
        <w:jc w:val="left"/>
        <w:rPr>
          <w:rFonts w:ascii="宋体" w:hAnsi="宋体"/>
          <w:color w:val="auto"/>
          <w:sz w:val="28"/>
          <w:szCs w:val="28"/>
        </w:rPr>
      </w:pPr>
      <w:r>
        <w:rPr>
          <w:rFonts w:hint="eastAsia" w:ascii="宋体" w:hAnsi="宋体"/>
          <w:color w:val="auto"/>
          <w:sz w:val="28"/>
          <w:szCs w:val="28"/>
        </w:rPr>
        <w:t>评审现场服从采购代理机构工作人员的管理，接受现场监督人员的合法监督；</w:t>
      </w:r>
    </w:p>
    <w:p>
      <w:pPr>
        <w:tabs>
          <w:tab w:val="left" w:pos="1155"/>
          <w:tab w:val="left" w:pos="1276"/>
          <w:tab w:val="left" w:pos="1418"/>
        </w:tabs>
        <w:spacing w:line="580" w:lineRule="exact"/>
        <w:ind w:firstLine="560" w:firstLineChars="200"/>
        <w:rPr>
          <w:rFonts w:ascii="宋体" w:hAnsi="宋体"/>
          <w:color w:val="auto"/>
          <w:sz w:val="28"/>
          <w:szCs w:val="28"/>
        </w:rPr>
      </w:pPr>
      <w:r>
        <w:rPr>
          <w:rFonts w:hint="eastAsia" w:ascii="宋体" w:hAnsi="宋体"/>
          <w:color w:val="auto"/>
          <w:sz w:val="28"/>
          <w:szCs w:val="28"/>
        </w:rPr>
        <w:t>九、遵守有关廉洁自律规定，不得私下接触供应商，不得收受供应商及有关业务单位和个人的财物或好处，不得接受采购代理机构的请托。</w:t>
      </w: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bookmarkEnd w:id="190"/>
    <w:bookmarkEnd w:id="191"/>
    <w:p>
      <w:pPr>
        <w:keepNext/>
        <w:keepLines/>
        <w:numPr>
          <w:ilvl w:val="0"/>
          <w:numId w:val="6"/>
        </w:numPr>
        <w:spacing w:line="360" w:lineRule="auto"/>
        <w:ind w:left="0" w:firstLine="0"/>
        <w:jc w:val="center"/>
        <w:outlineLvl w:val="0"/>
        <w:rPr>
          <w:rFonts w:hint="eastAsia" w:ascii="宋体" w:hAnsi="宋体" w:eastAsia="宋体" w:cs="宋体"/>
          <w:color w:val="auto"/>
          <w:lang w:val="en-US" w:eastAsia="zh-CN"/>
        </w:rPr>
      </w:pPr>
      <w:bookmarkStart w:id="334" w:name="_Toc6909"/>
      <w:r>
        <w:rPr>
          <w:rFonts w:hint="eastAsia" w:ascii="宋体" w:hAnsi="宋体" w:eastAsia="宋体" w:cs="宋体"/>
          <w:b/>
          <w:bCs/>
          <w:color w:val="auto"/>
          <w:sz w:val="28"/>
          <w:szCs w:val="32"/>
          <w:lang w:val="en-US" w:eastAsia="zh-CN"/>
        </w:rPr>
        <w:t>合同及主要条款</w:t>
      </w:r>
      <w:bookmarkEnd w:id="334"/>
    </w:p>
    <w:p>
      <w:pPr>
        <w:spacing w:line="400" w:lineRule="exact"/>
        <w:jc w:val="center"/>
        <w:rPr>
          <w:rFonts w:hint="eastAsia" w:ascii="宋体" w:hAnsi="宋体" w:eastAsia="宋体" w:cs="宋体"/>
          <w:b/>
          <w:color w:val="auto"/>
          <w:sz w:val="28"/>
          <w:szCs w:val="28"/>
        </w:rPr>
      </w:pPr>
      <w:r>
        <w:rPr>
          <w:rFonts w:hint="eastAsia" w:ascii="宋体" w:hAnsi="宋体" w:eastAsia="宋体" w:cs="宋体"/>
          <w:b/>
          <w:color w:val="auto"/>
          <w:szCs w:val="21"/>
        </w:rPr>
        <w:t>合同主要条款仅供参考；</w:t>
      </w:r>
      <w:r>
        <w:rPr>
          <w:rFonts w:hint="eastAsia" w:ascii="宋体" w:hAnsi="宋体" w:eastAsia="宋体" w:cs="宋体"/>
          <w:color w:val="auto"/>
          <w:kern w:val="0"/>
          <w:szCs w:val="21"/>
        </w:rPr>
        <w:t>特别提醒：采购合同的签订不得偏离采购文件要约及响应文件承诺的实质性内容）</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合同编号：XXXX。</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签订地点：XXXX。</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签订时间：XXXX年XX月XX日。</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采购人（甲方）：</w:t>
      </w:r>
      <w:r>
        <w:rPr>
          <w:rFonts w:hint="eastAsia" w:ascii="宋体" w:hAnsi="宋体" w:eastAsia="宋体" w:cs="宋体"/>
          <w:color w:val="auto"/>
          <w:sz w:val="24"/>
          <w:szCs w:val="24"/>
          <w:u w:val="single"/>
          <w:lang w:eastAsia="zh-CN"/>
        </w:rPr>
        <w:t xml:space="preserve">成都东部新区党工委管委会（成都市东部新城办）综合部 </w:t>
      </w:r>
      <w:r>
        <w:rPr>
          <w:rFonts w:hint="eastAsia" w:ascii="宋体" w:hAnsi="宋体" w:eastAsia="宋体" w:cs="宋体"/>
          <w:color w:val="auto"/>
          <w:sz w:val="24"/>
        </w:rPr>
        <w:t xml:space="preserve">                              </w:t>
      </w:r>
    </w:p>
    <w:p>
      <w:pPr>
        <w:spacing w:line="360" w:lineRule="auto"/>
        <w:rPr>
          <w:rFonts w:hint="eastAsia" w:ascii="宋体" w:hAnsi="宋体" w:eastAsia="宋体" w:cs="宋体"/>
          <w:color w:val="auto"/>
          <w:sz w:val="24"/>
        </w:rPr>
      </w:pPr>
      <w:r>
        <w:rPr>
          <w:rFonts w:hint="eastAsia" w:ascii="宋体" w:hAnsi="宋体" w:eastAsia="宋体" w:cs="宋体"/>
          <w:color w:val="auto"/>
          <w:sz w:val="24"/>
          <w:lang w:eastAsia="zh-CN"/>
        </w:rPr>
        <w:t>投标人</w:t>
      </w:r>
      <w:r>
        <w:rPr>
          <w:rFonts w:hint="eastAsia" w:ascii="宋体" w:hAnsi="宋体" w:eastAsia="宋体" w:cs="宋体"/>
          <w:color w:val="auto"/>
          <w:sz w:val="24"/>
        </w:rPr>
        <w:t xml:space="preserve">（乙方）： </w:t>
      </w:r>
    </w:p>
    <w:p>
      <w:pPr>
        <w:spacing w:line="360" w:lineRule="auto"/>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中华人民共和国政府采购法》、《中华人民共和国民法典》及XX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360" w:lineRule="auto"/>
        <w:ind w:firstLine="480" w:firstLineChars="200"/>
        <w:outlineLvl w:val="1"/>
        <w:rPr>
          <w:rFonts w:hint="eastAsia" w:ascii="宋体" w:hAnsi="宋体" w:eastAsia="宋体" w:cs="宋体"/>
          <w:color w:val="auto"/>
          <w:sz w:val="24"/>
        </w:rPr>
      </w:pPr>
      <w:bookmarkStart w:id="335" w:name="_Toc792"/>
      <w:bookmarkStart w:id="336" w:name="_Toc217446107"/>
      <w:bookmarkStart w:id="337" w:name="_Toc27693"/>
      <w:r>
        <w:rPr>
          <w:rFonts w:hint="eastAsia" w:ascii="宋体" w:hAnsi="宋体" w:eastAsia="宋体" w:cs="宋体"/>
          <w:color w:val="auto"/>
          <w:sz w:val="24"/>
        </w:rPr>
        <w:t>一、合同货物</w:t>
      </w:r>
      <w:bookmarkEnd w:id="335"/>
      <w:bookmarkEnd w:id="336"/>
      <w:bookmarkEnd w:id="337"/>
    </w:p>
    <w:tbl>
      <w:tblPr>
        <w:tblStyle w:val="41"/>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1"/>
        <w:gridCol w:w="1230"/>
        <w:gridCol w:w="720"/>
        <w:gridCol w:w="810"/>
        <w:gridCol w:w="1125"/>
        <w:gridCol w:w="1125"/>
        <w:gridCol w:w="1200"/>
        <w:gridCol w:w="153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货物品名</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规格型号</w:t>
            </w:r>
          </w:p>
        </w:tc>
        <w:tc>
          <w:tcPr>
            <w:tcW w:w="72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单位</w:t>
            </w:r>
          </w:p>
        </w:tc>
        <w:tc>
          <w:tcPr>
            <w:tcW w:w="8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数量</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单价</w:t>
            </w:r>
          </w:p>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（万元）</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总价</w:t>
            </w:r>
          </w:p>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（万元）</w:t>
            </w: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随机配件</w:t>
            </w: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引导台</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 </w:t>
            </w: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张</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3</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 </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 </w:t>
            </w: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 </w:t>
            </w: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引导台</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 </w:t>
            </w: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张</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4</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 </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 </w:t>
            </w: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 </w:t>
            </w: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color w:val="auto"/>
                <w:kern w:val="2"/>
                <w:sz w:val="24"/>
                <w:szCs w:val="24"/>
                <w:lang w:val="en-US" w:eastAsia="zh-CN" w:bidi="ar-SA"/>
              </w:rPr>
            </w:pPr>
            <w:bookmarkStart w:id="338" w:name="_Toc217446108"/>
            <w:r>
              <w:rPr>
                <w:rFonts w:hint="eastAsia" w:ascii="宋体" w:hAnsi="宋体" w:eastAsia="宋体" w:cs="宋体"/>
                <w:bCs/>
                <w:color w:val="auto"/>
                <w:sz w:val="24"/>
                <w:szCs w:val="24"/>
              </w:rPr>
              <w:t>填单台</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张</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4</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窗口办公桌   （单人位）</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张</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45</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窗口办公桌   （双人位）</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套</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3</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办公椅</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把</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58</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接待椅</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把</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51</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异形沙发</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组</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1</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异形沙发</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组</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1</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color w:val="auto"/>
                <w:sz w:val="24"/>
                <w:szCs w:val="24"/>
              </w:rPr>
              <w:t>填单桌</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张</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4</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color w:val="auto"/>
                <w:sz w:val="24"/>
                <w:szCs w:val="24"/>
              </w:rPr>
              <w:t>填单椅</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把</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24</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color w:val="auto"/>
                <w:sz w:val="24"/>
                <w:szCs w:val="24"/>
              </w:rPr>
              <w:t>洽谈桌</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张</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12</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color w:val="auto"/>
                <w:sz w:val="24"/>
                <w:szCs w:val="24"/>
              </w:rPr>
              <w:t>洽谈椅</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把</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26</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沙发     （单人位）</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张</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22</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沙发     （三人位）</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张</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11</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281"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spacing w:line="360" w:lineRule="auto"/>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color w:val="auto"/>
                <w:sz w:val="24"/>
                <w:szCs w:val="24"/>
              </w:rPr>
              <w:t>茶几</w:t>
            </w:r>
          </w:p>
        </w:tc>
        <w:tc>
          <w:tcPr>
            <w:tcW w:w="123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套</w:t>
            </w:r>
          </w:p>
        </w:tc>
        <w:tc>
          <w:tcPr>
            <w:tcW w:w="810" w:type="dxa"/>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bidi="ar"/>
              </w:rPr>
              <w:t>11</w:t>
            </w: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125"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20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hint="eastAsia" w:ascii="宋体" w:hAnsi="宋体" w:eastAsia="宋体" w:cs="宋体"/>
                <w:color w:val="auto"/>
                <w:sz w:val="24"/>
              </w:rPr>
            </w:pPr>
            <w:r>
              <w:rPr>
                <w:rFonts w:hint="eastAsia" w:ascii="宋体" w:hAnsi="宋体" w:eastAsia="宋体" w:cs="宋体"/>
                <w:b w:val="0"/>
                <w:bCs/>
                <w:color w:val="auto"/>
                <w:sz w:val="24"/>
                <w:szCs w:val="24"/>
              </w:rPr>
              <w:t>本项目在合同签订后60日内全部完成交货安装</w:t>
            </w:r>
          </w:p>
        </w:tc>
      </w:tr>
    </w:tbl>
    <w:p>
      <w:pPr>
        <w:spacing w:line="360" w:lineRule="auto"/>
        <w:ind w:firstLine="480" w:firstLineChars="200"/>
        <w:outlineLvl w:val="1"/>
        <w:rPr>
          <w:rFonts w:hint="eastAsia" w:ascii="宋体" w:hAnsi="宋体" w:eastAsia="宋体" w:cs="宋体"/>
          <w:color w:val="auto"/>
          <w:sz w:val="24"/>
        </w:rPr>
      </w:pPr>
      <w:bookmarkStart w:id="339" w:name="_Toc9206"/>
      <w:bookmarkStart w:id="340" w:name="_Toc30848"/>
      <w:r>
        <w:rPr>
          <w:rFonts w:hint="eastAsia" w:ascii="宋体" w:hAnsi="宋体" w:eastAsia="宋体" w:cs="宋体"/>
          <w:color w:val="auto"/>
          <w:sz w:val="24"/>
        </w:rPr>
        <w:t>二、合同总价</w:t>
      </w:r>
      <w:bookmarkEnd w:id="338"/>
      <w:bookmarkEnd w:id="339"/>
      <w:bookmarkEnd w:id="340"/>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合同总价为人民币大写：                元，即RMB￥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spacing w:line="360" w:lineRule="auto"/>
        <w:ind w:firstLine="480" w:firstLineChars="200"/>
        <w:outlineLvl w:val="1"/>
        <w:rPr>
          <w:rFonts w:hint="eastAsia" w:ascii="宋体" w:hAnsi="宋体" w:eastAsia="宋体" w:cs="宋体"/>
          <w:color w:val="auto"/>
          <w:sz w:val="24"/>
        </w:rPr>
      </w:pPr>
      <w:bookmarkStart w:id="341" w:name="_Toc27646"/>
      <w:bookmarkStart w:id="342" w:name="_Toc217446109"/>
      <w:bookmarkStart w:id="343" w:name="_Toc15758"/>
      <w:r>
        <w:rPr>
          <w:rFonts w:hint="eastAsia" w:ascii="宋体" w:hAnsi="宋体" w:eastAsia="宋体" w:cs="宋体"/>
          <w:color w:val="auto"/>
          <w:sz w:val="24"/>
        </w:rPr>
        <w:t>三、质量要求</w:t>
      </w:r>
      <w:bookmarkEnd w:id="341"/>
      <w:bookmarkEnd w:id="342"/>
      <w:bookmarkEnd w:id="343"/>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1、乙方须提供全新的货物（含零部件、配件等），表面无划伤、无碰撞痕迹，且权属清楚，不得侵害他人的知识产权。</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2、货物必须符合或优于国家（行业）          标准，以及本项目招标文件的质量要求和技术指标与出厂标准。</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3、乙方须在本合同签订之日起   日内送交货物成品样品给甲方确认，在甲方出具样品确认书并封存成品样品外观尺寸后，乙方才能按样生产，并以此样品作为验收样品；每台货物上均应有产品质量检验合格标志。</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4、货物制造质量出现问题，乙方应负责三包（包修、包换、包退），费用由乙方负担，甲方有权到乙方生产场地检查货物质量和生产进度。</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5、货到现场后由于甲方保管不当造成的质量问题，乙方亦应负责修理，但费用由甲方负担。</w:t>
      </w:r>
    </w:p>
    <w:p>
      <w:pPr>
        <w:spacing w:line="360" w:lineRule="auto"/>
        <w:ind w:firstLine="480" w:firstLineChars="200"/>
        <w:outlineLvl w:val="1"/>
        <w:rPr>
          <w:rFonts w:hint="eastAsia" w:ascii="宋体" w:hAnsi="宋体" w:eastAsia="宋体" w:cs="宋体"/>
          <w:color w:val="auto"/>
          <w:sz w:val="24"/>
        </w:rPr>
      </w:pPr>
      <w:bookmarkStart w:id="344" w:name="_Toc9900"/>
      <w:bookmarkStart w:id="345" w:name="_Toc217446110"/>
      <w:bookmarkStart w:id="346" w:name="_Toc13124"/>
      <w:r>
        <w:rPr>
          <w:rFonts w:hint="eastAsia" w:ascii="宋体" w:hAnsi="宋体" w:eastAsia="宋体" w:cs="宋体"/>
          <w:color w:val="auto"/>
          <w:sz w:val="24"/>
        </w:rPr>
        <w:t>四、交货及验收</w:t>
      </w:r>
      <w:bookmarkEnd w:id="344"/>
      <w:bookmarkEnd w:id="345"/>
      <w:bookmarkEnd w:id="346"/>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2、验收由甲方组织，乙方配合进行：</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 货物在乙方通知安装调试完毕后    日内初步验收。初步验收合格后，进入    试用期；试用期间发生重大质量问题，修复后试用相应顺延；试用期结束后    日内完成最终验收；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 如质量验收合格，双方签署质量验收报告。</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3、货物安装完成后     日内，甲方无故不进行验收工作并已使用货物的，视同已安装调试完成并验收合格。</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4、乙方应将所提供货物的装箱清单、配件、随机工具、用户使用手册、原厂保修卡等资料交付给甲方；乙方不能完整交付货物及本款规定的单证和工具的，必须负责补齐，否则视为未按合同约定交货。</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5、如货物经乙方   次维修仍不能达到合同约定的质量标准，甲方有权退货，并视作乙方不能交付货物而须支付违约赔偿金给甲方，甲方还可依法追究乙方的违约责任。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6、其他未尽事宜应严格按照《财政部关于进一步加强政府采购需求和履约验收管理的指导意见》(财库〔2016〕205号)的要求进行验收。</w:t>
      </w:r>
    </w:p>
    <w:p>
      <w:pPr>
        <w:spacing w:line="360" w:lineRule="auto"/>
        <w:ind w:firstLine="480" w:firstLineChars="200"/>
        <w:outlineLvl w:val="1"/>
        <w:rPr>
          <w:rFonts w:hint="eastAsia" w:ascii="宋体" w:hAnsi="宋体" w:eastAsia="宋体" w:cs="宋体"/>
          <w:color w:val="auto"/>
          <w:sz w:val="24"/>
        </w:rPr>
      </w:pPr>
      <w:bookmarkStart w:id="347" w:name="_Toc9586"/>
      <w:bookmarkStart w:id="348" w:name="_Toc217446111"/>
      <w:bookmarkStart w:id="349" w:name="_Toc23426"/>
      <w:r>
        <w:rPr>
          <w:rFonts w:hint="eastAsia" w:ascii="宋体" w:hAnsi="宋体" w:eastAsia="宋体" w:cs="宋体"/>
          <w:color w:val="auto"/>
          <w:sz w:val="24"/>
        </w:rPr>
        <w:t>五、付款方式</w:t>
      </w:r>
      <w:bookmarkEnd w:id="347"/>
      <w:bookmarkEnd w:id="348"/>
      <w:bookmarkEnd w:id="349"/>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（一）适用于无预付款采购项目</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1、全部货物安装调试完毕并验收合格之日起，甲方接到乙方通知与票据凭证资料以后的      日内，按照财政性资金支付有关规定，向乙方支付合同价款￥     元，人民币大写    元整；</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2、履约保证金退还：在货物验收合格满    后，甲方接到乙方通知和支付凭证资料文件，以及由甲方确认本合同货物质量与服务等约定事项已经履行完毕的正式书面文件后的     日内，递交结算凭证资料给银行并由其向乙方支付价款￥      元， 人民币大写：              元整；乙方履约不合格的，履约保证金不予退还。</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3、乙方须向甲方出具合法有效完整的完税发票及凭证资料进行支付结算。</w:t>
      </w:r>
    </w:p>
    <w:p>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rPr>
        <w:t>（</w:t>
      </w:r>
      <w:r>
        <w:rPr>
          <w:rFonts w:hint="eastAsia" w:ascii="宋体" w:hAnsi="宋体" w:eastAsia="宋体" w:cs="宋体"/>
          <w:color w:val="auto"/>
          <w:sz w:val="24"/>
          <w:highlight w:val="none"/>
        </w:rPr>
        <w:t>二）适用于有预付款采购项目（预付款建议不超过政府采购合同金额的30%）</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1.政府采购合同签订生效后10个工作日内，甲方向乙方支付合同金额30%的预付款即     元（大写：      元整）。</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.交货安装调试完毕并经验收合格后，采购人接到中标人提供的与合同清单一致的正规发票15个工作日内支付</w:t>
      </w:r>
      <w:bookmarkStart w:id="365" w:name="_GoBack"/>
      <w:bookmarkEnd w:id="365"/>
      <w:r>
        <w:rPr>
          <w:rFonts w:hint="eastAsia" w:ascii="宋体" w:hAnsi="宋体" w:eastAsia="宋体" w:cs="宋体"/>
          <w:color w:val="auto"/>
          <w:sz w:val="24"/>
          <w:highlight w:val="none"/>
        </w:rPr>
        <w:t xml:space="preserve">合同金额的65%价款即 </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 xml:space="preserve">  元（大写：     元整）</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.12个月后支付合同金额的5%价款即      元（大写：      元整）。</w:t>
      </w:r>
    </w:p>
    <w:p>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4.</w:t>
      </w:r>
      <w:r>
        <w:rPr>
          <w:rFonts w:hint="eastAsia" w:ascii="宋体" w:hAnsi="宋体" w:eastAsia="宋体" w:cs="宋体"/>
          <w:color w:val="auto"/>
          <w:sz w:val="24"/>
        </w:rPr>
        <w:t>乙方须向甲方出具合法有效完整的完税发票及凭证资料进行支付结算。</w:t>
      </w:r>
    </w:p>
    <w:p>
      <w:pPr>
        <w:spacing w:line="360" w:lineRule="auto"/>
        <w:ind w:firstLine="480" w:firstLineChars="200"/>
        <w:outlineLvl w:val="1"/>
        <w:rPr>
          <w:rFonts w:hint="eastAsia" w:ascii="宋体" w:hAnsi="宋体" w:eastAsia="宋体" w:cs="宋体"/>
          <w:color w:val="auto"/>
          <w:sz w:val="24"/>
        </w:rPr>
      </w:pPr>
      <w:bookmarkStart w:id="350" w:name="_Toc217446112"/>
      <w:bookmarkStart w:id="351" w:name="_Toc30416"/>
      <w:bookmarkStart w:id="352" w:name="_Toc12069"/>
      <w:r>
        <w:rPr>
          <w:rFonts w:hint="eastAsia" w:ascii="宋体" w:hAnsi="宋体" w:eastAsia="宋体" w:cs="宋体"/>
          <w:color w:val="auto"/>
          <w:sz w:val="24"/>
        </w:rPr>
        <w:t>六、售后服务</w:t>
      </w:r>
      <w:bookmarkEnd w:id="350"/>
      <w:bookmarkEnd w:id="351"/>
      <w:bookmarkEnd w:id="352"/>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1、质保期为验收合格后XX年，质保期内出现质量问题，乙方在接到通知后   小时内响应到场，    小时内完成维修或更换，并承担修理调换的费用；如货物经乙方   次维修仍不能达到本合同约定的质量标准，视作乙方未能按时交货，甲方有权退货并追究乙方的违约责任。货到现场后由于甲方保管不当造成的问题，乙方亦应负责修复，但费用由甲方负担。</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2、乙方须指派专人负责与甲方联系售后服务事宜。 </w:t>
      </w:r>
    </w:p>
    <w:p>
      <w:pPr>
        <w:spacing w:line="360" w:lineRule="auto"/>
        <w:ind w:firstLine="480" w:firstLineChars="200"/>
        <w:outlineLvl w:val="1"/>
        <w:rPr>
          <w:rFonts w:hint="eastAsia" w:ascii="宋体" w:hAnsi="宋体" w:eastAsia="宋体" w:cs="宋体"/>
          <w:color w:val="auto"/>
          <w:sz w:val="24"/>
        </w:rPr>
      </w:pPr>
      <w:bookmarkStart w:id="353" w:name="_Toc32288"/>
      <w:bookmarkStart w:id="354" w:name="_Toc8900"/>
      <w:bookmarkStart w:id="355" w:name="_Toc217446113"/>
      <w:r>
        <w:rPr>
          <w:rFonts w:hint="eastAsia" w:ascii="宋体" w:hAnsi="宋体" w:eastAsia="宋体" w:cs="宋体"/>
          <w:color w:val="auto"/>
          <w:sz w:val="24"/>
        </w:rPr>
        <w:t>七、违约责任</w:t>
      </w:r>
      <w:bookmarkEnd w:id="353"/>
      <w:bookmarkEnd w:id="354"/>
      <w:bookmarkEnd w:id="355"/>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1、甲方违约责任</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（1） 甲方无正当理由拒收货物的，甲方应偿付合同总价百分之  的违约金；</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（2） 甲方逾期支付货款的，除应及时付足货款外，应向乙方偿付欠款总额万分之</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 xml:space="preserve">   /天的违约金；逾期付款超过  天的，乙方有权终止合同；</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（3） 甲方偿付的违约金不足以弥补乙方损失的，还应按乙方损失尚未弥补的部分，支付赔偿金给乙方。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2、乙方违约责任</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（1）乙方交付的货物质量不符合合同规定的，乙方应向甲方支付合同总价的百分之  的违约金，并须在合同规定的交货时间内更换合格的货物给甲方，否则，视作乙方不能交付货物而违约，按本条本款下述第“（2）”项规定由乙方偿付违约赔偿金给甲方。</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（2）乙方不能交付货物或逾期交付货物而违约的，除应及时交足货物外，应向甲方偿付逾期交货部分货款总额的万分之   /天的违约金；逾期交货超过XX天，甲方有权终止合同，乙方则应按合同总价的百分之  的款额向甲方偿付赔偿金，并须全额退还甲方已经付给乙方的货款及其利息。</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（3）乙方货物经甲方送交具有法定资格条件的质量技术监督机构检测后，如检测结果认定货物质量不符合本合同规定标准的，则视为乙方没有按时交货而违约，乙方须在   天内无条件更换合格的货物，如逾期不能更换合格的货物，甲方有权终止本合同，乙方应另付合同总价的百分之   的赔偿金给甲方。</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   向甲方支付违约金并赔偿因此给甲方造成的一切损失。</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（5）乙方偿付的违约金不足以弥补甲方损失的，还应按甲方损失尚未弥补的部分，支付赔偿金给甲方。</w:t>
      </w:r>
    </w:p>
    <w:p>
      <w:pPr>
        <w:spacing w:line="360" w:lineRule="auto"/>
        <w:ind w:firstLine="480" w:firstLineChars="200"/>
        <w:outlineLvl w:val="1"/>
        <w:rPr>
          <w:rFonts w:hint="eastAsia" w:ascii="宋体" w:hAnsi="宋体" w:eastAsia="宋体" w:cs="宋体"/>
          <w:color w:val="auto"/>
          <w:sz w:val="24"/>
        </w:rPr>
      </w:pPr>
      <w:bookmarkStart w:id="356" w:name="_Toc16752"/>
      <w:bookmarkStart w:id="357" w:name="_Toc2162"/>
      <w:bookmarkStart w:id="358" w:name="_Toc217446114"/>
      <w:r>
        <w:rPr>
          <w:rFonts w:hint="eastAsia" w:ascii="宋体" w:hAnsi="宋体" w:eastAsia="宋体" w:cs="宋体"/>
          <w:color w:val="auto"/>
          <w:sz w:val="24"/>
        </w:rPr>
        <w:t>八、争议解决办法</w:t>
      </w:r>
      <w:bookmarkEnd w:id="356"/>
      <w:bookmarkEnd w:id="357"/>
      <w:bookmarkEnd w:id="358"/>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1、因货物的质量问题发生争议，由质量技术监督部门或其指定的质量鉴定机构进行质量鉴定。货物符合标准的，鉴定费由甲方承担；货物不符合质量标准的，鉴定费由乙方承担。</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2、合同履行期间,若双方发生争议，可协商或由有关部门调解解决，协商或调解不成的，由当事人依法维护其合法权益。</w:t>
      </w:r>
    </w:p>
    <w:p>
      <w:pPr>
        <w:spacing w:line="360" w:lineRule="auto"/>
        <w:ind w:firstLine="480" w:firstLineChars="200"/>
        <w:outlineLvl w:val="1"/>
        <w:rPr>
          <w:rFonts w:hint="eastAsia" w:ascii="宋体" w:hAnsi="宋体" w:eastAsia="宋体" w:cs="宋体"/>
          <w:color w:val="auto"/>
          <w:sz w:val="24"/>
        </w:rPr>
      </w:pPr>
      <w:bookmarkStart w:id="359" w:name="_Toc13757"/>
      <w:bookmarkStart w:id="360" w:name="_Toc17640"/>
      <w:bookmarkStart w:id="361" w:name="_Toc217446115"/>
      <w:r>
        <w:rPr>
          <w:rFonts w:hint="eastAsia" w:ascii="宋体" w:hAnsi="宋体" w:eastAsia="宋体" w:cs="宋体"/>
          <w:color w:val="auto"/>
          <w:sz w:val="24"/>
        </w:rPr>
        <w:t>九、其他</w:t>
      </w:r>
      <w:bookmarkEnd w:id="359"/>
      <w:bookmarkEnd w:id="360"/>
      <w:bookmarkEnd w:id="361"/>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1、如有未尽事宜，由双方依法订立补充合同。</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2、本合同一式六份，自双方签章之日起生效。甲方三份，乙方、政府采购管理部门、采购代理机构各一份。</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甲方：   （盖章）   </w:t>
      </w:r>
      <w:r>
        <w:rPr>
          <w:rFonts w:hint="eastAsia" w:ascii="宋体" w:hAnsi="宋体" w:eastAsia="宋体" w:cs="宋体"/>
          <w:color w:val="auto"/>
          <w:sz w:val="24"/>
        </w:rPr>
        <w:tab/>
      </w:r>
      <w:r>
        <w:rPr>
          <w:rFonts w:hint="eastAsia" w:ascii="宋体" w:hAnsi="宋体" w:eastAsia="宋体" w:cs="宋体"/>
          <w:color w:val="auto"/>
          <w:sz w:val="24"/>
        </w:rPr>
        <w:tab/>
      </w:r>
      <w:r>
        <w:rPr>
          <w:rFonts w:hint="eastAsia" w:ascii="宋体" w:hAnsi="宋体" w:eastAsia="宋体" w:cs="宋体"/>
          <w:color w:val="auto"/>
          <w:sz w:val="24"/>
        </w:rPr>
        <w:tab/>
      </w:r>
      <w:r>
        <w:rPr>
          <w:rFonts w:hint="eastAsia" w:ascii="宋体" w:hAnsi="宋体" w:eastAsia="宋体" w:cs="宋体"/>
          <w:color w:val="auto"/>
          <w:sz w:val="24"/>
        </w:rPr>
        <w:t xml:space="preserve">       乙方：   （盖章）</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法定代表人（授权代表）：           法定代表人（授权代表）：</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地    址：                         地    址：</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开户银行：                         开户银行：</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账号：                             账号：</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电    话：                         电    话：</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传    真：                         传    真：</w:t>
      </w:r>
    </w:p>
    <w:p>
      <w:pPr>
        <w:pStyle w:val="2"/>
        <w:ind w:firstLine="424" w:firstLineChars="177"/>
        <w:rPr>
          <w:color w:val="auto"/>
          <w:sz w:val="24"/>
          <w:szCs w:val="32"/>
        </w:rPr>
      </w:pPr>
      <w:r>
        <w:rPr>
          <w:rFonts w:hint="eastAsia" w:ascii="宋体" w:hAnsi="宋体" w:eastAsia="宋体" w:cs="宋体"/>
          <w:color w:val="auto"/>
          <w:sz w:val="24"/>
        </w:rPr>
        <w:t xml:space="preserve">签约日期：XX年XX月XX日 </w:t>
      </w:r>
      <w:r>
        <w:rPr>
          <w:rFonts w:hint="eastAsia" w:ascii="宋体" w:hAnsi="宋体" w:eastAsia="宋体" w:cs="宋体"/>
          <w:color w:val="auto"/>
          <w:sz w:val="24"/>
        </w:rPr>
        <w:tab/>
      </w:r>
      <w:r>
        <w:rPr>
          <w:rFonts w:hint="eastAsia" w:ascii="宋体" w:hAnsi="宋体" w:eastAsia="宋体" w:cs="宋体"/>
          <w:color w:val="auto"/>
          <w:sz w:val="24"/>
        </w:rPr>
        <w:tab/>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签约日期：XX年XX月XX日</w:t>
      </w:r>
    </w:p>
    <w:p>
      <w:pPr>
        <w:pStyle w:val="2"/>
        <w:spacing w:after="0" w:line="560" w:lineRule="exact"/>
        <w:rPr>
          <w:rFonts w:asciiTheme="minorEastAsia" w:hAnsiTheme="minorEastAsia" w:cstheme="minorEastAsia"/>
          <w:color w:val="auto"/>
          <w:sz w:val="24"/>
          <w:szCs w:val="24"/>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widowControl/>
        <w:jc w:val="left"/>
        <w:rPr>
          <w:rFonts w:ascii="宋体" w:hAnsi="宋体" w:cs="Tahoma"/>
          <w:b/>
          <w:color w:val="auto"/>
          <w:sz w:val="30"/>
          <w:szCs w:val="30"/>
        </w:rPr>
      </w:pPr>
      <w:r>
        <w:rPr>
          <w:rFonts w:ascii="宋体" w:hAnsi="宋体" w:cs="Tahoma"/>
          <w:b/>
          <w:color w:val="auto"/>
          <w:sz w:val="30"/>
          <w:szCs w:val="30"/>
        </w:rPr>
        <w:br w:type="page"/>
      </w:r>
    </w:p>
    <w:p>
      <w:pPr>
        <w:outlineLvl w:val="0"/>
        <w:rPr>
          <w:rFonts w:ascii="宋体" w:hAnsi="宋体" w:cs="Tahoma"/>
          <w:b/>
          <w:color w:val="auto"/>
          <w:sz w:val="30"/>
          <w:szCs w:val="30"/>
        </w:rPr>
      </w:pPr>
      <w:bookmarkStart w:id="362" w:name="_Toc14030"/>
      <w:bookmarkStart w:id="363" w:name="_Toc13441"/>
      <w:bookmarkStart w:id="364" w:name="_Toc28949"/>
      <w:r>
        <w:rPr>
          <w:rFonts w:hint="eastAsia" w:ascii="宋体" w:hAnsi="宋体" w:cs="Tahoma"/>
          <w:b/>
          <w:color w:val="auto"/>
          <w:sz w:val="30"/>
          <w:szCs w:val="30"/>
        </w:rPr>
        <w:t>附件</w:t>
      </w:r>
      <w:bookmarkEnd w:id="362"/>
      <w:bookmarkEnd w:id="363"/>
      <w:bookmarkEnd w:id="364"/>
    </w:p>
    <w:p>
      <w:pPr>
        <w:rPr>
          <w:color w:val="auto"/>
        </w:rPr>
      </w:pPr>
      <w:r>
        <w:rPr>
          <w:color w:val="auto"/>
        </w:rPr>
        <w:drawing>
          <wp:inline distT="0" distB="0" distL="0" distR="0">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r>
        <w:rPr>
          <w:color w:val="auto"/>
        </w:rPr>
        <w:drawing>
          <wp:inline distT="0" distB="0" distL="0" distR="0">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r>
        <w:rPr>
          <w:color w:val="auto"/>
        </w:rP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pPr>
        <w:rPr>
          <w:color w:val="auto"/>
        </w:rPr>
      </w:pPr>
      <w:r>
        <w:rPr>
          <w:color w:val="auto"/>
        </w:rPr>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pPr>
        <w:rPr>
          <w:color w:val="auto"/>
        </w:rPr>
      </w:pPr>
      <w:r>
        <w:rPr>
          <w:color w:val="auto"/>
        </w:rPr>
        <w:drawing>
          <wp:inline distT="0" distB="0" distL="0" distR="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pPr>
        <w:rPr>
          <w:color w:val="auto"/>
        </w:rPr>
      </w:pPr>
      <w:r>
        <w:rPr>
          <w:color w:val="auto"/>
        </w:rPr>
        <w:drawing>
          <wp:inline distT="0" distB="0" distL="0" distR="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sectPr>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4514241"/>
    </w:sdtPr>
    <w:sdtContent>
      <w:p>
        <w:pPr>
          <w:pStyle w:val="27"/>
          <w:ind w:firstLine="480"/>
          <w:jc w:val="center"/>
        </w:pPr>
        <w:r>
          <w:fldChar w:fldCharType="begin"/>
        </w:r>
        <w:r>
          <w:instrText xml:space="preserve">PAGE   \* MERGEFORMAT</w:instrText>
        </w:r>
        <w:r>
          <w:fldChar w:fldCharType="separate"/>
        </w:r>
        <w:r>
          <w:rPr>
            <w:lang w:val="zh-CN"/>
          </w:rPr>
          <w:t>4</w:t>
        </w:r>
        <w: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A8F43"/>
    <w:multiLevelType w:val="singleLevel"/>
    <w:tmpl w:val="82DA8F43"/>
    <w:lvl w:ilvl="0" w:tentative="0">
      <w:start w:val="1"/>
      <w:numFmt w:val="decimal"/>
      <w:suff w:val="nothing"/>
      <w:lvlText w:val="%1."/>
      <w:lvlJc w:val="left"/>
      <w:pPr>
        <w:ind w:left="0" w:firstLine="1134"/>
      </w:pPr>
      <w:rPr>
        <w:rFonts w:hint="default"/>
      </w:rPr>
    </w:lvl>
  </w:abstractNum>
  <w:abstractNum w:abstractNumId="1">
    <w:nsid w:val="B04D8E0A"/>
    <w:multiLevelType w:val="multilevel"/>
    <w:tmpl w:val="B04D8E0A"/>
    <w:lvl w:ilvl="0" w:tentative="0">
      <w:start w:val="1"/>
      <w:numFmt w:val="chineseCounting"/>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231"/>
      <w:suff w:val="nothing"/>
      <w:lvlText w:val="%2、"/>
      <w:lvlJc w:val="left"/>
      <w:pPr>
        <w:ind w:left="-270" w:firstLine="0"/>
      </w:pPr>
      <w:rPr>
        <w:rFonts w:hint="eastAsia" w:ascii="宋体" w:hAnsi="宋体" w:eastAsia="宋体" w:cs="宋体"/>
      </w:rPr>
    </w:lvl>
    <w:lvl w:ilvl="2" w:tentative="0">
      <w:start w:val="1"/>
      <w:numFmt w:val="chineseCounting"/>
      <w:pStyle w:val="233"/>
      <w:suff w:val="nothing"/>
      <w:lvlText w:val="(%3)"/>
      <w:lvlJc w:val="left"/>
      <w:pPr>
        <w:tabs>
          <w:tab w:val="left" w:pos="0"/>
        </w:tabs>
        <w:ind w:left="0" w:firstLine="0"/>
      </w:pPr>
      <w:rPr>
        <w:rFonts w:hint="eastAsia" w:ascii="宋体" w:hAnsi="宋体" w:eastAsia="宋体" w:cs="宋体"/>
      </w:rPr>
    </w:lvl>
    <w:lvl w:ilvl="3" w:tentative="0">
      <w:start w:val="1"/>
      <w:numFmt w:val="decimal"/>
      <w:suff w:val="nothing"/>
      <w:lvlText w:val="%4."/>
      <w:lvlJc w:val="left"/>
      <w:pPr>
        <w:tabs>
          <w:tab w:val="left" w:pos="0"/>
        </w:tabs>
        <w:ind w:left="0" w:firstLine="0"/>
      </w:pPr>
      <w:rPr>
        <w:rFonts w:hint="eastAsia" w:ascii="宋体" w:hAnsi="宋体" w:eastAsia="宋体" w:cs="宋体"/>
      </w:rPr>
    </w:lvl>
    <w:lvl w:ilvl="4" w:tentative="0">
      <w:start w:val="1"/>
      <w:numFmt w:val="decimal"/>
      <w:suff w:val="nothing"/>
      <w:lvlText w:val="%4.%5"/>
      <w:lvlJc w:val="left"/>
      <w:pPr>
        <w:ind w:left="0" w:firstLine="0"/>
      </w:pPr>
      <w:rPr>
        <w:rFonts w:hint="eastAsia" w:ascii="宋体" w:hAnsi="宋体" w:eastAsia="宋体" w:cs="宋体"/>
      </w:rPr>
    </w:lvl>
    <w:lvl w:ilvl="5" w:tentative="0">
      <w:start w:val="1"/>
      <w:numFmt w:val="decimal"/>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CAB6340F"/>
    <w:multiLevelType w:val="singleLevel"/>
    <w:tmpl w:val="CAB6340F"/>
    <w:lvl w:ilvl="0" w:tentative="0">
      <w:start w:val="1"/>
      <w:numFmt w:val="decimal"/>
      <w:suff w:val="nothing"/>
      <w:lvlText w:val="%1."/>
      <w:lvlJc w:val="left"/>
      <w:pPr>
        <w:ind w:left="0" w:firstLine="1134"/>
      </w:pPr>
      <w:rPr>
        <w:rFonts w:hint="default"/>
      </w:rPr>
    </w:lvl>
  </w:abstractNum>
  <w:abstractNum w:abstractNumId="3">
    <w:nsid w:val="F615ECFC"/>
    <w:multiLevelType w:val="singleLevel"/>
    <w:tmpl w:val="F615ECFC"/>
    <w:lvl w:ilvl="0" w:tentative="0">
      <w:start w:val="1"/>
      <w:numFmt w:val="decimal"/>
      <w:lvlText w:val="%1."/>
      <w:lvlJc w:val="left"/>
      <w:pPr>
        <w:tabs>
          <w:tab w:val="left" w:pos="312"/>
        </w:tabs>
      </w:pPr>
    </w:lvl>
  </w:abstractNum>
  <w:abstractNum w:abstractNumId="4">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5">
    <w:nsid w:val="00000015"/>
    <w:multiLevelType w:val="multilevel"/>
    <w:tmpl w:val="00000015"/>
    <w:lvl w:ilvl="0" w:tentative="0">
      <w:start w:val="1"/>
      <w:numFmt w:val="decimal"/>
      <w:isLgl/>
      <w:lvlText w:val="%1"/>
      <w:lvlJc w:val="left"/>
      <w:pPr>
        <w:ind w:left="425" w:hanging="425"/>
      </w:pPr>
      <w:rPr>
        <w:rFonts w:hint="eastAsia"/>
      </w:rPr>
    </w:lvl>
    <w:lvl w:ilvl="1" w:tentative="0">
      <w:start w:val="1"/>
      <w:numFmt w:val="decimal"/>
      <w:pStyle w:val="230"/>
      <w:isLgl/>
      <w:lvlText w:val="%1.%2"/>
      <w:lvlJc w:val="left"/>
      <w:pPr>
        <w:ind w:left="992" w:hanging="567"/>
      </w:pPr>
      <w:rPr>
        <w:rFonts w:hint="eastAsia"/>
      </w:rPr>
    </w:lvl>
    <w:lvl w:ilvl="2" w:tentative="0">
      <w:start w:val="25"/>
      <w:numFmt w:val="decimal"/>
      <w:lvlText w:val="%3."/>
      <w:lvlJc w:val="left"/>
      <w:pPr>
        <w:ind w:left="1418" w:hanging="964"/>
      </w:pPr>
      <w:rPr>
        <w:rFonts w:hint="eastAsia" w:ascii="宋体" w:hAnsi="宋体" w:eastAsia="宋体" w:cs="Times New Roman"/>
        <w:bCs w:val="0"/>
        <w:i w:val="0"/>
        <w:iCs w:val="0"/>
        <w:caps w:val="0"/>
        <w:smallCaps w:val="0"/>
        <w:vanish w:val="0"/>
        <w:color w:val="000000"/>
        <w:spacing w:val="0"/>
        <w:kern w:val="0"/>
        <w:position w:val="0"/>
        <w:sz w:val="24"/>
        <w:szCs w:val="24"/>
        <w:u w:val="none"/>
        <w:vertAlign w:val="baseline"/>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8"/>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9"/>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0">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1">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29"/>
    <w:multiLevelType w:val="multilevel"/>
    <w:tmpl w:val="00000029"/>
    <w:lvl w:ilvl="0" w:tentative="0">
      <w:start w:val="1"/>
      <w:numFmt w:val="decimal"/>
      <w:lvlText w:val="%1."/>
      <w:lvlJc w:val="left"/>
      <w:pPr>
        <w:ind w:left="1271"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4">
    <w:nsid w:val="0000002E"/>
    <w:multiLevelType w:val="multilevel"/>
    <w:tmpl w:val="0000002E"/>
    <w:lvl w:ilvl="0" w:tentative="0">
      <w:start w:val="1"/>
      <w:numFmt w:val="decimal"/>
      <w:pStyle w:val="4"/>
      <w:lvlText w:val="第%1章"/>
      <w:lvlJc w:val="left"/>
      <w:pPr>
        <w:ind w:left="3118" w:hanging="425"/>
      </w:pPr>
      <w:rPr>
        <w:rFonts w:hint="default" w:ascii="Times New Roman" w:hAnsi="Times New Roman" w:eastAsia="宋体" w:cs="Times New Roman"/>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5">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3E"/>
    <w:multiLevelType w:val="multilevel"/>
    <w:tmpl w:val="0000003E"/>
    <w:lvl w:ilvl="0" w:tentative="0">
      <w:start w:val="1"/>
      <w:numFmt w:val="chineseCountingThousand"/>
      <w:suff w:val="nothing"/>
      <w:lvlText w:val="%1、"/>
      <w:lvlJc w:val="left"/>
      <w:pPr>
        <w:ind w:left="2126" w:hanging="420"/>
      </w:pPr>
      <w:rPr>
        <w:b/>
        <w:i w:val="0"/>
        <w:lang w:val="en-US"/>
      </w:rPr>
    </w:lvl>
    <w:lvl w:ilvl="1" w:tentative="0">
      <w:start w:val="1"/>
      <w:numFmt w:val="decimal"/>
      <w:lvlText w:val="%2、"/>
      <w:lvlJc w:val="left"/>
      <w:pPr>
        <w:ind w:left="2122" w:hanging="1125"/>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18">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43"/>
    <w:multiLevelType w:val="multilevel"/>
    <w:tmpl w:val="00000043"/>
    <w:lvl w:ilvl="0" w:tentative="0">
      <w:start w:val="1"/>
      <w:numFmt w:val="chineseCountingThousand"/>
      <w:lvlText w:val="%1、"/>
      <w:lvlJc w:val="left"/>
      <w:pPr>
        <w:ind w:left="1413" w:hanging="420"/>
      </w:pPr>
      <w:rPr>
        <w:color w:val="auto"/>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0">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1">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2">
    <w:nsid w:val="0B7C44A9"/>
    <w:multiLevelType w:val="multilevel"/>
    <w:tmpl w:val="0B7C44A9"/>
    <w:lvl w:ilvl="0" w:tentative="0">
      <w:start w:val="1"/>
      <w:numFmt w:val="japaneseCounting"/>
      <w:lvlText w:val="%1、"/>
      <w:lvlJc w:val="left"/>
      <w:pPr>
        <w:ind w:left="1266" w:hanging="720"/>
      </w:pPr>
      <w:rPr>
        <w:rFonts w:hint="default"/>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3">
    <w:nsid w:val="0D6B6379"/>
    <w:multiLevelType w:val="multilevel"/>
    <w:tmpl w:val="0D6B6379"/>
    <w:lvl w:ilvl="0" w:tentative="0">
      <w:start w:val="1"/>
      <w:numFmt w:val="chineseCountingThousand"/>
      <w:lvlText w:val="%1、"/>
      <w:lvlJc w:val="left"/>
      <w:pPr>
        <w:ind w:left="1838" w:hanging="420"/>
      </w:p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24">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5">
    <w:nsid w:val="1DA62241"/>
    <w:multiLevelType w:val="multilevel"/>
    <w:tmpl w:val="1DA62241"/>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6">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2B883668"/>
    <w:multiLevelType w:val="multilevel"/>
    <w:tmpl w:val="2B883668"/>
    <w:lvl w:ilvl="0" w:tentative="0">
      <w:start w:val="1"/>
      <w:numFmt w:val="chineseCountingThousand"/>
      <w:lvlText w:val="(%1)"/>
      <w:lvlJc w:val="left"/>
      <w:pPr>
        <w:ind w:left="297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3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2">
    <w:nsid w:val="4ACE7CA3"/>
    <w:multiLevelType w:val="multilevel"/>
    <w:tmpl w:val="4ACE7CA3"/>
    <w:lvl w:ilvl="0" w:tentative="0">
      <w:start w:val="1"/>
      <w:numFmt w:val="decimal"/>
      <w:lvlText w:val="%1."/>
      <w:lvlJc w:val="left"/>
      <w:pPr>
        <w:ind w:left="700" w:hanging="420"/>
      </w:p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33">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4C72071B"/>
    <w:multiLevelType w:val="multilevel"/>
    <w:tmpl w:val="4C72071B"/>
    <w:lvl w:ilvl="0" w:tentative="0">
      <w:start w:val="1"/>
      <w:numFmt w:val="chineseCountingThousand"/>
      <w:lvlText w:val="%1、"/>
      <w:lvlJc w:val="left"/>
      <w:pPr>
        <w:ind w:left="420"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5C9D4CB5"/>
    <w:multiLevelType w:val="multilevel"/>
    <w:tmpl w:val="5C9D4CB5"/>
    <w:lvl w:ilvl="0" w:tentative="0">
      <w:start w:val="1"/>
      <w:numFmt w:val="decimal"/>
      <w:lvlText w:val="%1."/>
      <w:lvlJc w:val="left"/>
      <w:pPr>
        <w:ind w:left="7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17229B6"/>
    <w:multiLevelType w:val="multilevel"/>
    <w:tmpl w:val="617229B6"/>
    <w:lvl w:ilvl="0" w:tentative="0">
      <w:start w:val="1"/>
      <w:numFmt w:val="chineseCountingThousand"/>
      <w:lvlText w:val="%1、"/>
      <w:lvlJc w:val="left"/>
      <w:pPr>
        <w:ind w:left="96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38064AA"/>
    <w:multiLevelType w:val="multilevel"/>
    <w:tmpl w:val="638064A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3">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4">
    <w:nsid w:val="72C4FF02"/>
    <w:multiLevelType w:val="singleLevel"/>
    <w:tmpl w:val="72C4FF02"/>
    <w:lvl w:ilvl="0" w:tentative="0">
      <w:start w:val="1"/>
      <w:numFmt w:val="decimal"/>
      <w:suff w:val="nothing"/>
      <w:lvlText w:val="（%1）"/>
      <w:lvlJc w:val="left"/>
    </w:lvl>
  </w:abstractNum>
  <w:abstractNum w:abstractNumId="45">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7">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8">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4"/>
  </w:num>
  <w:num w:numId="2">
    <w:abstractNumId w:val="9"/>
  </w:num>
  <w:num w:numId="3">
    <w:abstractNumId w:val="5"/>
  </w:num>
  <w:num w:numId="4">
    <w:abstractNumId w:val="1"/>
  </w:num>
  <w:num w:numId="5">
    <w:abstractNumId w:val="3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4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3"/>
  </w:num>
  <w:num w:numId="39">
    <w:abstractNumId w:val="0"/>
  </w:num>
  <w:num w:numId="40">
    <w:abstractNumId w:val="2"/>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4AD"/>
    <w:rsid w:val="00012151"/>
    <w:rsid w:val="00012626"/>
    <w:rsid w:val="000141F6"/>
    <w:rsid w:val="00014A41"/>
    <w:rsid w:val="000175B6"/>
    <w:rsid w:val="0001799E"/>
    <w:rsid w:val="000243B4"/>
    <w:rsid w:val="00027377"/>
    <w:rsid w:val="00030E31"/>
    <w:rsid w:val="00034235"/>
    <w:rsid w:val="0003441E"/>
    <w:rsid w:val="000352C7"/>
    <w:rsid w:val="00036D45"/>
    <w:rsid w:val="00037CCE"/>
    <w:rsid w:val="000403DE"/>
    <w:rsid w:val="000514D3"/>
    <w:rsid w:val="000518B7"/>
    <w:rsid w:val="00051C10"/>
    <w:rsid w:val="000556AE"/>
    <w:rsid w:val="00056BC2"/>
    <w:rsid w:val="00060F5A"/>
    <w:rsid w:val="00061B1F"/>
    <w:rsid w:val="00062ED3"/>
    <w:rsid w:val="00064CC8"/>
    <w:rsid w:val="00071C77"/>
    <w:rsid w:val="00072223"/>
    <w:rsid w:val="0007245D"/>
    <w:rsid w:val="00072790"/>
    <w:rsid w:val="00072B3D"/>
    <w:rsid w:val="00073BDD"/>
    <w:rsid w:val="000740B8"/>
    <w:rsid w:val="00075226"/>
    <w:rsid w:val="0008183B"/>
    <w:rsid w:val="0008351A"/>
    <w:rsid w:val="0008396B"/>
    <w:rsid w:val="00090CEC"/>
    <w:rsid w:val="00094004"/>
    <w:rsid w:val="00094BF4"/>
    <w:rsid w:val="00096806"/>
    <w:rsid w:val="00096E03"/>
    <w:rsid w:val="00097F27"/>
    <w:rsid w:val="000A04C0"/>
    <w:rsid w:val="000A0A88"/>
    <w:rsid w:val="000A1D1F"/>
    <w:rsid w:val="000A2F7D"/>
    <w:rsid w:val="000A6A86"/>
    <w:rsid w:val="000B0566"/>
    <w:rsid w:val="000B0BDD"/>
    <w:rsid w:val="000B6BFA"/>
    <w:rsid w:val="000C011B"/>
    <w:rsid w:val="000C156C"/>
    <w:rsid w:val="000C4591"/>
    <w:rsid w:val="000C52E5"/>
    <w:rsid w:val="000C7E06"/>
    <w:rsid w:val="000D18C0"/>
    <w:rsid w:val="000D261C"/>
    <w:rsid w:val="000D28CC"/>
    <w:rsid w:val="000D4993"/>
    <w:rsid w:val="000E7E9D"/>
    <w:rsid w:val="000F0E67"/>
    <w:rsid w:val="000F472C"/>
    <w:rsid w:val="000F60AD"/>
    <w:rsid w:val="001032A8"/>
    <w:rsid w:val="001050C6"/>
    <w:rsid w:val="0010588D"/>
    <w:rsid w:val="00105E67"/>
    <w:rsid w:val="00106612"/>
    <w:rsid w:val="001073E5"/>
    <w:rsid w:val="00107411"/>
    <w:rsid w:val="00111D9C"/>
    <w:rsid w:val="0011368F"/>
    <w:rsid w:val="00117416"/>
    <w:rsid w:val="001178B2"/>
    <w:rsid w:val="00117E9F"/>
    <w:rsid w:val="00120CE7"/>
    <w:rsid w:val="00121DB8"/>
    <w:rsid w:val="00122BD7"/>
    <w:rsid w:val="00122D97"/>
    <w:rsid w:val="001237A6"/>
    <w:rsid w:val="00123A95"/>
    <w:rsid w:val="001262A7"/>
    <w:rsid w:val="00127207"/>
    <w:rsid w:val="00132C64"/>
    <w:rsid w:val="00134BA8"/>
    <w:rsid w:val="001408B7"/>
    <w:rsid w:val="00140D68"/>
    <w:rsid w:val="001449F9"/>
    <w:rsid w:val="00144FDB"/>
    <w:rsid w:val="00145046"/>
    <w:rsid w:val="00145269"/>
    <w:rsid w:val="001471FF"/>
    <w:rsid w:val="00153AED"/>
    <w:rsid w:val="00153CE6"/>
    <w:rsid w:val="00155145"/>
    <w:rsid w:val="00165FD4"/>
    <w:rsid w:val="00167216"/>
    <w:rsid w:val="00171B30"/>
    <w:rsid w:val="00182644"/>
    <w:rsid w:val="00183A95"/>
    <w:rsid w:val="001861B9"/>
    <w:rsid w:val="001902FC"/>
    <w:rsid w:val="00192DEE"/>
    <w:rsid w:val="001A11CD"/>
    <w:rsid w:val="001A16D4"/>
    <w:rsid w:val="001A268E"/>
    <w:rsid w:val="001A7C04"/>
    <w:rsid w:val="001B0B26"/>
    <w:rsid w:val="001B33BD"/>
    <w:rsid w:val="001B63D8"/>
    <w:rsid w:val="001B6694"/>
    <w:rsid w:val="001C04F2"/>
    <w:rsid w:val="001C6504"/>
    <w:rsid w:val="001C7B91"/>
    <w:rsid w:val="001D0739"/>
    <w:rsid w:val="001D38C2"/>
    <w:rsid w:val="001D57E6"/>
    <w:rsid w:val="001D7B13"/>
    <w:rsid w:val="001E2114"/>
    <w:rsid w:val="001E369C"/>
    <w:rsid w:val="001E3E2B"/>
    <w:rsid w:val="001E567F"/>
    <w:rsid w:val="001E7BDE"/>
    <w:rsid w:val="001E7D2D"/>
    <w:rsid w:val="001F0B35"/>
    <w:rsid w:val="001F412D"/>
    <w:rsid w:val="00201F03"/>
    <w:rsid w:val="0020244C"/>
    <w:rsid w:val="00234BAB"/>
    <w:rsid w:val="0023546D"/>
    <w:rsid w:val="002359E9"/>
    <w:rsid w:val="0024454D"/>
    <w:rsid w:val="00250119"/>
    <w:rsid w:val="002527EB"/>
    <w:rsid w:val="0025426D"/>
    <w:rsid w:val="002572A3"/>
    <w:rsid w:val="0026057E"/>
    <w:rsid w:val="00266214"/>
    <w:rsid w:val="00274FCE"/>
    <w:rsid w:val="00276D9B"/>
    <w:rsid w:val="00277630"/>
    <w:rsid w:val="00281AF2"/>
    <w:rsid w:val="0028299F"/>
    <w:rsid w:val="00284814"/>
    <w:rsid w:val="00290A5C"/>
    <w:rsid w:val="00290E1D"/>
    <w:rsid w:val="00291F58"/>
    <w:rsid w:val="002923EA"/>
    <w:rsid w:val="0029432D"/>
    <w:rsid w:val="0029763D"/>
    <w:rsid w:val="002A0908"/>
    <w:rsid w:val="002A1D4A"/>
    <w:rsid w:val="002A21E7"/>
    <w:rsid w:val="002A4E91"/>
    <w:rsid w:val="002A6C35"/>
    <w:rsid w:val="002A6CBC"/>
    <w:rsid w:val="002A734D"/>
    <w:rsid w:val="002A7579"/>
    <w:rsid w:val="002B1ABE"/>
    <w:rsid w:val="002B2470"/>
    <w:rsid w:val="002B30CF"/>
    <w:rsid w:val="002B46A8"/>
    <w:rsid w:val="002B5F08"/>
    <w:rsid w:val="002B6C18"/>
    <w:rsid w:val="002B729A"/>
    <w:rsid w:val="002B7FDA"/>
    <w:rsid w:val="002C022D"/>
    <w:rsid w:val="002C0CB9"/>
    <w:rsid w:val="002C184B"/>
    <w:rsid w:val="002C758B"/>
    <w:rsid w:val="002D1454"/>
    <w:rsid w:val="002D219C"/>
    <w:rsid w:val="002D23E6"/>
    <w:rsid w:val="002D37C4"/>
    <w:rsid w:val="002E18B1"/>
    <w:rsid w:val="002F2C78"/>
    <w:rsid w:val="002F4288"/>
    <w:rsid w:val="003048DB"/>
    <w:rsid w:val="00305022"/>
    <w:rsid w:val="00305EB7"/>
    <w:rsid w:val="00306F8F"/>
    <w:rsid w:val="00310E45"/>
    <w:rsid w:val="00311377"/>
    <w:rsid w:val="00312404"/>
    <w:rsid w:val="003136FF"/>
    <w:rsid w:val="00315FD1"/>
    <w:rsid w:val="003160DE"/>
    <w:rsid w:val="00317FDF"/>
    <w:rsid w:val="00321B72"/>
    <w:rsid w:val="003259DB"/>
    <w:rsid w:val="00325D4A"/>
    <w:rsid w:val="00330931"/>
    <w:rsid w:val="00345ACC"/>
    <w:rsid w:val="003466A1"/>
    <w:rsid w:val="0035095F"/>
    <w:rsid w:val="00351C5C"/>
    <w:rsid w:val="00352CC6"/>
    <w:rsid w:val="00363C38"/>
    <w:rsid w:val="0036589D"/>
    <w:rsid w:val="003671A2"/>
    <w:rsid w:val="00367A2C"/>
    <w:rsid w:val="00370BBF"/>
    <w:rsid w:val="003713D7"/>
    <w:rsid w:val="00376071"/>
    <w:rsid w:val="003772F0"/>
    <w:rsid w:val="0037775B"/>
    <w:rsid w:val="00377878"/>
    <w:rsid w:val="00380680"/>
    <w:rsid w:val="0038110B"/>
    <w:rsid w:val="003826D1"/>
    <w:rsid w:val="00384BF6"/>
    <w:rsid w:val="003854BD"/>
    <w:rsid w:val="00385B50"/>
    <w:rsid w:val="003872B9"/>
    <w:rsid w:val="0039004F"/>
    <w:rsid w:val="00392220"/>
    <w:rsid w:val="00392669"/>
    <w:rsid w:val="003973AA"/>
    <w:rsid w:val="003A464B"/>
    <w:rsid w:val="003B0EED"/>
    <w:rsid w:val="003B254C"/>
    <w:rsid w:val="003B3D08"/>
    <w:rsid w:val="003B4E95"/>
    <w:rsid w:val="003C1755"/>
    <w:rsid w:val="003C22B2"/>
    <w:rsid w:val="003C2DEB"/>
    <w:rsid w:val="003C7DC4"/>
    <w:rsid w:val="003D0335"/>
    <w:rsid w:val="003D3695"/>
    <w:rsid w:val="003D5D1A"/>
    <w:rsid w:val="003E0EC4"/>
    <w:rsid w:val="003E352F"/>
    <w:rsid w:val="003E6168"/>
    <w:rsid w:val="003F0EB3"/>
    <w:rsid w:val="003F19C0"/>
    <w:rsid w:val="003F231B"/>
    <w:rsid w:val="003F2B24"/>
    <w:rsid w:val="003F449C"/>
    <w:rsid w:val="004023F4"/>
    <w:rsid w:val="004030C8"/>
    <w:rsid w:val="004044F7"/>
    <w:rsid w:val="0040550B"/>
    <w:rsid w:val="004110CF"/>
    <w:rsid w:val="004132E6"/>
    <w:rsid w:val="00414D00"/>
    <w:rsid w:val="00414E09"/>
    <w:rsid w:val="0041672F"/>
    <w:rsid w:val="00416936"/>
    <w:rsid w:val="004216B6"/>
    <w:rsid w:val="00421A24"/>
    <w:rsid w:val="004417D5"/>
    <w:rsid w:val="00444A4E"/>
    <w:rsid w:val="00450758"/>
    <w:rsid w:val="00453E3D"/>
    <w:rsid w:val="00454540"/>
    <w:rsid w:val="00454B38"/>
    <w:rsid w:val="00455E6A"/>
    <w:rsid w:val="00461D47"/>
    <w:rsid w:val="0046315B"/>
    <w:rsid w:val="004642AB"/>
    <w:rsid w:val="00473B52"/>
    <w:rsid w:val="00487696"/>
    <w:rsid w:val="00490EB1"/>
    <w:rsid w:val="00492416"/>
    <w:rsid w:val="00492A31"/>
    <w:rsid w:val="004937FB"/>
    <w:rsid w:val="00496BF2"/>
    <w:rsid w:val="00497D96"/>
    <w:rsid w:val="004A33F2"/>
    <w:rsid w:val="004A46B7"/>
    <w:rsid w:val="004A7164"/>
    <w:rsid w:val="004B5BC1"/>
    <w:rsid w:val="004C0629"/>
    <w:rsid w:val="004C21C1"/>
    <w:rsid w:val="004C2617"/>
    <w:rsid w:val="004C749A"/>
    <w:rsid w:val="004D1459"/>
    <w:rsid w:val="004D4127"/>
    <w:rsid w:val="004D4BD8"/>
    <w:rsid w:val="004D5161"/>
    <w:rsid w:val="004D51B2"/>
    <w:rsid w:val="004D57C1"/>
    <w:rsid w:val="004E6249"/>
    <w:rsid w:val="004E629C"/>
    <w:rsid w:val="004E69F1"/>
    <w:rsid w:val="004F5AA1"/>
    <w:rsid w:val="004F5C26"/>
    <w:rsid w:val="004F5F12"/>
    <w:rsid w:val="004F77EB"/>
    <w:rsid w:val="00501B1F"/>
    <w:rsid w:val="00503FAD"/>
    <w:rsid w:val="00512A0A"/>
    <w:rsid w:val="00514897"/>
    <w:rsid w:val="00516E36"/>
    <w:rsid w:val="00516FA0"/>
    <w:rsid w:val="00520369"/>
    <w:rsid w:val="005211D0"/>
    <w:rsid w:val="00521CCA"/>
    <w:rsid w:val="00525240"/>
    <w:rsid w:val="005267BB"/>
    <w:rsid w:val="0053002C"/>
    <w:rsid w:val="005357F0"/>
    <w:rsid w:val="00540B6F"/>
    <w:rsid w:val="0054101C"/>
    <w:rsid w:val="005416D4"/>
    <w:rsid w:val="005416FA"/>
    <w:rsid w:val="00543F8F"/>
    <w:rsid w:val="0054431E"/>
    <w:rsid w:val="005503FB"/>
    <w:rsid w:val="00552345"/>
    <w:rsid w:val="0055261B"/>
    <w:rsid w:val="00552FFC"/>
    <w:rsid w:val="00553FA1"/>
    <w:rsid w:val="005551E8"/>
    <w:rsid w:val="005644DF"/>
    <w:rsid w:val="0056629C"/>
    <w:rsid w:val="00570B90"/>
    <w:rsid w:val="00570C5A"/>
    <w:rsid w:val="005814A1"/>
    <w:rsid w:val="00591B1A"/>
    <w:rsid w:val="0059252D"/>
    <w:rsid w:val="005A0A72"/>
    <w:rsid w:val="005A0D32"/>
    <w:rsid w:val="005A3BB6"/>
    <w:rsid w:val="005A4C6D"/>
    <w:rsid w:val="005A635F"/>
    <w:rsid w:val="005A70E8"/>
    <w:rsid w:val="005B4FC8"/>
    <w:rsid w:val="005B68C0"/>
    <w:rsid w:val="005C0053"/>
    <w:rsid w:val="005C0EE2"/>
    <w:rsid w:val="005C2371"/>
    <w:rsid w:val="005C432F"/>
    <w:rsid w:val="005C6364"/>
    <w:rsid w:val="005D2B6B"/>
    <w:rsid w:val="005E19F0"/>
    <w:rsid w:val="005E295C"/>
    <w:rsid w:val="005E5BCB"/>
    <w:rsid w:val="005F120B"/>
    <w:rsid w:val="005F16CC"/>
    <w:rsid w:val="005F43EC"/>
    <w:rsid w:val="005F6D42"/>
    <w:rsid w:val="00602082"/>
    <w:rsid w:val="006026DE"/>
    <w:rsid w:val="006065F6"/>
    <w:rsid w:val="00612ABE"/>
    <w:rsid w:val="00626E71"/>
    <w:rsid w:val="00627080"/>
    <w:rsid w:val="006308A5"/>
    <w:rsid w:val="00631D06"/>
    <w:rsid w:val="00632023"/>
    <w:rsid w:val="006320B8"/>
    <w:rsid w:val="006378C1"/>
    <w:rsid w:val="006423D5"/>
    <w:rsid w:val="00642C40"/>
    <w:rsid w:val="0064767E"/>
    <w:rsid w:val="00647A70"/>
    <w:rsid w:val="00647AC9"/>
    <w:rsid w:val="0065074A"/>
    <w:rsid w:val="00653F0D"/>
    <w:rsid w:val="006548AC"/>
    <w:rsid w:val="00654DD5"/>
    <w:rsid w:val="006557AD"/>
    <w:rsid w:val="00656604"/>
    <w:rsid w:val="0066243E"/>
    <w:rsid w:val="00662E72"/>
    <w:rsid w:val="00666707"/>
    <w:rsid w:val="006670AD"/>
    <w:rsid w:val="00671E18"/>
    <w:rsid w:val="00673782"/>
    <w:rsid w:val="00675258"/>
    <w:rsid w:val="0067612D"/>
    <w:rsid w:val="00676662"/>
    <w:rsid w:val="00680663"/>
    <w:rsid w:val="00680AEF"/>
    <w:rsid w:val="0068137A"/>
    <w:rsid w:val="0068568B"/>
    <w:rsid w:val="00685F5A"/>
    <w:rsid w:val="006872FD"/>
    <w:rsid w:val="0068756E"/>
    <w:rsid w:val="0069089A"/>
    <w:rsid w:val="006909B9"/>
    <w:rsid w:val="0069285A"/>
    <w:rsid w:val="00696759"/>
    <w:rsid w:val="006A0295"/>
    <w:rsid w:val="006A39DB"/>
    <w:rsid w:val="006A601C"/>
    <w:rsid w:val="006A764C"/>
    <w:rsid w:val="006A767F"/>
    <w:rsid w:val="006B177B"/>
    <w:rsid w:val="006B5446"/>
    <w:rsid w:val="006B7235"/>
    <w:rsid w:val="006C0C79"/>
    <w:rsid w:val="006C352A"/>
    <w:rsid w:val="006C5F89"/>
    <w:rsid w:val="006C7481"/>
    <w:rsid w:val="006D0175"/>
    <w:rsid w:val="006D0667"/>
    <w:rsid w:val="006D3D22"/>
    <w:rsid w:val="006E3106"/>
    <w:rsid w:val="006E3F62"/>
    <w:rsid w:val="006E4F22"/>
    <w:rsid w:val="006E6EFB"/>
    <w:rsid w:val="006E7141"/>
    <w:rsid w:val="006F02B4"/>
    <w:rsid w:val="006F0597"/>
    <w:rsid w:val="006F50E4"/>
    <w:rsid w:val="006F6EA6"/>
    <w:rsid w:val="006F7414"/>
    <w:rsid w:val="006F7952"/>
    <w:rsid w:val="00700B80"/>
    <w:rsid w:val="00702EBA"/>
    <w:rsid w:val="00705675"/>
    <w:rsid w:val="00705EED"/>
    <w:rsid w:val="007101E0"/>
    <w:rsid w:val="00712A0B"/>
    <w:rsid w:val="007153CC"/>
    <w:rsid w:val="00715456"/>
    <w:rsid w:val="0071625D"/>
    <w:rsid w:val="00717BA9"/>
    <w:rsid w:val="00717DA5"/>
    <w:rsid w:val="00721223"/>
    <w:rsid w:val="00726D1D"/>
    <w:rsid w:val="00730EE6"/>
    <w:rsid w:val="00735501"/>
    <w:rsid w:val="00740A2F"/>
    <w:rsid w:val="007513A7"/>
    <w:rsid w:val="00751480"/>
    <w:rsid w:val="00752CD1"/>
    <w:rsid w:val="0075340E"/>
    <w:rsid w:val="007540E4"/>
    <w:rsid w:val="007560BF"/>
    <w:rsid w:val="007571C9"/>
    <w:rsid w:val="00757DEB"/>
    <w:rsid w:val="007639DD"/>
    <w:rsid w:val="00764320"/>
    <w:rsid w:val="0076642E"/>
    <w:rsid w:val="00767EFE"/>
    <w:rsid w:val="00770A0A"/>
    <w:rsid w:val="007712B8"/>
    <w:rsid w:val="007715F6"/>
    <w:rsid w:val="007719E0"/>
    <w:rsid w:val="00773D82"/>
    <w:rsid w:val="0077555F"/>
    <w:rsid w:val="00776951"/>
    <w:rsid w:val="00780C5B"/>
    <w:rsid w:val="00783451"/>
    <w:rsid w:val="00783E48"/>
    <w:rsid w:val="00786497"/>
    <w:rsid w:val="00791666"/>
    <w:rsid w:val="00793530"/>
    <w:rsid w:val="00795F4E"/>
    <w:rsid w:val="007A0A96"/>
    <w:rsid w:val="007A2038"/>
    <w:rsid w:val="007A4A3A"/>
    <w:rsid w:val="007A6EF2"/>
    <w:rsid w:val="007B038E"/>
    <w:rsid w:val="007B0CFC"/>
    <w:rsid w:val="007B1777"/>
    <w:rsid w:val="007B4D7C"/>
    <w:rsid w:val="007B560F"/>
    <w:rsid w:val="007B5FB7"/>
    <w:rsid w:val="007B6E0E"/>
    <w:rsid w:val="007C6002"/>
    <w:rsid w:val="007C7BFC"/>
    <w:rsid w:val="007C7CBC"/>
    <w:rsid w:val="007D2E1D"/>
    <w:rsid w:val="007D4EB4"/>
    <w:rsid w:val="007D5868"/>
    <w:rsid w:val="007D58FF"/>
    <w:rsid w:val="007D5C21"/>
    <w:rsid w:val="007D610F"/>
    <w:rsid w:val="007D64B2"/>
    <w:rsid w:val="007D6D58"/>
    <w:rsid w:val="007D7265"/>
    <w:rsid w:val="007D7BDB"/>
    <w:rsid w:val="007E2A9E"/>
    <w:rsid w:val="007E45B9"/>
    <w:rsid w:val="007E5548"/>
    <w:rsid w:val="007F07FA"/>
    <w:rsid w:val="007F77C7"/>
    <w:rsid w:val="00802C18"/>
    <w:rsid w:val="00806E5E"/>
    <w:rsid w:val="008079EB"/>
    <w:rsid w:val="00807CC4"/>
    <w:rsid w:val="00815525"/>
    <w:rsid w:val="00815E39"/>
    <w:rsid w:val="00816B68"/>
    <w:rsid w:val="00821EFD"/>
    <w:rsid w:val="00822E8B"/>
    <w:rsid w:val="00827831"/>
    <w:rsid w:val="00827890"/>
    <w:rsid w:val="0083164D"/>
    <w:rsid w:val="008318C0"/>
    <w:rsid w:val="00832F16"/>
    <w:rsid w:val="008344E1"/>
    <w:rsid w:val="00836B86"/>
    <w:rsid w:val="00837091"/>
    <w:rsid w:val="008409EE"/>
    <w:rsid w:val="0084516F"/>
    <w:rsid w:val="008465E3"/>
    <w:rsid w:val="00846A31"/>
    <w:rsid w:val="00846BBB"/>
    <w:rsid w:val="00851A19"/>
    <w:rsid w:val="0085377B"/>
    <w:rsid w:val="00855DF8"/>
    <w:rsid w:val="008602E5"/>
    <w:rsid w:val="0086235F"/>
    <w:rsid w:val="00863FFA"/>
    <w:rsid w:val="00864349"/>
    <w:rsid w:val="00865690"/>
    <w:rsid w:val="0087013A"/>
    <w:rsid w:val="00872610"/>
    <w:rsid w:val="0087328A"/>
    <w:rsid w:val="00880B9B"/>
    <w:rsid w:val="008854E1"/>
    <w:rsid w:val="00887597"/>
    <w:rsid w:val="00890872"/>
    <w:rsid w:val="00894014"/>
    <w:rsid w:val="00894C03"/>
    <w:rsid w:val="00894FD9"/>
    <w:rsid w:val="00895FBF"/>
    <w:rsid w:val="008A0693"/>
    <w:rsid w:val="008A31B9"/>
    <w:rsid w:val="008A50AC"/>
    <w:rsid w:val="008B6096"/>
    <w:rsid w:val="008B6379"/>
    <w:rsid w:val="008B68D8"/>
    <w:rsid w:val="008C269A"/>
    <w:rsid w:val="008C2BE7"/>
    <w:rsid w:val="008C411C"/>
    <w:rsid w:val="008C6003"/>
    <w:rsid w:val="008D0437"/>
    <w:rsid w:val="008D1E2A"/>
    <w:rsid w:val="008D2A3B"/>
    <w:rsid w:val="008D3722"/>
    <w:rsid w:val="008D3F9F"/>
    <w:rsid w:val="008D41D3"/>
    <w:rsid w:val="008E1246"/>
    <w:rsid w:val="008E258A"/>
    <w:rsid w:val="008E53F9"/>
    <w:rsid w:val="008E7EAE"/>
    <w:rsid w:val="008F1247"/>
    <w:rsid w:val="008F254C"/>
    <w:rsid w:val="008F2A0D"/>
    <w:rsid w:val="008F3853"/>
    <w:rsid w:val="008F38AF"/>
    <w:rsid w:val="008F5E19"/>
    <w:rsid w:val="008F6FA3"/>
    <w:rsid w:val="009018B3"/>
    <w:rsid w:val="009035B3"/>
    <w:rsid w:val="00905839"/>
    <w:rsid w:val="00907431"/>
    <w:rsid w:val="0091012C"/>
    <w:rsid w:val="009147A4"/>
    <w:rsid w:val="00915485"/>
    <w:rsid w:val="00917355"/>
    <w:rsid w:val="009248FC"/>
    <w:rsid w:val="00925230"/>
    <w:rsid w:val="0092585C"/>
    <w:rsid w:val="00926676"/>
    <w:rsid w:val="0093403E"/>
    <w:rsid w:val="009364CF"/>
    <w:rsid w:val="009379FF"/>
    <w:rsid w:val="0094201C"/>
    <w:rsid w:val="009443DF"/>
    <w:rsid w:val="00946CAF"/>
    <w:rsid w:val="009500FF"/>
    <w:rsid w:val="009511AB"/>
    <w:rsid w:val="00951219"/>
    <w:rsid w:val="0095172F"/>
    <w:rsid w:val="00952677"/>
    <w:rsid w:val="0096104E"/>
    <w:rsid w:val="009613B3"/>
    <w:rsid w:val="009618DB"/>
    <w:rsid w:val="00962C7D"/>
    <w:rsid w:val="00963F27"/>
    <w:rsid w:val="00964DFB"/>
    <w:rsid w:val="00965E96"/>
    <w:rsid w:val="00966327"/>
    <w:rsid w:val="00970DEA"/>
    <w:rsid w:val="00971325"/>
    <w:rsid w:val="009725D8"/>
    <w:rsid w:val="00977951"/>
    <w:rsid w:val="00982626"/>
    <w:rsid w:val="009872DB"/>
    <w:rsid w:val="009903DE"/>
    <w:rsid w:val="00995C7B"/>
    <w:rsid w:val="009971B8"/>
    <w:rsid w:val="0099791D"/>
    <w:rsid w:val="009A248F"/>
    <w:rsid w:val="009A501D"/>
    <w:rsid w:val="009A5678"/>
    <w:rsid w:val="009A5DBB"/>
    <w:rsid w:val="009A68F5"/>
    <w:rsid w:val="009B06A5"/>
    <w:rsid w:val="009B58AF"/>
    <w:rsid w:val="009C1154"/>
    <w:rsid w:val="009C37CA"/>
    <w:rsid w:val="009C3BA2"/>
    <w:rsid w:val="009C63C3"/>
    <w:rsid w:val="009C746B"/>
    <w:rsid w:val="009D10AD"/>
    <w:rsid w:val="009D6AF5"/>
    <w:rsid w:val="009D6D5B"/>
    <w:rsid w:val="009E01C8"/>
    <w:rsid w:val="009E0372"/>
    <w:rsid w:val="009E19A0"/>
    <w:rsid w:val="009E6146"/>
    <w:rsid w:val="009E63B9"/>
    <w:rsid w:val="009F170B"/>
    <w:rsid w:val="009F496E"/>
    <w:rsid w:val="009F6780"/>
    <w:rsid w:val="00A0119E"/>
    <w:rsid w:val="00A022D3"/>
    <w:rsid w:val="00A03218"/>
    <w:rsid w:val="00A06B09"/>
    <w:rsid w:val="00A10B6D"/>
    <w:rsid w:val="00A1129D"/>
    <w:rsid w:val="00A1335D"/>
    <w:rsid w:val="00A1339A"/>
    <w:rsid w:val="00A1574E"/>
    <w:rsid w:val="00A16AA7"/>
    <w:rsid w:val="00A17799"/>
    <w:rsid w:val="00A2013E"/>
    <w:rsid w:val="00A23726"/>
    <w:rsid w:val="00A25B6F"/>
    <w:rsid w:val="00A2615C"/>
    <w:rsid w:val="00A301C6"/>
    <w:rsid w:val="00A31667"/>
    <w:rsid w:val="00A3316D"/>
    <w:rsid w:val="00A35765"/>
    <w:rsid w:val="00A36008"/>
    <w:rsid w:val="00A36E25"/>
    <w:rsid w:val="00A37352"/>
    <w:rsid w:val="00A37E17"/>
    <w:rsid w:val="00A420B4"/>
    <w:rsid w:val="00A44395"/>
    <w:rsid w:val="00A4562E"/>
    <w:rsid w:val="00A5327E"/>
    <w:rsid w:val="00A56FA5"/>
    <w:rsid w:val="00A60A57"/>
    <w:rsid w:val="00A61713"/>
    <w:rsid w:val="00A6408C"/>
    <w:rsid w:val="00A7094C"/>
    <w:rsid w:val="00A70B4C"/>
    <w:rsid w:val="00A71E38"/>
    <w:rsid w:val="00A72ADA"/>
    <w:rsid w:val="00A748AE"/>
    <w:rsid w:val="00A861B6"/>
    <w:rsid w:val="00A86A02"/>
    <w:rsid w:val="00A86B5C"/>
    <w:rsid w:val="00A906C8"/>
    <w:rsid w:val="00A93303"/>
    <w:rsid w:val="00A96C4B"/>
    <w:rsid w:val="00AA09CA"/>
    <w:rsid w:val="00AA408C"/>
    <w:rsid w:val="00AA5D51"/>
    <w:rsid w:val="00AA660C"/>
    <w:rsid w:val="00AA75E6"/>
    <w:rsid w:val="00AB1127"/>
    <w:rsid w:val="00AB2105"/>
    <w:rsid w:val="00AC5310"/>
    <w:rsid w:val="00AC5977"/>
    <w:rsid w:val="00AD00F2"/>
    <w:rsid w:val="00AD2E49"/>
    <w:rsid w:val="00AD2FF1"/>
    <w:rsid w:val="00AD6BF9"/>
    <w:rsid w:val="00AE18E6"/>
    <w:rsid w:val="00AE1F28"/>
    <w:rsid w:val="00AE5199"/>
    <w:rsid w:val="00AE5F10"/>
    <w:rsid w:val="00AF54C6"/>
    <w:rsid w:val="00B0162A"/>
    <w:rsid w:val="00B02E10"/>
    <w:rsid w:val="00B04827"/>
    <w:rsid w:val="00B0526D"/>
    <w:rsid w:val="00B06C4F"/>
    <w:rsid w:val="00B0755F"/>
    <w:rsid w:val="00B13683"/>
    <w:rsid w:val="00B14099"/>
    <w:rsid w:val="00B204D2"/>
    <w:rsid w:val="00B22954"/>
    <w:rsid w:val="00B25536"/>
    <w:rsid w:val="00B25CE7"/>
    <w:rsid w:val="00B302DC"/>
    <w:rsid w:val="00B30EB5"/>
    <w:rsid w:val="00B32191"/>
    <w:rsid w:val="00B33E98"/>
    <w:rsid w:val="00B348EB"/>
    <w:rsid w:val="00B37B36"/>
    <w:rsid w:val="00B37BCF"/>
    <w:rsid w:val="00B41925"/>
    <w:rsid w:val="00B41E9C"/>
    <w:rsid w:val="00B42AB8"/>
    <w:rsid w:val="00B5326F"/>
    <w:rsid w:val="00B560A1"/>
    <w:rsid w:val="00B563AD"/>
    <w:rsid w:val="00B572D0"/>
    <w:rsid w:val="00B6069C"/>
    <w:rsid w:val="00B6125A"/>
    <w:rsid w:val="00B65B90"/>
    <w:rsid w:val="00B673F4"/>
    <w:rsid w:val="00B71718"/>
    <w:rsid w:val="00B722EA"/>
    <w:rsid w:val="00B74038"/>
    <w:rsid w:val="00B74D61"/>
    <w:rsid w:val="00B76C9B"/>
    <w:rsid w:val="00B76E20"/>
    <w:rsid w:val="00B777DE"/>
    <w:rsid w:val="00B8140B"/>
    <w:rsid w:val="00B82721"/>
    <w:rsid w:val="00B82C8D"/>
    <w:rsid w:val="00B82F9F"/>
    <w:rsid w:val="00B85368"/>
    <w:rsid w:val="00B93DEB"/>
    <w:rsid w:val="00B950DF"/>
    <w:rsid w:val="00B958F4"/>
    <w:rsid w:val="00B95A28"/>
    <w:rsid w:val="00BB0E10"/>
    <w:rsid w:val="00BB2867"/>
    <w:rsid w:val="00BB6E19"/>
    <w:rsid w:val="00BC0A36"/>
    <w:rsid w:val="00BC0EDC"/>
    <w:rsid w:val="00BC541F"/>
    <w:rsid w:val="00BC6085"/>
    <w:rsid w:val="00BD2D6B"/>
    <w:rsid w:val="00BD3681"/>
    <w:rsid w:val="00BD3F1F"/>
    <w:rsid w:val="00BD454B"/>
    <w:rsid w:val="00BE69B4"/>
    <w:rsid w:val="00BE6BF6"/>
    <w:rsid w:val="00BE6E81"/>
    <w:rsid w:val="00BE74CE"/>
    <w:rsid w:val="00BF2384"/>
    <w:rsid w:val="00BF4B00"/>
    <w:rsid w:val="00BF6056"/>
    <w:rsid w:val="00C0374B"/>
    <w:rsid w:val="00C03BB4"/>
    <w:rsid w:val="00C04B7B"/>
    <w:rsid w:val="00C056BB"/>
    <w:rsid w:val="00C07C25"/>
    <w:rsid w:val="00C11711"/>
    <w:rsid w:val="00C25C2B"/>
    <w:rsid w:val="00C276A7"/>
    <w:rsid w:val="00C30B81"/>
    <w:rsid w:val="00C30FA1"/>
    <w:rsid w:val="00C34EB0"/>
    <w:rsid w:val="00C3661B"/>
    <w:rsid w:val="00C36B4E"/>
    <w:rsid w:val="00C4016E"/>
    <w:rsid w:val="00C51A6C"/>
    <w:rsid w:val="00C53932"/>
    <w:rsid w:val="00C53A4A"/>
    <w:rsid w:val="00C54448"/>
    <w:rsid w:val="00C63AC3"/>
    <w:rsid w:val="00C640C6"/>
    <w:rsid w:val="00C6592B"/>
    <w:rsid w:val="00C6699D"/>
    <w:rsid w:val="00C6761E"/>
    <w:rsid w:val="00C70E74"/>
    <w:rsid w:val="00C737F6"/>
    <w:rsid w:val="00C75E07"/>
    <w:rsid w:val="00C7624C"/>
    <w:rsid w:val="00C76867"/>
    <w:rsid w:val="00C76A2E"/>
    <w:rsid w:val="00C77B1C"/>
    <w:rsid w:val="00C80668"/>
    <w:rsid w:val="00C839FA"/>
    <w:rsid w:val="00C8763F"/>
    <w:rsid w:val="00C905A4"/>
    <w:rsid w:val="00C91820"/>
    <w:rsid w:val="00C9549E"/>
    <w:rsid w:val="00C956B1"/>
    <w:rsid w:val="00C9618B"/>
    <w:rsid w:val="00C9791A"/>
    <w:rsid w:val="00CA06D6"/>
    <w:rsid w:val="00CA07B5"/>
    <w:rsid w:val="00CA51D8"/>
    <w:rsid w:val="00CA5FBA"/>
    <w:rsid w:val="00CA7F71"/>
    <w:rsid w:val="00CB1CD9"/>
    <w:rsid w:val="00CB466B"/>
    <w:rsid w:val="00CB4B67"/>
    <w:rsid w:val="00CB5AF7"/>
    <w:rsid w:val="00CB66A1"/>
    <w:rsid w:val="00CC0110"/>
    <w:rsid w:val="00CC18DF"/>
    <w:rsid w:val="00CC42AC"/>
    <w:rsid w:val="00CC6032"/>
    <w:rsid w:val="00CD3CBF"/>
    <w:rsid w:val="00CD7AFB"/>
    <w:rsid w:val="00CE0807"/>
    <w:rsid w:val="00CE448D"/>
    <w:rsid w:val="00CE7A61"/>
    <w:rsid w:val="00CF0E3B"/>
    <w:rsid w:val="00CF2815"/>
    <w:rsid w:val="00CF6E09"/>
    <w:rsid w:val="00CF77E0"/>
    <w:rsid w:val="00D0028F"/>
    <w:rsid w:val="00D0518C"/>
    <w:rsid w:val="00D06718"/>
    <w:rsid w:val="00D10FD7"/>
    <w:rsid w:val="00D174F9"/>
    <w:rsid w:val="00D2197A"/>
    <w:rsid w:val="00D222B2"/>
    <w:rsid w:val="00D23120"/>
    <w:rsid w:val="00D238EE"/>
    <w:rsid w:val="00D26E08"/>
    <w:rsid w:val="00D27B26"/>
    <w:rsid w:val="00D30A36"/>
    <w:rsid w:val="00D312B2"/>
    <w:rsid w:val="00D344B3"/>
    <w:rsid w:val="00D3706A"/>
    <w:rsid w:val="00D37995"/>
    <w:rsid w:val="00D4311A"/>
    <w:rsid w:val="00D43DE9"/>
    <w:rsid w:val="00D547DC"/>
    <w:rsid w:val="00D55190"/>
    <w:rsid w:val="00D56AEA"/>
    <w:rsid w:val="00D60085"/>
    <w:rsid w:val="00D60C6A"/>
    <w:rsid w:val="00D62941"/>
    <w:rsid w:val="00D6306E"/>
    <w:rsid w:val="00D65C74"/>
    <w:rsid w:val="00D65DE5"/>
    <w:rsid w:val="00D67E2D"/>
    <w:rsid w:val="00D73F77"/>
    <w:rsid w:val="00D7670A"/>
    <w:rsid w:val="00D813E5"/>
    <w:rsid w:val="00D82056"/>
    <w:rsid w:val="00D90D1E"/>
    <w:rsid w:val="00D966C9"/>
    <w:rsid w:val="00D96BE0"/>
    <w:rsid w:val="00DA0594"/>
    <w:rsid w:val="00DA15E2"/>
    <w:rsid w:val="00DA21FB"/>
    <w:rsid w:val="00DA31EC"/>
    <w:rsid w:val="00DA5A85"/>
    <w:rsid w:val="00DA6808"/>
    <w:rsid w:val="00DB01BF"/>
    <w:rsid w:val="00DB04A7"/>
    <w:rsid w:val="00DB0F4C"/>
    <w:rsid w:val="00DB23B4"/>
    <w:rsid w:val="00DB2A92"/>
    <w:rsid w:val="00DB3CB7"/>
    <w:rsid w:val="00DB7E76"/>
    <w:rsid w:val="00DC25C4"/>
    <w:rsid w:val="00DC2865"/>
    <w:rsid w:val="00DC6537"/>
    <w:rsid w:val="00DD0BC6"/>
    <w:rsid w:val="00DD151D"/>
    <w:rsid w:val="00DD164F"/>
    <w:rsid w:val="00DD433A"/>
    <w:rsid w:val="00DD517A"/>
    <w:rsid w:val="00DD56D5"/>
    <w:rsid w:val="00DD5D55"/>
    <w:rsid w:val="00DD7A21"/>
    <w:rsid w:val="00DD7C85"/>
    <w:rsid w:val="00DE02EF"/>
    <w:rsid w:val="00DE15D1"/>
    <w:rsid w:val="00DE1E00"/>
    <w:rsid w:val="00DE2A7B"/>
    <w:rsid w:val="00DE3808"/>
    <w:rsid w:val="00DE5380"/>
    <w:rsid w:val="00DE56DF"/>
    <w:rsid w:val="00DF186F"/>
    <w:rsid w:val="00DF1C26"/>
    <w:rsid w:val="00DF42F7"/>
    <w:rsid w:val="00DF7968"/>
    <w:rsid w:val="00E075CA"/>
    <w:rsid w:val="00E12BCD"/>
    <w:rsid w:val="00E14CFC"/>
    <w:rsid w:val="00E20E5A"/>
    <w:rsid w:val="00E21A0D"/>
    <w:rsid w:val="00E22362"/>
    <w:rsid w:val="00E223ED"/>
    <w:rsid w:val="00E26769"/>
    <w:rsid w:val="00E30E70"/>
    <w:rsid w:val="00E32899"/>
    <w:rsid w:val="00E403D2"/>
    <w:rsid w:val="00E41B13"/>
    <w:rsid w:val="00E4348E"/>
    <w:rsid w:val="00E4569B"/>
    <w:rsid w:val="00E46B93"/>
    <w:rsid w:val="00E47528"/>
    <w:rsid w:val="00E47DFE"/>
    <w:rsid w:val="00E507A9"/>
    <w:rsid w:val="00E52228"/>
    <w:rsid w:val="00E537F6"/>
    <w:rsid w:val="00E55917"/>
    <w:rsid w:val="00E56964"/>
    <w:rsid w:val="00E57FF3"/>
    <w:rsid w:val="00E632F3"/>
    <w:rsid w:val="00E641A0"/>
    <w:rsid w:val="00E659CF"/>
    <w:rsid w:val="00E66D58"/>
    <w:rsid w:val="00E731B9"/>
    <w:rsid w:val="00E76DB4"/>
    <w:rsid w:val="00E803F1"/>
    <w:rsid w:val="00E8051E"/>
    <w:rsid w:val="00E80555"/>
    <w:rsid w:val="00E80DD4"/>
    <w:rsid w:val="00E83BF7"/>
    <w:rsid w:val="00E867D7"/>
    <w:rsid w:val="00E879F0"/>
    <w:rsid w:val="00E9016E"/>
    <w:rsid w:val="00E91619"/>
    <w:rsid w:val="00E9213F"/>
    <w:rsid w:val="00E967CD"/>
    <w:rsid w:val="00E96C70"/>
    <w:rsid w:val="00EA21BC"/>
    <w:rsid w:val="00EA35CE"/>
    <w:rsid w:val="00EA3CAF"/>
    <w:rsid w:val="00EA55D7"/>
    <w:rsid w:val="00EA67F1"/>
    <w:rsid w:val="00EB043D"/>
    <w:rsid w:val="00EB5195"/>
    <w:rsid w:val="00EB5D94"/>
    <w:rsid w:val="00EC0B24"/>
    <w:rsid w:val="00EC2852"/>
    <w:rsid w:val="00EC2D59"/>
    <w:rsid w:val="00EC398D"/>
    <w:rsid w:val="00EC66DD"/>
    <w:rsid w:val="00EC6CA9"/>
    <w:rsid w:val="00EC7450"/>
    <w:rsid w:val="00ED2F68"/>
    <w:rsid w:val="00ED3BC1"/>
    <w:rsid w:val="00ED3E86"/>
    <w:rsid w:val="00ED4D69"/>
    <w:rsid w:val="00EE04B8"/>
    <w:rsid w:val="00EE42A3"/>
    <w:rsid w:val="00EE69A5"/>
    <w:rsid w:val="00EF0045"/>
    <w:rsid w:val="00EF130A"/>
    <w:rsid w:val="00EF17B6"/>
    <w:rsid w:val="00EF22E3"/>
    <w:rsid w:val="00EF495D"/>
    <w:rsid w:val="00EF4C3C"/>
    <w:rsid w:val="00EF4DB1"/>
    <w:rsid w:val="00EF6688"/>
    <w:rsid w:val="00F02E91"/>
    <w:rsid w:val="00F03058"/>
    <w:rsid w:val="00F03927"/>
    <w:rsid w:val="00F23178"/>
    <w:rsid w:val="00F23671"/>
    <w:rsid w:val="00F240BF"/>
    <w:rsid w:val="00F244AE"/>
    <w:rsid w:val="00F25130"/>
    <w:rsid w:val="00F31865"/>
    <w:rsid w:val="00F400F6"/>
    <w:rsid w:val="00F41AEA"/>
    <w:rsid w:val="00F42C83"/>
    <w:rsid w:val="00F47CDF"/>
    <w:rsid w:val="00F50729"/>
    <w:rsid w:val="00F64A84"/>
    <w:rsid w:val="00F67ACB"/>
    <w:rsid w:val="00F81726"/>
    <w:rsid w:val="00F81C60"/>
    <w:rsid w:val="00F8328F"/>
    <w:rsid w:val="00F85CB2"/>
    <w:rsid w:val="00F90655"/>
    <w:rsid w:val="00FA03F9"/>
    <w:rsid w:val="00FA0C5C"/>
    <w:rsid w:val="00FA20B7"/>
    <w:rsid w:val="00FA2CAE"/>
    <w:rsid w:val="00FA6039"/>
    <w:rsid w:val="00FA639C"/>
    <w:rsid w:val="00FB2B3C"/>
    <w:rsid w:val="00FB2C5D"/>
    <w:rsid w:val="00FB3DE3"/>
    <w:rsid w:val="00FB63F2"/>
    <w:rsid w:val="00FB6571"/>
    <w:rsid w:val="00FC27FC"/>
    <w:rsid w:val="00FC3C23"/>
    <w:rsid w:val="00FC3E65"/>
    <w:rsid w:val="00FC554B"/>
    <w:rsid w:val="00FC6936"/>
    <w:rsid w:val="00FC6C3D"/>
    <w:rsid w:val="00FD0DF8"/>
    <w:rsid w:val="00FD4714"/>
    <w:rsid w:val="00FD5FB7"/>
    <w:rsid w:val="00FD6888"/>
    <w:rsid w:val="00FE02F4"/>
    <w:rsid w:val="00FE3819"/>
    <w:rsid w:val="00FE47B2"/>
    <w:rsid w:val="00FF4125"/>
    <w:rsid w:val="00FF75D6"/>
    <w:rsid w:val="01A9669A"/>
    <w:rsid w:val="02683D9C"/>
    <w:rsid w:val="02721FFC"/>
    <w:rsid w:val="02B0060C"/>
    <w:rsid w:val="04480F26"/>
    <w:rsid w:val="04952020"/>
    <w:rsid w:val="06BB4B21"/>
    <w:rsid w:val="08290CCA"/>
    <w:rsid w:val="09100240"/>
    <w:rsid w:val="0AFE54AC"/>
    <w:rsid w:val="0C766D56"/>
    <w:rsid w:val="0C831CE8"/>
    <w:rsid w:val="0CF34297"/>
    <w:rsid w:val="0EB96B6A"/>
    <w:rsid w:val="0F824B01"/>
    <w:rsid w:val="118A293A"/>
    <w:rsid w:val="12F157AA"/>
    <w:rsid w:val="13894BD4"/>
    <w:rsid w:val="15667A7C"/>
    <w:rsid w:val="16EF70D4"/>
    <w:rsid w:val="17C34513"/>
    <w:rsid w:val="17E81778"/>
    <w:rsid w:val="17EE395F"/>
    <w:rsid w:val="1828344A"/>
    <w:rsid w:val="190B2F0F"/>
    <w:rsid w:val="19A42785"/>
    <w:rsid w:val="1A095B1C"/>
    <w:rsid w:val="1B2B22B8"/>
    <w:rsid w:val="1C4158E2"/>
    <w:rsid w:val="1D6C44AF"/>
    <w:rsid w:val="1D9B0490"/>
    <w:rsid w:val="1DC170DF"/>
    <w:rsid w:val="20A73C5F"/>
    <w:rsid w:val="220F3805"/>
    <w:rsid w:val="22221AA2"/>
    <w:rsid w:val="22A5535A"/>
    <w:rsid w:val="22C0005B"/>
    <w:rsid w:val="23007343"/>
    <w:rsid w:val="237A6EA7"/>
    <w:rsid w:val="24EB0EF7"/>
    <w:rsid w:val="279F712B"/>
    <w:rsid w:val="2857752D"/>
    <w:rsid w:val="28A36F3A"/>
    <w:rsid w:val="293B2E83"/>
    <w:rsid w:val="2D392D2F"/>
    <w:rsid w:val="2DBF7EF3"/>
    <w:rsid w:val="2E03776D"/>
    <w:rsid w:val="2E28403B"/>
    <w:rsid w:val="2F203538"/>
    <w:rsid w:val="2F555DEF"/>
    <w:rsid w:val="30B97271"/>
    <w:rsid w:val="30CA6A32"/>
    <w:rsid w:val="31D10829"/>
    <w:rsid w:val="340003E3"/>
    <w:rsid w:val="345C4C66"/>
    <w:rsid w:val="34E1495C"/>
    <w:rsid w:val="35C95C4D"/>
    <w:rsid w:val="376C4DC8"/>
    <w:rsid w:val="388417F2"/>
    <w:rsid w:val="38DD44FA"/>
    <w:rsid w:val="38FA2B02"/>
    <w:rsid w:val="3B167C0B"/>
    <w:rsid w:val="3B42422F"/>
    <w:rsid w:val="3C2E5D95"/>
    <w:rsid w:val="3D577AFF"/>
    <w:rsid w:val="3FC45AED"/>
    <w:rsid w:val="44AF662F"/>
    <w:rsid w:val="469B6D33"/>
    <w:rsid w:val="46CE4F61"/>
    <w:rsid w:val="49D874A8"/>
    <w:rsid w:val="4A7F62D0"/>
    <w:rsid w:val="4A9378A7"/>
    <w:rsid w:val="4AB76317"/>
    <w:rsid w:val="4B5806FB"/>
    <w:rsid w:val="4B6B7278"/>
    <w:rsid w:val="4B8D464C"/>
    <w:rsid w:val="4CF0431E"/>
    <w:rsid w:val="4E690D59"/>
    <w:rsid w:val="4E925073"/>
    <w:rsid w:val="507102C4"/>
    <w:rsid w:val="509B57D7"/>
    <w:rsid w:val="51F1668D"/>
    <w:rsid w:val="52406F65"/>
    <w:rsid w:val="55884791"/>
    <w:rsid w:val="55C66B4D"/>
    <w:rsid w:val="55DA1393"/>
    <w:rsid w:val="561400F5"/>
    <w:rsid w:val="585D5900"/>
    <w:rsid w:val="585F5FF8"/>
    <w:rsid w:val="586D63EB"/>
    <w:rsid w:val="5C7424D0"/>
    <w:rsid w:val="5CDC447F"/>
    <w:rsid w:val="5EBD1A66"/>
    <w:rsid w:val="60600615"/>
    <w:rsid w:val="608105E0"/>
    <w:rsid w:val="6655301D"/>
    <w:rsid w:val="66BC5441"/>
    <w:rsid w:val="688F2085"/>
    <w:rsid w:val="69744D64"/>
    <w:rsid w:val="6C28108A"/>
    <w:rsid w:val="6EDA66E3"/>
    <w:rsid w:val="6F0F6D88"/>
    <w:rsid w:val="6FEF212E"/>
    <w:rsid w:val="70254BDF"/>
    <w:rsid w:val="702D0EC6"/>
    <w:rsid w:val="71903AD3"/>
    <w:rsid w:val="72E444E7"/>
    <w:rsid w:val="73D23A69"/>
    <w:rsid w:val="73F70EE8"/>
    <w:rsid w:val="74245A33"/>
    <w:rsid w:val="756B5D23"/>
    <w:rsid w:val="759D59CE"/>
    <w:rsid w:val="774A4518"/>
    <w:rsid w:val="786F7872"/>
    <w:rsid w:val="78E63056"/>
    <w:rsid w:val="791630D0"/>
    <w:rsid w:val="794146B9"/>
    <w:rsid w:val="79867B84"/>
    <w:rsid w:val="7B71300D"/>
    <w:rsid w:val="7B936DD2"/>
    <w:rsid w:val="7CB30C26"/>
    <w:rsid w:val="7DA84959"/>
    <w:rsid w:val="7E946F1D"/>
    <w:rsid w:val="7FD73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48"/>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5">
    <w:name w:val="heading 2"/>
    <w:basedOn w:val="1"/>
    <w:next w:val="1"/>
    <w:link w:val="49"/>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6">
    <w:name w:val="heading 3"/>
    <w:basedOn w:val="1"/>
    <w:next w:val="1"/>
    <w:link w:val="50"/>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7">
    <w:name w:val="heading 4"/>
    <w:basedOn w:val="1"/>
    <w:next w:val="1"/>
    <w:link w:val="51"/>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8">
    <w:name w:val="heading 5"/>
    <w:basedOn w:val="1"/>
    <w:next w:val="1"/>
    <w:link w:val="52"/>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9">
    <w:name w:val="heading 6"/>
    <w:basedOn w:val="1"/>
    <w:next w:val="1"/>
    <w:link w:val="53"/>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10">
    <w:name w:val="heading 7"/>
    <w:basedOn w:val="1"/>
    <w:next w:val="1"/>
    <w:link w:val="54"/>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1">
    <w:name w:val="heading 8"/>
    <w:basedOn w:val="1"/>
    <w:next w:val="1"/>
    <w:link w:val="55"/>
    <w:unhideWhenUsed/>
    <w:qFormat/>
    <w:uiPriority w:val="0"/>
    <w:pPr>
      <w:keepNext/>
      <w:keepLines/>
      <w:spacing w:before="240" w:after="64" w:line="314" w:lineRule="auto"/>
      <w:outlineLvl w:val="7"/>
    </w:pPr>
    <w:rPr>
      <w:rFonts w:ascii="Arial" w:hAnsi="Arial" w:eastAsia="黑体"/>
      <w:kern w:val="0"/>
      <w:sz w:val="24"/>
      <w:szCs w:val="24"/>
    </w:rPr>
  </w:style>
  <w:style w:type="paragraph" w:styleId="12">
    <w:name w:val="heading 9"/>
    <w:basedOn w:val="1"/>
    <w:next w:val="1"/>
    <w:link w:val="56"/>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2"/>
    <w:unhideWhenUsed/>
    <w:qFormat/>
    <w:uiPriority w:val="0"/>
    <w:pPr>
      <w:spacing w:after="120"/>
    </w:pPr>
  </w:style>
  <w:style w:type="paragraph" w:styleId="3">
    <w:name w:val="Plain Text"/>
    <w:basedOn w:val="1"/>
    <w:link w:val="73"/>
    <w:unhideWhenUsed/>
    <w:qFormat/>
    <w:uiPriority w:val="99"/>
    <w:rPr>
      <w:rFonts w:ascii="宋体" w:hAnsi="Courier New"/>
      <w:kern w:val="0"/>
      <w:sz w:val="20"/>
      <w:szCs w:val="18"/>
    </w:rPr>
  </w:style>
  <w:style w:type="paragraph" w:styleId="13">
    <w:name w:val="toc 7"/>
    <w:basedOn w:val="1"/>
    <w:next w:val="1"/>
    <w:unhideWhenUsed/>
    <w:qFormat/>
    <w:uiPriority w:val="0"/>
    <w:pPr>
      <w:ind w:left="2520" w:leftChars="1200"/>
    </w:pPr>
    <w:rPr>
      <w:rFonts w:ascii="Times New Roman" w:hAnsi="Times New Roman"/>
      <w:szCs w:val="24"/>
    </w:rPr>
  </w:style>
  <w:style w:type="paragraph" w:styleId="14">
    <w:name w:val="Normal Indent"/>
    <w:basedOn w:val="1"/>
    <w:link w:val="57"/>
    <w:unhideWhenUsed/>
    <w:qFormat/>
    <w:uiPriority w:val="0"/>
    <w:pPr>
      <w:spacing w:after="180" w:line="307" w:lineRule="auto"/>
      <w:ind w:firstLine="420"/>
    </w:pPr>
    <w:rPr>
      <w:rFonts w:asciiTheme="minorHAnsi" w:hAnsiTheme="minorHAnsi" w:eastAsiaTheme="minorEastAsia" w:cstheme="minorBidi"/>
    </w:rPr>
  </w:style>
  <w:style w:type="paragraph" w:styleId="15">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6">
    <w:name w:val="Document Map"/>
    <w:basedOn w:val="1"/>
    <w:link w:val="72"/>
    <w:unhideWhenUsed/>
    <w:qFormat/>
    <w:uiPriority w:val="0"/>
    <w:pPr>
      <w:shd w:val="clear" w:color="auto" w:fill="000080"/>
    </w:pPr>
    <w:rPr>
      <w:rFonts w:ascii="Times New Roman" w:hAnsi="Times New Roman"/>
      <w:kern w:val="0"/>
      <w:sz w:val="18"/>
      <w:szCs w:val="18"/>
    </w:rPr>
  </w:style>
  <w:style w:type="paragraph" w:styleId="17">
    <w:name w:val="annotation text"/>
    <w:basedOn w:val="1"/>
    <w:link w:val="59"/>
    <w:unhideWhenUsed/>
    <w:qFormat/>
    <w:uiPriority w:val="0"/>
    <w:pPr>
      <w:jc w:val="left"/>
    </w:pPr>
    <w:rPr>
      <w:rFonts w:ascii="Times New Roman" w:hAnsi="Times New Roman"/>
      <w:kern w:val="0"/>
      <w:sz w:val="18"/>
      <w:szCs w:val="18"/>
    </w:rPr>
  </w:style>
  <w:style w:type="paragraph" w:styleId="18">
    <w:name w:val="Body Text 3"/>
    <w:basedOn w:val="1"/>
    <w:link w:val="69"/>
    <w:unhideWhenUsed/>
    <w:qFormat/>
    <w:uiPriority w:val="0"/>
    <w:pPr>
      <w:jc w:val="center"/>
    </w:pPr>
    <w:rPr>
      <w:rFonts w:ascii="Times New Roman" w:hAnsi="Times New Roman" w:eastAsia="黑体"/>
      <w:sz w:val="44"/>
      <w:szCs w:val="24"/>
    </w:rPr>
  </w:style>
  <w:style w:type="paragraph" w:styleId="19">
    <w:name w:val="Body Text Indent"/>
    <w:basedOn w:val="1"/>
    <w:link w:val="64"/>
    <w:unhideWhenUsed/>
    <w:qFormat/>
    <w:uiPriority w:val="0"/>
    <w:pPr>
      <w:spacing w:after="120"/>
      <w:ind w:left="420" w:leftChars="200"/>
    </w:pPr>
    <w:rPr>
      <w:rFonts w:ascii="Times New Roman" w:hAnsi="Times New Roman"/>
      <w:kern w:val="0"/>
      <w:sz w:val="20"/>
      <w:szCs w:val="24"/>
    </w:rPr>
  </w:style>
  <w:style w:type="paragraph" w:styleId="20">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unhideWhenUsed/>
    <w:qFormat/>
    <w:uiPriority w:val="0"/>
    <w:pPr>
      <w:ind w:left="1680" w:leftChars="800"/>
    </w:pPr>
    <w:rPr>
      <w:rFonts w:ascii="Times New Roman" w:hAnsi="Times New Roman"/>
      <w:sz w:val="18"/>
      <w:szCs w:val="18"/>
    </w:rPr>
  </w:style>
  <w:style w:type="paragraph" w:styleId="22">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6"/>
    <w:unhideWhenUsed/>
    <w:qFormat/>
    <w:uiPriority w:val="0"/>
    <w:pPr>
      <w:ind w:left="100" w:leftChars="2500"/>
    </w:pPr>
    <w:rPr>
      <w:rFonts w:ascii="Times New Roman" w:hAnsi="Times New Roman"/>
      <w:kern w:val="0"/>
      <w:sz w:val="24"/>
      <w:szCs w:val="24"/>
    </w:rPr>
  </w:style>
  <w:style w:type="paragraph" w:styleId="25">
    <w:name w:val="Body Text Indent 2"/>
    <w:basedOn w:val="1"/>
    <w:link w:val="70"/>
    <w:unhideWhenUsed/>
    <w:qFormat/>
    <w:uiPriority w:val="0"/>
    <w:pPr>
      <w:spacing w:after="120" w:line="480" w:lineRule="auto"/>
      <w:ind w:left="420" w:leftChars="200"/>
    </w:pPr>
  </w:style>
  <w:style w:type="paragraph" w:styleId="26">
    <w:name w:val="Balloon Text"/>
    <w:basedOn w:val="1"/>
    <w:link w:val="76"/>
    <w:unhideWhenUsed/>
    <w:qFormat/>
    <w:uiPriority w:val="99"/>
    <w:rPr>
      <w:rFonts w:ascii="Times New Roman" w:hAnsi="Times New Roman"/>
      <w:kern w:val="0"/>
      <w:sz w:val="18"/>
      <w:szCs w:val="18"/>
    </w:rPr>
  </w:style>
  <w:style w:type="paragraph" w:styleId="27">
    <w:name w:val="footer"/>
    <w:basedOn w:val="1"/>
    <w:link w:val="61"/>
    <w:unhideWhenUsed/>
    <w:qFormat/>
    <w:uiPriority w:val="99"/>
    <w:pPr>
      <w:tabs>
        <w:tab w:val="center" w:pos="4153"/>
        <w:tab w:val="right" w:pos="8306"/>
      </w:tabs>
      <w:snapToGrid w:val="0"/>
      <w:jc w:val="left"/>
    </w:pPr>
    <w:rPr>
      <w:kern w:val="0"/>
      <w:sz w:val="18"/>
      <w:szCs w:val="18"/>
    </w:rPr>
  </w:style>
  <w:style w:type="paragraph" w:styleId="28">
    <w:name w:val="header"/>
    <w:basedOn w:val="1"/>
    <w:link w:val="6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5"/>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58"/>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1"/>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68"/>
    <w:unhideWhenUsed/>
    <w:qFormat/>
    <w:uiPriority w:val="0"/>
    <w:pPr>
      <w:spacing w:after="120" w:line="480" w:lineRule="auto"/>
    </w:pPr>
    <w:rPr>
      <w:rFonts w:ascii="Times New Roman" w:hAnsi="Times New Roman"/>
      <w:kern w:val="0"/>
      <w:sz w:val="18"/>
      <w:szCs w:val="18"/>
    </w:rPr>
  </w:style>
  <w:style w:type="paragraph" w:styleId="38">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39">
    <w:name w:val="annotation subject"/>
    <w:basedOn w:val="17"/>
    <w:next w:val="17"/>
    <w:link w:val="75"/>
    <w:unhideWhenUsed/>
    <w:qFormat/>
    <w:uiPriority w:val="99"/>
    <w:rPr>
      <w:rFonts w:ascii="Calibri" w:hAnsi="Calibri"/>
      <w:b/>
      <w:bCs/>
      <w:kern w:val="2"/>
      <w:sz w:val="21"/>
      <w:szCs w:val="22"/>
    </w:rPr>
  </w:style>
  <w:style w:type="paragraph" w:styleId="40">
    <w:name w:val="Body Text First Indent"/>
    <w:basedOn w:val="2"/>
    <w:link w:val="67"/>
    <w:unhideWhenUsed/>
    <w:qFormat/>
    <w:uiPriority w:val="0"/>
    <w:pPr>
      <w:ind w:firstLine="420" w:firstLineChars="100"/>
    </w:pPr>
    <w:rPr>
      <w:rFonts w:ascii="Times New Roman" w:hAnsi="Times New Roman"/>
      <w:kern w:val="0"/>
      <w:sz w:val="18"/>
      <w:szCs w:val="18"/>
    </w:rPr>
  </w:style>
  <w:style w:type="table" w:styleId="42">
    <w:name w:val="Table Grid"/>
    <w:basedOn w:val="4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FollowedHyperlink"/>
    <w:basedOn w:val="43"/>
    <w:unhideWhenUsed/>
    <w:qFormat/>
    <w:uiPriority w:val="99"/>
    <w:rPr>
      <w:color w:val="800080" w:themeColor="followedHyperlink"/>
      <w:u w:val="single"/>
      <w14:textFill>
        <w14:solidFill>
          <w14:schemeClr w14:val="folHlink"/>
        </w14:solidFill>
      </w14:textFill>
    </w:rPr>
  </w:style>
  <w:style w:type="character" w:styleId="45">
    <w:name w:val="Hyperlink"/>
    <w:unhideWhenUsed/>
    <w:qFormat/>
    <w:uiPriority w:val="99"/>
    <w:rPr>
      <w:color w:val="0000FF"/>
      <w:u w:val="single"/>
    </w:rPr>
  </w:style>
  <w:style w:type="character" w:styleId="46">
    <w:name w:val="annotation reference"/>
    <w:unhideWhenUsed/>
    <w:qFormat/>
    <w:uiPriority w:val="0"/>
    <w:rPr>
      <w:sz w:val="21"/>
      <w:szCs w:val="21"/>
    </w:rPr>
  </w:style>
  <w:style w:type="character" w:styleId="47">
    <w:name w:val="footnote reference"/>
    <w:unhideWhenUsed/>
    <w:qFormat/>
    <w:uiPriority w:val="0"/>
    <w:rPr>
      <w:vertAlign w:val="superscript"/>
    </w:rPr>
  </w:style>
  <w:style w:type="character" w:customStyle="1" w:styleId="48">
    <w:name w:val="标题 1 字符"/>
    <w:basedOn w:val="43"/>
    <w:link w:val="4"/>
    <w:qFormat/>
    <w:uiPriority w:val="0"/>
    <w:rPr>
      <w:rFonts w:ascii="宋体" w:hAnsi="宋体" w:cs="宋体"/>
      <w:b/>
      <w:bCs/>
      <w:spacing w:val="-20"/>
      <w:kern w:val="44"/>
      <w:sz w:val="32"/>
      <w:szCs w:val="32"/>
    </w:rPr>
  </w:style>
  <w:style w:type="character" w:customStyle="1" w:styleId="49">
    <w:name w:val="标题 2 字符"/>
    <w:basedOn w:val="43"/>
    <w:link w:val="5"/>
    <w:qFormat/>
    <w:uiPriority w:val="0"/>
    <w:rPr>
      <w:rFonts w:ascii="宋体" w:hAnsi="宋体" w:cs="宋体"/>
      <w:b/>
      <w:bCs/>
      <w:kern w:val="2"/>
      <w:sz w:val="28"/>
      <w:szCs w:val="28"/>
    </w:rPr>
  </w:style>
  <w:style w:type="character" w:customStyle="1" w:styleId="50">
    <w:name w:val="标题 3 字符"/>
    <w:basedOn w:val="43"/>
    <w:link w:val="6"/>
    <w:qFormat/>
    <w:uiPriority w:val="0"/>
    <w:rPr>
      <w:rFonts w:ascii="宋体" w:hAnsi="宋体" w:cs="宋体"/>
      <w:b/>
      <w:bCs/>
      <w:color w:val="000000"/>
      <w:sz w:val="28"/>
      <w:szCs w:val="28"/>
    </w:rPr>
  </w:style>
  <w:style w:type="character" w:customStyle="1" w:styleId="51">
    <w:name w:val="标题 4 字符"/>
    <w:basedOn w:val="43"/>
    <w:link w:val="7"/>
    <w:qFormat/>
    <w:uiPriority w:val="9"/>
    <w:rPr>
      <w:rFonts w:ascii="Arial" w:hAnsi="Arial"/>
      <w:b/>
      <w:bCs/>
      <w:sz w:val="28"/>
      <w:szCs w:val="28"/>
    </w:rPr>
  </w:style>
  <w:style w:type="character" w:customStyle="1" w:styleId="52">
    <w:name w:val="标题 5 字符"/>
    <w:basedOn w:val="43"/>
    <w:link w:val="8"/>
    <w:qFormat/>
    <w:uiPriority w:val="0"/>
    <w:rPr>
      <w:rFonts w:ascii="Calibri" w:hAnsi="Calibri" w:cs="宋体"/>
      <w:b/>
      <w:bCs/>
      <w:sz w:val="28"/>
      <w:szCs w:val="28"/>
    </w:rPr>
  </w:style>
  <w:style w:type="character" w:customStyle="1" w:styleId="53">
    <w:name w:val="标题 6 字符"/>
    <w:basedOn w:val="43"/>
    <w:link w:val="9"/>
    <w:qFormat/>
    <w:uiPriority w:val="0"/>
    <w:rPr>
      <w:rFonts w:ascii="Arial" w:hAnsi="Arial"/>
      <w:b/>
      <w:bCs/>
      <w:sz w:val="28"/>
      <w:szCs w:val="18"/>
    </w:rPr>
  </w:style>
  <w:style w:type="character" w:customStyle="1" w:styleId="54">
    <w:name w:val="标题 7 字符"/>
    <w:basedOn w:val="43"/>
    <w:link w:val="10"/>
    <w:semiHidden/>
    <w:qFormat/>
    <w:uiPriority w:val="0"/>
    <w:rPr>
      <w:rFonts w:ascii="Arial Narrow" w:hAnsi="Arial Narrow" w:eastAsia="宋体" w:cs="Times New Roman"/>
      <w:b/>
      <w:bCs/>
      <w:iCs/>
      <w:kern w:val="0"/>
      <w:sz w:val="20"/>
      <w:szCs w:val="24"/>
      <w:lang w:eastAsia="en-US"/>
    </w:rPr>
  </w:style>
  <w:style w:type="character" w:customStyle="1" w:styleId="55">
    <w:name w:val="标题 8 字符"/>
    <w:basedOn w:val="43"/>
    <w:link w:val="11"/>
    <w:semiHidden/>
    <w:qFormat/>
    <w:uiPriority w:val="0"/>
    <w:rPr>
      <w:rFonts w:ascii="Arial" w:hAnsi="Arial" w:eastAsia="黑体" w:cs="Times New Roman"/>
      <w:kern w:val="0"/>
      <w:sz w:val="24"/>
      <w:szCs w:val="24"/>
    </w:rPr>
  </w:style>
  <w:style w:type="character" w:customStyle="1" w:styleId="56">
    <w:name w:val="标题 9 字符"/>
    <w:basedOn w:val="43"/>
    <w:link w:val="12"/>
    <w:semiHidden/>
    <w:qFormat/>
    <w:uiPriority w:val="0"/>
    <w:rPr>
      <w:rFonts w:ascii="Arial" w:hAnsi="Arial" w:eastAsia="黑体" w:cs="Times New Roman"/>
      <w:kern w:val="0"/>
      <w:sz w:val="20"/>
      <w:szCs w:val="21"/>
    </w:rPr>
  </w:style>
  <w:style w:type="character" w:customStyle="1" w:styleId="57">
    <w:name w:val="正文缩进 字符"/>
    <w:link w:val="14"/>
    <w:qFormat/>
    <w:locked/>
    <w:uiPriority w:val="0"/>
  </w:style>
  <w:style w:type="character" w:customStyle="1" w:styleId="58">
    <w:name w:val="脚注文本 字符"/>
    <w:basedOn w:val="43"/>
    <w:link w:val="32"/>
    <w:qFormat/>
    <w:uiPriority w:val="0"/>
    <w:rPr>
      <w:rFonts w:ascii="Calibri" w:hAnsi="Calibri" w:eastAsia="宋体" w:cs="Times New Roman"/>
      <w:sz w:val="18"/>
      <w:szCs w:val="18"/>
    </w:rPr>
  </w:style>
  <w:style w:type="character" w:customStyle="1" w:styleId="59">
    <w:name w:val="批注文字 字符"/>
    <w:basedOn w:val="43"/>
    <w:link w:val="17"/>
    <w:qFormat/>
    <w:uiPriority w:val="99"/>
    <w:rPr>
      <w:rFonts w:ascii="Times New Roman" w:hAnsi="Times New Roman" w:eastAsia="宋体" w:cs="Times New Roman"/>
      <w:kern w:val="0"/>
      <w:sz w:val="18"/>
      <w:szCs w:val="18"/>
    </w:rPr>
  </w:style>
  <w:style w:type="character" w:customStyle="1" w:styleId="60">
    <w:name w:val="页眉 字符"/>
    <w:basedOn w:val="43"/>
    <w:link w:val="28"/>
    <w:qFormat/>
    <w:uiPriority w:val="99"/>
    <w:rPr>
      <w:rFonts w:ascii="Calibri" w:hAnsi="Calibri" w:eastAsia="宋体" w:cs="Times New Roman"/>
      <w:kern w:val="0"/>
      <w:sz w:val="18"/>
      <w:szCs w:val="18"/>
    </w:rPr>
  </w:style>
  <w:style w:type="character" w:customStyle="1" w:styleId="61">
    <w:name w:val="页脚 字符"/>
    <w:basedOn w:val="43"/>
    <w:link w:val="27"/>
    <w:qFormat/>
    <w:uiPriority w:val="99"/>
    <w:rPr>
      <w:rFonts w:ascii="Calibri" w:hAnsi="Calibri" w:eastAsia="宋体" w:cs="Times New Roman"/>
      <w:kern w:val="0"/>
      <w:sz w:val="18"/>
      <w:szCs w:val="18"/>
    </w:rPr>
  </w:style>
  <w:style w:type="character" w:customStyle="1" w:styleId="62">
    <w:name w:val="正文文本 字符"/>
    <w:basedOn w:val="43"/>
    <w:link w:val="2"/>
    <w:qFormat/>
    <w:locked/>
    <w:uiPriority w:val="0"/>
    <w:rPr>
      <w:rFonts w:ascii="Calibri" w:hAnsi="Calibri" w:eastAsia="宋体" w:cs="Times New Roman"/>
    </w:rPr>
  </w:style>
  <w:style w:type="character" w:customStyle="1" w:styleId="63">
    <w:name w:val="正文文本 Char"/>
    <w:basedOn w:val="43"/>
    <w:qFormat/>
    <w:uiPriority w:val="0"/>
    <w:rPr>
      <w:rFonts w:ascii="Calibri" w:hAnsi="Calibri" w:eastAsia="宋体" w:cs="Times New Roman"/>
    </w:rPr>
  </w:style>
  <w:style w:type="character" w:customStyle="1" w:styleId="64">
    <w:name w:val="正文文本缩进 字符"/>
    <w:basedOn w:val="43"/>
    <w:link w:val="19"/>
    <w:qFormat/>
    <w:uiPriority w:val="0"/>
    <w:rPr>
      <w:rFonts w:ascii="Times New Roman" w:hAnsi="Times New Roman" w:eastAsia="宋体" w:cs="Times New Roman"/>
      <w:kern w:val="0"/>
      <w:sz w:val="20"/>
      <w:szCs w:val="24"/>
    </w:rPr>
  </w:style>
  <w:style w:type="character" w:customStyle="1" w:styleId="65">
    <w:name w:val="副标题 字符"/>
    <w:basedOn w:val="43"/>
    <w:link w:val="31"/>
    <w:qFormat/>
    <w:uiPriority w:val="0"/>
    <w:rPr>
      <w:rFonts w:ascii="Cambria" w:hAnsi="Cambria" w:eastAsia="宋体" w:cs="Times New Roman"/>
      <w:b/>
      <w:bCs/>
      <w:kern w:val="28"/>
      <w:sz w:val="32"/>
      <w:szCs w:val="32"/>
    </w:rPr>
  </w:style>
  <w:style w:type="character" w:customStyle="1" w:styleId="66">
    <w:name w:val="日期 字符"/>
    <w:basedOn w:val="43"/>
    <w:link w:val="24"/>
    <w:qFormat/>
    <w:uiPriority w:val="0"/>
    <w:rPr>
      <w:rFonts w:ascii="Times New Roman" w:hAnsi="Times New Roman" w:eastAsia="宋体" w:cs="Times New Roman"/>
      <w:kern w:val="0"/>
      <w:sz w:val="24"/>
      <w:szCs w:val="24"/>
    </w:rPr>
  </w:style>
  <w:style w:type="character" w:customStyle="1" w:styleId="67">
    <w:name w:val="正文首行缩进 字符"/>
    <w:basedOn w:val="63"/>
    <w:link w:val="40"/>
    <w:qFormat/>
    <w:uiPriority w:val="0"/>
    <w:rPr>
      <w:rFonts w:ascii="Times New Roman" w:hAnsi="Times New Roman" w:eastAsia="宋体" w:cs="Times New Roman"/>
      <w:kern w:val="0"/>
      <w:sz w:val="18"/>
      <w:szCs w:val="18"/>
    </w:rPr>
  </w:style>
  <w:style w:type="character" w:customStyle="1" w:styleId="68">
    <w:name w:val="正文文本 2 字符"/>
    <w:basedOn w:val="43"/>
    <w:link w:val="37"/>
    <w:qFormat/>
    <w:uiPriority w:val="0"/>
    <w:rPr>
      <w:rFonts w:ascii="Times New Roman" w:hAnsi="Times New Roman" w:eastAsia="宋体" w:cs="Times New Roman"/>
      <w:kern w:val="0"/>
      <w:sz w:val="18"/>
      <w:szCs w:val="18"/>
    </w:rPr>
  </w:style>
  <w:style w:type="character" w:customStyle="1" w:styleId="69">
    <w:name w:val="正文文本 3 字符"/>
    <w:basedOn w:val="43"/>
    <w:link w:val="18"/>
    <w:qFormat/>
    <w:uiPriority w:val="0"/>
    <w:rPr>
      <w:rFonts w:ascii="Times New Roman" w:hAnsi="Times New Roman" w:eastAsia="黑体" w:cs="Times New Roman"/>
      <w:sz w:val="44"/>
      <w:szCs w:val="24"/>
    </w:rPr>
  </w:style>
  <w:style w:type="character" w:customStyle="1" w:styleId="70">
    <w:name w:val="正文文本缩进 2 字符"/>
    <w:basedOn w:val="43"/>
    <w:link w:val="25"/>
    <w:qFormat/>
    <w:uiPriority w:val="0"/>
    <w:rPr>
      <w:rFonts w:ascii="Calibri" w:hAnsi="Calibri" w:eastAsia="宋体" w:cs="Times New Roman"/>
    </w:rPr>
  </w:style>
  <w:style w:type="character" w:customStyle="1" w:styleId="71">
    <w:name w:val="正文文本缩进 3 字符"/>
    <w:basedOn w:val="43"/>
    <w:link w:val="34"/>
    <w:qFormat/>
    <w:uiPriority w:val="0"/>
    <w:rPr>
      <w:rFonts w:ascii="宋体" w:hAnsi="宋体" w:eastAsia="宋体" w:cs="Times New Roman"/>
      <w:kern w:val="0"/>
      <w:sz w:val="28"/>
      <w:szCs w:val="28"/>
    </w:rPr>
  </w:style>
  <w:style w:type="character" w:customStyle="1" w:styleId="72">
    <w:name w:val="文档结构图 字符"/>
    <w:basedOn w:val="43"/>
    <w:link w:val="16"/>
    <w:qFormat/>
    <w:uiPriority w:val="0"/>
    <w:rPr>
      <w:rFonts w:ascii="Times New Roman" w:hAnsi="Times New Roman" w:eastAsia="宋体" w:cs="Times New Roman"/>
      <w:kern w:val="0"/>
      <w:sz w:val="18"/>
      <w:szCs w:val="18"/>
      <w:shd w:val="clear" w:color="auto" w:fill="000080"/>
    </w:rPr>
  </w:style>
  <w:style w:type="character" w:customStyle="1" w:styleId="73">
    <w:name w:val="纯文本 字符"/>
    <w:link w:val="3"/>
    <w:qFormat/>
    <w:locked/>
    <w:uiPriority w:val="0"/>
    <w:rPr>
      <w:rFonts w:ascii="宋体" w:hAnsi="Courier New" w:eastAsia="宋体" w:cs="Times New Roman"/>
      <w:kern w:val="0"/>
      <w:sz w:val="20"/>
      <w:szCs w:val="18"/>
    </w:rPr>
  </w:style>
  <w:style w:type="character" w:customStyle="1" w:styleId="74">
    <w:name w:val="纯文本 Char"/>
    <w:basedOn w:val="43"/>
    <w:qFormat/>
    <w:uiPriority w:val="0"/>
    <w:rPr>
      <w:rFonts w:ascii="宋体" w:hAnsi="Courier New" w:eastAsia="宋体" w:cs="Courier New"/>
      <w:szCs w:val="21"/>
    </w:rPr>
  </w:style>
  <w:style w:type="character" w:customStyle="1" w:styleId="75">
    <w:name w:val="批注主题 字符"/>
    <w:basedOn w:val="59"/>
    <w:link w:val="39"/>
    <w:qFormat/>
    <w:uiPriority w:val="99"/>
    <w:rPr>
      <w:rFonts w:ascii="Calibri" w:hAnsi="Calibri" w:eastAsia="宋体" w:cs="Times New Roman"/>
      <w:b/>
      <w:bCs/>
      <w:kern w:val="0"/>
      <w:sz w:val="18"/>
      <w:szCs w:val="18"/>
    </w:rPr>
  </w:style>
  <w:style w:type="character" w:customStyle="1" w:styleId="76">
    <w:name w:val="批注框文本 字符"/>
    <w:basedOn w:val="43"/>
    <w:link w:val="26"/>
    <w:qFormat/>
    <w:uiPriority w:val="99"/>
    <w:rPr>
      <w:rFonts w:ascii="Times New Roman" w:hAnsi="Times New Roman" w:eastAsia="宋体" w:cs="Times New Roman"/>
      <w:kern w:val="0"/>
      <w:sz w:val="18"/>
      <w:szCs w:val="18"/>
    </w:rPr>
  </w:style>
  <w:style w:type="paragraph" w:customStyle="1" w:styleId="77">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字符"/>
    <w:link w:val="79"/>
    <w:qFormat/>
    <w:locked/>
    <w:uiPriority w:val="0"/>
    <w:rPr>
      <w:rFonts w:ascii="Calibri" w:hAnsi="Calibri"/>
    </w:rPr>
  </w:style>
  <w:style w:type="paragraph" w:customStyle="1" w:styleId="79">
    <w:name w:val="列出段落1"/>
    <w:basedOn w:val="1"/>
    <w:link w:val="78"/>
    <w:qFormat/>
    <w:uiPriority w:val="99"/>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0"/>
    <w:pPr>
      <w:spacing w:before="240" w:after="60"/>
      <w:jc w:val="center"/>
      <w:outlineLvl w:val="0"/>
    </w:pPr>
    <w:rPr>
      <w:rFonts w:ascii="Arial" w:hAnsi="Arial" w:cs="Arial"/>
      <w:b/>
      <w:bCs/>
      <w:sz w:val="32"/>
      <w:szCs w:val="32"/>
    </w:rPr>
  </w:style>
  <w:style w:type="paragraph" w:customStyle="1" w:styleId="84">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0"/>
    <w:pPr>
      <w:ind w:firstLine="200" w:firstLineChars="200"/>
    </w:pPr>
    <w:rPr>
      <w:rFonts w:ascii="Times New Roman" w:hAnsi="Times New Roman"/>
      <w:szCs w:val="24"/>
    </w:rPr>
  </w:style>
  <w:style w:type="paragraph" w:customStyle="1" w:styleId="8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0"/>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0"/>
    <w:pPr>
      <w:keepNext/>
      <w:keepLines/>
      <w:tabs>
        <w:tab w:val="left" w:pos="1124"/>
      </w:tabs>
      <w:adjustRightInd w:val="0"/>
      <w:spacing w:before="240"/>
      <w:ind w:left="1124" w:hanging="420"/>
      <w:jc w:val="left"/>
      <w:outlineLvl w:val="1"/>
    </w:pPr>
    <w:rPr>
      <w:rFonts w:ascii="宋体" w:hAnsi="宋体" w:cs="宋体"/>
      <w:color w:val="000000"/>
      <w:kern w:val="0"/>
      <w:szCs w:val="20"/>
    </w:rPr>
  </w:style>
  <w:style w:type="paragraph" w:customStyle="1" w:styleId="9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0"/>
    <w:rPr>
      <w:rFonts w:ascii="Tahoma" w:hAnsi="Tahoma"/>
      <w:sz w:val="24"/>
      <w:szCs w:val="20"/>
    </w:rPr>
  </w:style>
  <w:style w:type="paragraph" w:customStyle="1" w:styleId="93">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4"/>
    <w:qFormat/>
    <w:uiPriority w:val="0"/>
    <w:pPr>
      <w:spacing w:after="0" w:line="360" w:lineRule="auto"/>
      <w:ind w:firstLine="480" w:firstLineChars="200"/>
    </w:pPr>
    <w:rPr>
      <w:rFonts w:ascii="宋体" w:hAnsi="宋体"/>
      <w:sz w:val="24"/>
      <w:szCs w:val="24"/>
    </w:rPr>
  </w:style>
  <w:style w:type="paragraph" w:customStyle="1" w:styleId="96">
    <w:name w:val="表格文字"/>
    <w:basedOn w:val="1"/>
    <w:qFormat/>
    <w:uiPriority w:val="0"/>
    <w:pPr>
      <w:spacing w:beforeLines="25"/>
    </w:pPr>
    <w:rPr>
      <w:rFonts w:ascii="Times New (W1)" w:hAnsi="Times New (W1)"/>
      <w:spacing w:val="10"/>
      <w:szCs w:val="24"/>
    </w:rPr>
  </w:style>
  <w:style w:type="paragraph" w:customStyle="1" w:styleId="97">
    <w:name w:val="文章正文"/>
    <w:basedOn w:val="1"/>
    <w:qFormat/>
    <w:uiPriority w:val="0"/>
    <w:pPr>
      <w:spacing w:line="360" w:lineRule="auto"/>
      <w:ind w:firstLine="420"/>
    </w:pPr>
    <w:rPr>
      <w:rFonts w:ascii="Times New Roman" w:hAnsi="Times New Roman"/>
      <w:sz w:val="24"/>
      <w:szCs w:val="24"/>
    </w:rPr>
  </w:style>
  <w:style w:type="paragraph" w:customStyle="1" w:styleId="98">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0"/>
    <w:rPr>
      <w:rFonts w:ascii="Times New Roman" w:hAnsi="Times New Roman"/>
      <w:szCs w:val="24"/>
    </w:rPr>
  </w:style>
  <w:style w:type="paragraph" w:customStyle="1" w:styleId="100">
    <w:name w:val="MM Topic 6"/>
    <w:basedOn w:val="9"/>
    <w:qFormat/>
    <w:uiPriority w:val="0"/>
    <w:pPr>
      <w:tabs>
        <w:tab w:val="left" w:pos="3260"/>
        <w:tab w:val="clear" w:pos="1702"/>
      </w:tabs>
      <w:ind w:left="0" w:firstLine="0"/>
    </w:pPr>
    <w:rPr>
      <w:rFonts w:eastAsia="黑体"/>
    </w:rPr>
  </w:style>
  <w:style w:type="paragraph" w:customStyle="1" w:styleId="101">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8"/>
    <w:next w:val="19"/>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0"/>
    <w:rPr>
      <w:rFonts w:ascii="仿宋_GB2312" w:hAnsi="Times New Roman"/>
      <w:b/>
      <w:sz w:val="30"/>
      <w:szCs w:val="32"/>
    </w:rPr>
  </w:style>
  <w:style w:type="paragraph" w:customStyle="1" w:styleId="106">
    <w:name w:val="MM Topic 2"/>
    <w:basedOn w:val="5"/>
    <w:qFormat/>
    <w:uiPriority w:val="0"/>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09">
    <w:name w:val="MM Topic 8"/>
    <w:basedOn w:val="11"/>
    <w:qFormat/>
    <w:uiPriority w:val="0"/>
    <w:pPr>
      <w:tabs>
        <w:tab w:val="left" w:pos="4394"/>
      </w:tabs>
    </w:pPr>
  </w:style>
  <w:style w:type="paragraph" w:customStyle="1" w:styleId="110">
    <w:name w:val="Char1 Char Char Char Char Char Char"/>
    <w:basedOn w:val="1"/>
    <w:qFormat/>
    <w:uiPriority w:val="0"/>
    <w:rPr>
      <w:rFonts w:ascii="Tahoma" w:hAnsi="Tahoma"/>
      <w:sz w:val="24"/>
      <w:szCs w:val="20"/>
    </w:rPr>
  </w:style>
  <w:style w:type="paragraph" w:customStyle="1" w:styleId="111">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0"/>
    <w:rPr>
      <w:rFonts w:ascii="宋体" w:hAnsi="宋体"/>
      <w:sz w:val="24"/>
      <w:szCs w:val="24"/>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4">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0"/>
    <w:pPr>
      <w:spacing w:line="360" w:lineRule="auto"/>
      <w:ind w:firstLine="420"/>
    </w:pPr>
    <w:rPr>
      <w:rFonts w:ascii="Times New Roman" w:hAnsi="Times New Roman"/>
      <w:sz w:val="24"/>
      <w:szCs w:val="24"/>
    </w:rPr>
  </w:style>
  <w:style w:type="paragraph" w:customStyle="1" w:styleId="118">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120"/>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20">
    <w:name w:val="样式 Char Char"/>
    <w:link w:val="119"/>
    <w:qFormat/>
    <w:locked/>
    <w:uiPriority w:val="0"/>
    <w:rPr>
      <w:rFonts w:ascii="宋体" w:hAnsi="宋体" w:eastAsia="宋体" w:cs="宋体"/>
      <w:kern w:val="0"/>
      <w:sz w:val="24"/>
      <w:szCs w:val="24"/>
    </w:rPr>
  </w:style>
  <w:style w:type="paragraph" w:customStyle="1" w:styleId="121">
    <w:name w:val="图"/>
    <w:basedOn w:val="1"/>
    <w:qFormat/>
    <w:uiPriority w:val="0"/>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0"/>
    <w:rPr>
      <w:rFonts w:ascii="Tahoma" w:hAnsi="Tahoma"/>
      <w:sz w:val="24"/>
      <w:szCs w:val="20"/>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4"/>
    <w:qFormat/>
    <w:uiPriority w:val="0"/>
    <w:pPr>
      <w:tabs>
        <w:tab w:val="left" w:pos="425"/>
      </w:tabs>
    </w:pPr>
    <w:rPr>
      <w:rFonts w:cs="Times New Roman"/>
      <w:sz w:val="44"/>
    </w:rPr>
  </w:style>
  <w:style w:type="paragraph" w:customStyle="1" w:styleId="126">
    <w:name w:val="样式 标题 5 + 倾斜"/>
    <w:basedOn w:val="8"/>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0"/>
    <w:pPr>
      <w:spacing w:line="360" w:lineRule="auto"/>
      <w:ind w:firstLine="420" w:firstLineChars="200"/>
    </w:pPr>
    <w:rPr>
      <w:rFonts w:ascii="宋体" w:hAnsi="宋体"/>
      <w:szCs w:val="24"/>
    </w:rPr>
  </w:style>
  <w:style w:type="paragraph" w:customStyle="1" w:styleId="128">
    <w:name w:val="MM Topic 7"/>
    <w:basedOn w:val="10"/>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0"/>
    <w:pPr>
      <w:spacing w:line="360" w:lineRule="auto"/>
      <w:ind w:firstLine="700" w:firstLineChars="250"/>
    </w:pPr>
    <w:rPr>
      <w:rFonts w:ascii="宋体" w:hAnsi="宋体"/>
      <w:bCs/>
      <w:sz w:val="28"/>
      <w:szCs w:val="28"/>
    </w:rPr>
  </w:style>
  <w:style w:type="paragraph" w:customStyle="1" w:styleId="132">
    <w:name w:val="样式1"/>
    <w:basedOn w:val="1"/>
    <w:qFormat/>
    <w:uiPriority w:val="0"/>
    <w:rPr>
      <w:rFonts w:ascii="Times New Roman" w:hAnsi="Times New Roman" w:eastAsia="隶书"/>
      <w:i/>
      <w:dstrike/>
      <w:sz w:val="28"/>
      <w:szCs w:val="18"/>
    </w:rPr>
  </w:style>
  <w:style w:type="paragraph" w:customStyle="1" w:styleId="133">
    <w:name w:val="表格"/>
    <w:basedOn w:val="1"/>
    <w:qFormat/>
    <w:uiPriority w:val="0"/>
    <w:pPr>
      <w:spacing w:line="400" w:lineRule="exact"/>
    </w:pPr>
    <w:rPr>
      <w:rFonts w:ascii="Times New Roman" w:hAnsi="Times New Roman"/>
      <w:sz w:val="24"/>
      <w:szCs w:val="24"/>
    </w:rPr>
  </w:style>
  <w:style w:type="paragraph" w:customStyle="1" w:styleId="134">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5">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6"/>
    <w:qFormat/>
    <w:uiPriority w:val="0"/>
    <w:rPr>
      <w:rFonts w:ascii="Tahoma" w:hAnsi="Tahoma"/>
      <w:sz w:val="24"/>
      <w:szCs w:val="24"/>
    </w:rPr>
  </w:style>
  <w:style w:type="paragraph" w:customStyle="1" w:styleId="137">
    <w:name w:val="MM Topic 3"/>
    <w:basedOn w:val="6"/>
    <w:qFormat/>
    <w:uiPriority w:val="0"/>
    <w:pPr>
      <w:numPr>
        <w:ilvl w:val="0"/>
        <w:numId w:val="0"/>
      </w:numPr>
      <w:tabs>
        <w:tab w:val="left" w:pos="1418"/>
      </w:tabs>
    </w:pPr>
    <w:rPr>
      <w:rFonts w:cs="Times New Roman"/>
    </w:rPr>
  </w:style>
  <w:style w:type="paragraph" w:customStyle="1" w:styleId="138">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0"/>
    <w:rPr>
      <w:rFonts w:ascii="Tahoma" w:hAnsi="Tahoma"/>
      <w:sz w:val="24"/>
      <w:szCs w:val="20"/>
    </w:rPr>
  </w:style>
  <w:style w:type="paragraph" w:customStyle="1" w:styleId="141">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2">
    <w:name w:val="MM Topic 9"/>
    <w:basedOn w:val="12"/>
    <w:qFormat/>
    <w:uiPriority w:val="0"/>
    <w:pPr>
      <w:tabs>
        <w:tab w:val="left" w:pos="5102"/>
      </w:tabs>
    </w:pPr>
  </w:style>
  <w:style w:type="paragraph" w:customStyle="1" w:styleId="143">
    <w:name w:val="MM Topic 5"/>
    <w:basedOn w:val="8"/>
    <w:qFormat/>
    <w:uiPriority w:val="0"/>
    <w:pPr>
      <w:tabs>
        <w:tab w:val="left" w:pos="2551"/>
        <w:tab w:val="clear" w:pos="1134"/>
        <w:tab w:val="clear" w:pos="1560"/>
      </w:tabs>
      <w:ind w:left="0" w:firstLine="0"/>
    </w:pPr>
    <w:rPr>
      <w:rFonts w:cs="Times New Roman"/>
    </w:rPr>
  </w:style>
  <w:style w:type="paragraph" w:customStyle="1" w:styleId="144">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5">
    <w:name w:val="MM Topic 4"/>
    <w:basedOn w:val="7"/>
    <w:qFormat/>
    <w:uiPriority w:val="0"/>
    <w:pPr>
      <w:tabs>
        <w:tab w:val="left" w:pos="1984"/>
      </w:tabs>
      <w:ind w:left="0" w:firstLine="0"/>
    </w:pPr>
  </w:style>
  <w:style w:type="paragraph" w:customStyle="1" w:styleId="1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5"/>
    <w:qFormat/>
    <w:uiPriority w:val="0"/>
    <w:pPr>
      <w:tabs>
        <w:tab w:val="left" w:pos="-2493"/>
      </w:tabs>
    </w:pPr>
    <w:rPr>
      <w:rFonts w:cs="Times New Roman"/>
      <w:szCs w:val="20"/>
    </w:rPr>
  </w:style>
  <w:style w:type="paragraph" w:customStyle="1" w:styleId="149">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0">
    <w:name w:val="列出段落2"/>
    <w:basedOn w:val="1"/>
    <w:qFormat/>
    <w:uiPriority w:val="0"/>
    <w:pPr>
      <w:ind w:firstLine="420" w:firstLineChars="200"/>
    </w:pPr>
  </w:style>
  <w:style w:type="paragraph" w:customStyle="1" w:styleId="151">
    <w:name w:val="列出段落4"/>
    <w:basedOn w:val="1"/>
    <w:qFormat/>
    <w:uiPriority w:val="34"/>
    <w:pPr>
      <w:ind w:firstLine="420" w:firstLineChars="200"/>
    </w:pPr>
    <w:rPr>
      <w:rFonts w:ascii="Times New Roman" w:hAnsi="Times New Roman"/>
      <w:szCs w:val="24"/>
    </w:rPr>
  </w:style>
  <w:style w:type="paragraph" w:customStyle="1" w:styleId="152">
    <w:name w:val="列出段落11"/>
    <w:basedOn w:val="1"/>
    <w:qFormat/>
    <w:uiPriority w:val="0"/>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0"/>
    <w:pPr>
      <w:ind w:firstLine="420" w:firstLineChars="200"/>
    </w:pPr>
  </w:style>
  <w:style w:type="paragraph" w:customStyle="1" w:styleId="155">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6">
    <w:name w:val="列出段落3"/>
    <w:basedOn w:val="1"/>
    <w:qFormat/>
    <w:uiPriority w:val="34"/>
    <w:pPr>
      <w:widowControl/>
      <w:ind w:firstLine="420" w:firstLineChars="200"/>
      <w:jc w:val="left"/>
    </w:pPr>
    <w:rPr>
      <w:rFonts w:ascii="Times New Roman" w:hAnsi="Times New Roman"/>
      <w:kern w:val="0"/>
      <w:sz w:val="24"/>
      <w:szCs w:val="24"/>
    </w:rPr>
  </w:style>
  <w:style w:type="paragraph" w:customStyle="1" w:styleId="157">
    <w:name w:val="列项——（一级）"/>
    <w:qFormat/>
    <w:uiPriority w:val="0"/>
    <w:pPr>
      <w:widowControl w:val="0"/>
      <w:ind w:left="833" w:hanging="408"/>
      <w:jc w:val="both"/>
    </w:pPr>
    <w:rPr>
      <w:rFonts w:ascii="宋体" w:hAnsi="Times New Roman" w:eastAsia="宋体" w:cs="Times New Roman"/>
      <w:sz w:val="21"/>
      <w:lang w:val="en-US" w:eastAsia="zh-CN" w:bidi="ar-SA"/>
    </w:rPr>
  </w:style>
  <w:style w:type="character" w:customStyle="1" w:styleId="158">
    <w:name w:val="0-CD Char"/>
    <w:link w:val="159"/>
    <w:qFormat/>
    <w:locked/>
    <w:uiPriority w:val="0"/>
    <w:rPr>
      <w:rFonts w:ascii="宋体" w:hAnsi="宋体" w:eastAsia="宋体"/>
      <w:sz w:val="28"/>
      <w:szCs w:val="24"/>
    </w:rPr>
  </w:style>
  <w:style w:type="paragraph" w:customStyle="1" w:styleId="159">
    <w:name w:val="0-CD"/>
    <w:basedOn w:val="1"/>
    <w:link w:val="158"/>
    <w:qFormat/>
    <w:uiPriority w:val="0"/>
    <w:pPr>
      <w:spacing w:line="360" w:lineRule="auto"/>
      <w:ind w:firstLine="708" w:firstLineChars="253"/>
      <w:jc w:val="left"/>
    </w:pPr>
    <w:rPr>
      <w:rFonts w:ascii="宋体" w:hAnsi="宋体" w:cstheme="minorBidi"/>
      <w:sz w:val="28"/>
      <w:szCs w:val="24"/>
    </w:rPr>
  </w:style>
  <w:style w:type="character" w:customStyle="1" w:styleId="160">
    <w:name w:val="Char Char8"/>
    <w:qFormat/>
    <w:uiPriority w:val="0"/>
    <w:rPr>
      <w:rFonts w:hint="eastAsia" w:ascii="宋体" w:hAnsi="宋体" w:eastAsia="宋体"/>
      <w:kern w:val="2"/>
      <w:sz w:val="28"/>
      <w:szCs w:val="28"/>
    </w:rPr>
  </w:style>
  <w:style w:type="character" w:customStyle="1" w:styleId="161">
    <w:name w:val="Char Char5"/>
    <w:qFormat/>
    <w:uiPriority w:val="0"/>
    <w:rPr>
      <w:kern w:val="2"/>
      <w:sz w:val="21"/>
      <w:szCs w:val="24"/>
    </w:rPr>
  </w:style>
  <w:style w:type="character" w:customStyle="1" w:styleId="162">
    <w:name w:val="列出段落 Char Char"/>
    <w:qFormat/>
    <w:uiPriority w:val="0"/>
    <w:rPr>
      <w:rFonts w:hint="default" w:ascii="Calibri" w:hAnsi="Calibri" w:cs="Calibri"/>
      <w:kern w:val="2"/>
      <w:sz w:val="21"/>
      <w:szCs w:val="22"/>
    </w:rPr>
  </w:style>
  <w:style w:type="character" w:customStyle="1" w:styleId="163">
    <w:name w:val="正文文本 Char Char"/>
    <w:qFormat/>
    <w:uiPriority w:val="0"/>
    <w:rPr>
      <w:kern w:val="2"/>
      <w:sz w:val="21"/>
      <w:szCs w:val="24"/>
    </w:rPr>
  </w:style>
  <w:style w:type="character" w:customStyle="1" w:styleId="164">
    <w:name w:val="Char Char11"/>
    <w:qFormat/>
    <w:uiPriority w:val="0"/>
    <w:rPr>
      <w:rFonts w:hint="default" w:ascii="Arial Narrow" w:hAnsi="Arial Narrow"/>
      <w:b/>
      <w:bCs/>
      <w:iCs/>
      <w:szCs w:val="24"/>
      <w:lang w:eastAsia="en-US"/>
    </w:rPr>
  </w:style>
  <w:style w:type="character" w:customStyle="1" w:styleId="165">
    <w:name w:val="标书（正文） Char Char"/>
    <w:qFormat/>
    <w:uiPriority w:val="0"/>
    <w:rPr>
      <w:rFonts w:hint="eastAsia" w:ascii="宋体" w:hAnsi="宋体" w:eastAsia="宋体"/>
      <w:b/>
      <w:kern w:val="10"/>
      <w:sz w:val="21"/>
      <w:szCs w:val="21"/>
      <w:lang w:val="en-US" w:eastAsia="zh-CN" w:bidi="ar-SA"/>
    </w:rPr>
  </w:style>
  <w:style w:type="character" w:customStyle="1" w:styleId="166">
    <w:name w:val="line2"/>
    <w:basedOn w:val="43"/>
    <w:qFormat/>
    <w:uiPriority w:val="0"/>
  </w:style>
  <w:style w:type="character" w:customStyle="1" w:styleId="167">
    <w:name w:val="Char Char10"/>
    <w:qFormat/>
    <w:uiPriority w:val="0"/>
    <w:rPr>
      <w:kern w:val="2"/>
      <w:sz w:val="24"/>
      <w:szCs w:val="24"/>
    </w:rPr>
  </w:style>
  <w:style w:type="character" w:customStyle="1" w:styleId="168">
    <w:name w:val="MM Topic 4 Char Char"/>
    <w:qFormat/>
    <w:uiPriority w:val="0"/>
    <w:rPr>
      <w:rFonts w:hint="default" w:ascii="Arial" w:hAnsi="Arial" w:cs="Arial"/>
      <w:b/>
      <w:bCs/>
      <w:kern w:val="2"/>
      <w:sz w:val="28"/>
      <w:szCs w:val="28"/>
    </w:rPr>
  </w:style>
  <w:style w:type="character" w:customStyle="1" w:styleId="169">
    <w:name w:val="标书正文:  0.74 厘米 Char Char"/>
    <w:qFormat/>
    <w:uiPriority w:val="0"/>
    <w:rPr>
      <w:kern w:val="2"/>
      <w:sz w:val="24"/>
    </w:rPr>
  </w:style>
  <w:style w:type="character" w:customStyle="1" w:styleId="170">
    <w:name w:val="访问过的超链接1"/>
    <w:qFormat/>
    <w:uiPriority w:val="99"/>
    <w:rPr>
      <w:color w:val="800080"/>
      <w:u w:val="single"/>
    </w:rPr>
  </w:style>
  <w:style w:type="character" w:customStyle="1" w:styleId="171">
    <w:name w:val="标题 3 Char Char Char"/>
    <w:qFormat/>
    <w:uiPriority w:val="0"/>
    <w:rPr>
      <w:rFonts w:hint="eastAsia" w:ascii="宋体" w:hAnsi="宋体" w:eastAsia="宋体"/>
      <w:b/>
      <w:kern w:val="2"/>
      <w:sz w:val="32"/>
      <w:lang w:val="en-US" w:eastAsia="zh-CN" w:bidi="ar-SA"/>
    </w:rPr>
  </w:style>
  <w:style w:type="character" w:customStyle="1" w:styleId="172">
    <w:name w:val="（符号）邀请函中一、"/>
    <w:qFormat/>
    <w:uiPriority w:val="0"/>
    <w:rPr>
      <w:rFonts w:hint="eastAsia" w:ascii="黑体" w:hAnsi="黑体" w:eastAsia="黑体"/>
      <w:b/>
      <w:bCs/>
      <w:sz w:val="24"/>
    </w:rPr>
  </w:style>
  <w:style w:type="character" w:customStyle="1" w:styleId="173">
    <w:name w:val="tt Char"/>
    <w:qFormat/>
    <w:uiPriority w:val="0"/>
    <w:rPr>
      <w:rFonts w:hint="default" w:ascii="Arial" w:hAnsi="Arial" w:eastAsia="黑体" w:cs="Arial"/>
      <w:kern w:val="2"/>
      <w:sz w:val="21"/>
      <w:szCs w:val="21"/>
    </w:rPr>
  </w:style>
  <w:style w:type="character" w:customStyle="1" w:styleId="174">
    <w:name w:val="Char Char9"/>
    <w:qFormat/>
    <w:uiPriority w:val="0"/>
    <w:rPr>
      <w:kern w:val="2"/>
      <w:sz w:val="18"/>
      <w:szCs w:val="18"/>
    </w:rPr>
  </w:style>
  <w:style w:type="character" w:customStyle="1" w:styleId="175">
    <w:name w:val="MM Topic 3 Char Char"/>
    <w:qFormat/>
    <w:uiPriority w:val="0"/>
    <w:rPr>
      <w:rFonts w:hint="eastAsia" w:ascii="宋体" w:hAnsi="宋体" w:eastAsia="宋体"/>
      <w:b/>
      <w:bCs/>
      <w:color w:val="000000"/>
      <w:kern w:val="2"/>
      <w:sz w:val="28"/>
      <w:szCs w:val="28"/>
    </w:rPr>
  </w:style>
  <w:style w:type="character" w:customStyle="1" w:styleId="176">
    <w:name w:val="样式 小四2 Char Char"/>
    <w:qFormat/>
    <w:uiPriority w:val="0"/>
    <w:rPr>
      <w:rFonts w:hint="eastAsia" w:ascii="宋体" w:hAnsi="宋体" w:eastAsia="宋体"/>
      <w:kern w:val="2"/>
      <w:sz w:val="24"/>
      <w:szCs w:val="24"/>
    </w:rPr>
  </w:style>
  <w:style w:type="character" w:customStyle="1" w:styleId="177">
    <w:name w:val="Char Char7"/>
    <w:qFormat/>
    <w:uiPriority w:val="0"/>
    <w:rPr>
      <w:kern w:val="2"/>
      <w:sz w:val="18"/>
      <w:szCs w:val="18"/>
    </w:rPr>
  </w:style>
  <w:style w:type="character" w:customStyle="1" w:styleId="178">
    <w:name w:val="Char Char3"/>
    <w:qFormat/>
    <w:uiPriority w:val="0"/>
    <w:rPr>
      <w:b/>
      <w:bCs/>
      <w:kern w:val="2"/>
      <w:sz w:val="18"/>
      <w:szCs w:val="18"/>
    </w:rPr>
  </w:style>
  <w:style w:type="character" w:customStyle="1" w:styleId="179">
    <w:name w:val="apple-style-span"/>
    <w:basedOn w:val="43"/>
    <w:qFormat/>
    <w:uiPriority w:val="0"/>
  </w:style>
  <w:style w:type="character" w:customStyle="1" w:styleId="180">
    <w:name w:val="Char Char4"/>
    <w:qFormat/>
    <w:uiPriority w:val="0"/>
    <w:rPr>
      <w:kern w:val="2"/>
      <w:sz w:val="18"/>
      <w:szCs w:val="18"/>
    </w:rPr>
  </w:style>
  <w:style w:type="character" w:customStyle="1" w:styleId="181">
    <w:name w:val="副标题 Char1"/>
    <w:qFormat/>
    <w:uiPriority w:val="11"/>
    <w:rPr>
      <w:rFonts w:hint="default" w:ascii="Cambria" w:hAnsi="Cambria" w:cs="Times New Roman"/>
      <w:b/>
      <w:bCs/>
      <w:kern w:val="28"/>
      <w:sz w:val="32"/>
      <w:szCs w:val="32"/>
    </w:rPr>
  </w:style>
  <w:style w:type="character" w:customStyle="1" w:styleId="182">
    <w:name w:val="small"/>
    <w:basedOn w:val="43"/>
    <w:qFormat/>
    <w:uiPriority w:val="0"/>
  </w:style>
  <w:style w:type="character" w:customStyle="1" w:styleId="183">
    <w:name w:val="Legal Level 1.1.1. Char"/>
    <w:qFormat/>
    <w:uiPriority w:val="0"/>
    <w:rPr>
      <w:rFonts w:hint="default" w:ascii="Arial" w:hAnsi="Arial" w:eastAsia="黑体" w:cs="Arial"/>
      <w:kern w:val="2"/>
      <w:sz w:val="24"/>
      <w:szCs w:val="24"/>
    </w:rPr>
  </w:style>
  <w:style w:type="character" w:customStyle="1" w:styleId="184">
    <w:name w:val="文章正文 Char Char"/>
    <w:qFormat/>
    <w:uiPriority w:val="0"/>
    <w:rPr>
      <w:rFonts w:hint="eastAsia" w:ascii="宋体" w:hAnsi="宋体" w:eastAsia="宋体"/>
      <w:kern w:val="2"/>
      <w:sz w:val="24"/>
      <w:szCs w:val="24"/>
      <w:lang w:val="en-US" w:eastAsia="zh-CN" w:bidi="ar-SA"/>
    </w:rPr>
  </w:style>
  <w:style w:type="character" w:customStyle="1" w:styleId="185">
    <w:name w:val="正文文本 Char1"/>
    <w:qFormat/>
    <w:uiPriority w:val="0"/>
    <w:rPr>
      <w:rFonts w:hint="default" w:ascii="Times New Roman" w:hAnsi="Times New Roman" w:eastAsia="宋体" w:cs="Times New Roman"/>
      <w:kern w:val="0"/>
      <w:sz w:val="18"/>
      <w:szCs w:val="18"/>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Char Char Char"/>
    <w:qFormat/>
    <w:uiPriority w:val="0"/>
    <w:rPr>
      <w:rFonts w:hint="eastAsia" w:ascii="宋体" w:hAnsi="宋体" w:eastAsia="宋体"/>
      <w:kern w:val="2"/>
      <w:sz w:val="18"/>
      <w:szCs w:val="18"/>
      <w:lang w:val="en-US" w:eastAsia="zh-CN" w:bidi="ar-SA"/>
    </w:rPr>
  </w:style>
  <w:style w:type="character" w:customStyle="1" w:styleId="191">
    <w:name w:val="Char Char6"/>
    <w:qFormat/>
    <w:uiPriority w:val="0"/>
    <w:rPr>
      <w:kern w:val="2"/>
      <w:sz w:val="21"/>
      <w:szCs w:val="24"/>
    </w:rPr>
  </w:style>
  <w:style w:type="character" w:customStyle="1" w:styleId="192">
    <w:name w:val="正文缩进 Char"/>
    <w:qFormat/>
    <w:uiPriority w:val="0"/>
    <w:rPr>
      <w:kern w:val="2"/>
      <w:sz w:val="21"/>
      <w:lang w:val="zh-CN" w:eastAsia="zh-CN"/>
    </w:rPr>
  </w:style>
  <w:style w:type="character" w:customStyle="1" w:styleId="193">
    <w:name w:val="font11"/>
    <w:basedOn w:val="43"/>
    <w:qFormat/>
    <w:uiPriority w:val="0"/>
    <w:rPr>
      <w:rFonts w:hint="eastAsia" w:ascii="宋体" w:hAnsi="宋体" w:eastAsia="宋体" w:cs="宋体"/>
      <w:b/>
      <w:color w:val="000000"/>
      <w:sz w:val="22"/>
      <w:szCs w:val="22"/>
      <w:u w:val="none"/>
    </w:rPr>
  </w:style>
  <w:style w:type="character" w:customStyle="1" w:styleId="194">
    <w:name w:val="font01"/>
    <w:basedOn w:val="43"/>
    <w:qFormat/>
    <w:uiPriority w:val="0"/>
    <w:rPr>
      <w:rFonts w:hint="eastAsia" w:ascii="宋体" w:hAnsi="宋体" w:eastAsia="宋体" w:cs="宋体"/>
      <w:color w:val="000000"/>
      <w:sz w:val="22"/>
      <w:szCs w:val="22"/>
      <w:u w:val="none"/>
    </w:rPr>
  </w:style>
  <w:style w:type="character" w:customStyle="1" w:styleId="195">
    <w:name w:val="页脚 Char1"/>
    <w:basedOn w:val="43"/>
    <w:qFormat/>
    <w:uiPriority w:val="99"/>
    <w:rPr>
      <w:sz w:val="18"/>
      <w:szCs w:val="18"/>
    </w:rPr>
  </w:style>
  <w:style w:type="character" w:customStyle="1" w:styleId="196">
    <w:name w:val="批注文字 Char2"/>
    <w:qFormat/>
    <w:uiPriority w:val="0"/>
    <w:rPr>
      <w:rFonts w:hint="eastAsia" w:ascii="宋体" w:hAnsi="宋体" w:eastAsia="宋体"/>
      <w:sz w:val="18"/>
      <w:szCs w:val="18"/>
    </w:rPr>
  </w:style>
  <w:style w:type="character" w:customStyle="1" w:styleId="197">
    <w:name w:val="列出段落 Char1"/>
    <w:qFormat/>
    <w:uiPriority w:val="34"/>
    <w:rPr>
      <w:rFonts w:hint="default" w:ascii="Calibri" w:hAnsi="Calibri"/>
      <w:kern w:val="2"/>
      <w:sz w:val="21"/>
      <w:szCs w:val="22"/>
    </w:rPr>
  </w:style>
  <w:style w:type="paragraph" w:customStyle="1" w:styleId="198">
    <w:name w:val="CD正文"/>
    <w:basedOn w:val="97"/>
    <w:qFormat/>
    <w:uiPriority w:val="0"/>
  </w:style>
  <w:style w:type="paragraph" w:customStyle="1" w:styleId="199">
    <w:name w:val="项目符号：一级"/>
    <w:basedOn w:val="84"/>
    <w:next w:val="84"/>
    <w:qFormat/>
    <w:uiPriority w:val="0"/>
  </w:style>
  <w:style w:type="paragraph" w:customStyle="1" w:styleId="200">
    <w:name w:val="修订2"/>
    <w:semiHidden/>
    <w:qFormat/>
    <w:uiPriority w:val="99"/>
    <w:rPr>
      <w:rFonts w:ascii="Calibri" w:hAnsi="Calibri" w:eastAsia="宋体" w:cs="Times New Roman"/>
      <w:kern w:val="2"/>
      <w:sz w:val="21"/>
      <w:szCs w:val="22"/>
      <w:lang w:val="en-US" w:eastAsia="zh-CN" w:bidi="ar-SA"/>
    </w:rPr>
  </w:style>
  <w:style w:type="paragraph" w:customStyle="1" w:styleId="201">
    <w:name w:val="修订21"/>
    <w:semiHidden/>
    <w:qFormat/>
    <w:uiPriority w:val="99"/>
    <w:rPr>
      <w:rFonts w:ascii="Calibri" w:hAnsi="Calibri" w:eastAsia="宋体" w:cs="Times New Roman"/>
      <w:kern w:val="2"/>
      <w:sz w:val="21"/>
      <w:szCs w:val="22"/>
      <w:lang w:val="en-US" w:eastAsia="zh-CN" w:bidi="ar-SA"/>
    </w:rPr>
  </w:style>
  <w:style w:type="paragraph" w:customStyle="1" w:styleId="202">
    <w:name w:val="List Paragraph1"/>
    <w:basedOn w:val="1"/>
    <w:semiHidden/>
    <w:qFormat/>
    <w:uiPriority w:val="0"/>
    <w:pPr>
      <w:ind w:firstLine="420" w:firstLineChars="200"/>
    </w:pPr>
    <w:rPr>
      <w:rFonts w:ascii="Times New Roman" w:hAnsi="Times New Roman"/>
      <w:szCs w:val="24"/>
    </w:rPr>
  </w:style>
  <w:style w:type="paragraph" w:customStyle="1" w:styleId="203">
    <w:name w:val="修订3"/>
    <w:semiHidden/>
    <w:qFormat/>
    <w:uiPriority w:val="99"/>
    <w:rPr>
      <w:rFonts w:ascii="Calibri" w:hAnsi="Calibri" w:eastAsia="宋体" w:cs="Times New Roman"/>
      <w:kern w:val="2"/>
      <w:sz w:val="21"/>
      <w:szCs w:val="22"/>
      <w:lang w:val="en-US" w:eastAsia="zh-CN" w:bidi="ar-SA"/>
    </w:rPr>
  </w:style>
  <w:style w:type="paragraph" w:customStyle="1" w:styleId="204">
    <w:name w:val="Normal Indent1"/>
    <w:basedOn w:val="1"/>
    <w:semiHidden/>
    <w:qFormat/>
    <w:uiPriority w:val="99"/>
    <w:pPr>
      <w:spacing w:line="360" w:lineRule="auto"/>
      <w:ind w:firstLine="200" w:firstLineChars="200"/>
    </w:pPr>
    <w:rPr>
      <w:sz w:val="24"/>
      <w:szCs w:val="24"/>
    </w:rPr>
  </w:style>
  <w:style w:type="character" w:customStyle="1" w:styleId="205">
    <w:name w:val="占位符文本1"/>
    <w:basedOn w:val="43"/>
    <w:semiHidden/>
    <w:qFormat/>
    <w:uiPriority w:val="99"/>
    <w:rPr>
      <w:color w:val="808080"/>
    </w:rPr>
  </w:style>
  <w:style w:type="character" w:customStyle="1" w:styleId="206">
    <w:name w:val="font61"/>
    <w:qFormat/>
    <w:uiPriority w:val="0"/>
    <w:rPr>
      <w:rFonts w:hint="eastAsia" w:ascii="仿宋_GB2312" w:eastAsia="仿宋_GB2312" w:cs="仿宋_GB2312"/>
      <w:color w:val="000000"/>
      <w:sz w:val="24"/>
      <w:szCs w:val="24"/>
      <w:u w:val="none"/>
    </w:rPr>
  </w:style>
  <w:style w:type="character" w:customStyle="1" w:styleId="207">
    <w:name w:val="日期 Char1"/>
    <w:basedOn w:val="43"/>
    <w:semiHidden/>
    <w:qFormat/>
    <w:uiPriority w:val="99"/>
    <w:rPr>
      <w:rFonts w:hint="default" w:ascii="Calibri" w:hAnsi="Calibri" w:eastAsia="宋体" w:cs="Times New Roman"/>
    </w:rPr>
  </w:style>
  <w:style w:type="character" w:customStyle="1" w:styleId="208">
    <w:name w:val="副标题 Char2"/>
    <w:basedOn w:val="43"/>
    <w:qFormat/>
    <w:uiPriority w:val="11"/>
    <w:rPr>
      <w:rFonts w:hint="default" w:eastAsia="宋体" w:asciiTheme="majorHAnsi" w:hAnsiTheme="majorHAnsi" w:cstheme="majorBidi"/>
      <w:b/>
      <w:bCs/>
      <w:kern w:val="28"/>
      <w:sz w:val="32"/>
      <w:szCs w:val="32"/>
    </w:rPr>
  </w:style>
  <w:style w:type="character" w:customStyle="1" w:styleId="209">
    <w:name w:val="正文文本缩进 3 Char1"/>
    <w:basedOn w:val="43"/>
    <w:semiHidden/>
    <w:qFormat/>
    <w:uiPriority w:val="99"/>
    <w:rPr>
      <w:rFonts w:hint="default" w:ascii="Calibri" w:hAnsi="Calibri" w:eastAsia="宋体" w:cs="Times New Roman"/>
      <w:sz w:val="16"/>
      <w:szCs w:val="16"/>
    </w:rPr>
  </w:style>
  <w:style w:type="character" w:customStyle="1" w:styleId="210">
    <w:name w:val="批注框文本 Char1"/>
    <w:basedOn w:val="43"/>
    <w:semiHidden/>
    <w:qFormat/>
    <w:uiPriority w:val="99"/>
    <w:rPr>
      <w:rFonts w:hint="default" w:ascii="Calibri" w:hAnsi="Calibri" w:eastAsia="宋体" w:cs="Times New Roman"/>
      <w:sz w:val="18"/>
      <w:szCs w:val="18"/>
    </w:rPr>
  </w:style>
  <w:style w:type="character" w:customStyle="1" w:styleId="211">
    <w:name w:val="纯文本 Char2"/>
    <w:basedOn w:val="43"/>
    <w:qFormat/>
    <w:uiPriority w:val="99"/>
    <w:rPr>
      <w:rFonts w:hint="eastAsia" w:ascii="宋体" w:hAnsi="Courier New" w:eastAsia="宋体" w:cs="Courier New"/>
      <w:szCs w:val="21"/>
    </w:rPr>
  </w:style>
  <w:style w:type="character" w:customStyle="1" w:styleId="212">
    <w:name w:val="正文文本缩进 2 Char1"/>
    <w:basedOn w:val="43"/>
    <w:semiHidden/>
    <w:qFormat/>
    <w:uiPriority w:val="99"/>
    <w:rPr>
      <w:rFonts w:hint="default" w:ascii="Calibri" w:hAnsi="Calibri" w:eastAsia="宋体" w:cs="Times New Roman"/>
    </w:rPr>
  </w:style>
  <w:style w:type="character" w:customStyle="1" w:styleId="213">
    <w:name w:val="正文文本缩进 Char1"/>
    <w:basedOn w:val="43"/>
    <w:semiHidden/>
    <w:qFormat/>
    <w:uiPriority w:val="99"/>
    <w:rPr>
      <w:rFonts w:hint="default" w:ascii="Calibri" w:hAnsi="Calibri" w:eastAsia="宋体" w:cs="Times New Roman"/>
    </w:rPr>
  </w:style>
  <w:style w:type="character" w:customStyle="1" w:styleId="214">
    <w:name w:val="正文文本 2 Char1"/>
    <w:basedOn w:val="43"/>
    <w:semiHidden/>
    <w:qFormat/>
    <w:uiPriority w:val="99"/>
    <w:rPr>
      <w:rFonts w:hint="default" w:ascii="Calibri" w:hAnsi="Calibri" w:eastAsia="宋体" w:cs="Times New Roman"/>
    </w:rPr>
  </w:style>
  <w:style w:type="character" w:customStyle="1" w:styleId="215">
    <w:name w:val="正文文本 Char3"/>
    <w:basedOn w:val="43"/>
    <w:qFormat/>
    <w:locked/>
    <w:uiPriority w:val="0"/>
    <w:rPr>
      <w:rFonts w:ascii="Calibri" w:hAnsi="Calibri" w:eastAsia="宋体"/>
      <w:kern w:val="2"/>
      <w:sz w:val="21"/>
      <w:szCs w:val="22"/>
    </w:rPr>
  </w:style>
  <w:style w:type="character" w:customStyle="1" w:styleId="216">
    <w:name w:val="正文首行缩进 Char1"/>
    <w:basedOn w:val="215"/>
    <w:semiHidden/>
    <w:qFormat/>
    <w:uiPriority w:val="99"/>
    <w:rPr>
      <w:rFonts w:ascii="Calibri" w:hAnsi="Calibri" w:eastAsia="宋体"/>
      <w:kern w:val="2"/>
      <w:sz w:val="21"/>
      <w:szCs w:val="22"/>
    </w:rPr>
  </w:style>
  <w:style w:type="character" w:customStyle="1" w:styleId="217">
    <w:name w:val="批注文字 Char1"/>
    <w:basedOn w:val="43"/>
    <w:semiHidden/>
    <w:qFormat/>
    <w:uiPriority w:val="0"/>
    <w:rPr>
      <w:rFonts w:hint="default" w:ascii="Calibri" w:hAnsi="Calibri" w:eastAsia="宋体" w:cs="Times New Roman"/>
    </w:rPr>
  </w:style>
  <w:style w:type="character" w:customStyle="1" w:styleId="218">
    <w:name w:val="正文文本 3 Char1"/>
    <w:basedOn w:val="43"/>
    <w:semiHidden/>
    <w:qFormat/>
    <w:uiPriority w:val="99"/>
    <w:rPr>
      <w:rFonts w:hint="default" w:ascii="Calibri" w:hAnsi="Calibri" w:eastAsia="宋体" w:cs="Times New Roman"/>
      <w:sz w:val="16"/>
      <w:szCs w:val="16"/>
    </w:rPr>
  </w:style>
  <w:style w:type="character" w:customStyle="1" w:styleId="219">
    <w:name w:val="文档结构图 Char1"/>
    <w:basedOn w:val="43"/>
    <w:semiHidden/>
    <w:qFormat/>
    <w:uiPriority w:val="99"/>
    <w:rPr>
      <w:rFonts w:hint="eastAsia" w:ascii="宋体" w:hAnsi="Calibri" w:eastAsia="宋体" w:cs="Times New Roman"/>
      <w:sz w:val="18"/>
      <w:szCs w:val="18"/>
    </w:rPr>
  </w:style>
  <w:style w:type="character" w:customStyle="1" w:styleId="220">
    <w:name w:val="font21"/>
    <w:qFormat/>
    <w:uiPriority w:val="0"/>
    <w:rPr>
      <w:rFonts w:hint="eastAsia" w:ascii="仿宋_GB2312" w:eastAsia="仿宋_GB2312" w:cs="仿宋_GB2312"/>
      <w:color w:val="000000"/>
      <w:sz w:val="24"/>
      <w:szCs w:val="24"/>
      <w:u w:val="none"/>
    </w:rPr>
  </w:style>
  <w:style w:type="paragraph" w:customStyle="1" w:styleId="221">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2">
    <w:name w:val="Table Paragraph"/>
    <w:basedOn w:val="1"/>
    <w:qFormat/>
    <w:uiPriority w:val="1"/>
    <w:rPr>
      <w:rFonts w:ascii="宋体" w:hAnsi="宋体" w:cs="宋体"/>
      <w:lang w:eastAsia="en-US" w:bidi="en-US"/>
    </w:rPr>
  </w:style>
  <w:style w:type="character" w:customStyle="1" w:styleId="223">
    <w:name w:val="font41"/>
    <w:qFormat/>
    <w:uiPriority w:val="0"/>
    <w:rPr>
      <w:rFonts w:hint="default" w:ascii="Calibri" w:hAnsi="Calibri" w:cs="Calibri"/>
      <w:color w:val="000000"/>
      <w:sz w:val="20"/>
      <w:szCs w:val="20"/>
      <w:u w:val="none"/>
    </w:rPr>
  </w:style>
  <w:style w:type="character" w:customStyle="1" w:styleId="224">
    <w:name w:val="NormalCharacter"/>
    <w:qFormat/>
    <w:uiPriority w:val="0"/>
  </w:style>
  <w:style w:type="character" w:customStyle="1" w:styleId="225">
    <w:name w:val="sugg-loading"/>
    <w:basedOn w:val="43"/>
    <w:qFormat/>
    <w:uiPriority w:val="0"/>
  </w:style>
  <w:style w:type="paragraph" w:styleId="226">
    <w:name w:val="List Paragraph"/>
    <w:basedOn w:val="1"/>
    <w:qFormat/>
    <w:uiPriority w:val="99"/>
    <w:pPr>
      <w:ind w:firstLine="420" w:firstLineChars="200"/>
    </w:pPr>
  </w:style>
  <w:style w:type="character" w:customStyle="1" w:styleId="227">
    <w:name w:val="正文文本 Char4"/>
    <w:basedOn w:val="43"/>
    <w:qFormat/>
    <w:locked/>
    <w:uiPriority w:val="99"/>
    <w:rPr>
      <w:rFonts w:ascii="Calibri" w:hAnsi="Calibri" w:eastAsia="宋体" w:cs="Times New Roman"/>
    </w:rPr>
  </w:style>
  <w:style w:type="paragraph" w:customStyle="1" w:styleId="228">
    <w:name w:val="WPSOffice手动目录 1"/>
    <w:qFormat/>
    <w:uiPriority w:val="0"/>
    <w:pPr>
      <w:ind w:leftChars="0"/>
    </w:pPr>
    <w:rPr>
      <w:rFonts w:ascii="Times New Roman" w:hAnsi="Times New Roman" w:eastAsia="宋体" w:cs="Times New Roman"/>
      <w:sz w:val="20"/>
      <w:szCs w:val="20"/>
    </w:rPr>
  </w:style>
  <w:style w:type="paragraph" w:customStyle="1" w:styleId="229">
    <w:name w:val="WPSOffice手动目录 2"/>
    <w:qFormat/>
    <w:uiPriority w:val="0"/>
    <w:pPr>
      <w:ind w:leftChars="200"/>
    </w:pPr>
    <w:rPr>
      <w:rFonts w:ascii="Times New Roman" w:hAnsi="Times New Roman" w:eastAsia="宋体" w:cs="Times New Roman"/>
      <w:sz w:val="20"/>
      <w:szCs w:val="20"/>
    </w:rPr>
  </w:style>
  <w:style w:type="paragraph" w:customStyle="1" w:styleId="230">
    <w:name w:val="!标题2"/>
    <w:basedOn w:val="1"/>
    <w:next w:val="1"/>
    <w:qFormat/>
    <w:uiPriority w:val="0"/>
    <w:pPr>
      <w:numPr>
        <w:ilvl w:val="1"/>
        <w:numId w:val="3"/>
      </w:numPr>
      <w:spacing w:before="100" w:beforeLines="0" w:beforeAutospacing="1" w:after="100" w:afterLines="0" w:afterAutospacing="1" w:line="360" w:lineRule="auto"/>
      <w:ind w:left="170" w:hanging="170"/>
      <w:outlineLvl w:val="1"/>
    </w:pPr>
    <w:rPr>
      <w:rFonts w:ascii="仿宋" w:hAnsi="仿宋" w:eastAsia="仿宋" w:cs="Times New Roman"/>
      <w:b/>
      <w:color w:val="auto"/>
      <w:kern w:val="0"/>
      <w:sz w:val="24"/>
      <w:szCs w:val="20"/>
      <w:lang w:bidi="ar-SA"/>
    </w:rPr>
  </w:style>
  <w:style w:type="paragraph" w:customStyle="1" w:styleId="231">
    <w:name w:val="15、“一、”二级标题"/>
    <w:basedOn w:val="1"/>
    <w:qFormat/>
    <w:uiPriority w:val="0"/>
    <w:pPr>
      <w:numPr>
        <w:ilvl w:val="1"/>
        <w:numId w:val="4"/>
      </w:numPr>
      <w:tabs>
        <w:tab w:val="left" w:pos="0"/>
      </w:tabs>
      <w:wordWrap w:val="0"/>
      <w:topLinePunct/>
      <w:ind w:firstLine="803" w:firstLineChars="200"/>
      <w:outlineLvl w:val="1"/>
    </w:pPr>
    <w:rPr>
      <w:b/>
    </w:rPr>
  </w:style>
  <w:style w:type="paragraph" w:customStyle="1" w:styleId="232">
    <w:name w:val="01、普通正文"/>
    <w:basedOn w:val="1"/>
    <w:qFormat/>
    <w:uiPriority w:val="0"/>
    <w:pPr>
      <w:tabs>
        <w:tab w:val="left" w:pos="0"/>
      </w:tabs>
      <w:wordWrap w:val="0"/>
      <w:topLinePunct/>
      <w:ind w:firstLine="0" w:firstLineChars="0"/>
    </w:pPr>
    <w:rPr>
      <w:rFonts w:ascii="宋体" w:hAnsi="宋体" w:eastAsia="宋体"/>
      <w:snapToGrid w:val="0"/>
    </w:rPr>
  </w:style>
  <w:style w:type="paragraph" w:customStyle="1" w:styleId="233">
    <w:name w:val="16、“(一)”三级标题"/>
    <w:basedOn w:val="232"/>
    <w:qFormat/>
    <w:uiPriority w:val="0"/>
    <w:pPr>
      <w:numPr>
        <w:ilvl w:val="2"/>
        <w:numId w:val="4"/>
      </w:numPr>
      <w:ind w:firstLine="803" w:firstLineChars="200"/>
      <w:outlineLvl w:val="2"/>
    </w:pPr>
    <w:rPr>
      <w:b/>
    </w:rPr>
  </w:style>
  <w:style w:type="paragraph" w:customStyle="1" w:styleId="234">
    <w:name w:val="标题 5（有编号）（绿盟科技）"/>
    <w:basedOn w:val="1"/>
    <w:next w:val="235"/>
    <w:qFormat/>
    <w:uiPriority w:val="0"/>
    <w:pPr>
      <w:keepNext/>
      <w:keepLines/>
      <w:numPr>
        <w:ilvl w:val="4"/>
        <w:numId w:val="5"/>
      </w:numPr>
      <w:spacing w:before="280" w:after="156" w:line="377" w:lineRule="auto"/>
      <w:jc w:val="left"/>
      <w:outlineLvl w:val="4"/>
    </w:pPr>
    <w:rPr>
      <w:rFonts w:ascii="Arial" w:hAnsi="Arial" w:eastAsia="黑体"/>
      <w:b/>
      <w:sz w:val="24"/>
      <w:szCs w:val="28"/>
    </w:rPr>
  </w:style>
  <w:style w:type="paragraph" w:customStyle="1" w:styleId="235">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236">
    <w:name w:val="03、“注：”正文(加粗，首行缩进2字符)"/>
    <w:basedOn w:val="232"/>
    <w:qFormat/>
    <w:uiPriority w:val="0"/>
    <w:pPr>
      <w:ind w:firstLine="480" w:firstLineChars="200"/>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9AB71A-7A2F-4067-A0E3-A1B32884740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6575</Words>
  <Characters>37484</Characters>
  <Lines>312</Lines>
  <Paragraphs>87</Paragraphs>
  <TotalTime>10</TotalTime>
  <ScaleCrop>false</ScaleCrop>
  <LinksUpToDate>false</LinksUpToDate>
  <CharactersWithSpaces>43972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2021-10-08T09:06:00Z</dcterms:created>
  <dc:creator>高文豪</dc:creator>
  <cp:lastModifiedBy>S&amp;H</cp:lastModifiedBy>
  <cp:lastPrinted>2021-05-28T02:53:00Z</cp:lastPrinted>
  <dcterms:modified xsi:type="dcterms:W3CDTF">2021-12-06T08:13:07Z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16B5CA6511C34F73B8F080E64963CC25</vt:lpwstr>
  </property>
</Properties>
</file>