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宋体" w:hAnsi="宋体" w:cs="宋体"/>
          <w:color w:val="auto"/>
          <w:spacing w:val="20"/>
          <w:sz w:val="28"/>
          <w:szCs w:val="28"/>
        </w:rPr>
      </w:pPr>
    </w:p>
    <w:p>
      <w:pPr>
        <w:spacing w:line="360" w:lineRule="auto"/>
        <w:rPr>
          <w:rFonts w:ascii="宋体" w:hAnsi="宋体" w:cs="宋体"/>
          <w:b/>
          <w:bCs/>
          <w:color w:val="auto"/>
          <w:spacing w:val="20"/>
          <w:sz w:val="28"/>
          <w:szCs w:val="28"/>
        </w:rPr>
      </w:pPr>
    </w:p>
    <w:p>
      <w:pPr>
        <w:spacing w:line="360" w:lineRule="auto"/>
        <w:jc w:val="center"/>
        <w:rPr>
          <w:rFonts w:ascii="宋体" w:hAnsi="宋体" w:cs="宋体"/>
          <w:b/>
          <w:bCs/>
          <w:color w:val="auto"/>
          <w:spacing w:val="-20"/>
          <w:sz w:val="96"/>
          <w:szCs w:val="96"/>
        </w:rPr>
      </w:pPr>
      <w:r>
        <w:rPr>
          <w:rFonts w:hint="eastAsia" w:ascii="宋体" w:hAnsi="宋体" w:cs="宋体"/>
          <w:b/>
          <w:bCs/>
          <w:color w:val="auto"/>
          <w:spacing w:val="-20"/>
          <w:sz w:val="96"/>
          <w:szCs w:val="96"/>
        </w:rPr>
        <w:t>竞争性谈判文件</w:t>
      </w:r>
    </w:p>
    <w:p>
      <w:pPr>
        <w:spacing w:line="360" w:lineRule="auto"/>
        <w:ind w:left="2197" w:leftChars="236" w:hanging="1701" w:hangingChars="471"/>
        <w:rPr>
          <w:rFonts w:ascii="宋体" w:hAnsi="宋体" w:cs="宋体"/>
          <w:b/>
          <w:bCs/>
          <w:color w:val="auto"/>
          <w:spacing w:val="20"/>
          <w:sz w:val="32"/>
          <w:szCs w:val="32"/>
        </w:rPr>
      </w:pPr>
    </w:p>
    <w:p>
      <w:pPr>
        <w:spacing w:line="360" w:lineRule="auto"/>
        <w:ind w:left="2197" w:leftChars="236" w:hanging="1701" w:hangingChars="471"/>
        <w:rPr>
          <w:rFonts w:ascii="宋体" w:hAnsi="宋体" w:cs="宋体"/>
          <w:b/>
          <w:bCs/>
          <w:color w:val="auto"/>
          <w:spacing w:val="20"/>
          <w:sz w:val="32"/>
          <w:szCs w:val="32"/>
        </w:rPr>
      </w:pPr>
      <w:r>
        <w:rPr>
          <w:rFonts w:hint="eastAsia" w:ascii="宋体" w:hAnsi="宋体" w:cs="宋体"/>
          <w:b/>
          <w:bCs/>
          <w:color w:val="auto"/>
          <w:spacing w:val="20"/>
          <w:sz w:val="32"/>
          <w:szCs w:val="32"/>
        </w:rPr>
        <w:t>项目名称：成都东部新区贾家初级中学LED显示屏采购项目</w:t>
      </w:r>
    </w:p>
    <w:p>
      <w:pPr>
        <w:spacing w:line="360" w:lineRule="auto"/>
        <w:rPr>
          <w:rFonts w:hint="eastAsia" w:ascii="宋体" w:hAnsi="宋体" w:eastAsia="宋体" w:cs="宋体"/>
          <w:b/>
          <w:bCs/>
          <w:color w:val="auto"/>
          <w:spacing w:val="20"/>
          <w:sz w:val="32"/>
          <w:szCs w:val="32"/>
          <w:lang w:eastAsia="zh-CN"/>
        </w:rPr>
      </w:pPr>
      <w:r>
        <w:rPr>
          <w:rFonts w:hint="eastAsia" w:ascii="宋体" w:hAnsi="宋体" w:cs="宋体"/>
          <w:b/>
          <w:bCs/>
          <w:color w:val="auto"/>
          <w:spacing w:val="20"/>
          <w:sz w:val="32"/>
          <w:szCs w:val="32"/>
        </w:rPr>
        <w:t xml:space="preserve">   项目编号：</w:t>
      </w:r>
      <w:r>
        <w:rPr>
          <w:rFonts w:hint="eastAsia" w:ascii="宋体" w:hAnsi="宋体" w:cs="宋体"/>
          <w:b/>
          <w:bCs/>
          <w:color w:val="auto"/>
          <w:spacing w:val="20"/>
          <w:sz w:val="32"/>
          <w:szCs w:val="32"/>
          <w:lang w:eastAsia="zh-CN"/>
        </w:rPr>
        <w:t>东部新区政采（2021）A0036号</w:t>
      </w:r>
    </w:p>
    <w:p>
      <w:pPr>
        <w:spacing w:line="360" w:lineRule="auto"/>
        <w:ind w:left="1908" w:leftChars="223" w:hanging="1440" w:hangingChars="450"/>
        <w:rPr>
          <w:rFonts w:ascii="宋体" w:hAnsi="宋体" w:cs="宋体"/>
          <w:color w:val="auto"/>
          <w:sz w:val="32"/>
          <w:szCs w:val="32"/>
        </w:rPr>
      </w:pPr>
    </w:p>
    <w:p>
      <w:pPr>
        <w:spacing w:line="360" w:lineRule="auto"/>
        <w:ind w:left="1908" w:leftChars="223" w:hanging="1440" w:hangingChars="450"/>
        <w:rPr>
          <w:rFonts w:ascii="宋体" w:hAnsi="宋体" w:cs="宋体"/>
          <w:color w:val="auto"/>
          <w:sz w:val="32"/>
          <w:szCs w:val="32"/>
        </w:rPr>
      </w:pPr>
    </w:p>
    <w:p>
      <w:pPr>
        <w:spacing w:line="360" w:lineRule="auto"/>
        <w:rPr>
          <w:rFonts w:ascii="宋体" w:hAnsi="宋体" w:cs="宋体"/>
          <w:color w:val="auto"/>
          <w:sz w:val="32"/>
          <w:szCs w:val="32"/>
        </w:rPr>
      </w:pPr>
    </w:p>
    <w:p>
      <w:pPr>
        <w:spacing w:line="360" w:lineRule="auto"/>
        <w:rPr>
          <w:rFonts w:ascii="宋体" w:hAnsi="宋体" w:cs="宋体"/>
          <w:color w:val="auto"/>
          <w:sz w:val="32"/>
          <w:szCs w:val="32"/>
        </w:rPr>
      </w:pPr>
    </w:p>
    <w:p>
      <w:pPr>
        <w:spacing w:line="360" w:lineRule="auto"/>
        <w:rPr>
          <w:rFonts w:ascii="宋体" w:hAnsi="宋体" w:cs="宋体"/>
          <w:color w:val="auto"/>
          <w:sz w:val="32"/>
          <w:szCs w:val="32"/>
        </w:rPr>
      </w:pPr>
    </w:p>
    <w:p>
      <w:pPr>
        <w:spacing w:line="360" w:lineRule="auto"/>
        <w:rPr>
          <w:rFonts w:ascii="宋体" w:hAnsi="宋体" w:cs="宋体"/>
          <w:color w:val="auto"/>
          <w:sz w:val="32"/>
          <w:szCs w:val="32"/>
        </w:rPr>
      </w:pPr>
    </w:p>
    <w:p>
      <w:pPr>
        <w:spacing w:line="360" w:lineRule="auto"/>
        <w:rPr>
          <w:rFonts w:ascii="宋体" w:hAnsi="宋体" w:cs="宋体"/>
          <w:color w:val="auto"/>
          <w:sz w:val="32"/>
          <w:szCs w:val="32"/>
        </w:rPr>
      </w:pPr>
    </w:p>
    <w:p>
      <w:pPr>
        <w:spacing w:line="360" w:lineRule="auto"/>
        <w:rPr>
          <w:rFonts w:ascii="宋体" w:hAnsi="宋体" w:cs="宋体"/>
          <w:color w:val="auto"/>
          <w:sz w:val="32"/>
          <w:szCs w:val="32"/>
        </w:rPr>
      </w:pPr>
    </w:p>
    <w:p>
      <w:pPr>
        <w:spacing w:line="360" w:lineRule="auto"/>
        <w:rPr>
          <w:rFonts w:ascii="宋体" w:hAnsi="宋体" w:cs="宋体"/>
          <w:color w:val="auto"/>
          <w:sz w:val="32"/>
          <w:szCs w:val="32"/>
        </w:rPr>
      </w:pPr>
    </w:p>
    <w:p>
      <w:pPr>
        <w:spacing w:line="360" w:lineRule="auto"/>
        <w:rPr>
          <w:rFonts w:ascii="宋体" w:hAnsi="宋体" w:cs="宋体"/>
          <w:color w:val="auto"/>
          <w:sz w:val="32"/>
          <w:szCs w:val="32"/>
        </w:rPr>
      </w:pPr>
    </w:p>
    <w:p>
      <w:pPr>
        <w:spacing w:line="360" w:lineRule="auto"/>
        <w:jc w:val="center"/>
        <w:rPr>
          <w:rFonts w:ascii="宋体" w:hAnsi="宋体" w:cs="宋体"/>
          <w:b/>
          <w:bCs/>
          <w:color w:val="auto"/>
          <w:sz w:val="32"/>
          <w:szCs w:val="32"/>
        </w:rPr>
      </w:pPr>
      <w:r>
        <w:rPr>
          <w:rFonts w:hint="eastAsia" w:ascii="宋体" w:hAnsi="宋体" w:cs="宋体"/>
          <w:b/>
          <w:bCs/>
          <w:color w:val="auto"/>
          <w:sz w:val="32"/>
          <w:szCs w:val="32"/>
        </w:rPr>
        <w:t>中国·成都</w:t>
      </w:r>
    </w:p>
    <w:p>
      <w:pPr>
        <w:spacing w:line="560" w:lineRule="exact"/>
        <w:jc w:val="center"/>
        <w:rPr>
          <w:rFonts w:ascii="宋体" w:hAnsi="宋体" w:cs="宋体"/>
          <w:b/>
          <w:bCs/>
          <w:color w:val="auto"/>
          <w:sz w:val="32"/>
          <w:szCs w:val="32"/>
        </w:rPr>
      </w:pPr>
      <w:r>
        <w:rPr>
          <w:rFonts w:hint="eastAsia" w:ascii="宋体" w:hAnsi="宋体" w:cs="宋体"/>
          <w:b/>
          <w:bCs/>
          <w:color w:val="auto"/>
          <w:sz w:val="32"/>
          <w:szCs w:val="32"/>
        </w:rPr>
        <w:t>成都东部新区贾家初级中学、成都东部新区党工委管委会（成都市东部新城办）综合部共同编制</w:t>
      </w:r>
    </w:p>
    <w:p>
      <w:pPr>
        <w:tabs>
          <w:tab w:val="center" w:pos="4153"/>
          <w:tab w:val="right" w:pos="8306"/>
        </w:tabs>
        <w:spacing w:line="360" w:lineRule="auto"/>
        <w:jc w:val="center"/>
        <w:rPr>
          <w:rFonts w:ascii="宋体" w:hAnsi="宋体" w:cs="宋体"/>
          <w:b/>
          <w:bCs/>
          <w:color w:val="auto"/>
          <w:sz w:val="32"/>
          <w:szCs w:val="32"/>
        </w:rPr>
      </w:pPr>
      <w:r>
        <w:rPr>
          <w:rFonts w:hint="eastAsia" w:ascii="宋体" w:hAnsi="宋体" w:cs="宋体"/>
          <w:b/>
          <w:bCs/>
          <w:color w:val="auto"/>
          <w:sz w:val="32"/>
          <w:szCs w:val="32"/>
        </w:rPr>
        <w:t>二○二一年十一月</w:t>
      </w:r>
    </w:p>
    <w:p>
      <w:pPr>
        <w:pStyle w:val="29"/>
        <w:spacing w:line="300" w:lineRule="exact"/>
        <w:rPr>
          <w:rFonts w:ascii="宋体" w:hAnsi="宋体" w:eastAsia="宋体" w:cs="宋体"/>
          <w:color w:val="auto"/>
          <w:sz w:val="36"/>
          <w:szCs w:val="36"/>
        </w:rPr>
      </w:pPr>
      <w:r>
        <w:rPr>
          <w:rFonts w:hint="eastAsia" w:ascii="宋体" w:hAnsi="宋体" w:eastAsia="宋体" w:cs="宋体"/>
          <w:color w:val="auto"/>
          <w:sz w:val="36"/>
          <w:szCs w:val="36"/>
        </w:rPr>
        <w:br w:type="page"/>
      </w:r>
    </w:p>
    <w:sdt>
      <w:sdtPr>
        <w:rPr>
          <w:rFonts w:hint="eastAsia" w:ascii="宋体" w:hAnsi="宋体" w:cs="宋体"/>
          <w:color w:val="auto"/>
        </w:rPr>
        <w:id w:val="147456890"/>
        <w:docPartObj>
          <w:docPartGallery w:val="Table of Contents"/>
          <w:docPartUnique/>
        </w:docPartObj>
      </w:sdtPr>
      <w:sdtEndPr>
        <w:rPr>
          <w:rFonts w:hint="eastAsia" w:ascii="宋体" w:hAnsi="宋体" w:cs="宋体"/>
          <w:b/>
          <w:caps/>
          <w:color w:val="auto"/>
          <w:szCs w:val="36"/>
        </w:rPr>
      </w:sdtEndPr>
      <w:sdtContent>
        <w:p>
          <w:pPr>
            <w:jc w:val="center"/>
            <w:rPr>
              <w:rFonts w:ascii="宋体" w:hAnsi="宋体" w:cs="宋体"/>
              <w:color w:val="auto"/>
            </w:rPr>
          </w:pPr>
          <w:r>
            <w:rPr>
              <w:rFonts w:hint="eastAsia" w:ascii="宋体" w:hAnsi="宋体" w:cs="宋体"/>
              <w:b/>
              <w:bCs/>
              <w:color w:val="auto"/>
              <w:sz w:val="28"/>
              <w:szCs w:val="32"/>
            </w:rPr>
            <w:t>目</w:t>
          </w:r>
          <w:r>
            <w:rPr>
              <w:rFonts w:hint="eastAsia" w:ascii="宋体" w:hAnsi="宋体" w:cs="宋体"/>
              <w:b/>
              <w:bCs/>
              <w:color w:val="auto"/>
              <w:sz w:val="28"/>
              <w:szCs w:val="32"/>
              <w:lang w:val="en-US" w:eastAsia="zh-CN"/>
            </w:rPr>
            <w:t xml:space="preserve"> </w:t>
          </w:r>
          <w:r>
            <w:rPr>
              <w:rFonts w:hint="eastAsia" w:ascii="宋体" w:hAnsi="宋体" w:cs="宋体"/>
              <w:b/>
              <w:bCs/>
              <w:color w:val="auto"/>
              <w:sz w:val="28"/>
              <w:szCs w:val="32"/>
            </w:rPr>
            <w:t>录</w:t>
          </w:r>
        </w:p>
        <w:p>
          <w:pPr>
            <w:pStyle w:val="29"/>
            <w:tabs>
              <w:tab w:val="right" w:leader="dot" w:pos="9214"/>
              <w:tab w:val="clear" w:pos="709"/>
              <w:tab w:val="clear" w:pos="8364"/>
            </w:tabs>
            <w:rPr>
              <w:b/>
              <w:bCs w:val="0"/>
            </w:rPr>
          </w:pPr>
          <w:r>
            <w:rPr>
              <w:rFonts w:hint="eastAsia" w:ascii="宋体" w:hAnsi="宋体" w:cs="宋体"/>
              <w:caps/>
              <w:color w:val="auto"/>
              <w:sz w:val="36"/>
              <w:szCs w:val="36"/>
            </w:rPr>
            <w:fldChar w:fldCharType="begin"/>
          </w:r>
          <w:r>
            <w:rPr>
              <w:rFonts w:hint="eastAsia" w:ascii="宋体" w:hAnsi="宋体" w:cs="宋体"/>
              <w:caps/>
              <w:color w:val="auto"/>
              <w:sz w:val="36"/>
              <w:szCs w:val="36"/>
            </w:rPr>
            <w:instrText xml:space="preserve">TOC \o "1-2" \h \u </w:instrText>
          </w:r>
          <w:r>
            <w:rPr>
              <w:rFonts w:hint="eastAsia" w:ascii="宋体" w:hAnsi="宋体" w:cs="宋体"/>
              <w:caps/>
              <w:color w:val="auto"/>
              <w:sz w:val="36"/>
              <w:szCs w:val="36"/>
            </w:rPr>
            <w:fldChar w:fldCharType="separate"/>
          </w: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_Toc16112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36"/>
            </w:rPr>
            <w:t xml:space="preserve">第1章 </w:t>
          </w:r>
          <w:r>
            <w:rPr>
              <w:rFonts w:hint="eastAsia"/>
              <w:b/>
              <w:bCs w:val="0"/>
              <w:szCs w:val="36"/>
            </w:rPr>
            <w:t>竞争性谈判邀请</w:t>
          </w:r>
          <w:r>
            <w:rPr>
              <w:b/>
              <w:bCs w:val="0"/>
            </w:rPr>
            <w:tab/>
          </w:r>
          <w:r>
            <w:rPr>
              <w:b/>
              <w:bCs w:val="0"/>
            </w:rPr>
            <w:fldChar w:fldCharType="begin"/>
          </w:r>
          <w:r>
            <w:rPr>
              <w:b/>
              <w:bCs w:val="0"/>
            </w:rPr>
            <w:instrText xml:space="preserve"> PAGEREF _Toc16112 \h </w:instrText>
          </w:r>
          <w:r>
            <w:rPr>
              <w:b/>
              <w:bCs w:val="0"/>
            </w:rPr>
            <w:fldChar w:fldCharType="separate"/>
          </w:r>
          <w:r>
            <w:rPr>
              <w:b/>
              <w:bCs w:val="0"/>
            </w:rPr>
            <w:t>3</w:t>
          </w:r>
          <w:r>
            <w:rPr>
              <w:b/>
              <w:bCs w:val="0"/>
            </w:rPr>
            <w:fldChar w:fldCharType="end"/>
          </w:r>
          <w:r>
            <w:rPr>
              <w:rFonts w:hint="eastAsia" w:ascii="宋体" w:hAnsi="宋体" w:cs="宋体"/>
              <w:b/>
              <w:bCs w:val="0"/>
              <w:caps/>
              <w:color w:val="auto"/>
              <w:szCs w:val="36"/>
            </w:rPr>
            <w:fldChar w:fldCharType="end"/>
          </w:r>
        </w:p>
        <w:p>
          <w:pPr>
            <w:pStyle w:val="29"/>
            <w:tabs>
              <w:tab w:val="right" w:leader="dot" w:pos="9214"/>
              <w:tab w:val="clear" w:pos="709"/>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_Toc28017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36"/>
            </w:rPr>
            <w:t xml:space="preserve">第2章 </w:t>
          </w:r>
          <w:r>
            <w:rPr>
              <w:rFonts w:hint="eastAsia"/>
              <w:b/>
              <w:bCs w:val="0"/>
              <w:szCs w:val="36"/>
            </w:rPr>
            <w:t>供应商须知</w:t>
          </w:r>
          <w:r>
            <w:rPr>
              <w:b/>
              <w:bCs w:val="0"/>
            </w:rPr>
            <w:tab/>
          </w:r>
          <w:r>
            <w:rPr>
              <w:b/>
              <w:bCs w:val="0"/>
            </w:rPr>
            <w:fldChar w:fldCharType="begin"/>
          </w:r>
          <w:r>
            <w:rPr>
              <w:b/>
              <w:bCs w:val="0"/>
            </w:rPr>
            <w:instrText xml:space="preserve"> PAGEREF _Toc28017 \h </w:instrText>
          </w:r>
          <w:r>
            <w:rPr>
              <w:b/>
              <w:bCs w:val="0"/>
            </w:rPr>
            <w:fldChar w:fldCharType="separate"/>
          </w:r>
          <w:r>
            <w:rPr>
              <w:b/>
              <w:bCs w:val="0"/>
            </w:rPr>
            <w:t>8</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_Toc4326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2.1 </w:t>
          </w:r>
          <w:r>
            <w:rPr>
              <w:rFonts w:hint="eastAsia"/>
              <w:b/>
              <w:bCs w:val="0"/>
            </w:rPr>
            <w:t>供应商须知前附表</w:t>
          </w:r>
          <w:r>
            <w:rPr>
              <w:b/>
              <w:bCs w:val="0"/>
            </w:rPr>
            <w:tab/>
          </w:r>
          <w:r>
            <w:rPr>
              <w:b/>
              <w:bCs w:val="0"/>
            </w:rPr>
            <w:fldChar w:fldCharType="begin"/>
          </w:r>
          <w:r>
            <w:rPr>
              <w:b/>
              <w:bCs w:val="0"/>
            </w:rPr>
            <w:instrText xml:space="preserve"> PAGEREF _Toc4326 \h </w:instrText>
          </w:r>
          <w:r>
            <w:rPr>
              <w:b/>
              <w:bCs w:val="0"/>
            </w:rPr>
            <w:fldChar w:fldCharType="separate"/>
          </w:r>
          <w:r>
            <w:rPr>
              <w:b/>
              <w:bCs w:val="0"/>
            </w:rPr>
            <w:t>8</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_Toc15160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2.2 </w:t>
          </w:r>
          <w:r>
            <w:rPr>
              <w:rFonts w:hint="eastAsia"/>
              <w:b/>
              <w:bCs w:val="0"/>
            </w:rPr>
            <w:t>总则</w:t>
          </w:r>
          <w:r>
            <w:rPr>
              <w:b/>
              <w:bCs w:val="0"/>
            </w:rPr>
            <w:tab/>
          </w:r>
          <w:r>
            <w:rPr>
              <w:b/>
              <w:bCs w:val="0"/>
            </w:rPr>
            <w:fldChar w:fldCharType="begin"/>
          </w:r>
          <w:r>
            <w:rPr>
              <w:b/>
              <w:bCs w:val="0"/>
            </w:rPr>
            <w:instrText xml:space="preserve"> PAGEREF _Toc15160 \h </w:instrText>
          </w:r>
          <w:r>
            <w:rPr>
              <w:b/>
              <w:bCs w:val="0"/>
            </w:rPr>
            <w:fldChar w:fldCharType="separate"/>
          </w:r>
          <w:r>
            <w:rPr>
              <w:b/>
              <w:bCs w:val="0"/>
            </w:rPr>
            <w:t>10</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_Toc15909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2.3 </w:t>
          </w:r>
          <w:r>
            <w:rPr>
              <w:rFonts w:hint="eastAsia"/>
              <w:b/>
              <w:bCs w:val="0"/>
            </w:rPr>
            <w:t>谈判文件</w:t>
          </w:r>
          <w:r>
            <w:rPr>
              <w:b/>
              <w:bCs w:val="0"/>
            </w:rPr>
            <w:tab/>
          </w:r>
          <w:r>
            <w:rPr>
              <w:b/>
              <w:bCs w:val="0"/>
            </w:rPr>
            <w:fldChar w:fldCharType="begin"/>
          </w:r>
          <w:r>
            <w:rPr>
              <w:b/>
              <w:bCs w:val="0"/>
            </w:rPr>
            <w:instrText xml:space="preserve"> PAGEREF _Toc15909 \h </w:instrText>
          </w:r>
          <w:r>
            <w:rPr>
              <w:b/>
              <w:bCs w:val="0"/>
            </w:rPr>
            <w:fldChar w:fldCharType="separate"/>
          </w:r>
          <w:r>
            <w:rPr>
              <w:b/>
              <w:bCs w:val="0"/>
            </w:rPr>
            <w:t>13</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_Toc12262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2.4 </w:t>
          </w:r>
          <w:r>
            <w:rPr>
              <w:rFonts w:hint="eastAsia"/>
              <w:b/>
              <w:bCs w:val="0"/>
            </w:rPr>
            <w:t>响应文件</w:t>
          </w:r>
          <w:r>
            <w:rPr>
              <w:b/>
              <w:bCs w:val="0"/>
            </w:rPr>
            <w:tab/>
          </w:r>
          <w:r>
            <w:rPr>
              <w:b/>
              <w:bCs w:val="0"/>
            </w:rPr>
            <w:fldChar w:fldCharType="begin"/>
          </w:r>
          <w:r>
            <w:rPr>
              <w:b/>
              <w:bCs w:val="0"/>
            </w:rPr>
            <w:instrText xml:space="preserve"> PAGEREF _Toc12262 \h </w:instrText>
          </w:r>
          <w:r>
            <w:rPr>
              <w:b/>
              <w:bCs w:val="0"/>
            </w:rPr>
            <w:fldChar w:fldCharType="separate"/>
          </w:r>
          <w:r>
            <w:rPr>
              <w:b/>
              <w:bCs w:val="0"/>
            </w:rPr>
            <w:t>14</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_Toc10872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2.5 </w:t>
          </w:r>
          <w:r>
            <w:rPr>
              <w:rFonts w:hint="eastAsia"/>
              <w:b/>
              <w:bCs w:val="0"/>
            </w:rPr>
            <w:t>谈判开启活动程序</w:t>
          </w:r>
          <w:r>
            <w:rPr>
              <w:b/>
              <w:bCs w:val="0"/>
            </w:rPr>
            <w:tab/>
          </w:r>
          <w:r>
            <w:rPr>
              <w:b/>
              <w:bCs w:val="0"/>
            </w:rPr>
            <w:fldChar w:fldCharType="begin"/>
          </w:r>
          <w:r>
            <w:rPr>
              <w:b/>
              <w:bCs w:val="0"/>
            </w:rPr>
            <w:instrText xml:space="preserve"> PAGEREF _Toc10872 \h </w:instrText>
          </w:r>
          <w:r>
            <w:rPr>
              <w:b/>
              <w:bCs w:val="0"/>
            </w:rPr>
            <w:fldChar w:fldCharType="separate"/>
          </w:r>
          <w:r>
            <w:rPr>
              <w:b/>
              <w:bCs w:val="0"/>
            </w:rPr>
            <w:t>20</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_Toc19699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2.6 </w:t>
          </w:r>
          <w:r>
            <w:rPr>
              <w:rFonts w:hint="eastAsia"/>
              <w:b/>
              <w:bCs w:val="0"/>
            </w:rPr>
            <w:t>资格审查和评审</w:t>
          </w:r>
          <w:r>
            <w:rPr>
              <w:b/>
              <w:bCs w:val="0"/>
            </w:rPr>
            <w:tab/>
          </w:r>
          <w:r>
            <w:rPr>
              <w:b/>
              <w:bCs w:val="0"/>
            </w:rPr>
            <w:fldChar w:fldCharType="begin"/>
          </w:r>
          <w:r>
            <w:rPr>
              <w:b/>
              <w:bCs w:val="0"/>
            </w:rPr>
            <w:instrText xml:space="preserve"> PAGEREF _Toc19699 \h </w:instrText>
          </w:r>
          <w:r>
            <w:rPr>
              <w:b/>
              <w:bCs w:val="0"/>
            </w:rPr>
            <w:fldChar w:fldCharType="separate"/>
          </w:r>
          <w:r>
            <w:rPr>
              <w:b/>
              <w:bCs w:val="0"/>
            </w:rPr>
            <w:t>21</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_Toc27102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2.7 </w:t>
          </w:r>
          <w:r>
            <w:rPr>
              <w:rFonts w:hint="eastAsia"/>
              <w:b/>
              <w:bCs w:val="0"/>
            </w:rPr>
            <w:t>成交通知书</w:t>
          </w:r>
          <w:r>
            <w:rPr>
              <w:b/>
              <w:bCs w:val="0"/>
            </w:rPr>
            <w:tab/>
          </w:r>
          <w:r>
            <w:rPr>
              <w:b/>
              <w:bCs w:val="0"/>
            </w:rPr>
            <w:fldChar w:fldCharType="begin"/>
          </w:r>
          <w:r>
            <w:rPr>
              <w:b/>
              <w:bCs w:val="0"/>
            </w:rPr>
            <w:instrText xml:space="preserve"> PAGEREF _Toc27102 \h </w:instrText>
          </w:r>
          <w:r>
            <w:rPr>
              <w:b/>
              <w:bCs w:val="0"/>
            </w:rPr>
            <w:fldChar w:fldCharType="separate"/>
          </w:r>
          <w:r>
            <w:rPr>
              <w:b/>
              <w:bCs w:val="0"/>
            </w:rPr>
            <w:t>21</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_Toc5438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2.8 </w:t>
          </w:r>
          <w:r>
            <w:rPr>
              <w:rFonts w:hint="eastAsia"/>
              <w:b/>
              <w:bCs w:val="0"/>
            </w:rPr>
            <w:t>签订及履行合同和验收</w:t>
          </w:r>
          <w:r>
            <w:rPr>
              <w:b/>
              <w:bCs w:val="0"/>
            </w:rPr>
            <w:tab/>
          </w:r>
          <w:r>
            <w:rPr>
              <w:b/>
              <w:bCs w:val="0"/>
            </w:rPr>
            <w:fldChar w:fldCharType="begin"/>
          </w:r>
          <w:r>
            <w:rPr>
              <w:b/>
              <w:bCs w:val="0"/>
            </w:rPr>
            <w:instrText xml:space="preserve"> PAGEREF _Toc5438 \h </w:instrText>
          </w:r>
          <w:r>
            <w:rPr>
              <w:b/>
              <w:bCs w:val="0"/>
            </w:rPr>
            <w:fldChar w:fldCharType="separate"/>
          </w:r>
          <w:r>
            <w:rPr>
              <w:b/>
              <w:bCs w:val="0"/>
            </w:rPr>
            <w:t>22</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_Toc7974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2.9 </w:t>
          </w:r>
          <w:r>
            <w:rPr>
              <w:rFonts w:hint="eastAsia"/>
              <w:b/>
              <w:bCs w:val="0"/>
            </w:rPr>
            <w:t>竞争性谈判工作纪律及要求</w:t>
          </w:r>
          <w:r>
            <w:rPr>
              <w:b/>
              <w:bCs w:val="0"/>
            </w:rPr>
            <w:tab/>
          </w:r>
          <w:r>
            <w:rPr>
              <w:b/>
              <w:bCs w:val="0"/>
            </w:rPr>
            <w:fldChar w:fldCharType="begin"/>
          </w:r>
          <w:r>
            <w:rPr>
              <w:b/>
              <w:bCs w:val="0"/>
            </w:rPr>
            <w:instrText xml:space="preserve"> PAGEREF _Toc7974 \h </w:instrText>
          </w:r>
          <w:r>
            <w:rPr>
              <w:b/>
              <w:bCs w:val="0"/>
            </w:rPr>
            <w:fldChar w:fldCharType="separate"/>
          </w:r>
          <w:r>
            <w:rPr>
              <w:b/>
              <w:bCs w:val="0"/>
            </w:rPr>
            <w:t>24</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_Toc26111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2.10 </w:t>
          </w:r>
          <w:r>
            <w:rPr>
              <w:rFonts w:hint="eastAsia"/>
              <w:b/>
              <w:bCs w:val="0"/>
            </w:rPr>
            <w:t>询问、质疑和投诉</w:t>
          </w:r>
          <w:r>
            <w:rPr>
              <w:b/>
              <w:bCs w:val="0"/>
            </w:rPr>
            <w:tab/>
          </w:r>
          <w:r>
            <w:rPr>
              <w:b/>
              <w:bCs w:val="0"/>
            </w:rPr>
            <w:fldChar w:fldCharType="begin"/>
          </w:r>
          <w:r>
            <w:rPr>
              <w:b/>
              <w:bCs w:val="0"/>
            </w:rPr>
            <w:instrText xml:space="preserve"> PAGEREF _Toc26111 \h </w:instrText>
          </w:r>
          <w:r>
            <w:rPr>
              <w:b/>
              <w:bCs w:val="0"/>
            </w:rPr>
            <w:fldChar w:fldCharType="separate"/>
          </w:r>
          <w:r>
            <w:rPr>
              <w:b/>
              <w:bCs w:val="0"/>
            </w:rPr>
            <w:t>25</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_Toc2483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2.11 </w:t>
          </w:r>
          <w:r>
            <w:rPr>
              <w:rFonts w:hint="eastAsia"/>
              <w:b/>
              <w:bCs w:val="0"/>
            </w:rPr>
            <w:t>其他</w:t>
          </w:r>
          <w:r>
            <w:rPr>
              <w:b/>
              <w:bCs w:val="0"/>
            </w:rPr>
            <w:tab/>
          </w:r>
          <w:r>
            <w:rPr>
              <w:b/>
              <w:bCs w:val="0"/>
            </w:rPr>
            <w:fldChar w:fldCharType="begin"/>
          </w:r>
          <w:r>
            <w:rPr>
              <w:b/>
              <w:bCs w:val="0"/>
            </w:rPr>
            <w:instrText xml:space="preserve"> PAGEREF _Toc2483 \h </w:instrText>
          </w:r>
          <w:r>
            <w:rPr>
              <w:b/>
              <w:bCs w:val="0"/>
            </w:rPr>
            <w:fldChar w:fldCharType="separate"/>
          </w:r>
          <w:r>
            <w:rPr>
              <w:b/>
              <w:bCs w:val="0"/>
            </w:rPr>
            <w:t>27</w:t>
          </w:r>
          <w:r>
            <w:rPr>
              <w:b/>
              <w:bCs w:val="0"/>
            </w:rPr>
            <w:fldChar w:fldCharType="end"/>
          </w:r>
          <w:r>
            <w:rPr>
              <w:rFonts w:hint="eastAsia" w:ascii="宋体" w:hAnsi="宋体" w:cs="宋体"/>
              <w:b/>
              <w:bCs w:val="0"/>
              <w:caps/>
              <w:color w:val="auto"/>
              <w:szCs w:val="36"/>
            </w:rPr>
            <w:fldChar w:fldCharType="end"/>
          </w:r>
        </w:p>
        <w:p>
          <w:pPr>
            <w:pStyle w:val="29"/>
            <w:tabs>
              <w:tab w:val="right" w:leader="dot" w:pos="9214"/>
              <w:tab w:val="clear" w:pos="709"/>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_Toc1037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36"/>
            </w:rPr>
            <w:t xml:space="preserve">第3章 </w:t>
          </w:r>
          <w:r>
            <w:rPr>
              <w:rFonts w:hint="eastAsia"/>
              <w:b/>
              <w:bCs w:val="0"/>
            </w:rPr>
            <w:t>响应文件格式</w:t>
          </w:r>
          <w:r>
            <w:rPr>
              <w:b/>
              <w:bCs w:val="0"/>
            </w:rPr>
            <w:tab/>
          </w:r>
          <w:r>
            <w:rPr>
              <w:b/>
              <w:bCs w:val="0"/>
            </w:rPr>
            <w:fldChar w:fldCharType="begin"/>
          </w:r>
          <w:r>
            <w:rPr>
              <w:b/>
              <w:bCs w:val="0"/>
            </w:rPr>
            <w:instrText xml:space="preserve"> PAGEREF _Toc1037 \h </w:instrText>
          </w:r>
          <w:r>
            <w:rPr>
              <w:b/>
              <w:bCs w:val="0"/>
            </w:rPr>
            <w:fldChar w:fldCharType="separate"/>
          </w:r>
          <w:r>
            <w:rPr>
              <w:b/>
              <w:bCs w:val="0"/>
            </w:rPr>
            <w:t>28</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_Toc14860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3.1 </w:t>
          </w:r>
          <w:r>
            <w:rPr>
              <w:rFonts w:hint="eastAsia"/>
              <w:b/>
              <w:bCs w:val="0"/>
            </w:rPr>
            <w:t>资格性响应文件格式</w:t>
          </w:r>
          <w:r>
            <w:rPr>
              <w:b/>
              <w:bCs w:val="0"/>
            </w:rPr>
            <w:tab/>
          </w:r>
          <w:r>
            <w:rPr>
              <w:b/>
              <w:bCs w:val="0"/>
            </w:rPr>
            <w:fldChar w:fldCharType="begin"/>
          </w:r>
          <w:r>
            <w:rPr>
              <w:b/>
              <w:bCs w:val="0"/>
            </w:rPr>
            <w:instrText xml:space="preserve"> PAGEREF _Toc14860 \h </w:instrText>
          </w:r>
          <w:r>
            <w:rPr>
              <w:b/>
              <w:bCs w:val="0"/>
            </w:rPr>
            <w:fldChar w:fldCharType="separate"/>
          </w:r>
          <w:r>
            <w:rPr>
              <w:b/>
              <w:bCs w:val="0"/>
            </w:rPr>
            <w:t>28</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_Toc26778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3.2 </w:t>
          </w:r>
          <w:r>
            <w:rPr>
              <w:rFonts w:hint="eastAsia"/>
              <w:b/>
              <w:bCs w:val="0"/>
            </w:rPr>
            <w:t>技术、服务性响应文件格式</w:t>
          </w:r>
          <w:r>
            <w:rPr>
              <w:b/>
              <w:bCs w:val="0"/>
            </w:rPr>
            <w:tab/>
          </w:r>
          <w:r>
            <w:rPr>
              <w:b/>
              <w:bCs w:val="0"/>
            </w:rPr>
            <w:fldChar w:fldCharType="begin"/>
          </w:r>
          <w:r>
            <w:rPr>
              <w:b/>
              <w:bCs w:val="0"/>
            </w:rPr>
            <w:instrText xml:space="preserve"> PAGEREF _Toc26778 \h </w:instrText>
          </w:r>
          <w:r>
            <w:rPr>
              <w:b/>
              <w:bCs w:val="0"/>
            </w:rPr>
            <w:fldChar w:fldCharType="separate"/>
          </w:r>
          <w:r>
            <w:rPr>
              <w:b/>
              <w:bCs w:val="0"/>
            </w:rPr>
            <w:t>38</w:t>
          </w:r>
          <w:r>
            <w:rPr>
              <w:b/>
              <w:bCs w:val="0"/>
            </w:rPr>
            <w:fldChar w:fldCharType="end"/>
          </w:r>
          <w:r>
            <w:rPr>
              <w:rFonts w:hint="eastAsia" w:ascii="宋体" w:hAnsi="宋体" w:cs="宋体"/>
              <w:b/>
              <w:bCs w:val="0"/>
              <w:caps/>
              <w:color w:val="auto"/>
              <w:szCs w:val="36"/>
            </w:rPr>
            <w:fldChar w:fldCharType="end"/>
          </w:r>
        </w:p>
        <w:p>
          <w:pPr>
            <w:pStyle w:val="29"/>
            <w:tabs>
              <w:tab w:val="right" w:leader="dot" w:pos="9214"/>
              <w:tab w:val="clear" w:pos="709"/>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_Toc27711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36"/>
            </w:rPr>
            <w:t xml:space="preserve">第4章 </w:t>
          </w:r>
          <w:r>
            <w:rPr>
              <w:rFonts w:hint="eastAsia"/>
              <w:b/>
              <w:bCs w:val="0"/>
            </w:rPr>
            <w:t>技术、服务、商务及其他要求</w:t>
          </w:r>
          <w:r>
            <w:rPr>
              <w:b/>
              <w:bCs w:val="0"/>
            </w:rPr>
            <w:tab/>
          </w:r>
          <w:r>
            <w:rPr>
              <w:b/>
              <w:bCs w:val="0"/>
            </w:rPr>
            <w:fldChar w:fldCharType="begin"/>
          </w:r>
          <w:r>
            <w:rPr>
              <w:b/>
              <w:bCs w:val="0"/>
            </w:rPr>
            <w:instrText xml:space="preserve"> PAGEREF _Toc27711 \h </w:instrText>
          </w:r>
          <w:r>
            <w:rPr>
              <w:b/>
              <w:bCs w:val="0"/>
            </w:rPr>
            <w:fldChar w:fldCharType="separate"/>
          </w:r>
          <w:r>
            <w:rPr>
              <w:b/>
              <w:bCs w:val="0"/>
            </w:rPr>
            <w:t>45</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_Toc28823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4.1 </w:t>
          </w:r>
          <w:r>
            <w:rPr>
              <w:rFonts w:hint="eastAsia"/>
              <w:b/>
              <w:bCs w:val="0"/>
            </w:rPr>
            <w:t>项目概况</w:t>
          </w:r>
          <w:r>
            <w:rPr>
              <w:b/>
              <w:bCs w:val="0"/>
            </w:rPr>
            <w:tab/>
          </w:r>
          <w:r>
            <w:rPr>
              <w:b/>
              <w:bCs w:val="0"/>
            </w:rPr>
            <w:fldChar w:fldCharType="begin"/>
          </w:r>
          <w:r>
            <w:rPr>
              <w:b/>
              <w:bCs w:val="0"/>
            </w:rPr>
            <w:instrText xml:space="preserve"> PAGEREF _Toc28823 \h </w:instrText>
          </w:r>
          <w:r>
            <w:rPr>
              <w:b/>
              <w:bCs w:val="0"/>
            </w:rPr>
            <w:fldChar w:fldCharType="separate"/>
          </w:r>
          <w:r>
            <w:rPr>
              <w:b/>
              <w:bCs w:val="0"/>
            </w:rPr>
            <w:t>45</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_Toc15912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kern w:val="0"/>
              <w:szCs w:val="28"/>
            </w:rPr>
            <w:t xml:space="preserve">4.2 </w:t>
          </w:r>
          <w:r>
            <w:rPr>
              <w:rFonts w:hint="eastAsia"/>
              <w:b/>
              <w:bCs w:val="0"/>
              <w:kern w:val="0"/>
            </w:rPr>
            <w:t>采购数量清单</w:t>
          </w:r>
          <w:r>
            <w:rPr>
              <w:b/>
              <w:bCs w:val="0"/>
            </w:rPr>
            <w:tab/>
          </w:r>
          <w:r>
            <w:rPr>
              <w:b/>
              <w:bCs w:val="0"/>
            </w:rPr>
            <w:fldChar w:fldCharType="begin"/>
          </w:r>
          <w:r>
            <w:rPr>
              <w:b/>
              <w:bCs w:val="0"/>
            </w:rPr>
            <w:instrText xml:space="preserve"> PAGEREF _Toc15912 \h </w:instrText>
          </w:r>
          <w:r>
            <w:rPr>
              <w:b/>
              <w:bCs w:val="0"/>
            </w:rPr>
            <w:fldChar w:fldCharType="separate"/>
          </w:r>
          <w:r>
            <w:rPr>
              <w:b/>
              <w:bCs w:val="0"/>
            </w:rPr>
            <w:t>45</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_Toc27734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kern w:val="0"/>
              <w:szCs w:val="28"/>
            </w:rPr>
            <w:t xml:space="preserve">4.3 </w:t>
          </w:r>
          <w:r>
            <w:rPr>
              <w:rFonts w:hint="eastAsia"/>
              <w:b/>
              <w:bCs w:val="0"/>
              <w:kern w:val="0"/>
            </w:rPr>
            <w:t>详细技术参数及相关要求</w:t>
          </w:r>
          <w:r>
            <w:rPr>
              <w:b/>
              <w:bCs w:val="0"/>
            </w:rPr>
            <w:tab/>
          </w:r>
          <w:r>
            <w:rPr>
              <w:b/>
              <w:bCs w:val="0"/>
            </w:rPr>
            <w:fldChar w:fldCharType="begin"/>
          </w:r>
          <w:r>
            <w:rPr>
              <w:b/>
              <w:bCs w:val="0"/>
            </w:rPr>
            <w:instrText xml:space="preserve"> PAGEREF _Toc27734 \h </w:instrText>
          </w:r>
          <w:r>
            <w:rPr>
              <w:b/>
              <w:bCs w:val="0"/>
            </w:rPr>
            <w:fldChar w:fldCharType="separate"/>
          </w:r>
          <w:r>
            <w:rPr>
              <w:b/>
              <w:bCs w:val="0"/>
            </w:rPr>
            <w:t>45</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_Toc26902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4.4 </w:t>
          </w:r>
          <w:r>
            <w:rPr>
              <w:rFonts w:hint="eastAsia"/>
              <w:b/>
              <w:bCs w:val="0"/>
            </w:rPr>
            <w:t>服务要求</w:t>
          </w:r>
          <w:r>
            <w:rPr>
              <w:b/>
              <w:bCs w:val="0"/>
            </w:rPr>
            <w:tab/>
          </w:r>
          <w:r>
            <w:rPr>
              <w:b/>
              <w:bCs w:val="0"/>
            </w:rPr>
            <w:fldChar w:fldCharType="begin"/>
          </w:r>
          <w:r>
            <w:rPr>
              <w:b/>
              <w:bCs w:val="0"/>
            </w:rPr>
            <w:instrText xml:space="preserve"> PAGEREF _Toc26902 \h </w:instrText>
          </w:r>
          <w:r>
            <w:rPr>
              <w:b/>
              <w:bCs w:val="0"/>
            </w:rPr>
            <w:fldChar w:fldCharType="separate"/>
          </w:r>
          <w:r>
            <w:rPr>
              <w:b/>
              <w:bCs w:val="0"/>
            </w:rPr>
            <w:t>48</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_Toc14634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4.5 </w:t>
          </w:r>
          <w:r>
            <w:rPr>
              <w:rFonts w:hint="eastAsia"/>
              <w:b/>
              <w:bCs w:val="0"/>
            </w:rPr>
            <w:t>★商务要求</w:t>
          </w:r>
          <w:r>
            <w:rPr>
              <w:b/>
              <w:bCs w:val="0"/>
            </w:rPr>
            <w:tab/>
          </w:r>
          <w:r>
            <w:rPr>
              <w:b/>
              <w:bCs w:val="0"/>
            </w:rPr>
            <w:fldChar w:fldCharType="begin"/>
          </w:r>
          <w:r>
            <w:rPr>
              <w:b/>
              <w:bCs w:val="0"/>
            </w:rPr>
            <w:instrText xml:space="preserve"> PAGEREF _Toc14634 \h </w:instrText>
          </w:r>
          <w:r>
            <w:rPr>
              <w:b/>
              <w:bCs w:val="0"/>
            </w:rPr>
            <w:fldChar w:fldCharType="separate"/>
          </w:r>
          <w:r>
            <w:rPr>
              <w:b/>
              <w:bCs w:val="0"/>
            </w:rPr>
            <w:t>50</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_Toc8545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4.6 </w:t>
          </w:r>
          <w:r>
            <w:rPr>
              <w:rFonts w:hint="eastAsia"/>
              <w:b/>
              <w:bCs w:val="0"/>
            </w:rPr>
            <w:t>其他要求</w:t>
          </w:r>
          <w:r>
            <w:rPr>
              <w:b/>
              <w:bCs w:val="0"/>
            </w:rPr>
            <w:tab/>
          </w:r>
          <w:r>
            <w:rPr>
              <w:b/>
              <w:bCs w:val="0"/>
            </w:rPr>
            <w:fldChar w:fldCharType="begin"/>
          </w:r>
          <w:r>
            <w:rPr>
              <w:b/>
              <w:bCs w:val="0"/>
            </w:rPr>
            <w:instrText xml:space="preserve"> PAGEREF _Toc8545 \h </w:instrText>
          </w:r>
          <w:r>
            <w:rPr>
              <w:b/>
              <w:bCs w:val="0"/>
            </w:rPr>
            <w:fldChar w:fldCharType="separate"/>
          </w:r>
          <w:r>
            <w:rPr>
              <w:b/>
              <w:bCs w:val="0"/>
            </w:rPr>
            <w:t>50</w:t>
          </w:r>
          <w:r>
            <w:rPr>
              <w:b/>
              <w:bCs w:val="0"/>
            </w:rPr>
            <w:fldChar w:fldCharType="end"/>
          </w:r>
          <w:r>
            <w:rPr>
              <w:rFonts w:hint="eastAsia" w:ascii="宋体" w:hAnsi="宋体" w:cs="宋体"/>
              <w:b/>
              <w:bCs w:val="0"/>
              <w:caps/>
              <w:color w:val="auto"/>
              <w:szCs w:val="36"/>
            </w:rPr>
            <w:fldChar w:fldCharType="end"/>
          </w:r>
        </w:p>
        <w:p>
          <w:pPr>
            <w:pStyle w:val="29"/>
            <w:tabs>
              <w:tab w:val="right" w:leader="dot" w:pos="9214"/>
              <w:tab w:val="clear" w:pos="709"/>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_Toc7442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36"/>
            </w:rPr>
            <w:t xml:space="preserve">第5章 </w:t>
          </w:r>
          <w:r>
            <w:rPr>
              <w:rFonts w:hint="eastAsia"/>
              <w:b/>
              <w:bCs w:val="0"/>
            </w:rPr>
            <w:t>谈判办法</w:t>
          </w:r>
          <w:r>
            <w:rPr>
              <w:b/>
              <w:bCs w:val="0"/>
            </w:rPr>
            <w:tab/>
          </w:r>
          <w:r>
            <w:rPr>
              <w:b/>
              <w:bCs w:val="0"/>
            </w:rPr>
            <w:fldChar w:fldCharType="begin"/>
          </w:r>
          <w:r>
            <w:rPr>
              <w:b/>
              <w:bCs w:val="0"/>
            </w:rPr>
            <w:instrText xml:space="preserve"> PAGEREF _Toc7442 \h </w:instrText>
          </w:r>
          <w:r>
            <w:rPr>
              <w:b/>
              <w:bCs w:val="0"/>
            </w:rPr>
            <w:fldChar w:fldCharType="separate"/>
          </w:r>
          <w:r>
            <w:rPr>
              <w:b/>
              <w:bCs w:val="0"/>
            </w:rPr>
            <w:t>52</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_Toc5105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5.1 </w:t>
          </w:r>
          <w:r>
            <w:rPr>
              <w:rFonts w:hint="eastAsia"/>
              <w:b/>
              <w:bCs w:val="0"/>
            </w:rPr>
            <w:t>总则</w:t>
          </w:r>
          <w:r>
            <w:rPr>
              <w:b/>
              <w:bCs w:val="0"/>
            </w:rPr>
            <w:tab/>
          </w:r>
          <w:r>
            <w:rPr>
              <w:b/>
              <w:bCs w:val="0"/>
            </w:rPr>
            <w:fldChar w:fldCharType="begin"/>
          </w:r>
          <w:r>
            <w:rPr>
              <w:b/>
              <w:bCs w:val="0"/>
            </w:rPr>
            <w:instrText xml:space="preserve"> PAGEREF _Toc5105 \h </w:instrText>
          </w:r>
          <w:r>
            <w:rPr>
              <w:b/>
              <w:bCs w:val="0"/>
            </w:rPr>
            <w:fldChar w:fldCharType="separate"/>
          </w:r>
          <w:r>
            <w:rPr>
              <w:b/>
              <w:bCs w:val="0"/>
            </w:rPr>
            <w:t>52</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_Toc7346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5.2 </w:t>
          </w:r>
          <w:r>
            <w:rPr>
              <w:rFonts w:hint="eastAsia"/>
              <w:b/>
              <w:bCs w:val="0"/>
              <w:kern w:val="0"/>
            </w:rPr>
            <w:t>评审程序</w:t>
          </w:r>
          <w:r>
            <w:rPr>
              <w:b/>
              <w:bCs w:val="0"/>
            </w:rPr>
            <w:tab/>
          </w:r>
          <w:r>
            <w:rPr>
              <w:b/>
              <w:bCs w:val="0"/>
            </w:rPr>
            <w:fldChar w:fldCharType="begin"/>
          </w:r>
          <w:r>
            <w:rPr>
              <w:b/>
              <w:bCs w:val="0"/>
            </w:rPr>
            <w:instrText xml:space="preserve"> PAGEREF _Toc7346 \h </w:instrText>
          </w:r>
          <w:r>
            <w:rPr>
              <w:b/>
              <w:bCs w:val="0"/>
            </w:rPr>
            <w:fldChar w:fldCharType="separate"/>
          </w:r>
          <w:r>
            <w:rPr>
              <w:b/>
              <w:bCs w:val="0"/>
            </w:rPr>
            <w:t>53</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_Toc30920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5.3 </w:t>
          </w:r>
          <w:r>
            <w:rPr>
              <w:rFonts w:hint="eastAsia"/>
              <w:b/>
              <w:bCs w:val="0"/>
            </w:rPr>
            <w:t>评审办法和标准</w:t>
          </w:r>
          <w:r>
            <w:rPr>
              <w:b/>
              <w:bCs w:val="0"/>
            </w:rPr>
            <w:tab/>
          </w:r>
          <w:r>
            <w:rPr>
              <w:b/>
              <w:bCs w:val="0"/>
            </w:rPr>
            <w:fldChar w:fldCharType="begin"/>
          </w:r>
          <w:r>
            <w:rPr>
              <w:b/>
              <w:bCs w:val="0"/>
            </w:rPr>
            <w:instrText xml:space="preserve"> PAGEREF _Toc30920 \h </w:instrText>
          </w:r>
          <w:r>
            <w:rPr>
              <w:b/>
              <w:bCs w:val="0"/>
            </w:rPr>
            <w:fldChar w:fldCharType="separate"/>
          </w:r>
          <w:r>
            <w:rPr>
              <w:b/>
              <w:bCs w:val="0"/>
            </w:rPr>
            <w:t>65</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_Toc1577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5.4 </w:t>
          </w:r>
          <w:r>
            <w:rPr>
              <w:rFonts w:hint="eastAsia"/>
              <w:b/>
              <w:bCs w:val="0"/>
            </w:rPr>
            <w:t>采购失败情形</w:t>
          </w:r>
          <w:r>
            <w:rPr>
              <w:b/>
              <w:bCs w:val="0"/>
            </w:rPr>
            <w:tab/>
          </w:r>
          <w:r>
            <w:rPr>
              <w:b/>
              <w:bCs w:val="0"/>
            </w:rPr>
            <w:fldChar w:fldCharType="begin"/>
          </w:r>
          <w:r>
            <w:rPr>
              <w:b/>
              <w:bCs w:val="0"/>
            </w:rPr>
            <w:instrText xml:space="preserve"> PAGEREF _Toc1577 \h </w:instrText>
          </w:r>
          <w:r>
            <w:rPr>
              <w:b/>
              <w:bCs w:val="0"/>
            </w:rPr>
            <w:fldChar w:fldCharType="separate"/>
          </w:r>
          <w:r>
            <w:rPr>
              <w:b/>
              <w:bCs w:val="0"/>
            </w:rPr>
            <w:t>65</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_Toc11019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5.5 </w:t>
          </w:r>
          <w:r>
            <w:rPr>
              <w:rFonts w:hint="eastAsia"/>
              <w:b/>
              <w:bCs w:val="0"/>
            </w:rPr>
            <w:t>确定成交供应商</w:t>
          </w:r>
          <w:r>
            <w:rPr>
              <w:b/>
              <w:bCs w:val="0"/>
            </w:rPr>
            <w:tab/>
          </w:r>
          <w:r>
            <w:rPr>
              <w:b/>
              <w:bCs w:val="0"/>
            </w:rPr>
            <w:fldChar w:fldCharType="begin"/>
          </w:r>
          <w:r>
            <w:rPr>
              <w:b/>
              <w:bCs w:val="0"/>
            </w:rPr>
            <w:instrText xml:space="preserve"> PAGEREF _Toc11019 \h </w:instrText>
          </w:r>
          <w:r>
            <w:rPr>
              <w:b/>
              <w:bCs w:val="0"/>
            </w:rPr>
            <w:fldChar w:fldCharType="separate"/>
          </w:r>
          <w:r>
            <w:rPr>
              <w:b/>
              <w:bCs w:val="0"/>
            </w:rPr>
            <w:t>65</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_Toc32647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5.6 </w:t>
          </w:r>
          <w:r>
            <w:rPr>
              <w:rFonts w:hint="eastAsia"/>
              <w:b/>
              <w:bCs w:val="0"/>
            </w:rPr>
            <w:t>谈判小组成员义务</w:t>
          </w:r>
          <w:r>
            <w:rPr>
              <w:b/>
              <w:bCs w:val="0"/>
            </w:rPr>
            <w:tab/>
          </w:r>
          <w:r>
            <w:rPr>
              <w:b/>
              <w:bCs w:val="0"/>
            </w:rPr>
            <w:fldChar w:fldCharType="begin"/>
          </w:r>
          <w:r>
            <w:rPr>
              <w:b/>
              <w:bCs w:val="0"/>
            </w:rPr>
            <w:instrText xml:space="preserve"> PAGEREF _Toc32647 \h </w:instrText>
          </w:r>
          <w:r>
            <w:rPr>
              <w:b/>
              <w:bCs w:val="0"/>
            </w:rPr>
            <w:fldChar w:fldCharType="separate"/>
          </w:r>
          <w:r>
            <w:rPr>
              <w:b/>
              <w:bCs w:val="0"/>
            </w:rPr>
            <w:t>66</w:t>
          </w:r>
          <w:r>
            <w:rPr>
              <w:b/>
              <w:bCs w:val="0"/>
            </w:rPr>
            <w:fldChar w:fldCharType="end"/>
          </w:r>
          <w:r>
            <w:rPr>
              <w:rFonts w:hint="eastAsia" w:ascii="宋体" w:hAnsi="宋体" w:cs="宋体"/>
              <w:b/>
              <w:bCs w:val="0"/>
              <w:caps/>
              <w:color w:val="auto"/>
              <w:szCs w:val="36"/>
            </w:rPr>
            <w:fldChar w:fldCharType="end"/>
          </w:r>
        </w:p>
        <w:p>
          <w:pPr>
            <w:pStyle w:val="35"/>
            <w:tabs>
              <w:tab w:val="right" w:leader="dot" w:pos="9214"/>
              <w:tab w:val="clear" w:pos="620"/>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_Toc31261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28"/>
            </w:rPr>
            <w:t xml:space="preserve">5.7 </w:t>
          </w:r>
          <w:r>
            <w:rPr>
              <w:rFonts w:hint="eastAsia"/>
              <w:b/>
              <w:bCs w:val="0"/>
            </w:rPr>
            <w:t>谈判纪律</w:t>
          </w:r>
          <w:r>
            <w:rPr>
              <w:b/>
              <w:bCs w:val="0"/>
            </w:rPr>
            <w:tab/>
          </w:r>
          <w:r>
            <w:rPr>
              <w:b/>
              <w:bCs w:val="0"/>
            </w:rPr>
            <w:fldChar w:fldCharType="begin"/>
          </w:r>
          <w:r>
            <w:rPr>
              <w:b/>
              <w:bCs w:val="0"/>
            </w:rPr>
            <w:instrText xml:space="preserve"> PAGEREF _Toc31261 \h </w:instrText>
          </w:r>
          <w:r>
            <w:rPr>
              <w:b/>
              <w:bCs w:val="0"/>
            </w:rPr>
            <w:fldChar w:fldCharType="separate"/>
          </w:r>
          <w:r>
            <w:rPr>
              <w:b/>
              <w:bCs w:val="0"/>
            </w:rPr>
            <w:t>67</w:t>
          </w:r>
          <w:r>
            <w:rPr>
              <w:b/>
              <w:bCs w:val="0"/>
            </w:rPr>
            <w:fldChar w:fldCharType="end"/>
          </w:r>
          <w:r>
            <w:rPr>
              <w:rFonts w:hint="eastAsia" w:ascii="宋体" w:hAnsi="宋体" w:cs="宋体"/>
              <w:b/>
              <w:bCs w:val="0"/>
              <w:caps/>
              <w:color w:val="auto"/>
              <w:szCs w:val="36"/>
            </w:rPr>
            <w:fldChar w:fldCharType="end"/>
          </w:r>
        </w:p>
        <w:p>
          <w:pPr>
            <w:pStyle w:val="29"/>
            <w:tabs>
              <w:tab w:val="right" w:leader="dot" w:pos="9214"/>
              <w:tab w:val="clear" w:pos="709"/>
              <w:tab w:val="clear" w:pos="8364"/>
            </w:tabs>
            <w:rPr>
              <w:b/>
              <w:bCs w:val="0"/>
            </w:rPr>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_Toc7657 </w:instrText>
          </w:r>
          <w:r>
            <w:rPr>
              <w:rFonts w:hint="eastAsia" w:ascii="宋体" w:hAnsi="宋体" w:cs="宋体"/>
              <w:b/>
              <w:bCs w:val="0"/>
              <w:caps/>
              <w:szCs w:val="36"/>
            </w:rPr>
            <w:fldChar w:fldCharType="separate"/>
          </w:r>
          <w:r>
            <w:rPr>
              <w:rFonts w:hint="default" w:ascii="Times New Roman" w:hAnsi="Times New Roman" w:eastAsia="宋体" w:cs="Times New Roman"/>
              <w:b/>
              <w:bCs w:val="0"/>
              <w:i w:val="0"/>
              <w:szCs w:val="36"/>
            </w:rPr>
            <w:t xml:space="preserve">第6章 </w:t>
          </w:r>
          <w:r>
            <w:rPr>
              <w:rFonts w:hint="eastAsia"/>
              <w:b/>
              <w:bCs w:val="0"/>
            </w:rPr>
            <w:t>政府采购合同主要条款</w:t>
          </w:r>
          <w:r>
            <w:rPr>
              <w:b/>
              <w:bCs w:val="0"/>
            </w:rPr>
            <w:tab/>
          </w:r>
          <w:r>
            <w:rPr>
              <w:b/>
              <w:bCs w:val="0"/>
            </w:rPr>
            <w:fldChar w:fldCharType="begin"/>
          </w:r>
          <w:r>
            <w:rPr>
              <w:b/>
              <w:bCs w:val="0"/>
            </w:rPr>
            <w:instrText xml:space="preserve"> PAGEREF _Toc7657 \h </w:instrText>
          </w:r>
          <w:r>
            <w:rPr>
              <w:b/>
              <w:bCs w:val="0"/>
            </w:rPr>
            <w:fldChar w:fldCharType="separate"/>
          </w:r>
          <w:r>
            <w:rPr>
              <w:b/>
              <w:bCs w:val="0"/>
            </w:rPr>
            <w:t>69</w:t>
          </w:r>
          <w:r>
            <w:rPr>
              <w:b/>
              <w:bCs w:val="0"/>
            </w:rPr>
            <w:fldChar w:fldCharType="end"/>
          </w:r>
          <w:r>
            <w:rPr>
              <w:rFonts w:hint="eastAsia" w:ascii="宋体" w:hAnsi="宋体" w:cs="宋体"/>
              <w:b/>
              <w:bCs w:val="0"/>
              <w:caps/>
              <w:color w:val="auto"/>
              <w:szCs w:val="36"/>
            </w:rPr>
            <w:fldChar w:fldCharType="end"/>
          </w:r>
        </w:p>
        <w:p>
          <w:pPr>
            <w:pStyle w:val="29"/>
            <w:tabs>
              <w:tab w:val="right" w:leader="dot" w:pos="9214"/>
              <w:tab w:val="clear" w:pos="709"/>
              <w:tab w:val="clear" w:pos="8364"/>
            </w:tabs>
          </w:pPr>
          <w:r>
            <w:rPr>
              <w:rFonts w:hint="eastAsia" w:ascii="宋体" w:hAnsi="宋体" w:cs="宋体"/>
              <w:b/>
              <w:bCs w:val="0"/>
              <w:caps/>
              <w:color w:val="auto"/>
              <w:szCs w:val="36"/>
            </w:rPr>
            <w:fldChar w:fldCharType="begin"/>
          </w:r>
          <w:r>
            <w:rPr>
              <w:rFonts w:hint="eastAsia" w:ascii="宋体" w:hAnsi="宋体" w:cs="宋体"/>
              <w:b/>
              <w:bCs w:val="0"/>
              <w:caps/>
              <w:szCs w:val="36"/>
            </w:rPr>
            <w:instrText xml:space="preserve"> HYPERLINK \l _Toc26595 </w:instrText>
          </w:r>
          <w:r>
            <w:rPr>
              <w:rFonts w:hint="eastAsia" w:ascii="宋体" w:hAnsi="宋体" w:cs="宋体"/>
              <w:b/>
              <w:bCs w:val="0"/>
              <w:caps/>
              <w:szCs w:val="36"/>
            </w:rPr>
            <w:fldChar w:fldCharType="separate"/>
          </w:r>
          <w:r>
            <w:rPr>
              <w:rFonts w:hint="eastAsia" w:ascii="宋体" w:hAnsi="宋体" w:cs="宋体"/>
              <w:b/>
              <w:bCs w:val="0"/>
              <w:szCs w:val="30"/>
            </w:rPr>
            <w:t>附件：</w:t>
          </w:r>
          <w:r>
            <w:rPr>
              <w:b/>
              <w:bCs w:val="0"/>
            </w:rPr>
            <w:tab/>
          </w:r>
          <w:r>
            <w:rPr>
              <w:b/>
              <w:bCs w:val="0"/>
            </w:rPr>
            <w:fldChar w:fldCharType="begin"/>
          </w:r>
          <w:r>
            <w:rPr>
              <w:b/>
              <w:bCs w:val="0"/>
            </w:rPr>
            <w:instrText xml:space="preserve"> PAGEREF _Toc26595 \h </w:instrText>
          </w:r>
          <w:r>
            <w:rPr>
              <w:b/>
              <w:bCs w:val="0"/>
            </w:rPr>
            <w:fldChar w:fldCharType="separate"/>
          </w:r>
          <w:r>
            <w:rPr>
              <w:b/>
              <w:bCs w:val="0"/>
            </w:rPr>
            <w:t>75</w:t>
          </w:r>
          <w:r>
            <w:rPr>
              <w:b/>
              <w:bCs w:val="0"/>
            </w:rPr>
            <w:fldChar w:fldCharType="end"/>
          </w:r>
          <w:r>
            <w:rPr>
              <w:rFonts w:hint="eastAsia" w:ascii="宋体" w:hAnsi="宋体" w:cs="宋体"/>
              <w:b/>
              <w:bCs w:val="0"/>
              <w:caps/>
              <w:color w:val="auto"/>
              <w:szCs w:val="36"/>
            </w:rPr>
            <w:fldChar w:fldCharType="end"/>
          </w:r>
        </w:p>
        <w:p>
          <w:pPr>
            <w:rPr>
              <w:rFonts w:ascii="宋体" w:hAnsi="宋体" w:cs="宋体"/>
              <w:caps/>
              <w:color w:val="auto"/>
              <w:sz w:val="36"/>
              <w:szCs w:val="36"/>
            </w:rPr>
            <w:sectPr>
              <w:footerReference r:id="rId3" w:type="default"/>
              <w:pgSz w:w="11906" w:h="16838"/>
              <w:pgMar w:top="1134" w:right="1274" w:bottom="1440" w:left="1418" w:header="851" w:footer="992" w:gutter="0"/>
              <w:cols w:space="720" w:num="1"/>
              <w:docGrid w:type="lines" w:linePitch="312" w:charSpace="0"/>
            </w:sectPr>
          </w:pPr>
          <w:r>
            <w:rPr>
              <w:rFonts w:hint="eastAsia" w:ascii="宋体" w:hAnsi="宋体" w:cs="宋体"/>
              <w:caps/>
              <w:color w:val="auto"/>
              <w:szCs w:val="36"/>
            </w:rPr>
            <w:fldChar w:fldCharType="end"/>
          </w:r>
        </w:p>
      </w:sdtContent>
    </w:sdt>
    <w:p>
      <w:pPr>
        <w:pStyle w:val="3"/>
        <w:widowControl/>
        <w:numPr>
          <w:ilvl w:val="0"/>
          <w:numId w:val="6"/>
        </w:numPr>
        <w:spacing w:before="0" w:after="0" w:line="360" w:lineRule="auto"/>
        <w:ind w:left="0" w:firstLine="0"/>
        <w:rPr>
          <w:color w:val="auto"/>
          <w:sz w:val="36"/>
          <w:szCs w:val="36"/>
        </w:rPr>
      </w:pPr>
      <w:bookmarkStart w:id="0" w:name="_Toc58943323"/>
      <w:bookmarkStart w:id="1" w:name="_Toc6406"/>
      <w:bookmarkStart w:id="2" w:name="_Toc16112"/>
      <w:bookmarkStart w:id="3" w:name="_Toc4358"/>
      <w:r>
        <w:rPr>
          <w:rFonts w:hint="eastAsia"/>
          <w:color w:val="auto"/>
          <w:sz w:val="36"/>
          <w:szCs w:val="36"/>
        </w:rPr>
        <w:t>竞争性谈判邀请</w:t>
      </w:r>
      <w:bookmarkEnd w:id="0"/>
      <w:bookmarkEnd w:id="1"/>
      <w:bookmarkEnd w:id="2"/>
      <w:bookmarkEnd w:id="3"/>
    </w:p>
    <w:p>
      <w:pPr>
        <w:spacing w:line="360" w:lineRule="auto"/>
        <w:ind w:left="-124" w:leftChars="-59" w:right="-21" w:rightChars="-10" w:firstLine="703" w:firstLineChars="250"/>
        <w:rPr>
          <w:rFonts w:ascii="宋体" w:hAnsi="宋体" w:cs="宋体"/>
          <w:b/>
          <w:color w:val="auto"/>
          <w:sz w:val="28"/>
          <w:szCs w:val="28"/>
        </w:rPr>
      </w:pPr>
    </w:p>
    <w:p>
      <w:pPr>
        <w:spacing w:line="360" w:lineRule="auto"/>
        <w:ind w:firstLine="562" w:firstLineChars="200"/>
        <w:rPr>
          <w:rFonts w:ascii="宋体" w:hAnsi="宋体" w:cs="宋体"/>
          <w:color w:val="auto"/>
          <w:sz w:val="28"/>
          <w:szCs w:val="28"/>
        </w:rPr>
      </w:pPr>
      <w:r>
        <w:rPr>
          <w:rFonts w:hint="eastAsia" w:ascii="宋体" w:hAnsi="宋体" w:cs="宋体"/>
          <w:b/>
          <w:color w:val="auto"/>
          <w:sz w:val="28"/>
          <w:szCs w:val="28"/>
        </w:rPr>
        <w:t>成都东部新区党工委管委会（成都市东部新城办）综合部(以下简称“综合部”)</w:t>
      </w:r>
      <w:r>
        <w:rPr>
          <w:rFonts w:hint="eastAsia" w:ascii="宋体" w:hAnsi="宋体" w:cs="宋体"/>
          <w:color w:val="auto"/>
          <w:sz w:val="28"/>
          <w:szCs w:val="28"/>
        </w:rPr>
        <w:t xml:space="preserve"> 受</w:t>
      </w:r>
      <w:r>
        <w:rPr>
          <w:rFonts w:hint="eastAsia" w:ascii="宋体" w:hAnsi="宋体" w:cs="宋体"/>
          <w:b/>
          <w:color w:val="auto"/>
          <w:sz w:val="28"/>
          <w:szCs w:val="28"/>
        </w:rPr>
        <w:t>成都东部新区贾家初级中学</w:t>
      </w:r>
      <w:r>
        <w:rPr>
          <w:rFonts w:hint="eastAsia" w:ascii="宋体" w:hAnsi="宋体" w:cs="宋体"/>
          <w:color w:val="auto"/>
          <w:sz w:val="28"/>
          <w:szCs w:val="28"/>
        </w:rPr>
        <w:t>委托,拟对</w:t>
      </w:r>
      <w:r>
        <w:rPr>
          <w:rFonts w:hint="eastAsia" w:ascii="宋体" w:hAnsi="宋体" w:cs="宋体"/>
          <w:b/>
          <w:color w:val="auto"/>
          <w:sz w:val="28"/>
          <w:szCs w:val="28"/>
        </w:rPr>
        <w:t>成都东部新区贾家初级中学LED显示屏采购项目</w:t>
      </w:r>
      <w:r>
        <w:rPr>
          <w:rFonts w:hint="eastAsia" w:ascii="宋体" w:hAnsi="宋体" w:cs="宋体"/>
          <w:color w:val="auto"/>
          <w:sz w:val="28"/>
          <w:szCs w:val="28"/>
        </w:rPr>
        <w:t>采用竞争性谈判采购方式进行采购，欢迎供应商参加该项目的竞争性谈判。</w:t>
      </w:r>
    </w:p>
    <w:p>
      <w:pPr>
        <w:widowControl/>
        <w:numPr>
          <w:ilvl w:val="0"/>
          <w:numId w:val="7"/>
        </w:numPr>
        <w:spacing w:line="360" w:lineRule="auto"/>
        <w:ind w:left="0" w:firstLine="562" w:firstLineChars="200"/>
        <w:jc w:val="left"/>
        <w:rPr>
          <w:rFonts w:ascii="宋体" w:hAnsi="宋体" w:cs="宋体"/>
          <w:color w:val="auto"/>
          <w:sz w:val="28"/>
          <w:szCs w:val="28"/>
        </w:rPr>
      </w:pPr>
      <w:r>
        <w:rPr>
          <w:rFonts w:hint="eastAsia" w:ascii="宋体" w:hAnsi="宋体" w:cs="宋体"/>
          <w:b/>
          <w:color w:val="auto"/>
          <w:sz w:val="28"/>
          <w:szCs w:val="28"/>
        </w:rPr>
        <w:t>项目编号</w:t>
      </w:r>
      <w:r>
        <w:rPr>
          <w:rFonts w:hint="eastAsia" w:ascii="宋体" w:hAnsi="宋体" w:cs="宋体"/>
          <w:color w:val="auto"/>
          <w:sz w:val="28"/>
          <w:szCs w:val="28"/>
        </w:rPr>
        <w:t>：</w:t>
      </w:r>
      <w:r>
        <w:rPr>
          <w:rFonts w:hint="eastAsia" w:ascii="宋体" w:hAnsi="宋体" w:cs="宋体"/>
          <w:b/>
          <w:bCs/>
          <w:color w:val="auto"/>
          <w:sz w:val="28"/>
          <w:szCs w:val="28"/>
          <w:lang w:eastAsia="zh-CN"/>
        </w:rPr>
        <w:t>东部新区政采（2021）A0036号</w:t>
      </w:r>
      <w:r>
        <w:rPr>
          <w:rFonts w:hint="eastAsia" w:ascii="宋体" w:hAnsi="宋体" w:cs="宋体"/>
          <w:b/>
          <w:bCs/>
          <w:color w:val="auto"/>
          <w:sz w:val="28"/>
          <w:szCs w:val="28"/>
        </w:rPr>
        <w:t xml:space="preserve">   </w:t>
      </w:r>
      <w:r>
        <w:rPr>
          <w:rFonts w:hint="eastAsia" w:ascii="宋体" w:hAnsi="宋体" w:cs="宋体"/>
          <w:color w:val="auto"/>
          <w:sz w:val="28"/>
          <w:szCs w:val="28"/>
        </w:rPr>
        <w:t xml:space="preserve">                                                                                                                                                                                                                                                                               </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（采购项目编号：</w:t>
      </w:r>
      <w:bookmarkStart w:id="267" w:name="_GoBack"/>
      <w:bookmarkEnd w:id="267"/>
      <w:r>
        <w:rPr>
          <w:rFonts w:hint="eastAsia" w:ascii="宋体" w:hAnsi="宋体" w:cs="宋体"/>
          <w:b/>
          <w:color w:val="auto"/>
          <w:sz w:val="28"/>
          <w:szCs w:val="28"/>
        </w:rPr>
        <w:t>510118202100216）</w:t>
      </w:r>
    </w:p>
    <w:p>
      <w:pPr>
        <w:widowControl/>
        <w:numPr>
          <w:ilvl w:val="0"/>
          <w:numId w:val="7"/>
        </w:numPr>
        <w:spacing w:line="360" w:lineRule="auto"/>
        <w:ind w:left="0" w:firstLine="562" w:firstLineChars="200"/>
        <w:rPr>
          <w:rFonts w:ascii="宋体" w:hAnsi="宋体" w:cs="宋体"/>
          <w:color w:val="auto"/>
          <w:sz w:val="28"/>
          <w:szCs w:val="28"/>
        </w:rPr>
      </w:pPr>
      <w:r>
        <w:rPr>
          <w:rFonts w:hint="eastAsia" w:ascii="宋体" w:hAnsi="宋体" w:cs="宋体"/>
          <w:b/>
          <w:color w:val="auto"/>
          <w:sz w:val="28"/>
          <w:szCs w:val="28"/>
        </w:rPr>
        <w:t>项目名称</w:t>
      </w:r>
      <w:r>
        <w:rPr>
          <w:rFonts w:hint="eastAsia" w:ascii="宋体" w:hAnsi="宋体" w:cs="宋体"/>
          <w:color w:val="auto"/>
          <w:sz w:val="28"/>
          <w:szCs w:val="28"/>
        </w:rPr>
        <w:t>：</w:t>
      </w:r>
      <w:r>
        <w:rPr>
          <w:rFonts w:hint="eastAsia" w:ascii="宋体" w:hAnsi="宋体" w:cs="宋体"/>
          <w:b/>
          <w:color w:val="auto"/>
          <w:sz w:val="28"/>
          <w:szCs w:val="28"/>
        </w:rPr>
        <w:t xml:space="preserve"> 成都东部新区贾家初级中学LED显示屏采购项目</w:t>
      </w:r>
    </w:p>
    <w:p>
      <w:pPr>
        <w:widowControl/>
        <w:numPr>
          <w:ilvl w:val="0"/>
          <w:numId w:val="7"/>
        </w:numPr>
        <w:spacing w:line="360" w:lineRule="auto"/>
        <w:ind w:left="0" w:firstLine="562" w:firstLineChars="200"/>
        <w:rPr>
          <w:rFonts w:ascii="宋体" w:hAnsi="宋体" w:cs="宋体"/>
          <w:color w:val="auto"/>
          <w:sz w:val="28"/>
          <w:szCs w:val="28"/>
        </w:rPr>
      </w:pPr>
      <w:r>
        <w:rPr>
          <w:rFonts w:hint="eastAsia" w:ascii="宋体" w:hAnsi="宋体" w:cs="宋体"/>
          <w:b/>
          <w:color w:val="auto"/>
          <w:sz w:val="28"/>
          <w:szCs w:val="28"/>
        </w:rPr>
        <w:t>资金来源、预算金额及最高限价：</w:t>
      </w:r>
      <w:r>
        <w:rPr>
          <w:rFonts w:hint="eastAsia" w:ascii="宋体" w:hAnsi="宋体" w:cs="宋体"/>
          <w:color w:val="auto"/>
          <w:sz w:val="28"/>
          <w:szCs w:val="28"/>
        </w:rPr>
        <w:t>财政性资金，政府采购实施计划备案表号：(2021）0611号；预算品目：A020207LED显示屏；预算金额：289900元；最高限价：289900元；所属行业：</w:t>
      </w:r>
      <w:r>
        <w:rPr>
          <w:rFonts w:hint="eastAsia" w:ascii="宋体" w:hAnsi="宋体" w:cs="宋体"/>
          <w:color w:val="auto"/>
          <w:sz w:val="28"/>
          <w:szCs w:val="28"/>
          <w:lang w:eastAsia="zh-CN"/>
        </w:rPr>
        <w:t>见采购清单</w:t>
      </w:r>
      <w:r>
        <w:rPr>
          <w:rFonts w:hint="eastAsia" w:ascii="宋体" w:hAnsi="宋体" w:cs="宋体"/>
          <w:color w:val="auto"/>
          <w:sz w:val="28"/>
          <w:szCs w:val="28"/>
        </w:rPr>
        <w:t>。</w:t>
      </w:r>
    </w:p>
    <w:p>
      <w:pPr>
        <w:widowControl/>
        <w:numPr>
          <w:ilvl w:val="0"/>
          <w:numId w:val="7"/>
        </w:numPr>
        <w:spacing w:line="360" w:lineRule="auto"/>
        <w:ind w:left="0" w:firstLine="562" w:firstLineChars="200"/>
        <w:rPr>
          <w:rFonts w:ascii="宋体" w:hAnsi="宋体" w:cs="宋体"/>
          <w:b/>
          <w:color w:val="auto"/>
          <w:sz w:val="28"/>
          <w:szCs w:val="28"/>
        </w:rPr>
      </w:pPr>
      <w:r>
        <w:rPr>
          <w:rFonts w:hint="eastAsia" w:ascii="宋体" w:hAnsi="宋体" w:cs="宋体"/>
          <w:b/>
          <w:color w:val="auto"/>
          <w:sz w:val="28"/>
          <w:szCs w:val="28"/>
        </w:rPr>
        <w:t>供应商参加本次政府采购活动应具备的条件</w:t>
      </w:r>
    </w:p>
    <w:p>
      <w:pPr>
        <w:numPr>
          <w:ilvl w:val="1"/>
          <w:numId w:val="8"/>
        </w:numPr>
        <w:tabs>
          <w:tab w:val="left" w:pos="851"/>
          <w:tab w:val="left" w:pos="993"/>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符合《政府采购法》第二十二条第一款规定的条件；</w:t>
      </w:r>
    </w:p>
    <w:p>
      <w:pPr>
        <w:numPr>
          <w:ilvl w:val="1"/>
          <w:numId w:val="8"/>
        </w:numPr>
        <w:tabs>
          <w:tab w:val="left" w:pos="851"/>
          <w:tab w:val="left" w:pos="993"/>
        </w:tabs>
        <w:spacing w:line="360" w:lineRule="auto"/>
        <w:ind w:left="0" w:firstLine="562" w:firstLineChars="200"/>
        <w:rPr>
          <w:rFonts w:ascii="宋体" w:hAnsi="宋体" w:cs="宋体"/>
          <w:b/>
          <w:color w:val="auto"/>
          <w:sz w:val="28"/>
          <w:szCs w:val="28"/>
        </w:rPr>
      </w:pPr>
      <w:r>
        <w:rPr>
          <w:rFonts w:hint="eastAsia" w:ascii="宋体" w:hAnsi="宋体" w:cs="宋体"/>
          <w:b/>
          <w:color w:val="auto"/>
          <w:sz w:val="28"/>
          <w:szCs w:val="28"/>
        </w:rPr>
        <w:t>本项目为专门面向中小企业采购项目，供应商提供的货物全部由符合政策要求的中小企业制造；（说明：监狱企业、残疾人福利性单位视同小型、微型企业）</w:t>
      </w:r>
    </w:p>
    <w:p>
      <w:pPr>
        <w:numPr>
          <w:ilvl w:val="1"/>
          <w:numId w:val="8"/>
        </w:numPr>
        <w:tabs>
          <w:tab w:val="left" w:pos="851"/>
          <w:tab w:val="left" w:pos="993"/>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 xml:space="preserve">未被列入失信被执行人、重大税收违法案件当事人名单、政府采购严重违法失信行为记录名单； </w:t>
      </w:r>
    </w:p>
    <w:p>
      <w:pPr>
        <w:numPr>
          <w:ilvl w:val="1"/>
          <w:numId w:val="8"/>
        </w:numPr>
        <w:tabs>
          <w:tab w:val="left" w:pos="851"/>
          <w:tab w:val="left" w:pos="993"/>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在行贿犯罪信息查询期限内，供应商及其现任法定代表人、主要负责人没有行贿犯罪记录；</w:t>
      </w:r>
    </w:p>
    <w:p>
      <w:pPr>
        <w:numPr>
          <w:ilvl w:val="1"/>
          <w:numId w:val="8"/>
        </w:numPr>
        <w:tabs>
          <w:tab w:val="left" w:pos="851"/>
          <w:tab w:val="left" w:pos="993"/>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未处于被行政部门禁止参与政府采购活动的期限内；</w:t>
      </w:r>
    </w:p>
    <w:p>
      <w:pPr>
        <w:numPr>
          <w:ilvl w:val="1"/>
          <w:numId w:val="8"/>
        </w:numPr>
        <w:tabs>
          <w:tab w:val="left" w:pos="851"/>
          <w:tab w:val="left" w:pos="993"/>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不属于国家相关法律法规规定的其他禁止参加政府采购活动的供应商；</w:t>
      </w:r>
    </w:p>
    <w:p>
      <w:pPr>
        <w:numPr>
          <w:ilvl w:val="1"/>
          <w:numId w:val="8"/>
        </w:numPr>
        <w:tabs>
          <w:tab w:val="left" w:pos="851"/>
          <w:tab w:val="left" w:pos="993"/>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本项目</w:t>
      </w:r>
      <w:r>
        <w:rPr>
          <w:rFonts w:hint="eastAsia" w:ascii="宋体" w:hAnsi="宋体" w:cs="宋体"/>
          <w:b/>
          <w:color w:val="auto"/>
          <w:sz w:val="28"/>
        </w:rPr>
        <w:t>不接受</w:t>
      </w:r>
      <w:r>
        <w:rPr>
          <w:rFonts w:hint="eastAsia" w:ascii="宋体" w:hAnsi="宋体" w:cs="宋体"/>
          <w:color w:val="auto"/>
          <w:sz w:val="28"/>
        </w:rPr>
        <w:t>供应商以联合体的形式参加</w:t>
      </w:r>
      <w:r>
        <w:rPr>
          <w:rFonts w:hint="eastAsia" w:ascii="宋体" w:hAnsi="宋体" w:cs="宋体"/>
          <w:color w:val="auto"/>
          <w:sz w:val="28"/>
          <w:szCs w:val="28"/>
        </w:rPr>
        <w:t>。</w:t>
      </w:r>
    </w:p>
    <w:p>
      <w:pPr>
        <w:widowControl/>
        <w:numPr>
          <w:ilvl w:val="0"/>
          <w:numId w:val="7"/>
        </w:numPr>
        <w:spacing w:line="360" w:lineRule="auto"/>
        <w:ind w:left="0" w:firstLine="562" w:firstLineChars="200"/>
        <w:rPr>
          <w:rFonts w:ascii="宋体" w:hAnsi="宋体" w:cs="宋体"/>
          <w:b/>
          <w:color w:val="auto"/>
          <w:sz w:val="28"/>
          <w:szCs w:val="28"/>
        </w:rPr>
      </w:pPr>
      <w:r>
        <w:rPr>
          <w:rFonts w:hint="eastAsia" w:ascii="宋体" w:hAnsi="宋体" w:cs="宋体"/>
          <w:b/>
          <w:color w:val="auto"/>
          <w:sz w:val="28"/>
          <w:szCs w:val="28"/>
        </w:rPr>
        <w:t>采购项目技术、服务、商务和报价要求</w:t>
      </w:r>
    </w:p>
    <w:p>
      <w:pPr>
        <w:widowControl/>
        <w:numPr>
          <w:ilvl w:val="0"/>
          <w:numId w:val="9"/>
        </w:numPr>
        <w:tabs>
          <w:tab w:val="left" w:pos="851"/>
        </w:tabs>
        <w:spacing w:line="360" w:lineRule="auto"/>
        <w:ind w:left="0" w:firstLine="560" w:firstLineChars="200"/>
        <w:jc w:val="left"/>
        <w:outlineLvl w:val="1"/>
        <w:rPr>
          <w:rFonts w:ascii="宋体" w:hAnsi="宋体" w:cs="宋体"/>
          <w:color w:val="auto"/>
          <w:sz w:val="28"/>
          <w:szCs w:val="28"/>
        </w:rPr>
      </w:pPr>
      <w:bookmarkStart w:id="4" w:name="_Toc20851"/>
      <w:bookmarkStart w:id="5" w:name="_Toc9494"/>
      <w:r>
        <w:rPr>
          <w:rFonts w:hint="eastAsia" w:ascii="宋体" w:hAnsi="宋体" w:cs="宋体"/>
          <w:color w:val="auto"/>
          <w:sz w:val="28"/>
          <w:szCs w:val="28"/>
        </w:rPr>
        <w:t>采购内容</w:t>
      </w:r>
      <w:bookmarkEnd w:id="4"/>
      <w:bookmarkEnd w:id="5"/>
    </w:p>
    <w:tbl>
      <w:tblPr>
        <w:tblStyle w:val="41"/>
        <w:tblW w:w="4997" w:type="pct"/>
        <w:tblInd w:w="0" w:type="dxa"/>
        <w:tblLayout w:type="autofit"/>
        <w:tblCellMar>
          <w:top w:w="0" w:type="dxa"/>
          <w:left w:w="108" w:type="dxa"/>
          <w:bottom w:w="0" w:type="dxa"/>
          <w:right w:w="108" w:type="dxa"/>
        </w:tblCellMar>
      </w:tblPr>
      <w:tblGrid>
        <w:gridCol w:w="1106"/>
        <w:gridCol w:w="3095"/>
        <w:gridCol w:w="1499"/>
        <w:gridCol w:w="1861"/>
        <w:gridCol w:w="1861"/>
      </w:tblGrid>
      <w:tr>
        <w:tblPrEx>
          <w:tblCellMar>
            <w:top w:w="0" w:type="dxa"/>
            <w:left w:w="108" w:type="dxa"/>
            <w:bottom w:w="0" w:type="dxa"/>
            <w:right w:w="108" w:type="dxa"/>
          </w:tblCellMar>
        </w:tblPrEx>
        <w:trPr>
          <w:trHeight w:val="681" w:hRule="atLeast"/>
        </w:trPr>
        <w:tc>
          <w:tcPr>
            <w:tcW w:w="587" w:type="pct"/>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cs="宋体"/>
                <w:color w:val="auto"/>
                <w:sz w:val="24"/>
              </w:rPr>
            </w:pPr>
            <w:r>
              <w:rPr>
                <w:rFonts w:hint="eastAsia" w:ascii="宋体" w:hAnsi="宋体" w:cs="宋体"/>
                <w:color w:val="auto"/>
                <w:sz w:val="24"/>
              </w:rPr>
              <w:t>序号</w:t>
            </w:r>
          </w:p>
        </w:tc>
        <w:tc>
          <w:tcPr>
            <w:tcW w:w="1642"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eastAsia="宋体" w:cs="宋体"/>
                <w:color w:val="auto"/>
                <w:sz w:val="24"/>
                <w:lang w:eastAsia="zh-CN"/>
              </w:rPr>
            </w:pPr>
            <w:r>
              <w:rPr>
                <w:rFonts w:hint="eastAsia" w:ascii="宋体" w:hAnsi="宋体" w:cs="宋体"/>
                <w:color w:val="auto"/>
                <w:sz w:val="24"/>
                <w:lang w:eastAsia="zh-CN"/>
              </w:rPr>
              <w:t>标的名称</w:t>
            </w:r>
          </w:p>
        </w:tc>
        <w:tc>
          <w:tcPr>
            <w:tcW w:w="795" w:type="pct"/>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cs="宋体"/>
                <w:color w:val="auto"/>
                <w:sz w:val="24"/>
              </w:rPr>
            </w:pPr>
            <w:r>
              <w:rPr>
                <w:rFonts w:hint="eastAsia" w:ascii="宋体" w:hAnsi="宋体" w:cs="宋体"/>
                <w:color w:val="auto"/>
                <w:sz w:val="24"/>
              </w:rPr>
              <w:t>数量</w:t>
            </w:r>
          </w:p>
        </w:tc>
        <w:tc>
          <w:tcPr>
            <w:tcW w:w="987" w:type="pct"/>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cs="宋体"/>
                <w:color w:val="auto"/>
                <w:sz w:val="24"/>
              </w:rPr>
            </w:pPr>
            <w:r>
              <w:rPr>
                <w:rFonts w:hint="eastAsia" w:ascii="宋体" w:hAnsi="宋体" w:cs="宋体"/>
                <w:color w:val="auto"/>
                <w:sz w:val="24"/>
              </w:rPr>
              <w:t>单位</w:t>
            </w:r>
          </w:p>
        </w:tc>
        <w:tc>
          <w:tcPr>
            <w:tcW w:w="987" w:type="pct"/>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宋体" w:hAnsi="宋体" w:eastAsia="宋体" w:cs="宋体"/>
                <w:color w:val="auto"/>
                <w:sz w:val="24"/>
                <w:lang w:eastAsia="zh-CN"/>
              </w:rPr>
            </w:pPr>
            <w:r>
              <w:rPr>
                <w:rFonts w:hint="eastAsia" w:ascii="宋体" w:hAnsi="宋体" w:cs="宋体"/>
                <w:color w:val="auto"/>
                <w:sz w:val="24"/>
                <w:lang w:eastAsia="zh-CN"/>
              </w:rPr>
              <w:t>所属行业</w:t>
            </w:r>
          </w:p>
        </w:tc>
      </w:tr>
      <w:tr>
        <w:tblPrEx>
          <w:tblCellMar>
            <w:top w:w="0" w:type="dxa"/>
            <w:left w:w="108" w:type="dxa"/>
            <w:bottom w:w="0" w:type="dxa"/>
            <w:right w:w="108" w:type="dxa"/>
          </w:tblCellMar>
        </w:tblPrEx>
        <w:trPr>
          <w:trHeight w:val="528" w:hRule="atLeast"/>
        </w:trPr>
        <w:tc>
          <w:tcPr>
            <w:tcW w:w="5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1</w:t>
            </w:r>
          </w:p>
        </w:tc>
        <w:tc>
          <w:tcPr>
            <w:tcW w:w="1642"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LED显示屏</w:t>
            </w:r>
          </w:p>
        </w:tc>
        <w:tc>
          <w:tcPr>
            <w:tcW w:w="795"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22</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平米</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eastAsia="宋体" w:cs="宋体"/>
                <w:color w:val="auto"/>
                <w:sz w:val="24"/>
                <w:lang w:eastAsia="zh-CN"/>
              </w:rPr>
            </w:pPr>
            <w:r>
              <w:rPr>
                <w:rFonts w:hint="eastAsia" w:ascii="宋体" w:hAnsi="宋体" w:cs="宋体"/>
                <w:color w:val="auto"/>
                <w:sz w:val="24"/>
                <w:lang w:eastAsia="zh-CN"/>
              </w:rPr>
              <w:t>工业</w:t>
            </w:r>
          </w:p>
        </w:tc>
      </w:tr>
      <w:tr>
        <w:tblPrEx>
          <w:tblCellMar>
            <w:top w:w="0" w:type="dxa"/>
            <w:left w:w="108" w:type="dxa"/>
            <w:bottom w:w="0" w:type="dxa"/>
            <w:right w:w="108" w:type="dxa"/>
          </w:tblCellMar>
        </w:tblPrEx>
        <w:trPr>
          <w:trHeight w:val="528" w:hRule="atLeast"/>
        </w:trPr>
        <w:tc>
          <w:tcPr>
            <w:tcW w:w="5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2</w:t>
            </w:r>
          </w:p>
        </w:tc>
        <w:tc>
          <w:tcPr>
            <w:tcW w:w="1642"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多功能电源</w:t>
            </w:r>
          </w:p>
          <w:p>
            <w:pPr>
              <w:spacing w:line="400" w:lineRule="exact"/>
              <w:jc w:val="center"/>
              <w:rPr>
                <w:rFonts w:ascii="宋体" w:hAnsi="宋体" w:cs="宋体"/>
                <w:color w:val="auto"/>
                <w:sz w:val="24"/>
              </w:rPr>
            </w:pPr>
            <w:r>
              <w:rPr>
                <w:rFonts w:hint="eastAsia" w:ascii="宋体" w:hAnsi="宋体" w:cs="宋体"/>
                <w:color w:val="auto"/>
                <w:sz w:val="24"/>
              </w:rPr>
              <w:t>（控制系统与电源二合一）</w:t>
            </w:r>
          </w:p>
        </w:tc>
        <w:tc>
          <w:tcPr>
            <w:tcW w:w="795"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80</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块</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cs="宋体"/>
                <w:color w:val="auto"/>
                <w:sz w:val="24"/>
              </w:rPr>
            </w:pPr>
            <w:r>
              <w:rPr>
                <w:rFonts w:hint="eastAsia" w:ascii="宋体" w:hAnsi="宋体" w:cs="宋体"/>
                <w:color w:val="auto"/>
                <w:sz w:val="24"/>
                <w:lang w:eastAsia="zh-CN"/>
              </w:rPr>
              <w:t>工业</w:t>
            </w:r>
          </w:p>
        </w:tc>
      </w:tr>
      <w:tr>
        <w:tblPrEx>
          <w:tblCellMar>
            <w:top w:w="0" w:type="dxa"/>
            <w:left w:w="108" w:type="dxa"/>
            <w:bottom w:w="0" w:type="dxa"/>
            <w:right w:w="108" w:type="dxa"/>
          </w:tblCellMar>
        </w:tblPrEx>
        <w:trPr>
          <w:trHeight w:val="528" w:hRule="atLeast"/>
        </w:trPr>
        <w:tc>
          <w:tcPr>
            <w:tcW w:w="5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3</w:t>
            </w:r>
          </w:p>
        </w:tc>
        <w:tc>
          <w:tcPr>
            <w:tcW w:w="1642"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视频控制器</w:t>
            </w:r>
          </w:p>
        </w:tc>
        <w:tc>
          <w:tcPr>
            <w:tcW w:w="795"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1</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台</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cs="宋体"/>
                <w:color w:val="auto"/>
                <w:sz w:val="24"/>
              </w:rPr>
            </w:pPr>
            <w:r>
              <w:rPr>
                <w:rFonts w:hint="eastAsia" w:ascii="宋体" w:hAnsi="宋体" w:cs="宋体"/>
                <w:color w:val="auto"/>
                <w:sz w:val="24"/>
                <w:lang w:eastAsia="zh-CN"/>
              </w:rPr>
              <w:t>工业</w:t>
            </w:r>
          </w:p>
        </w:tc>
      </w:tr>
      <w:tr>
        <w:tblPrEx>
          <w:tblCellMar>
            <w:top w:w="0" w:type="dxa"/>
            <w:left w:w="108" w:type="dxa"/>
            <w:bottom w:w="0" w:type="dxa"/>
            <w:right w:w="108" w:type="dxa"/>
          </w:tblCellMar>
        </w:tblPrEx>
        <w:trPr>
          <w:trHeight w:val="528" w:hRule="atLeast"/>
        </w:trPr>
        <w:tc>
          <w:tcPr>
            <w:tcW w:w="5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4</w:t>
            </w:r>
          </w:p>
        </w:tc>
        <w:tc>
          <w:tcPr>
            <w:tcW w:w="1642"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系统软件</w:t>
            </w:r>
          </w:p>
        </w:tc>
        <w:tc>
          <w:tcPr>
            <w:tcW w:w="795"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1</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套</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eastAsia="宋体" w:cs="宋体"/>
                <w:color w:val="auto"/>
                <w:sz w:val="24"/>
                <w:lang w:eastAsia="zh-CN"/>
              </w:rPr>
            </w:pPr>
            <w:r>
              <w:rPr>
                <w:rFonts w:hint="eastAsia" w:ascii="宋体" w:hAnsi="宋体" w:cs="宋体"/>
                <w:color w:val="auto"/>
                <w:sz w:val="24"/>
                <w:lang w:eastAsia="zh-CN"/>
              </w:rPr>
              <w:t>软件和信息技术服务业</w:t>
            </w:r>
          </w:p>
        </w:tc>
      </w:tr>
      <w:tr>
        <w:tblPrEx>
          <w:tblCellMar>
            <w:top w:w="0" w:type="dxa"/>
            <w:left w:w="108" w:type="dxa"/>
            <w:bottom w:w="0" w:type="dxa"/>
            <w:right w:w="108" w:type="dxa"/>
          </w:tblCellMar>
        </w:tblPrEx>
        <w:trPr>
          <w:trHeight w:val="528" w:hRule="atLeast"/>
        </w:trPr>
        <w:tc>
          <w:tcPr>
            <w:tcW w:w="5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5</w:t>
            </w:r>
          </w:p>
        </w:tc>
        <w:tc>
          <w:tcPr>
            <w:tcW w:w="1642"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钢结构</w:t>
            </w:r>
          </w:p>
        </w:tc>
        <w:tc>
          <w:tcPr>
            <w:tcW w:w="795"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22</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平米</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cs="宋体"/>
                <w:color w:val="auto"/>
                <w:sz w:val="24"/>
              </w:rPr>
            </w:pPr>
            <w:r>
              <w:rPr>
                <w:rFonts w:hint="eastAsia" w:ascii="宋体" w:hAnsi="宋体" w:cs="宋体"/>
                <w:color w:val="auto"/>
                <w:sz w:val="24"/>
                <w:lang w:eastAsia="zh-CN"/>
              </w:rPr>
              <w:t>工业</w:t>
            </w:r>
          </w:p>
        </w:tc>
      </w:tr>
    </w:tbl>
    <w:p>
      <w:pPr>
        <w:tabs>
          <w:tab w:val="left" w:pos="851"/>
        </w:tabs>
        <w:spacing w:line="360" w:lineRule="auto"/>
        <w:ind w:firstLine="560" w:firstLineChars="200"/>
        <w:jc w:val="center"/>
        <w:rPr>
          <w:rFonts w:ascii="宋体" w:hAnsi="宋体" w:cs="宋体"/>
          <w:color w:val="auto"/>
          <w:sz w:val="28"/>
          <w:szCs w:val="28"/>
        </w:rPr>
      </w:pPr>
      <w:r>
        <w:rPr>
          <w:rFonts w:hint="eastAsia" w:ascii="宋体" w:hAnsi="宋体" w:cs="宋体"/>
          <w:color w:val="auto"/>
          <w:sz w:val="28"/>
          <w:szCs w:val="28"/>
        </w:rPr>
        <w:t>具体采购内容见谈判文件 “第4章项目技术、服务、商务及其他要求”。</w:t>
      </w:r>
    </w:p>
    <w:p>
      <w:pPr>
        <w:widowControl/>
        <w:numPr>
          <w:ilvl w:val="0"/>
          <w:numId w:val="9"/>
        </w:numPr>
        <w:tabs>
          <w:tab w:val="left" w:pos="851"/>
        </w:tabs>
        <w:spacing w:line="360" w:lineRule="auto"/>
        <w:ind w:left="0" w:firstLine="560" w:firstLineChars="200"/>
        <w:jc w:val="left"/>
        <w:outlineLvl w:val="1"/>
        <w:rPr>
          <w:rFonts w:ascii="宋体" w:hAnsi="宋体" w:cs="宋体"/>
          <w:color w:val="auto"/>
          <w:sz w:val="28"/>
          <w:szCs w:val="28"/>
        </w:rPr>
      </w:pPr>
      <w:bookmarkStart w:id="6" w:name="_Toc32051"/>
      <w:bookmarkStart w:id="7" w:name="_Toc25805"/>
      <w:r>
        <w:rPr>
          <w:rFonts w:hint="eastAsia" w:ascii="宋体" w:hAnsi="宋体" w:cs="宋体"/>
          <w:color w:val="auto"/>
          <w:sz w:val="28"/>
          <w:szCs w:val="28"/>
        </w:rPr>
        <w:t>技术、服务要求</w:t>
      </w:r>
      <w:bookmarkEnd w:id="6"/>
      <w:bookmarkEnd w:id="7"/>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见谈判文件 “第4章项目技术、服务、商务及其他要求”。</w:t>
      </w:r>
    </w:p>
    <w:p>
      <w:pPr>
        <w:widowControl/>
        <w:numPr>
          <w:ilvl w:val="0"/>
          <w:numId w:val="9"/>
        </w:numPr>
        <w:tabs>
          <w:tab w:val="left" w:pos="851"/>
        </w:tabs>
        <w:spacing w:line="360" w:lineRule="auto"/>
        <w:ind w:left="0" w:firstLine="560" w:firstLineChars="200"/>
        <w:jc w:val="left"/>
        <w:outlineLvl w:val="1"/>
        <w:rPr>
          <w:rFonts w:ascii="宋体" w:hAnsi="宋体" w:cs="宋体"/>
          <w:color w:val="auto"/>
          <w:sz w:val="28"/>
          <w:szCs w:val="28"/>
        </w:rPr>
      </w:pPr>
      <w:bookmarkStart w:id="8" w:name="_Toc1290"/>
      <w:bookmarkStart w:id="9" w:name="_Toc20004"/>
      <w:r>
        <w:rPr>
          <w:rFonts w:hint="eastAsia" w:ascii="宋体" w:hAnsi="宋体" w:cs="宋体"/>
          <w:color w:val="auto"/>
          <w:sz w:val="28"/>
          <w:szCs w:val="28"/>
        </w:rPr>
        <w:t>报价要求</w:t>
      </w:r>
      <w:bookmarkEnd w:id="8"/>
      <w:bookmarkEnd w:id="9"/>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供应商按谈判文件要求进行报价。</w:t>
      </w:r>
    </w:p>
    <w:p>
      <w:pPr>
        <w:widowControl/>
        <w:numPr>
          <w:ilvl w:val="0"/>
          <w:numId w:val="7"/>
        </w:numPr>
        <w:spacing w:line="360" w:lineRule="auto"/>
        <w:ind w:left="0" w:firstLine="562" w:firstLineChars="200"/>
        <w:rPr>
          <w:rFonts w:ascii="宋体" w:hAnsi="宋体" w:cs="宋体"/>
          <w:color w:val="auto"/>
          <w:sz w:val="28"/>
          <w:szCs w:val="28"/>
        </w:rPr>
      </w:pPr>
      <w:r>
        <w:rPr>
          <w:rFonts w:hint="eastAsia" w:ascii="宋体" w:hAnsi="宋体" w:cs="宋体"/>
          <w:b/>
          <w:bCs/>
          <w:color w:val="auto"/>
          <w:sz w:val="28"/>
          <w:szCs w:val="28"/>
        </w:rPr>
        <w:t>谈判</w:t>
      </w:r>
      <w:r>
        <w:rPr>
          <w:rFonts w:hint="eastAsia" w:ascii="宋体" w:hAnsi="宋体" w:cs="宋体"/>
          <w:b/>
          <w:color w:val="auto"/>
          <w:sz w:val="28"/>
          <w:szCs w:val="28"/>
        </w:rPr>
        <w:t>文件获取时间</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（一）谈判文件获取时间：</w:t>
      </w:r>
      <w:r>
        <w:rPr>
          <w:rFonts w:hint="eastAsia" w:ascii="宋体" w:hAnsi="宋体" w:cs="宋体"/>
          <w:color w:val="auto"/>
          <w:sz w:val="28"/>
          <w:szCs w:val="28"/>
          <w:lang w:val="en-US" w:eastAsia="zh-CN"/>
        </w:rPr>
        <w:t>2</w:t>
      </w:r>
      <w:r>
        <w:rPr>
          <w:rFonts w:hint="eastAsia" w:ascii="宋体" w:hAnsi="宋体" w:cs="宋体"/>
          <w:color w:val="auto"/>
          <w:sz w:val="28"/>
          <w:szCs w:val="28"/>
        </w:rPr>
        <w:t>02</w:t>
      </w:r>
      <w:r>
        <w:rPr>
          <w:rFonts w:hint="eastAsia" w:ascii="宋体" w:hAnsi="宋体" w:cs="宋体"/>
          <w:color w:val="auto"/>
          <w:sz w:val="28"/>
          <w:szCs w:val="28"/>
          <w:lang w:val="en-US" w:eastAsia="zh-CN"/>
        </w:rPr>
        <w:t>1</w:t>
      </w:r>
      <w:r>
        <w:rPr>
          <w:rFonts w:hint="eastAsia" w:ascii="宋体" w:hAnsi="宋体" w:cs="宋体"/>
          <w:color w:val="auto"/>
          <w:sz w:val="28"/>
          <w:szCs w:val="28"/>
        </w:rPr>
        <w:t>年</w:t>
      </w:r>
      <w:r>
        <w:rPr>
          <w:rFonts w:hint="eastAsia" w:ascii="宋体" w:hAnsi="宋体" w:cs="宋体"/>
          <w:color w:val="auto"/>
          <w:sz w:val="28"/>
          <w:szCs w:val="28"/>
          <w:lang w:val="en-US" w:eastAsia="zh-CN"/>
        </w:rPr>
        <w:t>11</w:t>
      </w:r>
      <w:r>
        <w:rPr>
          <w:rFonts w:hint="eastAsia" w:ascii="宋体" w:hAnsi="宋体" w:cs="宋体"/>
          <w:color w:val="auto"/>
          <w:sz w:val="28"/>
          <w:szCs w:val="28"/>
        </w:rPr>
        <w:t>月</w:t>
      </w:r>
      <w:r>
        <w:rPr>
          <w:rFonts w:hint="eastAsia" w:ascii="宋体" w:hAnsi="宋体" w:cs="宋体"/>
          <w:color w:val="auto"/>
          <w:sz w:val="28"/>
          <w:szCs w:val="28"/>
          <w:lang w:val="en-US" w:eastAsia="zh-CN"/>
        </w:rPr>
        <w:t>19</w:t>
      </w:r>
      <w:r>
        <w:rPr>
          <w:rFonts w:hint="eastAsia" w:ascii="宋体" w:hAnsi="宋体" w:cs="宋体"/>
          <w:color w:val="auto"/>
          <w:sz w:val="28"/>
          <w:szCs w:val="28"/>
        </w:rPr>
        <w:t>日</w:t>
      </w:r>
      <w:r>
        <w:rPr>
          <w:rFonts w:hint="eastAsia" w:ascii="宋体" w:hAnsi="宋体" w:cs="宋体"/>
          <w:color w:val="auto"/>
          <w:sz w:val="28"/>
          <w:szCs w:val="28"/>
          <w:lang w:val="en-US" w:eastAsia="zh-CN"/>
        </w:rPr>
        <w:t>00:00</w:t>
      </w:r>
      <w:r>
        <w:rPr>
          <w:rFonts w:hint="eastAsia" w:ascii="宋体" w:hAnsi="宋体" w:cs="宋体"/>
          <w:color w:val="auto"/>
          <w:sz w:val="28"/>
          <w:szCs w:val="28"/>
        </w:rPr>
        <w:t>至</w:t>
      </w:r>
      <w:r>
        <w:rPr>
          <w:rFonts w:hint="eastAsia" w:ascii="宋体" w:hAnsi="宋体" w:cs="宋体"/>
          <w:color w:val="auto"/>
          <w:sz w:val="28"/>
          <w:szCs w:val="28"/>
          <w:lang w:val="en-US" w:eastAsia="zh-CN"/>
        </w:rPr>
        <w:t>11</w:t>
      </w:r>
      <w:r>
        <w:rPr>
          <w:rFonts w:hint="eastAsia" w:ascii="宋体" w:hAnsi="宋体" w:cs="宋体"/>
          <w:color w:val="auto"/>
          <w:sz w:val="28"/>
          <w:szCs w:val="28"/>
        </w:rPr>
        <w:t>月</w:t>
      </w:r>
      <w:r>
        <w:rPr>
          <w:rFonts w:hint="eastAsia" w:ascii="宋体" w:hAnsi="宋体" w:cs="宋体"/>
          <w:color w:val="auto"/>
          <w:sz w:val="28"/>
          <w:szCs w:val="28"/>
          <w:lang w:val="en-US" w:eastAsia="zh-CN"/>
        </w:rPr>
        <w:t>23</w:t>
      </w:r>
      <w:r>
        <w:rPr>
          <w:rFonts w:hint="eastAsia" w:ascii="宋体" w:hAnsi="宋体" w:cs="宋体"/>
          <w:color w:val="auto"/>
          <w:sz w:val="28"/>
          <w:szCs w:val="28"/>
        </w:rPr>
        <w:t>日。</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（二）公告期限：202</w:t>
      </w:r>
      <w:r>
        <w:rPr>
          <w:rFonts w:hint="eastAsia" w:ascii="宋体" w:hAnsi="宋体" w:cs="宋体"/>
          <w:color w:val="auto"/>
          <w:sz w:val="28"/>
          <w:szCs w:val="28"/>
          <w:lang w:val="en-US" w:eastAsia="zh-CN"/>
        </w:rPr>
        <w:t>1</w:t>
      </w:r>
      <w:r>
        <w:rPr>
          <w:rFonts w:hint="eastAsia" w:ascii="宋体" w:hAnsi="宋体" w:cs="宋体"/>
          <w:color w:val="auto"/>
          <w:sz w:val="28"/>
          <w:szCs w:val="28"/>
        </w:rPr>
        <w:t>年</w:t>
      </w:r>
      <w:r>
        <w:rPr>
          <w:rFonts w:hint="eastAsia" w:ascii="宋体" w:hAnsi="宋体" w:cs="宋体"/>
          <w:color w:val="auto"/>
          <w:sz w:val="28"/>
          <w:szCs w:val="28"/>
          <w:lang w:val="en-US" w:eastAsia="zh-CN"/>
        </w:rPr>
        <w:t>11</w:t>
      </w:r>
      <w:r>
        <w:rPr>
          <w:rFonts w:hint="eastAsia" w:ascii="宋体" w:hAnsi="宋体" w:cs="宋体"/>
          <w:color w:val="auto"/>
          <w:sz w:val="28"/>
          <w:szCs w:val="28"/>
        </w:rPr>
        <w:t>月</w:t>
      </w:r>
      <w:r>
        <w:rPr>
          <w:rFonts w:hint="eastAsia" w:ascii="宋体" w:hAnsi="宋体" w:cs="宋体"/>
          <w:color w:val="auto"/>
          <w:sz w:val="28"/>
          <w:szCs w:val="28"/>
          <w:lang w:val="en-US" w:eastAsia="zh-CN"/>
        </w:rPr>
        <w:t>19</w:t>
      </w:r>
      <w:r>
        <w:rPr>
          <w:rFonts w:hint="eastAsia" w:ascii="宋体" w:hAnsi="宋体" w:cs="宋体"/>
          <w:color w:val="auto"/>
          <w:sz w:val="28"/>
          <w:szCs w:val="28"/>
        </w:rPr>
        <w:t>日至</w:t>
      </w:r>
      <w:r>
        <w:rPr>
          <w:rFonts w:hint="eastAsia" w:ascii="宋体" w:hAnsi="宋体" w:cs="宋体"/>
          <w:color w:val="auto"/>
          <w:sz w:val="28"/>
          <w:szCs w:val="28"/>
          <w:lang w:val="en-US" w:eastAsia="zh-CN"/>
        </w:rPr>
        <w:t>11</w:t>
      </w:r>
      <w:r>
        <w:rPr>
          <w:rFonts w:hint="eastAsia" w:ascii="宋体" w:hAnsi="宋体" w:cs="宋体"/>
          <w:color w:val="auto"/>
          <w:sz w:val="28"/>
          <w:szCs w:val="28"/>
        </w:rPr>
        <w:t>月</w:t>
      </w:r>
      <w:r>
        <w:rPr>
          <w:rFonts w:hint="eastAsia" w:ascii="宋体" w:hAnsi="宋体" w:cs="宋体"/>
          <w:color w:val="auto"/>
          <w:sz w:val="28"/>
          <w:szCs w:val="28"/>
          <w:lang w:val="en-US" w:eastAsia="zh-CN"/>
        </w:rPr>
        <w:t>23</w:t>
      </w:r>
      <w:r>
        <w:rPr>
          <w:rFonts w:hint="eastAsia" w:ascii="宋体" w:hAnsi="宋体" w:cs="宋体"/>
          <w:color w:val="auto"/>
          <w:sz w:val="28"/>
          <w:szCs w:val="28"/>
        </w:rPr>
        <w:t>日。</w:t>
      </w:r>
    </w:p>
    <w:p>
      <w:pPr>
        <w:widowControl/>
        <w:numPr>
          <w:ilvl w:val="0"/>
          <w:numId w:val="7"/>
        </w:numPr>
        <w:spacing w:line="360" w:lineRule="auto"/>
        <w:ind w:left="0" w:firstLine="562" w:firstLineChars="200"/>
        <w:rPr>
          <w:rFonts w:ascii="宋体" w:hAnsi="宋体" w:cs="宋体"/>
          <w:b/>
          <w:color w:val="auto"/>
          <w:sz w:val="28"/>
        </w:rPr>
      </w:pPr>
      <w:r>
        <w:rPr>
          <w:rFonts w:hint="eastAsia" w:ascii="宋体" w:hAnsi="宋体" w:cs="宋体"/>
          <w:b/>
          <w:bCs/>
          <w:color w:val="auto"/>
          <w:sz w:val="28"/>
          <w:szCs w:val="28"/>
        </w:rPr>
        <w:t>谈判</w:t>
      </w:r>
      <w:r>
        <w:rPr>
          <w:rFonts w:hint="eastAsia" w:ascii="宋体" w:hAnsi="宋体" w:cs="宋体"/>
          <w:b/>
          <w:color w:val="auto"/>
          <w:sz w:val="28"/>
        </w:rPr>
        <w:t>文件获取方式</w:t>
      </w:r>
    </w:p>
    <w:p>
      <w:pPr>
        <w:tabs>
          <w:tab w:val="left" w:pos="1134"/>
        </w:tabs>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供应商要参加谈判，应在成都市公共资源交易服务中心“政府采购云平台”获取采购文件。登录成都市公共资源交易服务中心门户网站（https://www.cdggzy.com/）—用户中心—政府采购云平台—项目采购—获取采购文件—申请获取采购文件。</w:t>
      </w:r>
    </w:p>
    <w:p>
      <w:pPr>
        <w:tabs>
          <w:tab w:val="left" w:pos="1134"/>
        </w:tabs>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提示：</w:t>
      </w:r>
    </w:p>
    <w:p>
      <w:pPr>
        <w:tabs>
          <w:tab w:val="left" w:pos="1134"/>
        </w:tabs>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（1）本项目采购文件免费获取。</w:t>
      </w:r>
    </w:p>
    <w:p>
      <w:pPr>
        <w:tabs>
          <w:tab w:val="left" w:pos="1134"/>
        </w:tabs>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2）本项目为电子采购项目，供应商参与本项目全过程中凡涉及系统操作请详见《成都市全流程电子化采购系统操作指南——供应商版》（操作指南请登陆政府采购云平台后，点击“前台大厅—操作指南—供应商”处下载查看）。</w:t>
      </w:r>
    </w:p>
    <w:p>
      <w:pPr>
        <w:pStyle w:val="284"/>
        <w:spacing w:line="360" w:lineRule="auto"/>
        <w:ind w:firstLine="560"/>
        <w:jc w:val="left"/>
        <w:rPr>
          <w:rFonts w:ascii="宋体" w:hAnsi="宋体" w:cs="宋体"/>
          <w:color w:val="auto"/>
          <w:sz w:val="28"/>
          <w:szCs w:val="28"/>
        </w:rPr>
      </w:pPr>
      <w:r>
        <w:rPr>
          <w:rFonts w:hint="eastAsia" w:ascii="宋体" w:hAnsi="宋体" w:cs="宋体"/>
          <w:color w:val="auto"/>
          <w:sz w:val="28"/>
          <w:szCs w:val="28"/>
        </w:rPr>
        <w:t>（3）咨询电话：028-86360238。</w:t>
      </w:r>
    </w:p>
    <w:p>
      <w:pPr>
        <w:widowControl/>
        <w:numPr>
          <w:ilvl w:val="0"/>
          <w:numId w:val="7"/>
        </w:numPr>
        <w:spacing w:line="360" w:lineRule="auto"/>
        <w:ind w:left="0" w:firstLine="562" w:firstLineChars="200"/>
        <w:rPr>
          <w:rFonts w:ascii="宋体" w:hAnsi="宋体" w:cs="宋体"/>
          <w:color w:val="auto"/>
          <w:sz w:val="28"/>
          <w:szCs w:val="28"/>
        </w:rPr>
      </w:pPr>
      <w:r>
        <w:rPr>
          <w:rFonts w:hint="eastAsia" w:ascii="宋体" w:hAnsi="宋体" w:cs="宋体"/>
          <w:b/>
          <w:color w:val="auto"/>
          <w:sz w:val="28"/>
          <w:szCs w:val="28"/>
        </w:rPr>
        <w:t>谈判文件获取地点</w:t>
      </w:r>
      <w:r>
        <w:rPr>
          <w:rFonts w:hint="eastAsia" w:ascii="宋体" w:hAnsi="宋体" w:cs="宋体"/>
          <w:color w:val="auto"/>
          <w:sz w:val="28"/>
          <w:szCs w:val="28"/>
        </w:rPr>
        <w:t>：登录政府采购云平台（www.zcygov.cn）获取。</w:t>
      </w:r>
    </w:p>
    <w:p>
      <w:pPr>
        <w:widowControl/>
        <w:numPr>
          <w:ilvl w:val="0"/>
          <w:numId w:val="7"/>
        </w:numPr>
        <w:spacing w:line="360" w:lineRule="auto"/>
        <w:ind w:left="0" w:firstLine="562" w:firstLineChars="200"/>
        <w:rPr>
          <w:rFonts w:ascii="宋体" w:hAnsi="宋体" w:cs="宋体"/>
          <w:color w:val="auto"/>
          <w:sz w:val="28"/>
          <w:szCs w:val="28"/>
        </w:rPr>
      </w:pPr>
      <w:r>
        <w:rPr>
          <w:rFonts w:hint="eastAsia" w:ascii="宋体" w:hAnsi="宋体" w:cs="宋体"/>
          <w:b/>
          <w:color w:val="auto"/>
          <w:sz w:val="28"/>
          <w:szCs w:val="28"/>
        </w:rPr>
        <w:t>首次响应文件提交截止时间、方式及开启时间（北京时间）</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（一）首次响应文件提交截止时间及开启时间：202</w:t>
      </w:r>
      <w:r>
        <w:rPr>
          <w:rFonts w:hint="eastAsia" w:ascii="宋体" w:hAnsi="宋体" w:cs="宋体"/>
          <w:color w:val="auto"/>
          <w:sz w:val="28"/>
          <w:szCs w:val="28"/>
          <w:lang w:val="en-US" w:eastAsia="zh-CN"/>
        </w:rPr>
        <w:t>1</w:t>
      </w:r>
      <w:r>
        <w:rPr>
          <w:rFonts w:hint="eastAsia" w:ascii="宋体" w:hAnsi="宋体" w:cs="宋体"/>
          <w:color w:val="auto"/>
          <w:sz w:val="28"/>
          <w:szCs w:val="28"/>
        </w:rPr>
        <w:t>年</w:t>
      </w:r>
      <w:r>
        <w:rPr>
          <w:rFonts w:hint="eastAsia" w:ascii="宋体" w:hAnsi="宋体" w:cs="宋体"/>
          <w:color w:val="auto"/>
          <w:sz w:val="28"/>
          <w:szCs w:val="28"/>
          <w:lang w:val="en-US" w:eastAsia="zh-CN"/>
        </w:rPr>
        <w:t>11</w:t>
      </w:r>
      <w:r>
        <w:rPr>
          <w:rFonts w:hint="eastAsia" w:ascii="宋体" w:hAnsi="宋体" w:cs="宋体"/>
          <w:color w:val="auto"/>
          <w:sz w:val="28"/>
          <w:szCs w:val="28"/>
        </w:rPr>
        <w:t>月</w:t>
      </w:r>
      <w:r>
        <w:rPr>
          <w:rFonts w:hint="eastAsia" w:ascii="宋体" w:hAnsi="宋体" w:cs="宋体"/>
          <w:color w:val="auto"/>
          <w:sz w:val="28"/>
          <w:szCs w:val="28"/>
          <w:lang w:val="en-US" w:eastAsia="zh-CN"/>
        </w:rPr>
        <w:t>24</w:t>
      </w:r>
      <w:r>
        <w:rPr>
          <w:rFonts w:hint="eastAsia" w:ascii="宋体" w:hAnsi="宋体" w:cs="宋体"/>
          <w:color w:val="auto"/>
          <w:sz w:val="28"/>
          <w:szCs w:val="28"/>
        </w:rPr>
        <w:t>日上午9:30。</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（二）首次响应文件提交方式、地点：提交截止时间前，供应商应将加密的首次响应文件提交至“政府采购云平台” （www.zcygov.cn）对应项目（包件）。</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本项目只接受供应商加密并提交至“政府采购云平台” （www.zcygov.cn）的响应文件。</w:t>
      </w:r>
    </w:p>
    <w:p>
      <w:pPr>
        <w:widowControl/>
        <w:numPr>
          <w:ilvl w:val="0"/>
          <w:numId w:val="7"/>
        </w:numPr>
        <w:spacing w:line="360" w:lineRule="auto"/>
        <w:ind w:left="0" w:firstLine="562" w:firstLineChars="200"/>
        <w:rPr>
          <w:rFonts w:ascii="宋体" w:hAnsi="宋体" w:cs="宋体"/>
          <w:color w:val="auto"/>
          <w:sz w:val="28"/>
          <w:szCs w:val="28"/>
        </w:rPr>
      </w:pPr>
      <w:r>
        <w:rPr>
          <w:rFonts w:hint="eastAsia" w:ascii="宋体" w:hAnsi="宋体" w:cs="宋体"/>
          <w:b/>
          <w:color w:val="auto"/>
          <w:sz w:val="28"/>
          <w:szCs w:val="28"/>
        </w:rPr>
        <w:t>提交响应文件地点及谈判地点</w:t>
      </w:r>
    </w:p>
    <w:p>
      <w:pPr>
        <w:widowControl/>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本项目为不见面谈判。</w:t>
      </w:r>
    </w:p>
    <w:p>
      <w:pPr>
        <w:widowControl/>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谈判地点：政府采购云平台开标大厅。</w:t>
      </w:r>
    </w:p>
    <w:p>
      <w:pPr>
        <w:widowControl/>
        <w:numPr>
          <w:ilvl w:val="0"/>
          <w:numId w:val="7"/>
        </w:numPr>
        <w:spacing w:line="360" w:lineRule="auto"/>
        <w:ind w:left="0" w:firstLine="562" w:firstLineChars="200"/>
        <w:rPr>
          <w:rFonts w:ascii="宋体" w:hAnsi="宋体" w:cs="宋体"/>
          <w:b/>
          <w:color w:val="auto"/>
          <w:sz w:val="28"/>
          <w:szCs w:val="28"/>
        </w:rPr>
      </w:pPr>
      <w:r>
        <w:rPr>
          <w:rFonts w:hint="eastAsia" w:ascii="宋体" w:hAnsi="宋体" w:cs="宋体"/>
          <w:b/>
          <w:color w:val="auto"/>
          <w:sz w:val="28"/>
          <w:szCs w:val="28"/>
        </w:rPr>
        <w:t>政府采购合同信用融资</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本项目支持成交中小企业凭借政府采购合同向相关金融机构申请信用融资。具体内容详见谈判文件附件《成都市财政局 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w:t>
      </w:r>
    </w:p>
    <w:p>
      <w:pPr>
        <w:widowControl/>
        <w:numPr>
          <w:ilvl w:val="0"/>
          <w:numId w:val="7"/>
        </w:numPr>
        <w:spacing w:line="360" w:lineRule="auto"/>
        <w:ind w:left="0" w:firstLine="562" w:firstLineChars="200"/>
        <w:rPr>
          <w:rFonts w:ascii="宋体" w:hAnsi="宋体" w:cs="宋体"/>
          <w:b/>
          <w:color w:val="auto"/>
          <w:sz w:val="28"/>
          <w:szCs w:val="28"/>
        </w:rPr>
      </w:pPr>
      <w:r>
        <w:rPr>
          <w:rFonts w:hint="eastAsia" w:ascii="宋体" w:hAnsi="宋体" w:cs="宋体"/>
          <w:b/>
          <w:color w:val="auto"/>
          <w:sz w:val="28"/>
          <w:szCs w:val="28"/>
        </w:rPr>
        <w:t>联系人及联系电话</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采购人：成都东部新区贾家初级中学</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地  址：成都市东部新区中心西路275号</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邮编：6</w:t>
      </w:r>
      <w:r>
        <w:rPr>
          <w:rFonts w:ascii="宋体" w:hAnsi="宋体" w:cs="宋体"/>
          <w:color w:val="auto"/>
          <w:sz w:val="28"/>
          <w:szCs w:val="28"/>
        </w:rPr>
        <w:t>414</w:t>
      </w:r>
      <w:r>
        <w:rPr>
          <w:rFonts w:hint="eastAsia" w:ascii="宋体" w:hAnsi="宋体" w:cs="宋体"/>
          <w:color w:val="auto"/>
          <w:sz w:val="28"/>
          <w:szCs w:val="28"/>
        </w:rPr>
        <w:t>00</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联系人：</w:t>
      </w:r>
      <w:r>
        <w:rPr>
          <w:rFonts w:hint="eastAsia" w:ascii="宋体" w:hAnsi="宋体" w:cs="宋体"/>
          <w:color w:val="auto"/>
          <w:sz w:val="28"/>
          <w:szCs w:val="28"/>
          <w:lang w:val="en-US" w:eastAsia="zh-CN"/>
        </w:rPr>
        <w:t>付彬</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联系电话：028-27829918</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集中采购机构：成都东部新区党工委管委会（成都市东部新城办）综合部</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地  址：成都东部新区三岔街道板桥村2组166号东部新区市民中心</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邮  编：641400</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联系人：张诗卉</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联系电话：028-86360238</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政府采购监督机构：成都东部新区党工委管委会(成都市东部新城办)财政金融局</w:t>
      </w:r>
    </w:p>
    <w:p>
      <w:pPr>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地 址：成都东部新区三岔街道板桥村2组166号东部新区市民中心</w:t>
      </w:r>
    </w:p>
    <w:p>
      <w:pPr>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邮</w:t>
      </w:r>
      <w:r>
        <w:rPr>
          <w:rFonts w:hint="eastAsia" w:ascii="宋体" w:hAnsi="宋体" w:cs="宋体"/>
          <w:color w:val="auto"/>
          <w:sz w:val="28"/>
          <w:szCs w:val="28"/>
        </w:rPr>
        <w:tab/>
      </w:r>
      <w:r>
        <w:rPr>
          <w:rFonts w:hint="eastAsia" w:ascii="宋体" w:hAnsi="宋体" w:cs="宋体"/>
          <w:color w:val="auto"/>
          <w:sz w:val="28"/>
          <w:szCs w:val="28"/>
        </w:rPr>
        <w:t>编：641400</w:t>
      </w:r>
    </w:p>
    <w:p>
      <w:pPr>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联系人：温全</w:t>
      </w:r>
    </w:p>
    <w:p>
      <w:pPr>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联系电话：028-86360129</w:t>
      </w:r>
    </w:p>
    <w:p>
      <w:pPr>
        <w:pStyle w:val="2"/>
        <w:rPr>
          <w:rFonts w:ascii="宋体" w:hAnsi="宋体" w:cs="宋体"/>
          <w:color w:val="auto"/>
          <w:sz w:val="28"/>
          <w:szCs w:val="28"/>
        </w:rPr>
      </w:pPr>
    </w:p>
    <w:p>
      <w:pPr>
        <w:spacing w:line="360" w:lineRule="auto"/>
        <w:ind w:firstLine="562" w:firstLineChars="200"/>
        <w:rPr>
          <w:rFonts w:hint="eastAsia" w:ascii="宋体" w:hAnsi="宋体" w:cs="宋体"/>
          <w:b/>
          <w:bCs/>
          <w:color w:val="auto"/>
          <w:sz w:val="28"/>
          <w:szCs w:val="28"/>
        </w:rPr>
      </w:pPr>
      <w:r>
        <w:rPr>
          <w:rFonts w:hint="eastAsia" w:ascii="宋体" w:hAnsi="宋体" w:cs="宋体"/>
          <w:b/>
          <w:bCs/>
          <w:color w:val="auto"/>
          <w:sz w:val="28"/>
          <w:szCs w:val="28"/>
        </w:rPr>
        <w:t>政府采购云平台技术支持：</w:t>
      </w:r>
    </w:p>
    <w:p>
      <w:pPr>
        <w:numPr>
          <w:ilvl w:val="0"/>
          <w:numId w:val="10"/>
        </w:num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钉钉群号：34165101；如遇钉钉群满，请加钉钉群号：33782435（注：只加其中一个即可）。</w:t>
      </w:r>
    </w:p>
    <w:p>
      <w:pPr>
        <w:numPr>
          <w:ilvl w:val="0"/>
          <w:numId w:val="0"/>
        </w:num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（2）统一热线电话：4008817190</w:t>
      </w:r>
    </w:p>
    <w:p>
      <w:pPr>
        <w:ind w:firstLine="562" w:firstLineChars="200"/>
        <w:rPr>
          <w:rFonts w:hint="eastAsia" w:ascii="宋体" w:hAnsi="宋体" w:cs="宋体"/>
          <w:b/>
          <w:bCs/>
          <w:color w:val="auto"/>
          <w:sz w:val="28"/>
          <w:szCs w:val="28"/>
        </w:rPr>
      </w:pPr>
      <w:r>
        <w:rPr>
          <w:rFonts w:hint="eastAsia" w:ascii="宋体" w:hAnsi="宋体" w:cs="宋体"/>
          <w:b/>
          <w:bCs/>
          <w:color w:val="auto"/>
          <w:sz w:val="28"/>
          <w:szCs w:val="28"/>
        </w:rPr>
        <w:t>CA技术支持：</w:t>
      </w:r>
    </w:p>
    <w:p>
      <w:pPr>
        <w:ind w:firstLine="560" w:firstLineChars="200"/>
        <w:rPr>
          <w:rFonts w:hint="eastAsia" w:ascii="宋体" w:hAnsi="宋体" w:cs="宋体"/>
          <w:color w:val="auto"/>
          <w:sz w:val="28"/>
          <w:szCs w:val="28"/>
        </w:rPr>
      </w:pPr>
      <w:r>
        <w:rPr>
          <w:rFonts w:hint="eastAsia" w:ascii="宋体" w:hAnsi="宋体" w:cs="宋体"/>
          <w:color w:val="auto"/>
          <w:sz w:val="28"/>
          <w:szCs w:val="28"/>
        </w:rPr>
        <w:t>四川CA：400-0281130；</w:t>
      </w:r>
    </w:p>
    <w:p>
      <w:pPr>
        <w:ind w:firstLine="560" w:firstLineChars="200"/>
        <w:rPr>
          <w:rFonts w:hint="eastAsia" w:ascii="宋体" w:hAnsi="宋体" w:cs="宋体"/>
          <w:color w:val="auto"/>
          <w:sz w:val="28"/>
          <w:szCs w:val="28"/>
        </w:rPr>
      </w:pPr>
      <w:r>
        <w:rPr>
          <w:rFonts w:hint="eastAsia" w:ascii="宋体" w:hAnsi="宋体" w:cs="宋体"/>
          <w:color w:val="auto"/>
          <w:sz w:val="28"/>
          <w:szCs w:val="28"/>
        </w:rPr>
        <w:t>天威CA： 028-86694886、1592864708；</w:t>
      </w:r>
    </w:p>
    <w:p>
      <w:pPr>
        <w:ind w:firstLine="560" w:firstLineChars="200"/>
        <w:rPr>
          <w:rFonts w:hint="eastAsia" w:ascii="宋体" w:hAnsi="宋体" w:cs="宋体"/>
          <w:color w:val="auto"/>
          <w:sz w:val="28"/>
          <w:szCs w:val="28"/>
        </w:rPr>
      </w:pPr>
      <w:r>
        <w:rPr>
          <w:rFonts w:hint="eastAsia" w:ascii="宋体" w:hAnsi="宋体" w:cs="宋体"/>
          <w:color w:val="auto"/>
          <w:sz w:val="28"/>
          <w:szCs w:val="28"/>
        </w:rPr>
        <w:t>CFCA：028-65785326、18033549468。</w:t>
      </w:r>
    </w:p>
    <w:p>
      <w:pPr>
        <w:pStyle w:val="2"/>
        <w:sectPr>
          <w:pgSz w:w="11906" w:h="16838"/>
          <w:pgMar w:top="1304" w:right="1276" w:bottom="1531" w:left="1418" w:header="851" w:footer="992" w:gutter="0"/>
          <w:cols w:space="720" w:num="1"/>
          <w:docGrid w:type="lines" w:linePitch="326" w:charSpace="0"/>
        </w:sectPr>
      </w:pPr>
    </w:p>
    <w:p>
      <w:pPr>
        <w:pStyle w:val="3"/>
        <w:widowControl/>
        <w:numPr>
          <w:ilvl w:val="0"/>
          <w:numId w:val="6"/>
        </w:numPr>
        <w:spacing w:before="0" w:after="0" w:line="360" w:lineRule="auto"/>
        <w:ind w:left="0" w:firstLine="0"/>
        <w:rPr>
          <w:color w:val="auto"/>
          <w:sz w:val="36"/>
          <w:szCs w:val="36"/>
        </w:rPr>
      </w:pPr>
      <w:bookmarkStart w:id="10" w:name="_Toc31877"/>
      <w:bookmarkStart w:id="11" w:name="_Toc28017"/>
      <w:bookmarkStart w:id="12" w:name="_Toc23583"/>
      <w:bookmarkStart w:id="13" w:name="_Toc58943324"/>
      <w:bookmarkStart w:id="14" w:name="_Toc391885334"/>
      <w:bookmarkStart w:id="15" w:name="_Toc381263230"/>
      <w:bookmarkStart w:id="16" w:name="_Toc287623638"/>
      <w:r>
        <w:rPr>
          <w:rFonts w:hint="eastAsia"/>
          <w:color w:val="auto"/>
          <w:sz w:val="36"/>
          <w:szCs w:val="36"/>
        </w:rPr>
        <w:t>供应商须知</w:t>
      </w:r>
      <w:bookmarkEnd w:id="10"/>
      <w:bookmarkEnd w:id="11"/>
      <w:bookmarkEnd w:id="12"/>
      <w:bookmarkEnd w:id="13"/>
      <w:bookmarkEnd w:id="14"/>
    </w:p>
    <w:p>
      <w:pPr>
        <w:pStyle w:val="4"/>
        <w:numPr>
          <w:ilvl w:val="1"/>
          <w:numId w:val="6"/>
        </w:numPr>
        <w:tabs>
          <w:tab w:val="left" w:pos="426"/>
          <w:tab w:val="left" w:pos="567"/>
        </w:tabs>
        <w:spacing w:before="0" w:after="200"/>
        <w:ind w:left="851" w:hanging="851"/>
        <w:jc w:val="both"/>
        <w:rPr>
          <w:color w:val="auto"/>
        </w:rPr>
      </w:pPr>
      <w:bookmarkStart w:id="17" w:name="_Toc24611"/>
      <w:bookmarkStart w:id="18" w:name="_Toc18904"/>
      <w:bookmarkStart w:id="19" w:name="_Toc4326"/>
      <w:bookmarkStart w:id="20" w:name="_Toc58943325"/>
      <w:r>
        <w:rPr>
          <w:rFonts w:hint="eastAsia"/>
          <w:color w:val="auto"/>
        </w:rPr>
        <w:t>供应商须知前附表</w:t>
      </w:r>
      <w:bookmarkEnd w:id="17"/>
      <w:bookmarkEnd w:id="18"/>
      <w:bookmarkEnd w:id="19"/>
      <w:bookmarkEnd w:id="20"/>
    </w:p>
    <w:tbl>
      <w:tblPr>
        <w:tblStyle w:val="41"/>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969"/>
        <w:gridCol w:w="6657"/>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spacing w:line="360" w:lineRule="auto"/>
              <w:jc w:val="center"/>
              <w:rPr>
                <w:rFonts w:ascii="宋体" w:hAnsi="宋体" w:cs="宋体"/>
                <w:b/>
                <w:color w:val="auto"/>
                <w:szCs w:val="21"/>
              </w:rPr>
            </w:pPr>
            <w:r>
              <w:rPr>
                <w:rFonts w:hint="eastAsia" w:ascii="宋体" w:hAnsi="宋体" w:cs="宋体"/>
                <w:b/>
                <w:color w:val="auto"/>
                <w:szCs w:val="21"/>
                <w:lang w:val="zh-CN"/>
              </w:rPr>
              <w:t>序号</w:t>
            </w:r>
          </w:p>
        </w:tc>
        <w:tc>
          <w:tcPr>
            <w:tcW w:w="1969" w:type="dxa"/>
            <w:tcBorders>
              <w:top w:val="single" w:color="auto" w:sz="18" w:space="0"/>
              <w:left w:val="single" w:color="auto" w:sz="8" w:space="0"/>
              <w:bottom w:val="single" w:color="auto" w:sz="8" w:space="0"/>
              <w:right w:val="single" w:color="auto" w:sz="8" w:space="0"/>
            </w:tcBorders>
            <w:vAlign w:val="center"/>
          </w:tcPr>
          <w:p>
            <w:pPr>
              <w:pStyle w:val="127"/>
              <w:spacing w:line="360" w:lineRule="auto"/>
              <w:jc w:val="both"/>
              <w:rPr>
                <w:b/>
                <w:color w:val="auto"/>
                <w:kern w:val="2"/>
                <w:sz w:val="21"/>
                <w:szCs w:val="21"/>
                <w:lang w:val="zh-CN"/>
              </w:rPr>
            </w:pPr>
            <w:r>
              <w:rPr>
                <w:rFonts w:hint="eastAsia"/>
                <w:b/>
                <w:color w:val="auto"/>
                <w:kern w:val="2"/>
                <w:sz w:val="21"/>
                <w:szCs w:val="21"/>
                <w:lang w:val="zh-CN"/>
              </w:rPr>
              <w:t>应知事项</w:t>
            </w:r>
          </w:p>
        </w:tc>
        <w:tc>
          <w:tcPr>
            <w:tcW w:w="6657" w:type="dxa"/>
            <w:tcBorders>
              <w:top w:val="single" w:color="auto" w:sz="18" w:space="0"/>
              <w:left w:val="single" w:color="auto" w:sz="8" w:space="0"/>
              <w:bottom w:val="single" w:color="auto" w:sz="8" w:space="0"/>
              <w:right w:val="single" w:color="auto" w:sz="18" w:space="0"/>
            </w:tcBorders>
            <w:vAlign w:val="center"/>
          </w:tcPr>
          <w:p>
            <w:pPr>
              <w:pStyle w:val="127"/>
              <w:spacing w:line="360" w:lineRule="auto"/>
              <w:ind w:firstLine="562"/>
              <w:jc w:val="center"/>
              <w:rPr>
                <w:b/>
                <w:color w:val="auto"/>
                <w:kern w:val="2"/>
                <w:sz w:val="21"/>
                <w:szCs w:val="21"/>
                <w:lang w:val="zh-CN"/>
              </w:rPr>
            </w:pPr>
            <w:r>
              <w:rPr>
                <w:rFonts w:hint="eastAsia"/>
                <w:b/>
                <w:color w:val="auto"/>
                <w:kern w:val="2"/>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65"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cs="宋体"/>
                <w:color w:val="auto"/>
                <w:szCs w:val="21"/>
              </w:rPr>
            </w:pPr>
            <w:r>
              <w:rPr>
                <w:rFonts w:hint="eastAsia" w:ascii="宋体" w:hAnsi="宋体" w:cs="宋体"/>
                <w:color w:val="auto"/>
                <w:szCs w:val="21"/>
                <w:lang w:val="zh-CN"/>
              </w:rPr>
              <w:t>采购预算</w:t>
            </w:r>
          </w:p>
        </w:tc>
        <w:tc>
          <w:tcPr>
            <w:tcW w:w="6657" w:type="dxa"/>
            <w:tcBorders>
              <w:top w:val="single" w:color="auto" w:sz="8" w:space="0"/>
              <w:left w:val="single" w:color="auto" w:sz="8" w:space="0"/>
              <w:bottom w:val="single" w:color="auto" w:sz="8" w:space="0"/>
              <w:right w:val="single" w:color="auto" w:sz="18" w:space="0"/>
            </w:tcBorders>
            <w:vAlign w:val="center"/>
          </w:tcPr>
          <w:p>
            <w:pPr>
              <w:spacing w:line="360" w:lineRule="auto"/>
              <w:ind w:right="210"/>
              <w:rPr>
                <w:rFonts w:ascii="宋体" w:hAnsi="宋体" w:cs="宋体"/>
                <w:b/>
                <w:color w:val="auto"/>
                <w:szCs w:val="21"/>
              </w:rPr>
            </w:pPr>
            <w:r>
              <w:rPr>
                <w:rFonts w:hint="eastAsia" w:ascii="宋体" w:hAnsi="宋体" w:cs="宋体"/>
                <w:b/>
                <w:color w:val="auto"/>
                <w:szCs w:val="21"/>
              </w:rPr>
              <w:t>人民币289900元</w:t>
            </w:r>
            <w:r>
              <w:rPr>
                <w:rFonts w:hint="eastAsia" w:ascii="宋体" w:hAnsi="宋体" w:cs="宋体"/>
                <w:b/>
                <w:color w:val="auto"/>
                <w:szCs w:val="21"/>
                <w:lang w:val="zh-CN"/>
              </w:rPr>
              <w:t>。（</w:t>
            </w:r>
            <w:r>
              <w:rPr>
                <w:rFonts w:hint="eastAsia" w:ascii="宋体" w:hAnsi="宋体" w:cs="宋体"/>
                <w:b/>
                <w:color w:val="auto"/>
                <w:szCs w:val="21"/>
                <w:lang w:val="en-US" w:eastAsia="zh-CN"/>
              </w:rPr>
              <w:t>大写：贰拾捌万玖仟玖佰元整</w:t>
            </w:r>
            <w:r>
              <w:rPr>
                <w:rFonts w:hint="eastAsia" w:ascii="宋体" w:hAnsi="宋体" w:cs="宋体"/>
                <w:b/>
                <w:color w:val="auto"/>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46"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pStyle w:val="127"/>
              <w:spacing w:line="360" w:lineRule="auto"/>
              <w:jc w:val="both"/>
              <w:rPr>
                <w:color w:val="auto"/>
                <w:kern w:val="2"/>
                <w:sz w:val="21"/>
                <w:szCs w:val="21"/>
                <w:lang w:val="zh-CN"/>
              </w:rPr>
            </w:pPr>
            <w:r>
              <w:rPr>
                <w:rFonts w:hint="eastAsia"/>
                <w:color w:val="auto"/>
                <w:kern w:val="2"/>
                <w:sz w:val="21"/>
                <w:szCs w:val="21"/>
                <w:lang w:val="zh-CN"/>
              </w:rPr>
              <w:t>最高限价</w:t>
            </w:r>
          </w:p>
        </w:tc>
        <w:tc>
          <w:tcPr>
            <w:tcW w:w="6657" w:type="dxa"/>
            <w:tcBorders>
              <w:top w:val="single" w:color="auto" w:sz="8" w:space="0"/>
              <w:left w:val="single" w:color="auto" w:sz="8" w:space="0"/>
              <w:bottom w:val="single" w:color="auto" w:sz="8" w:space="0"/>
              <w:right w:val="single" w:color="auto" w:sz="18" w:space="0"/>
            </w:tcBorders>
            <w:vAlign w:val="center"/>
          </w:tcPr>
          <w:p>
            <w:pPr>
              <w:pStyle w:val="127"/>
              <w:spacing w:line="360" w:lineRule="auto"/>
              <w:ind w:left="9"/>
              <w:jc w:val="both"/>
              <w:rPr>
                <w:color w:val="auto"/>
                <w:kern w:val="2"/>
                <w:sz w:val="21"/>
                <w:szCs w:val="21"/>
                <w:lang w:val="zh-CN"/>
              </w:rPr>
            </w:pPr>
            <w:r>
              <w:rPr>
                <w:rFonts w:hint="eastAsia"/>
                <w:b/>
                <w:color w:val="auto"/>
                <w:kern w:val="2"/>
                <w:sz w:val="21"/>
                <w:szCs w:val="21"/>
                <w:lang w:val="zh-CN"/>
              </w:rPr>
              <w:t>最高限价289900元。供应商最后报价高于最高限价的，其响应文件将按无效响应文件处理。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pStyle w:val="127"/>
              <w:spacing w:line="360" w:lineRule="auto"/>
              <w:jc w:val="both"/>
              <w:rPr>
                <w:color w:val="auto"/>
                <w:kern w:val="2"/>
                <w:sz w:val="21"/>
                <w:szCs w:val="21"/>
                <w:lang w:val="zh-CN"/>
              </w:rPr>
            </w:pPr>
            <w:r>
              <w:rPr>
                <w:rFonts w:hint="eastAsia"/>
                <w:color w:val="auto"/>
                <w:kern w:val="2"/>
                <w:sz w:val="21"/>
                <w:szCs w:val="21"/>
                <w:lang w:val="zh-CN"/>
              </w:rPr>
              <w:t>采购方式</w:t>
            </w:r>
          </w:p>
        </w:tc>
        <w:tc>
          <w:tcPr>
            <w:tcW w:w="6657" w:type="dxa"/>
            <w:tcBorders>
              <w:top w:val="single" w:color="auto" w:sz="8" w:space="0"/>
              <w:left w:val="single" w:color="auto" w:sz="8" w:space="0"/>
              <w:bottom w:val="single" w:color="auto" w:sz="8" w:space="0"/>
              <w:right w:val="single" w:color="auto" w:sz="18" w:space="0"/>
            </w:tcBorders>
            <w:vAlign w:val="center"/>
          </w:tcPr>
          <w:p>
            <w:pPr>
              <w:pStyle w:val="127"/>
              <w:spacing w:line="360" w:lineRule="auto"/>
              <w:jc w:val="both"/>
              <w:rPr>
                <w:color w:val="auto"/>
                <w:kern w:val="2"/>
                <w:sz w:val="21"/>
                <w:szCs w:val="21"/>
                <w:lang w:val="zh-CN"/>
              </w:rPr>
            </w:pPr>
            <w:r>
              <w:rPr>
                <w:rFonts w:hint="eastAsia"/>
                <w:color w:val="auto"/>
                <w:kern w:val="2"/>
                <w:sz w:val="21"/>
                <w:szCs w:val="21"/>
                <w:lang w:val="zh-CN"/>
              </w:rPr>
              <w:t>竞争性谈判。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pStyle w:val="127"/>
              <w:spacing w:line="360" w:lineRule="auto"/>
              <w:jc w:val="both"/>
              <w:rPr>
                <w:color w:val="auto"/>
                <w:kern w:val="2"/>
                <w:sz w:val="21"/>
                <w:szCs w:val="21"/>
                <w:lang w:val="zh-CN"/>
              </w:rPr>
            </w:pPr>
            <w:r>
              <w:rPr>
                <w:rFonts w:hint="eastAsia"/>
                <w:color w:val="auto"/>
                <w:kern w:val="2"/>
                <w:sz w:val="21"/>
                <w:szCs w:val="21"/>
                <w:lang w:val="zh-CN"/>
              </w:rPr>
              <w:t>评审方法</w:t>
            </w:r>
          </w:p>
        </w:tc>
        <w:tc>
          <w:tcPr>
            <w:tcW w:w="6657" w:type="dxa"/>
            <w:tcBorders>
              <w:top w:val="single" w:color="auto" w:sz="8" w:space="0"/>
              <w:left w:val="single" w:color="auto" w:sz="8" w:space="0"/>
              <w:bottom w:val="single" w:color="auto" w:sz="8" w:space="0"/>
              <w:right w:val="single" w:color="auto" w:sz="18" w:space="0"/>
            </w:tcBorders>
            <w:vAlign w:val="center"/>
          </w:tcPr>
          <w:p>
            <w:pPr>
              <w:pStyle w:val="127"/>
              <w:spacing w:line="360" w:lineRule="auto"/>
              <w:jc w:val="both"/>
              <w:rPr>
                <w:color w:val="auto"/>
                <w:kern w:val="2"/>
                <w:sz w:val="21"/>
                <w:szCs w:val="21"/>
                <w:lang w:val="zh-CN"/>
              </w:rPr>
            </w:pPr>
            <w:r>
              <w:rPr>
                <w:rFonts w:hint="eastAsia"/>
                <w:color w:val="auto"/>
                <w:kern w:val="2"/>
                <w:sz w:val="21"/>
                <w:szCs w:val="21"/>
                <w:lang w:val="zh-CN"/>
              </w:rPr>
              <w:t>最低评标价法(详见第5章)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7"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pStyle w:val="127"/>
              <w:spacing w:line="360" w:lineRule="auto"/>
              <w:jc w:val="both"/>
              <w:rPr>
                <w:color w:val="auto"/>
                <w:kern w:val="2"/>
                <w:sz w:val="21"/>
                <w:szCs w:val="21"/>
                <w:lang w:val="zh-CN"/>
              </w:rPr>
            </w:pPr>
            <w:r>
              <w:rPr>
                <w:rFonts w:hint="eastAsia"/>
                <w:color w:val="auto"/>
                <w:kern w:val="2"/>
                <w:sz w:val="21"/>
                <w:szCs w:val="21"/>
                <w:lang w:val="zh-CN"/>
              </w:rPr>
              <w:t>低于成本价不正当竞争预防措施</w:t>
            </w:r>
          </w:p>
        </w:tc>
        <w:tc>
          <w:tcPr>
            <w:tcW w:w="6657" w:type="dxa"/>
            <w:tcBorders>
              <w:top w:val="single" w:color="auto" w:sz="8" w:space="0"/>
              <w:left w:val="single" w:color="auto" w:sz="8" w:space="0"/>
              <w:bottom w:val="single" w:color="auto" w:sz="8" w:space="0"/>
              <w:right w:val="single" w:color="auto" w:sz="18" w:space="0"/>
            </w:tcBorders>
            <w:vAlign w:val="center"/>
          </w:tcPr>
          <w:p>
            <w:pPr>
              <w:spacing w:line="360" w:lineRule="auto"/>
              <w:ind w:firstLine="420" w:firstLineChars="200"/>
              <w:rPr>
                <w:rFonts w:ascii="宋体" w:hAnsi="宋体" w:cs="宋体"/>
                <w:b/>
                <w:color w:val="auto"/>
                <w:szCs w:val="21"/>
              </w:rPr>
            </w:pPr>
            <w:r>
              <w:rPr>
                <w:rFonts w:hint="eastAsia" w:ascii="宋体" w:hAnsi="宋体" w:cs="宋体"/>
                <w:color w:val="auto"/>
                <w:szCs w:val="21"/>
                <w:lang w:val="zh-CN"/>
              </w:rPr>
              <w:t>在评审过程中，</w:t>
            </w:r>
            <w:r>
              <w:rPr>
                <w:rFonts w:hint="eastAsia" w:ascii="宋体" w:hAnsi="宋体" w:cs="宋体"/>
                <w:color w:val="auto"/>
                <w:szCs w:val="21"/>
              </w:rPr>
              <w:t>谈判</w:t>
            </w:r>
            <w:r>
              <w:rPr>
                <w:rFonts w:hint="eastAsia" w:ascii="宋体" w:hAnsi="宋体" w:cs="宋体"/>
                <w:color w:val="auto"/>
                <w:szCs w:val="21"/>
                <w:lang w:val="zh-CN"/>
              </w:rPr>
              <w:t>小组认为供应商最后报价明显低于其他通过符合性审查供应商的最后报价，有可能影响产品质量或者不能诚信履约的，谈判小组应当要求其在合理的时间内提供书面说明，必要时提交相关证明材料。供应商提交的书面说明、相关证明材料（如涉及），应当加盖供应商（法定名称）电子签章，在</w:t>
            </w:r>
            <w:r>
              <w:rPr>
                <w:rFonts w:hint="eastAsia" w:ascii="宋体" w:hAnsi="宋体" w:cs="宋体"/>
                <w:color w:val="auto"/>
                <w:szCs w:val="21"/>
              </w:rPr>
              <w:t>谈判</w:t>
            </w:r>
            <w:r>
              <w:rPr>
                <w:rFonts w:hint="eastAsia" w:ascii="宋体" w:hAnsi="宋体" w:cs="宋体"/>
                <w:color w:val="auto"/>
                <w:szCs w:val="21"/>
                <w:lang w:val="zh-CN"/>
              </w:rPr>
              <w:t>小组要求的时间内通过政府采购云平台进行递交，否则无效。如因断电、断网、系统故障或其他不可抗力等因素，导致系统无法使用的，由供应商按</w:t>
            </w:r>
            <w:r>
              <w:rPr>
                <w:rFonts w:hint="eastAsia" w:ascii="宋体" w:hAnsi="宋体" w:cs="宋体"/>
                <w:color w:val="auto"/>
                <w:szCs w:val="21"/>
              </w:rPr>
              <w:t>谈判</w:t>
            </w:r>
            <w:r>
              <w:rPr>
                <w:rFonts w:hint="eastAsia" w:ascii="宋体" w:hAnsi="宋体" w:cs="宋体"/>
                <w:color w:val="auto"/>
                <w:szCs w:val="21"/>
                <w:lang w:val="zh-CN"/>
              </w:rPr>
              <w:t>小组的要求进行澄清或者说明。供应商不能证明其报价合理性的，</w:t>
            </w:r>
            <w:r>
              <w:rPr>
                <w:rFonts w:hint="eastAsia" w:ascii="宋体" w:hAnsi="宋体" w:cs="宋体"/>
                <w:color w:val="auto"/>
                <w:szCs w:val="21"/>
              </w:rPr>
              <w:t>谈判</w:t>
            </w:r>
            <w:r>
              <w:rPr>
                <w:rFonts w:hint="eastAsia" w:ascii="宋体" w:hAnsi="宋体" w:cs="宋体"/>
                <w:color w:val="auto"/>
                <w:szCs w:val="21"/>
                <w:lang w:val="zh-CN"/>
              </w:rPr>
              <w:t>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7"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pStyle w:val="127"/>
              <w:spacing w:line="360" w:lineRule="auto"/>
              <w:ind w:right="210" w:rightChars="100"/>
              <w:jc w:val="both"/>
              <w:rPr>
                <w:color w:val="auto"/>
                <w:kern w:val="2"/>
                <w:sz w:val="21"/>
                <w:szCs w:val="21"/>
                <w:lang w:val="zh-CN"/>
              </w:rPr>
            </w:pPr>
            <w:r>
              <w:rPr>
                <w:rFonts w:hint="eastAsia"/>
                <w:color w:val="auto"/>
                <w:kern w:val="2"/>
                <w:sz w:val="21"/>
                <w:szCs w:val="21"/>
                <w:lang w:val="zh-CN"/>
              </w:rPr>
              <w:t>小微企业价格扣除（监狱企业、残疾人福利性单位视同小微企业）</w:t>
            </w:r>
          </w:p>
        </w:tc>
        <w:tc>
          <w:tcPr>
            <w:tcW w:w="6657" w:type="dxa"/>
            <w:tcBorders>
              <w:top w:val="single" w:color="auto" w:sz="8" w:space="0"/>
              <w:left w:val="single" w:color="auto" w:sz="8" w:space="0"/>
              <w:bottom w:val="single" w:color="auto" w:sz="8" w:space="0"/>
              <w:right w:val="single" w:color="auto" w:sz="18" w:space="0"/>
            </w:tcBorders>
            <w:vAlign w:val="center"/>
          </w:tcPr>
          <w:p>
            <w:pPr>
              <w:adjustRightInd w:val="0"/>
              <w:snapToGrid w:val="0"/>
              <w:spacing w:line="400" w:lineRule="exact"/>
              <w:rPr>
                <w:rFonts w:ascii="宋体" w:hAnsi="宋体" w:cs="宋体"/>
                <w:color w:val="auto"/>
                <w:szCs w:val="21"/>
              </w:rPr>
            </w:pPr>
            <w:r>
              <w:rPr>
                <w:rFonts w:hint="eastAsia" w:ascii="宋体" w:hAnsi="宋体" w:cs="宋体"/>
                <w:b/>
                <w:color w:val="auto"/>
                <w:szCs w:val="21"/>
              </w:rPr>
              <w:t>本项目专门面向中小企业，不进行价格扣除</w:t>
            </w:r>
            <w:r>
              <w:rPr>
                <w:rFonts w:hint="eastAsia" w:ascii="宋体" w:hAnsi="宋体" w:cs="宋体"/>
                <w:color w:val="auto"/>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pStyle w:val="127"/>
              <w:spacing w:line="360" w:lineRule="auto"/>
              <w:jc w:val="both"/>
              <w:rPr>
                <w:color w:val="auto"/>
                <w:kern w:val="2"/>
                <w:sz w:val="21"/>
                <w:szCs w:val="21"/>
                <w:lang w:val="zh-CN"/>
              </w:rPr>
            </w:pPr>
            <w:r>
              <w:rPr>
                <w:rFonts w:hint="eastAsia"/>
                <w:color w:val="auto"/>
                <w:kern w:val="2"/>
                <w:sz w:val="21"/>
                <w:szCs w:val="21"/>
              </w:rPr>
              <w:t>谈判</w:t>
            </w:r>
            <w:r>
              <w:rPr>
                <w:rFonts w:hint="eastAsia"/>
                <w:color w:val="auto"/>
                <w:kern w:val="2"/>
                <w:sz w:val="21"/>
                <w:szCs w:val="21"/>
                <w:lang w:val="zh-CN"/>
              </w:rPr>
              <w:t>保证金</w:t>
            </w:r>
          </w:p>
        </w:tc>
        <w:tc>
          <w:tcPr>
            <w:tcW w:w="6657"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auto"/>
                <w:szCs w:val="21"/>
              </w:rPr>
            </w:pPr>
            <w:r>
              <w:rPr>
                <w:rFonts w:hint="eastAsia" w:ascii="宋体" w:hAnsi="宋体" w:cs="宋体"/>
                <w:b/>
                <w:color w:val="auto"/>
                <w:szCs w:val="21"/>
              </w:rPr>
              <w:t>本项目不收取谈判保证金。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auto"/>
                <w:szCs w:val="21"/>
                <w:lang w:val="zh-CN"/>
              </w:rPr>
            </w:pPr>
            <w:r>
              <w:rPr>
                <w:rFonts w:hint="eastAsia" w:ascii="宋体" w:hAnsi="宋体" w:cs="宋体"/>
                <w:color w:val="auto"/>
                <w:szCs w:val="21"/>
                <w:lang w:val="zh-CN"/>
              </w:rPr>
              <w:t>履约保证金</w:t>
            </w:r>
          </w:p>
        </w:tc>
        <w:tc>
          <w:tcPr>
            <w:tcW w:w="6657"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color w:val="auto"/>
                <w:szCs w:val="21"/>
                <w:lang w:val="zh-CN"/>
              </w:rPr>
            </w:pPr>
            <w:r>
              <w:rPr>
                <w:rFonts w:hint="eastAsia" w:ascii="宋体" w:hAnsi="宋体" w:cs="宋体"/>
                <w:b/>
                <w:color w:val="auto"/>
                <w:szCs w:val="21"/>
                <w:lang w:val="zh-CN"/>
              </w:rPr>
              <w:t>详见供应商须知2.</w:t>
            </w:r>
            <w:r>
              <w:rPr>
                <w:rFonts w:hint="eastAsia" w:ascii="宋体" w:hAnsi="宋体" w:cs="宋体"/>
                <w:b/>
                <w:color w:val="auto"/>
                <w:szCs w:val="21"/>
              </w:rPr>
              <w:t>8</w:t>
            </w:r>
            <w:r>
              <w:rPr>
                <w:rFonts w:hint="eastAsia" w:ascii="宋体" w:hAnsi="宋体" w:cs="宋体"/>
                <w:b/>
                <w:color w:val="auto"/>
                <w:szCs w:val="21"/>
                <w:lang w:val="zh-CN"/>
              </w:rPr>
              <w:t>.4。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cs="宋体"/>
                <w:color w:val="auto"/>
                <w:szCs w:val="21"/>
              </w:rPr>
            </w:pPr>
            <w:r>
              <w:rPr>
                <w:rFonts w:hint="eastAsia" w:ascii="宋体" w:hAnsi="宋体" w:cs="宋体"/>
                <w:color w:val="auto"/>
                <w:szCs w:val="21"/>
              </w:rPr>
              <w:t>响应文件的制作、签章和加密</w:t>
            </w:r>
          </w:p>
        </w:tc>
        <w:tc>
          <w:tcPr>
            <w:tcW w:w="6657"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s="宋体"/>
                <w:color w:val="auto"/>
                <w:szCs w:val="21"/>
              </w:rPr>
            </w:pPr>
            <w:r>
              <w:rPr>
                <w:rFonts w:hint="eastAsia" w:ascii="宋体" w:hAnsi="宋体" w:cs="宋体"/>
                <w:color w:val="auto"/>
                <w:szCs w:val="21"/>
              </w:rPr>
              <w:t>详见供应商须知2.4.10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cs="宋体"/>
                <w:color w:val="auto"/>
                <w:szCs w:val="21"/>
              </w:rPr>
            </w:pPr>
            <w:r>
              <w:rPr>
                <w:rFonts w:hint="eastAsia" w:ascii="宋体" w:hAnsi="宋体" w:cs="宋体"/>
                <w:color w:val="auto"/>
                <w:szCs w:val="21"/>
              </w:rPr>
              <w:t>响应文件的递交</w:t>
            </w:r>
          </w:p>
        </w:tc>
        <w:tc>
          <w:tcPr>
            <w:tcW w:w="6657"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s="宋体"/>
                <w:color w:val="auto"/>
                <w:szCs w:val="21"/>
              </w:rPr>
            </w:pPr>
            <w:r>
              <w:rPr>
                <w:rFonts w:hint="eastAsia" w:ascii="宋体" w:hAnsi="宋体" w:cs="宋体"/>
                <w:color w:val="auto"/>
                <w:szCs w:val="21"/>
              </w:rPr>
              <w:t>详见供应商须知2.4.11</w:t>
            </w:r>
          </w:p>
          <w:p>
            <w:pPr>
              <w:tabs>
                <w:tab w:val="left" w:pos="7665"/>
              </w:tabs>
              <w:snapToGrid w:val="0"/>
              <w:rPr>
                <w:rFonts w:ascii="宋体" w:hAnsi="宋体" w:cs="宋体"/>
                <w:color w:val="auto"/>
                <w:szCs w:val="21"/>
              </w:rPr>
            </w:pPr>
            <w:r>
              <w:rPr>
                <w:rFonts w:hint="eastAsia" w:ascii="宋体" w:hAnsi="宋体" w:cs="宋体"/>
                <w:color w:val="auto"/>
                <w:szCs w:val="21"/>
              </w:rPr>
              <w:t>注：供应商使用CA证书在提交首次响应文件截止时间前，将响应文件上传至政府采购云平台，上传前须对响应文件是否有电子签章等进行核对。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cs="宋体"/>
                <w:color w:val="auto"/>
                <w:szCs w:val="21"/>
              </w:rPr>
            </w:pPr>
            <w:r>
              <w:rPr>
                <w:rFonts w:hint="eastAsia" w:ascii="宋体" w:hAnsi="宋体" w:cs="宋体"/>
                <w:color w:val="auto"/>
                <w:szCs w:val="21"/>
              </w:rPr>
              <w:t>响应文件的补充、修改和撤回</w:t>
            </w:r>
          </w:p>
        </w:tc>
        <w:tc>
          <w:tcPr>
            <w:tcW w:w="6657"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s="宋体"/>
                <w:color w:val="auto"/>
                <w:szCs w:val="21"/>
              </w:rPr>
            </w:pPr>
            <w:r>
              <w:rPr>
                <w:rFonts w:hint="eastAsia" w:ascii="宋体" w:hAnsi="宋体" w:cs="宋体"/>
                <w:color w:val="auto"/>
                <w:szCs w:val="21"/>
              </w:rPr>
              <w:t>详见供应商须知2.4.12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cs="宋体"/>
                <w:color w:val="auto"/>
                <w:szCs w:val="21"/>
              </w:rPr>
            </w:pPr>
            <w:r>
              <w:rPr>
                <w:rFonts w:hint="eastAsia" w:ascii="宋体" w:hAnsi="宋体" w:cs="宋体"/>
                <w:b/>
                <w:color w:val="auto"/>
                <w:szCs w:val="21"/>
              </w:rPr>
              <w:t>谈判开启活动程序</w:t>
            </w:r>
          </w:p>
        </w:tc>
        <w:tc>
          <w:tcPr>
            <w:tcW w:w="6657"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s="宋体"/>
                <w:b/>
                <w:color w:val="auto"/>
                <w:szCs w:val="21"/>
              </w:rPr>
            </w:pPr>
            <w:r>
              <w:rPr>
                <w:rFonts w:hint="eastAsia" w:ascii="宋体" w:hAnsi="宋体" w:cs="宋体"/>
                <w:b/>
                <w:color w:val="auto"/>
                <w:szCs w:val="21"/>
              </w:rPr>
              <w:t>详见供应商须知2.5.1。</w:t>
            </w:r>
          </w:p>
          <w:p>
            <w:pPr>
              <w:snapToGrid w:val="0"/>
              <w:spacing w:line="360" w:lineRule="auto"/>
              <w:rPr>
                <w:rFonts w:ascii="宋体" w:hAnsi="宋体" w:cs="宋体"/>
                <w:b/>
                <w:color w:val="auto"/>
                <w:szCs w:val="21"/>
              </w:rPr>
            </w:pPr>
            <w:r>
              <w:rPr>
                <w:rFonts w:hint="eastAsia" w:ascii="宋体" w:hAnsi="宋体" w:cs="宋体"/>
                <w:b/>
                <w:color w:val="auto"/>
                <w:szCs w:val="21"/>
              </w:rPr>
              <w:t>响应文件解密：开启解密后，供应商应在系统提示的解密开始时间后60分钟内，使用对响应文件进行加密的CA证书在线完成对供应商提交至政府采购云平台的响应文件的解密。</w:t>
            </w:r>
          </w:p>
          <w:p>
            <w:pPr>
              <w:snapToGrid w:val="0"/>
              <w:spacing w:line="360" w:lineRule="auto"/>
              <w:rPr>
                <w:rFonts w:ascii="宋体" w:hAnsi="宋体" w:cs="宋体"/>
                <w:b/>
                <w:color w:val="auto"/>
                <w:szCs w:val="21"/>
              </w:rPr>
            </w:pPr>
            <w:r>
              <w:rPr>
                <w:rFonts w:hint="eastAsia" w:ascii="宋体" w:hAnsi="宋体" w:cs="宋体"/>
                <w:b/>
                <w:color w:val="auto"/>
                <w:szCs w:val="21"/>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cs="宋体"/>
                <w:color w:val="auto"/>
                <w:szCs w:val="21"/>
              </w:rPr>
            </w:pPr>
            <w:r>
              <w:rPr>
                <w:rFonts w:hint="eastAsia" w:ascii="宋体" w:hAnsi="宋体" w:cs="宋体"/>
                <w:b/>
                <w:color w:val="auto"/>
                <w:szCs w:val="21"/>
              </w:rPr>
              <w:t>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s="宋体"/>
                <w:color w:val="auto"/>
                <w:szCs w:val="21"/>
              </w:rPr>
            </w:pPr>
            <w:r>
              <w:rPr>
                <w:rFonts w:hint="eastAsia" w:ascii="宋体" w:hAnsi="宋体" w:cs="宋体"/>
                <w:color w:val="auto"/>
                <w:szCs w:val="21"/>
              </w:rPr>
              <w:t>对谈判文件中供应商参加本次政府采购活动应当具备的条件、项目技术、服务、商务及其他要求,评审办法和标准,以及关于资格审查的询问、质疑</w:t>
            </w:r>
          </w:p>
        </w:tc>
        <w:tc>
          <w:tcPr>
            <w:tcW w:w="6657"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s="宋体"/>
                <w:color w:val="auto"/>
                <w:szCs w:val="21"/>
              </w:rPr>
            </w:pPr>
            <w:r>
              <w:rPr>
                <w:rFonts w:hint="eastAsia" w:ascii="宋体" w:hAnsi="宋体" w:cs="宋体"/>
                <w:color w:val="auto"/>
                <w:szCs w:val="21"/>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s="宋体"/>
                <w:color w:val="auto"/>
                <w:szCs w:val="21"/>
              </w:rPr>
            </w:pPr>
            <w:r>
              <w:rPr>
                <w:rFonts w:hint="eastAsia" w:ascii="宋体" w:hAnsi="宋体" w:cs="宋体"/>
                <w:color w:val="auto"/>
                <w:szCs w:val="21"/>
              </w:rPr>
              <w:t>对谈判文件中的其他内容、采购过程及成交结果的询问、质疑</w:t>
            </w:r>
          </w:p>
        </w:tc>
        <w:tc>
          <w:tcPr>
            <w:tcW w:w="6657"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s="宋体"/>
                <w:color w:val="auto"/>
                <w:szCs w:val="21"/>
              </w:rPr>
            </w:pPr>
            <w:r>
              <w:rPr>
                <w:rFonts w:hint="eastAsia" w:ascii="宋体" w:hAnsi="宋体" w:cs="宋体"/>
                <w:color w:val="auto"/>
                <w:szCs w:val="21"/>
              </w:rPr>
              <w:t>向综合部提出，并由综合部按相关规定作出答复（详见供应商须知2.10）。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cs="宋体"/>
                <w:color w:val="auto"/>
                <w:szCs w:val="21"/>
              </w:rPr>
            </w:pPr>
            <w:r>
              <w:rPr>
                <w:rFonts w:hint="eastAsia" w:ascii="宋体" w:hAnsi="宋体" w:cs="宋体"/>
                <w:color w:val="auto"/>
                <w:szCs w:val="21"/>
              </w:rPr>
              <w:t>供应商投诉</w:t>
            </w:r>
          </w:p>
        </w:tc>
        <w:tc>
          <w:tcPr>
            <w:tcW w:w="6657"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ightChars="100" w:hanging="8"/>
              <w:rPr>
                <w:rFonts w:ascii="宋体" w:hAnsi="宋体" w:cs="宋体"/>
                <w:color w:val="auto"/>
                <w:szCs w:val="21"/>
              </w:rPr>
            </w:pPr>
            <w:r>
              <w:rPr>
                <w:rFonts w:hint="eastAsia" w:ascii="宋体" w:hAnsi="宋体" w:cs="宋体"/>
                <w:color w:val="auto"/>
                <w:szCs w:val="21"/>
              </w:rPr>
              <w:t>投诉受理单位：本项目同级财政部门，即成都东部新区党工委管委会(成都市东部新城办)财政金融局。</w:t>
            </w:r>
          </w:p>
          <w:p>
            <w:pPr>
              <w:tabs>
                <w:tab w:val="left" w:pos="7665"/>
              </w:tabs>
              <w:snapToGrid w:val="0"/>
              <w:spacing w:line="360" w:lineRule="auto"/>
              <w:rPr>
                <w:rFonts w:ascii="宋体" w:hAnsi="宋体" w:cs="宋体"/>
                <w:color w:val="auto"/>
                <w:szCs w:val="21"/>
              </w:rPr>
            </w:pPr>
            <w:r>
              <w:rPr>
                <w:rFonts w:hint="eastAsia" w:ascii="宋体" w:hAnsi="宋体" w:cs="宋体"/>
                <w:color w:val="auto"/>
                <w:szCs w:val="21"/>
              </w:rPr>
              <w:t>联系电话：028-86360129。</w:t>
            </w:r>
          </w:p>
          <w:p>
            <w:pPr>
              <w:tabs>
                <w:tab w:val="left" w:pos="7665"/>
              </w:tabs>
              <w:snapToGrid w:val="0"/>
              <w:spacing w:line="360" w:lineRule="auto"/>
              <w:rPr>
                <w:rFonts w:ascii="宋体" w:hAnsi="宋体" w:cs="宋体"/>
                <w:color w:val="auto"/>
                <w:szCs w:val="21"/>
              </w:rPr>
            </w:pPr>
            <w:r>
              <w:rPr>
                <w:rFonts w:hint="eastAsia" w:ascii="宋体" w:hAnsi="宋体" w:cs="宋体"/>
                <w:color w:val="auto"/>
                <w:szCs w:val="21"/>
              </w:rPr>
              <w:t>地址：成都东部新区三岔街道板桥村2组166号东部新区市民中心。</w:t>
            </w:r>
          </w:p>
          <w:p>
            <w:pPr>
              <w:tabs>
                <w:tab w:val="left" w:pos="7665"/>
              </w:tabs>
              <w:snapToGrid w:val="0"/>
              <w:spacing w:line="360" w:lineRule="auto"/>
              <w:rPr>
                <w:rFonts w:ascii="宋体" w:hAnsi="宋体" w:cs="宋体"/>
                <w:color w:val="auto"/>
                <w:szCs w:val="21"/>
              </w:rPr>
            </w:pPr>
            <w:r>
              <w:rPr>
                <w:rFonts w:hint="eastAsia" w:ascii="宋体" w:hAnsi="宋体" w:cs="宋体"/>
                <w:color w:val="auto"/>
                <w:szCs w:val="21"/>
              </w:rPr>
              <w:t>邮编：</w:t>
            </w:r>
            <w:r>
              <w:rPr>
                <w:rFonts w:hint="eastAsia" w:ascii="宋体" w:hAnsi="宋体" w:cs="宋体"/>
                <w:color w:val="auto"/>
                <w:szCs w:val="21"/>
                <w:lang w:val="zh-CN"/>
              </w:rPr>
              <w:t>641400</w:t>
            </w:r>
            <w:r>
              <w:rPr>
                <w:rFonts w:hint="eastAsia" w:ascii="宋体" w:hAnsi="宋体" w:cs="宋体"/>
                <w:color w:val="auto"/>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s="宋体"/>
                <w:color w:val="auto"/>
                <w:szCs w:val="21"/>
              </w:rPr>
            </w:pPr>
            <w:r>
              <w:rPr>
                <w:rFonts w:hint="eastAsia" w:ascii="宋体" w:hAnsi="宋体" w:cs="宋体"/>
                <w:color w:val="auto"/>
                <w:szCs w:val="21"/>
              </w:rPr>
              <w:t>响应文件有效期</w:t>
            </w:r>
          </w:p>
        </w:tc>
        <w:tc>
          <w:tcPr>
            <w:tcW w:w="6657"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s="宋体"/>
                <w:color w:val="auto"/>
                <w:szCs w:val="21"/>
              </w:rPr>
            </w:pPr>
            <w:r>
              <w:rPr>
                <w:rFonts w:hint="eastAsia" w:ascii="宋体" w:hAnsi="宋体" w:cs="宋体"/>
                <w:color w:val="auto"/>
                <w:szCs w:val="21"/>
              </w:rPr>
              <w:t>提交首次响应文件的截止之日起</w:t>
            </w:r>
            <w:r>
              <w:rPr>
                <w:rFonts w:hint="eastAsia" w:ascii="宋体" w:hAnsi="宋体" w:cs="宋体"/>
                <w:color w:val="auto"/>
                <w:szCs w:val="21"/>
                <w:u w:val="single"/>
              </w:rPr>
              <w:t xml:space="preserve"> 120</w:t>
            </w:r>
            <w:r>
              <w:rPr>
                <w:rFonts w:hint="eastAsia" w:ascii="宋体" w:hAnsi="宋体" w:cs="宋体"/>
                <w:color w:val="auto"/>
                <w:szCs w:val="21"/>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s="宋体"/>
                <w:color w:val="auto"/>
                <w:szCs w:val="21"/>
                <w:lang w:val="zh-CN"/>
              </w:rPr>
            </w:pPr>
            <w:r>
              <w:rPr>
                <w:rFonts w:hint="eastAsia" w:ascii="宋体" w:hAnsi="宋体" w:cs="宋体"/>
                <w:color w:val="auto"/>
                <w:szCs w:val="21"/>
                <w:lang w:val="zh-CN"/>
              </w:rPr>
              <w:t>评审情况公告</w:t>
            </w:r>
          </w:p>
        </w:tc>
        <w:tc>
          <w:tcPr>
            <w:tcW w:w="6657" w:type="dxa"/>
            <w:tcBorders>
              <w:top w:val="single" w:color="auto" w:sz="8" w:space="0"/>
              <w:left w:val="single" w:color="auto" w:sz="8" w:space="0"/>
              <w:bottom w:val="single" w:color="auto" w:sz="8" w:space="0"/>
              <w:right w:val="single" w:color="auto" w:sz="18" w:space="0"/>
            </w:tcBorders>
            <w:vAlign w:val="center"/>
          </w:tcPr>
          <w:p>
            <w:pPr>
              <w:tabs>
                <w:tab w:val="left" w:pos="7665"/>
              </w:tabs>
              <w:spacing w:line="360" w:lineRule="auto"/>
              <w:rPr>
                <w:rFonts w:ascii="宋体" w:hAnsi="宋体" w:cs="宋体"/>
                <w:color w:val="auto"/>
                <w:szCs w:val="21"/>
                <w:lang w:val="zh-CN"/>
              </w:rPr>
            </w:pPr>
            <w:r>
              <w:rPr>
                <w:rFonts w:hint="eastAsia" w:ascii="宋体" w:hAnsi="宋体" w:cs="宋体"/>
                <w:color w:val="auto"/>
                <w:szCs w:val="21"/>
                <w:lang w:val="zh-CN"/>
              </w:rPr>
              <w:t>所有</w:t>
            </w:r>
            <w:r>
              <w:rPr>
                <w:rFonts w:hint="eastAsia" w:ascii="宋体" w:hAnsi="宋体" w:cs="宋体"/>
                <w:color w:val="auto"/>
                <w:szCs w:val="21"/>
              </w:rPr>
              <w:t>供应商</w:t>
            </w:r>
            <w:r>
              <w:rPr>
                <w:rFonts w:hint="eastAsia" w:ascii="宋体" w:hAnsi="宋体" w:cs="宋体"/>
                <w:color w:val="auto"/>
                <w:szCs w:val="21"/>
                <w:lang w:val="zh-CN"/>
              </w:rPr>
              <w:t>资格性检查情况、响应文件符合性检查情况、报价情况、谈判结果、评审结果等将在“四川政府采购网”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s="宋体"/>
                <w:color w:val="auto"/>
                <w:szCs w:val="21"/>
              </w:rPr>
            </w:pPr>
            <w:r>
              <w:rPr>
                <w:rFonts w:hint="eastAsia" w:ascii="宋体" w:hAnsi="宋体" w:cs="宋体"/>
                <w:color w:val="auto"/>
                <w:szCs w:val="21"/>
                <w:lang w:val="zh-CN"/>
              </w:rPr>
              <w:t>成交通知书领取</w:t>
            </w:r>
          </w:p>
        </w:tc>
        <w:tc>
          <w:tcPr>
            <w:tcW w:w="6657"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s="宋体"/>
                <w:color w:val="auto"/>
                <w:szCs w:val="21"/>
              </w:rPr>
            </w:pPr>
            <w:r>
              <w:rPr>
                <w:rFonts w:hint="eastAsia" w:ascii="宋体" w:hAnsi="宋体" w:cs="宋体"/>
                <w:color w:val="auto"/>
                <w:szCs w:val="21"/>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s="宋体"/>
                <w:color w:val="auto"/>
                <w:szCs w:val="21"/>
              </w:rPr>
            </w:pPr>
            <w:r>
              <w:rPr>
                <w:rFonts w:hint="eastAsia" w:ascii="宋体" w:hAnsi="宋体" w:cs="宋体"/>
                <w:color w:val="auto"/>
                <w:szCs w:val="21"/>
              </w:rPr>
              <w:t>合同签订地点</w:t>
            </w:r>
          </w:p>
        </w:tc>
        <w:tc>
          <w:tcPr>
            <w:tcW w:w="6657"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s="宋体"/>
                <w:color w:val="auto"/>
                <w:szCs w:val="21"/>
              </w:rPr>
            </w:pPr>
            <w:r>
              <w:rPr>
                <w:rFonts w:hint="eastAsia" w:ascii="宋体" w:hAnsi="宋体" w:cs="宋体"/>
                <w:color w:val="auto"/>
                <w:szCs w:val="21"/>
              </w:rPr>
              <w:t>四川省成都东部新区。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cs="宋体"/>
                <w:color w:val="auto"/>
                <w:szCs w:val="21"/>
              </w:rPr>
            </w:pPr>
            <w:r>
              <w:rPr>
                <w:rFonts w:hint="eastAsia" w:ascii="宋体" w:hAnsi="宋体" w:cs="宋体"/>
                <w:color w:val="auto"/>
                <w:szCs w:val="21"/>
              </w:rPr>
              <w:t>政府采购合同公告、备案</w:t>
            </w:r>
          </w:p>
        </w:tc>
        <w:tc>
          <w:tcPr>
            <w:tcW w:w="6657"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cs="宋体"/>
                <w:color w:val="auto"/>
                <w:szCs w:val="21"/>
              </w:rPr>
            </w:pPr>
            <w:r>
              <w:rPr>
                <w:rFonts w:hint="eastAsia" w:ascii="宋体" w:hAnsi="宋体" w:cs="宋体"/>
                <w:color w:val="auto"/>
                <w:szCs w:val="21"/>
              </w:rPr>
              <w:t>政府采购合同签订之日起2个工作日内，采购人将在四川政府采购网公告政府采购合同；采购人应当将政府采购合同自签订（双方当事人均已签字盖章）之日起七个工作日内按成都东部新区党工委管委会(成都市东部新城办)财政金融局的要求完成合同备案工作。</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s="宋体"/>
                <w:color w:val="auto"/>
                <w:szCs w:val="21"/>
              </w:rPr>
            </w:pPr>
            <w:r>
              <w:rPr>
                <w:rFonts w:hint="eastAsia" w:ascii="宋体" w:hAnsi="宋体" w:cs="宋体"/>
                <w:color w:val="auto"/>
                <w:szCs w:val="21"/>
              </w:rPr>
              <w:t>进口产品</w:t>
            </w:r>
          </w:p>
        </w:tc>
        <w:tc>
          <w:tcPr>
            <w:tcW w:w="6657"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s="宋体"/>
                <w:color w:val="auto"/>
                <w:szCs w:val="21"/>
              </w:rPr>
            </w:pPr>
            <w:r>
              <w:rPr>
                <w:rFonts w:hint="eastAsia" w:ascii="宋体" w:hAnsi="宋体" w:cs="宋体"/>
                <w:color w:val="auto"/>
                <w:szCs w:val="21"/>
              </w:rPr>
              <w:t>谈判文件中未载明“允许采购进口产品”的产品，拒绝进口产品的报价。谈判文件中载明“允许采购进口产品”的产品，允许国产产品参与竞争。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1"/>
              </w:numPr>
              <w:snapToGrid w:val="0"/>
              <w:spacing w:after="200" w:line="360" w:lineRule="auto"/>
              <w:ind w:left="420"/>
              <w:jc w:val="center"/>
              <w:rPr>
                <w:rFonts w:ascii="宋体" w:hAnsi="宋体" w:cs="宋体"/>
                <w:color w:val="auto"/>
                <w:szCs w:val="21"/>
              </w:rPr>
            </w:pPr>
          </w:p>
        </w:tc>
        <w:tc>
          <w:tcPr>
            <w:tcW w:w="1969"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hint="eastAsia" w:ascii="宋体" w:hAnsi="宋体" w:cs="宋体"/>
                <w:color w:val="auto"/>
                <w:szCs w:val="21"/>
              </w:rPr>
            </w:pPr>
            <w:r>
              <w:rPr>
                <w:rFonts w:hint="eastAsia" w:ascii="宋体" w:hAnsi="宋体" w:cs="宋体"/>
                <w:color w:val="auto"/>
                <w:szCs w:val="21"/>
              </w:rPr>
              <w:t>节能、环保产品政府采购政策</w:t>
            </w:r>
          </w:p>
        </w:tc>
        <w:tc>
          <w:tcPr>
            <w:tcW w:w="6657"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firstLine="420" w:firstLineChars="200"/>
              <w:rPr>
                <w:rFonts w:hint="eastAsia" w:ascii="宋体" w:hAnsi="宋体" w:cs="宋体"/>
                <w:color w:val="auto"/>
                <w:szCs w:val="21"/>
                <w:lang w:val="zh-CN"/>
              </w:rPr>
            </w:pPr>
            <w:r>
              <w:rPr>
                <w:rFonts w:hint="eastAsia" w:ascii="宋体" w:hAnsi="宋体" w:cs="宋体"/>
                <w:color w:val="auto"/>
                <w:szCs w:val="21"/>
                <w:lang w:val="zh-CN"/>
              </w:rPr>
              <w:t>根据《财政部发展改革委生态环境部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信息，对通过认证的产品实施政府优先采购或强制采购。</w:t>
            </w:r>
          </w:p>
          <w:p>
            <w:pPr>
              <w:tabs>
                <w:tab w:val="left" w:pos="7665"/>
              </w:tabs>
              <w:snapToGrid w:val="0"/>
              <w:spacing w:line="360" w:lineRule="auto"/>
              <w:ind w:firstLine="420" w:firstLineChars="200"/>
              <w:rPr>
                <w:rFonts w:hint="eastAsia" w:ascii="宋体" w:hAnsi="宋体" w:cs="宋体"/>
                <w:color w:val="auto"/>
                <w:szCs w:val="21"/>
                <w:lang w:val="zh-CN"/>
              </w:rPr>
            </w:pPr>
            <w:r>
              <w:rPr>
                <w:rFonts w:hint="eastAsia" w:ascii="宋体" w:hAnsi="宋体" w:cs="宋体"/>
                <w:color w:val="auto"/>
                <w:szCs w:val="21"/>
                <w:lang w:val="zh-CN"/>
              </w:rPr>
              <w:t>本项目采购的产品属于品目清单强制采购范围的提供认证证书。（实质性要求）</w:t>
            </w:r>
          </w:p>
          <w:p>
            <w:pPr>
              <w:tabs>
                <w:tab w:val="left" w:pos="7665"/>
              </w:tabs>
              <w:snapToGrid w:val="0"/>
              <w:spacing w:line="360" w:lineRule="auto"/>
              <w:ind w:firstLine="420" w:firstLineChars="200"/>
              <w:rPr>
                <w:rFonts w:hint="eastAsia" w:ascii="宋体" w:hAnsi="宋体" w:cs="宋体"/>
                <w:color w:val="auto"/>
                <w:szCs w:val="21"/>
                <w:lang w:val="zh-CN"/>
              </w:rPr>
            </w:pPr>
            <w:r>
              <w:rPr>
                <w:rFonts w:hint="eastAsia" w:ascii="宋体" w:hAnsi="宋体" w:cs="宋体"/>
                <w:color w:val="auto"/>
                <w:szCs w:val="21"/>
                <w:lang w:val="zh-CN"/>
              </w:rPr>
              <w:t>本项目采购的产品属于品目清单优先采购范围的，同等条件下，按照供应商提供产品获得有效认证的产品数量（可重复计算），由多到少排序，数量最多的，确定为成交供应商。</w:t>
            </w:r>
          </w:p>
          <w:p>
            <w:pPr>
              <w:tabs>
                <w:tab w:val="left" w:pos="7665"/>
              </w:tabs>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lang w:val="zh-CN"/>
              </w:rPr>
              <w:t>注：对政府采购节能产品、环境标志产品实施品目清单管理。财政部、发展改革委、生态环境部等部门确定实施政府优先采购和强制采购的产品类别，以品目清单的形式发布并适时调整。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1"/>
              </w:numPr>
              <w:snapToGrid w:val="0"/>
              <w:spacing w:after="200" w:line="360" w:lineRule="auto"/>
              <w:ind w:left="0" w:firstLine="0"/>
              <w:jc w:val="center"/>
              <w:rPr>
                <w:rFonts w:ascii="宋体" w:hAnsi="宋体" w:cs="宋体"/>
                <w:color w:val="auto"/>
                <w:szCs w:val="21"/>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s="宋体"/>
                <w:color w:val="auto"/>
                <w:szCs w:val="21"/>
              </w:rPr>
            </w:pPr>
            <w:r>
              <w:rPr>
                <w:rFonts w:hint="eastAsia" w:ascii="宋体" w:hAnsi="宋体" w:cs="宋体"/>
                <w:color w:val="auto"/>
                <w:szCs w:val="21"/>
              </w:rPr>
              <w:t>采购人可以要求参加本项目采购的供应商提供有关资质证明文件和业绩情况，并根据《中华人民共和国政府采购法》规定的供应商条件和采购项目对供应商的特定要求，对供应商的资格进行审查。</w:t>
            </w:r>
          </w:p>
        </w:tc>
      </w:tr>
    </w:tbl>
    <w:p>
      <w:pPr>
        <w:pStyle w:val="4"/>
        <w:numPr>
          <w:ilvl w:val="1"/>
          <w:numId w:val="0"/>
        </w:numPr>
        <w:tabs>
          <w:tab w:val="left" w:pos="426"/>
          <w:tab w:val="left" w:pos="567"/>
        </w:tabs>
        <w:spacing w:before="0" w:after="0"/>
        <w:ind w:left="420" w:leftChars="200"/>
        <w:jc w:val="both"/>
        <w:rPr>
          <w:color w:val="auto"/>
        </w:rPr>
      </w:pPr>
      <w:bookmarkStart w:id="21" w:name="_Toc494095619"/>
      <w:bookmarkEnd w:id="21"/>
      <w:bookmarkStart w:id="22" w:name="_Toc494356973"/>
      <w:bookmarkEnd w:id="22"/>
      <w:bookmarkStart w:id="23" w:name="_Toc22377"/>
      <w:bookmarkStart w:id="24" w:name="_Toc6302"/>
      <w:bookmarkStart w:id="25" w:name="_Toc58943326"/>
    </w:p>
    <w:p>
      <w:pPr>
        <w:pStyle w:val="4"/>
        <w:numPr>
          <w:ilvl w:val="1"/>
          <w:numId w:val="6"/>
        </w:numPr>
        <w:tabs>
          <w:tab w:val="left" w:pos="426"/>
          <w:tab w:val="left" w:pos="567"/>
        </w:tabs>
        <w:spacing w:before="0" w:after="0"/>
        <w:ind w:left="0" w:firstLine="562" w:firstLineChars="200"/>
        <w:jc w:val="both"/>
        <w:rPr>
          <w:color w:val="auto"/>
        </w:rPr>
      </w:pPr>
      <w:bookmarkStart w:id="26" w:name="_Toc15160"/>
      <w:r>
        <w:rPr>
          <w:rFonts w:hint="eastAsia"/>
          <w:color w:val="auto"/>
        </w:rPr>
        <w:t>总则</w:t>
      </w:r>
      <w:bookmarkEnd w:id="23"/>
      <w:bookmarkEnd w:id="24"/>
      <w:bookmarkEnd w:id="25"/>
      <w:bookmarkEnd w:id="26"/>
    </w:p>
    <w:p>
      <w:pPr>
        <w:pStyle w:val="5"/>
        <w:numPr>
          <w:ilvl w:val="2"/>
          <w:numId w:val="6"/>
        </w:numPr>
        <w:ind w:left="0" w:firstLine="562" w:firstLineChars="200"/>
        <w:rPr>
          <w:color w:val="auto"/>
        </w:rPr>
      </w:pPr>
      <w:r>
        <w:rPr>
          <w:rFonts w:hint="eastAsia"/>
          <w:color w:val="auto"/>
        </w:rPr>
        <w:t>适用范围</w:t>
      </w:r>
      <w:bookmarkEnd w:id="15"/>
      <w:bookmarkEnd w:id="16"/>
    </w:p>
    <w:p>
      <w:pPr>
        <w:numPr>
          <w:ilvl w:val="0"/>
          <w:numId w:val="12"/>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本谈判文件仅适用于本竞争性谈判邀请中所叙述项目的采购。</w:t>
      </w:r>
    </w:p>
    <w:p>
      <w:pPr>
        <w:numPr>
          <w:ilvl w:val="0"/>
          <w:numId w:val="12"/>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本谈判文件的最终解释权由采购人与综合部享有。谈判文件中供应商参加本次政府采购活动应当具备的条件、项目技术、服务、商务及其他要求以及评审办法及标准由采购人负责解释。除上述谈判文件内容，其他内容由综合部负责解释。</w:t>
      </w:r>
    </w:p>
    <w:p>
      <w:pPr>
        <w:pStyle w:val="5"/>
        <w:numPr>
          <w:ilvl w:val="2"/>
          <w:numId w:val="6"/>
        </w:numPr>
        <w:ind w:left="0" w:firstLine="562" w:firstLineChars="200"/>
        <w:rPr>
          <w:color w:val="auto"/>
        </w:rPr>
      </w:pPr>
      <w:bookmarkStart w:id="27" w:name="_Toc287623639"/>
      <w:r>
        <w:rPr>
          <w:rFonts w:hint="eastAsia"/>
          <w:color w:val="auto"/>
        </w:rPr>
        <w:t>有关定义</w:t>
      </w:r>
      <w:bookmarkEnd w:id="27"/>
    </w:p>
    <w:p>
      <w:pPr>
        <w:numPr>
          <w:ilvl w:val="0"/>
          <w:numId w:val="13"/>
        </w:numPr>
        <w:tabs>
          <w:tab w:val="left" w:pos="1130"/>
          <w:tab w:val="left" w:pos="1200"/>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“采购人”、“甲方”系指依法进行政府采购的成都东部新区机关、事业单位、团体组织。本次竞争性谈判项目的采购人（甲方）是</w:t>
      </w:r>
      <w:r>
        <w:rPr>
          <w:rFonts w:hint="eastAsia" w:ascii="宋体" w:hAnsi="宋体" w:cs="宋体"/>
          <w:b/>
          <w:color w:val="auto"/>
          <w:sz w:val="28"/>
          <w:szCs w:val="28"/>
        </w:rPr>
        <w:t>成都东部新区贾家初级中学</w:t>
      </w:r>
      <w:r>
        <w:rPr>
          <w:rFonts w:hint="eastAsia" w:ascii="宋体" w:hAnsi="宋体" w:cs="宋体"/>
          <w:color w:val="auto"/>
          <w:sz w:val="28"/>
          <w:szCs w:val="28"/>
        </w:rPr>
        <w:t>。</w:t>
      </w:r>
    </w:p>
    <w:p>
      <w:pPr>
        <w:numPr>
          <w:ilvl w:val="0"/>
          <w:numId w:val="13"/>
        </w:numPr>
        <w:tabs>
          <w:tab w:val="left" w:pos="993"/>
          <w:tab w:val="left" w:pos="1130"/>
          <w:tab w:val="left" w:pos="1200"/>
          <w:tab w:val="clear" w:pos="420"/>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“供应商”系指按照竞争性谈判文件“竞争性谈判邀请”中第六、七、八条规定获取了采购文件拟参加竞争性谈判和向采购人提供货物的供应商。“乙方”系指本项目的成交供应商。</w:t>
      </w:r>
    </w:p>
    <w:p>
      <w:pPr>
        <w:numPr>
          <w:ilvl w:val="0"/>
          <w:numId w:val="13"/>
        </w:numPr>
        <w:tabs>
          <w:tab w:val="left" w:pos="1130"/>
          <w:tab w:val="left" w:pos="1200"/>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本谈判文件各部分规定的期间以时、日、月、年计算。期间开始的时和日，不计算在期间内，从次日开始计算。期间届满的最后一天是节假日的，以节假日后的第一日为期间届满的日期。</w:t>
      </w:r>
    </w:p>
    <w:p>
      <w:pPr>
        <w:numPr>
          <w:ilvl w:val="0"/>
          <w:numId w:val="13"/>
        </w:numPr>
        <w:tabs>
          <w:tab w:val="left" w:pos="1130"/>
          <w:tab w:val="left" w:pos="1200"/>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谈判文件中所称的“以上”、“以下”、“内”、“以内”，包括本数；所称的“不足”，不包括本数。</w:t>
      </w:r>
    </w:p>
    <w:p>
      <w:pPr>
        <w:numPr>
          <w:ilvl w:val="0"/>
          <w:numId w:val="13"/>
        </w:numPr>
        <w:tabs>
          <w:tab w:val="left" w:pos="1130"/>
          <w:tab w:val="left" w:pos="1200"/>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重大违法记录是指供应商因违法经营受到刑事处罚或者责令停产停业、吊销许可证或者执照、较大数额罚款等行政处罚。</w:t>
      </w:r>
    </w:p>
    <w:p>
      <w:pPr>
        <w:numPr>
          <w:ilvl w:val="0"/>
          <w:numId w:val="13"/>
        </w:numPr>
        <w:tabs>
          <w:tab w:val="left" w:pos="1130"/>
          <w:tab w:val="left" w:pos="1200"/>
          <w:tab w:val="left" w:pos="1843"/>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pStyle w:val="87"/>
        <w:numPr>
          <w:ilvl w:val="0"/>
          <w:numId w:val="13"/>
        </w:numPr>
        <w:tabs>
          <w:tab w:val="left" w:pos="0"/>
          <w:tab w:val="clear" w:pos="420"/>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不见面谈判是指，综合部依托政府采购云平台组织谈判活动，供应商在线参与谈判的一种组织形式。</w:t>
      </w:r>
    </w:p>
    <w:p>
      <w:pPr>
        <w:pStyle w:val="5"/>
        <w:numPr>
          <w:ilvl w:val="2"/>
          <w:numId w:val="6"/>
        </w:numPr>
        <w:ind w:left="0" w:firstLine="562" w:firstLineChars="200"/>
        <w:rPr>
          <w:color w:val="auto"/>
        </w:rPr>
      </w:pPr>
      <w:r>
        <w:rPr>
          <w:rFonts w:hint="eastAsia"/>
          <w:color w:val="auto"/>
        </w:rPr>
        <w:t>合格的供应商</w:t>
      </w:r>
    </w:p>
    <w:p>
      <w:pPr>
        <w:tabs>
          <w:tab w:val="left" w:pos="1134"/>
        </w:tabs>
        <w:spacing w:line="360" w:lineRule="auto"/>
        <w:ind w:firstLine="560" w:firstLineChars="200"/>
        <w:rPr>
          <w:rFonts w:ascii="宋体" w:hAnsi="宋体" w:cs="宋体"/>
          <w:color w:val="auto"/>
        </w:rPr>
      </w:pPr>
      <w:r>
        <w:rPr>
          <w:rFonts w:hint="eastAsia" w:ascii="宋体" w:hAnsi="宋体" w:cs="宋体"/>
          <w:color w:val="auto"/>
          <w:sz w:val="28"/>
          <w:szCs w:val="28"/>
        </w:rPr>
        <w:t>合格的供应商应具备以下条件：</w:t>
      </w:r>
    </w:p>
    <w:p>
      <w:pPr>
        <w:numPr>
          <w:ilvl w:val="1"/>
          <w:numId w:val="14"/>
        </w:numPr>
        <w:tabs>
          <w:tab w:val="left" w:pos="1134"/>
        </w:tabs>
        <w:spacing w:line="360" w:lineRule="auto"/>
        <w:ind w:left="0" w:firstLine="560" w:firstLineChars="200"/>
        <w:rPr>
          <w:rFonts w:ascii="宋体" w:hAnsi="宋体" w:cs="宋体"/>
          <w:color w:val="auto"/>
          <w:spacing w:val="-4"/>
          <w:sz w:val="28"/>
          <w:szCs w:val="28"/>
        </w:rPr>
      </w:pPr>
      <w:r>
        <w:rPr>
          <w:rFonts w:hint="eastAsia" w:ascii="宋体" w:hAnsi="宋体" w:cs="宋体"/>
          <w:color w:val="auto"/>
          <w:sz w:val="28"/>
          <w:szCs w:val="28"/>
        </w:rPr>
        <w:t>符合“竞争性谈判邀请”第四条规定的条件</w:t>
      </w:r>
      <w:r>
        <w:rPr>
          <w:rFonts w:hint="eastAsia" w:ascii="宋体" w:hAnsi="宋体" w:cs="宋体"/>
          <w:color w:val="auto"/>
          <w:spacing w:val="-4"/>
          <w:sz w:val="28"/>
          <w:szCs w:val="28"/>
        </w:rPr>
        <w:t>；</w:t>
      </w:r>
    </w:p>
    <w:p>
      <w:pPr>
        <w:numPr>
          <w:ilvl w:val="1"/>
          <w:numId w:val="14"/>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按照竞争性谈判文件“竞争性谈判邀请”中第六、七、八条规定获取了采购文件。</w:t>
      </w:r>
    </w:p>
    <w:p>
      <w:pPr>
        <w:pStyle w:val="5"/>
        <w:numPr>
          <w:ilvl w:val="2"/>
          <w:numId w:val="6"/>
        </w:numPr>
        <w:ind w:left="0" w:firstLine="562" w:firstLineChars="200"/>
        <w:rPr>
          <w:color w:val="auto"/>
        </w:rPr>
      </w:pPr>
      <w:bookmarkStart w:id="28" w:name="_Toc287623640"/>
      <w:bookmarkStart w:id="29" w:name="_Toc320698717"/>
      <w:r>
        <w:rPr>
          <w:rFonts w:hint="eastAsia"/>
          <w:color w:val="auto"/>
        </w:rPr>
        <w:t>参加竞争性谈判的费用</w:t>
      </w:r>
      <w:bookmarkEnd w:id="28"/>
    </w:p>
    <w:p>
      <w:pPr>
        <w:tabs>
          <w:tab w:val="left" w:pos="7665"/>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供应商应自行承担参加竞争性谈判采购活动的全部费用。</w:t>
      </w:r>
    </w:p>
    <w:p>
      <w:pPr>
        <w:pStyle w:val="5"/>
        <w:numPr>
          <w:ilvl w:val="2"/>
          <w:numId w:val="6"/>
        </w:numPr>
        <w:ind w:left="0" w:firstLine="562" w:firstLineChars="200"/>
        <w:rPr>
          <w:color w:val="auto"/>
        </w:rPr>
      </w:pPr>
      <w:r>
        <w:rPr>
          <w:rFonts w:hint="eastAsia"/>
          <w:color w:val="auto"/>
        </w:rPr>
        <w:t>充分、公平竞争保障措施</w:t>
      </w:r>
    </w:p>
    <w:p>
      <w:pPr>
        <w:numPr>
          <w:ilvl w:val="1"/>
          <w:numId w:val="15"/>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单位负责人为同一人或者存在直接控股、管理关系的不同供应商，不得参加同一项目的谈判采购活动。</w:t>
      </w:r>
    </w:p>
    <w:p>
      <w:pPr>
        <w:numPr>
          <w:ilvl w:val="1"/>
          <w:numId w:val="15"/>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为采购项目提供整体设计、规范编制或者项目管理、监理、检测等服务的供应商，不得再参加该采购项目的其他采购活动。供应商为采购人、综合部在确定采购需求、编制采购文件过程中提供咨询论证，其提供的咨询论证意见成为采购文件中规定的供应商资格条件、技术、服务要求、评审因素和标准、政府采购合同等实质性内容条款的，视同为采购项目提供规范编制。</w:t>
      </w:r>
      <w:r>
        <w:rPr>
          <w:rFonts w:hint="eastAsia" w:ascii="宋体" w:hAnsi="宋体" w:cs="宋体"/>
          <w:b/>
          <w:color w:val="auto"/>
          <w:sz w:val="28"/>
          <w:szCs w:val="28"/>
        </w:rPr>
        <w:t>（说明：无供应商为本项目提供整体设计、规范编制或者项目管理、监理、检测等服务）</w:t>
      </w:r>
    </w:p>
    <w:p>
      <w:pPr>
        <w:numPr>
          <w:ilvl w:val="1"/>
          <w:numId w:val="15"/>
        </w:numPr>
        <w:tabs>
          <w:tab w:val="left" w:pos="1134"/>
        </w:tabs>
        <w:spacing w:line="360" w:lineRule="auto"/>
        <w:ind w:left="0" w:firstLine="562" w:firstLineChars="200"/>
        <w:rPr>
          <w:rFonts w:ascii="宋体" w:hAnsi="宋体" w:cs="宋体"/>
          <w:color w:val="auto"/>
          <w:sz w:val="28"/>
          <w:szCs w:val="28"/>
        </w:rPr>
      </w:pPr>
      <w:r>
        <w:rPr>
          <w:rFonts w:hint="eastAsia" w:ascii="宋体" w:hAnsi="宋体" w:cs="宋体"/>
          <w:b/>
          <w:bCs/>
          <w:color w:val="auto"/>
          <w:sz w:val="28"/>
          <w:szCs w:val="28"/>
        </w:rPr>
        <w:t>本项目核心产品为：见第4章</w:t>
      </w:r>
      <w:r>
        <w:rPr>
          <w:rFonts w:hint="eastAsia" w:ascii="宋体" w:hAnsi="宋体" w:cs="宋体"/>
          <w:color w:val="auto"/>
          <w:sz w:val="28"/>
          <w:szCs w:val="28"/>
        </w:rPr>
        <w:t>。提供核心产品品牌相同且通过资格检查和符合性检查的不同供应商参加同一项目（包件）谈判的，按一家供应商计算，报价最低的供应商获得成交候选人推荐资格；报价相同的，由评标委员会采取随机抽取的方式确定一个供应商获得中标候选人推荐资格。</w:t>
      </w:r>
    </w:p>
    <w:p>
      <w:pPr>
        <w:pStyle w:val="4"/>
        <w:numPr>
          <w:ilvl w:val="1"/>
          <w:numId w:val="6"/>
        </w:numPr>
        <w:tabs>
          <w:tab w:val="left" w:pos="426"/>
          <w:tab w:val="left" w:pos="567"/>
        </w:tabs>
        <w:spacing w:before="0" w:after="0"/>
        <w:ind w:left="0" w:firstLine="562" w:firstLineChars="200"/>
        <w:jc w:val="both"/>
        <w:rPr>
          <w:color w:val="auto"/>
        </w:rPr>
      </w:pPr>
      <w:bookmarkStart w:id="30" w:name="_Toc3557"/>
      <w:bookmarkStart w:id="31" w:name="_Toc1966"/>
      <w:bookmarkStart w:id="32" w:name="_Toc15909"/>
      <w:r>
        <w:rPr>
          <w:rFonts w:hint="eastAsia"/>
          <w:color w:val="auto"/>
        </w:rPr>
        <w:t>谈判文件</w:t>
      </w:r>
      <w:bookmarkEnd w:id="30"/>
      <w:bookmarkEnd w:id="31"/>
      <w:bookmarkEnd w:id="32"/>
    </w:p>
    <w:p>
      <w:pPr>
        <w:pStyle w:val="5"/>
        <w:numPr>
          <w:ilvl w:val="2"/>
          <w:numId w:val="6"/>
        </w:numPr>
        <w:ind w:left="0" w:firstLine="562" w:firstLineChars="200"/>
        <w:rPr>
          <w:color w:val="auto"/>
        </w:rPr>
      </w:pPr>
      <w:r>
        <w:rPr>
          <w:rFonts w:hint="eastAsia"/>
          <w:color w:val="auto"/>
        </w:rPr>
        <w:t>谈判文件的构成</w:t>
      </w:r>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一、竞争性谈判文件是供应商准备响应文件和参加谈判的依据，同时也是评审的重要依据。竞争性谈判文件用以阐明采购项目所需的资质、技术、服务及报价等要求、谈判程序、有关规定和注意事项以及合同草案条款等。本谈判文件包括以下内容：</w:t>
      </w:r>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（一）竞争性谈判邀请；</w:t>
      </w:r>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（二）供应商须知；</w:t>
      </w:r>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（三）响应文件格式；</w:t>
      </w:r>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（四）项目技术、服务、商务及其他要求；</w:t>
      </w:r>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（五）谈判办法；</w:t>
      </w:r>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（六）合同草案条款。</w:t>
      </w:r>
    </w:p>
    <w:p>
      <w:pPr>
        <w:tabs>
          <w:tab w:val="left" w:pos="1134"/>
        </w:tabs>
        <w:spacing w:line="360" w:lineRule="auto"/>
        <w:ind w:firstLine="560" w:firstLineChars="200"/>
        <w:rPr>
          <w:rFonts w:ascii="宋体" w:hAnsi="宋体" w:cs="宋体"/>
          <w:color w:val="auto"/>
        </w:rPr>
      </w:pPr>
      <w:r>
        <w:rPr>
          <w:rFonts w:hint="eastAsia" w:ascii="宋体" w:hAnsi="宋体" w:cs="宋体"/>
          <w:color w:val="auto"/>
          <w:sz w:val="28"/>
          <w:szCs w:val="28"/>
        </w:rPr>
        <w:t>二、</w:t>
      </w:r>
      <w:bookmarkEnd w:id="29"/>
      <w:r>
        <w:rPr>
          <w:rFonts w:hint="eastAsia" w:ascii="宋体" w:hAnsi="宋体" w:cs="宋体"/>
          <w:color w:val="auto"/>
          <w:sz w:val="28"/>
          <w:szCs w:val="28"/>
        </w:rPr>
        <w:t>供应商应认真阅读和充分理解竞争性谈判文件中所有的事项、格式条款和规范要求。按照谈判文件的要求提供响应文件，并保证所提供的全部资料的真实性和有效性，一经发现有虚假行为的，将取消其参加谈判或成交资格，并承担相应的法律责任。供应商没有对竞争性谈判文件全面做出实质性响应所产生的风险由供应商承担。</w:t>
      </w:r>
    </w:p>
    <w:p>
      <w:pPr>
        <w:pStyle w:val="5"/>
        <w:numPr>
          <w:ilvl w:val="2"/>
          <w:numId w:val="6"/>
        </w:numPr>
        <w:ind w:left="0" w:firstLine="562" w:firstLineChars="200"/>
        <w:rPr>
          <w:color w:val="auto"/>
        </w:rPr>
      </w:pPr>
      <w:bookmarkStart w:id="33" w:name="_Toc183682348"/>
      <w:bookmarkStart w:id="34" w:name="_Toc183582211"/>
      <w:bookmarkStart w:id="35" w:name="_Toc217446040"/>
      <w:r>
        <w:rPr>
          <w:rFonts w:hint="eastAsia"/>
          <w:color w:val="auto"/>
        </w:rPr>
        <w:t>谈判文件的澄清</w:t>
      </w:r>
      <w:bookmarkEnd w:id="33"/>
      <w:bookmarkEnd w:id="34"/>
      <w:r>
        <w:rPr>
          <w:rFonts w:hint="eastAsia"/>
          <w:color w:val="auto"/>
        </w:rPr>
        <w:t>和修改</w:t>
      </w:r>
      <w:bookmarkEnd w:id="35"/>
    </w:p>
    <w:p>
      <w:pPr>
        <w:numPr>
          <w:ilvl w:val="0"/>
          <w:numId w:val="16"/>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在提交首次响应文件截止时间前，采购人或者综合部可以对已发出的谈判文件进行必要的澄清或者修改。</w:t>
      </w:r>
    </w:p>
    <w:p>
      <w:pPr>
        <w:numPr>
          <w:ilvl w:val="0"/>
          <w:numId w:val="16"/>
        </w:numPr>
        <w:tabs>
          <w:tab w:val="left" w:pos="1134"/>
        </w:tabs>
        <w:spacing w:line="360" w:lineRule="auto"/>
        <w:ind w:left="0" w:firstLine="560" w:firstLineChars="200"/>
        <w:rPr>
          <w:rFonts w:ascii="宋体" w:hAnsi="宋体" w:cs="宋体"/>
          <w:color w:val="auto"/>
          <w:sz w:val="28"/>
          <w:szCs w:val="28"/>
        </w:rPr>
      </w:pPr>
      <w:bookmarkStart w:id="36" w:name="_Toc320698720"/>
      <w:r>
        <w:rPr>
          <w:rFonts w:hint="eastAsia" w:ascii="宋体" w:hAnsi="宋体" w:cs="宋体"/>
          <w:color w:val="auto"/>
          <w:sz w:val="28"/>
          <w:szCs w:val="28"/>
        </w:rPr>
        <w:t>澄清或者修改的内容，综合部将在“政府采购云平台”上发布澄清公告，同时通过成都市公共资源电子交易云平台将澄清或者修改的内容告知所有在系统中成功提交《采购文件获取登记表》的潜在供应商（供应商通过账号或CA证书登录云平台查看），该澄清或者修改的内容为谈判文件的组成部分。</w:t>
      </w:r>
    </w:p>
    <w:p>
      <w:pPr>
        <w:numPr>
          <w:ilvl w:val="0"/>
          <w:numId w:val="16"/>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澄清或者修改的内容可能影响响应文件编制的，澄清或者修改的内容可能影响响应文件编制的，综合部应当在提交首次响应文件截止之日起3个工作日前，通过成都市公共资源电子交易云平台或</w:t>
      </w:r>
      <w:r>
        <w:rPr>
          <w:rFonts w:hint="eastAsia" w:ascii="宋体" w:hAnsi="宋体" w:cs="宋体"/>
          <w:bCs/>
          <w:color w:val="auto"/>
          <w:sz w:val="28"/>
          <w:szCs w:val="28"/>
        </w:rPr>
        <w:t>以电子邮件方式</w:t>
      </w:r>
      <w:r>
        <w:rPr>
          <w:rFonts w:hint="eastAsia" w:ascii="宋体" w:hAnsi="宋体" w:cs="宋体"/>
          <w:color w:val="auto"/>
          <w:sz w:val="28"/>
          <w:szCs w:val="28"/>
        </w:rPr>
        <w:t>通知所有获取采购文件的潜在供应商；不足上述时间的，采购人或综合部应当顺延递交响应文件的截止时间。</w:t>
      </w:r>
    </w:p>
    <w:p>
      <w:pPr>
        <w:pStyle w:val="4"/>
        <w:numPr>
          <w:ilvl w:val="1"/>
          <w:numId w:val="6"/>
        </w:numPr>
        <w:tabs>
          <w:tab w:val="left" w:pos="426"/>
          <w:tab w:val="left" w:pos="567"/>
        </w:tabs>
        <w:spacing w:before="0" w:after="0"/>
        <w:ind w:left="0" w:firstLine="562" w:firstLineChars="200"/>
        <w:jc w:val="both"/>
        <w:rPr>
          <w:color w:val="auto"/>
        </w:rPr>
      </w:pPr>
      <w:bookmarkStart w:id="37" w:name="_Toc19834"/>
      <w:bookmarkStart w:id="38" w:name="_Toc32454"/>
      <w:bookmarkStart w:id="39" w:name="_Toc12262"/>
      <w:bookmarkStart w:id="40" w:name="_Toc58943328"/>
      <w:r>
        <w:rPr>
          <w:rFonts w:hint="eastAsia"/>
          <w:color w:val="auto"/>
        </w:rPr>
        <w:t>响应文件</w:t>
      </w:r>
      <w:bookmarkEnd w:id="36"/>
      <w:bookmarkEnd w:id="37"/>
      <w:bookmarkEnd w:id="38"/>
      <w:bookmarkEnd w:id="39"/>
      <w:bookmarkEnd w:id="40"/>
    </w:p>
    <w:p>
      <w:pPr>
        <w:pStyle w:val="5"/>
        <w:numPr>
          <w:ilvl w:val="2"/>
          <w:numId w:val="6"/>
        </w:numPr>
        <w:ind w:left="0" w:firstLine="562" w:firstLineChars="200"/>
        <w:rPr>
          <w:color w:val="auto"/>
        </w:rPr>
      </w:pPr>
      <w:bookmarkStart w:id="41" w:name="_Toc320698721"/>
      <w:r>
        <w:rPr>
          <w:rFonts w:hint="eastAsia"/>
          <w:color w:val="auto"/>
        </w:rPr>
        <w:t>响应文件的语言</w:t>
      </w:r>
      <w:bookmarkEnd w:id="41"/>
      <w:r>
        <w:rPr>
          <w:rFonts w:hint="eastAsia"/>
          <w:color w:val="auto"/>
        </w:rPr>
        <w:t>（实质性要求）</w:t>
      </w:r>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一、供应商提交的响应文件以及供应商与谈判小组在评审过程中的所有来往书面文件均须使用中文。响应文件中如附有外文资料，主要部分要对应翻译成中文并附在相关外文资料后面。</w:t>
      </w:r>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二、翻译的中文资料与外文资料如果出现差异和矛盾时，以中文为准。涉嫌提供虚假材料的按照相关法律法规处理。</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三、如因未翻译而造成对供应商的不利后果，由供应商承担。</w:t>
      </w:r>
    </w:p>
    <w:p>
      <w:pPr>
        <w:pStyle w:val="5"/>
        <w:numPr>
          <w:ilvl w:val="2"/>
          <w:numId w:val="6"/>
        </w:numPr>
        <w:ind w:left="0" w:firstLine="562" w:firstLineChars="200"/>
        <w:rPr>
          <w:color w:val="auto"/>
        </w:rPr>
      </w:pPr>
      <w:r>
        <w:rPr>
          <w:rFonts w:hint="eastAsia"/>
          <w:color w:val="auto"/>
        </w:rPr>
        <w:t>计量单位（实质性要求）</w:t>
      </w:r>
    </w:p>
    <w:p>
      <w:pPr>
        <w:tabs>
          <w:tab w:val="left" w:pos="1200"/>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除谈判文件中另有规定外，本次采购项目所有合同项下的响应均采用国家法定的计量单位。</w:t>
      </w:r>
    </w:p>
    <w:p>
      <w:pPr>
        <w:pStyle w:val="5"/>
        <w:numPr>
          <w:ilvl w:val="2"/>
          <w:numId w:val="6"/>
        </w:numPr>
        <w:ind w:left="0" w:firstLine="562" w:firstLineChars="200"/>
        <w:rPr>
          <w:color w:val="auto"/>
        </w:rPr>
      </w:pPr>
      <w:bookmarkStart w:id="42" w:name="_Toc320698723"/>
      <w:r>
        <w:rPr>
          <w:rFonts w:hint="eastAsia"/>
          <w:color w:val="auto"/>
        </w:rPr>
        <w:t>联合体</w:t>
      </w:r>
      <w:bookmarkEnd w:id="42"/>
    </w:p>
    <w:p>
      <w:pPr>
        <w:tabs>
          <w:tab w:val="left" w:pos="1200"/>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本次政府采购活动</w:t>
      </w:r>
      <w:r>
        <w:rPr>
          <w:rFonts w:hint="eastAsia" w:ascii="宋体" w:hAnsi="宋体" w:cs="宋体"/>
          <w:b/>
          <w:color w:val="auto"/>
          <w:sz w:val="28"/>
          <w:szCs w:val="28"/>
        </w:rPr>
        <w:t>不接受</w:t>
      </w:r>
      <w:r>
        <w:rPr>
          <w:rFonts w:hint="eastAsia" w:ascii="宋体" w:hAnsi="宋体" w:cs="宋体"/>
          <w:color w:val="auto"/>
          <w:sz w:val="28"/>
          <w:szCs w:val="28"/>
        </w:rPr>
        <w:t>供应商以联合体的形式参加。</w:t>
      </w:r>
    </w:p>
    <w:p>
      <w:pPr>
        <w:pStyle w:val="5"/>
        <w:numPr>
          <w:ilvl w:val="2"/>
          <w:numId w:val="6"/>
        </w:numPr>
        <w:ind w:left="0" w:firstLine="562" w:firstLineChars="200"/>
        <w:rPr>
          <w:color w:val="auto"/>
        </w:rPr>
      </w:pPr>
      <w:bookmarkStart w:id="43" w:name="_Toc217446047"/>
      <w:r>
        <w:rPr>
          <w:rFonts w:hint="eastAsia"/>
          <w:color w:val="auto"/>
        </w:rPr>
        <w:t>知识产权</w:t>
      </w:r>
      <w:bookmarkEnd w:id="43"/>
      <w:r>
        <w:rPr>
          <w:rFonts w:hint="eastAsia"/>
          <w:color w:val="auto"/>
        </w:rPr>
        <w:t>（实质性要求）</w:t>
      </w:r>
    </w:p>
    <w:p>
      <w:pPr>
        <w:pStyle w:val="127"/>
        <w:spacing w:line="360" w:lineRule="auto"/>
        <w:ind w:firstLine="560" w:firstLineChars="200"/>
        <w:jc w:val="both"/>
        <w:rPr>
          <w:color w:val="auto"/>
          <w:kern w:val="2"/>
        </w:rPr>
      </w:pPr>
      <w:r>
        <w:rPr>
          <w:rFonts w:hint="eastAsia"/>
          <w:color w:val="auto"/>
          <w:kern w:val="2"/>
          <w:sz w:val="28"/>
          <w:szCs w:val="28"/>
        </w:rPr>
        <w:t>一、供应</w:t>
      </w:r>
      <w:r>
        <w:rPr>
          <w:rFonts w:hint="eastAsia"/>
          <w:color w:val="auto"/>
          <w:kern w:val="2"/>
        </w:rPr>
        <w:t>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pPr>
        <w:pStyle w:val="127"/>
        <w:spacing w:line="360" w:lineRule="auto"/>
        <w:ind w:firstLine="480" w:firstLineChars="200"/>
        <w:jc w:val="both"/>
        <w:rPr>
          <w:color w:val="auto"/>
          <w:kern w:val="2"/>
        </w:rPr>
      </w:pPr>
      <w:r>
        <w:rPr>
          <w:rFonts w:hint="eastAsia"/>
          <w:color w:val="auto"/>
          <w:kern w:val="2"/>
        </w:rPr>
        <w:t>二、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三、如采用供应商所不拥有的知识产权，则在报价中必须包括合法获取使用该知识产权的相关费用。</w:t>
      </w:r>
    </w:p>
    <w:p>
      <w:pPr>
        <w:pStyle w:val="5"/>
        <w:numPr>
          <w:ilvl w:val="2"/>
          <w:numId w:val="6"/>
        </w:numPr>
        <w:ind w:left="0" w:firstLine="562" w:firstLineChars="200"/>
        <w:rPr>
          <w:color w:val="auto"/>
        </w:rPr>
      </w:pPr>
      <w:bookmarkStart w:id="44" w:name="_Toc320698724"/>
      <w:bookmarkStart w:id="45" w:name="_Toc320698725"/>
      <w:r>
        <w:rPr>
          <w:rFonts w:hint="eastAsia"/>
          <w:color w:val="auto"/>
        </w:rPr>
        <w:t>响应文件的组成</w:t>
      </w:r>
      <w:bookmarkEnd w:id="44"/>
      <w:r>
        <w:rPr>
          <w:rFonts w:hint="eastAsia"/>
          <w:color w:val="auto"/>
        </w:rPr>
        <w:t>（实质性要求）</w:t>
      </w:r>
    </w:p>
    <w:p>
      <w:pPr>
        <w:tabs>
          <w:tab w:val="left" w:pos="1200"/>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供应商应按照谈判文件的规定和要求编制响应文件。供应商编写的响应文件应包括下列部分：</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一、资格性响应文件：用于谈判小组资格性审查；</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二、技术、服务性响应文件及报价要求响应文件：用于供应商与谈判小组谈判；</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三、最后报价文件（按谈判小组的要求提供最后报价）。</w:t>
      </w:r>
    </w:p>
    <w:p>
      <w:pPr>
        <w:pStyle w:val="5"/>
        <w:numPr>
          <w:ilvl w:val="3"/>
          <w:numId w:val="6"/>
        </w:numPr>
        <w:ind w:left="0" w:firstLine="562" w:firstLineChars="200"/>
        <w:rPr>
          <w:color w:val="auto"/>
        </w:rPr>
      </w:pPr>
      <w:r>
        <w:rPr>
          <w:rFonts w:hint="eastAsia"/>
          <w:color w:val="auto"/>
        </w:rPr>
        <w:t>资格性响应文件</w:t>
      </w:r>
      <w:bookmarkEnd w:id="45"/>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资格性响应文件由以下部分组成：</w:t>
      </w:r>
    </w:p>
    <w:p>
      <w:pPr>
        <w:pStyle w:val="156"/>
        <w:numPr>
          <w:ilvl w:val="0"/>
          <w:numId w:val="17"/>
        </w:numPr>
        <w:tabs>
          <w:tab w:val="left" w:pos="1134"/>
        </w:tabs>
        <w:ind w:left="0" w:firstLine="560"/>
        <w:rPr>
          <w:rFonts w:ascii="宋体" w:hAnsi="宋体" w:cs="宋体"/>
          <w:color w:val="auto"/>
          <w:sz w:val="28"/>
          <w:szCs w:val="28"/>
        </w:rPr>
      </w:pPr>
      <w:r>
        <w:rPr>
          <w:rFonts w:hint="eastAsia" w:ascii="宋体" w:hAnsi="宋体" w:cs="宋体"/>
          <w:color w:val="auto"/>
          <w:sz w:val="28"/>
          <w:szCs w:val="28"/>
        </w:rPr>
        <w:t>供应商申明函；</w:t>
      </w:r>
    </w:p>
    <w:p>
      <w:pPr>
        <w:pStyle w:val="156"/>
        <w:numPr>
          <w:ilvl w:val="0"/>
          <w:numId w:val="17"/>
        </w:numPr>
        <w:tabs>
          <w:tab w:val="left" w:pos="1134"/>
        </w:tabs>
        <w:ind w:left="0" w:firstLine="560"/>
        <w:rPr>
          <w:rFonts w:ascii="宋体" w:hAnsi="宋体" w:cs="宋体"/>
          <w:color w:val="auto"/>
          <w:sz w:val="28"/>
          <w:szCs w:val="28"/>
        </w:rPr>
      </w:pPr>
      <w:r>
        <w:rPr>
          <w:rFonts w:hint="eastAsia" w:ascii="宋体" w:hAnsi="宋体" w:cs="宋体"/>
          <w:color w:val="auto"/>
          <w:sz w:val="28"/>
          <w:szCs w:val="28"/>
        </w:rPr>
        <w:t>声明；</w:t>
      </w:r>
    </w:p>
    <w:p>
      <w:pPr>
        <w:pStyle w:val="156"/>
        <w:numPr>
          <w:ilvl w:val="0"/>
          <w:numId w:val="17"/>
        </w:numPr>
        <w:tabs>
          <w:tab w:val="left" w:pos="1134"/>
        </w:tabs>
        <w:ind w:left="0" w:firstLine="560"/>
        <w:rPr>
          <w:rFonts w:ascii="宋体" w:hAnsi="宋体" w:cs="宋体"/>
          <w:color w:val="auto"/>
          <w:sz w:val="28"/>
          <w:szCs w:val="28"/>
        </w:rPr>
      </w:pPr>
      <w:r>
        <w:rPr>
          <w:rFonts w:hint="eastAsia" w:ascii="宋体" w:hAnsi="宋体" w:cs="宋体"/>
          <w:color w:val="auto"/>
          <w:sz w:val="28"/>
          <w:szCs w:val="28"/>
        </w:rPr>
        <w:t>中小企业声明函（说明：提供了《残疾人福利性单位声明函》或监狱企业证明文件复印件的不需提供）；</w:t>
      </w:r>
    </w:p>
    <w:p>
      <w:pPr>
        <w:pStyle w:val="156"/>
        <w:numPr>
          <w:ilvl w:val="0"/>
          <w:numId w:val="17"/>
        </w:numPr>
        <w:tabs>
          <w:tab w:val="left" w:pos="1134"/>
        </w:tabs>
        <w:ind w:left="0" w:firstLine="560"/>
        <w:rPr>
          <w:rFonts w:ascii="宋体" w:hAnsi="宋体" w:cs="宋体"/>
          <w:color w:val="auto"/>
          <w:sz w:val="28"/>
          <w:szCs w:val="28"/>
        </w:rPr>
      </w:pPr>
      <w:r>
        <w:rPr>
          <w:rFonts w:hint="eastAsia" w:ascii="宋体" w:hAnsi="宋体" w:cs="宋体"/>
          <w:color w:val="auto"/>
          <w:sz w:val="28"/>
          <w:szCs w:val="28"/>
        </w:rPr>
        <w:t>残疾人福利性单位声明函（说明：提供了《中小企业声明函》或监狱企业证明文件复印件的不需提供）；</w:t>
      </w:r>
    </w:p>
    <w:p>
      <w:pPr>
        <w:pStyle w:val="156"/>
        <w:numPr>
          <w:ilvl w:val="0"/>
          <w:numId w:val="17"/>
        </w:numPr>
        <w:tabs>
          <w:tab w:val="left" w:pos="1134"/>
        </w:tabs>
        <w:ind w:left="0" w:firstLine="560"/>
        <w:rPr>
          <w:rFonts w:ascii="宋体" w:hAnsi="宋体" w:cs="宋体"/>
          <w:color w:val="auto"/>
          <w:sz w:val="28"/>
          <w:szCs w:val="28"/>
        </w:rPr>
      </w:pPr>
      <w:r>
        <w:rPr>
          <w:rFonts w:hint="eastAsia" w:ascii="宋体" w:hAnsi="宋体" w:cs="宋体"/>
          <w:color w:val="auto"/>
          <w:sz w:val="28"/>
        </w:rPr>
        <w:t>法定代表人或主要负责人</w:t>
      </w:r>
      <w:r>
        <w:rPr>
          <w:rFonts w:hint="eastAsia" w:ascii="宋体" w:hAnsi="宋体" w:cs="宋体"/>
          <w:color w:val="auto"/>
          <w:sz w:val="28"/>
          <w:szCs w:val="28"/>
        </w:rPr>
        <w:t>身份证明书以及</w:t>
      </w:r>
      <w:r>
        <w:rPr>
          <w:rFonts w:hint="eastAsia" w:ascii="宋体" w:hAnsi="宋体" w:cs="宋体"/>
          <w:color w:val="auto"/>
          <w:sz w:val="28"/>
        </w:rPr>
        <w:t>法定代表人或主要负责人</w:t>
      </w:r>
      <w:r>
        <w:rPr>
          <w:rFonts w:hint="eastAsia" w:ascii="宋体" w:hAnsi="宋体" w:cs="宋体"/>
          <w:color w:val="auto"/>
          <w:sz w:val="28"/>
          <w:szCs w:val="28"/>
        </w:rPr>
        <w:t>身份证复印件（身份证两面均应复印）或护照复印件（说明：（1）供应商的</w:t>
      </w:r>
      <w:r>
        <w:rPr>
          <w:rFonts w:hint="eastAsia" w:ascii="宋体" w:hAnsi="宋体" w:cs="宋体"/>
          <w:color w:val="auto"/>
          <w:sz w:val="28"/>
        </w:rPr>
        <w:t>法定代表人或主要负责人</w:t>
      </w:r>
      <w:r>
        <w:rPr>
          <w:rFonts w:hint="eastAsia" w:ascii="宋体" w:hAnsi="宋体" w:cs="宋体"/>
          <w:color w:val="auto"/>
          <w:sz w:val="28"/>
          <w:szCs w:val="28"/>
        </w:rPr>
        <w:t>为外籍人士的，则提供护照复印件；（2）</w:t>
      </w:r>
      <w:r>
        <w:rPr>
          <w:rFonts w:hint="eastAsia" w:ascii="宋体" w:hAnsi="宋体" w:cs="宋体"/>
          <w:b/>
          <w:color w:val="auto"/>
          <w:sz w:val="28"/>
          <w:szCs w:val="28"/>
          <w:lang w:val="zh-CN"/>
        </w:rPr>
        <w:t>主要负责人为供应商提供的其具有独立承担民事责任能力的证明材料中的主要负责人员</w:t>
      </w:r>
      <w:r>
        <w:rPr>
          <w:rFonts w:hint="eastAsia" w:ascii="宋体" w:hAnsi="宋体" w:cs="宋体"/>
          <w:color w:val="auto"/>
          <w:sz w:val="28"/>
          <w:szCs w:val="28"/>
        </w:rPr>
        <w:t>。</w:t>
      </w:r>
    </w:p>
    <w:p>
      <w:pPr>
        <w:pStyle w:val="156"/>
        <w:numPr>
          <w:ilvl w:val="0"/>
          <w:numId w:val="17"/>
        </w:numPr>
        <w:tabs>
          <w:tab w:val="left" w:pos="1134"/>
          <w:tab w:val="left" w:pos="1418"/>
        </w:tabs>
        <w:ind w:left="0" w:firstLine="560"/>
        <w:rPr>
          <w:rFonts w:ascii="宋体" w:hAnsi="宋体" w:cs="宋体"/>
          <w:color w:val="auto"/>
          <w:sz w:val="28"/>
          <w:szCs w:val="28"/>
        </w:rPr>
      </w:pPr>
      <w:r>
        <w:rPr>
          <w:rFonts w:hint="eastAsia" w:ascii="宋体" w:hAnsi="宋体" w:cs="宋体"/>
          <w:color w:val="auto"/>
          <w:sz w:val="28"/>
          <w:szCs w:val="28"/>
        </w:rPr>
        <w:t>供应商基本情况表；</w:t>
      </w:r>
    </w:p>
    <w:p>
      <w:pPr>
        <w:pStyle w:val="156"/>
        <w:numPr>
          <w:ilvl w:val="0"/>
          <w:numId w:val="17"/>
        </w:numPr>
        <w:tabs>
          <w:tab w:val="left" w:pos="1134"/>
          <w:tab w:val="left" w:pos="1418"/>
        </w:tabs>
        <w:ind w:left="0" w:firstLine="560"/>
        <w:rPr>
          <w:rFonts w:ascii="宋体" w:hAnsi="宋体" w:cs="宋体"/>
          <w:color w:val="auto"/>
          <w:sz w:val="28"/>
          <w:szCs w:val="28"/>
        </w:rPr>
      </w:pPr>
      <w:r>
        <w:rPr>
          <w:rFonts w:hint="eastAsia" w:ascii="宋体" w:hAnsi="宋体" w:cs="宋体"/>
          <w:color w:val="auto"/>
          <w:sz w:val="28"/>
          <w:szCs w:val="28"/>
        </w:rPr>
        <w:t>供应商应提交的相关资格证明材料：</w:t>
      </w:r>
    </w:p>
    <w:p>
      <w:pPr>
        <w:tabs>
          <w:tab w:val="left" w:pos="1134"/>
        </w:tabs>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（一）由省级以上监狱管理局、戒毒管理局（含新疆生产建设兵团）出具的供应商属于监狱企业的证明文件复印件（说明：提供了《中小企业声明函》或《残疾人福利性单位声明函》的不需提供）；</w:t>
      </w:r>
    </w:p>
    <w:p>
      <w:pPr>
        <w:tabs>
          <w:tab w:val="left" w:pos="1134"/>
        </w:tabs>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 xml:space="preserve">（二）营业执照或法人登记证或其他能够证明供应商具有独立承担民事责任能力的相关证明材料复印件； </w:t>
      </w:r>
    </w:p>
    <w:p>
      <w:pPr>
        <w:tabs>
          <w:tab w:val="left" w:pos="1134"/>
        </w:tabs>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（三）采购人对供应商履行合同所必须的设备和专业技术能力无特殊要求，供应商可不提供证明材料；</w:t>
      </w:r>
    </w:p>
    <w:p>
      <w:pPr>
        <w:tabs>
          <w:tab w:val="left" w:pos="1134"/>
        </w:tabs>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（四）采购人对法律、行政法规规定的其他条件无其他特殊要求，供应商可不提供证明材料。</w:t>
      </w:r>
    </w:p>
    <w:p>
      <w:pPr>
        <w:pStyle w:val="5"/>
        <w:numPr>
          <w:ilvl w:val="3"/>
          <w:numId w:val="6"/>
        </w:numPr>
        <w:ind w:left="0" w:firstLine="562" w:firstLineChars="200"/>
        <w:rPr>
          <w:color w:val="auto"/>
        </w:rPr>
      </w:pPr>
      <w:bookmarkStart w:id="46" w:name="_Toc320698726"/>
      <w:r>
        <w:rPr>
          <w:rFonts w:hint="eastAsia"/>
          <w:color w:val="auto"/>
        </w:rPr>
        <w:t>技术、服务性响应文件</w:t>
      </w:r>
      <w:bookmarkEnd w:id="46"/>
    </w:p>
    <w:p>
      <w:pPr>
        <w:pStyle w:val="2"/>
        <w:widowControl/>
        <w:numPr>
          <w:ilvl w:val="0"/>
          <w:numId w:val="18"/>
        </w:numPr>
        <w:tabs>
          <w:tab w:val="left" w:pos="1134"/>
        </w:tabs>
        <w:spacing w:after="0" w:line="360" w:lineRule="auto"/>
        <w:ind w:left="0" w:firstLine="560" w:firstLineChars="200"/>
        <w:jc w:val="left"/>
        <w:rPr>
          <w:rFonts w:ascii="宋体" w:hAnsi="宋体" w:cs="宋体"/>
          <w:color w:val="auto"/>
          <w:sz w:val="28"/>
          <w:szCs w:val="28"/>
        </w:rPr>
      </w:pPr>
      <w:bookmarkStart w:id="47" w:name="_Toc320698727"/>
      <w:r>
        <w:rPr>
          <w:rFonts w:hint="eastAsia" w:ascii="宋体" w:hAnsi="宋体" w:cs="宋体"/>
          <w:color w:val="auto"/>
          <w:sz w:val="28"/>
          <w:szCs w:val="28"/>
        </w:rPr>
        <w:t>报价表；</w:t>
      </w:r>
    </w:p>
    <w:p>
      <w:pPr>
        <w:pStyle w:val="2"/>
        <w:widowControl/>
        <w:numPr>
          <w:ilvl w:val="0"/>
          <w:numId w:val="18"/>
        </w:numPr>
        <w:tabs>
          <w:tab w:val="left" w:pos="1134"/>
        </w:tabs>
        <w:spacing w:after="0"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技术、服务、合同条款及其他商务要求应答表</w:t>
      </w:r>
    </w:p>
    <w:p>
      <w:pPr>
        <w:pStyle w:val="2"/>
        <w:widowControl/>
        <w:numPr>
          <w:ilvl w:val="0"/>
          <w:numId w:val="18"/>
        </w:numPr>
        <w:tabs>
          <w:tab w:val="left" w:pos="1134"/>
        </w:tabs>
        <w:spacing w:after="0"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报价产品品牌、型号、技术性能、技术参数和配置的详细描述</w:t>
      </w:r>
    </w:p>
    <w:p>
      <w:pPr>
        <w:pStyle w:val="2"/>
        <w:widowControl/>
        <w:numPr>
          <w:ilvl w:val="0"/>
          <w:numId w:val="18"/>
        </w:numPr>
        <w:tabs>
          <w:tab w:val="left" w:pos="1134"/>
        </w:tabs>
        <w:spacing w:after="0"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承诺函。</w:t>
      </w:r>
    </w:p>
    <w:p>
      <w:pPr>
        <w:pStyle w:val="5"/>
        <w:numPr>
          <w:ilvl w:val="3"/>
          <w:numId w:val="6"/>
        </w:numPr>
        <w:ind w:left="0" w:firstLine="562" w:firstLineChars="200"/>
        <w:rPr>
          <w:color w:val="auto"/>
        </w:rPr>
      </w:pPr>
      <w:r>
        <w:rPr>
          <w:rFonts w:hint="eastAsia"/>
          <w:color w:val="auto"/>
        </w:rPr>
        <w:t>最后报价文件</w:t>
      </w:r>
    </w:p>
    <w:p>
      <w:pPr>
        <w:pStyle w:val="205"/>
        <w:ind w:firstLine="560" w:firstLineChars="200"/>
        <w:rPr>
          <w:rFonts w:ascii="宋体" w:hAnsi="宋体" w:cs="宋体"/>
          <w:b/>
          <w:color w:val="auto"/>
        </w:rPr>
      </w:pPr>
      <w:r>
        <w:rPr>
          <w:rFonts w:hint="eastAsia" w:ascii="宋体" w:hAnsi="宋体" w:cs="宋体"/>
          <w:color w:val="auto"/>
          <w:sz w:val="28"/>
        </w:rPr>
        <w:t>参加最后报价的供应商按谈判小组的要求在政府采购云平台中提供最后报价，报价应是包括谈判文件规定的全部相应内容的报价。</w:t>
      </w:r>
    </w:p>
    <w:p>
      <w:pPr>
        <w:pStyle w:val="5"/>
        <w:numPr>
          <w:ilvl w:val="2"/>
          <w:numId w:val="6"/>
        </w:numPr>
        <w:ind w:left="0" w:firstLine="562" w:firstLineChars="200"/>
        <w:rPr>
          <w:color w:val="auto"/>
        </w:rPr>
      </w:pPr>
      <w:r>
        <w:rPr>
          <w:rFonts w:hint="eastAsia"/>
          <w:color w:val="auto"/>
        </w:rPr>
        <w:t>响应文件格式</w:t>
      </w:r>
    </w:p>
    <w:p>
      <w:pPr>
        <w:pStyle w:val="2"/>
        <w:tabs>
          <w:tab w:val="left" w:pos="1134"/>
        </w:tabs>
        <w:spacing w:after="0" w:line="360" w:lineRule="auto"/>
        <w:ind w:firstLine="560" w:firstLineChars="200"/>
        <w:rPr>
          <w:rFonts w:ascii="宋体" w:hAnsi="宋体" w:cs="宋体"/>
          <w:bCs/>
          <w:color w:val="auto"/>
          <w:sz w:val="28"/>
          <w:szCs w:val="28"/>
        </w:rPr>
      </w:pPr>
      <w:r>
        <w:rPr>
          <w:rFonts w:hint="eastAsia" w:ascii="宋体" w:hAnsi="宋体" w:cs="宋体"/>
          <w:bCs/>
          <w:color w:val="auto"/>
          <w:sz w:val="28"/>
          <w:szCs w:val="28"/>
        </w:rPr>
        <w:t>一、供应商应按照竞争性谈判文件第3章中提供的“响应文件格式”填写相关内容。</w:t>
      </w:r>
    </w:p>
    <w:p>
      <w:pPr>
        <w:pStyle w:val="2"/>
        <w:tabs>
          <w:tab w:val="left" w:pos="1134"/>
        </w:tabs>
        <w:spacing w:after="0" w:line="360" w:lineRule="auto"/>
        <w:ind w:firstLine="560" w:firstLineChars="200"/>
        <w:rPr>
          <w:rFonts w:ascii="宋体" w:hAnsi="宋体" w:cs="宋体"/>
          <w:bCs/>
          <w:color w:val="auto"/>
          <w:sz w:val="28"/>
          <w:szCs w:val="28"/>
        </w:rPr>
      </w:pPr>
      <w:r>
        <w:rPr>
          <w:rFonts w:hint="eastAsia" w:ascii="宋体" w:hAnsi="宋体" w:cs="宋体"/>
          <w:bCs/>
          <w:color w:val="auto"/>
          <w:sz w:val="28"/>
          <w:szCs w:val="28"/>
        </w:rPr>
        <w:t>二、对于没有格式要求的响应文件由供应商自行编写。</w:t>
      </w:r>
    </w:p>
    <w:p>
      <w:pPr>
        <w:pStyle w:val="5"/>
        <w:numPr>
          <w:ilvl w:val="2"/>
          <w:numId w:val="6"/>
        </w:numPr>
        <w:ind w:left="0" w:firstLine="562" w:firstLineChars="200"/>
        <w:rPr>
          <w:color w:val="auto"/>
        </w:rPr>
      </w:pPr>
      <w:r>
        <w:rPr>
          <w:rFonts w:hint="eastAsia"/>
          <w:color w:val="auto"/>
        </w:rPr>
        <w:t>报价（实质性要求）</w:t>
      </w:r>
    </w:p>
    <w:p>
      <w:pPr>
        <w:numPr>
          <w:ilvl w:val="0"/>
          <w:numId w:val="19"/>
        </w:numPr>
        <w:spacing w:line="360" w:lineRule="auto"/>
        <w:ind w:firstLine="560" w:firstLineChars="200"/>
        <w:rPr>
          <w:rFonts w:hint="eastAsia" w:ascii="宋体" w:hAnsi="宋体" w:cs="宋体"/>
          <w:bCs/>
          <w:color w:val="auto"/>
          <w:sz w:val="28"/>
          <w:szCs w:val="28"/>
          <w:lang w:eastAsia="zh-CN"/>
        </w:rPr>
      </w:pPr>
      <w:r>
        <w:rPr>
          <w:rFonts w:hint="eastAsia" w:ascii="宋体" w:hAnsi="宋体" w:cs="宋体"/>
          <w:bCs/>
          <w:color w:val="auto"/>
          <w:sz w:val="28"/>
          <w:szCs w:val="28"/>
          <w:lang w:eastAsia="zh-CN"/>
        </w:rPr>
        <w:t>报价不得超过采购预算及最高限价。</w:t>
      </w:r>
    </w:p>
    <w:p>
      <w:pPr>
        <w:numPr>
          <w:ilvl w:val="0"/>
          <w:numId w:val="19"/>
        </w:numPr>
        <w:spacing w:line="360" w:lineRule="auto"/>
        <w:ind w:firstLine="560" w:firstLineChars="200"/>
        <w:rPr>
          <w:rFonts w:ascii="宋体" w:hAnsi="宋体" w:cs="宋体"/>
          <w:bCs/>
          <w:color w:val="auto"/>
          <w:sz w:val="28"/>
          <w:szCs w:val="28"/>
        </w:rPr>
      </w:pPr>
      <w:r>
        <w:rPr>
          <w:rFonts w:hint="eastAsia" w:ascii="宋体" w:hAnsi="宋体" w:cs="宋体"/>
          <w:bCs/>
          <w:color w:val="auto"/>
          <w:sz w:val="28"/>
          <w:szCs w:val="28"/>
          <w:lang w:eastAsia="zh-CN"/>
        </w:rPr>
        <w:t>报价须唯一。</w:t>
      </w:r>
    </w:p>
    <w:p>
      <w:pPr>
        <w:numPr>
          <w:ilvl w:val="0"/>
          <w:numId w:val="19"/>
        </w:numPr>
        <w:spacing w:line="360" w:lineRule="auto"/>
        <w:ind w:firstLine="560" w:firstLineChars="200"/>
        <w:rPr>
          <w:rFonts w:ascii="宋体" w:hAnsi="宋体" w:cs="宋体"/>
          <w:color w:val="auto"/>
          <w:sz w:val="28"/>
          <w:szCs w:val="28"/>
        </w:rPr>
      </w:pPr>
      <w:r>
        <w:rPr>
          <w:rFonts w:hint="eastAsia" w:ascii="宋体" w:hAnsi="宋体" w:cs="宋体"/>
          <w:bCs/>
          <w:color w:val="auto"/>
          <w:sz w:val="28"/>
          <w:szCs w:val="28"/>
        </w:rPr>
        <w:t>供应商所有报价一律以人民币报价。</w:t>
      </w:r>
    </w:p>
    <w:p>
      <w:pPr>
        <w:numPr>
          <w:ilvl w:val="0"/>
          <w:numId w:val="19"/>
        </w:numPr>
        <w:spacing w:line="360" w:lineRule="auto"/>
        <w:ind w:firstLine="560" w:firstLineChars="200"/>
        <w:rPr>
          <w:rFonts w:ascii="宋体" w:hAnsi="宋体" w:cs="宋体"/>
          <w:color w:val="auto"/>
          <w:sz w:val="28"/>
          <w:szCs w:val="28"/>
        </w:rPr>
      </w:pPr>
      <w:r>
        <w:rPr>
          <w:rFonts w:hint="eastAsia" w:ascii="宋体" w:hAnsi="宋体" w:cs="宋体"/>
          <w:bCs/>
          <w:color w:val="auto"/>
          <w:sz w:val="28"/>
          <w:szCs w:val="28"/>
        </w:rPr>
        <w:t>供应商的报价是其响应本项目要求的全部工作内容的价格体现，包括供应商完成本项目所需的一切费用。</w:t>
      </w:r>
      <w:bookmarkEnd w:id="47"/>
      <w:bookmarkStart w:id="48" w:name="_Toc320698728"/>
    </w:p>
    <w:p>
      <w:pPr>
        <w:numPr>
          <w:ilvl w:val="2"/>
          <w:numId w:val="6"/>
        </w:numPr>
        <w:tabs>
          <w:tab w:val="left" w:pos="1134"/>
        </w:tabs>
        <w:spacing w:line="360" w:lineRule="auto"/>
        <w:ind w:left="0" w:firstLine="562" w:firstLineChars="200"/>
        <w:rPr>
          <w:rFonts w:ascii="宋体" w:hAnsi="宋体" w:cs="宋体"/>
          <w:b/>
          <w:bCs/>
          <w:color w:val="auto"/>
          <w:kern w:val="0"/>
          <w:sz w:val="28"/>
          <w:szCs w:val="28"/>
        </w:rPr>
      </w:pPr>
      <w:r>
        <w:rPr>
          <w:rFonts w:hint="eastAsia" w:ascii="宋体" w:hAnsi="宋体" w:cs="宋体"/>
          <w:b/>
          <w:bCs/>
          <w:color w:val="auto"/>
          <w:kern w:val="0"/>
          <w:sz w:val="28"/>
          <w:szCs w:val="28"/>
        </w:rPr>
        <w:t>谈判保证金</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本项目不收取谈判保证金。</w:t>
      </w:r>
    </w:p>
    <w:p>
      <w:pPr>
        <w:pStyle w:val="5"/>
        <w:numPr>
          <w:ilvl w:val="2"/>
          <w:numId w:val="6"/>
        </w:numPr>
        <w:ind w:left="0" w:firstLine="562" w:firstLineChars="200"/>
        <w:rPr>
          <w:color w:val="auto"/>
        </w:rPr>
      </w:pPr>
      <w:r>
        <w:rPr>
          <w:rFonts w:hint="eastAsia"/>
          <w:color w:val="auto"/>
        </w:rPr>
        <w:t>响应文件有效期</w:t>
      </w:r>
      <w:bookmarkEnd w:id="48"/>
      <w:r>
        <w:rPr>
          <w:rFonts w:hint="eastAsia"/>
          <w:color w:val="auto"/>
        </w:rPr>
        <w:t>（实质性要求）</w:t>
      </w:r>
    </w:p>
    <w:p>
      <w:pPr>
        <w:pStyle w:val="87"/>
        <w:widowControl/>
        <w:numPr>
          <w:ilvl w:val="0"/>
          <w:numId w:val="20"/>
        </w:numPr>
        <w:tabs>
          <w:tab w:val="left" w:pos="1134"/>
        </w:tabs>
        <w:spacing w:line="360" w:lineRule="auto"/>
        <w:ind w:left="0" w:firstLine="560"/>
        <w:jc w:val="distribute"/>
        <w:rPr>
          <w:rFonts w:ascii="宋体" w:hAnsi="宋体" w:eastAsia="宋体" w:cs="宋体"/>
          <w:color w:val="auto"/>
          <w:sz w:val="28"/>
          <w:szCs w:val="28"/>
        </w:rPr>
      </w:pPr>
      <w:r>
        <w:rPr>
          <w:rFonts w:hint="eastAsia" w:ascii="宋体" w:hAnsi="宋体" w:eastAsia="宋体" w:cs="宋体"/>
          <w:color w:val="auto"/>
          <w:sz w:val="28"/>
          <w:szCs w:val="28"/>
        </w:rPr>
        <w:t>响应文件有效期为提交首次响应文件截止之日起</w:t>
      </w:r>
      <w:r>
        <w:rPr>
          <w:rFonts w:hint="eastAsia" w:ascii="宋体" w:hAnsi="宋体" w:eastAsia="宋体" w:cs="宋体"/>
          <w:color w:val="auto"/>
          <w:sz w:val="28"/>
          <w:szCs w:val="28"/>
          <w:u w:val="single"/>
        </w:rPr>
        <w:t>120</w:t>
      </w:r>
      <w:r>
        <w:rPr>
          <w:rFonts w:hint="eastAsia" w:ascii="宋体" w:hAnsi="宋体" w:eastAsia="宋体" w:cs="宋体"/>
          <w:color w:val="auto"/>
          <w:sz w:val="28"/>
          <w:szCs w:val="28"/>
        </w:rPr>
        <w:t>天。响应文件有效期短于此规定期限或不作响应的，其响应文件将按无效响应文件处理。</w:t>
      </w:r>
    </w:p>
    <w:p>
      <w:pPr>
        <w:pStyle w:val="87"/>
        <w:widowControl/>
        <w:numPr>
          <w:ilvl w:val="0"/>
          <w:numId w:val="20"/>
        </w:numPr>
        <w:tabs>
          <w:tab w:val="left" w:pos="1134"/>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特殊情况下，采购人可于响应文件有效期满之前要求供应商同意延长有效期，要求与答复均应为书面形式。供应商可以拒绝上述要求。供应商同意延长响应文件有效期的，不能修改其响应文件。</w:t>
      </w:r>
    </w:p>
    <w:p>
      <w:pPr>
        <w:pStyle w:val="5"/>
        <w:numPr>
          <w:ilvl w:val="2"/>
          <w:numId w:val="6"/>
        </w:numPr>
        <w:ind w:left="0" w:firstLine="562" w:firstLineChars="200"/>
        <w:rPr>
          <w:color w:val="auto"/>
        </w:rPr>
      </w:pPr>
      <w:bookmarkStart w:id="49" w:name="_Toc320698729"/>
      <w:bookmarkStart w:id="50" w:name="_Toc320698730"/>
      <w:r>
        <w:rPr>
          <w:rFonts w:hint="eastAsia"/>
          <w:color w:val="auto"/>
        </w:rPr>
        <w:t>响应文件的制作、签章和加密</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一、响应文件应根据谈判文件的要求进行制作。（说明：1、响应文件中要求提供复印件证明材料的，包含提供原件的影印件或复印件。2、要求提供复印件的证明材料须清晰可辨。）</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二、响应文件制作详情：</w:t>
      </w:r>
    </w:p>
    <w:p>
      <w:pPr>
        <w:spacing w:line="360" w:lineRule="auto"/>
        <w:ind w:firstLine="562" w:firstLineChars="200"/>
        <w:rPr>
          <w:rFonts w:ascii="宋体" w:hAnsi="宋体" w:cs="宋体"/>
          <w:color w:val="auto"/>
          <w:sz w:val="28"/>
          <w:szCs w:val="28"/>
        </w:rPr>
      </w:pPr>
      <w:r>
        <w:rPr>
          <w:rFonts w:hint="eastAsia" w:ascii="宋体" w:hAnsi="宋体" w:cs="宋体"/>
          <w:b/>
          <w:bCs/>
          <w:color w:val="auto"/>
          <w:sz w:val="28"/>
          <w:szCs w:val="28"/>
        </w:rPr>
        <w:t>（实质性要求）</w:t>
      </w:r>
      <w:r>
        <w:rPr>
          <w:rFonts w:hint="eastAsia" w:ascii="宋体" w:hAnsi="宋体" w:cs="宋体"/>
          <w:color w:val="auto"/>
          <w:sz w:val="28"/>
          <w:szCs w:val="28"/>
        </w:rPr>
        <w:t>1、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供应商人应按谈判文件要求，通过“政采云投标客户端”制作、加密并提交响应文件。</w:t>
      </w:r>
    </w:p>
    <w:p>
      <w:pPr>
        <w:spacing w:line="360" w:lineRule="auto"/>
        <w:ind w:firstLine="562" w:firstLineChars="200"/>
        <w:rPr>
          <w:rFonts w:ascii="宋体" w:hAnsi="宋体" w:cs="宋体"/>
          <w:color w:val="auto"/>
          <w:sz w:val="28"/>
          <w:szCs w:val="28"/>
        </w:rPr>
      </w:pPr>
      <w:r>
        <w:rPr>
          <w:rFonts w:hint="eastAsia" w:ascii="宋体" w:hAnsi="宋体" w:cs="宋体"/>
          <w:b/>
          <w:bCs/>
          <w:color w:val="auto"/>
          <w:sz w:val="28"/>
          <w:szCs w:val="28"/>
        </w:rPr>
        <w:t>（实质性要求）</w:t>
      </w:r>
      <w:r>
        <w:rPr>
          <w:rFonts w:hint="eastAsia" w:ascii="宋体" w:hAnsi="宋体" w:cs="宋体"/>
          <w:color w:val="auto"/>
          <w:sz w:val="28"/>
          <w:szCs w:val="28"/>
        </w:rPr>
        <w:t>2、</w:t>
      </w:r>
      <w:r>
        <w:rPr>
          <w:rFonts w:hint="eastAsia" w:ascii="宋体" w:hAnsi="宋体" w:cs="宋体"/>
          <w:b/>
          <w:color w:val="auto"/>
          <w:sz w:val="28"/>
          <w:szCs w:val="28"/>
        </w:rPr>
        <w:t>响应文件应加盖有供应商（法定名称）电子签章，不得使用供应商专用章（如经济合同章、投标专用章等）或下属单位印章代替</w:t>
      </w:r>
      <w:r>
        <w:rPr>
          <w:rFonts w:hint="eastAsia" w:ascii="宋体" w:hAnsi="宋体" w:cs="宋体"/>
          <w:color w:val="auto"/>
          <w:sz w:val="28"/>
          <w:szCs w:val="28"/>
        </w:rPr>
        <w:t>。</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（实质性要求）3、供应商应使用本企业CA数字证书对响应文件进行加密。</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4、谈判文件有修改的，供应商须重新下载修改后的谈判文件（修改后的谈判文件在更正公告中下载），根据修改后的谈判文件制作、撤回修改，并提交首次响应文件。</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5、使用“政府采购云平台”（含政采云电子交易客户端）需要提前申领CA数字证书及电子签章，请自行前往四川CA、天威CA 、CFCA服务点办理，供应商只需办理其中一家CA数字证书及签章（提示：办理时请说明参与成都市政府采购项目）。供应商应及时完成在“政府采购云平台”的CA账号绑定，确保顺利参与电子采购。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6、政府采购云平台所支持的CA证书及签章：四川CA及金格签章，天威CA（金润版）及金润签章，CFCA及金格签章。</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7、政府采购云平台技术支持：（1）钉钉群号：34165101；如遇钉钉群满，请加钉钉群号：33782435（注：只加其中一个即可）。（2）统一热线电话：4008817190</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8、CA技术支持：四川CA：400-0281130；天威CA： 028-86694886、1592864708；CFCA：028-65785326、18033549468。</w:t>
      </w:r>
    </w:p>
    <w:p>
      <w:pPr>
        <w:pStyle w:val="5"/>
        <w:ind w:left="0" w:firstLine="562" w:firstLineChars="200"/>
        <w:rPr>
          <w:color w:val="auto"/>
        </w:rPr>
      </w:pPr>
      <w:r>
        <w:rPr>
          <w:rFonts w:hint="eastAsia"/>
          <w:color w:val="auto"/>
        </w:rPr>
        <w:t>响应文件的提交</w:t>
      </w:r>
    </w:p>
    <w:p>
      <w:pPr>
        <w:numPr>
          <w:ilvl w:val="0"/>
          <w:numId w:val="21"/>
        </w:numPr>
        <w:tabs>
          <w:tab w:val="left" w:pos="1134"/>
        </w:tabs>
        <w:spacing w:line="360" w:lineRule="auto"/>
        <w:ind w:left="0" w:firstLine="560" w:firstLineChars="200"/>
        <w:rPr>
          <w:rFonts w:ascii="宋体" w:hAnsi="宋体" w:cs="宋体"/>
          <w:bCs/>
          <w:color w:val="auto"/>
          <w:sz w:val="28"/>
          <w:szCs w:val="28"/>
        </w:rPr>
      </w:pPr>
      <w:r>
        <w:rPr>
          <w:rFonts w:hint="eastAsia" w:ascii="宋体" w:hAnsi="宋体" w:cs="宋体"/>
          <w:bCs/>
          <w:color w:val="auto"/>
          <w:sz w:val="28"/>
          <w:szCs w:val="28"/>
        </w:rPr>
        <w:t>供应商应当在首次响应文件提交截止时间前，将生成的已加密的响应文件成功提交至“政府采购云平台”。</w:t>
      </w:r>
    </w:p>
    <w:p>
      <w:pPr>
        <w:numPr>
          <w:ilvl w:val="0"/>
          <w:numId w:val="21"/>
        </w:numPr>
        <w:tabs>
          <w:tab w:val="left" w:pos="1134"/>
        </w:tabs>
        <w:spacing w:line="360" w:lineRule="auto"/>
        <w:ind w:left="0" w:firstLine="560" w:firstLineChars="200"/>
        <w:rPr>
          <w:rFonts w:ascii="宋体" w:hAnsi="宋体" w:cs="宋体"/>
          <w:bCs/>
          <w:color w:val="auto"/>
          <w:sz w:val="28"/>
          <w:szCs w:val="28"/>
        </w:rPr>
      </w:pPr>
      <w:r>
        <w:rPr>
          <w:rFonts w:hint="eastAsia" w:ascii="宋体" w:hAnsi="宋体" w:cs="宋体"/>
          <w:bCs/>
          <w:color w:val="auto"/>
          <w:sz w:val="28"/>
          <w:szCs w:val="28"/>
        </w:rPr>
        <w:t>因谈判文件的修改推迟首次响应文件提交截止时间的，供应商按综合部在“四川政府采购网”网站上发布的澄清公告中修改的时间提交。</w:t>
      </w:r>
    </w:p>
    <w:p>
      <w:pPr>
        <w:numPr>
          <w:ilvl w:val="0"/>
          <w:numId w:val="21"/>
        </w:numPr>
        <w:tabs>
          <w:tab w:val="left" w:pos="1134"/>
        </w:tabs>
        <w:spacing w:line="360" w:lineRule="auto"/>
        <w:ind w:left="0" w:firstLine="560" w:firstLineChars="200"/>
        <w:rPr>
          <w:rFonts w:ascii="宋体" w:hAnsi="宋体" w:cs="宋体"/>
          <w:bCs/>
          <w:color w:val="auto"/>
          <w:sz w:val="28"/>
          <w:szCs w:val="28"/>
        </w:rPr>
      </w:pPr>
      <w:r>
        <w:rPr>
          <w:rFonts w:hint="eastAsia" w:ascii="宋体" w:hAnsi="宋体" w:cs="宋体"/>
          <w:bCs/>
          <w:color w:val="auto"/>
          <w:sz w:val="28"/>
          <w:szCs w:val="28"/>
        </w:rPr>
        <w:t>供应商应充分考虑提交响应文件的不可预见因素，未在提交首次响应文件截止时间前完成提交的，在提交首次响应文件截止时间后将无法提交。</w:t>
      </w:r>
    </w:p>
    <w:p>
      <w:pPr>
        <w:pStyle w:val="5"/>
        <w:ind w:left="0" w:firstLine="562" w:firstLineChars="200"/>
        <w:rPr>
          <w:color w:val="auto"/>
        </w:rPr>
      </w:pPr>
      <w:r>
        <w:rPr>
          <w:rFonts w:hint="eastAsia"/>
          <w:color w:val="auto"/>
        </w:rPr>
        <w:t>响应文件的补充、修改和撤回</w:t>
      </w:r>
    </w:p>
    <w:p>
      <w:pPr>
        <w:numPr>
          <w:ilvl w:val="0"/>
          <w:numId w:val="22"/>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在提交首次响应文件截止时间之前，供应商可对已提交的响应文件进行补充、修改。补充或者修改响应文件的，应当先撤回已提交的响应文件，在“政采云投标客户端”补充、修改响应文件并签章、加密后重新提交。撤回响应文件进行补充、修改，在提交首次响应文件截止时间前未重新提交的，视为撤回响应文件。</w:t>
      </w:r>
    </w:p>
    <w:p>
      <w:pPr>
        <w:numPr>
          <w:ilvl w:val="0"/>
          <w:numId w:val="22"/>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在提交首次响应文件截止时间之后，供应商不得对其提交的响应文件做任何补充、修改。</w:t>
      </w:r>
    </w:p>
    <w:p>
      <w:pPr>
        <w:numPr>
          <w:ilvl w:val="0"/>
          <w:numId w:val="22"/>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在提交首次响应文件截止时间之前，供应商可对已提交的响应文件进行撤回。在提交首次响应文件截止时间之后，供应商不得撤回响应文件。</w:t>
      </w:r>
    </w:p>
    <w:p>
      <w:pPr>
        <w:pStyle w:val="5"/>
        <w:ind w:left="0" w:firstLine="562" w:firstLineChars="200"/>
        <w:rPr>
          <w:color w:val="auto"/>
        </w:rPr>
      </w:pPr>
      <w:r>
        <w:rPr>
          <w:rFonts w:hint="eastAsia"/>
          <w:color w:val="auto"/>
        </w:rPr>
        <w:t>响应文件的解密</w:t>
      </w:r>
    </w:p>
    <w:p>
      <w:pPr>
        <w:tabs>
          <w:tab w:val="left" w:pos="1134"/>
        </w:tabs>
        <w:spacing w:line="360" w:lineRule="auto"/>
        <w:ind w:firstLine="560" w:firstLineChars="200"/>
        <w:rPr>
          <w:rFonts w:ascii="宋体" w:hAnsi="宋体" w:cs="宋体"/>
          <w:bCs/>
          <w:color w:val="auto"/>
          <w:sz w:val="28"/>
          <w:szCs w:val="28"/>
        </w:rPr>
      </w:pPr>
      <w:r>
        <w:rPr>
          <w:rFonts w:hint="eastAsia" w:ascii="宋体" w:hAnsi="宋体" w:cs="宋体"/>
          <w:bCs/>
          <w:color w:val="auto"/>
          <w:sz w:val="28"/>
          <w:szCs w:val="28"/>
        </w:rPr>
        <w:t>供应商</w:t>
      </w:r>
      <w:r>
        <w:rPr>
          <w:rFonts w:hint="eastAsia" w:ascii="宋体" w:hAnsi="宋体" w:cs="宋体"/>
          <w:color w:val="auto"/>
          <w:sz w:val="28"/>
          <w:szCs w:val="28"/>
        </w:rPr>
        <w:t>登录政府采购云平台，点击“项目采购—开标评标”模块，找到对应项目，进入“开标大厅”，等待综合部开启解密后，供应商应在60分钟内，使用加密该响应文件的CA数字证书在线完成响应文件的解密。</w:t>
      </w:r>
      <w:r>
        <w:rPr>
          <w:rFonts w:hint="eastAsia" w:ascii="宋体" w:hAnsi="宋体" w:cs="宋体"/>
          <w:bCs/>
          <w:color w:val="auto"/>
          <w:sz w:val="28"/>
          <w:szCs w:val="28"/>
        </w:rPr>
        <w:t>除因</w:t>
      </w:r>
      <w:r>
        <w:rPr>
          <w:rFonts w:hint="eastAsia" w:ascii="宋体" w:hAnsi="宋体" w:cs="宋体"/>
          <w:color w:val="auto"/>
          <w:sz w:val="28"/>
          <w:szCs w:val="28"/>
        </w:rPr>
        <w:t>市公资交易中心</w:t>
      </w:r>
      <w:r>
        <w:rPr>
          <w:rFonts w:hint="eastAsia" w:ascii="宋体" w:hAnsi="宋体" w:cs="宋体"/>
          <w:bCs/>
          <w:color w:val="auto"/>
          <w:sz w:val="28"/>
          <w:szCs w:val="28"/>
        </w:rPr>
        <w:t>断电、断网、系统故障或其他不可抗力等因素，导致系统无法使用外，供应商在规定的解密时间内，未成功解密的响应文件将视为无效响应文件。</w:t>
      </w:r>
    </w:p>
    <w:p>
      <w:pPr>
        <w:pStyle w:val="4"/>
        <w:tabs>
          <w:tab w:val="left" w:pos="426"/>
        </w:tabs>
        <w:spacing w:before="0" w:after="0"/>
        <w:ind w:left="0" w:firstLine="562" w:firstLineChars="200"/>
        <w:jc w:val="both"/>
        <w:rPr>
          <w:color w:val="auto"/>
        </w:rPr>
      </w:pPr>
      <w:bookmarkStart w:id="51" w:name="_Toc183682369"/>
      <w:bookmarkStart w:id="52" w:name="_Toc32209"/>
      <w:bookmarkStart w:id="53" w:name="_Toc217446057"/>
      <w:bookmarkStart w:id="54" w:name="_Toc2391"/>
      <w:bookmarkStart w:id="55" w:name="_Toc183582232"/>
      <w:bookmarkStart w:id="56" w:name="_Toc73447467"/>
      <w:bookmarkStart w:id="57" w:name="_Toc10872"/>
      <w:r>
        <w:rPr>
          <w:rFonts w:hint="eastAsia"/>
          <w:color w:val="auto"/>
        </w:rPr>
        <w:t>谈判开启活动程序</w:t>
      </w:r>
      <w:bookmarkEnd w:id="51"/>
      <w:bookmarkEnd w:id="52"/>
      <w:bookmarkEnd w:id="53"/>
      <w:bookmarkEnd w:id="54"/>
      <w:bookmarkEnd w:id="55"/>
      <w:bookmarkEnd w:id="56"/>
      <w:bookmarkEnd w:id="57"/>
    </w:p>
    <w:p>
      <w:pPr>
        <w:pStyle w:val="87"/>
        <w:numPr>
          <w:ilvl w:val="0"/>
          <w:numId w:val="23"/>
        </w:numPr>
        <w:tabs>
          <w:tab w:val="left" w:pos="1134"/>
        </w:tabs>
        <w:spacing w:line="360" w:lineRule="auto"/>
        <w:ind w:left="0" w:firstLine="562"/>
        <w:rPr>
          <w:rFonts w:ascii="宋体" w:hAnsi="宋体" w:eastAsia="宋体" w:cs="宋体"/>
          <w:b/>
          <w:color w:val="auto"/>
          <w:sz w:val="28"/>
          <w:szCs w:val="28"/>
        </w:rPr>
      </w:pPr>
      <w:r>
        <w:rPr>
          <w:rFonts w:hint="eastAsia" w:ascii="宋体" w:hAnsi="宋体" w:eastAsia="宋体" w:cs="宋体"/>
          <w:b/>
          <w:color w:val="auto"/>
          <w:sz w:val="28"/>
          <w:szCs w:val="28"/>
        </w:rPr>
        <w:t>提交响应文件的供应商不足三家的，不予继续开展谈判采购活动。</w:t>
      </w:r>
    </w:p>
    <w:p>
      <w:pPr>
        <w:pStyle w:val="87"/>
        <w:numPr>
          <w:ilvl w:val="0"/>
          <w:numId w:val="23"/>
        </w:numPr>
        <w:tabs>
          <w:tab w:val="left" w:pos="0"/>
        </w:tabs>
        <w:spacing w:line="360" w:lineRule="auto"/>
        <w:ind w:left="0" w:firstLine="562"/>
        <w:rPr>
          <w:rFonts w:ascii="宋体" w:hAnsi="宋体" w:eastAsia="宋体" w:cs="宋体"/>
          <w:b/>
          <w:color w:val="auto"/>
          <w:sz w:val="28"/>
          <w:szCs w:val="28"/>
        </w:rPr>
      </w:pPr>
      <w:r>
        <w:rPr>
          <w:rFonts w:hint="eastAsia" w:ascii="宋体" w:hAnsi="宋体" w:eastAsia="宋体" w:cs="宋体"/>
          <w:b/>
          <w:color w:val="auto"/>
          <w:sz w:val="28"/>
          <w:szCs w:val="28"/>
        </w:rPr>
        <w:t>准备工作。供应商需在开标当日、递交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p>
    <w:p>
      <w:pPr>
        <w:pStyle w:val="87"/>
        <w:numPr>
          <w:ilvl w:val="0"/>
          <w:numId w:val="23"/>
        </w:numPr>
        <w:tabs>
          <w:tab w:val="left" w:pos="1134"/>
        </w:tabs>
        <w:spacing w:line="360" w:lineRule="auto"/>
        <w:ind w:left="0" w:firstLine="562"/>
        <w:rPr>
          <w:rFonts w:ascii="宋体" w:hAnsi="宋体" w:eastAsia="宋体" w:cs="宋体"/>
          <w:b/>
          <w:color w:val="auto"/>
          <w:sz w:val="28"/>
          <w:szCs w:val="28"/>
        </w:rPr>
      </w:pPr>
      <w:r>
        <w:rPr>
          <w:rFonts w:hint="eastAsia" w:ascii="宋体" w:hAnsi="宋体" w:eastAsia="宋体" w:cs="宋体"/>
          <w:b/>
          <w:color w:val="auto"/>
          <w:sz w:val="28"/>
          <w:szCs w:val="28"/>
        </w:rPr>
        <w:t>解密响应文件。待综合部开启解密后，供应商进行线上解密。除因市公资交易中心断电、断网、系统故障或其他不可抗力等因素，导致系统无法使用外，供应商在规定的解密时间内，未成功解密的响应文件将视为无效响应文件。</w:t>
      </w:r>
    </w:p>
    <w:p>
      <w:pPr>
        <w:pStyle w:val="87"/>
        <w:numPr>
          <w:ilvl w:val="0"/>
          <w:numId w:val="23"/>
        </w:numPr>
        <w:tabs>
          <w:tab w:val="left" w:pos="1134"/>
        </w:tabs>
        <w:spacing w:line="360" w:lineRule="auto"/>
        <w:ind w:left="0" w:firstLine="562"/>
        <w:rPr>
          <w:rFonts w:ascii="宋体" w:hAnsi="宋体" w:eastAsia="宋体" w:cs="宋体"/>
          <w:b/>
          <w:color w:val="auto"/>
          <w:sz w:val="28"/>
          <w:szCs w:val="28"/>
        </w:rPr>
      </w:pPr>
      <w:r>
        <w:rPr>
          <w:rFonts w:hint="eastAsia" w:ascii="宋体" w:hAnsi="宋体" w:eastAsia="宋体" w:cs="宋体"/>
          <w:b/>
          <w:color w:val="auto"/>
          <w:sz w:val="28"/>
          <w:szCs w:val="28"/>
        </w:rPr>
        <w:t>确认。解密时间截止或者所有供应商响应文件均完成解密后（以发生在先的时间为准），由“政府采购云平台”系统展示供应商名称、响应文件解密情况等内容。</w:t>
      </w:r>
    </w:p>
    <w:p>
      <w:pPr>
        <w:pStyle w:val="87"/>
        <w:numPr>
          <w:ilvl w:val="0"/>
          <w:numId w:val="23"/>
        </w:numPr>
        <w:tabs>
          <w:tab w:val="left" w:pos="1134"/>
        </w:tabs>
        <w:spacing w:line="360" w:lineRule="auto"/>
        <w:ind w:left="0" w:firstLine="562"/>
        <w:rPr>
          <w:rFonts w:ascii="宋体" w:hAnsi="宋体" w:eastAsia="宋体" w:cs="宋体"/>
          <w:b/>
          <w:color w:val="auto"/>
          <w:sz w:val="28"/>
          <w:szCs w:val="28"/>
        </w:rPr>
      </w:pPr>
      <w:r>
        <w:rPr>
          <w:rFonts w:hint="eastAsia" w:ascii="宋体" w:hAnsi="宋体" w:eastAsia="宋体" w:cs="宋体"/>
          <w:b/>
          <w:color w:val="auto"/>
          <w:sz w:val="28"/>
          <w:szCs w:val="28"/>
        </w:rPr>
        <w:t>供应商对过程和记录有异议，以及认为采购人、综合部相关工作人员有需要回避的情形的，及时向工作人员提出询问或者回避申请。采购人、综合部对供应商提出的询问或者回避申请应当及时处理。</w:t>
      </w:r>
    </w:p>
    <w:p>
      <w:pPr>
        <w:pStyle w:val="284"/>
        <w:numPr>
          <w:ilvl w:val="0"/>
          <w:numId w:val="23"/>
        </w:numPr>
        <w:spacing w:line="360" w:lineRule="auto"/>
        <w:ind w:left="0" w:firstLine="562"/>
        <w:rPr>
          <w:rFonts w:ascii="宋体" w:hAnsi="宋体" w:cs="宋体"/>
          <w:b/>
          <w:color w:val="auto"/>
          <w:sz w:val="28"/>
          <w:szCs w:val="28"/>
        </w:rPr>
      </w:pPr>
      <w:r>
        <w:rPr>
          <w:rFonts w:hint="eastAsia" w:ascii="宋体" w:hAnsi="宋体" w:cs="宋体"/>
          <w:b/>
          <w:color w:val="auto"/>
          <w:sz w:val="28"/>
          <w:szCs w:val="28"/>
        </w:rPr>
        <w:t>政府采购云平台运行基本环境要求：电脑应安装并顺利运行64位win7以上操作系统，谷歌浏览器；正确的CA及签章驱动等；能流畅访问互联网。</w:t>
      </w:r>
    </w:p>
    <w:p>
      <w:pPr>
        <w:pStyle w:val="87"/>
        <w:numPr>
          <w:ilvl w:val="0"/>
          <w:numId w:val="23"/>
        </w:numPr>
        <w:tabs>
          <w:tab w:val="left" w:pos="1134"/>
        </w:tabs>
        <w:spacing w:line="360" w:lineRule="auto"/>
        <w:ind w:left="0" w:firstLine="562"/>
        <w:rPr>
          <w:rFonts w:ascii="宋体" w:hAnsi="宋体" w:eastAsia="宋体" w:cs="宋体"/>
          <w:b/>
          <w:color w:val="auto"/>
          <w:sz w:val="28"/>
          <w:szCs w:val="28"/>
        </w:rPr>
      </w:pPr>
      <w:r>
        <w:rPr>
          <w:rFonts w:hint="eastAsia" w:ascii="宋体" w:hAnsi="宋体" w:eastAsia="宋体" w:cs="宋体"/>
          <w:b/>
          <w:color w:val="auto"/>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因市公资交易中心断电、断网、系统故障或其他不可抗力等因素导致不见面开标系统无法正常运行的，谈判开启活动中止或延迟，待系统恢复正常后继续进行。</w:t>
      </w:r>
    </w:p>
    <w:p>
      <w:pPr>
        <w:pStyle w:val="87"/>
        <w:numPr>
          <w:ilvl w:val="0"/>
          <w:numId w:val="23"/>
        </w:numPr>
        <w:tabs>
          <w:tab w:val="left" w:pos="1134"/>
        </w:tabs>
        <w:spacing w:line="360" w:lineRule="auto"/>
        <w:ind w:left="0" w:firstLine="562"/>
        <w:rPr>
          <w:rFonts w:ascii="宋体" w:hAnsi="宋体" w:eastAsia="宋体" w:cs="宋体"/>
          <w:b/>
          <w:color w:val="auto"/>
          <w:sz w:val="28"/>
          <w:szCs w:val="28"/>
        </w:rPr>
      </w:pPr>
      <w:r>
        <w:rPr>
          <w:rFonts w:hint="eastAsia" w:ascii="宋体" w:hAnsi="宋体" w:eastAsia="宋体" w:cs="宋体"/>
          <w:b/>
          <w:color w:val="auto"/>
          <w:sz w:val="28"/>
          <w:szCs w:val="28"/>
        </w:rPr>
        <w:t>谈判开启活动过程中，各方主体均应遵守互联网有关规定，不得发表与交易活动无关的言论。</w:t>
      </w:r>
      <w:bookmarkEnd w:id="49"/>
      <w:bookmarkEnd w:id="50"/>
    </w:p>
    <w:p>
      <w:pPr>
        <w:pStyle w:val="4"/>
        <w:tabs>
          <w:tab w:val="left" w:pos="426"/>
        </w:tabs>
        <w:spacing w:before="0" w:after="0"/>
        <w:ind w:left="0" w:firstLine="562" w:firstLineChars="200"/>
        <w:jc w:val="both"/>
        <w:rPr>
          <w:color w:val="auto"/>
        </w:rPr>
      </w:pPr>
      <w:bookmarkStart w:id="58" w:name="_Toc494095623"/>
      <w:bookmarkEnd w:id="58"/>
      <w:bookmarkStart w:id="59" w:name="_Toc494356977"/>
      <w:bookmarkEnd w:id="59"/>
      <w:bookmarkStart w:id="60" w:name="_Toc5878"/>
      <w:bookmarkStart w:id="61" w:name="_Toc19699"/>
      <w:bookmarkStart w:id="62" w:name="_Toc9223"/>
      <w:bookmarkStart w:id="63" w:name="_Toc73447468"/>
      <w:bookmarkStart w:id="64" w:name="_Toc58943329"/>
      <w:r>
        <w:rPr>
          <w:rFonts w:hint="eastAsia"/>
          <w:color w:val="auto"/>
        </w:rPr>
        <w:t>资格审查和评审</w:t>
      </w:r>
      <w:bookmarkEnd w:id="60"/>
      <w:bookmarkEnd w:id="61"/>
      <w:bookmarkEnd w:id="62"/>
      <w:bookmarkEnd w:id="63"/>
    </w:p>
    <w:p>
      <w:pPr>
        <w:numPr>
          <w:ilvl w:val="0"/>
          <w:numId w:val="24"/>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资格审查详见采购文件第五章。</w:t>
      </w:r>
    </w:p>
    <w:p>
      <w:pPr>
        <w:numPr>
          <w:ilvl w:val="0"/>
          <w:numId w:val="24"/>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谈判小组的组建及其评审工作按照有关法律制度和本文件第五章的规定进行。</w:t>
      </w:r>
    </w:p>
    <w:p>
      <w:pPr>
        <w:pStyle w:val="4"/>
        <w:numPr>
          <w:ilvl w:val="1"/>
          <w:numId w:val="6"/>
        </w:numPr>
        <w:tabs>
          <w:tab w:val="left" w:pos="426"/>
          <w:tab w:val="left" w:pos="567"/>
        </w:tabs>
        <w:spacing w:before="0" w:after="0"/>
        <w:ind w:left="0" w:firstLine="562" w:firstLineChars="200"/>
        <w:jc w:val="both"/>
        <w:rPr>
          <w:color w:val="auto"/>
        </w:rPr>
      </w:pPr>
      <w:bookmarkStart w:id="65" w:name="_Toc27102"/>
      <w:bookmarkStart w:id="66" w:name="_Toc18173"/>
      <w:bookmarkStart w:id="67" w:name="_Toc9912"/>
      <w:r>
        <w:rPr>
          <w:rFonts w:hint="eastAsia"/>
          <w:color w:val="auto"/>
        </w:rPr>
        <w:t>成交通知书</w:t>
      </w:r>
      <w:bookmarkEnd w:id="64"/>
      <w:bookmarkEnd w:id="65"/>
      <w:bookmarkEnd w:id="66"/>
      <w:bookmarkEnd w:id="67"/>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一、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二、成交通知书对采购人和成交供应商均具有法律效力。</w:t>
      </w:r>
    </w:p>
    <w:p>
      <w:pPr>
        <w:spacing w:line="360" w:lineRule="auto"/>
        <w:ind w:firstLine="560" w:firstLineChars="200"/>
        <w:rPr>
          <w:rFonts w:ascii="宋体" w:hAnsi="宋体" w:cs="宋体"/>
          <w:color w:val="auto"/>
        </w:rPr>
      </w:pPr>
      <w:r>
        <w:rPr>
          <w:rFonts w:hint="eastAsia" w:ascii="宋体" w:hAnsi="宋体" w:cs="宋体"/>
          <w:color w:val="auto"/>
          <w:sz w:val="28"/>
          <w:szCs w:val="28"/>
          <w:lang w:val="zh-CN"/>
        </w:rPr>
        <w:t>三、</w:t>
      </w:r>
      <w:r>
        <w:rPr>
          <w:rFonts w:hint="eastAsia" w:ascii="宋体" w:hAnsi="宋体" w:cs="宋体"/>
          <w:color w:val="auto"/>
          <w:sz w:val="28"/>
          <w:szCs w:val="28"/>
        </w:rPr>
        <w:t>成交公告在四川政府采购网上公告后，成交供应商自行登录政府采购云平台下载成交通知书。</w:t>
      </w:r>
    </w:p>
    <w:p>
      <w:pPr>
        <w:pStyle w:val="4"/>
        <w:numPr>
          <w:ilvl w:val="1"/>
          <w:numId w:val="6"/>
        </w:numPr>
        <w:tabs>
          <w:tab w:val="left" w:pos="426"/>
          <w:tab w:val="left" w:pos="567"/>
        </w:tabs>
        <w:spacing w:before="0" w:after="0"/>
        <w:ind w:left="0" w:firstLine="562" w:firstLineChars="200"/>
        <w:jc w:val="both"/>
        <w:rPr>
          <w:color w:val="auto"/>
        </w:rPr>
      </w:pPr>
      <w:bookmarkStart w:id="68" w:name="_Toc6354"/>
      <w:bookmarkStart w:id="69" w:name="_Toc24180"/>
      <w:bookmarkStart w:id="70" w:name="_Toc5438"/>
      <w:bookmarkStart w:id="71" w:name="_Toc58943330"/>
      <w:bookmarkStart w:id="72" w:name="_Toc287623650"/>
      <w:r>
        <w:rPr>
          <w:rFonts w:hint="eastAsia"/>
          <w:color w:val="auto"/>
        </w:rPr>
        <w:t>签订及履行合同和验收</w:t>
      </w:r>
      <w:bookmarkEnd w:id="68"/>
      <w:bookmarkEnd w:id="69"/>
      <w:bookmarkEnd w:id="70"/>
      <w:bookmarkEnd w:id="71"/>
    </w:p>
    <w:p>
      <w:pPr>
        <w:pStyle w:val="5"/>
        <w:numPr>
          <w:ilvl w:val="2"/>
          <w:numId w:val="6"/>
        </w:numPr>
        <w:ind w:left="0" w:firstLine="562" w:firstLineChars="200"/>
        <w:rPr>
          <w:color w:val="auto"/>
        </w:rPr>
      </w:pPr>
      <w:r>
        <w:rPr>
          <w:rFonts w:hint="eastAsia"/>
          <w:color w:val="auto"/>
        </w:rPr>
        <w:t>签订合同</w:t>
      </w:r>
      <w:bookmarkEnd w:id="72"/>
    </w:p>
    <w:p>
      <w:pPr>
        <w:widowControl/>
        <w:numPr>
          <w:ilvl w:val="0"/>
          <w:numId w:val="25"/>
        </w:numPr>
        <w:tabs>
          <w:tab w:val="left" w:pos="1134"/>
        </w:tabs>
        <w:snapToGrid w:val="0"/>
        <w:spacing w:line="360" w:lineRule="auto"/>
        <w:ind w:left="0" w:firstLine="560" w:firstLineChars="200"/>
        <w:jc w:val="left"/>
        <w:rPr>
          <w:rFonts w:ascii="宋体" w:hAnsi="宋体" w:cs="宋体"/>
          <w:color w:val="auto"/>
          <w:sz w:val="28"/>
          <w:szCs w:val="28"/>
        </w:rPr>
      </w:pPr>
      <w:bookmarkStart w:id="73" w:name="_Toc217446069"/>
      <w:r>
        <w:rPr>
          <w:rFonts w:hint="eastAsia" w:ascii="宋体" w:hAnsi="宋体" w:cs="宋体"/>
          <w:color w:val="auto"/>
          <w:sz w:val="28"/>
          <w:szCs w:val="28"/>
        </w:rPr>
        <w:t>疫情防控期间，采购人原则上应在成交通知书发出之日起5个工作日内与成交供应商签订采购合同。因成交供应商的原因在成交通知书发出之日起30日内逾期未与采购人签订采购合同或者成交供应商拒绝与采购人签订合同的，采购人可以按照评审报告推荐的成交候选供应商名单排序，确定下一候选供应商为成交供应商，也可以重新开展政府采购活动。</w:t>
      </w:r>
    </w:p>
    <w:p>
      <w:pPr>
        <w:widowControl/>
        <w:numPr>
          <w:ilvl w:val="0"/>
          <w:numId w:val="25"/>
        </w:numPr>
        <w:tabs>
          <w:tab w:val="left" w:pos="1134"/>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采购人不得向成交供应商提出任何不合理的要求作为签订合同的条件，不得与成交供应商私下订立背离合同实质性内容的任何协议，所签订的合同不得对谈判文件和成交供应商响应文件作实质性修改。</w:t>
      </w:r>
    </w:p>
    <w:p>
      <w:pPr>
        <w:widowControl/>
        <w:numPr>
          <w:ilvl w:val="0"/>
          <w:numId w:val="25"/>
        </w:numPr>
        <w:tabs>
          <w:tab w:val="left" w:pos="1134"/>
        </w:tabs>
        <w:snapToGrid w:val="0"/>
        <w:spacing w:line="360" w:lineRule="auto"/>
        <w:ind w:left="0" w:firstLine="560" w:firstLineChars="200"/>
        <w:jc w:val="left"/>
        <w:rPr>
          <w:rFonts w:ascii="宋体" w:hAnsi="宋体" w:cs="宋体"/>
          <w:i/>
          <w:color w:val="auto"/>
          <w:sz w:val="28"/>
          <w:szCs w:val="28"/>
        </w:rPr>
      </w:pPr>
      <w:r>
        <w:rPr>
          <w:rFonts w:hint="eastAsia" w:ascii="宋体" w:hAnsi="宋体" w:cs="宋体"/>
          <w:color w:val="auto"/>
          <w:sz w:val="28"/>
          <w:szCs w:val="28"/>
        </w:rPr>
        <w:t>谈判文件、响应文件、成交通知书等均成为有法律约束力的合同组成内容。</w:t>
      </w:r>
    </w:p>
    <w:p>
      <w:pPr>
        <w:widowControl/>
        <w:numPr>
          <w:ilvl w:val="0"/>
          <w:numId w:val="25"/>
        </w:numPr>
        <w:tabs>
          <w:tab w:val="left" w:pos="1134"/>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询问或者质疑事项可能影响成交结果的，采购人应当暂停签订合同，已经签订合同的，应当中止履行合同。</w:t>
      </w:r>
    </w:p>
    <w:p>
      <w:pPr>
        <w:pStyle w:val="5"/>
        <w:numPr>
          <w:ilvl w:val="2"/>
          <w:numId w:val="6"/>
        </w:numPr>
        <w:ind w:left="0" w:firstLine="562" w:firstLineChars="200"/>
        <w:rPr>
          <w:color w:val="auto"/>
        </w:rPr>
      </w:pPr>
      <w:bookmarkStart w:id="74" w:name="_Toc217446066"/>
      <w:r>
        <w:rPr>
          <w:rFonts w:hint="eastAsia"/>
          <w:color w:val="auto"/>
        </w:rPr>
        <w:t>合同分包</w:t>
      </w:r>
      <w:bookmarkEnd w:id="74"/>
      <w:r>
        <w:rPr>
          <w:rFonts w:hint="eastAsia"/>
          <w:color w:val="auto"/>
        </w:rPr>
        <w:t>和转包</w:t>
      </w:r>
    </w:p>
    <w:p>
      <w:pPr>
        <w:pStyle w:val="5"/>
        <w:numPr>
          <w:ilvl w:val="3"/>
          <w:numId w:val="6"/>
        </w:numPr>
        <w:ind w:left="0" w:firstLine="562" w:firstLineChars="200"/>
        <w:rPr>
          <w:color w:val="auto"/>
        </w:rPr>
      </w:pPr>
      <w:r>
        <w:rPr>
          <w:rFonts w:hint="eastAsia"/>
          <w:color w:val="auto"/>
        </w:rPr>
        <w:t>合同分包（实质性要求）</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本项目不允许分包。</w:t>
      </w:r>
    </w:p>
    <w:p>
      <w:pPr>
        <w:pStyle w:val="5"/>
        <w:numPr>
          <w:ilvl w:val="3"/>
          <w:numId w:val="6"/>
        </w:numPr>
        <w:ind w:left="0" w:firstLine="562" w:firstLineChars="200"/>
        <w:rPr>
          <w:strike/>
          <w:color w:val="auto"/>
        </w:rPr>
      </w:pPr>
      <w:r>
        <w:rPr>
          <w:rFonts w:hint="eastAsia"/>
          <w:color w:val="auto"/>
        </w:rPr>
        <w:t>合同转包（实质性要求）</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一、严禁成交供应商将本项目转包。本项目所称转包，是指将本项目转给他人或者将本项目全部肢解以后以分包的名义分别转给他人的行为。</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二、成交供应商转包的，视同拒绝履行政府采购合同，将依法追究法律责任。</w:t>
      </w:r>
    </w:p>
    <w:p>
      <w:pPr>
        <w:pStyle w:val="5"/>
        <w:numPr>
          <w:ilvl w:val="2"/>
          <w:numId w:val="6"/>
        </w:numPr>
        <w:ind w:left="0" w:firstLine="562" w:firstLineChars="200"/>
        <w:rPr>
          <w:color w:val="auto"/>
        </w:rPr>
      </w:pPr>
      <w:bookmarkStart w:id="75" w:name="_Toc217446067"/>
      <w:r>
        <w:rPr>
          <w:rFonts w:hint="eastAsia"/>
          <w:color w:val="auto"/>
        </w:rPr>
        <w:t>采购人增加合同标的的权</w:t>
      </w:r>
      <w:bookmarkEnd w:id="75"/>
      <w:r>
        <w:rPr>
          <w:rFonts w:hint="eastAsia"/>
          <w:color w:val="auto"/>
        </w:rPr>
        <w:t>利</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numPr>
          <w:ilvl w:val="2"/>
          <w:numId w:val="6"/>
        </w:numPr>
        <w:ind w:left="0" w:firstLine="562" w:firstLineChars="200"/>
        <w:rPr>
          <w:color w:val="auto"/>
        </w:rPr>
      </w:pPr>
      <w:bookmarkStart w:id="76" w:name="_Toc217446068"/>
      <w:r>
        <w:rPr>
          <w:rFonts w:hint="eastAsia"/>
          <w:color w:val="auto"/>
        </w:rPr>
        <w:t>履约保证金</w:t>
      </w:r>
      <w:bookmarkEnd w:id="76"/>
    </w:p>
    <w:p>
      <w:pPr>
        <w:spacing w:line="360" w:lineRule="auto"/>
        <w:ind w:firstLine="562" w:firstLineChars="200"/>
        <w:rPr>
          <w:rFonts w:ascii="宋体" w:hAnsi="宋体" w:cs="宋体"/>
          <w:b/>
          <w:color w:val="auto"/>
          <w:sz w:val="28"/>
        </w:rPr>
      </w:pPr>
      <w:r>
        <w:rPr>
          <w:rFonts w:hint="eastAsia" w:ascii="宋体" w:hAnsi="宋体" w:cs="宋体"/>
          <w:b/>
          <w:color w:val="auto"/>
          <w:sz w:val="28"/>
          <w:szCs w:val="28"/>
        </w:rPr>
        <w:t>本项目不收取履约保证金。</w:t>
      </w:r>
    </w:p>
    <w:p>
      <w:pPr>
        <w:pStyle w:val="5"/>
        <w:numPr>
          <w:ilvl w:val="2"/>
          <w:numId w:val="6"/>
        </w:numPr>
        <w:ind w:left="0" w:firstLine="562" w:firstLineChars="200"/>
        <w:rPr>
          <w:color w:val="auto"/>
        </w:rPr>
      </w:pPr>
      <w:r>
        <w:rPr>
          <w:rFonts w:hint="eastAsia"/>
          <w:color w:val="auto"/>
        </w:rPr>
        <w:t>合同公告</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采购人应当自政府采购合同签订之日起2个工作日内，将政府采购合同在四川政府采购网公告，但政府采购合同中涉及国家秘密、商业秘密的内容除外。</w:t>
      </w:r>
    </w:p>
    <w:p>
      <w:pPr>
        <w:pStyle w:val="5"/>
        <w:numPr>
          <w:ilvl w:val="2"/>
          <w:numId w:val="6"/>
        </w:numPr>
        <w:ind w:left="0" w:firstLine="562" w:firstLineChars="200"/>
        <w:rPr>
          <w:color w:val="auto"/>
        </w:rPr>
      </w:pPr>
      <w:r>
        <w:rPr>
          <w:rFonts w:hint="eastAsia"/>
          <w:color w:val="auto"/>
        </w:rPr>
        <w:t>合同备案</w:t>
      </w:r>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采购人应当将政府采购合同自签订（双方当事人均已签字盖章）之日起七个工作日内按成都东部新区党工委管委会(成都市东部新城办)财政金融局的要求完成合同备案工作。</w:t>
      </w:r>
    </w:p>
    <w:bookmarkEnd w:id="73"/>
    <w:p>
      <w:pPr>
        <w:pStyle w:val="5"/>
        <w:numPr>
          <w:ilvl w:val="2"/>
          <w:numId w:val="6"/>
        </w:numPr>
        <w:ind w:left="0" w:firstLine="562" w:firstLineChars="200"/>
        <w:rPr>
          <w:color w:val="auto"/>
        </w:rPr>
      </w:pPr>
      <w:bookmarkStart w:id="77" w:name="_Toc217446070"/>
      <w:r>
        <w:rPr>
          <w:rFonts w:hint="eastAsia"/>
          <w:color w:val="auto"/>
        </w:rPr>
        <w:t>履行合同</w:t>
      </w:r>
    </w:p>
    <w:p>
      <w:pPr>
        <w:numPr>
          <w:ilvl w:val="0"/>
          <w:numId w:val="26"/>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合同一经签订，双方应严格履行合同规定的义务。</w:t>
      </w:r>
    </w:p>
    <w:p>
      <w:pPr>
        <w:numPr>
          <w:ilvl w:val="0"/>
          <w:numId w:val="26"/>
        </w:numPr>
        <w:tabs>
          <w:tab w:val="left" w:pos="1134"/>
        </w:tabs>
        <w:spacing w:line="360" w:lineRule="auto"/>
        <w:ind w:left="0" w:firstLine="560" w:firstLineChars="200"/>
        <w:rPr>
          <w:rFonts w:ascii="宋体" w:hAnsi="宋体" w:cs="宋体"/>
          <w:color w:val="auto"/>
        </w:rPr>
      </w:pPr>
      <w:r>
        <w:rPr>
          <w:rFonts w:hint="eastAsia" w:ascii="宋体" w:hAnsi="宋体" w:cs="宋体"/>
          <w:color w:val="auto"/>
          <w:sz w:val="28"/>
          <w:szCs w:val="28"/>
        </w:rPr>
        <w:t>在合同履行过程中，如发生合同纠纷，合同双方应按照《中华人民共和国民法典》及合同条款的有关规定进行处理。</w:t>
      </w:r>
    </w:p>
    <w:p>
      <w:pPr>
        <w:pStyle w:val="5"/>
        <w:numPr>
          <w:ilvl w:val="2"/>
          <w:numId w:val="6"/>
        </w:numPr>
        <w:ind w:left="0" w:firstLine="562" w:firstLineChars="200"/>
        <w:rPr>
          <w:color w:val="auto"/>
        </w:rPr>
      </w:pPr>
      <w:r>
        <w:rPr>
          <w:rFonts w:hint="eastAsia"/>
          <w:color w:val="auto"/>
        </w:rPr>
        <w:t>验收</w:t>
      </w:r>
      <w:bookmarkEnd w:id="77"/>
      <w:r>
        <w:rPr>
          <w:rFonts w:hint="eastAsia"/>
          <w:color w:val="auto"/>
        </w:rPr>
        <w:t>考核</w:t>
      </w:r>
    </w:p>
    <w:p>
      <w:pPr>
        <w:pStyle w:val="25"/>
        <w:spacing w:after="0" w:line="360" w:lineRule="auto"/>
        <w:ind w:left="0" w:leftChars="0" w:firstLine="560" w:firstLineChars="200"/>
        <w:rPr>
          <w:rFonts w:ascii="宋体" w:hAnsi="宋体" w:cs="宋体"/>
          <w:color w:val="auto"/>
          <w:sz w:val="28"/>
          <w:szCs w:val="28"/>
        </w:rPr>
      </w:pPr>
      <w:r>
        <w:rPr>
          <w:rFonts w:hint="eastAsia" w:ascii="宋体" w:hAnsi="宋体" w:cs="宋体"/>
          <w:color w:val="auto"/>
          <w:sz w:val="28"/>
          <w:szCs w:val="28"/>
        </w:rPr>
        <w:t>采购人严格按照国家相关法律法规的要求组织验收或考核，采购预算金额大的采购项目、政府向社会公共提供的公共服务项目、采购人和实际使用人或者受益者分离、有质疑投诉举报的的采购项目，可以邀请国家认可的第三方检测机构或者集采机构参与履约验收工作。</w:t>
      </w:r>
    </w:p>
    <w:p>
      <w:pPr>
        <w:pStyle w:val="5"/>
        <w:numPr>
          <w:ilvl w:val="2"/>
          <w:numId w:val="6"/>
        </w:numPr>
        <w:ind w:left="0" w:firstLine="562" w:firstLineChars="200"/>
        <w:rPr>
          <w:color w:val="auto"/>
        </w:rPr>
      </w:pPr>
      <w:r>
        <w:rPr>
          <w:rFonts w:hint="eastAsia"/>
          <w:color w:val="auto"/>
        </w:rPr>
        <w:t>资金支付</w:t>
      </w:r>
    </w:p>
    <w:p>
      <w:pPr>
        <w:pStyle w:val="25"/>
        <w:spacing w:after="0" w:line="360" w:lineRule="auto"/>
        <w:ind w:left="0" w:leftChars="0" w:firstLine="560" w:firstLineChars="200"/>
        <w:rPr>
          <w:rFonts w:ascii="宋体" w:hAnsi="宋体" w:cs="宋体"/>
          <w:color w:val="auto"/>
          <w:sz w:val="28"/>
          <w:szCs w:val="28"/>
        </w:rPr>
      </w:pPr>
      <w:r>
        <w:rPr>
          <w:rFonts w:hint="eastAsia" w:ascii="宋体" w:hAnsi="宋体" w:cs="宋体"/>
          <w:color w:val="auto"/>
          <w:sz w:val="28"/>
          <w:szCs w:val="28"/>
        </w:rPr>
        <w:t>采购人按财政部门有关规定及采购合同的约定进行支付。</w:t>
      </w:r>
    </w:p>
    <w:p>
      <w:pPr>
        <w:pStyle w:val="4"/>
        <w:numPr>
          <w:ilvl w:val="1"/>
          <w:numId w:val="6"/>
        </w:numPr>
        <w:tabs>
          <w:tab w:val="left" w:pos="426"/>
          <w:tab w:val="left" w:pos="567"/>
        </w:tabs>
        <w:spacing w:before="0" w:after="0"/>
        <w:ind w:left="0" w:firstLine="562" w:firstLineChars="200"/>
        <w:jc w:val="both"/>
        <w:rPr>
          <w:color w:val="auto"/>
        </w:rPr>
      </w:pPr>
      <w:bookmarkStart w:id="78" w:name="_Toc7974"/>
      <w:bookmarkStart w:id="79" w:name="_Toc1427"/>
      <w:bookmarkStart w:id="80" w:name="_Toc19124"/>
      <w:bookmarkStart w:id="81" w:name="_Toc58943331"/>
      <w:r>
        <w:rPr>
          <w:rFonts w:hint="eastAsia"/>
          <w:color w:val="auto"/>
        </w:rPr>
        <w:t>竞争性谈判工作纪律及要求</w:t>
      </w:r>
      <w:bookmarkEnd w:id="78"/>
      <w:bookmarkEnd w:id="79"/>
      <w:bookmarkEnd w:id="80"/>
      <w:bookmarkEnd w:id="81"/>
    </w:p>
    <w:p>
      <w:pPr>
        <w:pStyle w:val="5"/>
        <w:numPr>
          <w:ilvl w:val="2"/>
          <w:numId w:val="6"/>
        </w:numPr>
        <w:ind w:left="0" w:firstLine="562" w:firstLineChars="200"/>
        <w:rPr>
          <w:color w:val="auto"/>
        </w:rPr>
      </w:pPr>
      <w:bookmarkStart w:id="82" w:name="_Toc217446075"/>
      <w:r>
        <w:rPr>
          <w:rFonts w:hint="eastAsia"/>
          <w:color w:val="auto"/>
        </w:rPr>
        <w:t>供应商不得具有的情形</w:t>
      </w:r>
      <w:bookmarkEnd w:id="82"/>
    </w:p>
    <w:p>
      <w:pPr>
        <w:pStyle w:val="13"/>
        <w:spacing w:after="0"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供应商参加本项目采购不得有下列情形：</w:t>
      </w:r>
    </w:p>
    <w:p>
      <w:pPr>
        <w:numPr>
          <w:ilvl w:val="1"/>
          <w:numId w:val="27"/>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有下列情形之一的，视为供应商串通参加本次竞争性谈判采购活动：</w:t>
      </w:r>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（一）不同供应商的响应文件由同一单位或者个人编制；</w:t>
      </w:r>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（二）不同供应商委托同一单位或者个人办理谈判事宜；</w:t>
      </w:r>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（三）不同供应商的响应文件载明的项目管理成员或者联系人员为同一人；</w:t>
      </w:r>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（四）不同供应商的响应文件异常一致或者最后报价呈规律性差异；</w:t>
      </w:r>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（五）不同供应商的响应文件相互混装；</w:t>
      </w:r>
    </w:p>
    <w:p>
      <w:pPr>
        <w:numPr>
          <w:ilvl w:val="1"/>
          <w:numId w:val="27"/>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提供虚假材料谋取成交；</w:t>
      </w:r>
    </w:p>
    <w:p>
      <w:pPr>
        <w:numPr>
          <w:ilvl w:val="1"/>
          <w:numId w:val="27"/>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采取不正当手段诋毁、排挤其他供应商；</w:t>
      </w:r>
    </w:p>
    <w:p>
      <w:pPr>
        <w:numPr>
          <w:ilvl w:val="1"/>
          <w:numId w:val="27"/>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与采购人或综合部、其他供应商恶意串通；</w:t>
      </w:r>
    </w:p>
    <w:p>
      <w:pPr>
        <w:numPr>
          <w:ilvl w:val="1"/>
          <w:numId w:val="27"/>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向采购人或综合部、谈判小组成员行贿或者提供其他不正当利益；</w:t>
      </w:r>
    </w:p>
    <w:p>
      <w:pPr>
        <w:numPr>
          <w:ilvl w:val="1"/>
          <w:numId w:val="27"/>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成交后无正当理由拒不与采购人签订政府采购合同；</w:t>
      </w:r>
    </w:p>
    <w:p>
      <w:pPr>
        <w:numPr>
          <w:ilvl w:val="1"/>
          <w:numId w:val="27"/>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未按照采购文件确定的事项签订政府采购合同；</w:t>
      </w:r>
    </w:p>
    <w:p>
      <w:pPr>
        <w:numPr>
          <w:ilvl w:val="1"/>
          <w:numId w:val="27"/>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将政府采购合同转包或者违规分包；</w:t>
      </w:r>
    </w:p>
    <w:p>
      <w:pPr>
        <w:numPr>
          <w:ilvl w:val="255"/>
          <w:numId w:val="0"/>
        </w:num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九、擅自变更、中止或者终止政府采购合同；</w:t>
      </w:r>
    </w:p>
    <w:p>
      <w:pPr>
        <w:numPr>
          <w:ilvl w:val="255"/>
          <w:numId w:val="0"/>
        </w:numPr>
        <w:tabs>
          <w:tab w:val="left" w:pos="1134"/>
          <w:tab w:val="left" w:pos="1418"/>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十、拒绝有关部门的监督检查或者向监督检查部门提供虚假情况；</w:t>
      </w:r>
    </w:p>
    <w:p>
      <w:pPr>
        <w:numPr>
          <w:ilvl w:val="255"/>
          <w:numId w:val="0"/>
        </w:numPr>
        <w:tabs>
          <w:tab w:val="left" w:pos="1134"/>
          <w:tab w:val="left" w:pos="1418"/>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十一、法律法规规定的其他禁止情形。</w:t>
      </w:r>
    </w:p>
    <w:p>
      <w:pPr>
        <w:pStyle w:val="13"/>
        <w:spacing w:after="0" w:line="360" w:lineRule="auto"/>
        <w:ind w:firstLine="562" w:firstLineChars="200"/>
        <w:rPr>
          <w:rFonts w:ascii="宋体" w:hAnsi="宋体" w:eastAsia="宋体" w:cs="宋体"/>
          <w:color w:val="auto"/>
          <w:sz w:val="28"/>
          <w:szCs w:val="28"/>
        </w:rPr>
      </w:pPr>
      <w:r>
        <w:rPr>
          <w:rFonts w:hint="eastAsia" w:ascii="宋体" w:hAnsi="宋体" w:eastAsia="宋体" w:cs="宋体"/>
          <w:b/>
          <w:color w:val="auto"/>
          <w:sz w:val="28"/>
          <w:szCs w:val="28"/>
        </w:rPr>
        <w:t>供应商有上述情形的，按照规定追究法律责任，具备上述“一”至“九”条情形之一的，其响应文件无效，或取消被确认为成交供应商的资格或认定成交无效。</w:t>
      </w:r>
    </w:p>
    <w:p>
      <w:pPr>
        <w:pStyle w:val="5"/>
        <w:numPr>
          <w:ilvl w:val="2"/>
          <w:numId w:val="6"/>
        </w:numPr>
        <w:ind w:left="0" w:firstLine="562" w:firstLineChars="200"/>
        <w:rPr>
          <w:color w:val="auto"/>
        </w:rPr>
      </w:pPr>
      <w:r>
        <w:rPr>
          <w:rFonts w:hint="eastAsia"/>
          <w:color w:val="auto"/>
        </w:rPr>
        <w:t>回避</w:t>
      </w:r>
    </w:p>
    <w:p>
      <w:pPr>
        <w:pStyle w:val="38"/>
        <w:shd w:val="clear" w:color="auto" w:fill="FFFFFF"/>
        <w:spacing w:before="0" w:beforeAutospacing="0" w:after="0" w:afterAutospacing="0" w:line="360" w:lineRule="auto"/>
        <w:ind w:firstLine="560" w:firstLineChars="200"/>
        <w:jc w:val="both"/>
        <w:rPr>
          <w:rFonts w:cs="宋体"/>
          <w:color w:val="auto"/>
          <w:sz w:val="28"/>
          <w:szCs w:val="28"/>
        </w:rPr>
      </w:pPr>
      <w:r>
        <w:rPr>
          <w:rFonts w:hint="eastAsia" w:cs="宋体"/>
          <w:color w:val="auto"/>
          <w:sz w:val="28"/>
          <w:szCs w:val="28"/>
        </w:rPr>
        <w:t>在政府采购活动中，采购人员（如采购人内部负责采购项目的具体经办工作人员和直接分管采购项目的负责人，以及采购代理机构负责采购项目的具体经办工作人员和直接分管采购活动的负责人）及相关人员（包括谈判小组组成人员）与供应商有下列利害关系之一的，应当回避：</w:t>
      </w:r>
    </w:p>
    <w:p>
      <w:pPr>
        <w:pStyle w:val="38"/>
        <w:shd w:val="clear" w:color="auto" w:fill="FFFFFF"/>
        <w:spacing w:before="0" w:beforeAutospacing="0" w:after="0" w:afterAutospacing="0" w:line="360" w:lineRule="auto"/>
        <w:ind w:firstLine="560" w:firstLineChars="200"/>
        <w:rPr>
          <w:rFonts w:cs="宋体"/>
          <w:color w:val="auto"/>
          <w:sz w:val="28"/>
          <w:szCs w:val="28"/>
        </w:rPr>
      </w:pPr>
      <w:r>
        <w:rPr>
          <w:rFonts w:hint="eastAsia" w:cs="宋体"/>
          <w:color w:val="auto"/>
          <w:sz w:val="28"/>
          <w:szCs w:val="28"/>
        </w:rPr>
        <w:t>（一）参加采购活动前3年内与供应商存在劳动关系；</w:t>
      </w:r>
    </w:p>
    <w:p>
      <w:pPr>
        <w:pStyle w:val="38"/>
        <w:shd w:val="clear" w:color="auto" w:fill="FFFFFF"/>
        <w:spacing w:before="0" w:beforeAutospacing="0" w:after="0" w:afterAutospacing="0" w:line="360" w:lineRule="auto"/>
        <w:ind w:firstLine="560" w:firstLineChars="200"/>
        <w:rPr>
          <w:rFonts w:cs="宋体"/>
          <w:color w:val="auto"/>
          <w:sz w:val="28"/>
          <w:szCs w:val="28"/>
        </w:rPr>
      </w:pPr>
      <w:r>
        <w:rPr>
          <w:rFonts w:hint="eastAsia" w:cs="宋体"/>
          <w:color w:val="auto"/>
          <w:sz w:val="28"/>
          <w:szCs w:val="28"/>
        </w:rPr>
        <w:t>（二）参加采购活动前3年内担任供应商的董事、监事；</w:t>
      </w:r>
    </w:p>
    <w:p>
      <w:pPr>
        <w:pStyle w:val="38"/>
        <w:shd w:val="clear" w:color="auto" w:fill="FFFFFF"/>
        <w:spacing w:before="0" w:beforeAutospacing="0" w:after="0" w:afterAutospacing="0" w:line="360" w:lineRule="auto"/>
        <w:ind w:firstLine="560" w:firstLineChars="200"/>
        <w:rPr>
          <w:rFonts w:cs="宋体"/>
          <w:color w:val="auto"/>
          <w:sz w:val="28"/>
          <w:szCs w:val="28"/>
        </w:rPr>
      </w:pPr>
      <w:r>
        <w:rPr>
          <w:rFonts w:hint="eastAsia" w:cs="宋体"/>
          <w:color w:val="auto"/>
          <w:sz w:val="28"/>
          <w:szCs w:val="28"/>
        </w:rPr>
        <w:t>（三）参加采购活动前3年内是供应商的控股股东或者实际控制人；</w:t>
      </w:r>
    </w:p>
    <w:p>
      <w:pPr>
        <w:pStyle w:val="38"/>
        <w:shd w:val="clear" w:color="auto" w:fill="FFFFFF"/>
        <w:spacing w:before="0" w:beforeAutospacing="0" w:after="0" w:afterAutospacing="0" w:line="360" w:lineRule="auto"/>
        <w:ind w:firstLine="560" w:firstLineChars="200"/>
        <w:rPr>
          <w:rFonts w:cs="宋体"/>
          <w:color w:val="auto"/>
          <w:sz w:val="28"/>
          <w:szCs w:val="28"/>
        </w:rPr>
      </w:pPr>
      <w:r>
        <w:rPr>
          <w:rFonts w:hint="eastAsia" w:cs="宋体"/>
          <w:color w:val="auto"/>
          <w:sz w:val="28"/>
          <w:szCs w:val="28"/>
        </w:rPr>
        <w:t>（四）与供应商的法定代表人或者负责人有夫妻、直系血亲、三代以内旁系血亲或者近姻亲关系；</w:t>
      </w:r>
    </w:p>
    <w:p>
      <w:pPr>
        <w:pStyle w:val="38"/>
        <w:shd w:val="clear" w:color="auto" w:fill="FFFFFF"/>
        <w:spacing w:before="0" w:beforeAutospacing="0" w:after="0" w:afterAutospacing="0" w:line="360" w:lineRule="auto"/>
        <w:ind w:firstLine="560" w:firstLineChars="200"/>
        <w:rPr>
          <w:rFonts w:cs="宋体"/>
          <w:color w:val="auto"/>
          <w:sz w:val="28"/>
          <w:szCs w:val="28"/>
        </w:rPr>
      </w:pPr>
      <w:r>
        <w:rPr>
          <w:rFonts w:hint="eastAsia" w:cs="宋体"/>
          <w:color w:val="auto"/>
          <w:sz w:val="28"/>
          <w:szCs w:val="28"/>
        </w:rPr>
        <w:t>（五）与供应商有其他可能影响政府采购活动公平、公正进行的关系。</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numPr>
          <w:ilvl w:val="1"/>
          <w:numId w:val="6"/>
        </w:numPr>
        <w:tabs>
          <w:tab w:val="left" w:pos="426"/>
          <w:tab w:val="left" w:pos="567"/>
        </w:tabs>
        <w:spacing w:before="0" w:after="0"/>
        <w:ind w:left="0" w:firstLine="562" w:firstLineChars="200"/>
        <w:jc w:val="both"/>
        <w:rPr>
          <w:color w:val="auto"/>
        </w:rPr>
      </w:pPr>
      <w:bookmarkStart w:id="83" w:name="_Toc405886181"/>
      <w:bookmarkStart w:id="84" w:name="_Toc16529"/>
      <w:bookmarkStart w:id="85" w:name="_Toc4856"/>
      <w:bookmarkStart w:id="86" w:name="_Toc58943332"/>
      <w:bookmarkStart w:id="87" w:name="_Toc26111"/>
      <w:r>
        <w:rPr>
          <w:rFonts w:hint="eastAsia"/>
          <w:color w:val="auto"/>
        </w:rPr>
        <w:t>询问、质疑</w:t>
      </w:r>
      <w:bookmarkEnd w:id="83"/>
      <w:r>
        <w:rPr>
          <w:rFonts w:hint="eastAsia"/>
          <w:color w:val="auto"/>
        </w:rPr>
        <w:t>和投诉</w:t>
      </w:r>
      <w:bookmarkEnd w:id="84"/>
      <w:bookmarkEnd w:id="85"/>
      <w:bookmarkEnd w:id="86"/>
      <w:bookmarkEnd w:id="87"/>
    </w:p>
    <w:p>
      <w:pPr>
        <w:pStyle w:val="25"/>
        <w:numPr>
          <w:ilvl w:val="0"/>
          <w:numId w:val="28"/>
        </w:numPr>
        <w:tabs>
          <w:tab w:val="left" w:pos="1134"/>
        </w:tabs>
        <w:spacing w:after="0" w:line="360" w:lineRule="auto"/>
        <w:ind w:left="0" w:leftChars="0" w:firstLine="560" w:firstLineChars="200"/>
        <w:rPr>
          <w:rFonts w:ascii="宋体" w:hAnsi="宋体" w:cs="宋体"/>
          <w:color w:val="auto"/>
          <w:sz w:val="28"/>
          <w:szCs w:val="28"/>
        </w:rPr>
      </w:pPr>
      <w:r>
        <w:rPr>
          <w:rFonts w:hint="eastAsia" w:ascii="宋体" w:hAnsi="宋体" w:cs="宋体"/>
          <w:color w:val="auto"/>
          <w:sz w:val="28"/>
          <w:szCs w:val="28"/>
        </w:rPr>
        <w:t>供应商认为谈判文件、谈判过程和成交结果使自己的合法权益受到损害的，可以依法进行质疑。</w:t>
      </w:r>
    </w:p>
    <w:p>
      <w:pPr>
        <w:pStyle w:val="87"/>
        <w:widowControl/>
        <w:numPr>
          <w:ilvl w:val="0"/>
          <w:numId w:val="28"/>
        </w:numPr>
        <w:tabs>
          <w:tab w:val="left" w:pos="1134"/>
        </w:tabs>
        <w:spacing w:line="360" w:lineRule="auto"/>
        <w:ind w:left="0" w:firstLine="560"/>
        <w:jc w:val="left"/>
        <w:rPr>
          <w:rFonts w:ascii="宋体" w:hAnsi="宋体" w:eastAsia="宋体" w:cs="宋体"/>
          <w:color w:val="auto"/>
          <w:sz w:val="28"/>
          <w:szCs w:val="28"/>
        </w:rPr>
      </w:pPr>
      <w:r>
        <w:rPr>
          <w:rFonts w:hint="eastAsia" w:ascii="宋体" w:hAnsi="宋体" w:eastAsia="宋体" w:cs="宋体"/>
          <w:color w:val="auto"/>
          <w:sz w:val="28"/>
          <w:szCs w:val="28"/>
        </w:rPr>
        <w:t>询问、质疑、投诉的接收和处理严格按照《中华人民共和国政府采购法》《中华人民共和国政府采购法实施条例》和《政府采购质疑和投诉办法》（财政部94号令）的规定办理。</w:t>
      </w:r>
    </w:p>
    <w:p>
      <w:pPr>
        <w:pStyle w:val="25"/>
        <w:numPr>
          <w:ilvl w:val="0"/>
          <w:numId w:val="28"/>
        </w:numPr>
        <w:tabs>
          <w:tab w:val="left" w:pos="1134"/>
        </w:tabs>
        <w:spacing w:after="0" w:line="360" w:lineRule="auto"/>
        <w:ind w:left="0" w:leftChars="0" w:firstLine="560" w:firstLineChars="200"/>
        <w:rPr>
          <w:rFonts w:ascii="宋体" w:hAnsi="宋体" w:cs="宋体"/>
          <w:color w:val="auto"/>
          <w:sz w:val="28"/>
          <w:szCs w:val="28"/>
        </w:rPr>
      </w:pPr>
      <w:r>
        <w:rPr>
          <w:rFonts w:hint="eastAsia" w:ascii="宋体" w:hAnsi="宋体" w:cs="宋体"/>
          <w:color w:val="auto"/>
          <w:sz w:val="28"/>
          <w:szCs w:val="28"/>
        </w:rPr>
        <w:t>供应商询问、质疑的对象</w:t>
      </w:r>
    </w:p>
    <w:p>
      <w:pPr>
        <w:pStyle w:val="25"/>
        <w:numPr>
          <w:ilvl w:val="1"/>
          <w:numId w:val="29"/>
        </w:numPr>
        <w:tabs>
          <w:tab w:val="left" w:pos="1134"/>
        </w:tabs>
        <w:spacing w:after="0" w:line="360" w:lineRule="auto"/>
        <w:ind w:left="0" w:leftChars="0" w:firstLine="560" w:firstLineChars="200"/>
        <w:rPr>
          <w:rFonts w:ascii="宋体" w:hAnsi="宋体" w:cs="宋体"/>
          <w:color w:val="auto"/>
          <w:sz w:val="28"/>
          <w:szCs w:val="28"/>
        </w:rPr>
      </w:pPr>
      <w:r>
        <w:rPr>
          <w:rFonts w:hint="eastAsia" w:ascii="宋体" w:hAnsi="宋体" w:cs="宋体"/>
          <w:color w:val="auto"/>
          <w:sz w:val="28"/>
          <w:szCs w:val="28"/>
        </w:rPr>
        <w:t>供应商对谈判文件中供应商参加本次政府采购活动应当具备的条件、项目技术、服务、商务及其他要求，评审办法和标准提出询问或质疑的，应向采购人提出；</w:t>
      </w:r>
    </w:p>
    <w:p>
      <w:pPr>
        <w:pStyle w:val="25"/>
        <w:numPr>
          <w:ilvl w:val="1"/>
          <w:numId w:val="29"/>
        </w:numPr>
        <w:tabs>
          <w:tab w:val="left" w:pos="1134"/>
        </w:tabs>
        <w:spacing w:after="0" w:line="360" w:lineRule="auto"/>
        <w:ind w:left="0" w:leftChars="0" w:firstLine="560" w:firstLineChars="200"/>
        <w:rPr>
          <w:rFonts w:ascii="宋体" w:hAnsi="宋体" w:cs="宋体"/>
          <w:color w:val="auto"/>
          <w:sz w:val="28"/>
          <w:szCs w:val="28"/>
        </w:rPr>
      </w:pPr>
      <w:r>
        <w:rPr>
          <w:rFonts w:hint="eastAsia" w:ascii="宋体" w:hAnsi="宋体" w:cs="宋体"/>
          <w:color w:val="auto"/>
          <w:sz w:val="28"/>
          <w:szCs w:val="28"/>
        </w:rPr>
        <w:t>供应商对除上述谈判文件中的其他内容、采购过程及成交结果提出询问、质疑的，应向综合部提出。</w:t>
      </w:r>
    </w:p>
    <w:p>
      <w:pPr>
        <w:pStyle w:val="25"/>
        <w:numPr>
          <w:ilvl w:val="0"/>
          <w:numId w:val="28"/>
        </w:numPr>
        <w:tabs>
          <w:tab w:val="left" w:pos="1134"/>
        </w:tabs>
        <w:spacing w:after="0" w:line="360" w:lineRule="auto"/>
        <w:ind w:left="0" w:leftChars="0" w:firstLine="560" w:firstLineChars="200"/>
        <w:rPr>
          <w:rFonts w:ascii="宋体" w:hAnsi="宋体" w:cs="宋体"/>
          <w:color w:val="auto"/>
          <w:sz w:val="28"/>
          <w:szCs w:val="28"/>
        </w:rPr>
      </w:pPr>
      <w:r>
        <w:rPr>
          <w:rFonts w:hint="eastAsia" w:ascii="宋体" w:hAnsi="宋体" w:cs="宋体"/>
          <w:color w:val="auto"/>
          <w:sz w:val="28"/>
          <w:szCs w:val="28"/>
        </w:rPr>
        <w:t>供应商提出的询问，应当明确询问事项，如以书面形式提出的，应由供应商签字并加盖公章。</w:t>
      </w:r>
    </w:p>
    <w:p>
      <w:pPr>
        <w:pStyle w:val="25"/>
        <w:numPr>
          <w:ilvl w:val="0"/>
          <w:numId w:val="28"/>
        </w:numPr>
        <w:tabs>
          <w:tab w:val="left" w:pos="1134"/>
        </w:tabs>
        <w:spacing w:after="0" w:line="360" w:lineRule="auto"/>
        <w:ind w:left="0" w:leftChars="0" w:firstLine="560" w:firstLineChars="200"/>
        <w:rPr>
          <w:rFonts w:ascii="宋体" w:hAnsi="宋体" w:cs="宋体"/>
          <w:color w:val="auto"/>
          <w:sz w:val="28"/>
          <w:szCs w:val="28"/>
        </w:rPr>
      </w:pPr>
      <w:r>
        <w:rPr>
          <w:rFonts w:hint="eastAsia" w:ascii="宋体" w:hAnsi="宋体" w:cs="宋体"/>
          <w:color w:val="auto"/>
          <w:sz w:val="28"/>
          <w:szCs w:val="28"/>
        </w:rPr>
        <w:t>供应商可通过“政府采购云平台”，或现场向采购人或综合部提交质疑资料。</w:t>
      </w:r>
    </w:p>
    <w:p>
      <w:pPr>
        <w:pStyle w:val="25"/>
        <w:numPr>
          <w:ilvl w:val="0"/>
          <w:numId w:val="28"/>
        </w:numPr>
        <w:tabs>
          <w:tab w:val="left" w:pos="1134"/>
        </w:tabs>
        <w:spacing w:after="0" w:line="360" w:lineRule="auto"/>
        <w:ind w:left="0" w:leftChars="0" w:firstLine="560" w:firstLineChars="200"/>
        <w:rPr>
          <w:rFonts w:ascii="宋体" w:hAnsi="宋体" w:cs="宋体"/>
          <w:color w:val="auto"/>
          <w:sz w:val="28"/>
          <w:szCs w:val="28"/>
        </w:rPr>
      </w:pPr>
      <w:r>
        <w:rPr>
          <w:rFonts w:hint="eastAsia" w:ascii="宋体" w:hAnsi="宋体" w:cs="宋体"/>
          <w:color w:val="auto"/>
          <w:sz w:val="28"/>
          <w:szCs w:val="28"/>
        </w:rPr>
        <w:t>供应商应在法定质疑期内一次性提出针对同一采购程序环节的质疑。</w:t>
      </w:r>
    </w:p>
    <w:p>
      <w:pPr>
        <w:pStyle w:val="25"/>
        <w:numPr>
          <w:ilvl w:val="0"/>
          <w:numId w:val="28"/>
        </w:numPr>
        <w:tabs>
          <w:tab w:val="left" w:pos="1134"/>
        </w:tabs>
        <w:spacing w:after="0" w:line="360" w:lineRule="auto"/>
        <w:ind w:left="0" w:leftChars="0" w:firstLine="560" w:firstLineChars="200"/>
        <w:rPr>
          <w:rFonts w:ascii="宋体" w:hAnsi="宋体" w:cs="宋体"/>
          <w:color w:val="auto"/>
          <w:sz w:val="28"/>
          <w:szCs w:val="28"/>
        </w:rPr>
      </w:pPr>
      <w:r>
        <w:rPr>
          <w:rFonts w:hint="eastAsia" w:ascii="宋体" w:hAnsi="宋体" w:cs="宋体"/>
          <w:color w:val="auto"/>
          <w:sz w:val="28"/>
          <w:szCs w:val="28"/>
        </w:rPr>
        <w:t>供应商提出质疑时应当准备的资料</w:t>
      </w:r>
    </w:p>
    <w:p>
      <w:pPr>
        <w:pStyle w:val="87"/>
        <w:numPr>
          <w:ilvl w:val="1"/>
          <w:numId w:val="30"/>
        </w:numPr>
        <w:tabs>
          <w:tab w:val="left" w:pos="1134"/>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质疑书1份（加盖公章）；</w:t>
      </w:r>
    </w:p>
    <w:p>
      <w:pPr>
        <w:pStyle w:val="87"/>
        <w:numPr>
          <w:ilvl w:val="1"/>
          <w:numId w:val="30"/>
        </w:numPr>
        <w:tabs>
          <w:tab w:val="left" w:pos="1134"/>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委托代理人办理质疑事宜的需提供：法定代表人或主要负责人授权委托书1份（加盖公章）；</w:t>
      </w:r>
    </w:p>
    <w:p>
      <w:pPr>
        <w:pStyle w:val="87"/>
        <w:numPr>
          <w:ilvl w:val="1"/>
          <w:numId w:val="30"/>
        </w:numPr>
        <w:tabs>
          <w:tab w:val="left" w:pos="1134"/>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法定代表人或主要负责人身份证复印件1份；</w:t>
      </w:r>
    </w:p>
    <w:p>
      <w:pPr>
        <w:pStyle w:val="87"/>
        <w:numPr>
          <w:ilvl w:val="1"/>
          <w:numId w:val="30"/>
        </w:numPr>
        <w:tabs>
          <w:tab w:val="left" w:pos="1134"/>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委托代理人身份证复印件1份（委托代理人办理质疑事宜的需提供）；</w:t>
      </w:r>
    </w:p>
    <w:p>
      <w:pPr>
        <w:pStyle w:val="87"/>
        <w:numPr>
          <w:ilvl w:val="1"/>
          <w:numId w:val="30"/>
        </w:numPr>
        <w:tabs>
          <w:tab w:val="left" w:pos="1134"/>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针对质疑事项必要的证明材料。</w:t>
      </w:r>
    </w:p>
    <w:p>
      <w:pPr>
        <w:pStyle w:val="25"/>
        <w:tabs>
          <w:tab w:val="left" w:pos="1134"/>
        </w:tabs>
        <w:spacing w:after="0" w:line="360" w:lineRule="auto"/>
        <w:ind w:left="0" w:leftChars="0" w:firstLine="560" w:firstLineChars="200"/>
        <w:rPr>
          <w:rFonts w:ascii="宋体" w:hAnsi="宋体" w:cs="宋体"/>
          <w:color w:val="auto"/>
        </w:rPr>
      </w:pPr>
      <w:r>
        <w:rPr>
          <w:rFonts w:hint="eastAsia" w:ascii="宋体" w:hAnsi="宋体" w:cs="宋体"/>
          <w:color w:val="auto"/>
          <w:sz w:val="28"/>
          <w:szCs w:val="28"/>
        </w:rPr>
        <w:t>供应商对采购人、集中采购机构的质疑答复不满意，或者采购人、集中采购机构未在规定期限内作出答复的，供应商可以在答复期满后15个工作日内向同级财政部门提起投诉。</w:t>
      </w:r>
      <w:bookmarkStart w:id="88" w:name="_Toc77688482"/>
      <w:bookmarkEnd w:id="88"/>
      <w:bookmarkStart w:id="89" w:name="_Toc77688481"/>
      <w:bookmarkEnd w:id="89"/>
      <w:bookmarkStart w:id="90" w:name="_Toc376425021"/>
      <w:bookmarkEnd w:id="90"/>
    </w:p>
    <w:p>
      <w:pPr>
        <w:pStyle w:val="4"/>
        <w:numPr>
          <w:ilvl w:val="1"/>
          <w:numId w:val="6"/>
        </w:numPr>
        <w:tabs>
          <w:tab w:val="left" w:pos="426"/>
          <w:tab w:val="left" w:pos="567"/>
        </w:tabs>
        <w:spacing w:before="0" w:after="0"/>
        <w:ind w:left="0" w:firstLine="562" w:firstLineChars="200"/>
        <w:jc w:val="both"/>
        <w:rPr>
          <w:color w:val="auto"/>
        </w:rPr>
      </w:pPr>
      <w:bookmarkStart w:id="91" w:name="_Toc27780"/>
      <w:bookmarkStart w:id="92" w:name="_Toc25684"/>
      <w:bookmarkStart w:id="93" w:name="_Toc58943334"/>
      <w:bookmarkStart w:id="94" w:name="_Toc2483"/>
      <w:r>
        <w:rPr>
          <w:rFonts w:hint="eastAsia"/>
          <w:color w:val="auto"/>
        </w:rPr>
        <w:t>其他</w:t>
      </w:r>
      <w:bookmarkEnd w:id="91"/>
      <w:bookmarkEnd w:id="92"/>
      <w:bookmarkEnd w:id="93"/>
      <w:bookmarkEnd w:id="94"/>
    </w:p>
    <w:p>
      <w:pPr>
        <w:tabs>
          <w:tab w:val="left" w:pos="1134"/>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采购人可以要求参加政府采购的供应商提供有关资质证明文件和业绩情况，并根据《中华人民共和国政府采购法》规定的供应商条件和采购项目对供应商的特定要求，对供应商的资格进行审查。</w:t>
      </w:r>
    </w:p>
    <w:p>
      <w:pPr>
        <w:spacing w:line="360" w:lineRule="auto"/>
        <w:ind w:firstLine="560" w:firstLineChars="200"/>
        <w:rPr>
          <w:rFonts w:ascii="宋体" w:hAnsi="宋体" w:cs="宋体"/>
          <w:color w:val="auto"/>
          <w:sz w:val="28"/>
          <w:szCs w:val="28"/>
        </w:rPr>
        <w:sectPr>
          <w:pgSz w:w="11906" w:h="16838"/>
          <w:pgMar w:top="1134" w:right="1274" w:bottom="1440" w:left="1418" w:header="851" w:footer="992" w:gutter="0"/>
          <w:cols w:space="720" w:num="1"/>
          <w:docGrid w:type="lines" w:linePitch="312" w:charSpace="0"/>
        </w:sectPr>
      </w:pPr>
    </w:p>
    <w:p>
      <w:pPr>
        <w:pStyle w:val="3"/>
        <w:widowControl/>
        <w:numPr>
          <w:ilvl w:val="0"/>
          <w:numId w:val="6"/>
        </w:numPr>
        <w:spacing w:before="0" w:after="0" w:line="360" w:lineRule="auto"/>
        <w:ind w:left="0" w:firstLine="0"/>
        <w:rPr>
          <w:color w:val="auto"/>
        </w:rPr>
      </w:pPr>
      <w:bookmarkStart w:id="95" w:name="_Toc238581781"/>
      <w:bookmarkStart w:id="96" w:name="_Toc28623"/>
      <w:bookmarkStart w:id="97" w:name="_Toc15928"/>
      <w:bookmarkStart w:id="98" w:name="_Toc58943335"/>
      <w:bookmarkStart w:id="99" w:name="_Toc1037"/>
      <w:r>
        <w:rPr>
          <w:rFonts w:hint="eastAsia"/>
          <w:color w:val="auto"/>
        </w:rPr>
        <w:t>响应</w:t>
      </w:r>
      <w:bookmarkEnd w:id="95"/>
      <w:r>
        <w:rPr>
          <w:rFonts w:hint="eastAsia"/>
          <w:color w:val="auto"/>
        </w:rPr>
        <w:t>文件格式</w:t>
      </w:r>
      <w:bookmarkEnd w:id="96"/>
      <w:bookmarkEnd w:id="97"/>
      <w:bookmarkEnd w:id="98"/>
      <w:bookmarkEnd w:id="99"/>
    </w:p>
    <w:p>
      <w:pPr>
        <w:pStyle w:val="4"/>
        <w:numPr>
          <w:ilvl w:val="1"/>
          <w:numId w:val="6"/>
        </w:numPr>
        <w:tabs>
          <w:tab w:val="left" w:pos="426"/>
          <w:tab w:val="left" w:pos="567"/>
        </w:tabs>
        <w:spacing w:before="0" w:after="200"/>
        <w:ind w:left="1985" w:hanging="1985"/>
        <w:jc w:val="both"/>
        <w:rPr>
          <w:color w:val="auto"/>
        </w:rPr>
      </w:pPr>
      <w:bookmarkStart w:id="100" w:name="_Toc14003"/>
      <w:bookmarkStart w:id="101" w:name="_Toc8533"/>
      <w:bookmarkStart w:id="102" w:name="_Toc58943336"/>
      <w:bookmarkStart w:id="103" w:name="_Toc14860"/>
      <w:r>
        <w:rPr>
          <w:rFonts w:hint="eastAsia"/>
          <w:color w:val="auto"/>
        </w:rPr>
        <w:t>资格性响应文件格式</w:t>
      </w:r>
      <w:bookmarkEnd w:id="100"/>
      <w:bookmarkEnd w:id="101"/>
      <w:bookmarkEnd w:id="102"/>
      <w:bookmarkEnd w:id="103"/>
    </w:p>
    <w:p>
      <w:pPr>
        <w:pStyle w:val="5"/>
        <w:numPr>
          <w:ilvl w:val="2"/>
          <w:numId w:val="6"/>
        </w:numPr>
        <w:tabs>
          <w:tab w:val="left" w:pos="709"/>
        </w:tabs>
        <w:spacing w:after="200"/>
        <w:ind w:left="709" w:hanging="709"/>
        <w:rPr>
          <w:color w:val="auto"/>
        </w:rPr>
      </w:pPr>
      <w:bookmarkStart w:id="104" w:name="_Toc320698761"/>
      <w:r>
        <w:rPr>
          <w:rFonts w:hint="eastAsia"/>
          <w:color w:val="auto"/>
        </w:rPr>
        <w:t>资格性响应文件封面格式</w:t>
      </w:r>
      <w:bookmarkEnd w:id="104"/>
    </w:p>
    <w:p>
      <w:pPr>
        <w:jc w:val="center"/>
        <w:rPr>
          <w:rFonts w:ascii="宋体" w:hAnsi="宋体" w:cs="宋体"/>
          <w:color w:val="auto"/>
          <w:sz w:val="84"/>
          <w:szCs w:val="84"/>
        </w:rPr>
      </w:pPr>
    </w:p>
    <w:p>
      <w:pPr>
        <w:jc w:val="center"/>
        <w:rPr>
          <w:rFonts w:ascii="宋体" w:hAnsi="宋体" w:cs="宋体"/>
          <w:color w:val="auto"/>
          <w:sz w:val="84"/>
          <w:szCs w:val="84"/>
        </w:rPr>
      </w:pPr>
      <w:r>
        <w:rPr>
          <w:rFonts w:hint="eastAsia" w:ascii="宋体" w:hAnsi="宋体" w:cs="宋体"/>
          <w:color w:val="auto"/>
          <w:sz w:val="84"/>
          <w:szCs w:val="84"/>
        </w:rPr>
        <w:t>资格性响应文件</w:t>
      </w:r>
    </w:p>
    <w:p>
      <w:pPr>
        <w:spacing w:line="360" w:lineRule="auto"/>
        <w:ind w:firstLine="320" w:firstLineChars="100"/>
        <w:rPr>
          <w:rFonts w:ascii="宋体" w:hAnsi="宋体" w:cs="宋体"/>
          <w:color w:val="auto"/>
          <w:sz w:val="32"/>
          <w:szCs w:val="32"/>
        </w:rPr>
      </w:pPr>
    </w:p>
    <w:p>
      <w:pPr>
        <w:spacing w:line="360" w:lineRule="auto"/>
        <w:ind w:left="1846" w:leftChars="151" w:hanging="1529" w:hangingChars="476"/>
        <w:rPr>
          <w:rFonts w:ascii="宋体" w:hAnsi="宋体" w:cs="宋体"/>
          <w:b/>
          <w:color w:val="auto"/>
          <w:sz w:val="32"/>
          <w:szCs w:val="32"/>
        </w:rPr>
      </w:pPr>
      <w:r>
        <w:rPr>
          <w:rFonts w:hint="eastAsia" w:ascii="宋体" w:hAnsi="宋体" w:cs="宋体"/>
          <w:b/>
          <w:color w:val="auto"/>
          <w:sz w:val="32"/>
          <w:szCs w:val="32"/>
        </w:rPr>
        <w:t>项目名称：成都东部新区贾家初级中学LED显示屏采购项目</w:t>
      </w:r>
    </w:p>
    <w:p>
      <w:pPr>
        <w:spacing w:line="360" w:lineRule="auto"/>
        <w:ind w:firstLine="321" w:firstLineChars="100"/>
        <w:rPr>
          <w:rFonts w:hint="eastAsia" w:ascii="宋体" w:hAnsi="宋体" w:eastAsia="宋体" w:cs="宋体"/>
          <w:b/>
          <w:color w:val="auto"/>
          <w:sz w:val="32"/>
          <w:szCs w:val="32"/>
          <w:lang w:eastAsia="zh-CN"/>
        </w:rPr>
      </w:pPr>
      <w:r>
        <w:rPr>
          <w:rFonts w:hint="eastAsia" w:ascii="宋体" w:hAnsi="宋体" w:cs="宋体"/>
          <w:b/>
          <w:color w:val="auto"/>
          <w:sz w:val="32"/>
          <w:szCs w:val="32"/>
        </w:rPr>
        <w:t>项目编号：</w:t>
      </w:r>
      <w:r>
        <w:rPr>
          <w:rFonts w:hint="eastAsia" w:ascii="宋体" w:hAnsi="宋体" w:cs="宋体"/>
          <w:b/>
          <w:color w:val="auto"/>
          <w:sz w:val="32"/>
          <w:szCs w:val="32"/>
          <w:lang w:eastAsia="zh-CN"/>
        </w:rPr>
        <w:t>东部新区政采（2021）A0036号</w:t>
      </w:r>
    </w:p>
    <w:p>
      <w:pPr>
        <w:spacing w:line="360" w:lineRule="auto"/>
        <w:ind w:firstLine="320" w:firstLineChars="100"/>
        <w:rPr>
          <w:rFonts w:ascii="宋体" w:hAnsi="宋体" w:cs="宋体"/>
          <w:color w:val="auto"/>
          <w:sz w:val="32"/>
          <w:szCs w:val="32"/>
        </w:rPr>
      </w:pPr>
    </w:p>
    <w:p>
      <w:pPr>
        <w:spacing w:line="360" w:lineRule="auto"/>
        <w:ind w:firstLine="320" w:firstLineChars="100"/>
        <w:rPr>
          <w:rFonts w:ascii="宋体" w:hAnsi="宋体" w:cs="宋体"/>
          <w:color w:val="auto"/>
          <w:sz w:val="32"/>
          <w:szCs w:val="32"/>
        </w:rPr>
      </w:pPr>
    </w:p>
    <w:p>
      <w:pPr>
        <w:pStyle w:val="2"/>
        <w:rPr>
          <w:rFonts w:ascii="宋体" w:hAnsi="宋体" w:cs="宋体"/>
          <w:color w:val="auto"/>
        </w:rPr>
      </w:pPr>
    </w:p>
    <w:p>
      <w:pPr>
        <w:spacing w:line="360" w:lineRule="auto"/>
        <w:ind w:firstLine="320" w:firstLineChars="100"/>
        <w:rPr>
          <w:rFonts w:ascii="宋体" w:hAnsi="宋体" w:cs="宋体"/>
          <w:color w:val="auto"/>
          <w:sz w:val="32"/>
          <w:szCs w:val="32"/>
          <w:u w:val="single"/>
        </w:rPr>
      </w:pPr>
      <w:r>
        <w:rPr>
          <w:rFonts w:hint="eastAsia" w:ascii="宋体" w:hAnsi="宋体" w:cs="宋体"/>
          <w:color w:val="auto"/>
          <w:sz w:val="32"/>
          <w:szCs w:val="32"/>
        </w:rPr>
        <w:t>供应商名称：</w:t>
      </w:r>
      <w:r>
        <w:rPr>
          <w:rFonts w:hint="eastAsia" w:ascii="宋体" w:hAnsi="宋体" w:cs="宋体"/>
          <w:color w:val="auto"/>
          <w:sz w:val="32"/>
          <w:szCs w:val="32"/>
          <w:u w:val="single"/>
        </w:rPr>
        <w:t xml:space="preserve">   XXXXXXXXXX    </w:t>
      </w:r>
    </w:p>
    <w:p>
      <w:pPr>
        <w:tabs>
          <w:tab w:val="left" w:pos="993"/>
        </w:tabs>
        <w:spacing w:line="360" w:lineRule="auto"/>
        <w:ind w:firstLine="627" w:firstLineChars="196"/>
        <w:rPr>
          <w:rFonts w:ascii="宋体" w:hAnsi="宋体" w:cs="宋体"/>
          <w:b/>
          <w:color w:val="auto"/>
          <w:sz w:val="28"/>
          <w:szCs w:val="28"/>
        </w:rPr>
      </w:pPr>
      <w:r>
        <w:rPr>
          <w:rFonts w:hint="eastAsia" w:ascii="宋体" w:hAnsi="宋体" w:cs="宋体"/>
          <w:color w:val="auto"/>
          <w:sz w:val="32"/>
          <w:szCs w:val="32"/>
        </w:rPr>
        <w:t>日 期： XX年XX月XX日</w:t>
      </w:r>
    </w:p>
    <w:p>
      <w:pPr>
        <w:tabs>
          <w:tab w:val="left" w:pos="993"/>
        </w:tabs>
        <w:spacing w:line="360" w:lineRule="auto"/>
        <w:ind w:firstLine="551" w:firstLineChars="196"/>
        <w:rPr>
          <w:rFonts w:ascii="宋体" w:hAnsi="宋体" w:cs="宋体"/>
          <w:b/>
          <w:color w:val="auto"/>
          <w:sz w:val="28"/>
          <w:szCs w:val="28"/>
        </w:rPr>
      </w:pPr>
    </w:p>
    <w:p>
      <w:pPr>
        <w:tabs>
          <w:tab w:val="left" w:pos="993"/>
        </w:tabs>
        <w:spacing w:line="360" w:lineRule="auto"/>
        <w:ind w:firstLine="551" w:firstLineChars="196"/>
        <w:rPr>
          <w:rFonts w:ascii="宋体" w:hAnsi="宋体" w:cs="宋体"/>
          <w:b/>
          <w:color w:val="auto"/>
          <w:sz w:val="28"/>
          <w:szCs w:val="28"/>
        </w:rPr>
      </w:pPr>
    </w:p>
    <w:p>
      <w:pPr>
        <w:tabs>
          <w:tab w:val="left" w:pos="993"/>
        </w:tabs>
        <w:spacing w:line="360" w:lineRule="auto"/>
        <w:ind w:firstLine="551" w:firstLineChars="196"/>
        <w:rPr>
          <w:rFonts w:ascii="宋体" w:hAnsi="宋体" w:cs="宋体"/>
          <w:b/>
          <w:color w:val="auto"/>
          <w:sz w:val="28"/>
          <w:szCs w:val="28"/>
        </w:rPr>
      </w:pPr>
    </w:p>
    <w:p>
      <w:pPr>
        <w:tabs>
          <w:tab w:val="left" w:pos="993"/>
        </w:tabs>
        <w:spacing w:line="360" w:lineRule="auto"/>
        <w:ind w:firstLine="551" w:firstLineChars="196"/>
        <w:rPr>
          <w:rFonts w:ascii="宋体" w:hAnsi="宋体" w:cs="宋体"/>
          <w:b/>
          <w:color w:val="auto"/>
          <w:sz w:val="28"/>
          <w:szCs w:val="28"/>
        </w:rPr>
      </w:pPr>
    </w:p>
    <w:p>
      <w:pPr>
        <w:tabs>
          <w:tab w:val="left" w:pos="993"/>
        </w:tabs>
        <w:spacing w:line="360" w:lineRule="auto"/>
        <w:ind w:firstLine="551" w:firstLineChars="196"/>
        <w:rPr>
          <w:rFonts w:ascii="宋体" w:hAnsi="宋体" w:cs="宋体"/>
          <w:b/>
          <w:color w:val="auto"/>
          <w:sz w:val="28"/>
          <w:szCs w:val="28"/>
        </w:rPr>
      </w:pPr>
    </w:p>
    <w:p>
      <w:pPr>
        <w:tabs>
          <w:tab w:val="left" w:pos="993"/>
        </w:tabs>
        <w:spacing w:line="360" w:lineRule="auto"/>
        <w:ind w:firstLine="551" w:firstLineChars="196"/>
        <w:rPr>
          <w:rFonts w:ascii="宋体" w:hAnsi="宋体" w:cs="宋体"/>
          <w:b/>
          <w:color w:val="auto"/>
          <w:sz w:val="28"/>
          <w:szCs w:val="28"/>
        </w:rPr>
      </w:pPr>
    </w:p>
    <w:p>
      <w:pPr>
        <w:tabs>
          <w:tab w:val="left" w:pos="993"/>
        </w:tabs>
        <w:spacing w:line="360" w:lineRule="auto"/>
        <w:rPr>
          <w:rFonts w:ascii="宋体" w:hAnsi="宋体" w:cs="宋体"/>
          <w:b/>
          <w:color w:val="auto"/>
          <w:sz w:val="28"/>
          <w:szCs w:val="28"/>
        </w:rPr>
      </w:pPr>
    </w:p>
    <w:p>
      <w:pPr>
        <w:pStyle w:val="5"/>
        <w:numPr>
          <w:ilvl w:val="2"/>
          <w:numId w:val="6"/>
        </w:numPr>
        <w:tabs>
          <w:tab w:val="left" w:pos="709"/>
        </w:tabs>
        <w:spacing w:after="200"/>
        <w:ind w:left="709" w:hanging="709"/>
        <w:rPr>
          <w:color w:val="auto"/>
        </w:rPr>
      </w:pPr>
      <w:r>
        <w:rPr>
          <w:rFonts w:hint="eastAsia"/>
          <w:color w:val="auto"/>
        </w:rPr>
        <w:t>供应商申明函</w:t>
      </w:r>
    </w:p>
    <w:p>
      <w:pPr>
        <w:spacing w:line="360" w:lineRule="auto"/>
        <w:rPr>
          <w:rFonts w:ascii="宋体" w:hAnsi="宋体" w:cs="宋体"/>
          <w:color w:val="auto"/>
          <w:sz w:val="28"/>
          <w:szCs w:val="28"/>
        </w:rPr>
      </w:pPr>
      <w:r>
        <w:rPr>
          <w:rFonts w:hint="eastAsia" w:ascii="宋体" w:hAnsi="宋体" w:cs="宋体"/>
          <w:color w:val="auto"/>
          <w:sz w:val="28"/>
          <w:szCs w:val="28"/>
        </w:rPr>
        <w:t>成都东部新区党工委管委会（成都市东部新城办）综合部：</w:t>
      </w:r>
    </w:p>
    <w:p>
      <w:pPr>
        <w:pStyle w:val="25"/>
        <w:spacing w:after="0" w:line="360" w:lineRule="auto"/>
        <w:ind w:left="0" w:leftChars="0" w:firstLine="565" w:firstLineChars="202"/>
        <w:rPr>
          <w:rFonts w:ascii="宋体" w:hAnsi="宋体" w:cs="宋体"/>
          <w:bCs/>
          <w:color w:val="auto"/>
          <w:sz w:val="28"/>
          <w:szCs w:val="28"/>
        </w:rPr>
      </w:pPr>
      <w:r>
        <w:rPr>
          <w:rFonts w:hint="eastAsia" w:ascii="宋体" w:hAnsi="宋体" w:cs="宋体"/>
          <w:bCs/>
          <w:color w:val="auto"/>
          <w:sz w:val="28"/>
          <w:szCs w:val="28"/>
        </w:rPr>
        <w:t>我方全面研究了</w:t>
      </w:r>
      <w:r>
        <w:rPr>
          <w:rFonts w:hint="eastAsia" w:ascii="宋体" w:hAnsi="宋体" w:cs="宋体"/>
          <w:b/>
          <w:color w:val="auto"/>
          <w:sz w:val="28"/>
          <w:szCs w:val="32"/>
          <w:u w:val="single"/>
        </w:rPr>
        <w:t>成都东部新区贾家初级中学LED显示屏采购项目</w:t>
      </w:r>
      <w:r>
        <w:rPr>
          <w:rFonts w:hint="eastAsia" w:ascii="宋体" w:hAnsi="宋体" w:cs="宋体"/>
          <w:b/>
          <w:bCs/>
          <w:color w:val="auto"/>
          <w:sz w:val="28"/>
          <w:szCs w:val="28"/>
          <w:u w:val="single"/>
        </w:rPr>
        <w:t>（项目编号：</w:t>
      </w:r>
      <w:r>
        <w:rPr>
          <w:rFonts w:hint="eastAsia" w:ascii="宋体" w:hAnsi="宋体" w:cs="宋体"/>
          <w:b/>
          <w:color w:val="auto"/>
          <w:sz w:val="28"/>
          <w:szCs w:val="28"/>
          <w:u w:val="single"/>
          <w:lang w:eastAsia="zh-CN"/>
        </w:rPr>
        <w:t>东部新区政采（2021）A0036号</w:t>
      </w:r>
      <w:r>
        <w:rPr>
          <w:rFonts w:hint="eastAsia" w:ascii="宋体" w:hAnsi="宋体" w:cs="宋体"/>
          <w:b/>
          <w:bCs/>
          <w:color w:val="auto"/>
          <w:sz w:val="28"/>
          <w:szCs w:val="28"/>
        </w:rPr>
        <w:t>）</w:t>
      </w:r>
      <w:r>
        <w:rPr>
          <w:rFonts w:hint="eastAsia" w:ascii="宋体" w:hAnsi="宋体" w:cs="宋体"/>
          <w:bCs/>
          <w:color w:val="auto"/>
          <w:sz w:val="28"/>
          <w:szCs w:val="28"/>
        </w:rPr>
        <w:t>的谈判文件，决定参加贵单位组织的本项目的谈判。我方郑重承诺：</w:t>
      </w:r>
    </w:p>
    <w:p>
      <w:pPr>
        <w:numPr>
          <w:ilvl w:val="1"/>
          <w:numId w:val="31"/>
        </w:numPr>
        <w:tabs>
          <w:tab w:val="left" w:pos="1134"/>
        </w:tabs>
        <w:spacing w:line="360" w:lineRule="auto"/>
        <w:ind w:left="0" w:firstLine="567"/>
        <w:rPr>
          <w:rFonts w:ascii="宋体" w:hAnsi="宋体" w:cs="宋体"/>
          <w:color w:val="auto"/>
          <w:sz w:val="28"/>
          <w:szCs w:val="28"/>
        </w:rPr>
      </w:pPr>
      <w:r>
        <w:rPr>
          <w:rFonts w:hint="eastAsia" w:ascii="宋体" w:hAnsi="宋体" w:cs="宋体"/>
          <w:color w:val="auto"/>
          <w:sz w:val="28"/>
          <w:szCs w:val="28"/>
        </w:rPr>
        <w:t>我方自愿按照谈判文件规定的各项要求向采购人提供所需</w:t>
      </w:r>
      <w:r>
        <w:rPr>
          <w:rFonts w:hint="eastAsia" w:ascii="宋体" w:hAnsi="宋体" w:cs="宋体"/>
          <w:color w:val="auto"/>
          <w:sz w:val="28"/>
          <w:szCs w:val="28"/>
          <w:lang w:val="en-US" w:eastAsia="zh-CN"/>
        </w:rPr>
        <w:t>货物</w:t>
      </w:r>
      <w:r>
        <w:rPr>
          <w:rFonts w:hint="eastAsia" w:ascii="宋体" w:hAnsi="宋体" w:cs="宋体"/>
          <w:color w:val="auto"/>
          <w:sz w:val="28"/>
          <w:szCs w:val="28"/>
        </w:rPr>
        <w:t>，</w:t>
      </w:r>
      <w:r>
        <w:rPr>
          <w:rFonts w:hint="eastAsia" w:ascii="宋体" w:hAnsi="宋体" w:cs="宋体"/>
          <w:b/>
          <w:color w:val="auto"/>
          <w:sz w:val="28"/>
          <w:szCs w:val="28"/>
        </w:rPr>
        <w:t>最后报价以政府采购云平台中递交的最后报价为准</w:t>
      </w:r>
      <w:r>
        <w:rPr>
          <w:rFonts w:hint="eastAsia" w:ascii="宋体" w:hAnsi="宋体" w:cs="宋体"/>
          <w:color w:val="auto"/>
          <w:sz w:val="28"/>
          <w:szCs w:val="28"/>
        </w:rPr>
        <w:t>。</w:t>
      </w:r>
    </w:p>
    <w:p>
      <w:pPr>
        <w:numPr>
          <w:ilvl w:val="1"/>
          <w:numId w:val="31"/>
        </w:numPr>
        <w:tabs>
          <w:tab w:val="left" w:pos="1134"/>
        </w:tabs>
        <w:spacing w:line="360" w:lineRule="auto"/>
        <w:ind w:left="0" w:firstLine="567"/>
        <w:rPr>
          <w:rFonts w:ascii="宋体" w:hAnsi="宋体" w:cs="宋体"/>
          <w:color w:val="auto"/>
          <w:sz w:val="28"/>
          <w:szCs w:val="28"/>
        </w:rPr>
      </w:pPr>
      <w:r>
        <w:rPr>
          <w:rFonts w:hint="eastAsia" w:ascii="宋体" w:hAnsi="宋体" w:cs="宋体"/>
          <w:color w:val="auto"/>
          <w:sz w:val="28"/>
          <w:szCs w:val="28"/>
        </w:rPr>
        <w:t>如果我方成为本项目的成交供应商，我方将严格履行合同规定的责任和义务，否则将承担由此产生的一切责任。</w:t>
      </w:r>
    </w:p>
    <w:p>
      <w:pPr>
        <w:numPr>
          <w:ilvl w:val="1"/>
          <w:numId w:val="31"/>
        </w:numPr>
        <w:tabs>
          <w:tab w:val="left" w:pos="1134"/>
        </w:tabs>
        <w:spacing w:line="360" w:lineRule="auto"/>
        <w:ind w:left="0" w:firstLine="567"/>
        <w:rPr>
          <w:rFonts w:ascii="宋体" w:hAnsi="宋体" w:cs="宋体"/>
          <w:color w:val="auto"/>
          <w:sz w:val="28"/>
          <w:szCs w:val="28"/>
        </w:rPr>
      </w:pPr>
      <w:r>
        <w:rPr>
          <w:rFonts w:hint="eastAsia" w:ascii="宋体" w:hAnsi="宋体" w:cs="宋体"/>
          <w:color w:val="auto"/>
          <w:sz w:val="28"/>
          <w:szCs w:val="28"/>
        </w:rPr>
        <w:t>我方已知晓全部谈判文件的内容，包括修改文件（如有）以及全部相关资料和有关附件，并对上述文件均无异议。</w:t>
      </w:r>
    </w:p>
    <w:p>
      <w:pPr>
        <w:numPr>
          <w:ilvl w:val="1"/>
          <w:numId w:val="31"/>
        </w:numPr>
        <w:tabs>
          <w:tab w:val="left" w:pos="1134"/>
        </w:tabs>
        <w:spacing w:line="360" w:lineRule="auto"/>
        <w:ind w:left="0" w:firstLine="567"/>
        <w:rPr>
          <w:rFonts w:ascii="宋体" w:hAnsi="宋体" w:cs="宋体"/>
          <w:color w:val="auto"/>
          <w:sz w:val="28"/>
          <w:szCs w:val="28"/>
        </w:rPr>
      </w:pPr>
      <w:r>
        <w:rPr>
          <w:rFonts w:hint="eastAsia" w:ascii="宋体" w:hAnsi="宋体" w:cs="宋体"/>
          <w:color w:val="auto"/>
          <w:sz w:val="28"/>
          <w:szCs w:val="28"/>
        </w:rPr>
        <w:t>响应文件有效期为从提交首次响应文件截止之日起120天。</w:t>
      </w:r>
    </w:p>
    <w:p>
      <w:pPr>
        <w:numPr>
          <w:ilvl w:val="1"/>
          <w:numId w:val="31"/>
        </w:numPr>
        <w:tabs>
          <w:tab w:val="left" w:pos="1134"/>
        </w:tabs>
        <w:spacing w:line="360" w:lineRule="auto"/>
        <w:ind w:left="0" w:firstLine="567"/>
        <w:rPr>
          <w:rFonts w:ascii="宋体" w:hAnsi="宋体" w:cs="宋体"/>
          <w:color w:val="auto"/>
          <w:sz w:val="28"/>
          <w:szCs w:val="28"/>
        </w:rPr>
      </w:pPr>
      <w:r>
        <w:rPr>
          <w:rFonts w:hint="eastAsia" w:ascii="宋体" w:hAnsi="宋体" w:cs="宋体"/>
          <w:color w:val="auto"/>
          <w:sz w:val="28"/>
          <w:szCs w:val="28"/>
        </w:rPr>
        <w:t>我方愿意提供贵</w:t>
      </w:r>
      <w:r>
        <w:rPr>
          <w:rFonts w:hint="eastAsia" w:ascii="宋体" w:hAnsi="宋体" w:cs="宋体"/>
          <w:color w:val="auto"/>
          <w:sz w:val="28"/>
          <w:szCs w:val="28"/>
          <w:lang w:val="en-US" w:eastAsia="zh-CN"/>
        </w:rPr>
        <w:t>单位</w:t>
      </w:r>
      <w:r>
        <w:rPr>
          <w:rFonts w:hint="eastAsia" w:ascii="宋体" w:hAnsi="宋体" w:cs="宋体"/>
          <w:color w:val="auto"/>
          <w:sz w:val="28"/>
          <w:szCs w:val="28"/>
        </w:rPr>
        <w:t>可能另外要求的，与本项目有关的文件资料，并保证我方已提供和将要提供的文件资料是真实、准确的，并对此承担一切法律后果。</w:t>
      </w:r>
    </w:p>
    <w:p>
      <w:pPr>
        <w:numPr>
          <w:ilvl w:val="1"/>
          <w:numId w:val="31"/>
        </w:numPr>
        <w:tabs>
          <w:tab w:val="left" w:pos="1134"/>
        </w:tabs>
        <w:ind w:left="0" w:firstLine="567"/>
        <w:rPr>
          <w:rFonts w:ascii="宋体" w:hAnsi="宋体" w:cs="宋体"/>
          <w:color w:val="auto"/>
          <w:sz w:val="28"/>
          <w:szCs w:val="28"/>
        </w:rPr>
      </w:pPr>
      <w:r>
        <w:rPr>
          <w:rFonts w:hint="eastAsia" w:ascii="宋体" w:hAnsi="宋体" w:cs="宋体"/>
          <w:color w:val="auto"/>
          <w:sz w:val="28"/>
          <w:szCs w:val="28"/>
        </w:rPr>
        <w:t>我单位联系方式：</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地    址：XXXX</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传    真：XXXX</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邮政编码：XXXX</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供应商名称：XXXXXXXXXX</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日      期：XX年XX月XX日</w:t>
      </w:r>
    </w:p>
    <w:p>
      <w:pPr>
        <w:pStyle w:val="25"/>
        <w:spacing w:line="360" w:lineRule="auto"/>
        <w:ind w:firstLine="560" w:firstLineChars="200"/>
        <w:rPr>
          <w:rFonts w:ascii="宋体" w:hAnsi="宋体" w:cs="宋体"/>
          <w:bCs/>
          <w:color w:val="auto"/>
          <w:sz w:val="28"/>
          <w:szCs w:val="28"/>
        </w:rPr>
      </w:pPr>
      <w:bookmarkStart w:id="105" w:name="_Toc119296788"/>
      <w:bookmarkStart w:id="106" w:name="_Toc52184753"/>
      <w:bookmarkStart w:id="107" w:name="_Toc119295087"/>
      <w:bookmarkStart w:id="108" w:name="_Toc146903609"/>
      <w:bookmarkStart w:id="109" w:name="_Toc119203988"/>
    </w:p>
    <w:bookmarkEnd w:id="105"/>
    <w:bookmarkEnd w:id="106"/>
    <w:bookmarkEnd w:id="107"/>
    <w:bookmarkEnd w:id="108"/>
    <w:bookmarkEnd w:id="109"/>
    <w:p>
      <w:pPr>
        <w:spacing w:line="360" w:lineRule="auto"/>
        <w:rPr>
          <w:rFonts w:ascii="宋体" w:hAnsi="宋体" w:cs="宋体"/>
          <w:bCs/>
          <w:color w:val="auto"/>
          <w:sz w:val="28"/>
          <w:szCs w:val="28"/>
        </w:rPr>
        <w:sectPr>
          <w:pgSz w:w="11906" w:h="16838"/>
          <w:pgMar w:top="1134" w:right="1274" w:bottom="1440" w:left="1418" w:header="851" w:footer="992" w:gutter="0"/>
          <w:cols w:space="720" w:num="1"/>
          <w:docGrid w:type="lines" w:linePitch="312" w:charSpace="0"/>
        </w:sectPr>
      </w:pPr>
    </w:p>
    <w:p>
      <w:pPr>
        <w:pStyle w:val="5"/>
        <w:numPr>
          <w:ilvl w:val="2"/>
          <w:numId w:val="6"/>
        </w:numPr>
        <w:tabs>
          <w:tab w:val="left" w:pos="709"/>
        </w:tabs>
        <w:spacing w:after="200"/>
        <w:ind w:left="709" w:hanging="709"/>
        <w:rPr>
          <w:color w:val="auto"/>
        </w:rPr>
      </w:pPr>
      <w:bookmarkStart w:id="110" w:name="_Toc320698765"/>
      <w:r>
        <w:rPr>
          <w:rFonts w:hint="eastAsia"/>
          <w:color w:val="auto"/>
        </w:rPr>
        <w:t>声明</w:t>
      </w:r>
    </w:p>
    <w:p>
      <w:pPr>
        <w:tabs>
          <w:tab w:val="left" w:pos="1260"/>
        </w:tabs>
        <w:spacing w:line="560" w:lineRule="exact"/>
        <w:rPr>
          <w:rFonts w:ascii="宋体" w:hAnsi="宋体" w:cs="宋体"/>
          <w:color w:val="auto"/>
          <w:sz w:val="28"/>
          <w:szCs w:val="28"/>
        </w:rPr>
      </w:pPr>
      <w:r>
        <w:rPr>
          <w:rFonts w:hint="eastAsia" w:ascii="宋体" w:hAnsi="宋体" w:cs="宋体"/>
          <w:color w:val="auto"/>
          <w:sz w:val="28"/>
          <w:szCs w:val="28"/>
        </w:rPr>
        <w:t>致：成都东部新区党工委管委会（成都市东部新城办）综合部</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我单位作为</w:t>
      </w:r>
      <w:r>
        <w:rPr>
          <w:rFonts w:hint="eastAsia" w:ascii="宋体" w:hAnsi="宋体" w:cs="宋体"/>
          <w:b/>
          <w:color w:val="auto"/>
          <w:sz w:val="28"/>
          <w:szCs w:val="28"/>
          <w:u w:val="single"/>
        </w:rPr>
        <w:t>成都东部新区贾家初级中学LED显示屏采购项目（项目编号：</w:t>
      </w:r>
      <w:r>
        <w:rPr>
          <w:rFonts w:hint="eastAsia" w:ascii="宋体" w:hAnsi="宋体" w:cs="宋体"/>
          <w:b/>
          <w:color w:val="auto"/>
          <w:sz w:val="28"/>
          <w:szCs w:val="28"/>
          <w:u w:val="single"/>
          <w:lang w:eastAsia="zh-CN"/>
        </w:rPr>
        <w:t>东部新区政采（2021）A0036号</w:t>
      </w:r>
      <w:r>
        <w:rPr>
          <w:rFonts w:hint="eastAsia" w:ascii="宋体" w:hAnsi="宋体" w:cs="宋体"/>
          <w:b/>
          <w:color w:val="auto"/>
          <w:sz w:val="28"/>
          <w:szCs w:val="28"/>
          <w:u w:val="single"/>
        </w:rPr>
        <w:t>）</w:t>
      </w:r>
      <w:r>
        <w:rPr>
          <w:rFonts w:hint="eastAsia" w:ascii="宋体" w:hAnsi="宋体" w:cs="宋体"/>
          <w:color w:val="auto"/>
          <w:sz w:val="28"/>
          <w:szCs w:val="28"/>
        </w:rPr>
        <w:t>的供应商，在此郑重声明：</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一、我单位参加政府采购活动前三年内，在经营活动中</w:t>
      </w:r>
      <w:r>
        <w:rPr>
          <w:rFonts w:hint="eastAsia" w:ascii="宋体" w:hAnsi="宋体" w:cs="宋体"/>
          <w:b/>
          <w:color w:val="auto"/>
          <w:sz w:val="28"/>
          <w:szCs w:val="28"/>
          <w:u w:val="single"/>
        </w:rPr>
        <w:t>（说明：填写“没有”或“有”）</w:t>
      </w:r>
      <w:r>
        <w:rPr>
          <w:rFonts w:hint="eastAsia" w:ascii="宋体" w:hAnsi="宋体" w:cs="宋体"/>
          <w:color w:val="auto"/>
          <w:sz w:val="28"/>
          <w:szCs w:val="28"/>
        </w:rPr>
        <w:t>重大违法记录。</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二、我单位</w:t>
      </w:r>
      <w:r>
        <w:rPr>
          <w:rFonts w:hint="eastAsia" w:ascii="宋体" w:hAnsi="宋体" w:cs="宋体"/>
          <w:b/>
          <w:color w:val="auto"/>
          <w:sz w:val="28"/>
          <w:szCs w:val="28"/>
          <w:u w:val="single"/>
        </w:rPr>
        <w:t>（说明：填写“具有”或“不具有”）</w:t>
      </w:r>
      <w:r>
        <w:rPr>
          <w:rFonts w:hint="eastAsia" w:ascii="宋体" w:hAnsi="宋体" w:cs="宋体"/>
          <w:color w:val="auto"/>
          <w:sz w:val="28"/>
          <w:szCs w:val="28"/>
        </w:rPr>
        <w:t>良好的商业信誉。</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三、与我单位负责人为同一人或者存在直接控股、管理关系的不同供应商：</w:t>
      </w:r>
      <w:r>
        <w:rPr>
          <w:rFonts w:hint="eastAsia" w:ascii="宋体" w:hAnsi="宋体" w:cs="宋体"/>
          <w:b/>
          <w:color w:val="auto"/>
          <w:sz w:val="28"/>
          <w:szCs w:val="28"/>
          <w:u w:val="single"/>
        </w:rPr>
        <w:t>（说明：填写“无”或“（一）供应商名称１；（二）供应商名称２；（三）……”）</w:t>
      </w:r>
      <w:r>
        <w:rPr>
          <w:rFonts w:hint="eastAsia" w:ascii="宋体" w:hAnsi="宋体" w:cs="宋体"/>
          <w:color w:val="auto"/>
          <w:sz w:val="28"/>
          <w:szCs w:val="28"/>
        </w:rPr>
        <w:t>。</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四、在行贿犯罪信息查询期限内，我单位及我单位现任法定代表人、主要负责人</w:t>
      </w:r>
      <w:r>
        <w:rPr>
          <w:rFonts w:hint="eastAsia" w:ascii="宋体" w:hAnsi="宋体" w:cs="宋体"/>
          <w:b/>
          <w:color w:val="auto"/>
          <w:sz w:val="28"/>
          <w:szCs w:val="28"/>
          <w:u w:val="single"/>
        </w:rPr>
        <w:t>（说明：填写“没有”或“有”）</w:t>
      </w:r>
      <w:r>
        <w:rPr>
          <w:rFonts w:hint="eastAsia" w:ascii="宋体" w:hAnsi="宋体" w:cs="宋体"/>
          <w:color w:val="auto"/>
          <w:sz w:val="28"/>
          <w:szCs w:val="28"/>
        </w:rPr>
        <w:t>行贿犯罪记录。</w:t>
      </w:r>
    </w:p>
    <w:p>
      <w:pPr>
        <w:tabs>
          <w:tab w:val="left" w:pos="1260"/>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五、我单位</w:t>
      </w:r>
      <w:r>
        <w:rPr>
          <w:rFonts w:hint="eastAsia" w:ascii="宋体" w:hAnsi="宋体" w:cs="宋体"/>
          <w:b/>
          <w:color w:val="auto"/>
          <w:sz w:val="28"/>
          <w:szCs w:val="28"/>
          <w:u w:val="single"/>
        </w:rPr>
        <w:t>（说明：填写“未列入”或“被列入”）</w:t>
      </w:r>
      <w:r>
        <w:rPr>
          <w:rFonts w:hint="eastAsia" w:ascii="宋体" w:hAnsi="宋体" w:cs="宋体"/>
          <w:color w:val="auto"/>
          <w:sz w:val="28"/>
          <w:szCs w:val="28"/>
        </w:rPr>
        <w:t>失信被执行人、重大税收违法案件当事人名单。</w:t>
      </w:r>
    </w:p>
    <w:p>
      <w:pPr>
        <w:tabs>
          <w:tab w:val="left" w:pos="1260"/>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我单位</w:t>
      </w:r>
      <w:r>
        <w:rPr>
          <w:rFonts w:hint="eastAsia" w:ascii="宋体" w:hAnsi="宋体" w:cs="宋体"/>
          <w:b/>
          <w:color w:val="auto"/>
          <w:sz w:val="28"/>
          <w:szCs w:val="28"/>
          <w:u w:val="single"/>
        </w:rPr>
        <w:t>（说明：填写“未列入”或“被列入”）</w:t>
      </w:r>
      <w:r>
        <w:rPr>
          <w:rFonts w:hint="eastAsia" w:ascii="宋体" w:hAnsi="宋体" w:cs="宋体"/>
          <w:color w:val="auto"/>
          <w:sz w:val="28"/>
          <w:szCs w:val="28"/>
        </w:rPr>
        <w:t>政府采购严重违法失信行为记录名单。</w:t>
      </w:r>
    </w:p>
    <w:p>
      <w:pPr>
        <w:tabs>
          <w:tab w:val="left" w:pos="1260"/>
        </w:tabs>
        <w:spacing w:line="360" w:lineRule="auto"/>
        <w:ind w:firstLine="560" w:firstLineChars="200"/>
        <w:rPr>
          <w:rFonts w:ascii="宋体" w:hAnsi="宋体" w:cs="宋体"/>
          <w:bCs/>
          <w:color w:val="auto"/>
          <w:sz w:val="28"/>
          <w:szCs w:val="28"/>
        </w:rPr>
      </w:pPr>
      <w:r>
        <w:rPr>
          <w:rFonts w:hint="eastAsia" w:ascii="宋体" w:hAnsi="宋体" w:cs="宋体"/>
          <w:color w:val="auto"/>
          <w:sz w:val="28"/>
          <w:szCs w:val="28"/>
        </w:rPr>
        <w:t>六、我单位</w:t>
      </w:r>
      <w:r>
        <w:rPr>
          <w:rFonts w:hint="eastAsia" w:ascii="宋体" w:hAnsi="宋体" w:cs="宋体"/>
          <w:b/>
          <w:color w:val="auto"/>
          <w:sz w:val="28"/>
          <w:szCs w:val="28"/>
          <w:u w:val="single"/>
        </w:rPr>
        <w:t>（说明：填写“未处于”或“处于”）</w:t>
      </w:r>
      <w:r>
        <w:rPr>
          <w:rFonts w:hint="eastAsia" w:ascii="宋体" w:hAnsi="宋体" w:cs="宋体"/>
          <w:bCs/>
          <w:color w:val="auto"/>
          <w:sz w:val="28"/>
          <w:szCs w:val="28"/>
        </w:rPr>
        <w:t>被行政部门禁止参与政府采购活动的期限内。</w:t>
      </w:r>
    </w:p>
    <w:p>
      <w:pPr>
        <w:tabs>
          <w:tab w:val="left" w:pos="1260"/>
        </w:tabs>
        <w:spacing w:line="360" w:lineRule="auto"/>
        <w:ind w:firstLine="560" w:firstLineChars="200"/>
        <w:rPr>
          <w:rFonts w:ascii="宋体" w:hAnsi="宋体" w:cs="宋体"/>
          <w:color w:val="auto"/>
          <w:sz w:val="28"/>
        </w:rPr>
      </w:pPr>
      <w:r>
        <w:rPr>
          <w:rFonts w:hint="eastAsia" w:ascii="宋体" w:hAnsi="宋体" w:cs="宋体"/>
          <w:color w:val="auto"/>
          <w:sz w:val="28"/>
        </w:rPr>
        <w:t>七、我单位</w:t>
      </w:r>
      <w:r>
        <w:rPr>
          <w:rFonts w:hint="eastAsia" w:ascii="宋体" w:hAnsi="宋体" w:cs="宋体"/>
          <w:b/>
          <w:color w:val="auto"/>
          <w:sz w:val="28"/>
          <w:u w:val="single"/>
        </w:rPr>
        <w:t>（说明：填写“具有”或“不具有”）</w:t>
      </w:r>
      <w:r>
        <w:rPr>
          <w:rFonts w:hint="eastAsia" w:ascii="宋体" w:hAnsi="宋体" w:cs="宋体"/>
          <w:color w:val="auto"/>
          <w:sz w:val="28"/>
        </w:rPr>
        <w:t>健全的财务会计制度。</w:t>
      </w:r>
    </w:p>
    <w:p>
      <w:pPr>
        <w:pStyle w:val="2"/>
        <w:ind w:firstLine="560" w:firstLineChars="200"/>
        <w:rPr>
          <w:rFonts w:ascii="宋体" w:hAnsi="宋体" w:cs="宋体"/>
          <w:bCs/>
          <w:color w:val="auto"/>
          <w:sz w:val="28"/>
          <w:szCs w:val="28"/>
        </w:rPr>
      </w:pPr>
      <w:r>
        <w:rPr>
          <w:rFonts w:hint="eastAsia" w:ascii="宋体" w:hAnsi="宋体" w:cs="宋体"/>
          <w:bCs/>
          <w:color w:val="auto"/>
          <w:sz w:val="28"/>
          <w:szCs w:val="28"/>
        </w:rPr>
        <w:t>八、我单位</w:t>
      </w:r>
      <w:r>
        <w:rPr>
          <w:rFonts w:hint="eastAsia" w:ascii="宋体" w:hAnsi="宋体" w:cs="宋体"/>
          <w:b/>
          <w:bCs/>
          <w:color w:val="auto"/>
          <w:sz w:val="28"/>
          <w:szCs w:val="28"/>
          <w:u w:val="single"/>
        </w:rPr>
        <w:t>（说明：填写“有”或“无”）</w:t>
      </w:r>
      <w:r>
        <w:rPr>
          <w:rFonts w:hint="eastAsia" w:ascii="宋体" w:hAnsi="宋体" w:cs="宋体"/>
          <w:bCs/>
          <w:color w:val="auto"/>
          <w:sz w:val="28"/>
          <w:szCs w:val="28"/>
        </w:rPr>
        <w:t>依法缴纳社会保障资金的良好记录。</w:t>
      </w:r>
    </w:p>
    <w:p>
      <w:pPr>
        <w:tabs>
          <w:tab w:val="left" w:pos="1260"/>
        </w:tabs>
        <w:spacing w:line="360" w:lineRule="auto"/>
        <w:ind w:firstLine="560" w:firstLineChars="200"/>
        <w:rPr>
          <w:rFonts w:ascii="宋体" w:hAnsi="宋体" w:cs="宋体"/>
          <w:color w:val="auto"/>
          <w:sz w:val="28"/>
          <w:szCs w:val="28"/>
        </w:rPr>
      </w:pPr>
      <w:r>
        <w:rPr>
          <w:rFonts w:hint="eastAsia" w:ascii="宋体" w:hAnsi="宋体" w:cs="宋体"/>
          <w:bCs/>
          <w:color w:val="auto"/>
          <w:sz w:val="28"/>
          <w:szCs w:val="28"/>
        </w:rPr>
        <w:t>九、我单位</w:t>
      </w:r>
      <w:r>
        <w:rPr>
          <w:rFonts w:hint="eastAsia" w:ascii="宋体" w:hAnsi="宋体" w:cs="宋体"/>
          <w:b/>
          <w:bCs/>
          <w:color w:val="auto"/>
          <w:sz w:val="28"/>
          <w:szCs w:val="28"/>
          <w:u w:val="single"/>
        </w:rPr>
        <w:t>（说明：填写“有”或“无”）</w:t>
      </w:r>
      <w:r>
        <w:rPr>
          <w:rFonts w:hint="eastAsia" w:ascii="宋体" w:hAnsi="宋体" w:cs="宋体"/>
          <w:bCs/>
          <w:color w:val="auto"/>
          <w:sz w:val="28"/>
          <w:szCs w:val="28"/>
        </w:rPr>
        <w:t>依法缴纳税收的良好记录。</w:t>
      </w:r>
      <w:r>
        <w:rPr>
          <w:rFonts w:hint="eastAsia" w:ascii="宋体" w:hAnsi="宋体" w:cs="宋体"/>
          <w:color w:val="auto"/>
          <w:sz w:val="28"/>
          <w:szCs w:val="28"/>
        </w:rPr>
        <w:t>特此声明。</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供应商名称：</w:t>
      </w:r>
      <w:r>
        <w:rPr>
          <w:rFonts w:hint="eastAsia" w:ascii="宋体" w:hAnsi="宋体" w:cs="宋体"/>
          <w:color w:val="auto"/>
          <w:sz w:val="28"/>
          <w:szCs w:val="28"/>
          <w:u w:val="single"/>
        </w:rPr>
        <w:t>XXXX</w:t>
      </w:r>
    </w:p>
    <w:p>
      <w:pPr>
        <w:tabs>
          <w:tab w:val="left" w:pos="1260"/>
        </w:tabs>
        <w:spacing w:line="560" w:lineRule="exact"/>
        <w:ind w:firstLine="560" w:firstLineChars="200"/>
        <w:rPr>
          <w:rFonts w:ascii="宋体" w:hAnsi="宋体" w:cs="宋体"/>
          <w:color w:val="auto"/>
          <w:sz w:val="28"/>
          <w:szCs w:val="28"/>
          <w:u w:val="single"/>
        </w:rPr>
      </w:pPr>
      <w:r>
        <w:rPr>
          <w:rFonts w:hint="eastAsia" w:ascii="宋体" w:hAnsi="宋体" w:cs="宋体"/>
          <w:color w:val="auto"/>
          <w:sz w:val="28"/>
          <w:szCs w:val="28"/>
        </w:rPr>
        <w:t>日    期：202</w:t>
      </w:r>
      <w:r>
        <w:rPr>
          <w:rFonts w:hint="eastAsia" w:ascii="宋体" w:hAnsi="宋体" w:cs="宋体"/>
          <w:color w:val="auto"/>
          <w:sz w:val="28"/>
          <w:szCs w:val="28"/>
          <w:u w:val="single"/>
        </w:rPr>
        <w:t>X</w:t>
      </w:r>
      <w:r>
        <w:rPr>
          <w:rFonts w:hint="eastAsia" w:ascii="宋体" w:hAnsi="宋体" w:cs="宋体"/>
          <w:color w:val="auto"/>
          <w:sz w:val="28"/>
          <w:szCs w:val="28"/>
        </w:rPr>
        <w:t>年</w:t>
      </w:r>
      <w:r>
        <w:rPr>
          <w:rFonts w:hint="eastAsia" w:ascii="宋体" w:hAnsi="宋体" w:cs="宋体"/>
          <w:color w:val="auto"/>
          <w:sz w:val="28"/>
          <w:szCs w:val="28"/>
          <w:u w:val="single"/>
        </w:rPr>
        <w:t>XX</w:t>
      </w:r>
      <w:r>
        <w:rPr>
          <w:rFonts w:hint="eastAsia" w:ascii="宋体" w:hAnsi="宋体" w:cs="宋体"/>
          <w:color w:val="auto"/>
          <w:sz w:val="28"/>
          <w:szCs w:val="28"/>
        </w:rPr>
        <w:t>月</w:t>
      </w:r>
      <w:r>
        <w:rPr>
          <w:rFonts w:hint="eastAsia" w:ascii="宋体" w:hAnsi="宋体" w:cs="宋体"/>
          <w:color w:val="auto"/>
          <w:sz w:val="28"/>
          <w:szCs w:val="28"/>
          <w:u w:val="single"/>
        </w:rPr>
        <w:t>XX</w:t>
      </w:r>
      <w:r>
        <w:rPr>
          <w:rFonts w:hint="eastAsia" w:ascii="宋体" w:hAnsi="宋体" w:cs="宋体"/>
          <w:color w:val="auto"/>
          <w:sz w:val="28"/>
          <w:szCs w:val="28"/>
        </w:rPr>
        <w:t>日</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说明：</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1.对声明中第一条的说明：如供应商在参加政府采购活动前三年内，在经营活动中有重大违法记录的，应填写“有”，供应商响应文件将被认定为无效；</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3.对声明中第四条的说明：在行贿犯罪信息查询期限内，供应商根据中国裁判文书网（https://wenshu.court.gov.cn）查询结果，如果供应商及其现任法定代表人、主要负责人有行贿犯罪记录的，供应商应填写“有”，供应商响应文件将被认定为无效；</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4.对声明中第五条的说明：供应商如被列入失信被执行人、重大税收违法案件当事人名单，应填写“被列入”，供应商响应文件将被认定为无效；供应商如被列入政府采购严重违法失信行为记录名单，应填写“被列入”，供应商响应文件将被认定为无效；</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5.对声明中第六条的说明：如供应商处于被行政部门禁止参加政府采购活动期限内的，该声明填“处于”，供应商响应文件将被认定为无效；</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6.对声明中第七条的说明：供应商不具有健全的财务会计制度的，应填写“不具有”，供应商响应文件将被认定为无效；</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7.对声明中第八条的说明：如供应商无依法缴纳社会保障资金的良好记录的，应填写“无”，供应商响应文件将被认定为无效。</w:t>
      </w:r>
    </w:p>
    <w:p>
      <w:pPr>
        <w:tabs>
          <w:tab w:val="left" w:pos="1260"/>
        </w:tabs>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8.对声明中第九条的说明：如供应商无依法缴纳税收的良好记录的，应填写“无”，供应商响应文件将被认定为无效。</w:t>
      </w:r>
    </w:p>
    <w:p>
      <w:pPr>
        <w:spacing w:line="360" w:lineRule="auto"/>
        <w:ind w:firstLine="420" w:firstLineChars="200"/>
        <w:rPr>
          <w:rFonts w:ascii="宋体" w:hAnsi="宋体" w:cs="宋体"/>
          <w:color w:val="auto"/>
        </w:rPr>
      </w:pPr>
    </w:p>
    <w:p>
      <w:pPr>
        <w:snapToGrid w:val="0"/>
        <w:spacing w:line="360" w:lineRule="auto"/>
        <w:ind w:right="-624" w:rightChars="-297"/>
        <w:rPr>
          <w:rFonts w:ascii="宋体" w:hAnsi="宋体" w:cs="宋体"/>
          <w:color w:val="auto"/>
          <w:sz w:val="24"/>
          <w:szCs w:val="24"/>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spacing w:line="360" w:lineRule="auto"/>
        <w:ind w:left="283" w:leftChars="135" w:firstLine="411" w:firstLineChars="196"/>
        <w:rPr>
          <w:rFonts w:ascii="宋体" w:hAnsi="宋体" w:cs="宋体"/>
          <w:color w:val="auto"/>
        </w:rPr>
      </w:pPr>
    </w:p>
    <w:p>
      <w:pPr>
        <w:rPr>
          <w:rFonts w:ascii="宋体" w:hAnsi="宋体" w:cs="宋体"/>
          <w:color w:val="auto"/>
        </w:rPr>
      </w:pPr>
      <w:r>
        <w:rPr>
          <w:rFonts w:hint="eastAsia" w:ascii="宋体" w:hAnsi="宋体" w:cs="宋体"/>
          <w:color w:val="auto"/>
        </w:rPr>
        <w:br w:type="page"/>
      </w:r>
    </w:p>
    <w:p>
      <w:pPr>
        <w:pStyle w:val="5"/>
        <w:numPr>
          <w:ilvl w:val="2"/>
          <w:numId w:val="6"/>
        </w:numPr>
        <w:tabs>
          <w:tab w:val="left" w:pos="709"/>
        </w:tabs>
        <w:spacing w:after="200"/>
        <w:ind w:left="1135" w:hanging="1135"/>
        <w:rPr>
          <w:color w:val="auto"/>
        </w:rPr>
      </w:pPr>
      <w:r>
        <w:rPr>
          <w:rFonts w:hint="eastAsia"/>
          <w:color w:val="auto"/>
        </w:rPr>
        <w:t>中小企业声明函</w:t>
      </w:r>
    </w:p>
    <w:p>
      <w:pPr>
        <w:shd w:val="clear" w:color="auto" w:fill="FFFFFF"/>
        <w:jc w:val="center"/>
        <w:rPr>
          <w:rFonts w:ascii="宋体" w:hAnsi="宋体" w:cs="宋体"/>
          <w:color w:val="auto"/>
          <w:szCs w:val="21"/>
        </w:rPr>
      </w:pPr>
      <w:r>
        <w:rPr>
          <w:rFonts w:hint="eastAsia" w:ascii="宋体" w:hAnsi="宋体" w:cs="宋体"/>
          <w:b/>
          <w:bCs/>
          <w:color w:val="auto"/>
          <w:sz w:val="28"/>
        </w:rPr>
        <w:t>中小企业声明函</w:t>
      </w:r>
    </w:p>
    <w:p>
      <w:pPr>
        <w:spacing w:line="480" w:lineRule="exact"/>
        <w:ind w:firstLine="561"/>
        <w:rPr>
          <w:rFonts w:ascii="宋体" w:hAnsi="宋体" w:cs="宋体"/>
          <w:color w:val="auto"/>
          <w:sz w:val="28"/>
          <w:szCs w:val="28"/>
        </w:rPr>
      </w:pPr>
      <w:r>
        <w:rPr>
          <w:rFonts w:hint="eastAsia" w:ascii="宋体" w:hAnsi="宋体" w:cs="宋体"/>
          <w:color w:val="auto"/>
          <w:sz w:val="28"/>
          <w:szCs w:val="28"/>
        </w:rPr>
        <w:t>本公司郑重声明，根据《政府采购促进中小企业发展管理办法》（财库﹝2020﹞46 号）的规定，本公司参加</w:t>
      </w:r>
      <w:r>
        <w:rPr>
          <w:rFonts w:hint="eastAsia" w:ascii="宋体" w:hAnsi="宋体" w:cs="宋体"/>
          <w:b/>
          <w:bCs/>
          <w:color w:val="auto"/>
          <w:sz w:val="28"/>
          <w:szCs w:val="28"/>
          <w:u w:val="single"/>
        </w:rPr>
        <w:t>成都东部新区贾家初级中学（采购人）</w:t>
      </w:r>
      <w:r>
        <w:rPr>
          <w:rFonts w:hint="eastAsia" w:ascii="宋体" w:hAnsi="宋体" w:cs="宋体"/>
          <w:color w:val="auto"/>
          <w:sz w:val="28"/>
          <w:szCs w:val="28"/>
        </w:rPr>
        <w:t>（单位名称）的</w:t>
      </w:r>
      <w:r>
        <w:rPr>
          <w:rFonts w:hint="eastAsia" w:ascii="宋体" w:hAnsi="宋体" w:cs="宋体"/>
          <w:b/>
          <w:bCs/>
          <w:color w:val="auto"/>
          <w:sz w:val="28"/>
          <w:szCs w:val="28"/>
          <w:u w:val="single"/>
        </w:rPr>
        <w:t>成都东部新区贾家初级中学LED显示屏采购项目</w:t>
      </w:r>
      <w:r>
        <w:rPr>
          <w:rFonts w:hint="eastAsia" w:ascii="宋体" w:hAnsi="宋体" w:cs="宋体"/>
          <w:color w:val="auto"/>
          <w:sz w:val="28"/>
          <w:szCs w:val="28"/>
        </w:rPr>
        <w:t>（项目名称）采购活动，</w:t>
      </w:r>
      <w:r>
        <w:rPr>
          <w:rFonts w:hint="eastAsia" w:ascii="宋体" w:hAnsi="宋体" w:cs="宋体"/>
          <w:b/>
          <w:color w:val="auto"/>
          <w:sz w:val="28"/>
          <w:szCs w:val="28"/>
        </w:rPr>
        <w:t>提供的货物全部由符合政策要求的中小企业制造。</w:t>
      </w:r>
      <w:r>
        <w:rPr>
          <w:rFonts w:hint="eastAsia" w:ascii="宋体" w:hAnsi="宋体" w:cs="宋体"/>
          <w:color w:val="auto"/>
          <w:sz w:val="28"/>
          <w:szCs w:val="28"/>
        </w:rPr>
        <w:t>相关企业的具体情况如下：</w:t>
      </w:r>
    </w:p>
    <w:p>
      <w:pPr>
        <w:spacing w:line="480" w:lineRule="exact"/>
        <w:ind w:firstLine="561"/>
        <w:rPr>
          <w:rFonts w:ascii="宋体" w:hAnsi="宋体" w:cs="宋体"/>
          <w:color w:val="auto"/>
          <w:sz w:val="28"/>
          <w:szCs w:val="28"/>
        </w:rPr>
      </w:pPr>
      <w:r>
        <w:rPr>
          <w:rFonts w:hint="eastAsia" w:ascii="宋体" w:hAnsi="宋体" w:cs="宋体"/>
          <w:color w:val="auto"/>
          <w:sz w:val="28"/>
          <w:szCs w:val="28"/>
        </w:rPr>
        <w:t xml:space="preserve"> 1. </w:t>
      </w:r>
      <w:r>
        <w:rPr>
          <w:rFonts w:hint="eastAsia" w:ascii="宋体" w:hAnsi="宋体" w:cs="宋体"/>
          <w:color w:val="auto"/>
          <w:sz w:val="28"/>
          <w:szCs w:val="28"/>
          <w:u w:val="single"/>
        </w:rPr>
        <w:t>___XXXX____</w:t>
      </w:r>
      <w:r>
        <w:rPr>
          <w:rFonts w:hint="eastAsia" w:ascii="宋体" w:hAnsi="宋体" w:cs="宋体"/>
          <w:color w:val="auto"/>
          <w:sz w:val="28"/>
          <w:szCs w:val="28"/>
        </w:rPr>
        <w:t>（标的名称），属于</w:t>
      </w:r>
      <w:r>
        <w:rPr>
          <w:rFonts w:hint="eastAsia" w:ascii="宋体" w:hAnsi="宋体" w:cs="宋体"/>
          <w:color w:val="auto"/>
          <w:sz w:val="28"/>
          <w:szCs w:val="28"/>
          <w:u w:val="single"/>
        </w:rPr>
        <w:t>___XXXX____</w:t>
      </w:r>
      <w:r>
        <w:rPr>
          <w:rFonts w:hint="eastAsia" w:ascii="宋体" w:hAnsi="宋体" w:cs="宋体"/>
          <w:color w:val="auto"/>
          <w:sz w:val="28"/>
          <w:szCs w:val="28"/>
        </w:rPr>
        <w:t>（采购文件中明确的所属行业）行业；制造商为</w:t>
      </w:r>
      <w:r>
        <w:rPr>
          <w:rFonts w:hint="eastAsia" w:ascii="宋体" w:hAnsi="宋体" w:cs="宋体"/>
          <w:color w:val="auto"/>
          <w:sz w:val="28"/>
          <w:szCs w:val="28"/>
          <w:u w:val="single"/>
        </w:rPr>
        <w:t>___XXXX__</w:t>
      </w:r>
      <w:r>
        <w:rPr>
          <w:rFonts w:hint="eastAsia" w:ascii="宋体" w:hAnsi="宋体" w:cs="宋体"/>
          <w:color w:val="auto"/>
          <w:sz w:val="28"/>
          <w:szCs w:val="28"/>
        </w:rPr>
        <w:t>（企业名称），从业人员</w:t>
      </w:r>
      <w:r>
        <w:rPr>
          <w:rFonts w:hint="eastAsia" w:ascii="宋体" w:hAnsi="宋体" w:cs="宋体"/>
          <w:color w:val="auto"/>
          <w:sz w:val="28"/>
          <w:szCs w:val="28"/>
          <w:u w:val="single"/>
        </w:rPr>
        <w:t>___XXXX___</w:t>
      </w:r>
      <w:r>
        <w:rPr>
          <w:rFonts w:hint="eastAsia" w:ascii="宋体" w:hAnsi="宋体" w:cs="宋体"/>
          <w:color w:val="auto"/>
          <w:sz w:val="28"/>
          <w:szCs w:val="28"/>
        </w:rPr>
        <w:t>人，营业收入为</w:t>
      </w:r>
      <w:r>
        <w:rPr>
          <w:rFonts w:hint="eastAsia" w:ascii="宋体" w:hAnsi="宋体" w:cs="宋体"/>
          <w:color w:val="auto"/>
          <w:sz w:val="28"/>
          <w:szCs w:val="28"/>
          <w:u w:val="single"/>
        </w:rPr>
        <w:t>__XXXX__</w:t>
      </w:r>
      <w:r>
        <w:rPr>
          <w:rFonts w:hint="eastAsia" w:ascii="宋体" w:hAnsi="宋体" w:cs="宋体"/>
          <w:color w:val="auto"/>
          <w:sz w:val="28"/>
          <w:szCs w:val="28"/>
        </w:rPr>
        <w:t>万元，资产总额为</w:t>
      </w:r>
      <w:r>
        <w:rPr>
          <w:rFonts w:hint="eastAsia" w:ascii="宋体" w:hAnsi="宋体" w:cs="宋体"/>
          <w:color w:val="auto"/>
          <w:sz w:val="28"/>
          <w:szCs w:val="28"/>
          <w:u w:val="single"/>
        </w:rPr>
        <w:t>___XXXX___</w:t>
      </w:r>
      <w:r>
        <w:rPr>
          <w:rFonts w:hint="eastAsia" w:ascii="宋体" w:hAnsi="宋体" w:cs="宋体"/>
          <w:color w:val="auto"/>
          <w:sz w:val="28"/>
          <w:szCs w:val="28"/>
        </w:rPr>
        <w:t>万元</w:t>
      </w:r>
      <w:r>
        <w:rPr>
          <w:rFonts w:hint="eastAsia" w:ascii="宋体" w:hAnsi="宋体" w:cs="宋体"/>
          <w:color w:val="auto"/>
          <w:sz w:val="28"/>
          <w:szCs w:val="28"/>
          <w:vertAlign w:val="superscript"/>
        </w:rPr>
        <w:t>1</w:t>
      </w:r>
      <w:r>
        <w:rPr>
          <w:rFonts w:hint="eastAsia" w:ascii="宋体" w:hAnsi="宋体" w:cs="宋体"/>
          <w:color w:val="auto"/>
          <w:sz w:val="28"/>
          <w:szCs w:val="28"/>
        </w:rPr>
        <w:t>，属于</w:t>
      </w:r>
      <w:r>
        <w:rPr>
          <w:rFonts w:hint="eastAsia" w:ascii="宋体" w:hAnsi="宋体" w:cs="宋体"/>
          <w:color w:val="auto"/>
          <w:sz w:val="28"/>
          <w:szCs w:val="28"/>
          <w:u w:val="single"/>
        </w:rPr>
        <w:t>___XXXX__</w:t>
      </w:r>
      <w:r>
        <w:rPr>
          <w:rFonts w:hint="eastAsia" w:ascii="宋体" w:hAnsi="宋体" w:cs="宋体"/>
          <w:color w:val="auto"/>
          <w:sz w:val="28"/>
          <w:szCs w:val="28"/>
        </w:rPr>
        <w:t>（中型企业、小型企业、微型企业）。</w:t>
      </w:r>
    </w:p>
    <w:p>
      <w:pPr>
        <w:spacing w:line="480" w:lineRule="exact"/>
        <w:ind w:firstLine="561"/>
        <w:rPr>
          <w:rFonts w:ascii="宋体" w:hAnsi="宋体" w:cs="宋体"/>
          <w:color w:val="auto"/>
          <w:sz w:val="28"/>
          <w:szCs w:val="28"/>
        </w:rPr>
      </w:pPr>
      <w:r>
        <w:rPr>
          <w:rFonts w:hint="eastAsia" w:ascii="宋体" w:hAnsi="宋体" w:cs="宋体"/>
          <w:color w:val="auto"/>
          <w:sz w:val="28"/>
          <w:szCs w:val="28"/>
        </w:rPr>
        <w:t xml:space="preserve"> 2. </w:t>
      </w:r>
      <w:r>
        <w:rPr>
          <w:rFonts w:hint="eastAsia" w:ascii="宋体" w:hAnsi="宋体" w:cs="宋体"/>
          <w:color w:val="auto"/>
          <w:sz w:val="28"/>
          <w:szCs w:val="28"/>
          <w:u w:val="single"/>
        </w:rPr>
        <w:t>___XXXX____</w:t>
      </w:r>
      <w:r>
        <w:rPr>
          <w:rFonts w:hint="eastAsia" w:ascii="宋体" w:hAnsi="宋体" w:cs="宋体"/>
          <w:color w:val="auto"/>
          <w:sz w:val="28"/>
          <w:szCs w:val="28"/>
        </w:rPr>
        <w:t>（标的名称），属于</w:t>
      </w:r>
      <w:r>
        <w:rPr>
          <w:rFonts w:hint="eastAsia" w:ascii="宋体" w:hAnsi="宋体" w:cs="宋体"/>
          <w:color w:val="auto"/>
          <w:sz w:val="28"/>
          <w:szCs w:val="28"/>
          <w:u w:val="single"/>
        </w:rPr>
        <w:t>___XXXX____</w:t>
      </w:r>
      <w:r>
        <w:rPr>
          <w:rFonts w:hint="eastAsia" w:ascii="宋体" w:hAnsi="宋体" w:cs="宋体"/>
          <w:color w:val="auto"/>
          <w:sz w:val="28"/>
          <w:szCs w:val="28"/>
        </w:rPr>
        <w:t>（采购文件中明确的所属行业）行业；制造商为</w:t>
      </w:r>
      <w:r>
        <w:rPr>
          <w:rFonts w:hint="eastAsia" w:ascii="宋体" w:hAnsi="宋体" w:cs="宋体"/>
          <w:color w:val="auto"/>
          <w:sz w:val="28"/>
          <w:szCs w:val="28"/>
          <w:u w:val="single"/>
        </w:rPr>
        <w:t>___XXXX__</w:t>
      </w:r>
      <w:r>
        <w:rPr>
          <w:rFonts w:hint="eastAsia" w:ascii="宋体" w:hAnsi="宋体" w:cs="宋体"/>
          <w:color w:val="auto"/>
          <w:sz w:val="28"/>
          <w:szCs w:val="28"/>
        </w:rPr>
        <w:t>（企业名称），从业人员</w:t>
      </w:r>
      <w:r>
        <w:rPr>
          <w:rFonts w:hint="eastAsia" w:ascii="宋体" w:hAnsi="宋体" w:cs="宋体"/>
          <w:color w:val="auto"/>
          <w:sz w:val="28"/>
          <w:szCs w:val="28"/>
          <w:u w:val="single"/>
        </w:rPr>
        <w:t>___XXXX___</w:t>
      </w:r>
      <w:r>
        <w:rPr>
          <w:rFonts w:hint="eastAsia" w:ascii="宋体" w:hAnsi="宋体" w:cs="宋体"/>
          <w:color w:val="auto"/>
          <w:sz w:val="28"/>
          <w:szCs w:val="28"/>
        </w:rPr>
        <w:t>人，营业收入为</w:t>
      </w:r>
      <w:r>
        <w:rPr>
          <w:rFonts w:hint="eastAsia" w:ascii="宋体" w:hAnsi="宋体" w:cs="宋体"/>
          <w:color w:val="auto"/>
          <w:sz w:val="28"/>
          <w:szCs w:val="28"/>
          <w:u w:val="single"/>
        </w:rPr>
        <w:t>__XXXX__</w:t>
      </w:r>
      <w:r>
        <w:rPr>
          <w:rFonts w:hint="eastAsia" w:ascii="宋体" w:hAnsi="宋体" w:cs="宋体"/>
          <w:color w:val="auto"/>
          <w:sz w:val="28"/>
          <w:szCs w:val="28"/>
        </w:rPr>
        <w:t>万元，资产总额为</w:t>
      </w:r>
      <w:r>
        <w:rPr>
          <w:rFonts w:hint="eastAsia" w:ascii="宋体" w:hAnsi="宋体" w:cs="宋体"/>
          <w:color w:val="auto"/>
          <w:sz w:val="28"/>
          <w:szCs w:val="28"/>
          <w:u w:val="single"/>
        </w:rPr>
        <w:t>___XXXX___</w:t>
      </w:r>
      <w:r>
        <w:rPr>
          <w:rFonts w:hint="eastAsia" w:ascii="宋体" w:hAnsi="宋体" w:cs="宋体"/>
          <w:color w:val="auto"/>
          <w:sz w:val="28"/>
          <w:szCs w:val="28"/>
        </w:rPr>
        <w:t>万元</w:t>
      </w:r>
      <w:r>
        <w:rPr>
          <w:rFonts w:hint="eastAsia" w:ascii="宋体" w:hAnsi="宋体" w:cs="宋体"/>
          <w:color w:val="auto"/>
          <w:sz w:val="28"/>
          <w:szCs w:val="28"/>
          <w:vertAlign w:val="superscript"/>
        </w:rPr>
        <w:t>1</w:t>
      </w:r>
      <w:r>
        <w:rPr>
          <w:rFonts w:hint="eastAsia" w:ascii="宋体" w:hAnsi="宋体" w:cs="宋体"/>
          <w:color w:val="auto"/>
          <w:sz w:val="28"/>
          <w:szCs w:val="28"/>
        </w:rPr>
        <w:t>，属于</w:t>
      </w:r>
      <w:r>
        <w:rPr>
          <w:rFonts w:hint="eastAsia" w:ascii="宋体" w:hAnsi="宋体" w:cs="宋体"/>
          <w:color w:val="auto"/>
          <w:sz w:val="28"/>
          <w:szCs w:val="28"/>
          <w:u w:val="single"/>
        </w:rPr>
        <w:t>___XXXX__</w:t>
      </w:r>
      <w:r>
        <w:rPr>
          <w:rFonts w:hint="eastAsia" w:ascii="宋体" w:hAnsi="宋体" w:cs="宋体"/>
          <w:color w:val="auto"/>
          <w:sz w:val="28"/>
          <w:szCs w:val="28"/>
        </w:rPr>
        <w:t>（中型企业、小型企业、微型企业）。</w:t>
      </w:r>
    </w:p>
    <w:p>
      <w:pPr>
        <w:spacing w:line="480" w:lineRule="exact"/>
        <w:ind w:firstLine="561"/>
        <w:rPr>
          <w:rFonts w:ascii="宋体" w:hAnsi="宋体" w:cs="宋体"/>
          <w:color w:val="auto"/>
          <w:sz w:val="28"/>
          <w:szCs w:val="28"/>
        </w:rPr>
      </w:pPr>
      <w:r>
        <w:rPr>
          <w:rFonts w:hint="eastAsia" w:ascii="宋体" w:hAnsi="宋体" w:cs="宋体"/>
          <w:color w:val="auto"/>
          <w:sz w:val="28"/>
          <w:szCs w:val="28"/>
        </w:rPr>
        <w:t>......</w:t>
      </w:r>
    </w:p>
    <w:p>
      <w:pPr>
        <w:spacing w:line="480" w:lineRule="exact"/>
        <w:ind w:firstLine="561"/>
        <w:rPr>
          <w:rFonts w:ascii="宋体" w:hAnsi="宋体" w:cs="宋体"/>
          <w:color w:val="auto"/>
          <w:sz w:val="28"/>
          <w:szCs w:val="28"/>
        </w:rPr>
      </w:pPr>
      <w:r>
        <w:rPr>
          <w:rFonts w:hint="eastAsia" w:ascii="宋体" w:hAnsi="宋体" w:cs="宋体"/>
          <w:color w:val="auto"/>
          <w:sz w:val="28"/>
          <w:szCs w:val="28"/>
        </w:rPr>
        <w:t>以上企业，不属于大企业的分支机构，不存在控股股东 为大企业的情形，也不存在与大企业的负责人为同一人的情形。</w:t>
      </w:r>
    </w:p>
    <w:p>
      <w:pPr>
        <w:pStyle w:val="205"/>
        <w:ind w:firstLine="560" w:firstLineChars="200"/>
        <w:rPr>
          <w:rFonts w:ascii="宋体" w:hAnsi="宋体" w:cs="宋体"/>
          <w:color w:val="auto"/>
          <w:sz w:val="28"/>
          <w:szCs w:val="28"/>
        </w:rPr>
      </w:pPr>
      <w:r>
        <w:rPr>
          <w:rFonts w:hint="eastAsia" w:ascii="宋体" w:hAnsi="宋体" w:cs="宋体"/>
          <w:color w:val="auto"/>
          <w:sz w:val="28"/>
          <w:szCs w:val="28"/>
        </w:rPr>
        <w:t>本企业对上述声明内容的真实性负责。如有虚假，将依法承担相应责任。</w:t>
      </w:r>
    </w:p>
    <w:p>
      <w:pPr>
        <w:pStyle w:val="205"/>
        <w:ind w:firstLine="560" w:firstLineChars="200"/>
        <w:rPr>
          <w:rFonts w:ascii="宋体" w:hAnsi="宋体" w:cs="宋体"/>
          <w:color w:val="auto"/>
          <w:sz w:val="28"/>
          <w:szCs w:val="28"/>
        </w:rPr>
      </w:pPr>
    </w:p>
    <w:p>
      <w:pPr>
        <w:pStyle w:val="205"/>
        <w:ind w:firstLine="560" w:firstLineChars="200"/>
        <w:rPr>
          <w:rFonts w:ascii="宋体" w:hAnsi="宋体" w:cs="宋体"/>
          <w:color w:val="auto"/>
          <w:sz w:val="28"/>
        </w:rPr>
      </w:pPr>
      <w:r>
        <w:rPr>
          <w:rFonts w:hint="eastAsia" w:ascii="宋体" w:hAnsi="宋体" w:cs="宋体"/>
          <w:color w:val="auto"/>
          <w:sz w:val="28"/>
        </w:rPr>
        <w:t>供应商名称：</w:t>
      </w:r>
      <w:r>
        <w:rPr>
          <w:rFonts w:hint="eastAsia" w:ascii="宋体" w:hAnsi="宋体" w:cs="宋体"/>
          <w:color w:val="auto"/>
          <w:sz w:val="28"/>
          <w:u w:val="single"/>
        </w:rPr>
        <w:t>XXXX</w:t>
      </w:r>
    </w:p>
    <w:p>
      <w:pPr>
        <w:pStyle w:val="205"/>
        <w:ind w:firstLine="560" w:firstLineChars="200"/>
        <w:rPr>
          <w:rFonts w:ascii="宋体" w:hAnsi="宋体" w:cs="宋体"/>
          <w:color w:val="auto"/>
          <w:sz w:val="28"/>
        </w:rPr>
      </w:pPr>
      <w:r>
        <w:rPr>
          <w:rFonts w:hint="eastAsia" w:ascii="宋体" w:hAnsi="宋体" w:cs="宋体"/>
          <w:color w:val="auto"/>
          <w:sz w:val="28"/>
        </w:rPr>
        <w:t>日期：20XX年XX月XX日</w:t>
      </w:r>
    </w:p>
    <w:p>
      <w:pPr>
        <w:pStyle w:val="87"/>
        <w:tabs>
          <w:tab w:val="left" w:pos="567"/>
          <w:tab w:val="left" w:pos="709"/>
          <w:tab w:val="left" w:pos="851"/>
        </w:tabs>
        <w:spacing w:before="60" w:line="360" w:lineRule="auto"/>
        <w:ind w:firstLine="562"/>
        <w:rPr>
          <w:rFonts w:ascii="宋体" w:hAnsi="宋体" w:eastAsia="宋体" w:cs="宋体"/>
          <w:b/>
          <w:color w:val="auto"/>
          <w:sz w:val="28"/>
          <w:szCs w:val="28"/>
        </w:rPr>
      </w:pPr>
      <w:r>
        <w:rPr>
          <w:rFonts w:hint="eastAsia" w:ascii="宋体" w:hAnsi="宋体" w:eastAsia="宋体" w:cs="宋体"/>
          <w:b/>
          <w:color w:val="auto"/>
          <w:sz w:val="28"/>
        </w:rPr>
        <w:t>说明：</w:t>
      </w:r>
      <w:r>
        <w:rPr>
          <w:rFonts w:hint="eastAsia" w:ascii="宋体" w:hAnsi="宋体" w:eastAsia="宋体" w:cs="宋体"/>
          <w:b/>
          <w:color w:val="auto"/>
          <w:sz w:val="28"/>
          <w:szCs w:val="28"/>
        </w:rPr>
        <w:t>从业人员、营业收入、资产总额填报上一年度数据，无上一年度数据的新成立企业可不填报。</w:t>
      </w:r>
    </w:p>
    <w:p>
      <w:pPr>
        <w:rPr>
          <w:rFonts w:ascii="宋体" w:hAnsi="宋体" w:cs="宋体"/>
          <w:b/>
          <w:color w:val="auto"/>
          <w:sz w:val="28"/>
          <w:szCs w:val="28"/>
        </w:rPr>
      </w:pPr>
      <w:r>
        <w:rPr>
          <w:rFonts w:hint="eastAsia" w:ascii="宋体" w:hAnsi="宋体" w:cs="宋体"/>
          <w:b/>
          <w:color w:val="auto"/>
          <w:sz w:val="28"/>
          <w:szCs w:val="28"/>
        </w:rPr>
        <w:br w:type="page"/>
      </w:r>
    </w:p>
    <w:p>
      <w:pPr>
        <w:pStyle w:val="5"/>
        <w:numPr>
          <w:ilvl w:val="2"/>
          <w:numId w:val="6"/>
        </w:numPr>
        <w:tabs>
          <w:tab w:val="left" w:pos="709"/>
        </w:tabs>
        <w:spacing w:after="200"/>
        <w:ind w:left="1135" w:hanging="1135"/>
        <w:rPr>
          <w:color w:val="auto"/>
        </w:rPr>
      </w:pPr>
      <w:r>
        <w:rPr>
          <w:rFonts w:hint="eastAsia"/>
          <w:color w:val="auto"/>
        </w:rPr>
        <w:t>残疾人福利性单位声明函</w:t>
      </w:r>
    </w:p>
    <w:p>
      <w:pPr>
        <w:spacing w:line="500" w:lineRule="exact"/>
        <w:jc w:val="center"/>
        <w:rPr>
          <w:rFonts w:ascii="宋体" w:hAnsi="宋体" w:cs="宋体"/>
          <w:b/>
          <w:color w:val="auto"/>
          <w:spacing w:val="6"/>
          <w:sz w:val="28"/>
          <w:szCs w:val="28"/>
        </w:rPr>
      </w:pPr>
      <w:r>
        <w:rPr>
          <w:rFonts w:hint="eastAsia" w:ascii="宋体" w:hAnsi="宋体" w:cs="宋体"/>
          <w:b/>
          <w:color w:val="auto"/>
          <w:spacing w:val="6"/>
          <w:sz w:val="28"/>
          <w:szCs w:val="28"/>
        </w:rPr>
        <w:t>残疾人福利性单位声明函</w:t>
      </w:r>
    </w:p>
    <w:p>
      <w:pPr>
        <w:spacing w:line="440" w:lineRule="exact"/>
        <w:rPr>
          <w:rFonts w:ascii="宋体" w:hAnsi="宋体" w:cs="宋体"/>
          <w:b/>
          <w:color w:val="auto"/>
          <w:spacing w:val="6"/>
          <w:sz w:val="30"/>
          <w:szCs w:val="30"/>
        </w:rPr>
      </w:pPr>
    </w:p>
    <w:p>
      <w:pPr>
        <w:tabs>
          <w:tab w:val="left" w:pos="1134"/>
        </w:tabs>
        <w:spacing w:line="500" w:lineRule="exact"/>
        <w:ind w:firstLine="584" w:firstLineChars="200"/>
        <w:rPr>
          <w:rFonts w:ascii="宋体" w:hAnsi="宋体" w:cs="宋体"/>
          <w:color w:val="auto"/>
          <w:spacing w:val="6"/>
          <w:sz w:val="28"/>
          <w:szCs w:val="28"/>
        </w:rPr>
      </w:pPr>
      <w:r>
        <w:rPr>
          <w:rFonts w:hint="eastAsia" w:ascii="宋体" w:hAnsi="宋体" w:cs="宋体"/>
          <w:color w:val="auto"/>
          <w:spacing w:val="6"/>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1134"/>
        </w:tabs>
        <w:spacing w:line="500" w:lineRule="exact"/>
        <w:ind w:firstLine="584" w:firstLineChars="200"/>
        <w:rPr>
          <w:rFonts w:ascii="宋体" w:hAnsi="宋体" w:cs="宋体"/>
          <w:color w:val="auto"/>
          <w:spacing w:val="6"/>
          <w:sz w:val="28"/>
          <w:szCs w:val="28"/>
        </w:rPr>
      </w:pPr>
      <w:r>
        <w:rPr>
          <w:rFonts w:hint="eastAsia" w:ascii="宋体" w:hAnsi="宋体" w:cs="宋体"/>
          <w:color w:val="auto"/>
          <w:spacing w:val="6"/>
          <w:sz w:val="28"/>
          <w:szCs w:val="28"/>
        </w:rPr>
        <w:t>本单位对上述声明的真实性负责。如有虚假，将依法承担相应责任。</w:t>
      </w:r>
    </w:p>
    <w:p>
      <w:pPr>
        <w:overflowPunct w:val="0"/>
        <w:spacing w:line="520" w:lineRule="exact"/>
        <w:ind w:firstLine="560" w:firstLineChars="200"/>
        <w:rPr>
          <w:rFonts w:ascii="宋体" w:hAnsi="宋体" w:cs="宋体"/>
          <w:bCs/>
          <w:color w:val="auto"/>
          <w:sz w:val="28"/>
          <w:szCs w:val="28"/>
        </w:rPr>
      </w:pPr>
    </w:p>
    <w:p>
      <w:pPr>
        <w:overflowPunct w:val="0"/>
        <w:spacing w:line="546" w:lineRule="exact"/>
        <w:ind w:firstLine="560" w:firstLineChars="200"/>
        <w:rPr>
          <w:rFonts w:ascii="宋体" w:hAnsi="宋体" w:cs="宋体"/>
          <w:bCs/>
          <w:color w:val="auto"/>
          <w:sz w:val="28"/>
          <w:szCs w:val="28"/>
        </w:rPr>
      </w:pPr>
    </w:p>
    <w:p>
      <w:pPr>
        <w:overflowPunct w:val="0"/>
        <w:spacing w:line="546" w:lineRule="exact"/>
        <w:ind w:firstLine="560" w:firstLineChars="200"/>
        <w:rPr>
          <w:rFonts w:ascii="宋体" w:hAnsi="宋体" w:cs="宋体"/>
          <w:bCs/>
          <w:color w:val="auto"/>
          <w:sz w:val="28"/>
          <w:szCs w:val="28"/>
        </w:rPr>
      </w:pPr>
    </w:p>
    <w:p>
      <w:pPr>
        <w:overflowPunct w:val="0"/>
        <w:spacing w:line="546" w:lineRule="exact"/>
        <w:ind w:firstLine="560" w:firstLineChars="200"/>
        <w:rPr>
          <w:rFonts w:ascii="宋体" w:hAnsi="宋体" w:cs="宋体"/>
          <w:bCs/>
          <w:color w:val="auto"/>
          <w:sz w:val="28"/>
          <w:szCs w:val="28"/>
        </w:rPr>
      </w:pPr>
    </w:p>
    <w:p>
      <w:pPr>
        <w:overflowPunct w:val="0"/>
        <w:spacing w:line="546" w:lineRule="exact"/>
        <w:rPr>
          <w:rFonts w:ascii="宋体" w:hAnsi="宋体" w:cs="宋体"/>
          <w:bCs/>
          <w:color w:val="auto"/>
          <w:sz w:val="28"/>
          <w:szCs w:val="28"/>
        </w:rPr>
      </w:pPr>
    </w:p>
    <w:p>
      <w:pPr>
        <w:tabs>
          <w:tab w:val="left" w:pos="3969"/>
        </w:tabs>
        <w:spacing w:line="500" w:lineRule="exact"/>
        <w:ind w:right="-58" w:firstLine="584" w:firstLineChars="200"/>
        <w:jc w:val="left"/>
        <w:rPr>
          <w:rFonts w:ascii="宋体" w:hAnsi="宋体" w:cs="宋体"/>
          <w:color w:val="auto"/>
          <w:spacing w:val="6"/>
          <w:sz w:val="28"/>
          <w:szCs w:val="28"/>
        </w:rPr>
      </w:pPr>
      <w:r>
        <w:rPr>
          <w:rFonts w:hint="eastAsia" w:ascii="宋体" w:hAnsi="宋体" w:cs="宋体"/>
          <w:color w:val="auto"/>
          <w:spacing w:val="6"/>
          <w:sz w:val="28"/>
          <w:szCs w:val="28"/>
        </w:rPr>
        <w:t>单位名称：</w:t>
      </w:r>
      <w:r>
        <w:rPr>
          <w:rFonts w:hint="eastAsia" w:ascii="宋体" w:hAnsi="宋体" w:cs="宋体"/>
          <w:color w:val="auto"/>
          <w:sz w:val="28"/>
          <w:szCs w:val="28"/>
          <w:u w:val="single"/>
        </w:rPr>
        <w:t>XXXX</w:t>
      </w:r>
    </w:p>
    <w:p>
      <w:pPr>
        <w:tabs>
          <w:tab w:val="left" w:pos="3969"/>
        </w:tabs>
        <w:spacing w:line="500" w:lineRule="exact"/>
        <w:ind w:right="-58" w:firstLine="584" w:firstLineChars="200"/>
        <w:jc w:val="left"/>
        <w:rPr>
          <w:rFonts w:ascii="宋体" w:hAnsi="宋体" w:cs="宋体"/>
          <w:color w:val="auto"/>
          <w:sz w:val="28"/>
          <w:szCs w:val="28"/>
        </w:rPr>
      </w:pPr>
      <w:r>
        <w:rPr>
          <w:rFonts w:hint="eastAsia" w:ascii="宋体" w:hAnsi="宋体" w:cs="宋体"/>
          <w:color w:val="auto"/>
          <w:spacing w:val="6"/>
          <w:sz w:val="28"/>
          <w:szCs w:val="28"/>
        </w:rPr>
        <w:t>日期：</w:t>
      </w:r>
      <w:r>
        <w:rPr>
          <w:rFonts w:hint="eastAsia" w:ascii="宋体" w:hAnsi="宋体" w:cs="宋体"/>
          <w:color w:val="auto"/>
          <w:sz w:val="28"/>
          <w:szCs w:val="28"/>
        </w:rPr>
        <w:t>20</w:t>
      </w:r>
      <w:r>
        <w:rPr>
          <w:rFonts w:hint="eastAsia" w:ascii="宋体" w:hAnsi="宋体" w:cs="宋体"/>
          <w:color w:val="auto"/>
          <w:sz w:val="28"/>
          <w:szCs w:val="28"/>
          <w:u w:val="single"/>
        </w:rPr>
        <w:t>XX</w:t>
      </w:r>
      <w:r>
        <w:rPr>
          <w:rFonts w:hint="eastAsia" w:ascii="宋体" w:hAnsi="宋体" w:cs="宋体"/>
          <w:color w:val="auto"/>
          <w:sz w:val="28"/>
          <w:szCs w:val="28"/>
        </w:rPr>
        <w:t>年</w:t>
      </w:r>
      <w:r>
        <w:rPr>
          <w:rFonts w:hint="eastAsia" w:ascii="宋体" w:hAnsi="宋体" w:cs="宋体"/>
          <w:color w:val="auto"/>
          <w:sz w:val="28"/>
          <w:szCs w:val="28"/>
          <w:u w:val="single"/>
        </w:rPr>
        <w:t>XX</w:t>
      </w:r>
      <w:r>
        <w:rPr>
          <w:rFonts w:hint="eastAsia" w:ascii="宋体" w:hAnsi="宋体" w:cs="宋体"/>
          <w:color w:val="auto"/>
          <w:sz w:val="28"/>
          <w:szCs w:val="28"/>
        </w:rPr>
        <w:t>月</w:t>
      </w:r>
      <w:r>
        <w:rPr>
          <w:rFonts w:hint="eastAsia" w:ascii="宋体" w:hAnsi="宋体" w:cs="宋体"/>
          <w:color w:val="auto"/>
          <w:sz w:val="28"/>
          <w:szCs w:val="28"/>
          <w:u w:val="single"/>
        </w:rPr>
        <w:t>XX</w:t>
      </w:r>
      <w:r>
        <w:rPr>
          <w:rFonts w:hint="eastAsia" w:ascii="宋体" w:hAnsi="宋体" w:cs="宋体"/>
          <w:color w:val="auto"/>
          <w:sz w:val="28"/>
          <w:szCs w:val="28"/>
        </w:rPr>
        <w:t>日</w:t>
      </w:r>
    </w:p>
    <w:p>
      <w:pPr>
        <w:ind w:firstLine="563"/>
        <w:rPr>
          <w:rFonts w:ascii="宋体" w:hAnsi="宋体" w:cs="宋体"/>
          <w:b/>
          <w:color w:val="auto"/>
          <w:kern w:val="0"/>
          <w:sz w:val="28"/>
          <w:szCs w:val="28"/>
        </w:rPr>
      </w:pPr>
    </w:p>
    <w:p>
      <w:pPr>
        <w:tabs>
          <w:tab w:val="left" w:pos="1260"/>
        </w:tabs>
        <w:spacing w:line="560" w:lineRule="exact"/>
        <w:ind w:firstLine="562" w:firstLineChars="200"/>
        <w:rPr>
          <w:rFonts w:ascii="宋体" w:hAnsi="宋体" w:cs="宋体"/>
          <w:b/>
          <w:color w:val="auto"/>
          <w:sz w:val="28"/>
          <w:szCs w:val="28"/>
        </w:rPr>
      </w:pPr>
    </w:p>
    <w:p>
      <w:pPr>
        <w:tabs>
          <w:tab w:val="left" w:pos="1260"/>
        </w:tabs>
        <w:spacing w:line="560" w:lineRule="exact"/>
        <w:ind w:firstLine="562" w:firstLineChars="200"/>
        <w:rPr>
          <w:rFonts w:ascii="宋体" w:hAnsi="宋体" w:cs="宋体"/>
          <w:b/>
          <w:color w:val="auto"/>
          <w:sz w:val="28"/>
          <w:szCs w:val="28"/>
        </w:rPr>
      </w:pPr>
    </w:p>
    <w:p>
      <w:pPr>
        <w:tabs>
          <w:tab w:val="left" w:pos="1260"/>
        </w:tabs>
        <w:spacing w:line="560" w:lineRule="exact"/>
        <w:ind w:firstLine="562" w:firstLineChars="200"/>
        <w:rPr>
          <w:rFonts w:ascii="宋体" w:hAnsi="宋体" w:cs="宋体"/>
          <w:b/>
          <w:color w:val="auto"/>
          <w:sz w:val="28"/>
          <w:szCs w:val="28"/>
        </w:rPr>
      </w:pPr>
    </w:p>
    <w:p>
      <w:pPr>
        <w:tabs>
          <w:tab w:val="left" w:pos="1260"/>
        </w:tabs>
        <w:spacing w:line="560" w:lineRule="exact"/>
        <w:ind w:firstLine="562" w:firstLineChars="200"/>
        <w:rPr>
          <w:rFonts w:ascii="宋体" w:hAnsi="宋体" w:cs="宋体"/>
          <w:b/>
          <w:color w:val="auto"/>
          <w:sz w:val="28"/>
          <w:szCs w:val="28"/>
        </w:rPr>
      </w:pPr>
    </w:p>
    <w:p>
      <w:pPr>
        <w:tabs>
          <w:tab w:val="left" w:pos="1260"/>
        </w:tabs>
        <w:spacing w:line="560" w:lineRule="exact"/>
        <w:ind w:firstLine="562" w:firstLineChars="200"/>
        <w:rPr>
          <w:rFonts w:ascii="宋体" w:hAnsi="宋体" w:cs="宋体"/>
          <w:b/>
          <w:color w:val="auto"/>
          <w:sz w:val="28"/>
          <w:szCs w:val="28"/>
        </w:rPr>
      </w:pPr>
    </w:p>
    <w:p>
      <w:pPr>
        <w:tabs>
          <w:tab w:val="left" w:pos="1260"/>
        </w:tabs>
        <w:spacing w:line="560" w:lineRule="exact"/>
        <w:ind w:firstLine="420" w:firstLineChars="200"/>
        <w:rPr>
          <w:rFonts w:ascii="宋体" w:hAnsi="宋体" w:cs="宋体"/>
          <w:color w:val="auto"/>
          <w:szCs w:val="28"/>
        </w:rPr>
      </w:pPr>
    </w:p>
    <w:p>
      <w:pPr>
        <w:rPr>
          <w:rFonts w:ascii="宋体" w:hAnsi="宋体" w:cs="宋体"/>
          <w:color w:val="auto"/>
          <w:szCs w:val="28"/>
        </w:rPr>
      </w:pPr>
      <w:r>
        <w:rPr>
          <w:rFonts w:hint="eastAsia" w:ascii="宋体" w:hAnsi="宋体" w:cs="宋体"/>
          <w:color w:val="auto"/>
          <w:szCs w:val="28"/>
        </w:rPr>
        <w:br w:type="page"/>
      </w:r>
    </w:p>
    <w:p>
      <w:pPr>
        <w:pStyle w:val="5"/>
        <w:numPr>
          <w:ilvl w:val="2"/>
          <w:numId w:val="6"/>
        </w:numPr>
        <w:tabs>
          <w:tab w:val="left" w:pos="709"/>
        </w:tabs>
        <w:spacing w:after="200"/>
        <w:ind w:left="709" w:hanging="709"/>
        <w:rPr>
          <w:color w:val="auto"/>
        </w:rPr>
      </w:pPr>
      <w:r>
        <w:rPr>
          <w:rFonts w:hint="eastAsia"/>
          <w:color w:val="auto"/>
        </w:rPr>
        <w:t>法定代表人或主要负责人身份证明书</w:t>
      </w:r>
    </w:p>
    <w:p>
      <w:pPr>
        <w:rPr>
          <w:rFonts w:ascii="宋体" w:hAnsi="宋体" w:cs="宋体"/>
          <w:color w:val="auto"/>
        </w:rPr>
      </w:pPr>
    </w:p>
    <w:p>
      <w:pPr>
        <w:tabs>
          <w:tab w:val="left" w:pos="6300"/>
        </w:tabs>
        <w:spacing w:line="360" w:lineRule="auto"/>
        <w:ind w:firstLine="573"/>
        <w:rPr>
          <w:rFonts w:ascii="宋体" w:hAnsi="宋体" w:cs="宋体"/>
          <w:color w:val="auto"/>
          <w:sz w:val="28"/>
          <w:szCs w:val="28"/>
          <w:lang w:val="zh-CN"/>
        </w:rPr>
      </w:pPr>
      <w:r>
        <w:rPr>
          <w:rFonts w:hint="eastAsia" w:ascii="宋体" w:hAnsi="宋体" w:cs="宋体"/>
          <w:color w:val="auto"/>
          <w:sz w:val="28"/>
          <w:szCs w:val="28"/>
          <w:u w:val="single"/>
          <w:lang w:val="zh-CN"/>
        </w:rPr>
        <w:t xml:space="preserve">       （</w:t>
      </w:r>
      <w:r>
        <w:rPr>
          <w:rFonts w:hint="eastAsia" w:ascii="宋体" w:hAnsi="宋体" w:cs="宋体"/>
          <w:color w:val="auto"/>
          <w:sz w:val="28"/>
          <w:szCs w:val="28"/>
          <w:u w:val="single"/>
        </w:rPr>
        <w:t>法定代表人或主要负责人</w:t>
      </w:r>
      <w:r>
        <w:rPr>
          <w:rFonts w:hint="eastAsia" w:ascii="宋体" w:hAnsi="宋体" w:cs="宋体"/>
          <w:color w:val="auto"/>
          <w:sz w:val="28"/>
          <w:szCs w:val="28"/>
          <w:u w:val="single"/>
          <w:lang w:val="zh-CN"/>
        </w:rPr>
        <w:t xml:space="preserve">姓名）       </w:t>
      </w:r>
      <w:r>
        <w:rPr>
          <w:rFonts w:hint="eastAsia" w:ascii="宋体" w:hAnsi="宋体" w:cs="宋体"/>
          <w:color w:val="auto"/>
          <w:sz w:val="28"/>
          <w:szCs w:val="28"/>
          <w:lang w:val="zh-CN"/>
        </w:rPr>
        <w:t>在</w:t>
      </w:r>
      <w:r>
        <w:rPr>
          <w:rFonts w:hint="eastAsia" w:ascii="宋体" w:hAnsi="宋体" w:cs="宋体"/>
          <w:color w:val="auto"/>
          <w:sz w:val="28"/>
          <w:szCs w:val="28"/>
          <w:u w:val="single"/>
          <w:lang w:val="zh-CN"/>
        </w:rPr>
        <w:t xml:space="preserve">       （供应商名称）       </w:t>
      </w:r>
      <w:r>
        <w:rPr>
          <w:rFonts w:hint="eastAsia" w:ascii="宋体" w:hAnsi="宋体" w:cs="宋体"/>
          <w:color w:val="auto"/>
          <w:sz w:val="28"/>
          <w:szCs w:val="28"/>
          <w:lang w:val="zh-CN"/>
        </w:rPr>
        <w:t>处任</w:t>
      </w:r>
      <w:r>
        <w:rPr>
          <w:rFonts w:hint="eastAsia" w:ascii="宋体" w:hAnsi="宋体" w:cs="宋体"/>
          <w:color w:val="auto"/>
          <w:sz w:val="28"/>
          <w:szCs w:val="28"/>
          <w:u w:val="single"/>
          <w:lang w:val="zh-CN"/>
        </w:rPr>
        <w:t xml:space="preserve">       （职务名称）       </w:t>
      </w:r>
      <w:r>
        <w:rPr>
          <w:rFonts w:hint="eastAsia" w:ascii="宋体" w:hAnsi="宋体" w:cs="宋体"/>
          <w:color w:val="auto"/>
          <w:sz w:val="28"/>
          <w:szCs w:val="28"/>
          <w:lang w:val="zh-CN"/>
        </w:rPr>
        <w:t>职务，是</w:t>
      </w:r>
      <w:r>
        <w:rPr>
          <w:rFonts w:hint="eastAsia" w:ascii="宋体" w:hAnsi="宋体" w:cs="宋体"/>
          <w:color w:val="auto"/>
          <w:sz w:val="28"/>
          <w:szCs w:val="28"/>
          <w:u w:val="single"/>
          <w:lang w:val="zh-CN"/>
        </w:rPr>
        <w:t xml:space="preserve">       （供应商名称）       </w:t>
      </w:r>
      <w:r>
        <w:rPr>
          <w:rFonts w:hint="eastAsia" w:ascii="宋体" w:hAnsi="宋体" w:cs="宋体"/>
          <w:color w:val="auto"/>
          <w:sz w:val="28"/>
          <w:szCs w:val="28"/>
          <w:lang w:val="zh-CN"/>
        </w:rPr>
        <w:t>的（</w:t>
      </w:r>
      <w:r>
        <w:rPr>
          <w:rFonts w:hint="eastAsia" w:ascii="宋体" w:hAnsi="宋体" w:cs="宋体"/>
          <w:color w:val="auto"/>
          <w:sz w:val="28"/>
          <w:szCs w:val="28"/>
        </w:rPr>
        <w:t>法定代表人或主要负责人</w:t>
      </w:r>
      <w:r>
        <w:rPr>
          <w:rFonts w:hint="eastAsia" w:ascii="宋体" w:hAnsi="宋体" w:cs="宋体"/>
          <w:color w:val="auto"/>
          <w:sz w:val="28"/>
          <w:szCs w:val="28"/>
          <w:lang w:val="zh-CN"/>
        </w:rPr>
        <w:t>）。</w:t>
      </w:r>
    </w:p>
    <w:p>
      <w:pPr>
        <w:tabs>
          <w:tab w:val="left" w:pos="6300"/>
        </w:tabs>
        <w:spacing w:line="360" w:lineRule="auto"/>
        <w:ind w:firstLine="573"/>
        <w:rPr>
          <w:rFonts w:ascii="宋体" w:hAnsi="宋体" w:cs="宋体"/>
          <w:color w:val="auto"/>
          <w:sz w:val="28"/>
          <w:szCs w:val="28"/>
          <w:lang w:val="zh-CN"/>
        </w:rPr>
      </w:pPr>
      <w:r>
        <w:rPr>
          <w:rFonts w:hint="eastAsia" w:ascii="宋体" w:hAnsi="宋体" w:cs="宋体"/>
          <w:color w:val="auto"/>
          <w:sz w:val="28"/>
          <w:szCs w:val="28"/>
          <w:lang w:val="zh-CN"/>
        </w:rPr>
        <w:t>特此证明。</w:t>
      </w:r>
    </w:p>
    <w:p>
      <w:pPr>
        <w:tabs>
          <w:tab w:val="left" w:pos="6300"/>
        </w:tabs>
        <w:spacing w:line="360" w:lineRule="auto"/>
        <w:ind w:firstLine="573"/>
        <w:rPr>
          <w:rFonts w:ascii="宋体" w:hAnsi="宋体" w:cs="宋体"/>
          <w:color w:val="auto"/>
          <w:sz w:val="28"/>
          <w:szCs w:val="28"/>
          <w:lang w:val="zh-CN"/>
        </w:rPr>
      </w:pPr>
    </w:p>
    <w:p>
      <w:pPr>
        <w:tabs>
          <w:tab w:val="left" w:pos="6300"/>
        </w:tabs>
        <w:spacing w:line="360" w:lineRule="auto"/>
        <w:ind w:firstLine="573"/>
        <w:rPr>
          <w:rFonts w:ascii="宋体" w:hAnsi="宋体" w:cs="宋体"/>
          <w:color w:val="auto"/>
          <w:sz w:val="28"/>
          <w:szCs w:val="28"/>
          <w:lang w:val="zh-CN"/>
        </w:rPr>
      </w:pPr>
    </w:p>
    <w:p>
      <w:pPr>
        <w:tabs>
          <w:tab w:val="left" w:pos="6300"/>
        </w:tabs>
        <w:spacing w:line="360" w:lineRule="auto"/>
        <w:ind w:firstLine="573"/>
        <w:rPr>
          <w:rFonts w:ascii="宋体" w:hAnsi="宋体" w:cs="宋体"/>
          <w:color w:val="auto"/>
          <w:sz w:val="28"/>
          <w:szCs w:val="28"/>
          <w:lang w:val="zh-CN"/>
        </w:rPr>
      </w:pPr>
    </w:p>
    <w:p>
      <w:pPr>
        <w:spacing w:line="360" w:lineRule="auto"/>
        <w:rPr>
          <w:rFonts w:ascii="宋体" w:hAnsi="宋体" w:cs="宋体"/>
          <w:color w:val="auto"/>
          <w:sz w:val="28"/>
          <w:szCs w:val="28"/>
          <w:lang w:val="zh-CN"/>
        </w:rPr>
      </w:pPr>
      <w:r>
        <w:rPr>
          <w:rFonts w:hint="eastAsia" w:ascii="宋体" w:hAnsi="宋体" w:cs="宋体"/>
          <w:color w:val="auto"/>
          <w:sz w:val="28"/>
          <w:szCs w:val="28"/>
          <w:lang w:val="zh-CN"/>
        </w:rPr>
        <w:t>供应商名称：</w:t>
      </w:r>
      <w:r>
        <w:rPr>
          <w:rFonts w:hint="eastAsia" w:ascii="宋体" w:hAnsi="宋体" w:cs="宋体"/>
          <w:color w:val="auto"/>
          <w:sz w:val="28"/>
          <w:szCs w:val="28"/>
          <w:u w:val="single"/>
          <w:lang w:val="zh-CN"/>
        </w:rPr>
        <w:t>XXXX</w:t>
      </w:r>
    </w:p>
    <w:p>
      <w:pPr>
        <w:spacing w:line="500" w:lineRule="exact"/>
        <w:ind w:right="560"/>
        <w:rPr>
          <w:rFonts w:ascii="宋体" w:hAnsi="宋体" w:cs="宋体"/>
          <w:color w:val="auto"/>
          <w:sz w:val="28"/>
          <w:szCs w:val="28"/>
        </w:rPr>
      </w:pPr>
      <w:r>
        <w:rPr>
          <w:rFonts w:hint="eastAsia" w:ascii="宋体" w:hAnsi="宋体" w:cs="宋体"/>
          <w:color w:val="auto"/>
          <w:sz w:val="28"/>
          <w:szCs w:val="28"/>
        </w:rPr>
        <w:t>日      期：</w:t>
      </w:r>
      <w:r>
        <w:rPr>
          <w:rFonts w:hint="eastAsia" w:ascii="宋体" w:hAnsi="宋体" w:cs="宋体"/>
          <w:color w:val="auto"/>
          <w:sz w:val="28"/>
          <w:szCs w:val="28"/>
          <w:u w:val="single"/>
          <w:lang w:val="zh-CN"/>
        </w:rPr>
        <w:t>XX</w:t>
      </w:r>
      <w:r>
        <w:rPr>
          <w:rFonts w:hint="eastAsia" w:ascii="宋体" w:hAnsi="宋体" w:cs="宋体"/>
          <w:color w:val="auto"/>
          <w:sz w:val="28"/>
          <w:szCs w:val="28"/>
        </w:rPr>
        <w:t>年</w:t>
      </w:r>
      <w:r>
        <w:rPr>
          <w:rFonts w:hint="eastAsia" w:ascii="宋体" w:hAnsi="宋体" w:cs="宋体"/>
          <w:color w:val="auto"/>
          <w:sz w:val="28"/>
          <w:szCs w:val="28"/>
          <w:u w:val="single"/>
          <w:lang w:val="zh-CN"/>
        </w:rPr>
        <w:t>XX</w:t>
      </w:r>
      <w:r>
        <w:rPr>
          <w:rFonts w:hint="eastAsia" w:ascii="宋体" w:hAnsi="宋体" w:cs="宋体"/>
          <w:color w:val="auto"/>
          <w:sz w:val="28"/>
          <w:szCs w:val="28"/>
        </w:rPr>
        <w:t>月</w:t>
      </w:r>
      <w:r>
        <w:rPr>
          <w:rFonts w:hint="eastAsia" w:ascii="宋体" w:hAnsi="宋体" w:cs="宋体"/>
          <w:color w:val="auto"/>
          <w:sz w:val="28"/>
          <w:szCs w:val="28"/>
          <w:u w:val="single"/>
          <w:lang w:val="zh-CN"/>
        </w:rPr>
        <w:t>XX</w:t>
      </w:r>
      <w:r>
        <w:rPr>
          <w:rFonts w:hint="eastAsia" w:ascii="宋体" w:hAnsi="宋体" w:cs="宋体"/>
          <w:color w:val="auto"/>
          <w:sz w:val="28"/>
          <w:szCs w:val="28"/>
        </w:rPr>
        <w:t>日</w:t>
      </w:r>
    </w:p>
    <w:p>
      <w:pPr>
        <w:spacing w:line="360" w:lineRule="auto"/>
        <w:ind w:firstLine="568" w:firstLineChars="202"/>
        <w:rPr>
          <w:rFonts w:ascii="宋体" w:hAnsi="宋体" w:cs="宋体"/>
          <w:b/>
          <w:color w:val="auto"/>
          <w:sz w:val="28"/>
          <w:szCs w:val="28"/>
          <w:lang w:val="zh-CN"/>
        </w:rPr>
      </w:pPr>
    </w:p>
    <w:p>
      <w:pPr>
        <w:spacing w:line="360" w:lineRule="auto"/>
        <w:ind w:firstLine="568" w:firstLineChars="202"/>
        <w:rPr>
          <w:rFonts w:ascii="宋体" w:hAnsi="宋体" w:cs="宋体"/>
          <w:b/>
          <w:color w:val="auto"/>
          <w:sz w:val="28"/>
          <w:szCs w:val="28"/>
          <w:lang w:val="zh-CN"/>
        </w:rPr>
      </w:pPr>
      <w:r>
        <w:rPr>
          <w:rFonts w:hint="eastAsia" w:ascii="宋体" w:hAnsi="宋体" w:cs="宋体"/>
          <w:b/>
          <w:color w:val="auto"/>
          <w:sz w:val="28"/>
          <w:szCs w:val="28"/>
          <w:lang w:val="zh-CN"/>
        </w:rPr>
        <w:t>说明：（1）上述证明文件在资格性响应文件中附有法定代表人或主要负责人身份证复印件（身份证两面均应复印）或护照复印件（供应商的法定代表人或主要负责人为外籍人士的，则提供护照复印件）时才能生效；（2）主要负责人为供应商提供的其具有独立承担民事责任能力的证明材料中的主要负责人员。</w:t>
      </w:r>
    </w:p>
    <w:p>
      <w:pPr>
        <w:spacing w:line="360" w:lineRule="auto"/>
        <w:ind w:firstLine="568" w:firstLineChars="202"/>
        <w:rPr>
          <w:rFonts w:ascii="宋体" w:hAnsi="宋体" w:cs="宋体"/>
          <w:b/>
          <w:color w:val="auto"/>
          <w:sz w:val="28"/>
          <w:szCs w:val="28"/>
          <w:lang w:val="zh-CN"/>
        </w:rPr>
      </w:pPr>
    </w:p>
    <w:p>
      <w:pPr>
        <w:spacing w:line="360" w:lineRule="auto"/>
        <w:ind w:firstLine="568" w:firstLineChars="202"/>
        <w:rPr>
          <w:rFonts w:ascii="宋体" w:hAnsi="宋体" w:cs="宋体"/>
          <w:b/>
          <w:color w:val="auto"/>
          <w:sz w:val="28"/>
          <w:szCs w:val="28"/>
          <w:lang w:val="zh-CN"/>
        </w:rPr>
      </w:pPr>
    </w:p>
    <w:p>
      <w:pPr>
        <w:rPr>
          <w:rFonts w:ascii="宋体" w:hAnsi="宋体" w:cs="宋体"/>
          <w:b/>
          <w:color w:val="auto"/>
          <w:sz w:val="28"/>
          <w:szCs w:val="28"/>
          <w:lang w:val="zh-CN"/>
        </w:rPr>
      </w:pPr>
      <w:r>
        <w:rPr>
          <w:rFonts w:hint="eastAsia" w:ascii="宋体" w:hAnsi="宋体" w:cs="宋体"/>
          <w:b/>
          <w:color w:val="auto"/>
          <w:sz w:val="28"/>
          <w:szCs w:val="28"/>
          <w:lang w:val="zh-CN"/>
        </w:rPr>
        <w:br w:type="page"/>
      </w:r>
    </w:p>
    <w:p>
      <w:pPr>
        <w:pStyle w:val="5"/>
        <w:numPr>
          <w:ilvl w:val="2"/>
          <w:numId w:val="6"/>
        </w:numPr>
        <w:tabs>
          <w:tab w:val="left" w:pos="709"/>
        </w:tabs>
        <w:spacing w:after="200"/>
        <w:ind w:left="709" w:hanging="709"/>
        <w:rPr>
          <w:color w:val="auto"/>
        </w:rPr>
      </w:pPr>
      <w:r>
        <w:rPr>
          <w:rFonts w:hint="eastAsia"/>
          <w:color w:val="auto"/>
        </w:rPr>
        <w:t>供应商基本情况表</w:t>
      </w:r>
    </w:p>
    <w:tbl>
      <w:tblPr>
        <w:tblStyle w:val="41"/>
        <w:tblW w:w="852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0"/>
        <w:gridCol w:w="992"/>
        <w:gridCol w:w="935"/>
        <w:gridCol w:w="1248"/>
        <w:gridCol w:w="8"/>
        <w:gridCol w:w="1318"/>
        <w:gridCol w:w="489"/>
        <w:gridCol w:w="683"/>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80"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供应商名称</w:t>
            </w:r>
          </w:p>
        </w:tc>
        <w:tc>
          <w:tcPr>
            <w:tcW w:w="6740"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注册地址</w:t>
            </w:r>
          </w:p>
        </w:tc>
        <w:tc>
          <w:tcPr>
            <w:tcW w:w="3183"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联系方式</w:t>
            </w:r>
          </w:p>
        </w:tc>
        <w:tc>
          <w:tcPr>
            <w:tcW w:w="99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联系人</w:t>
            </w:r>
          </w:p>
        </w:tc>
        <w:tc>
          <w:tcPr>
            <w:tcW w:w="218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780"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cs="宋体"/>
                <w:color w:val="auto"/>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传真</w:t>
            </w:r>
          </w:p>
        </w:tc>
        <w:tc>
          <w:tcPr>
            <w:tcW w:w="218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单位性质</w:t>
            </w:r>
          </w:p>
        </w:tc>
        <w:tc>
          <w:tcPr>
            <w:tcW w:w="6740"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rPr>
              <w:t>法定代表人（或主要负责人）</w:t>
            </w:r>
          </w:p>
        </w:tc>
        <w:tc>
          <w:tcPr>
            <w:tcW w:w="99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姓名</w:t>
            </w:r>
          </w:p>
        </w:tc>
        <w:tc>
          <w:tcPr>
            <w:tcW w:w="93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s="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780"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技术负责人</w:t>
            </w:r>
          </w:p>
        </w:tc>
        <w:tc>
          <w:tcPr>
            <w:tcW w:w="992"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姓名</w:t>
            </w:r>
          </w:p>
        </w:tc>
        <w:tc>
          <w:tcPr>
            <w:tcW w:w="93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cs="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780"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财务负责人</w:t>
            </w:r>
          </w:p>
        </w:tc>
        <w:tc>
          <w:tcPr>
            <w:tcW w:w="992"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姓名</w:t>
            </w:r>
          </w:p>
        </w:tc>
        <w:tc>
          <w:tcPr>
            <w:tcW w:w="93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s="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成立时间</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cs="宋体"/>
                <w:color w:val="auto"/>
                <w:szCs w:val="21"/>
              </w:rPr>
            </w:pPr>
            <w:r>
              <w:rPr>
                <w:rFonts w:hint="eastAsia" w:ascii="宋体" w:hAnsi="宋体" w:cs="宋体"/>
                <w:color w:val="auto"/>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资质等级</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其中</w:t>
            </w:r>
          </w:p>
        </w:tc>
        <w:tc>
          <w:tcPr>
            <w:tcW w:w="1815"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项目经理</w:t>
            </w:r>
          </w:p>
        </w:tc>
        <w:tc>
          <w:tcPr>
            <w:tcW w:w="1750"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s="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统一社会信用代码</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s="宋体"/>
                <w:color w:val="auto"/>
                <w:szCs w:val="21"/>
              </w:rPr>
            </w:pPr>
          </w:p>
        </w:tc>
        <w:tc>
          <w:tcPr>
            <w:tcW w:w="1815"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高级职称人员</w:t>
            </w:r>
          </w:p>
        </w:tc>
        <w:tc>
          <w:tcPr>
            <w:tcW w:w="1750"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s="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注册资金</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s="宋体"/>
                <w:color w:val="auto"/>
                <w:szCs w:val="21"/>
              </w:rPr>
            </w:pPr>
          </w:p>
        </w:tc>
        <w:tc>
          <w:tcPr>
            <w:tcW w:w="1815"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中级职称人员</w:t>
            </w:r>
          </w:p>
        </w:tc>
        <w:tc>
          <w:tcPr>
            <w:tcW w:w="1750"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s="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开户银行</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s="宋体"/>
                <w:color w:val="auto"/>
                <w:szCs w:val="21"/>
              </w:rPr>
            </w:pPr>
          </w:p>
        </w:tc>
        <w:tc>
          <w:tcPr>
            <w:tcW w:w="1815"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初级职称人员</w:t>
            </w:r>
          </w:p>
        </w:tc>
        <w:tc>
          <w:tcPr>
            <w:tcW w:w="1750"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s="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账号</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cs="宋体"/>
                <w:color w:val="auto"/>
                <w:szCs w:val="21"/>
              </w:rPr>
            </w:pPr>
          </w:p>
        </w:tc>
        <w:tc>
          <w:tcPr>
            <w:tcW w:w="1815"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技工</w:t>
            </w:r>
          </w:p>
        </w:tc>
        <w:tc>
          <w:tcPr>
            <w:tcW w:w="1750"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cs="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6"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经营范围</w:t>
            </w:r>
          </w:p>
        </w:tc>
        <w:tc>
          <w:tcPr>
            <w:tcW w:w="6740"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cs="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780"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cs="宋体"/>
                <w:color w:val="auto"/>
                <w:szCs w:val="21"/>
              </w:rPr>
            </w:pPr>
            <w:r>
              <w:rPr>
                <w:rFonts w:hint="eastAsia" w:ascii="宋体" w:hAnsi="宋体" w:cs="宋体"/>
                <w:color w:val="auto"/>
                <w:szCs w:val="21"/>
              </w:rPr>
              <w:t>备注</w:t>
            </w:r>
          </w:p>
        </w:tc>
        <w:tc>
          <w:tcPr>
            <w:tcW w:w="6740"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cs="宋体"/>
                <w:color w:val="auto"/>
                <w:szCs w:val="21"/>
              </w:rPr>
            </w:pPr>
          </w:p>
        </w:tc>
      </w:tr>
    </w:tbl>
    <w:p>
      <w:pPr>
        <w:pStyle w:val="25"/>
        <w:spacing w:line="360" w:lineRule="auto"/>
        <w:ind w:firstLine="288" w:firstLineChars="103"/>
        <w:rPr>
          <w:rFonts w:ascii="宋体" w:hAnsi="宋体" w:cs="宋体"/>
          <w:bCs/>
          <w:color w:val="auto"/>
          <w:sz w:val="28"/>
          <w:szCs w:val="28"/>
        </w:rPr>
      </w:pPr>
      <w:r>
        <w:rPr>
          <w:rFonts w:hint="eastAsia" w:ascii="宋体" w:hAnsi="宋体" w:cs="宋体"/>
          <w:bCs/>
          <w:color w:val="auto"/>
          <w:sz w:val="28"/>
          <w:szCs w:val="28"/>
        </w:rPr>
        <w:t>供应商名称：</w:t>
      </w:r>
      <w:r>
        <w:rPr>
          <w:rFonts w:hint="eastAsia" w:ascii="宋体" w:hAnsi="宋体" w:cs="宋体"/>
          <w:bCs/>
          <w:color w:val="auto"/>
          <w:sz w:val="28"/>
          <w:szCs w:val="28"/>
          <w:u w:val="single"/>
        </w:rPr>
        <w:t xml:space="preserve"> XXXXXX</w:t>
      </w:r>
    </w:p>
    <w:p>
      <w:pPr>
        <w:pStyle w:val="25"/>
        <w:spacing w:line="360" w:lineRule="auto"/>
        <w:ind w:firstLine="288" w:firstLineChars="103"/>
        <w:rPr>
          <w:rFonts w:ascii="宋体" w:hAnsi="宋体" w:cs="宋体"/>
          <w:bCs/>
          <w:color w:val="auto"/>
          <w:sz w:val="28"/>
          <w:szCs w:val="28"/>
        </w:rPr>
      </w:pPr>
      <w:r>
        <w:rPr>
          <w:rFonts w:hint="eastAsia" w:ascii="宋体" w:hAnsi="宋体" w:cs="宋体"/>
          <w:color w:val="auto"/>
          <w:sz w:val="28"/>
        </w:rPr>
        <w:t>日期：</w:t>
      </w:r>
      <w:r>
        <w:rPr>
          <w:rFonts w:hint="eastAsia" w:ascii="宋体" w:hAnsi="宋体" w:cs="宋体"/>
          <w:bCs/>
          <w:color w:val="auto"/>
          <w:sz w:val="28"/>
          <w:u w:val="single"/>
        </w:rPr>
        <w:t>XX</w:t>
      </w:r>
      <w:r>
        <w:rPr>
          <w:rFonts w:hint="eastAsia" w:ascii="宋体" w:hAnsi="宋体" w:cs="宋体"/>
          <w:bCs/>
          <w:color w:val="auto"/>
          <w:sz w:val="28"/>
        </w:rPr>
        <w:t>年</w:t>
      </w:r>
      <w:r>
        <w:rPr>
          <w:rFonts w:hint="eastAsia" w:ascii="宋体" w:hAnsi="宋体" w:cs="宋体"/>
          <w:bCs/>
          <w:color w:val="auto"/>
          <w:sz w:val="28"/>
          <w:u w:val="single"/>
        </w:rPr>
        <w:t>XX</w:t>
      </w:r>
      <w:r>
        <w:rPr>
          <w:rFonts w:hint="eastAsia" w:ascii="宋体" w:hAnsi="宋体" w:cs="宋体"/>
          <w:bCs/>
          <w:color w:val="auto"/>
          <w:sz w:val="28"/>
        </w:rPr>
        <w:t>月</w:t>
      </w:r>
      <w:r>
        <w:rPr>
          <w:rFonts w:hint="eastAsia" w:ascii="宋体" w:hAnsi="宋体" w:cs="宋体"/>
          <w:bCs/>
          <w:color w:val="auto"/>
          <w:sz w:val="28"/>
          <w:u w:val="single"/>
        </w:rPr>
        <w:t>XX</w:t>
      </w:r>
      <w:r>
        <w:rPr>
          <w:rFonts w:hint="eastAsia" w:ascii="宋体" w:hAnsi="宋体" w:cs="宋体"/>
          <w:bCs/>
          <w:color w:val="auto"/>
          <w:sz w:val="28"/>
        </w:rPr>
        <w:t>日</w:t>
      </w:r>
    </w:p>
    <w:p>
      <w:pPr>
        <w:rPr>
          <w:rFonts w:ascii="宋体" w:hAnsi="宋体" w:cs="宋体"/>
          <w:color w:val="auto"/>
        </w:rPr>
      </w:pPr>
      <w:r>
        <w:rPr>
          <w:rFonts w:hint="eastAsia" w:ascii="宋体" w:hAnsi="宋体" w:cs="宋体"/>
          <w:color w:val="auto"/>
        </w:rPr>
        <w:br w:type="page"/>
      </w:r>
    </w:p>
    <w:p>
      <w:pPr>
        <w:pStyle w:val="5"/>
        <w:numPr>
          <w:ilvl w:val="2"/>
          <w:numId w:val="6"/>
        </w:numPr>
        <w:tabs>
          <w:tab w:val="left" w:pos="709"/>
        </w:tabs>
        <w:spacing w:after="200"/>
        <w:ind w:left="709" w:hanging="709"/>
        <w:rPr>
          <w:color w:val="auto"/>
        </w:rPr>
      </w:pPr>
      <w:r>
        <w:rPr>
          <w:rFonts w:hint="eastAsia"/>
          <w:color w:val="auto"/>
        </w:rPr>
        <w:t>供应商应提交的相关资格证明材料：</w:t>
      </w:r>
    </w:p>
    <w:p>
      <w:pPr>
        <w:tabs>
          <w:tab w:val="left" w:pos="1134"/>
        </w:tabs>
        <w:spacing w:line="360" w:lineRule="auto"/>
        <w:ind w:firstLine="551" w:firstLineChars="196"/>
        <w:rPr>
          <w:rFonts w:ascii="宋体" w:hAnsi="宋体" w:cs="宋体"/>
          <w:b/>
          <w:color w:val="auto"/>
          <w:sz w:val="28"/>
          <w:szCs w:val="28"/>
        </w:rPr>
      </w:pPr>
      <w:r>
        <w:rPr>
          <w:rFonts w:hint="eastAsia" w:ascii="宋体" w:hAnsi="宋体" w:cs="宋体"/>
          <w:b/>
          <w:color w:val="auto"/>
          <w:sz w:val="28"/>
          <w:szCs w:val="28"/>
        </w:rPr>
        <w:t>（一）营业执照或法人登记证或其他能够证明供应商具有独立承担民事责任能力的相关证明材料复印件；；</w:t>
      </w:r>
    </w:p>
    <w:p>
      <w:pPr>
        <w:tabs>
          <w:tab w:val="left" w:pos="1134"/>
        </w:tabs>
        <w:spacing w:line="360" w:lineRule="auto"/>
        <w:ind w:firstLine="551" w:firstLineChars="196"/>
        <w:rPr>
          <w:rFonts w:ascii="宋体" w:hAnsi="宋体" w:cs="宋体"/>
          <w:b/>
          <w:color w:val="auto"/>
          <w:sz w:val="28"/>
          <w:szCs w:val="28"/>
        </w:rPr>
      </w:pPr>
      <w:r>
        <w:rPr>
          <w:rFonts w:hint="eastAsia" w:ascii="宋体" w:hAnsi="宋体" w:cs="宋体"/>
          <w:b/>
          <w:color w:val="auto"/>
          <w:sz w:val="28"/>
          <w:szCs w:val="28"/>
        </w:rPr>
        <w:t>（二）采购人对供应商履行合同所必须的设备和专业技术能力无特殊要求，可不提供证明材料；</w:t>
      </w:r>
    </w:p>
    <w:p>
      <w:pPr>
        <w:adjustRightInd w:val="0"/>
        <w:spacing w:line="360" w:lineRule="auto"/>
        <w:ind w:firstLine="565" w:firstLineChars="201"/>
        <w:rPr>
          <w:rFonts w:ascii="宋体" w:hAnsi="宋体" w:cs="宋体"/>
          <w:b/>
          <w:color w:val="auto"/>
          <w:sz w:val="28"/>
          <w:szCs w:val="28"/>
        </w:rPr>
      </w:pPr>
      <w:r>
        <w:rPr>
          <w:rFonts w:hint="eastAsia" w:ascii="宋体" w:hAnsi="宋体" w:cs="宋体"/>
          <w:b/>
          <w:color w:val="auto"/>
          <w:sz w:val="28"/>
          <w:szCs w:val="28"/>
        </w:rPr>
        <w:t>（三）采购人对法律、行政法规规定的其他条件无特殊要求，供应商可不提供其他证明材料；</w:t>
      </w:r>
    </w:p>
    <w:p>
      <w:pPr>
        <w:adjustRightInd w:val="0"/>
        <w:spacing w:line="360" w:lineRule="auto"/>
        <w:ind w:firstLine="565" w:firstLineChars="201"/>
        <w:rPr>
          <w:rFonts w:ascii="宋体" w:hAnsi="宋体" w:cs="宋体"/>
          <w:bCs/>
          <w:color w:val="auto"/>
          <w:sz w:val="28"/>
          <w:szCs w:val="28"/>
        </w:rPr>
      </w:pPr>
      <w:r>
        <w:rPr>
          <w:rFonts w:hint="eastAsia" w:ascii="宋体" w:hAnsi="宋体" w:cs="宋体"/>
          <w:b/>
          <w:color w:val="auto"/>
          <w:sz w:val="28"/>
          <w:szCs w:val="28"/>
        </w:rPr>
        <w:t>（四）由省级以上监狱管理局、戒毒管理局（含新疆生产建设兵团）出具的供应商属于监狱企业的证明文件复印件（说明：提供了《中小企业声明函》或《残疾人福利性单位声明函》的不需提供）。</w:t>
      </w:r>
    </w:p>
    <w:p>
      <w:pPr>
        <w:adjustRightInd w:val="0"/>
        <w:spacing w:line="360" w:lineRule="auto"/>
        <w:ind w:firstLine="281" w:firstLineChars="100"/>
        <w:rPr>
          <w:rFonts w:ascii="宋体" w:hAnsi="宋体" w:cs="宋体"/>
          <w:b/>
          <w:color w:val="auto"/>
          <w:sz w:val="28"/>
          <w:szCs w:val="28"/>
        </w:rPr>
      </w:pPr>
    </w:p>
    <w:p>
      <w:pPr>
        <w:adjustRightInd w:val="0"/>
        <w:spacing w:line="360" w:lineRule="auto"/>
        <w:ind w:firstLine="280" w:firstLineChars="100"/>
        <w:rPr>
          <w:rFonts w:ascii="宋体" w:hAnsi="宋体" w:cs="宋体"/>
          <w:bCs/>
          <w:color w:val="auto"/>
          <w:sz w:val="28"/>
          <w:szCs w:val="28"/>
        </w:rPr>
      </w:pPr>
    </w:p>
    <w:p>
      <w:pPr>
        <w:adjustRightInd w:val="0"/>
        <w:spacing w:line="360" w:lineRule="auto"/>
        <w:ind w:firstLine="280" w:firstLineChars="100"/>
        <w:rPr>
          <w:rFonts w:ascii="宋体" w:hAnsi="宋体" w:cs="宋体"/>
          <w:bCs/>
          <w:color w:val="auto"/>
          <w:sz w:val="28"/>
          <w:szCs w:val="28"/>
        </w:rPr>
      </w:pPr>
    </w:p>
    <w:p>
      <w:pPr>
        <w:adjustRightInd w:val="0"/>
        <w:spacing w:line="360" w:lineRule="auto"/>
        <w:ind w:firstLine="280" w:firstLineChars="100"/>
        <w:rPr>
          <w:rFonts w:ascii="宋体" w:hAnsi="宋体" w:cs="宋体"/>
          <w:bCs/>
          <w:color w:val="auto"/>
          <w:sz w:val="28"/>
          <w:szCs w:val="28"/>
        </w:rPr>
      </w:pPr>
    </w:p>
    <w:p>
      <w:pPr>
        <w:adjustRightInd w:val="0"/>
        <w:spacing w:line="360" w:lineRule="auto"/>
        <w:ind w:firstLine="280" w:firstLineChars="100"/>
        <w:rPr>
          <w:rFonts w:ascii="宋体" w:hAnsi="宋体" w:cs="宋体"/>
          <w:bCs/>
          <w:color w:val="auto"/>
          <w:sz w:val="28"/>
          <w:szCs w:val="28"/>
        </w:rPr>
      </w:pPr>
    </w:p>
    <w:p>
      <w:pPr>
        <w:adjustRightInd w:val="0"/>
        <w:spacing w:line="360" w:lineRule="auto"/>
        <w:ind w:firstLine="280" w:firstLineChars="100"/>
        <w:rPr>
          <w:rFonts w:ascii="宋体" w:hAnsi="宋体" w:cs="宋体"/>
          <w:bCs/>
          <w:color w:val="auto"/>
          <w:sz w:val="28"/>
          <w:szCs w:val="28"/>
        </w:rPr>
      </w:pPr>
    </w:p>
    <w:p>
      <w:pPr>
        <w:adjustRightInd w:val="0"/>
        <w:spacing w:line="360" w:lineRule="auto"/>
        <w:ind w:firstLine="280" w:firstLineChars="100"/>
        <w:rPr>
          <w:rFonts w:ascii="宋体" w:hAnsi="宋体" w:cs="宋体"/>
          <w:bCs/>
          <w:color w:val="auto"/>
          <w:sz w:val="28"/>
          <w:szCs w:val="28"/>
        </w:rPr>
      </w:pPr>
    </w:p>
    <w:p>
      <w:pPr>
        <w:rPr>
          <w:rFonts w:ascii="宋体" w:hAnsi="宋体" w:cs="宋体"/>
          <w:bCs/>
          <w:color w:val="auto"/>
          <w:sz w:val="28"/>
          <w:szCs w:val="28"/>
        </w:rPr>
      </w:pPr>
      <w:r>
        <w:rPr>
          <w:rFonts w:hint="eastAsia" w:ascii="宋体" w:hAnsi="宋体" w:cs="宋体"/>
          <w:bCs/>
          <w:color w:val="auto"/>
          <w:sz w:val="28"/>
          <w:szCs w:val="28"/>
        </w:rPr>
        <w:br w:type="page"/>
      </w:r>
    </w:p>
    <w:p>
      <w:pPr>
        <w:pStyle w:val="4"/>
        <w:numPr>
          <w:ilvl w:val="1"/>
          <w:numId w:val="6"/>
        </w:numPr>
        <w:tabs>
          <w:tab w:val="left" w:pos="426"/>
          <w:tab w:val="left" w:pos="567"/>
        </w:tabs>
        <w:spacing w:before="0" w:after="200"/>
        <w:ind w:left="1985" w:hanging="1985"/>
        <w:jc w:val="both"/>
        <w:rPr>
          <w:color w:val="auto"/>
        </w:rPr>
      </w:pPr>
      <w:bookmarkStart w:id="111" w:name="_Toc58943337"/>
      <w:bookmarkStart w:id="112" w:name="_Toc26778"/>
      <w:bookmarkStart w:id="113" w:name="_Toc32041"/>
      <w:bookmarkStart w:id="114" w:name="_Toc448403805"/>
      <w:bookmarkStart w:id="115" w:name="_Toc21902"/>
      <w:r>
        <w:rPr>
          <w:rFonts w:hint="eastAsia"/>
          <w:color w:val="auto"/>
        </w:rPr>
        <w:t>技术、服务性响应文件格式</w:t>
      </w:r>
      <w:bookmarkEnd w:id="111"/>
      <w:bookmarkEnd w:id="112"/>
      <w:bookmarkEnd w:id="113"/>
      <w:bookmarkEnd w:id="114"/>
      <w:bookmarkEnd w:id="115"/>
    </w:p>
    <w:p>
      <w:pPr>
        <w:pStyle w:val="5"/>
        <w:numPr>
          <w:ilvl w:val="2"/>
          <w:numId w:val="6"/>
        </w:numPr>
        <w:tabs>
          <w:tab w:val="left" w:pos="709"/>
        </w:tabs>
        <w:spacing w:after="200"/>
        <w:ind w:left="1135" w:hanging="1135"/>
        <w:jc w:val="left"/>
        <w:rPr>
          <w:color w:val="auto"/>
        </w:rPr>
      </w:pPr>
      <w:r>
        <w:rPr>
          <w:rFonts w:hint="eastAsia"/>
          <w:color w:val="auto"/>
        </w:rPr>
        <w:t>技术、服务性响应文件封面格式</w:t>
      </w:r>
    </w:p>
    <w:p>
      <w:pPr>
        <w:spacing w:line="360" w:lineRule="auto"/>
        <w:jc w:val="center"/>
        <w:rPr>
          <w:rFonts w:ascii="宋体" w:hAnsi="宋体" w:cs="宋体"/>
          <w:color w:val="auto"/>
          <w:spacing w:val="78"/>
          <w:sz w:val="96"/>
          <w:szCs w:val="120"/>
        </w:rPr>
      </w:pPr>
    </w:p>
    <w:p>
      <w:pPr>
        <w:spacing w:line="360" w:lineRule="auto"/>
        <w:jc w:val="center"/>
        <w:rPr>
          <w:rFonts w:ascii="宋体" w:hAnsi="宋体" w:cs="宋体"/>
          <w:color w:val="auto"/>
          <w:spacing w:val="78"/>
          <w:sz w:val="96"/>
          <w:szCs w:val="120"/>
        </w:rPr>
      </w:pPr>
    </w:p>
    <w:p>
      <w:pPr>
        <w:spacing w:line="360" w:lineRule="auto"/>
        <w:jc w:val="center"/>
        <w:rPr>
          <w:rFonts w:ascii="宋体" w:hAnsi="宋体" w:cs="宋体"/>
          <w:color w:val="auto"/>
          <w:spacing w:val="78"/>
          <w:sz w:val="96"/>
          <w:szCs w:val="120"/>
        </w:rPr>
      </w:pPr>
      <w:r>
        <w:rPr>
          <w:rFonts w:hint="eastAsia" w:ascii="宋体" w:hAnsi="宋体" w:cs="宋体"/>
          <w:color w:val="auto"/>
          <w:spacing w:val="78"/>
          <w:sz w:val="56"/>
          <w:szCs w:val="120"/>
        </w:rPr>
        <w:t>技术、服务性响应文件</w:t>
      </w:r>
    </w:p>
    <w:p>
      <w:pPr>
        <w:rPr>
          <w:rFonts w:ascii="宋体" w:hAnsi="宋体" w:cs="宋体"/>
          <w:color w:val="auto"/>
        </w:rPr>
      </w:pPr>
    </w:p>
    <w:p>
      <w:pPr>
        <w:rPr>
          <w:rFonts w:ascii="宋体" w:hAnsi="宋体" w:cs="宋体"/>
          <w:color w:val="auto"/>
        </w:rPr>
      </w:pPr>
    </w:p>
    <w:p>
      <w:pPr>
        <w:rPr>
          <w:rFonts w:ascii="宋体" w:hAnsi="宋体" w:cs="宋体"/>
          <w:color w:val="auto"/>
        </w:rPr>
      </w:pPr>
    </w:p>
    <w:p>
      <w:pPr>
        <w:spacing w:line="360" w:lineRule="auto"/>
        <w:jc w:val="center"/>
        <w:rPr>
          <w:rFonts w:ascii="宋体" w:hAnsi="宋体" w:cs="宋体"/>
          <w:bCs/>
          <w:color w:val="auto"/>
          <w:sz w:val="36"/>
        </w:rPr>
      </w:pPr>
    </w:p>
    <w:p>
      <w:pPr>
        <w:spacing w:line="360" w:lineRule="auto"/>
        <w:jc w:val="center"/>
        <w:rPr>
          <w:rFonts w:ascii="宋体" w:hAnsi="宋体" w:cs="宋体"/>
          <w:bCs/>
          <w:color w:val="auto"/>
          <w:sz w:val="36"/>
        </w:rPr>
      </w:pPr>
    </w:p>
    <w:p>
      <w:pPr>
        <w:spacing w:line="360" w:lineRule="auto"/>
        <w:jc w:val="center"/>
        <w:rPr>
          <w:rFonts w:ascii="宋体" w:hAnsi="宋体" w:cs="宋体"/>
          <w:bCs/>
          <w:color w:val="auto"/>
          <w:sz w:val="36"/>
        </w:rPr>
      </w:pPr>
    </w:p>
    <w:p>
      <w:pPr>
        <w:spacing w:line="360" w:lineRule="auto"/>
        <w:ind w:left="1751" w:hanging="1751" w:hangingChars="545"/>
        <w:rPr>
          <w:rFonts w:ascii="宋体" w:hAnsi="宋体" w:cs="宋体"/>
          <w:b/>
          <w:bCs/>
          <w:color w:val="auto"/>
          <w:sz w:val="32"/>
          <w:szCs w:val="32"/>
        </w:rPr>
      </w:pPr>
      <w:r>
        <w:rPr>
          <w:rFonts w:hint="eastAsia" w:ascii="宋体" w:hAnsi="宋体" w:cs="宋体"/>
          <w:b/>
          <w:bCs/>
          <w:color w:val="auto"/>
          <w:sz w:val="32"/>
          <w:szCs w:val="32"/>
        </w:rPr>
        <w:t>项目名称：</w:t>
      </w:r>
      <w:r>
        <w:rPr>
          <w:rFonts w:hint="eastAsia" w:ascii="宋体" w:hAnsi="宋体" w:cs="宋体"/>
          <w:b/>
          <w:color w:val="auto"/>
          <w:sz w:val="28"/>
          <w:szCs w:val="28"/>
        </w:rPr>
        <w:t>成都东部新区贾家初级中学LED显示屏采购项目</w:t>
      </w:r>
    </w:p>
    <w:p>
      <w:pPr>
        <w:spacing w:line="360" w:lineRule="auto"/>
        <w:rPr>
          <w:rFonts w:hint="eastAsia" w:ascii="宋体" w:hAnsi="宋体" w:eastAsia="宋体" w:cs="宋体"/>
          <w:b/>
          <w:color w:val="auto"/>
          <w:sz w:val="32"/>
          <w:szCs w:val="32"/>
          <w:u w:val="single"/>
          <w:lang w:eastAsia="zh-CN"/>
        </w:rPr>
      </w:pPr>
      <w:r>
        <w:rPr>
          <w:rFonts w:hint="eastAsia" w:ascii="宋体" w:hAnsi="宋体" w:cs="宋体"/>
          <w:b/>
          <w:bCs/>
          <w:color w:val="auto"/>
          <w:sz w:val="32"/>
          <w:szCs w:val="32"/>
        </w:rPr>
        <w:t>项目编号：</w:t>
      </w:r>
      <w:r>
        <w:rPr>
          <w:rFonts w:hint="eastAsia" w:ascii="宋体" w:hAnsi="宋体" w:cs="宋体"/>
          <w:b/>
          <w:color w:val="auto"/>
          <w:sz w:val="28"/>
          <w:szCs w:val="28"/>
          <w:lang w:eastAsia="zh-CN"/>
        </w:rPr>
        <w:t>东部新区政采（2021）A0036号</w:t>
      </w:r>
    </w:p>
    <w:p>
      <w:pPr>
        <w:spacing w:line="360" w:lineRule="auto"/>
        <w:rPr>
          <w:rFonts w:ascii="宋体" w:hAnsi="宋体" w:cs="宋体"/>
          <w:b/>
          <w:bCs/>
          <w:color w:val="auto"/>
          <w:sz w:val="32"/>
          <w:szCs w:val="32"/>
        </w:rPr>
      </w:pPr>
    </w:p>
    <w:p>
      <w:pPr>
        <w:spacing w:line="360" w:lineRule="auto"/>
        <w:rPr>
          <w:rFonts w:ascii="宋体" w:hAnsi="宋体" w:cs="宋体"/>
          <w:b/>
          <w:bCs/>
          <w:color w:val="auto"/>
          <w:sz w:val="32"/>
          <w:szCs w:val="32"/>
        </w:rPr>
      </w:pPr>
    </w:p>
    <w:p>
      <w:pPr>
        <w:spacing w:line="360" w:lineRule="auto"/>
        <w:rPr>
          <w:rFonts w:ascii="宋体" w:hAnsi="宋体" w:cs="宋体"/>
          <w:b/>
          <w:bCs/>
          <w:color w:val="auto"/>
          <w:sz w:val="32"/>
          <w:szCs w:val="32"/>
        </w:rPr>
      </w:pPr>
    </w:p>
    <w:p>
      <w:pPr>
        <w:spacing w:line="360" w:lineRule="auto"/>
        <w:ind w:firstLine="630" w:firstLineChars="196"/>
        <w:rPr>
          <w:rFonts w:ascii="宋体" w:hAnsi="宋体" w:cs="宋体"/>
          <w:b/>
          <w:bCs/>
          <w:color w:val="auto"/>
          <w:sz w:val="32"/>
          <w:szCs w:val="32"/>
        </w:rPr>
      </w:pPr>
      <w:r>
        <w:rPr>
          <w:rFonts w:hint="eastAsia" w:ascii="宋体" w:hAnsi="宋体" w:cs="宋体"/>
          <w:b/>
          <w:bCs/>
          <w:color w:val="auto"/>
          <w:sz w:val="32"/>
          <w:szCs w:val="32"/>
        </w:rPr>
        <w:t>供应商名称：XXXX</w:t>
      </w:r>
    </w:p>
    <w:p>
      <w:pPr>
        <w:spacing w:line="360" w:lineRule="auto"/>
        <w:ind w:firstLine="565" w:firstLineChars="176"/>
        <w:rPr>
          <w:rFonts w:ascii="宋体" w:hAnsi="宋体" w:cs="宋体"/>
          <w:b/>
          <w:bCs/>
          <w:color w:val="auto"/>
          <w:sz w:val="32"/>
          <w:szCs w:val="32"/>
        </w:rPr>
      </w:pPr>
      <w:r>
        <w:rPr>
          <w:rFonts w:hint="eastAsia" w:ascii="宋体" w:hAnsi="宋体" w:cs="宋体"/>
          <w:b/>
          <w:bCs/>
          <w:color w:val="auto"/>
          <w:sz w:val="32"/>
          <w:szCs w:val="32"/>
        </w:rPr>
        <w:t>日      期：202X年XX月XX日</w:t>
      </w:r>
    </w:p>
    <w:p>
      <w:pPr>
        <w:rPr>
          <w:rFonts w:ascii="宋体" w:hAnsi="宋体" w:cs="宋体"/>
          <w:b/>
          <w:color w:val="auto"/>
          <w:sz w:val="28"/>
          <w:szCs w:val="28"/>
        </w:rPr>
      </w:pPr>
      <w:r>
        <w:rPr>
          <w:rFonts w:hint="eastAsia" w:ascii="宋体" w:hAnsi="宋体" w:cs="宋体"/>
          <w:b/>
          <w:color w:val="auto"/>
          <w:sz w:val="28"/>
          <w:szCs w:val="28"/>
        </w:rPr>
        <w:br w:type="page"/>
      </w:r>
    </w:p>
    <w:bookmarkEnd w:id="110"/>
    <w:p>
      <w:pPr>
        <w:pStyle w:val="5"/>
        <w:numPr>
          <w:ilvl w:val="2"/>
          <w:numId w:val="6"/>
        </w:numPr>
        <w:tabs>
          <w:tab w:val="left" w:pos="709"/>
        </w:tabs>
        <w:spacing w:after="200"/>
        <w:ind w:left="1135" w:hanging="1135"/>
        <w:jc w:val="left"/>
        <w:rPr>
          <w:color w:val="auto"/>
        </w:rPr>
      </w:pPr>
      <w:bookmarkStart w:id="116" w:name="_Toc320698766"/>
      <w:bookmarkStart w:id="117" w:name="_Toc386099146"/>
      <w:r>
        <w:rPr>
          <w:rFonts w:hint="eastAsia"/>
          <w:color w:val="auto"/>
        </w:rPr>
        <w:t>报价表</w:t>
      </w:r>
    </w:p>
    <w:p>
      <w:pPr>
        <w:spacing w:line="360" w:lineRule="auto"/>
        <w:rPr>
          <w:rFonts w:ascii="宋体" w:hAnsi="宋体" w:cs="宋体"/>
          <w:b/>
          <w:color w:val="auto"/>
          <w:sz w:val="28"/>
          <w:szCs w:val="28"/>
        </w:rPr>
      </w:pPr>
      <w:r>
        <w:rPr>
          <w:rFonts w:hint="eastAsia" w:ascii="宋体" w:hAnsi="宋体" w:cs="宋体"/>
          <w:b/>
          <w:color w:val="auto"/>
          <w:sz w:val="28"/>
          <w:szCs w:val="28"/>
        </w:rPr>
        <w:t>项目名称：</w:t>
      </w:r>
      <w:r>
        <w:rPr>
          <w:rFonts w:hint="eastAsia" w:ascii="宋体" w:hAnsi="宋体" w:cs="宋体"/>
          <w:b/>
          <w:color w:val="auto"/>
          <w:spacing w:val="-20"/>
          <w:sz w:val="28"/>
          <w:szCs w:val="28"/>
          <w:u w:val="single"/>
        </w:rPr>
        <w:t xml:space="preserve"> 成都东部新区贾家初级中学LED显示屏采购项目</w:t>
      </w:r>
    </w:p>
    <w:p>
      <w:pPr>
        <w:spacing w:line="360" w:lineRule="auto"/>
        <w:rPr>
          <w:rFonts w:hint="eastAsia" w:ascii="宋体" w:hAnsi="宋体" w:eastAsia="宋体" w:cs="宋体"/>
          <w:b/>
          <w:color w:val="auto"/>
          <w:sz w:val="28"/>
          <w:szCs w:val="28"/>
          <w:u w:val="single"/>
          <w:lang w:eastAsia="zh-CN"/>
        </w:rPr>
      </w:pPr>
      <w:r>
        <w:rPr>
          <w:rFonts w:hint="eastAsia" w:ascii="宋体" w:hAnsi="宋体" w:cs="宋体"/>
          <w:b/>
          <w:color w:val="auto"/>
          <w:sz w:val="28"/>
          <w:szCs w:val="28"/>
        </w:rPr>
        <w:t>项目编号：</w:t>
      </w:r>
      <w:r>
        <w:rPr>
          <w:rFonts w:hint="eastAsia" w:ascii="宋体" w:hAnsi="宋体" w:cs="宋体"/>
          <w:b/>
          <w:color w:val="auto"/>
          <w:sz w:val="28"/>
          <w:szCs w:val="28"/>
          <w:u w:val="single"/>
          <w:lang w:eastAsia="zh-CN"/>
        </w:rPr>
        <w:t>东部新区政采（2021）A0036号</w:t>
      </w:r>
    </w:p>
    <w:p>
      <w:pPr>
        <w:pStyle w:val="54"/>
        <w:numPr>
          <w:ilvl w:val="4"/>
          <w:numId w:val="0"/>
        </w:numPr>
        <w:rPr>
          <w:rFonts w:hint="eastAsia"/>
        </w:rPr>
      </w:pPr>
    </w:p>
    <w:tbl>
      <w:tblPr>
        <w:tblStyle w:val="41"/>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Pr>
          <w:p>
            <w:pPr>
              <w:tabs>
                <w:tab w:val="left" w:pos="1134"/>
              </w:tabs>
              <w:spacing w:line="560" w:lineRule="exact"/>
              <w:jc w:val="center"/>
              <w:rPr>
                <w:rFonts w:hint="eastAsia" w:ascii="宋体" w:hAnsi="宋体" w:eastAsia="宋体" w:cs="宋体"/>
                <w:color w:val="auto"/>
                <w:sz w:val="28"/>
                <w:szCs w:val="28"/>
              </w:rPr>
            </w:pPr>
            <w:r>
              <w:rPr>
                <w:rFonts w:hint="eastAsia" w:ascii="宋体" w:hAnsi="宋体" w:cs="宋体"/>
                <w:color w:val="auto"/>
                <w:sz w:val="28"/>
                <w:szCs w:val="28"/>
                <w:lang w:val="en-US" w:eastAsia="zh-CN"/>
              </w:rPr>
              <w:t>最终</w:t>
            </w:r>
            <w:r>
              <w:rPr>
                <w:rFonts w:hint="eastAsia" w:ascii="宋体" w:hAnsi="宋体" w:eastAsia="宋体" w:cs="宋体"/>
                <w:color w:val="auto"/>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Pr>
          <w:p>
            <w:pPr>
              <w:tabs>
                <w:tab w:val="left" w:pos="1134"/>
              </w:tabs>
              <w:spacing w:line="560" w:lineRule="exact"/>
              <w:rPr>
                <w:rFonts w:hint="eastAsia" w:ascii="宋体" w:hAnsi="宋体" w:eastAsia="宋体" w:cs="宋体"/>
                <w:color w:val="auto"/>
                <w:sz w:val="28"/>
                <w:szCs w:val="28"/>
              </w:rPr>
            </w:pPr>
          </w:p>
        </w:tc>
      </w:tr>
    </w:tbl>
    <w:p>
      <w:pPr>
        <w:spacing w:line="360" w:lineRule="auto"/>
        <w:rPr>
          <w:rFonts w:ascii="宋体" w:hAnsi="宋体" w:cs="宋体"/>
          <w:b/>
          <w:color w:val="auto"/>
          <w:sz w:val="28"/>
          <w:szCs w:val="28"/>
          <w:u w:val="single"/>
        </w:rPr>
      </w:pPr>
    </w:p>
    <w:p>
      <w:pPr>
        <w:tabs>
          <w:tab w:val="left" w:pos="1134"/>
        </w:tabs>
        <w:spacing w:line="560" w:lineRule="exact"/>
        <w:ind w:firstLine="425" w:firstLineChars="152"/>
        <w:rPr>
          <w:rFonts w:ascii="宋体" w:hAnsi="宋体" w:cs="宋体"/>
          <w:color w:val="auto"/>
          <w:sz w:val="28"/>
          <w:szCs w:val="28"/>
        </w:rPr>
      </w:pPr>
    </w:p>
    <w:p>
      <w:pPr>
        <w:ind w:firstLine="420" w:firstLineChars="200"/>
        <w:rPr>
          <w:rFonts w:ascii="宋体" w:hAnsi="宋体" w:cs="宋体"/>
          <w:color w:val="auto"/>
        </w:rPr>
      </w:pPr>
    </w:p>
    <w:p>
      <w:pPr>
        <w:pStyle w:val="205"/>
        <w:ind w:firstLine="562" w:firstLineChars="200"/>
        <w:rPr>
          <w:rFonts w:ascii="宋体" w:hAnsi="宋体" w:cs="宋体"/>
          <w:b/>
          <w:color w:val="auto"/>
          <w:sz w:val="28"/>
        </w:rPr>
      </w:pPr>
      <w:r>
        <w:rPr>
          <w:rFonts w:hint="eastAsia" w:ascii="宋体" w:hAnsi="宋体" w:cs="宋体"/>
          <w:b/>
          <w:color w:val="auto"/>
          <w:sz w:val="28"/>
        </w:rPr>
        <w:t>说明：1、报价应是包括谈判文件规定的全部响应内容的报价。</w:t>
      </w:r>
    </w:p>
    <w:p>
      <w:pPr>
        <w:tabs>
          <w:tab w:val="left" w:pos="1134"/>
        </w:tabs>
        <w:spacing w:line="560" w:lineRule="exact"/>
        <w:ind w:firstLine="427" w:firstLineChars="152"/>
        <w:rPr>
          <w:rFonts w:ascii="宋体" w:hAnsi="宋体" w:cs="宋体"/>
          <w:b/>
          <w:bCs/>
          <w:color w:val="auto"/>
          <w:sz w:val="28"/>
        </w:rPr>
      </w:pPr>
      <w:r>
        <w:rPr>
          <w:rFonts w:hint="eastAsia" w:ascii="宋体" w:hAnsi="宋体" w:cs="宋体"/>
          <w:b/>
          <w:color w:val="auto"/>
          <w:sz w:val="28"/>
          <w:szCs w:val="28"/>
        </w:rPr>
        <w:t>2、报价以供应商在政府采购云平台开标一览表中填写的报价为准。</w:t>
      </w:r>
    </w:p>
    <w:p>
      <w:pPr>
        <w:pStyle w:val="5"/>
        <w:numPr>
          <w:ilvl w:val="2"/>
          <w:numId w:val="6"/>
        </w:numPr>
        <w:tabs>
          <w:tab w:val="left" w:pos="709"/>
        </w:tabs>
        <w:spacing w:after="200"/>
        <w:ind w:left="1135" w:hanging="1135"/>
        <w:jc w:val="left"/>
        <w:rPr>
          <w:color w:val="auto"/>
        </w:rPr>
        <w:sectPr>
          <w:footerReference r:id="rId4" w:type="default"/>
          <w:pgSz w:w="11906" w:h="16838"/>
          <w:pgMar w:top="1440" w:right="1800" w:bottom="1440" w:left="1800" w:header="851" w:footer="992" w:gutter="0"/>
          <w:cols w:space="425" w:num="1"/>
          <w:docGrid w:type="lines" w:linePitch="312" w:charSpace="0"/>
        </w:sectPr>
      </w:pPr>
    </w:p>
    <w:p>
      <w:pPr>
        <w:pStyle w:val="5"/>
        <w:numPr>
          <w:ilvl w:val="2"/>
          <w:numId w:val="6"/>
        </w:numPr>
        <w:tabs>
          <w:tab w:val="left" w:pos="709"/>
        </w:tabs>
        <w:spacing w:after="200"/>
        <w:ind w:left="1135" w:hanging="1135"/>
        <w:jc w:val="left"/>
        <w:rPr>
          <w:color w:val="auto"/>
        </w:rPr>
      </w:pPr>
      <w:r>
        <w:rPr>
          <w:rFonts w:hint="eastAsia"/>
          <w:color w:val="auto"/>
          <w:lang w:val="en-US" w:eastAsia="zh-CN"/>
        </w:rPr>
        <w:t>分项</w:t>
      </w:r>
      <w:r>
        <w:rPr>
          <w:rFonts w:hint="eastAsia"/>
          <w:color w:val="auto"/>
        </w:rPr>
        <w:t>报价</w:t>
      </w:r>
      <w:r>
        <w:rPr>
          <w:rFonts w:hint="eastAsia"/>
          <w:color w:val="auto"/>
          <w:lang w:val="en-US" w:eastAsia="zh-CN"/>
        </w:rPr>
        <w:t>明细</w:t>
      </w:r>
      <w:r>
        <w:rPr>
          <w:rFonts w:hint="eastAsia"/>
          <w:color w:val="auto"/>
        </w:rPr>
        <w:t>表</w:t>
      </w:r>
    </w:p>
    <w:p>
      <w:pPr>
        <w:spacing w:line="360" w:lineRule="auto"/>
        <w:rPr>
          <w:rFonts w:ascii="宋体" w:hAnsi="宋体" w:cs="宋体"/>
          <w:b/>
          <w:color w:val="auto"/>
          <w:sz w:val="28"/>
          <w:szCs w:val="28"/>
        </w:rPr>
      </w:pPr>
      <w:r>
        <w:rPr>
          <w:rFonts w:hint="eastAsia" w:ascii="宋体" w:hAnsi="宋体" w:cs="宋体"/>
          <w:b/>
          <w:color w:val="auto"/>
          <w:sz w:val="28"/>
          <w:szCs w:val="28"/>
        </w:rPr>
        <w:t>项目名称：</w:t>
      </w:r>
      <w:r>
        <w:rPr>
          <w:rFonts w:hint="eastAsia" w:ascii="宋体" w:hAnsi="宋体" w:cs="宋体"/>
          <w:b/>
          <w:color w:val="auto"/>
          <w:spacing w:val="-20"/>
          <w:sz w:val="28"/>
          <w:szCs w:val="28"/>
          <w:u w:val="single"/>
        </w:rPr>
        <w:t xml:space="preserve"> 成都东部新区贾家初级中学LED显示屏采购项目</w:t>
      </w:r>
    </w:p>
    <w:p>
      <w:pPr>
        <w:spacing w:line="360" w:lineRule="auto"/>
        <w:rPr>
          <w:rFonts w:hint="eastAsia" w:eastAsia="宋体"/>
          <w:lang w:eastAsia="zh-CN"/>
        </w:rPr>
      </w:pPr>
      <w:r>
        <w:rPr>
          <w:rFonts w:hint="eastAsia" w:ascii="宋体" w:hAnsi="宋体" w:cs="宋体"/>
          <w:b/>
          <w:color w:val="auto"/>
          <w:sz w:val="28"/>
          <w:szCs w:val="28"/>
        </w:rPr>
        <w:t>项目编号：</w:t>
      </w:r>
      <w:r>
        <w:rPr>
          <w:rFonts w:hint="eastAsia" w:ascii="宋体" w:hAnsi="宋体" w:cs="宋体"/>
          <w:b/>
          <w:color w:val="auto"/>
          <w:sz w:val="28"/>
          <w:szCs w:val="28"/>
          <w:u w:val="single"/>
          <w:lang w:eastAsia="zh-CN"/>
        </w:rPr>
        <w:t>东部新区政采（2021）A0036号</w:t>
      </w:r>
    </w:p>
    <w:p>
      <w:pPr>
        <w:spacing w:line="360" w:lineRule="auto"/>
        <w:rPr>
          <w:rFonts w:ascii="宋体" w:hAnsi="宋体" w:cs="宋体"/>
          <w:b/>
          <w:color w:val="auto"/>
          <w:sz w:val="28"/>
          <w:szCs w:val="28"/>
          <w:u w:val="single"/>
        </w:rPr>
      </w:pPr>
    </w:p>
    <w:tbl>
      <w:tblPr>
        <w:tblStyle w:val="41"/>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082"/>
        <w:gridCol w:w="1137"/>
        <w:gridCol w:w="947"/>
        <w:gridCol w:w="758"/>
        <w:gridCol w:w="947"/>
        <w:gridCol w:w="947"/>
        <w:gridCol w:w="758"/>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6" w:type="dxa"/>
            <w:noWrap w:val="0"/>
            <w:vAlign w:val="center"/>
          </w:tcPr>
          <w:p>
            <w:pPr>
              <w:spacing w:line="400" w:lineRule="exact"/>
              <w:rPr>
                <w:rFonts w:hint="eastAsia" w:ascii="宋体" w:hAnsi="宋体" w:eastAsia="宋体" w:cs="宋体"/>
                <w:color w:val="auto"/>
                <w:sz w:val="28"/>
              </w:rPr>
            </w:pPr>
            <w:r>
              <w:rPr>
                <w:rFonts w:hint="eastAsia" w:ascii="宋体" w:hAnsi="宋体" w:eastAsia="宋体" w:cs="宋体"/>
                <w:color w:val="auto"/>
                <w:sz w:val="28"/>
              </w:rPr>
              <w:t>序号</w:t>
            </w:r>
          </w:p>
        </w:tc>
        <w:tc>
          <w:tcPr>
            <w:tcW w:w="2082"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lang w:eastAsia="zh-CN"/>
              </w:rPr>
              <w:t>标的名称</w:t>
            </w:r>
          </w:p>
        </w:tc>
        <w:tc>
          <w:tcPr>
            <w:tcW w:w="1137" w:type="dxa"/>
            <w:noWrap w:val="0"/>
            <w:vAlign w:val="center"/>
          </w:tcPr>
          <w:p>
            <w:pPr>
              <w:spacing w:line="400" w:lineRule="exact"/>
              <w:rPr>
                <w:rFonts w:hint="eastAsia" w:ascii="宋体" w:hAnsi="宋体" w:eastAsia="宋体" w:cs="宋体"/>
                <w:color w:val="auto"/>
                <w:sz w:val="28"/>
              </w:rPr>
            </w:pPr>
            <w:r>
              <w:rPr>
                <w:rFonts w:hint="eastAsia" w:ascii="宋体" w:hAnsi="宋体" w:eastAsia="宋体" w:cs="宋体"/>
                <w:color w:val="auto"/>
                <w:sz w:val="28"/>
              </w:rPr>
              <w:t>规格型号</w:t>
            </w:r>
          </w:p>
        </w:tc>
        <w:tc>
          <w:tcPr>
            <w:tcW w:w="947" w:type="dxa"/>
            <w:noWrap w:val="0"/>
            <w:vAlign w:val="center"/>
          </w:tcPr>
          <w:p>
            <w:pPr>
              <w:spacing w:line="400" w:lineRule="exact"/>
              <w:rPr>
                <w:rFonts w:hint="eastAsia" w:ascii="宋体" w:hAnsi="宋体" w:eastAsia="宋体" w:cs="宋体"/>
                <w:color w:val="auto"/>
                <w:sz w:val="28"/>
              </w:rPr>
            </w:pPr>
            <w:r>
              <w:rPr>
                <w:rFonts w:hint="eastAsia" w:ascii="宋体" w:hAnsi="宋体" w:eastAsia="宋体" w:cs="宋体"/>
                <w:color w:val="auto"/>
                <w:sz w:val="28"/>
              </w:rPr>
              <w:t>品牌</w:t>
            </w:r>
          </w:p>
        </w:tc>
        <w:tc>
          <w:tcPr>
            <w:tcW w:w="758" w:type="dxa"/>
            <w:noWrap w:val="0"/>
            <w:vAlign w:val="center"/>
          </w:tcPr>
          <w:p>
            <w:pPr>
              <w:spacing w:line="400" w:lineRule="exact"/>
              <w:rPr>
                <w:rFonts w:hint="eastAsia" w:ascii="宋体" w:hAnsi="宋体" w:eastAsia="宋体" w:cs="宋体"/>
                <w:color w:val="auto"/>
                <w:sz w:val="28"/>
              </w:rPr>
            </w:pPr>
            <w:r>
              <w:rPr>
                <w:rFonts w:hint="eastAsia" w:ascii="宋体" w:hAnsi="宋体" w:eastAsia="宋体" w:cs="宋体"/>
                <w:color w:val="auto"/>
                <w:sz w:val="28"/>
              </w:rPr>
              <w:t>单位</w:t>
            </w:r>
          </w:p>
        </w:tc>
        <w:tc>
          <w:tcPr>
            <w:tcW w:w="947" w:type="dxa"/>
            <w:noWrap w:val="0"/>
            <w:vAlign w:val="center"/>
          </w:tcPr>
          <w:p>
            <w:pPr>
              <w:spacing w:line="400" w:lineRule="exact"/>
              <w:rPr>
                <w:rFonts w:hint="eastAsia" w:ascii="宋体" w:hAnsi="宋体" w:eastAsia="宋体" w:cs="宋体"/>
                <w:color w:val="auto"/>
                <w:sz w:val="28"/>
              </w:rPr>
            </w:pPr>
            <w:r>
              <w:rPr>
                <w:rFonts w:hint="eastAsia" w:ascii="宋体" w:hAnsi="宋体" w:eastAsia="宋体" w:cs="宋体"/>
                <w:color w:val="auto"/>
                <w:sz w:val="28"/>
              </w:rPr>
              <w:t>数量</w:t>
            </w:r>
          </w:p>
        </w:tc>
        <w:tc>
          <w:tcPr>
            <w:tcW w:w="947" w:type="dxa"/>
            <w:noWrap w:val="0"/>
            <w:vAlign w:val="center"/>
          </w:tcPr>
          <w:p>
            <w:pPr>
              <w:spacing w:line="400" w:lineRule="exact"/>
              <w:rPr>
                <w:rFonts w:hint="eastAsia" w:ascii="宋体" w:hAnsi="宋体" w:eastAsia="宋体" w:cs="宋体"/>
                <w:color w:val="auto"/>
                <w:sz w:val="28"/>
                <w:lang w:eastAsia="zh-CN"/>
              </w:rPr>
            </w:pPr>
            <w:r>
              <w:rPr>
                <w:rFonts w:hint="eastAsia" w:ascii="宋体" w:hAnsi="宋体" w:eastAsia="宋体" w:cs="宋体"/>
                <w:color w:val="auto"/>
                <w:sz w:val="28"/>
              </w:rPr>
              <w:t>单价</w:t>
            </w:r>
            <w:r>
              <w:rPr>
                <w:rFonts w:hint="eastAsia" w:ascii="宋体" w:hAnsi="宋体" w:cs="宋体"/>
                <w:color w:val="auto"/>
                <w:sz w:val="28"/>
                <w:lang w:eastAsia="zh-CN"/>
              </w:rPr>
              <w:t>（</w:t>
            </w:r>
            <w:r>
              <w:rPr>
                <w:rFonts w:hint="eastAsia" w:ascii="宋体" w:hAnsi="宋体" w:cs="宋体"/>
                <w:color w:val="auto"/>
                <w:sz w:val="28"/>
                <w:lang w:val="en-US" w:eastAsia="zh-CN"/>
              </w:rPr>
              <w:t>元</w:t>
            </w:r>
            <w:r>
              <w:rPr>
                <w:rFonts w:hint="eastAsia" w:ascii="宋体" w:hAnsi="宋体" w:cs="宋体"/>
                <w:color w:val="auto"/>
                <w:sz w:val="28"/>
                <w:lang w:eastAsia="zh-CN"/>
              </w:rPr>
              <w:t>）</w:t>
            </w:r>
          </w:p>
        </w:tc>
        <w:tc>
          <w:tcPr>
            <w:tcW w:w="758" w:type="dxa"/>
            <w:noWrap w:val="0"/>
            <w:vAlign w:val="center"/>
          </w:tcPr>
          <w:p>
            <w:pPr>
              <w:spacing w:line="400" w:lineRule="exact"/>
              <w:rPr>
                <w:rFonts w:hint="eastAsia" w:ascii="宋体" w:hAnsi="宋体" w:eastAsia="宋体" w:cs="宋体"/>
                <w:color w:val="auto"/>
                <w:sz w:val="28"/>
                <w:lang w:eastAsia="zh-CN"/>
              </w:rPr>
            </w:pPr>
            <w:r>
              <w:rPr>
                <w:rFonts w:hint="eastAsia" w:ascii="宋体" w:hAnsi="宋体" w:cs="宋体"/>
                <w:color w:val="auto"/>
                <w:sz w:val="28"/>
                <w:lang w:val="en-US" w:eastAsia="zh-CN"/>
              </w:rPr>
              <w:t>总价</w:t>
            </w:r>
            <w:r>
              <w:rPr>
                <w:rFonts w:hint="eastAsia" w:ascii="宋体" w:hAnsi="宋体" w:cs="宋体"/>
                <w:color w:val="auto"/>
                <w:sz w:val="28"/>
                <w:lang w:eastAsia="zh-CN"/>
              </w:rPr>
              <w:t>（</w:t>
            </w:r>
            <w:r>
              <w:rPr>
                <w:rFonts w:hint="eastAsia" w:ascii="宋体" w:hAnsi="宋体" w:cs="宋体"/>
                <w:color w:val="auto"/>
                <w:sz w:val="28"/>
                <w:lang w:val="en-US" w:eastAsia="zh-CN"/>
              </w:rPr>
              <w:t>元</w:t>
            </w:r>
            <w:r>
              <w:rPr>
                <w:rFonts w:hint="eastAsia" w:ascii="宋体" w:hAnsi="宋体" w:cs="宋体"/>
                <w:color w:val="auto"/>
                <w:sz w:val="28"/>
                <w:lang w:eastAsia="zh-CN"/>
              </w:rPr>
              <w:t>）</w:t>
            </w:r>
          </w:p>
        </w:tc>
        <w:tc>
          <w:tcPr>
            <w:tcW w:w="946" w:type="dxa"/>
            <w:noWrap w:val="0"/>
            <w:vAlign w:val="center"/>
          </w:tcPr>
          <w:p>
            <w:pPr>
              <w:spacing w:line="400" w:lineRule="exact"/>
              <w:rPr>
                <w:rFonts w:hint="eastAsia" w:ascii="宋体" w:hAnsi="宋体" w:eastAsia="宋体" w:cs="宋体"/>
                <w:color w:val="auto"/>
                <w:sz w:val="28"/>
              </w:rPr>
            </w:pPr>
            <w:r>
              <w:rPr>
                <w:rFonts w:hint="eastAsia" w:ascii="宋体" w:hAnsi="宋体" w:eastAsia="宋体" w:cs="宋体"/>
                <w:color w:val="auto"/>
                <w:sz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6"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1</w:t>
            </w:r>
          </w:p>
        </w:tc>
        <w:tc>
          <w:tcPr>
            <w:tcW w:w="2082"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LED显示屏</w:t>
            </w:r>
          </w:p>
        </w:tc>
        <w:tc>
          <w:tcPr>
            <w:tcW w:w="1137"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平米</w:t>
            </w:r>
          </w:p>
        </w:tc>
        <w:tc>
          <w:tcPr>
            <w:tcW w:w="947"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22</w:t>
            </w: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rPr>
                <w:rFonts w:hint="eastAsia" w:ascii="宋体" w:hAnsi="宋体" w:eastAsia="宋体" w:cs="宋体"/>
                <w:color w:val="auto"/>
                <w:sz w:val="28"/>
              </w:rPr>
            </w:pPr>
          </w:p>
        </w:tc>
        <w:tc>
          <w:tcPr>
            <w:tcW w:w="946" w:type="dxa"/>
            <w:noWrap w:val="0"/>
            <w:vAlign w:val="center"/>
          </w:tcPr>
          <w:p>
            <w:pPr>
              <w:spacing w:line="400" w:lineRule="exact"/>
              <w:rPr>
                <w:rFonts w:hint="eastAsia" w:ascii="宋体" w:hAnsi="宋体" w:eastAsia="宋体" w:cs="宋体"/>
                <w:color w:val="auto"/>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6"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2</w:t>
            </w:r>
          </w:p>
        </w:tc>
        <w:tc>
          <w:tcPr>
            <w:tcW w:w="2082" w:type="dxa"/>
            <w:noWrap w:val="0"/>
            <w:vAlign w:val="center"/>
          </w:tcPr>
          <w:p>
            <w:pPr>
              <w:spacing w:line="400" w:lineRule="exact"/>
              <w:jc w:val="center"/>
              <w:rPr>
                <w:rFonts w:ascii="宋体" w:hAnsi="宋体" w:cs="宋体"/>
                <w:color w:val="auto"/>
                <w:sz w:val="24"/>
              </w:rPr>
            </w:pPr>
            <w:r>
              <w:rPr>
                <w:rFonts w:hint="eastAsia" w:ascii="宋体" w:hAnsi="宋体" w:cs="宋体"/>
                <w:color w:val="auto"/>
                <w:sz w:val="24"/>
              </w:rPr>
              <w:t>多功能电源</w:t>
            </w:r>
          </w:p>
          <w:p>
            <w:pPr>
              <w:spacing w:line="400" w:lineRule="exact"/>
              <w:jc w:val="center"/>
              <w:rPr>
                <w:rFonts w:hint="eastAsia" w:ascii="宋体" w:hAnsi="宋体" w:eastAsia="宋体" w:cs="宋体"/>
                <w:color w:val="auto"/>
                <w:sz w:val="28"/>
              </w:rPr>
            </w:pPr>
            <w:r>
              <w:rPr>
                <w:rFonts w:hint="eastAsia" w:ascii="宋体" w:hAnsi="宋体" w:cs="宋体"/>
                <w:color w:val="auto"/>
                <w:sz w:val="24"/>
              </w:rPr>
              <w:t>（控制系统与电源二合一）</w:t>
            </w:r>
          </w:p>
        </w:tc>
        <w:tc>
          <w:tcPr>
            <w:tcW w:w="1137"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台</w:t>
            </w:r>
          </w:p>
        </w:tc>
        <w:tc>
          <w:tcPr>
            <w:tcW w:w="947"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80</w:t>
            </w: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rPr>
                <w:rFonts w:hint="eastAsia" w:ascii="宋体" w:hAnsi="宋体" w:eastAsia="宋体" w:cs="宋体"/>
                <w:color w:val="auto"/>
                <w:sz w:val="28"/>
              </w:rPr>
            </w:pPr>
          </w:p>
        </w:tc>
        <w:tc>
          <w:tcPr>
            <w:tcW w:w="946" w:type="dxa"/>
            <w:noWrap w:val="0"/>
            <w:vAlign w:val="center"/>
          </w:tcPr>
          <w:p>
            <w:pPr>
              <w:spacing w:line="400" w:lineRule="exact"/>
              <w:rPr>
                <w:rFonts w:hint="eastAsia" w:ascii="宋体" w:hAnsi="宋体" w:eastAsia="宋体" w:cs="宋体"/>
                <w:color w:val="auto"/>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6"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3</w:t>
            </w:r>
          </w:p>
        </w:tc>
        <w:tc>
          <w:tcPr>
            <w:tcW w:w="2082"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视频控制器</w:t>
            </w:r>
          </w:p>
        </w:tc>
        <w:tc>
          <w:tcPr>
            <w:tcW w:w="1137"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台</w:t>
            </w:r>
          </w:p>
        </w:tc>
        <w:tc>
          <w:tcPr>
            <w:tcW w:w="947"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1</w:t>
            </w: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rPr>
                <w:rFonts w:hint="eastAsia" w:ascii="宋体" w:hAnsi="宋体" w:eastAsia="宋体" w:cs="宋体"/>
                <w:color w:val="auto"/>
                <w:sz w:val="28"/>
              </w:rPr>
            </w:pPr>
          </w:p>
        </w:tc>
        <w:tc>
          <w:tcPr>
            <w:tcW w:w="946" w:type="dxa"/>
            <w:noWrap w:val="0"/>
            <w:vAlign w:val="center"/>
          </w:tcPr>
          <w:p>
            <w:pPr>
              <w:spacing w:line="400" w:lineRule="exact"/>
              <w:rPr>
                <w:rFonts w:hint="eastAsia" w:ascii="宋体" w:hAnsi="宋体" w:eastAsia="宋体" w:cs="宋体"/>
                <w:color w:val="auto"/>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6"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4</w:t>
            </w:r>
          </w:p>
        </w:tc>
        <w:tc>
          <w:tcPr>
            <w:tcW w:w="2082"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系统软件</w:t>
            </w:r>
          </w:p>
        </w:tc>
        <w:tc>
          <w:tcPr>
            <w:tcW w:w="1137"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套</w:t>
            </w:r>
          </w:p>
        </w:tc>
        <w:tc>
          <w:tcPr>
            <w:tcW w:w="947"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1</w:t>
            </w: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rPr>
                <w:rFonts w:hint="eastAsia" w:ascii="宋体" w:hAnsi="宋体" w:eastAsia="宋体" w:cs="宋体"/>
                <w:color w:val="auto"/>
                <w:sz w:val="28"/>
              </w:rPr>
            </w:pPr>
          </w:p>
        </w:tc>
        <w:tc>
          <w:tcPr>
            <w:tcW w:w="946" w:type="dxa"/>
            <w:noWrap w:val="0"/>
            <w:vAlign w:val="center"/>
          </w:tcPr>
          <w:p>
            <w:pPr>
              <w:spacing w:line="400" w:lineRule="exact"/>
              <w:rPr>
                <w:rFonts w:hint="eastAsia" w:ascii="宋体" w:hAnsi="宋体" w:eastAsia="宋体" w:cs="宋体"/>
                <w:color w:val="auto"/>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6"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5</w:t>
            </w:r>
          </w:p>
        </w:tc>
        <w:tc>
          <w:tcPr>
            <w:tcW w:w="2082"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钢结构</w:t>
            </w:r>
          </w:p>
        </w:tc>
        <w:tc>
          <w:tcPr>
            <w:tcW w:w="1137"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平米</w:t>
            </w:r>
          </w:p>
        </w:tc>
        <w:tc>
          <w:tcPr>
            <w:tcW w:w="947" w:type="dxa"/>
            <w:noWrap w:val="0"/>
            <w:vAlign w:val="center"/>
          </w:tcPr>
          <w:p>
            <w:pPr>
              <w:spacing w:line="400" w:lineRule="exact"/>
              <w:jc w:val="center"/>
              <w:rPr>
                <w:rFonts w:hint="eastAsia" w:ascii="宋体" w:hAnsi="宋体" w:eastAsia="宋体" w:cs="宋体"/>
                <w:color w:val="auto"/>
                <w:sz w:val="28"/>
              </w:rPr>
            </w:pPr>
            <w:r>
              <w:rPr>
                <w:rFonts w:hint="eastAsia" w:ascii="宋体" w:hAnsi="宋体" w:cs="宋体"/>
                <w:color w:val="auto"/>
                <w:sz w:val="24"/>
              </w:rPr>
              <w:t>22</w:t>
            </w: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rPr>
                <w:rFonts w:hint="eastAsia" w:ascii="宋体" w:hAnsi="宋体" w:eastAsia="宋体" w:cs="宋体"/>
                <w:color w:val="auto"/>
                <w:sz w:val="28"/>
              </w:rPr>
            </w:pPr>
          </w:p>
        </w:tc>
        <w:tc>
          <w:tcPr>
            <w:tcW w:w="946" w:type="dxa"/>
            <w:noWrap w:val="0"/>
            <w:vAlign w:val="center"/>
          </w:tcPr>
          <w:p>
            <w:pPr>
              <w:spacing w:line="400" w:lineRule="exact"/>
              <w:rPr>
                <w:rFonts w:hint="eastAsia" w:ascii="宋体" w:hAnsi="宋体" w:eastAsia="宋体" w:cs="宋体"/>
                <w:color w:val="auto"/>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6" w:type="dxa"/>
            <w:noWrap w:val="0"/>
            <w:vAlign w:val="center"/>
          </w:tcPr>
          <w:p>
            <w:pPr>
              <w:spacing w:line="400" w:lineRule="exact"/>
              <w:rPr>
                <w:rFonts w:hint="eastAsia" w:ascii="宋体" w:hAnsi="宋体" w:eastAsia="宋体" w:cs="宋体"/>
                <w:color w:val="auto"/>
                <w:sz w:val="28"/>
              </w:rPr>
            </w:pPr>
          </w:p>
        </w:tc>
        <w:tc>
          <w:tcPr>
            <w:tcW w:w="2082" w:type="dxa"/>
            <w:noWrap w:val="0"/>
            <w:vAlign w:val="center"/>
          </w:tcPr>
          <w:p>
            <w:pPr>
              <w:spacing w:line="400" w:lineRule="exact"/>
              <w:rPr>
                <w:rFonts w:hint="eastAsia" w:ascii="宋体" w:hAnsi="宋体" w:eastAsia="宋体" w:cs="宋体"/>
                <w:color w:val="auto"/>
                <w:sz w:val="28"/>
              </w:rPr>
            </w:pPr>
          </w:p>
        </w:tc>
        <w:tc>
          <w:tcPr>
            <w:tcW w:w="1137"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rPr>
                <w:rFonts w:hint="eastAsia" w:ascii="宋体" w:hAnsi="宋体" w:eastAsia="宋体" w:cs="宋体"/>
                <w:color w:val="auto"/>
                <w:sz w:val="28"/>
              </w:rPr>
            </w:pPr>
          </w:p>
        </w:tc>
        <w:tc>
          <w:tcPr>
            <w:tcW w:w="946" w:type="dxa"/>
            <w:noWrap w:val="0"/>
            <w:vAlign w:val="center"/>
          </w:tcPr>
          <w:p>
            <w:pPr>
              <w:spacing w:line="400" w:lineRule="exact"/>
              <w:rPr>
                <w:rFonts w:hint="eastAsia" w:ascii="宋体" w:hAnsi="宋体" w:eastAsia="宋体" w:cs="宋体"/>
                <w:color w:val="auto"/>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6" w:type="dxa"/>
            <w:noWrap w:val="0"/>
            <w:vAlign w:val="center"/>
          </w:tcPr>
          <w:p>
            <w:pPr>
              <w:spacing w:line="400" w:lineRule="exact"/>
              <w:rPr>
                <w:rFonts w:hint="eastAsia" w:ascii="宋体" w:hAnsi="宋体" w:eastAsia="宋体" w:cs="宋体"/>
                <w:color w:val="auto"/>
                <w:sz w:val="28"/>
              </w:rPr>
            </w:pPr>
          </w:p>
        </w:tc>
        <w:tc>
          <w:tcPr>
            <w:tcW w:w="2082" w:type="dxa"/>
            <w:noWrap w:val="0"/>
            <w:vAlign w:val="center"/>
          </w:tcPr>
          <w:p>
            <w:pPr>
              <w:spacing w:line="400" w:lineRule="exact"/>
              <w:rPr>
                <w:rFonts w:hint="eastAsia" w:ascii="宋体" w:hAnsi="宋体" w:eastAsia="宋体" w:cs="宋体"/>
                <w:color w:val="auto"/>
                <w:sz w:val="28"/>
              </w:rPr>
            </w:pPr>
          </w:p>
        </w:tc>
        <w:tc>
          <w:tcPr>
            <w:tcW w:w="1137"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rPr>
                <w:rFonts w:hint="eastAsia" w:ascii="宋体" w:hAnsi="宋体" w:eastAsia="宋体" w:cs="宋体"/>
                <w:color w:val="auto"/>
                <w:sz w:val="28"/>
              </w:rPr>
            </w:pPr>
          </w:p>
        </w:tc>
        <w:tc>
          <w:tcPr>
            <w:tcW w:w="946" w:type="dxa"/>
            <w:noWrap w:val="0"/>
            <w:vAlign w:val="center"/>
          </w:tcPr>
          <w:p>
            <w:pPr>
              <w:spacing w:line="400" w:lineRule="exact"/>
              <w:rPr>
                <w:rFonts w:hint="eastAsia" w:ascii="宋体" w:hAnsi="宋体" w:eastAsia="宋体" w:cs="宋体"/>
                <w:color w:val="auto"/>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6" w:type="dxa"/>
            <w:noWrap w:val="0"/>
            <w:vAlign w:val="center"/>
          </w:tcPr>
          <w:p>
            <w:pPr>
              <w:spacing w:line="400" w:lineRule="exact"/>
              <w:rPr>
                <w:rFonts w:hint="eastAsia" w:ascii="宋体" w:hAnsi="宋体" w:eastAsia="宋体" w:cs="宋体"/>
                <w:color w:val="auto"/>
                <w:sz w:val="28"/>
              </w:rPr>
            </w:pPr>
          </w:p>
        </w:tc>
        <w:tc>
          <w:tcPr>
            <w:tcW w:w="2082" w:type="dxa"/>
            <w:noWrap w:val="0"/>
            <w:vAlign w:val="center"/>
          </w:tcPr>
          <w:p>
            <w:pPr>
              <w:spacing w:line="400" w:lineRule="exact"/>
              <w:rPr>
                <w:rFonts w:hint="eastAsia" w:ascii="宋体" w:hAnsi="宋体" w:eastAsia="宋体" w:cs="宋体"/>
                <w:color w:val="auto"/>
                <w:sz w:val="28"/>
              </w:rPr>
            </w:pPr>
          </w:p>
        </w:tc>
        <w:tc>
          <w:tcPr>
            <w:tcW w:w="1137"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rPr>
                <w:rFonts w:hint="eastAsia" w:ascii="宋体" w:hAnsi="宋体" w:eastAsia="宋体" w:cs="宋体"/>
                <w:color w:val="auto"/>
                <w:sz w:val="28"/>
              </w:rPr>
            </w:pPr>
          </w:p>
        </w:tc>
        <w:tc>
          <w:tcPr>
            <w:tcW w:w="946" w:type="dxa"/>
            <w:noWrap w:val="0"/>
            <w:vAlign w:val="center"/>
          </w:tcPr>
          <w:p>
            <w:pPr>
              <w:spacing w:line="400" w:lineRule="exact"/>
              <w:rPr>
                <w:rFonts w:hint="eastAsia" w:ascii="宋体" w:hAnsi="宋体" w:eastAsia="宋体" w:cs="宋体"/>
                <w:color w:val="auto"/>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6" w:type="dxa"/>
            <w:noWrap w:val="0"/>
            <w:vAlign w:val="center"/>
          </w:tcPr>
          <w:p>
            <w:pPr>
              <w:spacing w:line="400" w:lineRule="exact"/>
              <w:rPr>
                <w:rFonts w:hint="eastAsia" w:ascii="宋体" w:hAnsi="宋体" w:eastAsia="宋体" w:cs="宋体"/>
                <w:color w:val="auto"/>
                <w:sz w:val="28"/>
              </w:rPr>
            </w:pPr>
          </w:p>
        </w:tc>
        <w:tc>
          <w:tcPr>
            <w:tcW w:w="2082" w:type="dxa"/>
            <w:noWrap w:val="0"/>
            <w:vAlign w:val="center"/>
          </w:tcPr>
          <w:p>
            <w:pPr>
              <w:spacing w:line="400" w:lineRule="exact"/>
              <w:rPr>
                <w:rFonts w:hint="eastAsia" w:ascii="宋体" w:hAnsi="宋体" w:eastAsia="宋体" w:cs="宋体"/>
                <w:color w:val="auto"/>
                <w:sz w:val="28"/>
              </w:rPr>
            </w:pPr>
          </w:p>
        </w:tc>
        <w:tc>
          <w:tcPr>
            <w:tcW w:w="1137"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947" w:type="dxa"/>
            <w:noWrap w:val="0"/>
            <w:vAlign w:val="center"/>
          </w:tcPr>
          <w:p>
            <w:pPr>
              <w:spacing w:line="400" w:lineRule="exact"/>
              <w:rPr>
                <w:rFonts w:hint="eastAsia" w:ascii="宋体" w:hAnsi="宋体" w:eastAsia="宋体" w:cs="宋体"/>
                <w:color w:val="auto"/>
                <w:sz w:val="28"/>
              </w:rPr>
            </w:pPr>
          </w:p>
        </w:tc>
        <w:tc>
          <w:tcPr>
            <w:tcW w:w="758" w:type="dxa"/>
            <w:noWrap w:val="0"/>
            <w:vAlign w:val="center"/>
          </w:tcPr>
          <w:p>
            <w:pPr>
              <w:spacing w:line="400" w:lineRule="exact"/>
              <w:rPr>
                <w:rFonts w:hint="eastAsia" w:ascii="宋体" w:hAnsi="宋体" w:eastAsia="宋体" w:cs="宋体"/>
                <w:color w:val="auto"/>
                <w:sz w:val="28"/>
              </w:rPr>
            </w:pPr>
          </w:p>
        </w:tc>
        <w:tc>
          <w:tcPr>
            <w:tcW w:w="946" w:type="dxa"/>
            <w:noWrap w:val="0"/>
            <w:vAlign w:val="center"/>
          </w:tcPr>
          <w:p>
            <w:pPr>
              <w:spacing w:line="400" w:lineRule="exact"/>
              <w:rPr>
                <w:rFonts w:hint="eastAsia" w:ascii="宋体" w:hAnsi="宋体" w:eastAsia="宋体" w:cs="宋体"/>
                <w:color w:val="auto"/>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66" w:type="dxa"/>
            <w:noWrap w:val="0"/>
            <w:vAlign w:val="center"/>
          </w:tcPr>
          <w:p>
            <w:pPr>
              <w:spacing w:line="400" w:lineRule="exact"/>
              <w:rPr>
                <w:rFonts w:hint="eastAsia" w:ascii="宋体" w:hAnsi="宋体" w:eastAsia="宋体" w:cs="宋体"/>
                <w:color w:val="auto"/>
                <w:sz w:val="28"/>
              </w:rPr>
            </w:pPr>
          </w:p>
        </w:tc>
        <w:tc>
          <w:tcPr>
            <w:tcW w:w="6818" w:type="dxa"/>
            <w:gridSpan w:val="6"/>
            <w:noWrap w:val="0"/>
            <w:vAlign w:val="center"/>
          </w:tcPr>
          <w:p>
            <w:pPr>
              <w:spacing w:line="400" w:lineRule="exact"/>
              <w:rPr>
                <w:rFonts w:hint="eastAsia" w:ascii="宋体" w:hAnsi="宋体" w:eastAsia="宋体" w:cs="宋体"/>
                <w:color w:val="auto"/>
                <w:sz w:val="28"/>
              </w:rPr>
            </w:pPr>
            <w:r>
              <w:rPr>
                <w:rFonts w:hint="eastAsia" w:ascii="宋体" w:hAnsi="宋体" w:eastAsia="宋体" w:cs="宋体"/>
                <w:color w:val="auto"/>
                <w:sz w:val="28"/>
              </w:rPr>
              <w:t>报价合计（元）</w:t>
            </w:r>
          </w:p>
        </w:tc>
        <w:tc>
          <w:tcPr>
            <w:tcW w:w="758" w:type="dxa"/>
            <w:noWrap w:val="0"/>
            <w:vAlign w:val="center"/>
          </w:tcPr>
          <w:p>
            <w:pPr>
              <w:spacing w:line="400" w:lineRule="exact"/>
              <w:rPr>
                <w:rFonts w:hint="eastAsia" w:ascii="宋体" w:hAnsi="宋体" w:eastAsia="宋体" w:cs="宋体"/>
                <w:color w:val="auto"/>
                <w:sz w:val="28"/>
              </w:rPr>
            </w:pPr>
          </w:p>
        </w:tc>
        <w:tc>
          <w:tcPr>
            <w:tcW w:w="946" w:type="dxa"/>
            <w:noWrap w:val="0"/>
            <w:vAlign w:val="center"/>
          </w:tcPr>
          <w:p>
            <w:pPr>
              <w:spacing w:line="400" w:lineRule="exact"/>
              <w:rPr>
                <w:rFonts w:hint="eastAsia" w:ascii="宋体" w:hAnsi="宋体" w:eastAsia="宋体" w:cs="宋体"/>
                <w:color w:val="auto"/>
                <w:sz w:val="28"/>
              </w:rPr>
            </w:pPr>
          </w:p>
        </w:tc>
      </w:tr>
    </w:tbl>
    <w:p>
      <w:pPr>
        <w:tabs>
          <w:tab w:val="left" w:pos="1134"/>
        </w:tabs>
        <w:spacing w:line="560" w:lineRule="exact"/>
        <w:ind w:firstLine="425" w:firstLineChars="152"/>
        <w:rPr>
          <w:rFonts w:ascii="宋体" w:hAnsi="宋体" w:cs="宋体"/>
          <w:color w:val="auto"/>
          <w:sz w:val="28"/>
          <w:szCs w:val="28"/>
        </w:rPr>
      </w:pPr>
    </w:p>
    <w:p>
      <w:pPr>
        <w:ind w:firstLine="420" w:firstLineChars="200"/>
        <w:rPr>
          <w:rFonts w:ascii="宋体" w:hAnsi="宋体" w:cs="宋体"/>
          <w:color w:val="auto"/>
        </w:rPr>
      </w:pPr>
    </w:p>
    <w:p>
      <w:pPr>
        <w:pStyle w:val="205"/>
        <w:ind w:firstLine="562" w:firstLineChars="200"/>
        <w:rPr>
          <w:rFonts w:ascii="宋体" w:hAnsi="宋体" w:cs="宋体"/>
          <w:b/>
          <w:color w:val="auto"/>
          <w:sz w:val="28"/>
        </w:rPr>
      </w:pPr>
      <w:r>
        <w:rPr>
          <w:rFonts w:hint="eastAsia" w:ascii="宋体" w:hAnsi="宋体" w:cs="宋体"/>
          <w:b/>
          <w:color w:val="auto"/>
          <w:sz w:val="28"/>
        </w:rPr>
        <w:t>说明：1、报价应是包括谈判文件规定的全部响应内容的报价。</w:t>
      </w:r>
    </w:p>
    <w:p>
      <w:pPr>
        <w:tabs>
          <w:tab w:val="left" w:pos="1134"/>
        </w:tabs>
        <w:spacing w:line="560" w:lineRule="exact"/>
        <w:ind w:firstLine="427" w:firstLineChars="152"/>
        <w:rPr>
          <w:rFonts w:ascii="宋体" w:hAnsi="宋体" w:cs="宋体"/>
          <w:b/>
          <w:bCs/>
          <w:color w:val="auto"/>
          <w:sz w:val="28"/>
        </w:rPr>
      </w:pPr>
      <w:r>
        <w:rPr>
          <w:rFonts w:hint="eastAsia" w:ascii="宋体" w:hAnsi="宋体" w:cs="宋体"/>
          <w:b/>
          <w:color w:val="auto"/>
          <w:sz w:val="28"/>
          <w:szCs w:val="28"/>
        </w:rPr>
        <w:t>2、报价以供应商在政府采购云平台开标一览表中填写的报价为准。</w:t>
      </w:r>
    </w:p>
    <w:p>
      <w:pPr>
        <w:pStyle w:val="5"/>
        <w:tabs>
          <w:tab w:val="left" w:pos="709"/>
        </w:tabs>
        <w:ind w:left="709" w:hanging="709"/>
        <w:rPr>
          <w:color w:val="auto"/>
        </w:rPr>
        <w:sectPr>
          <w:pgSz w:w="11906" w:h="16838"/>
          <w:pgMar w:top="1440" w:right="1800" w:bottom="1440" w:left="1800" w:header="851" w:footer="992" w:gutter="0"/>
          <w:cols w:space="425" w:num="1"/>
          <w:docGrid w:type="lines" w:linePitch="312" w:charSpace="0"/>
        </w:sectPr>
      </w:pPr>
    </w:p>
    <w:p>
      <w:pPr>
        <w:pStyle w:val="5"/>
        <w:tabs>
          <w:tab w:val="left" w:pos="709"/>
        </w:tabs>
        <w:ind w:left="709" w:hanging="709"/>
        <w:rPr>
          <w:color w:val="auto"/>
        </w:rPr>
      </w:pPr>
      <w:r>
        <w:rPr>
          <w:rFonts w:hint="eastAsia"/>
          <w:color w:val="auto"/>
        </w:rPr>
        <w:t>技术、服务、合同条款及其他商务要求应答表</w:t>
      </w:r>
    </w:p>
    <w:p>
      <w:pPr>
        <w:spacing w:line="360" w:lineRule="auto"/>
        <w:jc w:val="center"/>
        <w:rPr>
          <w:rFonts w:ascii="仿宋_GB2312" w:hAnsi="仿宋_GB2312" w:eastAsia="仿宋_GB2312" w:cs="仿宋"/>
          <w:b/>
          <w:bCs/>
          <w:color w:val="auto"/>
          <w:sz w:val="32"/>
          <w:szCs w:val="32"/>
        </w:rPr>
      </w:pPr>
    </w:p>
    <w:p>
      <w:pPr>
        <w:spacing w:line="360" w:lineRule="auto"/>
        <w:jc w:val="center"/>
        <w:rPr>
          <w:rFonts w:hint="eastAsia" w:ascii="宋体" w:hAnsi="宋体" w:eastAsia="宋体" w:cs="宋体"/>
          <w:b/>
          <w:bCs/>
          <w:color w:val="auto"/>
          <w:sz w:val="24"/>
          <w:szCs w:val="24"/>
        </w:rPr>
      </w:pPr>
    </w:p>
    <w:tbl>
      <w:tblPr>
        <w:tblStyle w:val="41"/>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1" w:rightChars="10"/>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1" w:rightChars="10"/>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谈判文件要求</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1" w:rightChars="10"/>
              <w:jc w:val="center"/>
              <w:rPr>
                <w:rFonts w:hint="eastAsia" w:ascii="宋体" w:hAnsi="宋体" w:eastAsia="宋体" w:cs="宋体"/>
                <w:color w:val="auto"/>
                <w:sz w:val="24"/>
                <w:szCs w:val="24"/>
              </w:rPr>
            </w:pPr>
            <w:r>
              <w:rPr>
                <w:rFonts w:hint="eastAsia" w:ascii="宋体" w:hAnsi="宋体" w:eastAsia="宋体" w:cs="宋体"/>
                <w:color w:val="auto"/>
                <w:sz w:val="24"/>
                <w:szCs w:val="24"/>
              </w:rPr>
              <w:t>响应文件应答</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1" w:rightChars="10"/>
              <w:jc w:val="center"/>
              <w:rPr>
                <w:rFonts w:hint="eastAsia" w:ascii="宋体" w:hAnsi="宋体" w:eastAsia="宋体" w:cs="宋体"/>
                <w:color w:val="auto"/>
                <w:sz w:val="24"/>
                <w:szCs w:val="24"/>
              </w:rPr>
            </w:pPr>
            <w:r>
              <w:rPr>
                <w:rFonts w:hint="eastAsia" w:ascii="宋体" w:hAnsi="宋体" w:eastAsia="宋体" w:cs="宋体"/>
                <w:color w:val="auto"/>
                <w:sz w:val="24"/>
                <w:szCs w:val="24"/>
              </w:rPr>
              <w:t>响应情况。（填写响应或负偏离或正偏离）</w:t>
            </w: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1" w:rightChars="1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szCs w:val="24"/>
              </w:rPr>
            </w:pPr>
          </w:p>
        </w:tc>
        <w:tc>
          <w:tcPr>
            <w:tcW w:w="3452" w:type="dxa"/>
            <w:tcBorders>
              <w:top w:val="single" w:color="auto" w:sz="4" w:space="0"/>
              <w:left w:val="nil"/>
              <w:bottom w:val="single" w:color="auto" w:sz="4" w:space="0"/>
              <w:right w:val="single" w:color="auto" w:sz="4" w:space="0"/>
            </w:tcBorders>
            <w:vAlign w:val="center"/>
          </w:tcPr>
          <w:p>
            <w:pPr>
              <w:pStyle w:val="162"/>
              <w:rPr>
                <w:rFonts w:hint="eastAsia" w:ascii="宋体" w:hAnsi="宋体" w:eastAsia="宋体" w:cs="宋体"/>
                <w:color w:val="auto"/>
                <w:sz w:val="24"/>
                <w:szCs w:val="24"/>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1" w:rightChars="10"/>
              <w:jc w:val="center"/>
              <w:rPr>
                <w:rFonts w:hint="eastAsia" w:ascii="宋体" w:hAnsi="宋体" w:eastAsia="宋体" w:cs="宋体"/>
                <w:color w:val="auto"/>
                <w:sz w:val="24"/>
                <w:szCs w:val="24"/>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1" w:rightChars="1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szCs w:val="24"/>
              </w:rPr>
            </w:pPr>
          </w:p>
        </w:tc>
        <w:tc>
          <w:tcPr>
            <w:tcW w:w="3452" w:type="dxa"/>
            <w:tcBorders>
              <w:top w:val="single" w:color="auto" w:sz="4" w:space="0"/>
              <w:left w:val="nil"/>
              <w:bottom w:val="single" w:color="auto" w:sz="4" w:space="0"/>
              <w:right w:val="single" w:color="auto" w:sz="4" w:space="0"/>
            </w:tcBorders>
            <w:vAlign w:val="center"/>
          </w:tcPr>
          <w:p>
            <w:pPr>
              <w:pStyle w:val="162"/>
              <w:rPr>
                <w:rFonts w:hint="eastAsia" w:ascii="宋体" w:hAnsi="宋体" w:eastAsia="宋体" w:cs="宋体"/>
                <w:color w:val="auto"/>
                <w:sz w:val="24"/>
                <w:szCs w:val="24"/>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1" w:rightChars="10"/>
              <w:jc w:val="center"/>
              <w:rPr>
                <w:rFonts w:hint="eastAsia" w:ascii="宋体" w:hAnsi="宋体" w:eastAsia="宋体" w:cs="宋体"/>
                <w:color w:val="auto"/>
                <w:sz w:val="24"/>
                <w:szCs w:val="24"/>
              </w:rPr>
            </w:pPr>
          </w:p>
        </w:tc>
      </w:tr>
      <w:tr>
        <w:tblPrEx>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1" w:rightChars="1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1" w:rightChars="1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1" w:rightChars="1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r>
    </w:tbl>
    <w:p>
      <w:pPr>
        <w:spacing w:line="360" w:lineRule="auto"/>
        <w:ind w:firstLine="482" w:firstLineChars="200"/>
        <w:rPr>
          <w:rFonts w:hint="eastAsia" w:ascii="宋体" w:hAnsi="宋体" w:eastAsia="宋体" w:cs="宋体"/>
          <w:b/>
          <w:bCs/>
          <w:color w:val="auto"/>
          <w:sz w:val="24"/>
          <w:szCs w:val="24"/>
        </w:rPr>
      </w:pP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注：供应商根据谈判文件第四章要求据实填写，可以只填写正偏离、负偏离项内容。后附“技术、服务、合同条款及其他商务要求”中要求提供的佐证资料。</w:t>
      </w:r>
    </w:p>
    <w:p>
      <w:pPr>
        <w:spacing w:line="360" w:lineRule="auto"/>
        <w:ind w:firstLine="482" w:firstLineChars="200"/>
        <w:rPr>
          <w:rFonts w:hint="eastAsia" w:ascii="宋体" w:hAnsi="宋体" w:eastAsia="宋体" w:cs="宋体"/>
          <w:b/>
          <w:bCs/>
          <w:color w:val="auto"/>
          <w:sz w:val="24"/>
          <w:szCs w:val="24"/>
        </w:rPr>
      </w:pPr>
    </w:p>
    <w:p>
      <w:pPr>
        <w:spacing w:line="360" w:lineRule="auto"/>
        <w:ind w:firstLine="482" w:firstLineChars="200"/>
        <w:rPr>
          <w:rFonts w:hint="eastAsia" w:ascii="宋体" w:hAnsi="宋体" w:eastAsia="宋体" w:cs="宋体"/>
          <w:b/>
          <w:bCs/>
          <w:color w:val="auto"/>
          <w:sz w:val="24"/>
          <w:szCs w:val="24"/>
        </w:rPr>
      </w:pPr>
    </w:p>
    <w:p>
      <w:pPr>
        <w:adjustRightIn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供应商名称：XXX（加盖公章）</w:t>
      </w:r>
    </w:p>
    <w:p>
      <w:pPr>
        <w:adjustRightInd w:val="0"/>
        <w:spacing w:line="360" w:lineRule="auto"/>
        <w:ind w:firstLine="540" w:firstLineChars="225"/>
        <w:rPr>
          <w:rFonts w:hint="eastAsia" w:ascii="宋体" w:hAnsi="宋体" w:eastAsia="宋体" w:cs="宋体"/>
          <w:color w:val="auto"/>
          <w:sz w:val="24"/>
          <w:szCs w:val="24"/>
        </w:rPr>
      </w:pPr>
      <w:r>
        <w:rPr>
          <w:rFonts w:hint="eastAsia" w:ascii="宋体" w:hAnsi="宋体" w:eastAsia="宋体" w:cs="宋体"/>
          <w:color w:val="auto"/>
          <w:sz w:val="24"/>
          <w:szCs w:val="24"/>
        </w:rPr>
        <w:t>日期：XXX年XXX月XXX日</w:t>
      </w:r>
    </w:p>
    <w:p>
      <w:pPr>
        <w:pStyle w:val="5"/>
        <w:numPr>
          <w:ilvl w:val="2"/>
          <w:numId w:val="0"/>
        </w:numPr>
        <w:tabs>
          <w:tab w:val="left" w:pos="709"/>
        </w:tabs>
        <w:rPr>
          <w:color w:val="auto"/>
        </w:rPr>
      </w:pPr>
    </w:p>
    <w:p>
      <w:pPr>
        <w:rPr>
          <w:rFonts w:ascii="宋体" w:hAnsi="宋体" w:cs="宋体"/>
          <w:color w:val="auto"/>
        </w:rPr>
      </w:pPr>
    </w:p>
    <w:p>
      <w:pPr>
        <w:pStyle w:val="2"/>
        <w:rPr>
          <w:color w:val="auto"/>
        </w:rPr>
      </w:pPr>
    </w:p>
    <w:p>
      <w:pPr>
        <w:pStyle w:val="5"/>
        <w:tabs>
          <w:tab w:val="left" w:pos="709"/>
        </w:tabs>
        <w:ind w:left="709" w:hanging="709"/>
        <w:rPr>
          <w:color w:val="auto"/>
        </w:rPr>
        <w:sectPr>
          <w:pgSz w:w="11906" w:h="16838"/>
          <w:pgMar w:top="1440" w:right="1800" w:bottom="1440" w:left="1800" w:header="851" w:footer="992" w:gutter="0"/>
          <w:cols w:space="425" w:num="1"/>
          <w:docGrid w:type="lines" w:linePitch="312" w:charSpace="0"/>
        </w:sectPr>
      </w:pPr>
    </w:p>
    <w:p>
      <w:pPr>
        <w:pStyle w:val="5"/>
        <w:tabs>
          <w:tab w:val="left" w:pos="709"/>
        </w:tabs>
        <w:ind w:left="709" w:hanging="709"/>
        <w:rPr>
          <w:color w:val="auto"/>
        </w:rPr>
      </w:pPr>
      <w:r>
        <w:rPr>
          <w:rFonts w:hint="eastAsia"/>
          <w:color w:val="auto"/>
        </w:rPr>
        <w:t>报价产品品牌、型号、技术性能、技术参数和配置的详细描述</w:t>
      </w:r>
    </w:p>
    <w:p>
      <w:pPr>
        <w:spacing w:line="360" w:lineRule="auto"/>
        <w:rPr>
          <w:rFonts w:ascii="宋体" w:hAnsi="宋体" w:cs="宋体"/>
          <w:b/>
          <w:color w:val="auto"/>
          <w:sz w:val="28"/>
          <w:szCs w:val="28"/>
        </w:rPr>
      </w:pPr>
      <w:r>
        <w:rPr>
          <w:rFonts w:hint="eastAsia" w:ascii="宋体" w:hAnsi="宋体" w:cs="宋体"/>
          <w:b/>
          <w:color w:val="auto"/>
          <w:sz w:val="28"/>
          <w:szCs w:val="28"/>
        </w:rPr>
        <w:t>项目名称：</w:t>
      </w:r>
      <w:r>
        <w:rPr>
          <w:rFonts w:hint="eastAsia" w:ascii="宋体" w:hAnsi="宋体" w:cs="宋体"/>
          <w:b/>
          <w:color w:val="auto"/>
          <w:spacing w:val="-20"/>
          <w:sz w:val="28"/>
          <w:szCs w:val="28"/>
          <w:u w:val="single"/>
        </w:rPr>
        <w:t xml:space="preserve"> 成都东部新区贾家初级中学LED显示屏采购项目</w:t>
      </w:r>
    </w:p>
    <w:p>
      <w:pPr>
        <w:spacing w:line="360" w:lineRule="auto"/>
        <w:rPr>
          <w:rFonts w:hint="eastAsia" w:ascii="宋体" w:hAnsi="宋体" w:eastAsia="宋体" w:cs="宋体"/>
          <w:b/>
          <w:color w:val="auto"/>
          <w:sz w:val="28"/>
          <w:szCs w:val="28"/>
          <w:u w:val="single"/>
          <w:lang w:eastAsia="zh-CN"/>
        </w:rPr>
      </w:pPr>
      <w:r>
        <w:rPr>
          <w:rFonts w:hint="eastAsia" w:ascii="宋体" w:hAnsi="宋体" w:cs="宋体"/>
          <w:b/>
          <w:color w:val="auto"/>
          <w:sz w:val="28"/>
          <w:szCs w:val="28"/>
        </w:rPr>
        <w:t>项目编号：</w:t>
      </w:r>
      <w:r>
        <w:rPr>
          <w:rFonts w:hint="eastAsia" w:ascii="宋体" w:hAnsi="宋体" w:cs="宋体"/>
          <w:b/>
          <w:color w:val="auto"/>
          <w:sz w:val="28"/>
          <w:szCs w:val="28"/>
          <w:u w:val="single"/>
          <w:lang w:eastAsia="zh-CN"/>
        </w:rPr>
        <w:t>东部新区政采（2021）A0036号</w:t>
      </w:r>
    </w:p>
    <w:p>
      <w:pPr>
        <w:pStyle w:val="205"/>
        <w:ind w:firstLine="492" w:firstLineChars="176"/>
        <w:rPr>
          <w:rFonts w:ascii="宋体" w:hAnsi="宋体" w:cs="宋体"/>
          <w:color w:val="auto"/>
          <w:sz w:val="28"/>
        </w:rPr>
      </w:pPr>
    </w:p>
    <w:p>
      <w:pPr>
        <w:pStyle w:val="205"/>
        <w:ind w:firstLine="492" w:firstLineChars="176"/>
        <w:rPr>
          <w:rFonts w:ascii="宋体" w:hAnsi="宋体" w:cs="宋体"/>
          <w:color w:val="auto"/>
          <w:sz w:val="28"/>
        </w:rPr>
      </w:pPr>
    </w:p>
    <w:p>
      <w:pPr>
        <w:pStyle w:val="205"/>
        <w:ind w:firstLine="492" w:firstLineChars="176"/>
        <w:rPr>
          <w:rFonts w:ascii="宋体" w:hAnsi="宋体" w:cs="宋体"/>
          <w:color w:val="auto"/>
          <w:sz w:val="28"/>
        </w:rPr>
      </w:pPr>
    </w:p>
    <w:p>
      <w:pPr>
        <w:pStyle w:val="205"/>
        <w:ind w:firstLine="492" w:firstLineChars="176"/>
        <w:rPr>
          <w:rFonts w:ascii="宋体" w:hAnsi="宋体" w:cs="宋体"/>
          <w:color w:val="auto"/>
          <w:sz w:val="28"/>
        </w:rPr>
      </w:pPr>
    </w:p>
    <w:p>
      <w:pPr>
        <w:pStyle w:val="205"/>
        <w:ind w:firstLine="492" w:firstLineChars="176"/>
        <w:rPr>
          <w:rFonts w:ascii="宋体" w:hAnsi="宋体" w:cs="宋体"/>
          <w:color w:val="auto"/>
          <w:sz w:val="28"/>
        </w:rPr>
      </w:pPr>
    </w:p>
    <w:p>
      <w:pPr>
        <w:pStyle w:val="205"/>
        <w:ind w:firstLine="492" w:firstLineChars="176"/>
        <w:rPr>
          <w:rFonts w:ascii="宋体" w:hAnsi="宋体" w:cs="宋体"/>
          <w:color w:val="auto"/>
          <w:sz w:val="28"/>
        </w:rPr>
      </w:pPr>
    </w:p>
    <w:p>
      <w:pPr>
        <w:pStyle w:val="205"/>
        <w:ind w:firstLine="492" w:firstLineChars="176"/>
        <w:rPr>
          <w:rFonts w:ascii="宋体" w:hAnsi="宋体" w:cs="宋体"/>
          <w:color w:val="auto"/>
          <w:sz w:val="28"/>
        </w:rPr>
      </w:pPr>
    </w:p>
    <w:p>
      <w:pPr>
        <w:pStyle w:val="205"/>
        <w:ind w:firstLine="492" w:firstLineChars="176"/>
        <w:rPr>
          <w:rFonts w:ascii="宋体" w:hAnsi="宋体" w:cs="宋体"/>
          <w:color w:val="auto"/>
          <w:sz w:val="28"/>
        </w:rPr>
      </w:pPr>
    </w:p>
    <w:p>
      <w:pPr>
        <w:pStyle w:val="205"/>
        <w:ind w:firstLine="492" w:firstLineChars="176"/>
        <w:rPr>
          <w:rFonts w:ascii="宋体" w:hAnsi="宋体" w:cs="宋体"/>
          <w:color w:val="auto"/>
          <w:sz w:val="28"/>
        </w:rPr>
      </w:pPr>
    </w:p>
    <w:p>
      <w:pPr>
        <w:pStyle w:val="205"/>
        <w:ind w:firstLine="492" w:firstLineChars="176"/>
        <w:rPr>
          <w:rFonts w:ascii="宋体" w:hAnsi="宋体" w:cs="宋体"/>
          <w:color w:val="auto"/>
          <w:sz w:val="28"/>
        </w:rPr>
      </w:pPr>
    </w:p>
    <w:p>
      <w:pPr>
        <w:pStyle w:val="205"/>
        <w:ind w:firstLine="492" w:firstLineChars="176"/>
        <w:rPr>
          <w:rFonts w:ascii="宋体" w:hAnsi="宋体" w:cs="宋体"/>
          <w:color w:val="auto"/>
          <w:sz w:val="28"/>
        </w:rPr>
      </w:pPr>
    </w:p>
    <w:p>
      <w:pPr>
        <w:pStyle w:val="205"/>
        <w:ind w:firstLine="492" w:firstLineChars="176"/>
        <w:rPr>
          <w:rFonts w:ascii="宋体" w:hAnsi="宋体" w:cs="宋体"/>
          <w:color w:val="auto"/>
          <w:sz w:val="28"/>
        </w:rPr>
      </w:pPr>
    </w:p>
    <w:p>
      <w:pPr>
        <w:pStyle w:val="205"/>
        <w:rPr>
          <w:rFonts w:ascii="宋体" w:hAnsi="宋体" w:cs="宋体"/>
          <w:color w:val="auto"/>
          <w:sz w:val="28"/>
        </w:rPr>
      </w:pPr>
    </w:p>
    <w:p>
      <w:pPr>
        <w:spacing w:line="360" w:lineRule="auto"/>
        <w:ind w:firstLine="425" w:firstLineChars="152"/>
        <w:rPr>
          <w:rFonts w:ascii="宋体" w:hAnsi="宋体" w:cs="宋体"/>
          <w:color w:val="auto"/>
          <w:sz w:val="28"/>
          <w:szCs w:val="28"/>
        </w:rPr>
      </w:pPr>
      <w:r>
        <w:rPr>
          <w:rFonts w:hint="eastAsia" w:ascii="宋体" w:hAnsi="宋体" w:cs="宋体"/>
          <w:color w:val="auto"/>
          <w:sz w:val="28"/>
          <w:szCs w:val="28"/>
        </w:rPr>
        <w:t>供应商名称：</w:t>
      </w:r>
      <w:r>
        <w:rPr>
          <w:rFonts w:hint="eastAsia" w:ascii="宋体" w:hAnsi="宋体" w:cs="宋体"/>
          <w:color w:val="auto"/>
          <w:sz w:val="28"/>
          <w:szCs w:val="28"/>
          <w:u w:val="single"/>
        </w:rPr>
        <w:t>XXXX</w:t>
      </w:r>
    </w:p>
    <w:p>
      <w:pPr>
        <w:spacing w:line="360" w:lineRule="auto"/>
        <w:ind w:firstLine="425" w:firstLineChars="152"/>
        <w:rPr>
          <w:rFonts w:ascii="宋体" w:hAnsi="宋体" w:cs="宋体"/>
          <w:color w:val="auto"/>
          <w:sz w:val="28"/>
        </w:rPr>
      </w:pPr>
      <w:r>
        <w:rPr>
          <w:rFonts w:hint="eastAsia" w:ascii="宋体" w:hAnsi="宋体" w:cs="宋体"/>
          <w:color w:val="auto"/>
          <w:sz w:val="28"/>
          <w:szCs w:val="28"/>
        </w:rPr>
        <w:t>日期：</w:t>
      </w:r>
      <w:r>
        <w:rPr>
          <w:rFonts w:hint="eastAsia" w:ascii="宋体" w:hAnsi="宋体" w:cs="宋体"/>
          <w:color w:val="auto"/>
          <w:sz w:val="28"/>
          <w:szCs w:val="28"/>
          <w:u w:val="single"/>
        </w:rPr>
        <w:t>XX</w:t>
      </w:r>
      <w:r>
        <w:rPr>
          <w:rFonts w:hint="eastAsia" w:ascii="宋体" w:hAnsi="宋体" w:cs="宋体"/>
          <w:color w:val="auto"/>
          <w:sz w:val="28"/>
          <w:szCs w:val="28"/>
        </w:rPr>
        <w:t>年</w:t>
      </w:r>
      <w:r>
        <w:rPr>
          <w:rFonts w:hint="eastAsia" w:ascii="宋体" w:hAnsi="宋体" w:cs="宋体"/>
          <w:color w:val="auto"/>
          <w:sz w:val="28"/>
          <w:szCs w:val="28"/>
          <w:u w:val="single"/>
        </w:rPr>
        <w:t>XX</w:t>
      </w:r>
      <w:r>
        <w:rPr>
          <w:rFonts w:hint="eastAsia" w:ascii="宋体" w:hAnsi="宋体" w:cs="宋体"/>
          <w:color w:val="auto"/>
          <w:sz w:val="28"/>
          <w:szCs w:val="28"/>
        </w:rPr>
        <w:t>月</w:t>
      </w:r>
      <w:r>
        <w:rPr>
          <w:rFonts w:hint="eastAsia" w:ascii="宋体" w:hAnsi="宋体" w:cs="宋体"/>
          <w:color w:val="auto"/>
          <w:sz w:val="28"/>
          <w:szCs w:val="28"/>
          <w:u w:val="single"/>
        </w:rPr>
        <w:t>XX</w:t>
      </w:r>
      <w:r>
        <w:rPr>
          <w:rFonts w:hint="eastAsia" w:ascii="宋体" w:hAnsi="宋体" w:cs="宋体"/>
          <w:color w:val="auto"/>
          <w:sz w:val="28"/>
          <w:szCs w:val="28"/>
        </w:rPr>
        <w:t>日</w:t>
      </w:r>
    </w:p>
    <w:p>
      <w:pPr>
        <w:pStyle w:val="205"/>
        <w:ind w:firstLine="560" w:firstLineChars="200"/>
        <w:rPr>
          <w:rFonts w:ascii="宋体" w:hAnsi="宋体" w:cs="宋体"/>
          <w:color w:val="auto"/>
          <w:sz w:val="28"/>
        </w:rPr>
      </w:pPr>
    </w:p>
    <w:p>
      <w:pPr>
        <w:pStyle w:val="205"/>
        <w:ind w:firstLine="560" w:firstLineChars="200"/>
        <w:rPr>
          <w:rFonts w:ascii="宋体" w:hAnsi="宋体" w:cs="宋体"/>
          <w:color w:val="auto"/>
          <w:sz w:val="28"/>
        </w:rPr>
      </w:pPr>
    </w:p>
    <w:p>
      <w:pPr>
        <w:rPr>
          <w:rFonts w:ascii="宋体" w:hAnsi="宋体" w:cs="宋体"/>
          <w:color w:val="auto"/>
          <w:sz w:val="28"/>
        </w:rPr>
      </w:pPr>
      <w:r>
        <w:rPr>
          <w:rFonts w:hint="eastAsia" w:ascii="宋体" w:hAnsi="宋体" w:cs="宋体"/>
          <w:color w:val="auto"/>
          <w:sz w:val="28"/>
        </w:rPr>
        <w:br w:type="page"/>
      </w:r>
    </w:p>
    <w:bookmarkEnd w:id="116"/>
    <w:bookmarkEnd w:id="117"/>
    <w:p>
      <w:pPr>
        <w:pStyle w:val="5"/>
        <w:tabs>
          <w:tab w:val="left" w:pos="709"/>
        </w:tabs>
        <w:ind w:left="709" w:hanging="709"/>
        <w:rPr>
          <w:bCs w:val="0"/>
          <w:color w:val="auto"/>
        </w:rPr>
      </w:pPr>
      <w:r>
        <w:rPr>
          <w:rFonts w:hint="eastAsia"/>
          <w:bCs w:val="0"/>
          <w:color w:val="auto"/>
        </w:rPr>
        <w:t>承诺函</w:t>
      </w:r>
    </w:p>
    <w:p>
      <w:pPr>
        <w:spacing w:line="360" w:lineRule="auto"/>
        <w:rPr>
          <w:rFonts w:ascii="宋体" w:hAnsi="宋体" w:cs="宋体"/>
          <w:b/>
          <w:color w:val="auto"/>
          <w:spacing w:val="-20"/>
          <w:sz w:val="28"/>
          <w:szCs w:val="28"/>
          <w:u w:val="single"/>
        </w:rPr>
      </w:pPr>
      <w:r>
        <w:rPr>
          <w:rFonts w:hint="eastAsia" w:ascii="宋体" w:hAnsi="宋体" w:cs="宋体"/>
          <w:b/>
          <w:color w:val="auto"/>
          <w:sz w:val="28"/>
          <w:szCs w:val="28"/>
        </w:rPr>
        <w:t>项目名称：</w:t>
      </w:r>
      <w:r>
        <w:rPr>
          <w:rFonts w:hint="eastAsia" w:ascii="宋体" w:hAnsi="宋体" w:cs="宋体"/>
          <w:b/>
          <w:color w:val="auto"/>
          <w:spacing w:val="-20"/>
          <w:sz w:val="28"/>
          <w:szCs w:val="28"/>
          <w:u w:val="single"/>
        </w:rPr>
        <w:t>成都东部新区贾家初级中学LED显示屏采购项目</w:t>
      </w:r>
    </w:p>
    <w:p>
      <w:pPr>
        <w:spacing w:line="360" w:lineRule="auto"/>
        <w:rPr>
          <w:rFonts w:hint="eastAsia" w:ascii="宋体" w:hAnsi="宋体" w:eastAsia="宋体" w:cs="宋体"/>
          <w:b/>
          <w:color w:val="auto"/>
          <w:sz w:val="28"/>
          <w:szCs w:val="28"/>
          <w:u w:val="single"/>
          <w:lang w:eastAsia="zh-CN"/>
        </w:rPr>
      </w:pPr>
      <w:r>
        <w:rPr>
          <w:rFonts w:hint="eastAsia" w:ascii="宋体" w:hAnsi="宋体" w:cs="宋体"/>
          <w:b/>
          <w:color w:val="auto"/>
          <w:sz w:val="28"/>
          <w:szCs w:val="28"/>
        </w:rPr>
        <w:t>项目编号：</w:t>
      </w:r>
      <w:r>
        <w:rPr>
          <w:rFonts w:hint="eastAsia" w:ascii="宋体" w:hAnsi="宋体" w:cs="宋体"/>
          <w:b/>
          <w:color w:val="auto"/>
          <w:sz w:val="28"/>
          <w:szCs w:val="28"/>
          <w:u w:val="single"/>
          <w:lang w:eastAsia="zh-CN"/>
        </w:rPr>
        <w:t>东部新区政采（2021）A0036号</w:t>
      </w:r>
    </w:p>
    <w:p>
      <w:pPr>
        <w:spacing w:line="588" w:lineRule="exact"/>
        <w:ind w:left="315" w:leftChars="150" w:firstLine="140" w:firstLineChars="50"/>
        <w:rPr>
          <w:rFonts w:ascii="宋体" w:hAnsi="宋体" w:cs="宋体"/>
          <w:color w:val="auto"/>
          <w:sz w:val="28"/>
        </w:rPr>
      </w:pPr>
      <w:r>
        <w:rPr>
          <w:rFonts w:hint="eastAsia" w:ascii="宋体" w:hAnsi="宋体" w:cs="宋体"/>
          <w:color w:val="auto"/>
          <w:sz w:val="28"/>
        </w:rPr>
        <w:t>我单位作为参加</w:t>
      </w:r>
      <w:r>
        <w:rPr>
          <w:rFonts w:hint="eastAsia" w:ascii="宋体" w:hAnsi="宋体" w:cs="宋体"/>
          <w:b/>
          <w:color w:val="auto"/>
          <w:sz w:val="28"/>
          <w:szCs w:val="28"/>
          <w:u w:val="single"/>
        </w:rPr>
        <w:t>XXX项目</w:t>
      </w:r>
      <w:r>
        <w:rPr>
          <w:rFonts w:hint="eastAsia" w:ascii="宋体" w:hAnsi="宋体" w:cs="宋体"/>
          <w:color w:val="auto"/>
          <w:sz w:val="28"/>
        </w:rPr>
        <w:t xml:space="preserve">的竞争性谈判的供应商，在此郑重承诺： </w:t>
      </w:r>
    </w:p>
    <w:p>
      <w:pPr>
        <w:spacing w:line="588" w:lineRule="exact"/>
        <w:ind w:firstLine="560" w:firstLineChars="200"/>
        <w:rPr>
          <w:rFonts w:ascii="宋体" w:hAnsi="宋体" w:cs="宋体"/>
          <w:color w:val="auto"/>
          <w:sz w:val="28"/>
        </w:rPr>
      </w:pPr>
      <w:r>
        <w:rPr>
          <w:rFonts w:hint="eastAsia" w:ascii="宋体" w:hAnsi="宋体" w:cs="宋体"/>
          <w:color w:val="auto"/>
          <w:sz w:val="28"/>
        </w:rPr>
        <w:t>一、为本项目提供的所有产品、辅材中属于《国家强制性产品认证目录》范围内产品的，均通过国家强制性产品认证并取得认证证书。</w:t>
      </w:r>
    </w:p>
    <w:p>
      <w:pPr>
        <w:spacing w:line="588" w:lineRule="exact"/>
        <w:ind w:firstLine="560" w:firstLineChars="200"/>
        <w:rPr>
          <w:rFonts w:ascii="宋体" w:hAnsi="宋体" w:cs="宋体"/>
          <w:color w:val="auto"/>
          <w:sz w:val="28"/>
        </w:rPr>
      </w:pPr>
      <w:r>
        <w:rPr>
          <w:rFonts w:hint="eastAsia" w:ascii="宋体" w:hAnsi="宋体" w:cs="宋体"/>
          <w:color w:val="auto"/>
          <w:sz w:val="28"/>
        </w:rPr>
        <w:t>二、为本项目提供的所有产品、辅材符合现行的强制性国家相关标准、行业标准。</w:t>
      </w:r>
    </w:p>
    <w:p>
      <w:pPr>
        <w:spacing w:line="588" w:lineRule="exact"/>
        <w:ind w:firstLine="560" w:firstLineChars="200"/>
        <w:rPr>
          <w:rFonts w:ascii="宋体" w:hAnsi="宋体" w:cs="宋体"/>
          <w:color w:val="auto"/>
          <w:sz w:val="28"/>
        </w:rPr>
      </w:pPr>
    </w:p>
    <w:p>
      <w:pPr>
        <w:shd w:val="clear" w:color="auto" w:fill="FFFFFF"/>
        <w:ind w:right="-58"/>
        <w:rPr>
          <w:rFonts w:ascii="宋体" w:hAnsi="宋体" w:cs="宋体"/>
          <w:color w:val="auto"/>
          <w:sz w:val="28"/>
        </w:rPr>
      </w:pPr>
    </w:p>
    <w:p>
      <w:pPr>
        <w:shd w:val="clear" w:color="auto" w:fill="FFFFFF"/>
        <w:ind w:right="-58"/>
        <w:rPr>
          <w:rFonts w:ascii="宋体" w:hAnsi="宋体" w:cs="宋体"/>
          <w:color w:val="auto"/>
          <w:sz w:val="28"/>
        </w:rPr>
      </w:pPr>
    </w:p>
    <w:p>
      <w:pPr>
        <w:shd w:val="clear" w:color="auto" w:fill="FFFFFF"/>
        <w:ind w:right="-58"/>
        <w:rPr>
          <w:rFonts w:ascii="宋体" w:hAnsi="宋体" w:cs="宋体"/>
          <w:color w:val="auto"/>
          <w:sz w:val="28"/>
        </w:rPr>
      </w:pPr>
      <w:r>
        <w:rPr>
          <w:rFonts w:hint="eastAsia" w:ascii="宋体" w:hAnsi="宋体" w:cs="宋体"/>
          <w:color w:val="auto"/>
          <w:sz w:val="28"/>
        </w:rPr>
        <w:t>供应商名称：</w:t>
      </w:r>
      <w:r>
        <w:rPr>
          <w:rFonts w:hint="eastAsia" w:ascii="宋体" w:hAnsi="宋体" w:cs="宋体"/>
          <w:color w:val="auto"/>
          <w:sz w:val="28"/>
          <w:u w:val="single"/>
        </w:rPr>
        <w:t xml:space="preserve"> XXXX </w:t>
      </w:r>
    </w:p>
    <w:p>
      <w:pPr>
        <w:pStyle w:val="205"/>
        <w:ind w:firstLine="0"/>
        <w:rPr>
          <w:rFonts w:ascii="宋体" w:hAnsi="宋体" w:cs="宋体"/>
          <w:color w:val="auto"/>
          <w:sz w:val="28"/>
        </w:rPr>
      </w:pPr>
      <w:r>
        <w:rPr>
          <w:rFonts w:hint="eastAsia" w:ascii="宋体" w:hAnsi="宋体" w:cs="宋体"/>
          <w:color w:val="auto"/>
          <w:sz w:val="28"/>
        </w:rPr>
        <w:t>日期：20X</w:t>
      </w:r>
      <w:r>
        <w:rPr>
          <w:rFonts w:hint="eastAsia" w:ascii="宋体" w:hAnsi="宋体" w:cs="宋体"/>
          <w:color w:val="auto"/>
          <w:sz w:val="28"/>
          <w:u w:val="single"/>
        </w:rPr>
        <w:t>X</w:t>
      </w:r>
      <w:r>
        <w:rPr>
          <w:rFonts w:hint="eastAsia" w:ascii="宋体" w:hAnsi="宋体" w:cs="宋体"/>
          <w:color w:val="auto"/>
          <w:sz w:val="28"/>
        </w:rPr>
        <w:t>年</w:t>
      </w:r>
      <w:r>
        <w:rPr>
          <w:rFonts w:hint="eastAsia" w:ascii="宋体" w:hAnsi="宋体" w:cs="宋体"/>
          <w:color w:val="auto"/>
          <w:sz w:val="28"/>
          <w:u w:val="single"/>
        </w:rPr>
        <w:t>XX</w:t>
      </w:r>
      <w:r>
        <w:rPr>
          <w:rFonts w:hint="eastAsia" w:ascii="宋体" w:hAnsi="宋体" w:cs="宋体"/>
          <w:color w:val="auto"/>
          <w:sz w:val="28"/>
        </w:rPr>
        <w:t>月</w:t>
      </w:r>
      <w:r>
        <w:rPr>
          <w:rFonts w:hint="eastAsia" w:ascii="宋体" w:hAnsi="宋体" w:cs="宋体"/>
          <w:color w:val="auto"/>
          <w:sz w:val="28"/>
          <w:u w:val="single"/>
        </w:rPr>
        <w:t>XX</w:t>
      </w:r>
      <w:r>
        <w:rPr>
          <w:rFonts w:hint="eastAsia" w:ascii="宋体" w:hAnsi="宋体" w:cs="宋体"/>
          <w:color w:val="auto"/>
          <w:sz w:val="28"/>
        </w:rPr>
        <w:t>日</w:t>
      </w:r>
    </w:p>
    <w:p>
      <w:pPr>
        <w:rPr>
          <w:rFonts w:ascii="宋体" w:hAnsi="宋体" w:cs="宋体"/>
          <w:color w:val="auto"/>
          <w:sz w:val="28"/>
        </w:rPr>
      </w:pPr>
      <w:r>
        <w:rPr>
          <w:rFonts w:hint="eastAsia" w:ascii="宋体" w:hAnsi="宋体" w:cs="宋体"/>
          <w:color w:val="auto"/>
          <w:sz w:val="28"/>
        </w:rPr>
        <w:br w:type="page"/>
      </w:r>
    </w:p>
    <w:p>
      <w:pPr>
        <w:pStyle w:val="5"/>
        <w:numPr>
          <w:ilvl w:val="2"/>
          <w:numId w:val="6"/>
        </w:numPr>
        <w:tabs>
          <w:tab w:val="left" w:pos="709"/>
        </w:tabs>
        <w:spacing w:after="200"/>
        <w:ind w:left="1135" w:hanging="1135"/>
        <w:jc w:val="left"/>
        <w:rPr>
          <w:color w:val="auto"/>
        </w:rPr>
      </w:pPr>
      <w:r>
        <w:rPr>
          <w:rFonts w:hint="eastAsia" w:ascii="宋体" w:hAnsi="宋体" w:cs="宋体"/>
          <w:color w:val="auto"/>
          <w:sz w:val="28"/>
          <w:szCs w:val="28"/>
          <w:lang w:val="en-US" w:eastAsia="zh-CN"/>
        </w:rPr>
        <w:t>最终</w:t>
      </w:r>
      <w:r>
        <w:rPr>
          <w:rFonts w:hint="eastAsia" w:ascii="宋体" w:hAnsi="宋体" w:eastAsia="宋体" w:cs="宋体"/>
          <w:color w:val="auto"/>
          <w:sz w:val="28"/>
          <w:szCs w:val="28"/>
        </w:rPr>
        <w:t>报价</w:t>
      </w:r>
      <w:r>
        <w:rPr>
          <w:rFonts w:hint="eastAsia"/>
          <w:color w:val="auto"/>
        </w:rPr>
        <w:t>表</w:t>
      </w:r>
    </w:p>
    <w:p>
      <w:pPr>
        <w:spacing w:line="360" w:lineRule="auto"/>
        <w:rPr>
          <w:rFonts w:ascii="宋体" w:hAnsi="宋体" w:cs="宋体"/>
          <w:b/>
          <w:color w:val="auto"/>
          <w:sz w:val="28"/>
          <w:szCs w:val="28"/>
        </w:rPr>
      </w:pPr>
      <w:r>
        <w:rPr>
          <w:rFonts w:hint="eastAsia" w:ascii="宋体" w:hAnsi="宋体" w:cs="宋体"/>
          <w:b/>
          <w:color w:val="auto"/>
          <w:sz w:val="28"/>
          <w:szCs w:val="28"/>
        </w:rPr>
        <w:t>项目名称：</w:t>
      </w:r>
      <w:r>
        <w:rPr>
          <w:rFonts w:hint="eastAsia" w:ascii="宋体" w:hAnsi="宋体" w:cs="宋体"/>
          <w:b/>
          <w:color w:val="auto"/>
          <w:spacing w:val="-20"/>
          <w:sz w:val="28"/>
          <w:szCs w:val="28"/>
          <w:u w:val="single"/>
        </w:rPr>
        <w:t xml:space="preserve"> 成都东部新区贾家初级中学LED显示屏采购项目</w:t>
      </w:r>
    </w:p>
    <w:p>
      <w:pPr>
        <w:spacing w:line="360" w:lineRule="auto"/>
        <w:rPr>
          <w:rFonts w:hint="eastAsia" w:ascii="宋体" w:hAnsi="宋体" w:eastAsia="宋体" w:cs="宋体"/>
          <w:b/>
          <w:color w:val="auto"/>
          <w:sz w:val="28"/>
          <w:szCs w:val="28"/>
          <w:u w:val="single"/>
          <w:lang w:eastAsia="zh-CN"/>
        </w:rPr>
      </w:pPr>
      <w:r>
        <w:rPr>
          <w:rFonts w:hint="eastAsia" w:ascii="宋体" w:hAnsi="宋体" w:cs="宋体"/>
          <w:b/>
          <w:color w:val="auto"/>
          <w:sz w:val="28"/>
          <w:szCs w:val="28"/>
        </w:rPr>
        <w:t>项目编号：</w:t>
      </w:r>
      <w:r>
        <w:rPr>
          <w:rFonts w:hint="eastAsia" w:ascii="宋体" w:hAnsi="宋体" w:cs="宋体"/>
          <w:b/>
          <w:color w:val="auto"/>
          <w:sz w:val="28"/>
          <w:szCs w:val="28"/>
          <w:u w:val="single"/>
          <w:lang w:eastAsia="zh-CN"/>
        </w:rPr>
        <w:t>东部新区政采（2021）A0036号</w:t>
      </w:r>
    </w:p>
    <w:p>
      <w:pPr>
        <w:spacing w:line="360" w:lineRule="auto"/>
        <w:rPr>
          <w:rFonts w:ascii="宋体" w:hAnsi="宋体" w:cs="宋体"/>
          <w:b/>
          <w:color w:val="auto"/>
          <w:sz w:val="28"/>
          <w:szCs w:val="28"/>
          <w:u w:val="single"/>
        </w:rPr>
      </w:pPr>
    </w:p>
    <w:tbl>
      <w:tblPr>
        <w:tblStyle w:val="41"/>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Pr>
          <w:p>
            <w:pPr>
              <w:tabs>
                <w:tab w:val="left" w:pos="1134"/>
              </w:tabs>
              <w:spacing w:line="560" w:lineRule="exact"/>
              <w:jc w:val="center"/>
              <w:rPr>
                <w:rFonts w:hint="eastAsia" w:ascii="宋体" w:hAnsi="宋体" w:eastAsia="宋体" w:cs="宋体"/>
                <w:color w:val="auto"/>
                <w:sz w:val="28"/>
                <w:szCs w:val="28"/>
              </w:rPr>
            </w:pPr>
            <w:r>
              <w:rPr>
                <w:rFonts w:hint="eastAsia" w:ascii="宋体" w:hAnsi="宋体" w:cs="宋体"/>
                <w:color w:val="auto"/>
                <w:sz w:val="28"/>
                <w:szCs w:val="28"/>
                <w:lang w:val="en-US" w:eastAsia="zh-CN"/>
              </w:rPr>
              <w:t>最终</w:t>
            </w:r>
            <w:r>
              <w:rPr>
                <w:rFonts w:hint="eastAsia" w:ascii="宋体" w:hAnsi="宋体" w:eastAsia="宋体" w:cs="宋体"/>
                <w:color w:val="auto"/>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Pr>
          <w:p>
            <w:pPr>
              <w:tabs>
                <w:tab w:val="left" w:pos="1134"/>
              </w:tabs>
              <w:spacing w:line="560" w:lineRule="exact"/>
              <w:rPr>
                <w:rFonts w:hint="eastAsia" w:ascii="宋体" w:hAnsi="宋体" w:eastAsia="宋体" w:cs="宋体"/>
                <w:color w:val="auto"/>
                <w:sz w:val="28"/>
                <w:szCs w:val="28"/>
              </w:rPr>
            </w:pPr>
          </w:p>
        </w:tc>
      </w:tr>
    </w:tbl>
    <w:p>
      <w:pPr>
        <w:tabs>
          <w:tab w:val="left" w:pos="1134"/>
        </w:tabs>
        <w:spacing w:line="560" w:lineRule="exact"/>
        <w:ind w:firstLine="425" w:firstLineChars="152"/>
        <w:rPr>
          <w:rFonts w:ascii="宋体" w:hAnsi="宋体" w:cs="宋体"/>
          <w:color w:val="auto"/>
          <w:sz w:val="28"/>
          <w:szCs w:val="28"/>
        </w:rPr>
      </w:pPr>
    </w:p>
    <w:p>
      <w:pPr>
        <w:ind w:firstLine="420" w:firstLineChars="200"/>
        <w:rPr>
          <w:rFonts w:ascii="宋体" w:hAnsi="宋体" w:cs="宋体"/>
          <w:color w:val="auto"/>
        </w:rPr>
      </w:pPr>
    </w:p>
    <w:p>
      <w:pPr>
        <w:pStyle w:val="205"/>
        <w:ind w:firstLine="562" w:firstLineChars="200"/>
        <w:rPr>
          <w:rFonts w:ascii="宋体" w:hAnsi="宋体" w:cs="宋体"/>
          <w:b/>
          <w:color w:val="auto"/>
          <w:sz w:val="28"/>
        </w:rPr>
      </w:pPr>
      <w:r>
        <w:rPr>
          <w:rFonts w:hint="eastAsia" w:ascii="宋体" w:hAnsi="宋体" w:cs="宋体"/>
          <w:b/>
          <w:color w:val="auto"/>
          <w:sz w:val="28"/>
        </w:rPr>
        <w:t>说明：1、报价应是包括谈判文件规定的全部响应内容的报价。</w:t>
      </w:r>
    </w:p>
    <w:p>
      <w:pPr>
        <w:tabs>
          <w:tab w:val="left" w:pos="1134"/>
        </w:tabs>
        <w:spacing w:line="560" w:lineRule="exact"/>
        <w:ind w:firstLine="427" w:firstLineChars="152"/>
        <w:rPr>
          <w:rFonts w:ascii="宋体" w:hAnsi="宋体" w:cs="宋体"/>
          <w:b/>
          <w:bCs/>
          <w:color w:val="auto"/>
          <w:sz w:val="28"/>
        </w:rPr>
      </w:pPr>
      <w:r>
        <w:rPr>
          <w:rFonts w:hint="eastAsia" w:ascii="宋体" w:hAnsi="宋体" w:cs="宋体"/>
          <w:b/>
          <w:color w:val="auto"/>
          <w:sz w:val="28"/>
          <w:szCs w:val="28"/>
        </w:rPr>
        <w:t>2、报价以供应商在政府采购云平台开标一览表中填写的报价为准。</w:t>
      </w:r>
    </w:p>
    <w:p>
      <w:pPr>
        <w:rPr>
          <w:rFonts w:ascii="宋体" w:hAnsi="宋体" w:cs="宋体"/>
          <w:b/>
          <w:color w:val="auto"/>
          <w:sz w:val="28"/>
        </w:rPr>
      </w:pPr>
      <w:r>
        <w:rPr>
          <w:rFonts w:hint="eastAsia" w:ascii="宋体" w:hAnsi="宋体" w:cs="宋体"/>
          <w:b/>
          <w:color w:val="auto"/>
          <w:sz w:val="28"/>
        </w:rPr>
        <w:br w:type="page"/>
      </w:r>
    </w:p>
    <w:p>
      <w:pPr>
        <w:pStyle w:val="3"/>
        <w:widowControl/>
        <w:numPr>
          <w:ilvl w:val="0"/>
          <w:numId w:val="6"/>
        </w:numPr>
        <w:spacing w:line="360" w:lineRule="auto"/>
        <w:ind w:left="0" w:firstLine="0"/>
        <w:rPr>
          <w:color w:val="auto"/>
        </w:rPr>
      </w:pPr>
      <w:bookmarkStart w:id="118" w:name="_Toc15724"/>
      <w:bookmarkStart w:id="119" w:name="_Toc58943339"/>
      <w:bookmarkStart w:id="120" w:name="_Toc18615"/>
      <w:bookmarkStart w:id="121" w:name="_Toc27711"/>
      <w:r>
        <w:rPr>
          <w:rFonts w:hint="eastAsia"/>
          <w:color w:val="auto"/>
        </w:rPr>
        <w:t>技术、服务、商务及其他要求</w:t>
      </w:r>
      <w:bookmarkEnd w:id="118"/>
      <w:bookmarkEnd w:id="119"/>
      <w:bookmarkEnd w:id="120"/>
      <w:bookmarkEnd w:id="121"/>
    </w:p>
    <w:p>
      <w:pPr>
        <w:pStyle w:val="4"/>
        <w:numPr>
          <w:ilvl w:val="1"/>
          <w:numId w:val="6"/>
        </w:numPr>
        <w:tabs>
          <w:tab w:val="left" w:pos="426"/>
          <w:tab w:val="left" w:pos="567"/>
        </w:tabs>
        <w:spacing w:before="0" w:after="200"/>
        <w:jc w:val="both"/>
        <w:rPr>
          <w:color w:val="auto"/>
        </w:rPr>
      </w:pPr>
      <w:bookmarkStart w:id="122" w:name="_Toc14419"/>
      <w:bookmarkStart w:id="123" w:name="_Toc22235"/>
      <w:bookmarkStart w:id="124" w:name="_Toc28823"/>
      <w:r>
        <w:rPr>
          <w:rFonts w:hint="eastAsia"/>
          <w:color w:val="auto"/>
        </w:rPr>
        <w:t>项目概况</w:t>
      </w:r>
      <w:bookmarkEnd w:id="122"/>
      <w:bookmarkEnd w:id="123"/>
      <w:bookmarkEnd w:id="124"/>
    </w:p>
    <w:p>
      <w:pPr>
        <w:ind w:firstLine="560" w:firstLineChars="200"/>
        <w:rPr>
          <w:rFonts w:hint="eastAsia" w:ascii="宋体" w:hAnsi="宋体" w:eastAsia="宋体" w:cs="宋体"/>
          <w:color w:val="auto"/>
          <w:sz w:val="28"/>
          <w:szCs w:val="28"/>
          <w:lang w:eastAsia="zh-CN"/>
        </w:rPr>
      </w:pPr>
      <w:r>
        <w:rPr>
          <w:rFonts w:hint="eastAsia" w:ascii="宋体" w:hAnsi="宋体" w:cs="宋体"/>
          <w:color w:val="auto"/>
          <w:sz w:val="28"/>
          <w:szCs w:val="28"/>
        </w:rPr>
        <w:t>本项目为成都东部新区贾家初级中学LED显示屏采购。</w:t>
      </w:r>
      <w:bookmarkStart w:id="125" w:name="_Toc29760"/>
      <w:bookmarkStart w:id="126" w:name="_Toc85122594"/>
      <w:r>
        <w:rPr>
          <w:rFonts w:hint="eastAsia" w:ascii="宋体" w:hAnsi="宋体" w:cs="宋体"/>
          <w:color w:val="auto"/>
          <w:sz w:val="28"/>
          <w:szCs w:val="28"/>
        </w:rPr>
        <w:t>核心产品</w:t>
      </w:r>
      <w:bookmarkEnd w:id="125"/>
      <w:bookmarkEnd w:id="126"/>
      <w:r>
        <w:rPr>
          <w:rFonts w:hint="eastAsia" w:ascii="宋体" w:hAnsi="宋体" w:cs="宋体"/>
          <w:color w:val="auto"/>
          <w:sz w:val="28"/>
          <w:szCs w:val="28"/>
        </w:rPr>
        <w:t>：LED显示屏</w:t>
      </w:r>
      <w:r>
        <w:rPr>
          <w:rFonts w:hint="eastAsia" w:ascii="宋体" w:hAnsi="宋体" w:cs="宋体"/>
          <w:color w:val="auto"/>
          <w:sz w:val="28"/>
          <w:szCs w:val="28"/>
          <w:lang w:eastAsia="zh-CN"/>
        </w:rPr>
        <w:t>。</w:t>
      </w:r>
    </w:p>
    <w:p>
      <w:pPr>
        <w:pStyle w:val="4"/>
        <w:numPr>
          <w:ilvl w:val="1"/>
          <w:numId w:val="6"/>
        </w:numPr>
        <w:tabs>
          <w:tab w:val="left" w:pos="426"/>
          <w:tab w:val="left" w:pos="567"/>
        </w:tabs>
        <w:spacing w:before="0" w:after="200"/>
        <w:jc w:val="both"/>
        <w:rPr>
          <w:color w:val="auto"/>
          <w:kern w:val="0"/>
        </w:rPr>
      </w:pPr>
      <w:bookmarkStart w:id="127" w:name="_Toc15912"/>
      <w:bookmarkStart w:id="128" w:name="_Toc85122597"/>
      <w:bookmarkStart w:id="129" w:name="_Toc529173741"/>
      <w:bookmarkStart w:id="130" w:name="_Toc533672602"/>
      <w:r>
        <w:rPr>
          <w:rFonts w:hint="eastAsia"/>
          <w:color w:val="auto"/>
          <w:kern w:val="0"/>
        </w:rPr>
        <w:t>采购数量清单</w:t>
      </w:r>
      <w:bookmarkEnd w:id="127"/>
    </w:p>
    <w:tbl>
      <w:tblPr>
        <w:tblStyle w:val="41"/>
        <w:tblW w:w="5185" w:type="pct"/>
        <w:jc w:val="center"/>
        <w:tblLayout w:type="autofit"/>
        <w:tblCellMar>
          <w:top w:w="0" w:type="dxa"/>
          <w:left w:w="108" w:type="dxa"/>
          <w:bottom w:w="0" w:type="dxa"/>
          <w:right w:w="108" w:type="dxa"/>
        </w:tblCellMar>
      </w:tblPr>
      <w:tblGrid>
        <w:gridCol w:w="1229"/>
        <w:gridCol w:w="2711"/>
        <w:gridCol w:w="1406"/>
        <w:gridCol w:w="1745"/>
        <w:gridCol w:w="1746"/>
      </w:tblGrid>
      <w:tr>
        <w:tblPrEx>
          <w:tblCellMar>
            <w:top w:w="0" w:type="dxa"/>
            <w:left w:w="108" w:type="dxa"/>
            <w:bottom w:w="0" w:type="dxa"/>
            <w:right w:w="108" w:type="dxa"/>
          </w:tblCellMar>
        </w:tblPrEx>
        <w:trPr>
          <w:trHeight w:val="673" w:hRule="atLeast"/>
          <w:jc w:val="center"/>
        </w:trPr>
        <w:tc>
          <w:tcPr>
            <w:tcW w:w="695" w:type="pct"/>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cs="宋体"/>
                <w:color w:val="auto"/>
                <w:sz w:val="24"/>
              </w:rPr>
            </w:pPr>
            <w:r>
              <w:rPr>
                <w:rFonts w:hint="eastAsia" w:ascii="宋体" w:hAnsi="宋体" w:cs="宋体"/>
                <w:color w:val="auto"/>
                <w:sz w:val="24"/>
              </w:rPr>
              <w:t>序号</w:t>
            </w:r>
          </w:p>
        </w:tc>
        <w:tc>
          <w:tcPr>
            <w:tcW w:w="1533"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8"/>
                <w:szCs w:val="28"/>
                <w:lang w:val="en-US" w:eastAsia="zh-CN"/>
              </w:rPr>
              <w:t>标的名称</w:t>
            </w:r>
          </w:p>
        </w:tc>
        <w:tc>
          <w:tcPr>
            <w:tcW w:w="795" w:type="pct"/>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cs="宋体"/>
                <w:color w:val="auto"/>
                <w:sz w:val="24"/>
              </w:rPr>
            </w:pPr>
            <w:r>
              <w:rPr>
                <w:rFonts w:hint="eastAsia" w:ascii="宋体" w:hAnsi="宋体" w:cs="宋体"/>
                <w:color w:val="auto"/>
                <w:sz w:val="24"/>
              </w:rPr>
              <w:t>数量</w:t>
            </w:r>
          </w:p>
        </w:tc>
        <w:tc>
          <w:tcPr>
            <w:tcW w:w="987" w:type="pct"/>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ascii="宋体" w:hAnsi="宋体" w:cs="宋体"/>
                <w:color w:val="auto"/>
                <w:sz w:val="24"/>
              </w:rPr>
            </w:pPr>
            <w:r>
              <w:rPr>
                <w:rFonts w:hint="eastAsia" w:ascii="宋体" w:hAnsi="宋体" w:cs="宋体"/>
                <w:color w:val="auto"/>
                <w:sz w:val="24"/>
              </w:rPr>
              <w:t>单位</w:t>
            </w:r>
          </w:p>
        </w:tc>
        <w:tc>
          <w:tcPr>
            <w:tcW w:w="987" w:type="pct"/>
            <w:tcBorders>
              <w:top w:val="single" w:color="000000" w:sz="4" w:space="0"/>
              <w:left w:val="single" w:color="000000" w:sz="4" w:space="0"/>
              <w:bottom w:val="single" w:color="000000" w:sz="4" w:space="0"/>
              <w:right w:val="single" w:color="000000" w:sz="4" w:space="0"/>
            </w:tcBorders>
            <w:noWrap/>
            <w:vAlign w:val="center"/>
          </w:tcPr>
          <w:p>
            <w:pPr>
              <w:spacing w:line="400" w:lineRule="exact"/>
              <w:jc w:val="center"/>
              <w:rPr>
                <w:rFonts w:hint="eastAsia" w:ascii="宋体" w:hAnsi="宋体" w:cs="宋体"/>
                <w:color w:val="auto"/>
                <w:sz w:val="24"/>
              </w:rPr>
            </w:pPr>
            <w:r>
              <w:rPr>
                <w:rFonts w:hint="eastAsia" w:ascii="宋体" w:hAnsi="宋体" w:cs="宋体"/>
                <w:color w:val="auto"/>
                <w:sz w:val="24"/>
                <w:lang w:eastAsia="zh-CN"/>
              </w:rPr>
              <w:t>所属行业</w:t>
            </w:r>
          </w:p>
        </w:tc>
      </w:tr>
      <w:tr>
        <w:tblPrEx>
          <w:tblCellMar>
            <w:top w:w="0" w:type="dxa"/>
            <w:left w:w="108" w:type="dxa"/>
            <w:bottom w:w="0" w:type="dxa"/>
            <w:right w:w="108" w:type="dxa"/>
          </w:tblCellMar>
        </w:tblPrEx>
        <w:trPr>
          <w:trHeight w:val="524" w:hRule="atLeast"/>
          <w:jc w:val="center"/>
        </w:trPr>
        <w:tc>
          <w:tcPr>
            <w:tcW w:w="695"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1</w:t>
            </w:r>
          </w:p>
        </w:tc>
        <w:tc>
          <w:tcPr>
            <w:tcW w:w="1533"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LED显示屏</w:t>
            </w:r>
          </w:p>
        </w:tc>
        <w:tc>
          <w:tcPr>
            <w:tcW w:w="795"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22</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平米</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cs="宋体"/>
                <w:color w:val="auto"/>
                <w:sz w:val="24"/>
              </w:rPr>
            </w:pPr>
            <w:r>
              <w:rPr>
                <w:rFonts w:hint="eastAsia" w:ascii="宋体" w:hAnsi="宋体" w:cs="宋体"/>
                <w:color w:val="auto"/>
                <w:sz w:val="24"/>
                <w:lang w:eastAsia="zh-CN"/>
              </w:rPr>
              <w:t>工业</w:t>
            </w:r>
          </w:p>
        </w:tc>
      </w:tr>
      <w:tr>
        <w:tblPrEx>
          <w:tblCellMar>
            <w:top w:w="0" w:type="dxa"/>
            <w:left w:w="108" w:type="dxa"/>
            <w:bottom w:w="0" w:type="dxa"/>
            <w:right w:w="108" w:type="dxa"/>
          </w:tblCellMar>
        </w:tblPrEx>
        <w:trPr>
          <w:trHeight w:val="1178" w:hRule="atLeast"/>
          <w:jc w:val="center"/>
        </w:trPr>
        <w:tc>
          <w:tcPr>
            <w:tcW w:w="695"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2</w:t>
            </w:r>
          </w:p>
        </w:tc>
        <w:tc>
          <w:tcPr>
            <w:tcW w:w="1533"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多功能电源</w:t>
            </w:r>
          </w:p>
          <w:p>
            <w:pPr>
              <w:spacing w:line="400" w:lineRule="exact"/>
              <w:jc w:val="center"/>
              <w:rPr>
                <w:rFonts w:ascii="宋体" w:hAnsi="宋体" w:cs="宋体"/>
                <w:color w:val="auto"/>
                <w:sz w:val="24"/>
              </w:rPr>
            </w:pPr>
            <w:r>
              <w:rPr>
                <w:rFonts w:hint="eastAsia" w:ascii="宋体" w:hAnsi="宋体" w:cs="宋体"/>
                <w:color w:val="auto"/>
                <w:sz w:val="24"/>
              </w:rPr>
              <w:t>（控制系统与电源二合一）</w:t>
            </w:r>
          </w:p>
        </w:tc>
        <w:tc>
          <w:tcPr>
            <w:tcW w:w="795"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80</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台</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cs="宋体"/>
                <w:color w:val="auto"/>
                <w:sz w:val="24"/>
              </w:rPr>
            </w:pPr>
            <w:r>
              <w:rPr>
                <w:rFonts w:hint="eastAsia" w:ascii="宋体" w:hAnsi="宋体" w:cs="宋体"/>
                <w:color w:val="auto"/>
                <w:sz w:val="24"/>
                <w:lang w:eastAsia="zh-CN"/>
              </w:rPr>
              <w:t>工业</w:t>
            </w:r>
          </w:p>
        </w:tc>
      </w:tr>
      <w:tr>
        <w:tblPrEx>
          <w:tblCellMar>
            <w:top w:w="0" w:type="dxa"/>
            <w:left w:w="108" w:type="dxa"/>
            <w:bottom w:w="0" w:type="dxa"/>
            <w:right w:w="108" w:type="dxa"/>
          </w:tblCellMar>
        </w:tblPrEx>
        <w:trPr>
          <w:trHeight w:val="524" w:hRule="atLeast"/>
          <w:jc w:val="center"/>
        </w:trPr>
        <w:tc>
          <w:tcPr>
            <w:tcW w:w="695"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3</w:t>
            </w:r>
          </w:p>
        </w:tc>
        <w:tc>
          <w:tcPr>
            <w:tcW w:w="1533"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视频控制器</w:t>
            </w:r>
          </w:p>
        </w:tc>
        <w:tc>
          <w:tcPr>
            <w:tcW w:w="795"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1</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台</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cs="宋体"/>
                <w:color w:val="auto"/>
                <w:sz w:val="24"/>
              </w:rPr>
            </w:pPr>
            <w:r>
              <w:rPr>
                <w:rFonts w:hint="eastAsia" w:ascii="宋体" w:hAnsi="宋体" w:cs="宋体"/>
                <w:color w:val="auto"/>
                <w:sz w:val="24"/>
                <w:lang w:eastAsia="zh-CN"/>
              </w:rPr>
              <w:t>工业</w:t>
            </w:r>
          </w:p>
        </w:tc>
      </w:tr>
      <w:tr>
        <w:tblPrEx>
          <w:tblCellMar>
            <w:top w:w="0" w:type="dxa"/>
            <w:left w:w="108" w:type="dxa"/>
            <w:bottom w:w="0" w:type="dxa"/>
            <w:right w:w="108" w:type="dxa"/>
          </w:tblCellMar>
        </w:tblPrEx>
        <w:trPr>
          <w:trHeight w:val="789" w:hRule="atLeast"/>
          <w:jc w:val="center"/>
        </w:trPr>
        <w:tc>
          <w:tcPr>
            <w:tcW w:w="695"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4</w:t>
            </w:r>
          </w:p>
        </w:tc>
        <w:tc>
          <w:tcPr>
            <w:tcW w:w="1533"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系统软件</w:t>
            </w:r>
          </w:p>
        </w:tc>
        <w:tc>
          <w:tcPr>
            <w:tcW w:w="795"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1</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套</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cs="宋体"/>
                <w:color w:val="auto"/>
                <w:sz w:val="24"/>
              </w:rPr>
            </w:pPr>
            <w:r>
              <w:rPr>
                <w:rFonts w:hint="eastAsia" w:ascii="宋体" w:hAnsi="宋体" w:cs="宋体"/>
                <w:color w:val="auto"/>
                <w:sz w:val="24"/>
                <w:lang w:eastAsia="zh-CN"/>
              </w:rPr>
              <w:t>软件和信息技术服务业</w:t>
            </w:r>
          </w:p>
        </w:tc>
      </w:tr>
      <w:tr>
        <w:tblPrEx>
          <w:tblCellMar>
            <w:top w:w="0" w:type="dxa"/>
            <w:left w:w="108" w:type="dxa"/>
            <w:bottom w:w="0" w:type="dxa"/>
            <w:right w:w="108" w:type="dxa"/>
          </w:tblCellMar>
        </w:tblPrEx>
        <w:trPr>
          <w:trHeight w:val="534" w:hRule="atLeast"/>
          <w:jc w:val="center"/>
        </w:trPr>
        <w:tc>
          <w:tcPr>
            <w:tcW w:w="695"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5</w:t>
            </w:r>
          </w:p>
        </w:tc>
        <w:tc>
          <w:tcPr>
            <w:tcW w:w="1533"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钢结构</w:t>
            </w:r>
          </w:p>
        </w:tc>
        <w:tc>
          <w:tcPr>
            <w:tcW w:w="795"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22</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sz w:val="24"/>
              </w:rPr>
            </w:pPr>
            <w:r>
              <w:rPr>
                <w:rFonts w:hint="eastAsia" w:ascii="宋体" w:hAnsi="宋体" w:cs="宋体"/>
                <w:color w:val="auto"/>
                <w:sz w:val="24"/>
              </w:rPr>
              <w:t>平米</w:t>
            </w:r>
          </w:p>
        </w:tc>
        <w:tc>
          <w:tcPr>
            <w:tcW w:w="987" w:type="pct"/>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cs="宋体"/>
                <w:color w:val="auto"/>
                <w:sz w:val="24"/>
              </w:rPr>
            </w:pPr>
            <w:r>
              <w:rPr>
                <w:rFonts w:hint="eastAsia" w:ascii="宋体" w:hAnsi="宋体" w:cs="宋体"/>
                <w:color w:val="auto"/>
                <w:sz w:val="24"/>
                <w:lang w:eastAsia="zh-CN"/>
              </w:rPr>
              <w:t>工业</w:t>
            </w:r>
          </w:p>
        </w:tc>
      </w:tr>
    </w:tbl>
    <w:p>
      <w:pPr>
        <w:spacing w:line="400" w:lineRule="exact"/>
        <w:ind w:firstLine="480" w:firstLineChars="200"/>
        <w:rPr>
          <w:rFonts w:ascii="宋体" w:hAnsi="宋体" w:cs="宋体"/>
          <w:color w:val="auto"/>
          <w:sz w:val="24"/>
        </w:rPr>
      </w:pPr>
    </w:p>
    <w:p>
      <w:pPr>
        <w:pStyle w:val="4"/>
        <w:numPr>
          <w:ilvl w:val="1"/>
          <w:numId w:val="6"/>
        </w:numPr>
        <w:tabs>
          <w:tab w:val="left" w:pos="426"/>
          <w:tab w:val="left" w:pos="567"/>
        </w:tabs>
        <w:spacing w:before="0" w:after="200"/>
        <w:jc w:val="both"/>
        <w:rPr>
          <w:color w:val="auto"/>
          <w:kern w:val="0"/>
        </w:rPr>
      </w:pPr>
      <w:bookmarkStart w:id="131" w:name="_Toc27734"/>
      <w:r>
        <w:rPr>
          <w:rFonts w:hint="eastAsia"/>
          <w:color w:val="auto"/>
          <w:kern w:val="0"/>
        </w:rPr>
        <w:t>详细技术参数及相关要求</w:t>
      </w:r>
      <w:bookmarkEnd w:id="131"/>
    </w:p>
    <w:tbl>
      <w:tblPr>
        <w:tblStyle w:val="41"/>
        <w:tblW w:w="9979" w:type="dxa"/>
        <w:jc w:val="center"/>
        <w:tblLayout w:type="fixed"/>
        <w:tblCellMar>
          <w:top w:w="0" w:type="dxa"/>
          <w:left w:w="108" w:type="dxa"/>
          <w:bottom w:w="0" w:type="dxa"/>
          <w:right w:w="108" w:type="dxa"/>
        </w:tblCellMar>
      </w:tblPr>
      <w:tblGrid>
        <w:gridCol w:w="756"/>
        <w:gridCol w:w="1188"/>
        <w:gridCol w:w="6489"/>
        <w:gridCol w:w="623"/>
        <w:gridCol w:w="923"/>
      </w:tblGrid>
      <w:tr>
        <w:tblPrEx>
          <w:tblCellMar>
            <w:top w:w="0" w:type="dxa"/>
            <w:left w:w="108" w:type="dxa"/>
            <w:bottom w:w="0" w:type="dxa"/>
            <w:right w:w="108" w:type="dxa"/>
          </w:tblCellMar>
        </w:tblPrEx>
        <w:trPr>
          <w:trHeight w:val="325" w:hRule="atLeast"/>
          <w:jc w:val="center"/>
        </w:trPr>
        <w:tc>
          <w:tcPr>
            <w:tcW w:w="756" w:type="dxa"/>
            <w:tcBorders>
              <w:top w:val="single" w:color="000000" w:sz="4" w:space="0"/>
              <w:left w:val="single" w:color="000000" w:sz="4" w:space="0"/>
              <w:bottom w:val="single" w:color="000000" w:sz="4" w:space="0"/>
              <w:right w:val="single" w:color="000000" w:sz="4" w:space="0"/>
            </w:tcBorders>
            <w:shd w:val="clear" w:color="auto" w:fill="A6A6A6"/>
            <w:noWrap/>
            <w:vAlign w:val="center"/>
          </w:tcPr>
          <w:p>
            <w:pPr>
              <w:spacing w:line="400" w:lineRule="exact"/>
              <w:jc w:val="center"/>
              <w:rPr>
                <w:rFonts w:hint="eastAsia" w:ascii="宋体" w:hAnsi="宋体" w:eastAsia="宋体" w:cs="Times New Roman"/>
                <w:color w:val="auto"/>
                <w:sz w:val="24"/>
              </w:rPr>
            </w:pPr>
            <w:bookmarkStart w:id="132" w:name="_Toc26902"/>
            <w:r>
              <w:rPr>
                <w:rFonts w:hint="eastAsia" w:ascii="宋体" w:hAnsi="宋体" w:eastAsia="宋体" w:cs="Times New Roman"/>
                <w:color w:val="auto"/>
                <w:sz w:val="24"/>
                <w:lang w:val="en-US" w:eastAsia="zh-CN"/>
              </w:rPr>
              <w:t>序号</w:t>
            </w:r>
          </w:p>
        </w:tc>
        <w:tc>
          <w:tcPr>
            <w:tcW w:w="1188" w:type="dxa"/>
            <w:tcBorders>
              <w:top w:val="single" w:color="000000" w:sz="4" w:space="0"/>
              <w:left w:val="single" w:color="000000" w:sz="4" w:space="0"/>
              <w:bottom w:val="single" w:color="000000" w:sz="4" w:space="0"/>
              <w:right w:val="single" w:color="000000" w:sz="4" w:space="0"/>
            </w:tcBorders>
            <w:shd w:val="clear" w:color="auto" w:fill="A6A6A6"/>
            <w:vAlign w:val="center"/>
          </w:tcPr>
          <w:p>
            <w:pPr>
              <w:spacing w:line="400" w:lineRule="exact"/>
              <w:jc w:val="center"/>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采购内容</w:t>
            </w:r>
          </w:p>
        </w:tc>
        <w:tc>
          <w:tcPr>
            <w:tcW w:w="6489" w:type="dxa"/>
            <w:tcBorders>
              <w:top w:val="single" w:color="000000" w:sz="4" w:space="0"/>
              <w:left w:val="single" w:color="000000" w:sz="4" w:space="0"/>
              <w:bottom w:val="single" w:color="000000" w:sz="4" w:space="0"/>
              <w:right w:val="single" w:color="000000" w:sz="4" w:space="0"/>
            </w:tcBorders>
            <w:shd w:val="clear" w:color="auto" w:fill="A6A6A6"/>
            <w:noWrap/>
            <w:vAlign w:val="center"/>
          </w:tcPr>
          <w:p>
            <w:pPr>
              <w:spacing w:line="400" w:lineRule="exact"/>
              <w:jc w:val="center"/>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技术参数</w:t>
            </w:r>
          </w:p>
        </w:tc>
        <w:tc>
          <w:tcPr>
            <w:tcW w:w="623" w:type="dxa"/>
            <w:tcBorders>
              <w:top w:val="single" w:color="000000" w:sz="4" w:space="0"/>
              <w:left w:val="single" w:color="000000" w:sz="4" w:space="0"/>
              <w:bottom w:val="single" w:color="000000" w:sz="4" w:space="0"/>
              <w:right w:val="single" w:color="000000" w:sz="4" w:space="0"/>
            </w:tcBorders>
            <w:shd w:val="clear" w:color="auto" w:fill="A6A6A6"/>
            <w:noWrap/>
            <w:vAlign w:val="center"/>
          </w:tcPr>
          <w:p>
            <w:pPr>
              <w:spacing w:line="400" w:lineRule="exact"/>
              <w:jc w:val="center"/>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单位</w:t>
            </w:r>
          </w:p>
        </w:tc>
        <w:tc>
          <w:tcPr>
            <w:tcW w:w="923" w:type="dxa"/>
            <w:tcBorders>
              <w:top w:val="single" w:color="000000" w:sz="4" w:space="0"/>
              <w:left w:val="single" w:color="000000" w:sz="4" w:space="0"/>
              <w:bottom w:val="single" w:color="000000" w:sz="4" w:space="0"/>
              <w:right w:val="single" w:color="000000" w:sz="4" w:space="0"/>
            </w:tcBorders>
            <w:shd w:val="clear" w:color="auto" w:fill="A6A6A6"/>
            <w:noWrap/>
            <w:vAlign w:val="center"/>
          </w:tcPr>
          <w:p>
            <w:pPr>
              <w:spacing w:line="400" w:lineRule="exact"/>
              <w:jc w:val="center"/>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数量</w:t>
            </w:r>
          </w:p>
        </w:tc>
      </w:tr>
      <w:tr>
        <w:tblPrEx>
          <w:tblCellMar>
            <w:top w:w="0" w:type="dxa"/>
            <w:left w:w="108" w:type="dxa"/>
            <w:bottom w:w="0" w:type="dxa"/>
            <w:right w:w="108" w:type="dxa"/>
          </w:tblCellMar>
        </w:tblPrEx>
        <w:trPr>
          <w:trHeight w:val="482" w:hRule="atLeast"/>
          <w:jc w:val="center"/>
        </w:trPr>
        <w:tc>
          <w:tcPr>
            <w:tcW w:w="75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1</w:t>
            </w:r>
          </w:p>
        </w:tc>
        <w:tc>
          <w:tcPr>
            <w:tcW w:w="118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LED显示屏</w:t>
            </w:r>
          </w:p>
        </w:tc>
        <w:tc>
          <w:tcPr>
            <w:tcW w:w="648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★1、灯芯SMD2121封装；点间距≤2.5mm；显示屏有效显示尺寸：宽6.08</w:t>
            </w:r>
            <w:r>
              <w:rPr>
                <w:rFonts w:hint="eastAsia" w:ascii="宋体" w:hAnsi="宋体" w:cs="Times New Roman"/>
                <w:color w:val="auto"/>
                <w:sz w:val="24"/>
                <w:lang w:val="en-US" w:eastAsia="zh-CN"/>
              </w:rPr>
              <w:t>米</w:t>
            </w:r>
            <w:r>
              <w:rPr>
                <w:rFonts w:hint="eastAsia" w:ascii="宋体" w:hAnsi="宋体" w:eastAsia="宋体" w:cs="Times New Roman"/>
                <w:color w:val="auto"/>
                <w:sz w:val="24"/>
                <w:lang w:val="en-US" w:eastAsia="zh-CN"/>
              </w:rPr>
              <w:t>，高3.52</w:t>
            </w:r>
            <w:r>
              <w:rPr>
                <w:rFonts w:hint="eastAsia" w:ascii="宋体" w:hAnsi="宋体" w:cs="Times New Roman"/>
                <w:color w:val="auto"/>
                <w:sz w:val="24"/>
                <w:lang w:val="en-US" w:eastAsia="zh-CN"/>
              </w:rPr>
              <w:t>米</w:t>
            </w:r>
            <w:r>
              <w:rPr>
                <w:rFonts w:hint="eastAsia" w:ascii="宋体" w:hAnsi="宋体" w:eastAsia="宋体" w:cs="Times New Roman"/>
                <w:color w:val="auto"/>
                <w:sz w:val="24"/>
                <w:lang w:val="en-US" w:eastAsia="zh-CN"/>
              </w:rPr>
              <w:t>。</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2、像素点：160000点数/m2。</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3、模组尺寸：320mm*160mm。</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4、分辨率 ：128点×64点。</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5、视 距：≥2.5m。</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6、最佳视角： 水平视角140度，垂直视角120度。</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7、刷新频率：≥38</w:t>
            </w:r>
            <w:r>
              <w:rPr>
                <w:rFonts w:hint="eastAsia" w:ascii="宋体" w:hAnsi="宋体" w:cs="Times New Roman"/>
                <w:color w:val="auto"/>
                <w:sz w:val="24"/>
                <w:lang w:val="en-US" w:eastAsia="zh-CN"/>
              </w:rPr>
              <w:t>3</w:t>
            </w:r>
            <w:r>
              <w:rPr>
                <w:rFonts w:hint="eastAsia" w:ascii="宋体" w:hAnsi="宋体" w:eastAsia="宋体" w:cs="Times New Roman"/>
                <w:color w:val="auto"/>
                <w:sz w:val="24"/>
                <w:lang w:val="en-US" w:eastAsia="zh-CN"/>
              </w:rPr>
              <w:t>0Hz。（提供第三方专业机构出具带有CNAS标志的检测报告复印件加盖投标人公章）</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8、灰度等级：14bit;色温：2000-10000K可调。</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9、驱动方式：恒流驱动;1/32扫描。</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10、亮度：≥700cd/m2。</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11、每平米最大功耗：≤450W。</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12、平整度：任意相邻像素间≤0.2mm，模块拼接间隙&lt;0.2mm。</w:t>
            </w:r>
          </w:p>
          <w:p>
            <w:pPr>
              <w:spacing w:line="400" w:lineRule="exact"/>
              <w:jc w:val="left"/>
              <w:rPr>
                <w:rFonts w:hint="eastAsia" w:ascii="宋体" w:hAnsi="宋体" w:cs="Times New Roman"/>
                <w:color w:val="auto"/>
                <w:sz w:val="24"/>
                <w:lang w:val="en-US" w:eastAsia="zh-CN"/>
              </w:rPr>
            </w:pPr>
            <w:r>
              <w:rPr>
                <w:rFonts w:hint="eastAsia" w:ascii="宋体" w:hAnsi="宋体" w:eastAsia="宋体" w:cs="Times New Roman"/>
                <w:color w:val="auto"/>
                <w:sz w:val="24"/>
                <w:lang w:val="en-US" w:eastAsia="zh-CN"/>
              </w:rPr>
              <w:t>★13、为保证显示屏的运行稳定性，要求所投产品电源、接收卡二合一，即箱体内接收卡、电源多个模块的线路及元器件都集成在同一块PCB板上，接收卡控制方案(FPGA)为国产芯片，功能包含但不限于交/直流电源、接收卡。（提供第三方专业机构出具带有CNAS标志的检测报告复印件加盖投标人公章</w:t>
            </w:r>
            <w:r>
              <w:rPr>
                <w:rFonts w:hint="eastAsia" w:ascii="宋体" w:hAnsi="宋体" w:cs="Times New Roman"/>
                <w:color w:val="auto"/>
                <w:sz w:val="24"/>
                <w:lang w:val="en-US" w:eastAsia="zh-CN"/>
              </w:rPr>
              <w:t>)</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14、要求釆用直接贴合自然散热技术、无风扇设计，用户距离大屏200-210cm时，所投产品噪音≤5dB(A)；用户距离产品20-25cm时，所投产品噪音≤25dB(A)。（提供第三方专业机构出具带有CNAS标志的检测报告复印件加盖投标人公章）</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15、LED灯板PCB板材料满足V-0级；固定灯板的底壳材料满足V-1级以及以上，当灯板出现短路时，灯板会自动保护，避免烧坏灯板上的元器件。（提供第三方专业机构出具带有CNAS标志的检测报告复印件加盖投标人公章）</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16、为保证大屏的低温工作适应性，具有在-10°C环境下正常工作6H：在工作电压 220V下工作4H,然后在工作电压90V下工作1H, 最后在工作电压264V下工作1H,期间要求外观、显示正常，结构完好。</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17、为保证大屏的低温极限适应性，具有在通电状态，环境温度从-5℃开始以-5℃/min 的速度步进递减进行测试，每个温度段保持时间2H,低温极限摸底至-20℃,要求期间外观、显示正常，结构完好。</w:t>
            </w:r>
          </w:p>
        </w:tc>
        <w:tc>
          <w:tcPr>
            <w:tcW w:w="62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w:t>
            </w:r>
          </w:p>
        </w:tc>
        <w:tc>
          <w:tcPr>
            <w:tcW w:w="92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22</w:t>
            </w:r>
          </w:p>
        </w:tc>
      </w:tr>
      <w:tr>
        <w:tblPrEx>
          <w:tblCellMar>
            <w:top w:w="0" w:type="dxa"/>
            <w:left w:w="108" w:type="dxa"/>
            <w:bottom w:w="0" w:type="dxa"/>
            <w:right w:w="108" w:type="dxa"/>
          </w:tblCellMar>
        </w:tblPrEx>
        <w:trPr>
          <w:trHeight w:val="480" w:hRule="atLeast"/>
          <w:jc w:val="center"/>
        </w:trPr>
        <w:tc>
          <w:tcPr>
            <w:tcW w:w="75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2</w:t>
            </w:r>
          </w:p>
        </w:tc>
        <w:tc>
          <w:tcPr>
            <w:tcW w:w="118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多功能电源</w:t>
            </w:r>
          </w:p>
          <w:p>
            <w:pPr>
              <w:spacing w:line="400" w:lineRule="exact"/>
              <w:jc w:val="center"/>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（控制系统与电源二合一）</w:t>
            </w:r>
          </w:p>
        </w:tc>
        <w:tc>
          <w:tcPr>
            <w:tcW w:w="648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1、带载能力：512*384。</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2、RGB并行数据组：24。</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3、串行数据组：64。</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4、支持温度、电压、通信状态检测。</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5、支持单点校正。</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6、支持灯板接口类型HUB75E。</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7、电压输出功率180W。</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8、工作温度：-10~45°。</w:t>
            </w:r>
          </w:p>
          <w:p>
            <w:pPr>
              <w:spacing w:line="400" w:lineRule="exact"/>
              <w:jc w:val="left"/>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9、电源与显示屏为同一品牌。</w:t>
            </w:r>
          </w:p>
        </w:tc>
        <w:tc>
          <w:tcPr>
            <w:tcW w:w="62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台</w:t>
            </w:r>
          </w:p>
        </w:tc>
        <w:tc>
          <w:tcPr>
            <w:tcW w:w="92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80</w:t>
            </w:r>
          </w:p>
        </w:tc>
      </w:tr>
      <w:tr>
        <w:tblPrEx>
          <w:tblCellMar>
            <w:top w:w="0" w:type="dxa"/>
            <w:left w:w="108" w:type="dxa"/>
            <w:bottom w:w="0" w:type="dxa"/>
            <w:right w:w="108" w:type="dxa"/>
          </w:tblCellMar>
        </w:tblPrEx>
        <w:trPr>
          <w:trHeight w:val="480" w:hRule="atLeast"/>
          <w:jc w:val="center"/>
        </w:trPr>
        <w:tc>
          <w:tcPr>
            <w:tcW w:w="75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3</w:t>
            </w:r>
          </w:p>
        </w:tc>
        <w:tc>
          <w:tcPr>
            <w:tcW w:w="118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视频控制器</w:t>
            </w:r>
          </w:p>
        </w:tc>
        <w:tc>
          <w:tcPr>
            <w:tcW w:w="648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1、所投设备至少配置HDMI2.0 IN*3，DP1.2 IN*1，HDMI2.0 OUT*2，DP1.2 OUT*1，全通道支持4K信号输入输出。（提供第三方专业机构出具带有CNAS标志的检测报告复印件加盖投标人公章）</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2、单台设备最大带载面积830万像素点，最宽可达7680，最高可达4320，支持7*24H连续正常工作。</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3、所投设备支持Android9.0或以上的操作系统，CPU数量≥6核，CPU运行≥2.0GHz频率 ，内存≥4G+存储≥32G。（提供第三方专业机构出具带有CNAS标志的检测报告复印件加盖投标人公章）</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4、支持自定义时间的自动开关机功能。</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★5、所投设备支持无线传屏功能（手机，支持MAC系统或Windows系统），可实现全屏，两分屏，三分屏，四分屏显示，画面大小可调节。（提供第三方专业机构出具带有CNAS标志的检测报告复印件加盖投标人公章）</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6、支持通过安卓移动端连入局域网，实现遥控器的功能，可远距离控制整机；快速打开指定应用；实现OSD菜单的控制功能；实现整机的鼠标操作功能。</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★7、所投设备支持最大输入分辨率3840*2160@60Hz，并可实现3840*2160以内标准分辨率图像缩放，多通道环出支持4K@60Hz。（提供第三方专业机构出具带有CNAS标志的检测报告复印件加盖投标人公章）</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8、具有灯板参数和屏体连接关系的回读和加载功能，可实现LED单点检测、误码率、通讯检测、温度检测，电源检测，温度监控、屏体的连线关系、硬件版本等功能。</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9、当整机多画面显示时，可通过遥控器选择其中的某个画面的音频作为输出</w:t>
            </w:r>
          </w:p>
          <w:p>
            <w:pPr>
              <w:spacing w:line="400" w:lineRule="exact"/>
              <w:jc w:val="left"/>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10、视频控制器与显示屏为同一品牌</w:t>
            </w:r>
          </w:p>
        </w:tc>
        <w:tc>
          <w:tcPr>
            <w:tcW w:w="62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台</w:t>
            </w:r>
          </w:p>
        </w:tc>
        <w:tc>
          <w:tcPr>
            <w:tcW w:w="92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w:t>
            </w:r>
          </w:p>
        </w:tc>
      </w:tr>
      <w:tr>
        <w:tblPrEx>
          <w:tblCellMar>
            <w:top w:w="0" w:type="dxa"/>
            <w:left w:w="108" w:type="dxa"/>
            <w:bottom w:w="0" w:type="dxa"/>
            <w:right w:w="108" w:type="dxa"/>
          </w:tblCellMar>
        </w:tblPrEx>
        <w:trPr>
          <w:trHeight w:val="480" w:hRule="atLeast"/>
          <w:jc w:val="center"/>
        </w:trPr>
        <w:tc>
          <w:tcPr>
            <w:tcW w:w="75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4</w:t>
            </w:r>
          </w:p>
        </w:tc>
        <w:tc>
          <w:tcPr>
            <w:tcW w:w="118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软件</w:t>
            </w:r>
          </w:p>
        </w:tc>
        <w:tc>
          <w:tcPr>
            <w:tcW w:w="648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1、高灰阶高刷新：通用芯片，高灰阶、高刷新、高性能；</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2、逐点色度校正：校准每一颗灯的颜色，消除多批次LED间的色度差；</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3、无限面积带载：具有级联和同步技术，</w:t>
            </w:r>
          </w:p>
          <w:p>
            <w:pPr>
              <w:spacing w:line="400" w:lineRule="exact"/>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4、低灰丰富细腻：16bit灰度，</w:t>
            </w:r>
          </w:p>
          <w:p>
            <w:pPr>
              <w:spacing w:line="400" w:lineRule="exact"/>
              <w:jc w:val="left"/>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5、绿色节能环保：低电压、低功耗、低辐射，通过EMI/EMC；</w:t>
            </w:r>
          </w:p>
        </w:tc>
        <w:tc>
          <w:tcPr>
            <w:tcW w:w="62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套</w:t>
            </w:r>
          </w:p>
        </w:tc>
        <w:tc>
          <w:tcPr>
            <w:tcW w:w="92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w:t>
            </w:r>
          </w:p>
        </w:tc>
      </w:tr>
      <w:tr>
        <w:tblPrEx>
          <w:tblCellMar>
            <w:top w:w="0" w:type="dxa"/>
            <w:left w:w="108" w:type="dxa"/>
            <w:bottom w:w="0" w:type="dxa"/>
            <w:right w:w="108" w:type="dxa"/>
          </w:tblCellMar>
        </w:tblPrEx>
        <w:trPr>
          <w:trHeight w:val="480" w:hRule="atLeast"/>
          <w:jc w:val="center"/>
        </w:trPr>
        <w:tc>
          <w:tcPr>
            <w:tcW w:w="75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5</w:t>
            </w:r>
          </w:p>
        </w:tc>
        <w:tc>
          <w:tcPr>
            <w:tcW w:w="118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钢结构</w:t>
            </w:r>
          </w:p>
        </w:tc>
        <w:tc>
          <w:tcPr>
            <w:tcW w:w="6489" w:type="dxa"/>
            <w:tcBorders>
              <w:top w:val="single" w:color="000000" w:sz="4" w:space="0"/>
              <w:left w:val="single" w:color="000000" w:sz="4" w:space="0"/>
              <w:bottom w:val="single" w:color="000000" w:sz="4" w:space="0"/>
              <w:right w:val="single" w:color="000000" w:sz="4" w:space="0"/>
            </w:tcBorders>
            <w:vAlign w:val="center"/>
          </w:tcPr>
          <w:p>
            <w:pPr>
              <w:spacing w:line="300" w:lineRule="auto"/>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1、根据用户方提供的图纸及现场勘测,按设计图进行施工</w:t>
            </w:r>
          </w:p>
          <w:p>
            <w:pPr>
              <w:spacing w:line="300" w:lineRule="auto"/>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★2、设计标准：《钢结构设计规范》GB50017-2003</w:t>
            </w:r>
          </w:p>
          <w:p>
            <w:pPr>
              <w:spacing w:line="300" w:lineRule="auto"/>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★3、施工标准：《钢结构施工规范》GB50755-2012</w:t>
            </w:r>
          </w:p>
          <w:p>
            <w:pPr>
              <w:spacing w:line="300" w:lineRule="auto"/>
              <w:jc w:val="left"/>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★4、验收规范：《钢结构工程施工质量验收规范》GB 50205</w:t>
            </w:r>
          </w:p>
          <w:p>
            <w:pPr>
              <w:spacing w:line="300" w:lineRule="auto"/>
              <w:jc w:val="left"/>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5、结构件具有防锈，防腐功能，保证屏体通风散热，屏体方便维护；</w:t>
            </w:r>
          </w:p>
        </w:tc>
        <w:tc>
          <w:tcPr>
            <w:tcW w:w="623" w:type="dxa"/>
            <w:tcBorders>
              <w:top w:val="single" w:color="000000" w:sz="4" w:space="0"/>
              <w:left w:val="single" w:color="000000" w:sz="4" w:space="0"/>
              <w:bottom w:val="single" w:color="000000" w:sz="4" w:space="0"/>
              <w:right w:val="single" w:color="000000" w:sz="4" w:space="0"/>
            </w:tcBorders>
            <w:vAlign w:val="center"/>
          </w:tcPr>
          <w:p>
            <w:pPr>
              <w:spacing w:line="300" w:lineRule="auto"/>
              <w:jc w:val="center"/>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w:t>
            </w:r>
          </w:p>
        </w:tc>
        <w:tc>
          <w:tcPr>
            <w:tcW w:w="923" w:type="dxa"/>
            <w:tcBorders>
              <w:top w:val="single" w:color="000000" w:sz="4" w:space="0"/>
              <w:left w:val="single" w:color="000000" w:sz="4" w:space="0"/>
              <w:bottom w:val="single" w:color="000000" w:sz="4" w:space="0"/>
              <w:right w:val="single" w:color="000000" w:sz="4" w:space="0"/>
            </w:tcBorders>
            <w:vAlign w:val="center"/>
          </w:tcPr>
          <w:p>
            <w:pPr>
              <w:spacing w:line="300" w:lineRule="auto"/>
              <w:jc w:val="center"/>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22</w:t>
            </w:r>
          </w:p>
        </w:tc>
      </w:tr>
    </w:tbl>
    <w:p>
      <w:pPr>
        <w:pStyle w:val="4"/>
        <w:numPr>
          <w:ilvl w:val="1"/>
          <w:numId w:val="6"/>
        </w:numPr>
        <w:tabs>
          <w:tab w:val="left" w:pos="426"/>
          <w:tab w:val="left" w:pos="567"/>
        </w:tabs>
        <w:spacing w:before="0" w:after="0"/>
        <w:ind w:left="0" w:firstLine="562" w:firstLineChars="200"/>
        <w:jc w:val="both"/>
        <w:rPr>
          <w:color w:val="auto"/>
        </w:rPr>
      </w:pPr>
      <w:r>
        <w:rPr>
          <w:rFonts w:hint="eastAsia"/>
          <w:color w:val="auto"/>
        </w:rPr>
        <w:t>服务要求</w:t>
      </w:r>
      <w:bookmarkEnd w:id="132"/>
    </w:p>
    <w:p>
      <w:pPr>
        <w:widowControl/>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★1、售后服务：</w:t>
      </w:r>
    </w:p>
    <w:p>
      <w:pPr>
        <w:widowControl/>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1）质保期：所有产品必须提供不低于一年质保、三年免费上门服务；接故障信息后1小时到达现场，2小时内解决故障，现场不能修复的提供备用件使用。供应商应有完善的技术支持与服务体系，专人负责与采购人联系售后服务事宜，必要的售后机具配置、提供7×24小时的技术支持服务、配置专门固定的售后服务电话。</w:t>
      </w:r>
    </w:p>
    <w:p>
      <w:pPr>
        <w:widowControl/>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（2）在质保期结束后的2年内，成交供应商须以低于市场价的优惠价格向采购人提供零部件及零配件，并须在收到采购人订单后的7个工作日内交货。</w:t>
      </w:r>
    </w:p>
    <w:p>
      <w:pPr>
        <w:widowControl/>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（3）在质保期内，同一货物经两次有效维修仍无法正常使用，成交供应商必须予以更换同品牌、同型号新设备。</w:t>
      </w:r>
    </w:p>
    <w:p>
      <w:pPr>
        <w:widowControl/>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4）在质保期内，非人为因素导致货物出现故障，成交供应商应免费提供货物维修服务及货物零配件的更换。在质保期内，中标供应商应保证所供货物的配套零配件及时供应，并保证产品在停产后3年内继续提供符合技术要求的零配件。</w:t>
      </w:r>
    </w:p>
    <w:p>
      <w:pPr>
        <w:widowControl/>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（5）成交供应商每月不少于一次的定期上门巡检服务，检查设备使用情况和定期保养，确保设备的正常运行，延长使用寿命。</w:t>
      </w:r>
    </w:p>
    <w:p>
      <w:pPr>
        <w:widowControl/>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2、安装和调试：成交供应商应派遣专业技术人员到现场进行安装、调试。安装施工应按照国家的相关规范进行。成交供应商在签订合同后，接到采购人送货安装通知后5日内必须完成所有成交设施设备的软件、硬件，网络、系统平台等的安装调试、接入工作 ( 提供承诺函原件并加盖供应商公章）。</w:t>
      </w:r>
    </w:p>
    <w:p>
      <w:pPr>
        <w:widowControl/>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3、所有设备的运输、转运、搬运、安装、调试均由成交供应商负责，一切在组装、调试过程中造成的货物丢失、损毁等风险均由成交供应商承担。</w:t>
      </w:r>
    </w:p>
    <w:p>
      <w:pPr>
        <w:widowControl/>
        <w:spacing w:line="360" w:lineRule="auto"/>
        <w:ind w:firstLine="560" w:firstLineChars="200"/>
        <w:rPr>
          <w:rFonts w:ascii="宋体" w:hAnsi="宋体" w:cs="宋体"/>
          <w:color w:val="auto"/>
          <w:sz w:val="28"/>
          <w:szCs w:val="28"/>
        </w:rPr>
      </w:pPr>
      <w:r>
        <w:rPr>
          <w:rFonts w:hint="eastAsia" w:ascii="宋体" w:hAnsi="宋体" w:cs="宋体"/>
          <w:color w:val="auto"/>
          <w:sz w:val="28"/>
          <w:szCs w:val="28"/>
          <w:lang w:val="en-US" w:eastAsia="zh-CN"/>
        </w:rPr>
        <w:t>★4、供应商需承诺在收到中标通知书后三个工作日内，提供所有检测报告原件并加盖生产厂家公章与采购人进行确认。如查验中出现与招标、投标文件要求不一致，视为虚假响应，采购人将向政府采购监管部门举报供应商虚假响应谋取中标，并按政府采购法相关规定追究成交供应商责任（提供承诺函原件并加盖供应商公章）。</w:t>
      </w:r>
    </w:p>
    <w:p>
      <w:pPr>
        <w:pStyle w:val="2"/>
        <w:spacing w:after="0" w:line="360" w:lineRule="auto"/>
        <w:ind w:firstLine="420" w:firstLineChars="200"/>
        <w:rPr>
          <w:color w:val="auto"/>
        </w:rPr>
      </w:pPr>
    </w:p>
    <w:p>
      <w:pPr>
        <w:pStyle w:val="4"/>
        <w:numPr>
          <w:ilvl w:val="1"/>
          <w:numId w:val="6"/>
        </w:numPr>
        <w:tabs>
          <w:tab w:val="left" w:pos="426"/>
          <w:tab w:val="left" w:pos="567"/>
        </w:tabs>
        <w:spacing w:before="0" w:after="0"/>
        <w:ind w:left="0" w:firstLine="562" w:firstLineChars="200"/>
        <w:jc w:val="both"/>
        <w:rPr>
          <w:color w:val="auto"/>
        </w:rPr>
      </w:pPr>
      <w:bookmarkStart w:id="133" w:name="_Toc14634"/>
      <w:r>
        <w:rPr>
          <w:rFonts w:hint="eastAsia"/>
          <w:color w:val="auto"/>
        </w:rPr>
        <w:t>★商务要求</w:t>
      </w:r>
      <w:bookmarkEnd w:id="133"/>
    </w:p>
    <w:p>
      <w:pPr>
        <w:widowControl/>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1、履约期限：合同签订之日起5日内完成。</w:t>
      </w:r>
    </w:p>
    <w:p>
      <w:pPr>
        <w:widowControl/>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2、履约地点：成</w:t>
      </w:r>
      <w:r>
        <w:rPr>
          <w:rFonts w:hint="eastAsia" w:ascii="宋体" w:hAnsi="宋体" w:cs="宋体"/>
          <w:color w:val="auto"/>
          <w:sz w:val="28"/>
          <w:szCs w:val="28"/>
        </w:rPr>
        <w:t>都市东部新区贾家街道久隆社区19组128号</w:t>
      </w:r>
    </w:p>
    <w:p>
      <w:pPr>
        <w:widowControl/>
        <w:spacing w:line="360" w:lineRule="auto"/>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val="en-US" w:eastAsia="zh-CN"/>
        </w:rPr>
        <w:t>3、付款方式：</w:t>
      </w:r>
      <w:r>
        <w:rPr>
          <w:rFonts w:hint="eastAsia" w:ascii="宋体" w:hAnsi="宋体" w:cs="宋体"/>
          <w:color w:val="auto"/>
          <w:sz w:val="28"/>
          <w:szCs w:val="28"/>
        </w:rPr>
        <w:t>安装调试完毕且验收合格后</w:t>
      </w:r>
      <w:r>
        <w:rPr>
          <w:rFonts w:hint="eastAsia" w:ascii="宋体" w:hAnsi="宋体" w:cs="宋体"/>
          <w:color w:val="auto"/>
          <w:sz w:val="28"/>
          <w:szCs w:val="28"/>
          <w:lang w:eastAsia="zh-CN"/>
        </w:rPr>
        <w:t>待该项目专项资金到校，</w:t>
      </w:r>
      <w:r>
        <w:rPr>
          <w:rFonts w:hint="eastAsia" w:ascii="宋体" w:hAnsi="宋体" w:cs="宋体"/>
          <w:color w:val="auto"/>
          <w:sz w:val="28"/>
          <w:szCs w:val="28"/>
          <w:lang w:val="en-US" w:eastAsia="zh-CN"/>
        </w:rPr>
        <w:t>15日内</w:t>
      </w:r>
      <w:r>
        <w:rPr>
          <w:rFonts w:hint="eastAsia" w:ascii="宋体" w:hAnsi="宋体" w:cs="宋体"/>
          <w:color w:val="auto"/>
          <w:sz w:val="28"/>
          <w:szCs w:val="28"/>
        </w:rPr>
        <w:t>支付合同总金额的</w:t>
      </w:r>
      <w:r>
        <w:rPr>
          <w:rFonts w:hint="eastAsia" w:ascii="宋体" w:hAnsi="宋体" w:cs="宋体"/>
          <w:color w:val="auto"/>
          <w:sz w:val="28"/>
          <w:szCs w:val="28"/>
          <w:lang w:val="en-US" w:eastAsia="zh-CN"/>
        </w:rPr>
        <w:t>100</w:t>
      </w:r>
      <w:r>
        <w:rPr>
          <w:rFonts w:hint="eastAsia" w:ascii="宋体" w:hAnsi="宋体" w:cs="宋体"/>
          <w:color w:val="auto"/>
          <w:sz w:val="28"/>
          <w:szCs w:val="28"/>
        </w:rPr>
        <w:t>%</w:t>
      </w:r>
      <w:r>
        <w:rPr>
          <w:rFonts w:hint="eastAsia" w:ascii="宋体" w:hAnsi="宋体" w:cs="宋体"/>
          <w:color w:val="auto"/>
          <w:sz w:val="28"/>
          <w:szCs w:val="28"/>
          <w:lang w:eastAsia="zh-CN"/>
        </w:rPr>
        <w:t>。</w:t>
      </w:r>
    </w:p>
    <w:p>
      <w:pPr>
        <w:widowControl/>
        <w:spacing w:line="360" w:lineRule="auto"/>
        <w:ind w:firstLine="560" w:firstLineChars="200"/>
        <w:rPr>
          <w:rFonts w:ascii="宋体" w:hAnsi="宋体" w:cs="宋体"/>
          <w:color w:val="auto"/>
          <w:sz w:val="28"/>
          <w:szCs w:val="28"/>
        </w:rPr>
      </w:pPr>
      <w:r>
        <w:rPr>
          <w:rFonts w:hint="eastAsia" w:ascii="宋体" w:hAnsi="宋体" w:cs="宋体"/>
          <w:color w:val="auto"/>
          <w:sz w:val="28"/>
          <w:szCs w:val="28"/>
          <w:lang w:val="en-US" w:eastAsia="zh-CN"/>
        </w:rPr>
        <w:t>4、履约验收：按照政府采购相关法律法规以及《财政部关于进一步加强政府采购需求和履约验收管理的指导意见》财库〔2016〕205号的要求进行验收。</w:t>
      </w:r>
    </w:p>
    <w:p>
      <w:pPr>
        <w:pStyle w:val="4"/>
        <w:numPr>
          <w:ilvl w:val="1"/>
          <w:numId w:val="6"/>
        </w:numPr>
        <w:tabs>
          <w:tab w:val="left" w:pos="426"/>
          <w:tab w:val="left" w:pos="567"/>
        </w:tabs>
        <w:spacing w:before="0" w:after="0"/>
        <w:ind w:left="0" w:firstLine="562" w:firstLineChars="200"/>
        <w:jc w:val="both"/>
        <w:rPr>
          <w:color w:val="auto"/>
        </w:rPr>
      </w:pPr>
      <w:bookmarkStart w:id="134" w:name="_Toc11981"/>
      <w:bookmarkStart w:id="135" w:name="_Toc8545"/>
      <w:bookmarkStart w:id="136" w:name="_Toc27079"/>
      <w:r>
        <w:rPr>
          <w:rFonts w:hint="eastAsia"/>
          <w:color w:val="auto"/>
        </w:rPr>
        <w:t>其他要求</w:t>
      </w:r>
      <w:bookmarkEnd w:id="128"/>
      <w:bookmarkEnd w:id="134"/>
      <w:bookmarkEnd w:id="135"/>
      <w:bookmarkEnd w:id="136"/>
    </w:p>
    <w:p>
      <w:pPr>
        <w:pStyle w:val="87"/>
        <w:numPr>
          <w:ilvl w:val="0"/>
          <w:numId w:val="32"/>
        </w:numPr>
        <w:tabs>
          <w:tab w:val="left" w:pos="1134"/>
        </w:tabs>
        <w:snapToGrid w:val="0"/>
        <w:spacing w:line="360" w:lineRule="auto"/>
        <w:ind w:left="0" w:firstLine="562"/>
        <w:rPr>
          <w:rFonts w:ascii="宋体" w:hAnsi="宋体" w:eastAsia="宋体" w:cs="宋体"/>
          <w:b/>
          <w:color w:val="auto"/>
          <w:sz w:val="28"/>
          <w:szCs w:val="28"/>
        </w:rPr>
      </w:pPr>
      <w:r>
        <w:rPr>
          <w:rFonts w:hint="eastAsia" w:ascii="宋体" w:hAnsi="宋体" w:eastAsia="宋体" w:cs="宋体"/>
          <w:b/>
          <w:color w:val="auto"/>
          <w:sz w:val="28"/>
          <w:szCs w:val="28"/>
        </w:rPr>
        <w:t>在评审过程中，谈判小组认为供应商最后报价明显低于其他通过符合性审查供应商的最后报价，有可能影响产品质量或者不能诚信履约的，谈判小组应当要求其在合理的时间内提供书面说明，必要时提交相关证明材料。供应商提交的书面说明、相关证明材料（如涉及），应当加盖供应商（法定名称）电子签章，在谈判小组要求的时间内通过政府采购云平台进行递交，否则无效。如因断电、断网、系统故障或其他不可抗力等因素，导致系统无法使用的，由供应商按谈判小组的要求进行澄清或者说明。供应商不能证明其报价合理性的，谈判小组应当将其响应文件作为无效处理。</w:t>
      </w:r>
    </w:p>
    <w:p>
      <w:pPr>
        <w:pStyle w:val="87"/>
        <w:numPr>
          <w:ilvl w:val="0"/>
          <w:numId w:val="32"/>
        </w:numPr>
        <w:tabs>
          <w:tab w:val="left" w:pos="1134"/>
        </w:tabs>
        <w:snapToGrid w:val="0"/>
        <w:spacing w:line="360" w:lineRule="auto"/>
        <w:ind w:left="0" w:firstLine="562"/>
        <w:rPr>
          <w:rFonts w:ascii="宋体" w:hAnsi="宋体" w:eastAsia="宋体" w:cs="宋体"/>
          <w:b/>
          <w:color w:val="auto"/>
          <w:sz w:val="28"/>
          <w:szCs w:val="28"/>
        </w:rPr>
      </w:pPr>
      <w:r>
        <w:rPr>
          <w:rFonts w:hint="eastAsia" w:ascii="宋体" w:hAnsi="宋体" w:eastAsia="宋体" w:cs="宋体"/>
          <w:b/>
          <w:color w:val="auto"/>
          <w:sz w:val="28"/>
          <w:szCs w:val="28"/>
        </w:rPr>
        <w:t>供应商为本项目提供的所有产品、辅材中属于《国家强制性产品认证目录》范围内产品的，均通过国家强制性产品认证并取得认证证书。（说明：按照谈判文件3.2.3承诺函内容进行承诺）</w:t>
      </w:r>
    </w:p>
    <w:p>
      <w:pPr>
        <w:pStyle w:val="87"/>
        <w:numPr>
          <w:ilvl w:val="0"/>
          <w:numId w:val="32"/>
        </w:numPr>
        <w:tabs>
          <w:tab w:val="left" w:pos="1134"/>
        </w:tabs>
        <w:snapToGrid w:val="0"/>
        <w:spacing w:line="360" w:lineRule="auto"/>
        <w:ind w:left="0" w:firstLine="562"/>
        <w:rPr>
          <w:rFonts w:ascii="宋体" w:hAnsi="宋体" w:eastAsia="宋体" w:cs="宋体"/>
          <w:b/>
          <w:color w:val="auto"/>
          <w:sz w:val="28"/>
          <w:szCs w:val="28"/>
        </w:rPr>
      </w:pPr>
      <w:r>
        <w:rPr>
          <w:rFonts w:hint="eastAsia" w:ascii="宋体" w:hAnsi="宋体" w:eastAsia="宋体" w:cs="宋体"/>
          <w:b/>
          <w:color w:val="auto"/>
          <w:sz w:val="28"/>
          <w:szCs w:val="28"/>
        </w:rPr>
        <w:t>供应商为本项目提供的所有产品、辅材符合现行的强制性国家相关标准、行业标准。（说明：按照谈判文件3.2.3承诺函内容进行承诺）</w:t>
      </w:r>
    </w:p>
    <w:bookmarkEnd w:id="129"/>
    <w:bookmarkEnd w:id="130"/>
    <w:p>
      <w:pPr>
        <w:spacing w:line="360" w:lineRule="auto"/>
        <w:ind w:firstLine="560" w:firstLineChars="200"/>
        <w:rPr>
          <w:rFonts w:ascii="宋体" w:hAnsi="宋体" w:cs="宋体"/>
          <w:color w:val="auto"/>
          <w:sz w:val="28"/>
          <w:szCs w:val="28"/>
        </w:rPr>
      </w:pP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注：本章★号项内容为谈判后的实质性要求（谈判过程中，谈判小组获得采购人同意（由采购人代表签字确认）后，可以根据谈判文件和谈判情况实质性变动该内容），供应商在其的“响应文件”中应全部体现、满足，并且不能低于所规定的要求。</w:t>
      </w:r>
    </w:p>
    <w:p>
      <w:pPr>
        <w:spacing w:line="360" w:lineRule="auto"/>
        <w:ind w:firstLine="560" w:firstLineChars="200"/>
        <w:rPr>
          <w:rFonts w:ascii="宋体" w:hAnsi="宋体" w:cs="宋体"/>
          <w:color w:val="auto"/>
          <w:sz w:val="28"/>
          <w:szCs w:val="28"/>
        </w:rPr>
        <w:sectPr>
          <w:pgSz w:w="11906" w:h="16838"/>
          <w:pgMar w:top="1440" w:right="1800" w:bottom="1440" w:left="1800" w:header="851" w:footer="992" w:gutter="0"/>
          <w:cols w:space="425" w:num="1"/>
          <w:docGrid w:type="lines" w:linePitch="312" w:charSpace="0"/>
        </w:sectPr>
      </w:pPr>
    </w:p>
    <w:p>
      <w:pPr>
        <w:pStyle w:val="2"/>
        <w:rPr>
          <w:rFonts w:ascii="宋体" w:hAnsi="宋体" w:cs="宋体"/>
          <w:color w:val="auto"/>
        </w:rPr>
      </w:pPr>
    </w:p>
    <w:p>
      <w:pPr>
        <w:pStyle w:val="3"/>
        <w:widowControl/>
        <w:numPr>
          <w:ilvl w:val="0"/>
          <w:numId w:val="6"/>
        </w:numPr>
        <w:spacing w:before="0" w:after="0" w:line="360" w:lineRule="auto"/>
        <w:ind w:left="0" w:firstLine="0"/>
        <w:rPr>
          <w:color w:val="auto"/>
        </w:rPr>
      </w:pPr>
      <w:bookmarkStart w:id="137" w:name="_Toc10054"/>
      <w:bookmarkStart w:id="138" w:name="_Toc7442"/>
      <w:bookmarkStart w:id="139" w:name="_Toc58943344"/>
      <w:bookmarkStart w:id="140" w:name="_Toc21412"/>
      <w:bookmarkStart w:id="141" w:name="_Toc360696963"/>
      <w:bookmarkStart w:id="142" w:name="_Toc238273564"/>
      <w:bookmarkStart w:id="143" w:name="_Toc236285891"/>
      <w:bookmarkStart w:id="144" w:name="_Toc205604899"/>
      <w:r>
        <w:rPr>
          <w:rFonts w:hint="eastAsia"/>
          <w:color w:val="auto"/>
        </w:rPr>
        <w:t>谈判办法</w:t>
      </w:r>
      <w:bookmarkEnd w:id="137"/>
      <w:bookmarkEnd w:id="138"/>
      <w:bookmarkEnd w:id="139"/>
      <w:bookmarkEnd w:id="140"/>
    </w:p>
    <w:p>
      <w:pPr>
        <w:pStyle w:val="4"/>
        <w:numPr>
          <w:ilvl w:val="1"/>
          <w:numId w:val="6"/>
        </w:numPr>
        <w:tabs>
          <w:tab w:val="left" w:pos="426"/>
          <w:tab w:val="left" w:pos="567"/>
        </w:tabs>
        <w:spacing w:before="0" w:after="0"/>
        <w:ind w:left="0" w:firstLine="562" w:firstLineChars="200"/>
        <w:jc w:val="both"/>
        <w:rPr>
          <w:color w:val="auto"/>
        </w:rPr>
      </w:pPr>
      <w:bookmarkStart w:id="145" w:name="_Toc10674"/>
      <w:bookmarkStart w:id="146" w:name="_Toc5105"/>
      <w:bookmarkStart w:id="147" w:name="_Toc12521"/>
      <w:bookmarkStart w:id="148" w:name="_Toc58943345"/>
      <w:r>
        <w:rPr>
          <w:rFonts w:hint="eastAsia"/>
          <w:color w:val="auto"/>
        </w:rPr>
        <w:t>总则</w:t>
      </w:r>
      <w:bookmarkEnd w:id="145"/>
      <w:bookmarkEnd w:id="146"/>
      <w:bookmarkEnd w:id="147"/>
      <w:bookmarkEnd w:id="148"/>
    </w:p>
    <w:p>
      <w:pPr>
        <w:numPr>
          <w:ilvl w:val="0"/>
          <w:numId w:val="33"/>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根据《中华人民共和国政府采购法》、《中华人民共和国政府采购法实施条例》和《政府采购非招标采购方式管理办法》等法律规章，结合采购项目特点制定本办法。</w:t>
      </w:r>
    </w:p>
    <w:p>
      <w:pPr>
        <w:numPr>
          <w:ilvl w:val="0"/>
          <w:numId w:val="33"/>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评审工作由综合部负责组织，具体评审事务由采购人和综合部依法组建的谈判小组负责。谈判小组由采购人代表和评审专家组成。</w:t>
      </w:r>
    </w:p>
    <w:p>
      <w:pPr>
        <w:numPr>
          <w:ilvl w:val="0"/>
          <w:numId w:val="33"/>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评审工作应遵循公平、公正、科学及择优的原则，并以相同的评审程序和标准对待所有的供应商。</w:t>
      </w:r>
    </w:p>
    <w:p>
      <w:pPr>
        <w:numPr>
          <w:ilvl w:val="0"/>
          <w:numId w:val="33"/>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谈判小组按照谈判文件规定的谈判程序、评审方法和标准进行独立评审，并独立履行下列职责：</w:t>
      </w:r>
    </w:p>
    <w:p>
      <w:pPr>
        <w:numPr>
          <w:ilvl w:val="1"/>
          <w:numId w:val="34"/>
        </w:numPr>
        <w:tabs>
          <w:tab w:val="left" w:pos="1418"/>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熟悉和理解谈判文件，确定谈判文件内容是否违反国家有关强制性规定或者谈判文件存在歧义、重大缺陷；</w:t>
      </w:r>
    </w:p>
    <w:p>
      <w:pPr>
        <w:numPr>
          <w:ilvl w:val="1"/>
          <w:numId w:val="34"/>
        </w:numPr>
        <w:tabs>
          <w:tab w:val="left" w:pos="1418"/>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审查供应商响应文件是否满足谈判文件要求，并作出公正评价；</w:t>
      </w:r>
    </w:p>
    <w:p>
      <w:pPr>
        <w:numPr>
          <w:ilvl w:val="1"/>
          <w:numId w:val="34"/>
        </w:numPr>
        <w:tabs>
          <w:tab w:val="left" w:pos="1418"/>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根据需要要求供应商对谈判文件有关事项作出澄清、说明或者纠正；</w:t>
      </w:r>
    </w:p>
    <w:p>
      <w:pPr>
        <w:numPr>
          <w:ilvl w:val="1"/>
          <w:numId w:val="34"/>
        </w:numPr>
        <w:tabs>
          <w:tab w:val="left" w:pos="1418"/>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推荐成交供应商，或者受采购人委托确定成交供应商；</w:t>
      </w:r>
    </w:p>
    <w:p>
      <w:pPr>
        <w:numPr>
          <w:ilvl w:val="1"/>
          <w:numId w:val="34"/>
        </w:numPr>
        <w:tabs>
          <w:tab w:val="left" w:pos="1418"/>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起草评审报告并进行签署；</w:t>
      </w:r>
    </w:p>
    <w:p>
      <w:pPr>
        <w:numPr>
          <w:ilvl w:val="1"/>
          <w:numId w:val="34"/>
        </w:numPr>
        <w:tabs>
          <w:tab w:val="left" w:pos="1418"/>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向采购人、财政部门或者其他监督部门报告非法干预评审工作的行为；</w:t>
      </w:r>
    </w:p>
    <w:p>
      <w:pPr>
        <w:numPr>
          <w:ilvl w:val="1"/>
          <w:numId w:val="34"/>
        </w:numPr>
        <w:tabs>
          <w:tab w:val="left" w:pos="1418"/>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法律、法规和规章规定的其他职责。</w:t>
      </w:r>
    </w:p>
    <w:p>
      <w:pPr>
        <w:numPr>
          <w:ilvl w:val="0"/>
          <w:numId w:val="33"/>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评审过程独立、保密。供应商非法干预评审过程的行为将导致其响应文件作为无效处理。</w:t>
      </w:r>
    </w:p>
    <w:p>
      <w:pPr>
        <w:numPr>
          <w:ilvl w:val="0"/>
          <w:numId w:val="33"/>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谈判小组决定响应文件的响应性依据响应文件本身的内容，而不寻求外部的证据，谈判文件有明确约定的除外。</w:t>
      </w:r>
    </w:p>
    <w:p>
      <w:pPr>
        <w:tabs>
          <w:tab w:val="left" w:pos="1134"/>
        </w:tabs>
        <w:spacing w:line="360" w:lineRule="auto"/>
        <w:ind w:firstLine="560" w:firstLineChars="200"/>
        <w:rPr>
          <w:rFonts w:ascii="宋体" w:hAnsi="宋体" w:cs="宋体"/>
          <w:color w:val="auto"/>
        </w:rPr>
      </w:pPr>
      <w:r>
        <w:rPr>
          <w:rFonts w:hint="eastAsia" w:ascii="宋体" w:hAnsi="宋体" w:cs="宋体"/>
          <w:color w:val="auto"/>
          <w:sz w:val="28"/>
          <w:szCs w:val="28"/>
        </w:rPr>
        <w:t>七、谈判小组发现谈判文件表述不明确或需要说明的事项，可提请采购人和综合部书面解释说明。</w:t>
      </w:r>
      <w:bookmarkStart w:id="149" w:name="_Toc58943346"/>
    </w:p>
    <w:p>
      <w:pPr>
        <w:pStyle w:val="4"/>
        <w:numPr>
          <w:ilvl w:val="1"/>
          <w:numId w:val="6"/>
        </w:numPr>
        <w:tabs>
          <w:tab w:val="left" w:pos="426"/>
          <w:tab w:val="left" w:pos="567"/>
        </w:tabs>
        <w:spacing w:before="0" w:after="0"/>
        <w:ind w:left="0" w:firstLine="562" w:firstLineChars="200"/>
        <w:jc w:val="both"/>
        <w:rPr>
          <w:color w:val="auto"/>
        </w:rPr>
      </w:pPr>
      <w:r>
        <w:rPr>
          <w:rFonts w:hint="eastAsia"/>
          <w:color w:val="auto"/>
        </w:rPr>
        <w:t xml:space="preserve"> </w:t>
      </w:r>
      <w:bookmarkStart w:id="150" w:name="_Toc7346"/>
      <w:bookmarkStart w:id="151" w:name="_Toc11306"/>
      <w:bookmarkStart w:id="152" w:name="_Toc25254"/>
      <w:r>
        <w:rPr>
          <w:rFonts w:hint="eastAsia"/>
          <w:color w:val="auto"/>
          <w:kern w:val="0"/>
        </w:rPr>
        <w:t>评审程序</w:t>
      </w:r>
      <w:bookmarkEnd w:id="149"/>
      <w:bookmarkEnd w:id="150"/>
      <w:bookmarkEnd w:id="151"/>
      <w:bookmarkEnd w:id="152"/>
    </w:p>
    <w:p>
      <w:pPr>
        <w:pStyle w:val="5"/>
        <w:numPr>
          <w:ilvl w:val="2"/>
          <w:numId w:val="6"/>
        </w:numPr>
        <w:ind w:left="0" w:firstLine="562" w:firstLineChars="200"/>
        <w:rPr>
          <w:color w:val="auto"/>
        </w:rPr>
      </w:pPr>
      <w:bookmarkStart w:id="153" w:name="_Toc287623646"/>
      <w:r>
        <w:rPr>
          <w:rFonts w:hint="eastAsia"/>
          <w:color w:val="auto"/>
        </w:rPr>
        <w:t>谈判小组</w:t>
      </w:r>
      <w:bookmarkEnd w:id="153"/>
    </w:p>
    <w:p>
      <w:pPr>
        <w:pStyle w:val="22"/>
        <w:spacing w:line="360" w:lineRule="auto"/>
        <w:ind w:firstLine="560" w:firstLineChars="200"/>
        <w:rPr>
          <w:rFonts w:hAnsi="宋体" w:cs="宋体"/>
          <w:color w:val="auto"/>
          <w:sz w:val="28"/>
          <w:szCs w:val="28"/>
        </w:rPr>
      </w:pPr>
      <w:r>
        <w:rPr>
          <w:rFonts w:hint="eastAsia" w:hAnsi="宋体" w:cs="宋体"/>
          <w:color w:val="auto"/>
          <w:sz w:val="28"/>
          <w:szCs w:val="28"/>
        </w:rPr>
        <w:t>谈判小组由采购人代表和根据采购项目情况确定的技术或经济或法律等有关专家3人以上的单数组成。谈判小组负责本项目的谈判和评审工作。</w:t>
      </w:r>
    </w:p>
    <w:p>
      <w:pPr>
        <w:pStyle w:val="5"/>
        <w:numPr>
          <w:ilvl w:val="2"/>
          <w:numId w:val="6"/>
        </w:numPr>
        <w:ind w:left="0" w:firstLine="562" w:firstLineChars="200"/>
        <w:rPr>
          <w:color w:val="auto"/>
        </w:rPr>
      </w:pPr>
      <w:r>
        <w:rPr>
          <w:rFonts w:hint="eastAsia"/>
          <w:color w:val="auto"/>
        </w:rPr>
        <w:t>资格审查</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提交首次响应文件截止时间结束后，由谈判小组对提交响应文件的供应商进行资格性审查。谈判小组在资格审查过程中，谈判小组成员对供应商资格是否符合规定存在争议的，应当以少数服从多数的原则处理，但不违背政府采购法和谈判文件规定。</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供应商资格审查的标准：</w:t>
      </w:r>
    </w:p>
    <w:tbl>
      <w:tblPr>
        <w:tblStyle w:val="4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宋体" w:hAnsi="宋体" w:cs="宋体"/>
                <w:b/>
                <w:color w:val="auto"/>
                <w:sz w:val="20"/>
              </w:rPr>
            </w:pPr>
            <w:r>
              <w:rPr>
                <w:rFonts w:hint="eastAsia" w:ascii="宋体" w:hAnsi="宋体" w:cs="宋体"/>
                <w:b/>
                <w:color w:val="auto"/>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宋体" w:hAnsi="宋体" w:cs="宋体"/>
                <w:color w:val="auto"/>
                <w:sz w:val="20"/>
              </w:rPr>
            </w:pPr>
            <w:r>
              <w:rPr>
                <w:rFonts w:hint="eastAsia" w:ascii="宋体" w:hAnsi="宋体" w:cs="宋体"/>
                <w:b/>
                <w:color w:val="auto"/>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宋体" w:hAnsi="宋体" w:cs="宋体"/>
                <w:color w:val="auto"/>
                <w:sz w:val="20"/>
              </w:rPr>
            </w:pPr>
            <w:r>
              <w:rPr>
                <w:rFonts w:hint="eastAsia" w:ascii="宋体" w:hAnsi="宋体" w:cs="宋体"/>
                <w:color w:val="auto"/>
                <w:sz w:val="20"/>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2"/>
              </w:rPr>
              <w:t>供应商应具有独立承担民事责任的能力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2"/>
              </w:rPr>
              <w:t>营业执照（正本或副本）或法人登记证（正本或副本）或其他能够证明供应商具有独立承担民事责任能力的相关证明材料复印件【注：（1）营业执照或法人登记证或其他证明材料载明有期限的，应在有效期限内；（2）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2</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1、参加政府采购活动前三年内，在经营活动中没有重大违法记录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1.供应商参加政府采购活动前三年内，在经营活动中没有重大违法记录的书面声明材料。【说明：</w:t>
            </w:r>
            <w:r>
              <w:rPr>
                <w:rFonts w:hint="eastAsia" w:ascii="宋体" w:hAnsi="宋体" w:cs="宋体"/>
                <w:color w:val="auto"/>
                <w:sz w:val="20"/>
                <w:szCs w:val="28"/>
              </w:rPr>
              <w:t>①</w:t>
            </w:r>
            <w:r>
              <w:rPr>
                <w:rFonts w:hint="eastAsia" w:ascii="宋体" w:hAnsi="宋体" w:cs="宋体"/>
                <w:color w:val="auto"/>
                <w:sz w:val="20"/>
              </w:rPr>
              <w:t>按谈判文件3.1.3声明的内容提供书面声明材料；</w:t>
            </w:r>
            <w:r>
              <w:rPr>
                <w:rFonts w:hint="eastAsia" w:ascii="宋体" w:hAnsi="宋体" w:cs="宋体"/>
                <w:color w:val="auto"/>
                <w:sz w:val="20"/>
                <w:szCs w:val="28"/>
              </w:rPr>
              <w:t>②供应商参加政府采购活动前三年内，在经营活动中没有重大违法记录</w:t>
            </w:r>
            <w:r>
              <w:rPr>
                <w:rFonts w:hint="eastAsia" w:ascii="宋体" w:hAnsi="宋体" w:cs="宋体"/>
                <w:color w:val="auto"/>
                <w:sz w:val="20"/>
              </w:rPr>
              <w:t>。】</w:t>
            </w:r>
          </w:p>
          <w:p>
            <w:pPr>
              <w:tabs>
                <w:tab w:val="left" w:pos="851"/>
              </w:tabs>
              <w:spacing w:line="360" w:lineRule="auto"/>
              <w:rPr>
                <w:rFonts w:ascii="宋体" w:hAnsi="宋体" w:cs="宋体"/>
                <w:color w:val="auto"/>
                <w:sz w:val="20"/>
              </w:rPr>
            </w:pPr>
            <w:r>
              <w:rPr>
                <w:rFonts w:hint="eastAsia" w:ascii="宋体" w:hAnsi="宋体" w:cs="宋体"/>
                <w:color w:val="auto"/>
                <w:sz w:val="20"/>
              </w:rPr>
              <w:t>2. 谈判小组根据“信用中国”和“中国政府采购网”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2"/>
                <w:szCs w:val="21"/>
              </w:rPr>
              <w:t>2、具有良好的商业信誉的证明材料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供应商具有良好的商业信誉的书面声明材料。【说明：</w:t>
            </w:r>
            <w:r>
              <w:rPr>
                <w:rFonts w:hint="eastAsia" w:ascii="宋体" w:hAnsi="宋体" w:cs="宋体"/>
                <w:color w:val="auto"/>
                <w:sz w:val="20"/>
                <w:szCs w:val="28"/>
              </w:rPr>
              <w:t>①</w:t>
            </w:r>
            <w:r>
              <w:rPr>
                <w:rFonts w:hint="eastAsia" w:ascii="宋体" w:hAnsi="宋体" w:cs="宋体"/>
                <w:color w:val="auto"/>
                <w:sz w:val="20"/>
              </w:rPr>
              <w:t>按谈判文件3.1.3声明的内容提供书面声明材料</w:t>
            </w:r>
            <w:r>
              <w:rPr>
                <w:rFonts w:hint="eastAsia" w:ascii="宋体" w:hAnsi="宋体" w:cs="宋体"/>
                <w:color w:val="auto"/>
                <w:sz w:val="20"/>
                <w:szCs w:val="28"/>
              </w:rPr>
              <w:t>；②供应商具有良好的商业信誉</w:t>
            </w:r>
            <w:r>
              <w:rPr>
                <w:rFonts w:hint="eastAsia" w:ascii="宋体" w:hAnsi="宋体" w:cs="宋体"/>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3、单位负责人为同一人或者存在直接控股、管理关系的不同供应商，不得参加同一项目的政府采购活动</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rPr>
              <w:t>负责人为同一人或者存在直接控股、管理关系的不同供应商未同时参加本项目书面声明材料。【说明：</w:t>
            </w:r>
            <w:r>
              <w:rPr>
                <w:rFonts w:hint="eastAsia" w:ascii="宋体" w:hAnsi="宋体" w:cs="宋体"/>
                <w:color w:val="auto"/>
                <w:sz w:val="20"/>
                <w:szCs w:val="28"/>
              </w:rPr>
              <w:t>①</w:t>
            </w:r>
            <w:r>
              <w:rPr>
                <w:rFonts w:hint="eastAsia" w:ascii="宋体" w:hAnsi="宋体" w:cs="宋体"/>
                <w:color w:val="auto"/>
              </w:rPr>
              <w:t>按谈判文件3.1.3声明内容提供书面声明材料；</w:t>
            </w:r>
            <w:r>
              <w:rPr>
                <w:rFonts w:hint="eastAsia" w:ascii="宋体" w:hAnsi="宋体" w:cs="宋体"/>
                <w:color w:val="auto"/>
                <w:sz w:val="20"/>
                <w:szCs w:val="28"/>
              </w:rPr>
              <w:t>②</w:t>
            </w:r>
            <w:r>
              <w:rPr>
                <w:rFonts w:hint="eastAsia" w:ascii="宋体" w:hAnsi="宋体" w:cs="宋体"/>
                <w:color w:val="auto"/>
              </w:rPr>
              <w:t>参加本项目采购活动的供应商中无与其他同时参加本项目的供应商负责人为同一人的情况，不存在直接控股、管理关系的供应商参加本项目的情况。】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4、行贿犯罪记录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在行贿犯罪信息查询期限内，供应商及其现任法定代表人、主要负责人没有行贿犯罪记录的书面声明材料。【说明：</w:t>
            </w:r>
            <w:r>
              <w:rPr>
                <w:rFonts w:hint="eastAsia" w:ascii="宋体" w:hAnsi="宋体" w:cs="宋体"/>
                <w:color w:val="auto"/>
                <w:sz w:val="20"/>
                <w:szCs w:val="28"/>
              </w:rPr>
              <w:t>①</w:t>
            </w:r>
            <w:r>
              <w:rPr>
                <w:rFonts w:hint="eastAsia" w:ascii="宋体" w:hAnsi="宋体" w:cs="宋体"/>
                <w:color w:val="auto"/>
                <w:sz w:val="20"/>
              </w:rPr>
              <w:t>按谈判文件3.1.3声明内容提供书面声明材料，响应文件中不需提供中国裁判文书网（https://wenshu.court.gov.cn）查询结果的证明材料；</w:t>
            </w:r>
            <w:r>
              <w:rPr>
                <w:rFonts w:hint="eastAsia" w:ascii="宋体" w:hAnsi="宋体" w:cs="宋体"/>
                <w:color w:val="auto"/>
                <w:sz w:val="20"/>
                <w:szCs w:val="28"/>
              </w:rPr>
              <w:t>②在行贿犯罪信息查询期限内，供应商及其现任法定代表人、主要负责人没有行贿犯罪记录</w:t>
            </w:r>
            <w:r>
              <w:rPr>
                <w:rFonts w:hint="eastAsia" w:ascii="宋体" w:hAnsi="宋体" w:cs="宋体"/>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5、未被列入失信被执行人、重大税收违法案件当事人名单、政府采购严重违法失信行为记录名单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1.供应商未被列入失信被执行人、重大税收违法案件当事人名单、政府采购严重违法失信行为记录名单的书面声明材料。【说明：</w:t>
            </w:r>
            <w:r>
              <w:rPr>
                <w:rFonts w:hint="eastAsia" w:ascii="宋体" w:hAnsi="宋体" w:cs="宋体"/>
                <w:color w:val="auto"/>
                <w:sz w:val="20"/>
                <w:szCs w:val="28"/>
              </w:rPr>
              <w:t>①</w:t>
            </w:r>
            <w:r>
              <w:rPr>
                <w:rFonts w:hint="eastAsia" w:ascii="宋体" w:hAnsi="宋体" w:cs="宋体"/>
                <w:color w:val="auto"/>
                <w:sz w:val="20"/>
              </w:rPr>
              <w:t>供应商未列入失信被执行人、重大税收违法案件当事人名单、政府采购严重违法失信行为记录名单；</w:t>
            </w:r>
            <w:r>
              <w:rPr>
                <w:rFonts w:hint="eastAsia" w:ascii="宋体" w:hAnsi="宋体" w:cs="宋体"/>
                <w:color w:val="auto"/>
                <w:sz w:val="20"/>
                <w:szCs w:val="28"/>
              </w:rPr>
              <w:t>②</w:t>
            </w:r>
            <w:r>
              <w:rPr>
                <w:rFonts w:hint="eastAsia" w:ascii="宋体" w:hAnsi="宋体" w:cs="宋体"/>
                <w:color w:val="auto"/>
                <w:sz w:val="20"/>
              </w:rPr>
              <w:t>按谈判文件3.1.3声明内容提供书面声明材料。】</w:t>
            </w:r>
          </w:p>
          <w:p>
            <w:pPr>
              <w:tabs>
                <w:tab w:val="left" w:pos="851"/>
              </w:tabs>
              <w:spacing w:line="360" w:lineRule="auto"/>
              <w:rPr>
                <w:rFonts w:ascii="宋体" w:hAnsi="宋体" w:cs="宋体"/>
                <w:color w:val="auto"/>
                <w:sz w:val="20"/>
              </w:rPr>
            </w:pPr>
            <w:r>
              <w:rPr>
                <w:rFonts w:hint="eastAsia" w:ascii="宋体" w:hAnsi="宋体" w:cs="宋体"/>
                <w:color w:val="auto"/>
                <w:sz w:val="20"/>
              </w:rPr>
              <w:t>2. 谈判小组根据“信用中国”和“中国政府采购网”网站的查询结果，在资格审查期间对供应商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6、未处于被行政部门禁止参与政府采购活动的期限内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供应商未处于被行政部门禁止参与政府采购活动的期限内。【说明：</w:t>
            </w:r>
            <w:r>
              <w:rPr>
                <w:rFonts w:hint="eastAsia" w:ascii="宋体" w:hAnsi="宋体" w:cs="宋体"/>
                <w:color w:val="auto"/>
                <w:sz w:val="20"/>
                <w:szCs w:val="28"/>
              </w:rPr>
              <w:t>①</w:t>
            </w:r>
            <w:r>
              <w:rPr>
                <w:rFonts w:hint="eastAsia" w:ascii="宋体" w:hAnsi="宋体" w:cs="宋体"/>
                <w:color w:val="auto"/>
                <w:sz w:val="20"/>
              </w:rPr>
              <w:t>按谈判文件3.1.3声明内容提供书面声明材料</w:t>
            </w:r>
            <w:r>
              <w:rPr>
                <w:rFonts w:hint="eastAsia" w:ascii="宋体" w:hAnsi="宋体" w:cs="宋体"/>
                <w:color w:val="auto"/>
                <w:sz w:val="20"/>
                <w:szCs w:val="28"/>
              </w:rPr>
              <w:t>；②供应商未处于被行政部门禁止参与政府采购活动的期限内。</w:t>
            </w:r>
            <w:r>
              <w:rPr>
                <w:rFonts w:hint="eastAsia" w:ascii="宋体" w:hAnsi="宋体" w:cs="宋体"/>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7、具有健全的财务会计制度的证明材料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Cs w:val="21"/>
              </w:rPr>
              <w:t>供应商具有健全的财务会计制度的书面声明材料【说明：①按谈判文件3.1.3声明的内容提供书面声明材料；②供应商具有健全的财务会计制度。】。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8、缴纳社会保障资金的证明材料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Cs w:val="21"/>
              </w:rPr>
              <w:t>供应商具有依法缴纳社会保障资金良好记录的书面声明材料【说明：①按谈判文件3.1.3声明的内容提供书面声明材料；②供应商有依法缴纳社会保障资金的良好记录。】。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9、缴纳税收的证明材料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Cs w:val="21"/>
              </w:rPr>
              <w:t>供应商具有依法缴纳税收良好记录的书面声明材料【说明：①按谈判文件3.1.3声明的内容提供书面声明材料；②供应商有依法缴纳税收的良好记录。】。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宋体" w:hAnsi="宋体" w:cs="宋体"/>
                <w:color w:val="auto"/>
                <w:sz w:val="20"/>
              </w:rPr>
            </w:pPr>
            <w:r>
              <w:rPr>
                <w:rFonts w:hint="eastAsia" w:ascii="宋体" w:hAnsi="宋体" w:cs="宋体"/>
                <w:color w:val="auto"/>
                <w:sz w:val="20"/>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1、具有履行合同所必须的设备和专业技术能力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采购人对供应商履行合同所必须的设备和专业技术能力无其他特殊要求，供应商可不提供证明材料。【说明：无须提供证明材料，上传空白页即可，不对本项上传的材料作资格审查】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宋体" w:hAnsi="宋体" w:cs="宋体"/>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2、法律、行政法规规定的其他条件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采购人对法律、行政法规规定的其他条件无其他特殊要求，可不提供证明材料。【说明：无须提供证明材料，上传空白页即可，不对本项上传的材料作资格审查】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宋体" w:hAnsi="宋体" w:cs="宋体"/>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3、不属于其他国家相关法律法规规定的禁止参加政府采购活动的供应商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1、根据谈判文件的要求不属于禁止参加政府采购活动的供应商；</w:t>
            </w:r>
          </w:p>
          <w:p>
            <w:pPr>
              <w:tabs>
                <w:tab w:val="left" w:pos="851"/>
              </w:tabs>
              <w:spacing w:line="360" w:lineRule="auto"/>
              <w:rPr>
                <w:rFonts w:ascii="宋体" w:hAnsi="宋体" w:cs="宋体"/>
                <w:color w:val="auto"/>
                <w:sz w:val="20"/>
              </w:rPr>
            </w:pPr>
            <w:r>
              <w:rPr>
                <w:rFonts w:hint="eastAsia" w:ascii="宋体" w:hAnsi="宋体" w:cs="宋体"/>
                <w:color w:val="auto"/>
                <w:sz w:val="20"/>
              </w:rPr>
              <w:t>2、谈判小组未发现或者未知晓供应商存在属于国家相关法律法规规定的禁止参加谈判的供应商。</w:t>
            </w:r>
          </w:p>
          <w:p>
            <w:pPr>
              <w:tabs>
                <w:tab w:val="left" w:pos="851"/>
              </w:tabs>
              <w:spacing w:line="360" w:lineRule="auto"/>
              <w:rPr>
                <w:rFonts w:ascii="宋体" w:hAnsi="宋体" w:cs="宋体"/>
                <w:color w:val="auto"/>
                <w:sz w:val="20"/>
              </w:rPr>
            </w:pPr>
            <w:r>
              <w:rPr>
                <w:rFonts w:hint="eastAsia" w:ascii="宋体" w:hAnsi="宋体" w:cs="宋体"/>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4、非联合体参加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非联合体参加本次政府采购活动。【说明：无须提供证明材料，上传空白页即可，不对本项上传的材料作资格审查】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5、资质要求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6、谈判保证金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7、响应文件签章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8、响应文件的语言、有效期</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语言符合采购文件的要求。【说明：无须提供证明材料，上传空白页即可，不对本项上传的材料作资格审查】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rPr>
              <w:t>资格性响应文件组成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szCs w:val="28"/>
              </w:rPr>
              <w:t>符合谈判文件“2.4.5响应文件的组成”规定要求。【说明①供应商按谈判文件3.1.2关于供应商申明的</w:t>
            </w:r>
            <w:r>
              <w:rPr>
                <w:rFonts w:hint="eastAsia" w:ascii="宋体" w:hAnsi="宋体" w:cs="宋体"/>
                <w:color w:val="auto"/>
                <w:sz w:val="20"/>
              </w:rPr>
              <w:t>内容</w:t>
            </w:r>
            <w:r>
              <w:rPr>
                <w:rFonts w:hint="eastAsia" w:ascii="宋体" w:hAnsi="宋体" w:cs="宋体"/>
                <w:color w:val="auto"/>
                <w:sz w:val="20"/>
                <w:szCs w:val="28"/>
              </w:rPr>
              <w:t>提供供应商申明函；②供应商按谈判文件3.1.7供应商基本情况表的内容提供供应商基本情况表。】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color w:val="auto"/>
                <w:sz w:val="20"/>
              </w:rPr>
            </w:pPr>
            <w:r>
              <w:rPr>
                <w:rFonts w:hint="eastAsia" w:ascii="宋体" w:hAnsi="宋体" w:cs="宋体"/>
                <w:color w:val="auto"/>
                <w:sz w:val="20"/>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Cs w:val="28"/>
              </w:rPr>
              <w:t>法定代表人身份证明书及法定代表人身份证复印件或护照复印件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rPr>
            </w:pPr>
            <w:r>
              <w:rPr>
                <w:rFonts w:hint="eastAsia" w:ascii="宋体" w:hAnsi="宋体" w:cs="宋体"/>
                <w:color w:val="auto"/>
                <w:sz w:val="20"/>
                <w:szCs w:val="28"/>
              </w:rPr>
              <w:t>1、</w:t>
            </w:r>
            <w:r>
              <w:rPr>
                <w:rFonts w:hint="eastAsia" w:ascii="宋体" w:hAnsi="宋体" w:cs="宋体"/>
                <w:color w:val="auto"/>
                <w:szCs w:val="28"/>
              </w:rPr>
              <w:t>供应商按谈判文件3.1.6关于法定代表人或主要负责人身份证明书的内容提供法定代表人或主要负责人等身份证明书；</w:t>
            </w:r>
            <w:r>
              <w:rPr>
                <w:rFonts w:hint="eastAsia" w:ascii="宋体" w:hAnsi="宋体" w:cs="宋体"/>
                <w:color w:val="auto"/>
                <w:sz w:val="20"/>
                <w:szCs w:val="28"/>
              </w:rPr>
              <w:t>2、</w:t>
            </w:r>
            <w:r>
              <w:rPr>
                <w:rFonts w:hint="eastAsia" w:ascii="宋体" w:hAnsi="宋体" w:cs="宋体"/>
                <w:color w:val="auto"/>
                <w:szCs w:val="28"/>
              </w:rPr>
              <w:t>身份证复印件或护照复印件【注：①法定代表人或主要负责人身份证复印件（身份证两面均应复印，在有效期内）或护照复印件（法定代表人或主要负责人为外籍人士的，按此提供）；②主要负责人为供应商提供的其具有独立承担民事责任的能力的证明材料中的主要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color w:val="auto"/>
                <w:sz w:val="20"/>
              </w:rPr>
            </w:pPr>
            <w:r>
              <w:rPr>
                <w:rFonts w:hint="eastAsia" w:ascii="宋体" w:hAnsi="宋体" w:cs="宋体"/>
                <w:color w:val="auto"/>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rPr>
                <w:rFonts w:ascii="宋体" w:hAnsi="宋体" w:cs="宋体"/>
                <w:color w:val="auto"/>
                <w:sz w:val="20"/>
              </w:rPr>
            </w:pPr>
            <w:r>
              <w:rPr>
                <w:rFonts w:hint="eastAsia" w:ascii="宋体" w:hAnsi="宋体" w:cs="宋体"/>
                <w:color w:val="auto"/>
                <w:sz w:val="20"/>
              </w:rPr>
              <w:t>本项目为专门面向中小企业采购项目，</w:t>
            </w:r>
            <w:r>
              <w:rPr>
                <w:rFonts w:hint="eastAsia" w:ascii="宋体" w:hAnsi="宋体" w:cs="宋体"/>
                <w:color w:val="auto"/>
                <w:sz w:val="20"/>
                <w:lang w:eastAsia="zh-CN"/>
              </w:rPr>
              <w:t>货物</w:t>
            </w:r>
            <w:r>
              <w:rPr>
                <w:rFonts w:hint="eastAsia" w:ascii="宋体" w:hAnsi="宋体" w:cs="宋体"/>
                <w:color w:val="auto"/>
                <w:sz w:val="20"/>
              </w:rPr>
              <w:t>全部由符合政策要求的中小企业</w:t>
            </w:r>
            <w:r>
              <w:rPr>
                <w:rFonts w:hint="eastAsia" w:ascii="宋体" w:hAnsi="宋体" w:cs="宋体"/>
                <w:color w:val="auto"/>
                <w:sz w:val="20"/>
                <w:lang w:val="en-US" w:eastAsia="zh-CN"/>
              </w:rPr>
              <w:t>制造</w:t>
            </w:r>
            <w:r>
              <w:rPr>
                <w:rFonts w:hint="eastAsia" w:ascii="宋体" w:hAnsi="宋体" w:cs="宋体"/>
                <w:color w:val="auto"/>
                <w:sz w:val="20"/>
              </w:rPr>
              <w:t>（说明：监狱企业、残疾人福利性单位视同小型、微型企业）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color w:val="auto"/>
                <w:sz w:val="20"/>
                <w:szCs w:val="28"/>
              </w:rPr>
            </w:pPr>
            <w:r>
              <w:rPr>
                <w:rFonts w:hint="eastAsia" w:ascii="宋体" w:hAnsi="宋体" w:cs="宋体"/>
                <w:color w:val="auto"/>
                <w:sz w:val="20"/>
                <w:szCs w:val="28"/>
              </w:rPr>
              <w:t>专门面向中小企业采购项目:</w:t>
            </w:r>
          </w:p>
          <w:p>
            <w:pPr>
              <w:tabs>
                <w:tab w:val="left" w:pos="851"/>
              </w:tabs>
              <w:spacing w:line="360" w:lineRule="auto"/>
              <w:rPr>
                <w:rFonts w:ascii="宋体" w:hAnsi="宋体" w:cs="宋体"/>
                <w:color w:val="auto"/>
                <w:sz w:val="20"/>
                <w:szCs w:val="28"/>
              </w:rPr>
            </w:pPr>
            <w:r>
              <w:rPr>
                <w:rFonts w:hint="eastAsia" w:ascii="宋体" w:hAnsi="宋体" w:cs="宋体"/>
                <w:color w:val="auto"/>
                <w:sz w:val="20"/>
                <w:szCs w:val="28"/>
              </w:rPr>
              <w:t>1.《中小企业声明函》中声明提供的</w:t>
            </w:r>
            <w:r>
              <w:rPr>
                <w:rFonts w:hint="eastAsia" w:ascii="宋体" w:hAnsi="宋体" w:cs="宋体"/>
                <w:color w:val="auto"/>
                <w:sz w:val="20"/>
                <w:szCs w:val="28"/>
                <w:lang w:eastAsia="zh-CN"/>
              </w:rPr>
              <w:t>货物</w:t>
            </w:r>
            <w:r>
              <w:rPr>
                <w:rFonts w:hint="eastAsia" w:ascii="宋体" w:hAnsi="宋体" w:cs="宋体"/>
                <w:color w:val="auto"/>
                <w:sz w:val="20"/>
                <w:szCs w:val="28"/>
              </w:rPr>
              <w:t>全部由符合政策要求的中小企业</w:t>
            </w:r>
            <w:r>
              <w:rPr>
                <w:rFonts w:hint="eastAsia" w:ascii="宋体" w:hAnsi="宋体" w:cs="宋体"/>
                <w:color w:val="auto"/>
                <w:sz w:val="20"/>
                <w:szCs w:val="28"/>
                <w:lang w:val="en-US" w:eastAsia="zh-CN"/>
              </w:rPr>
              <w:t>制造</w:t>
            </w:r>
            <w:r>
              <w:rPr>
                <w:rFonts w:hint="eastAsia" w:ascii="宋体" w:hAnsi="宋体" w:cs="宋体"/>
                <w:color w:val="auto"/>
                <w:sz w:val="20"/>
                <w:szCs w:val="28"/>
              </w:rPr>
              <w:t>；</w:t>
            </w:r>
          </w:p>
          <w:p>
            <w:pPr>
              <w:tabs>
                <w:tab w:val="left" w:pos="851"/>
              </w:tabs>
              <w:spacing w:line="360" w:lineRule="auto"/>
              <w:rPr>
                <w:rFonts w:ascii="宋体" w:hAnsi="宋体" w:cs="宋体"/>
                <w:color w:val="auto"/>
                <w:sz w:val="20"/>
                <w:szCs w:val="28"/>
              </w:rPr>
            </w:pPr>
            <w:r>
              <w:rPr>
                <w:rFonts w:hint="eastAsia" w:ascii="宋体" w:hAnsi="宋体" w:cs="宋体"/>
                <w:color w:val="auto"/>
                <w:sz w:val="20"/>
                <w:szCs w:val="28"/>
              </w:rPr>
              <w:t>2.残疾人福利性单位视同为小型、微型企业，《残疾人福利性单位声明函》中声明供应商为符合条件的残疾人福利性单位，其参加本项目采购活动由本单位提供</w:t>
            </w:r>
            <w:r>
              <w:rPr>
                <w:rFonts w:hint="eastAsia" w:ascii="宋体" w:hAnsi="宋体" w:cs="宋体"/>
                <w:color w:val="auto"/>
                <w:sz w:val="20"/>
                <w:szCs w:val="28"/>
                <w:lang w:eastAsia="zh-CN"/>
              </w:rPr>
              <w:t>货物</w:t>
            </w:r>
            <w:r>
              <w:rPr>
                <w:rFonts w:hint="eastAsia" w:ascii="宋体" w:hAnsi="宋体" w:cs="宋体"/>
                <w:color w:val="auto"/>
                <w:sz w:val="20"/>
                <w:szCs w:val="28"/>
              </w:rPr>
              <w:t>；</w:t>
            </w:r>
          </w:p>
          <w:p>
            <w:pPr>
              <w:tabs>
                <w:tab w:val="left" w:pos="851"/>
              </w:tabs>
              <w:spacing w:line="360" w:lineRule="auto"/>
              <w:rPr>
                <w:rFonts w:ascii="宋体" w:hAnsi="宋体" w:cs="宋体"/>
                <w:color w:val="auto"/>
                <w:sz w:val="20"/>
              </w:rPr>
            </w:pPr>
            <w:r>
              <w:rPr>
                <w:rFonts w:hint="eastAsia" w:ascii="宋体" w:hAnsi="宋体" w:cs="宋体"/>
                <w:color w:val="auto"/>
                <w:sz w:val="20"/>
                <w:szCs w:val="28"/>
              </w:rPr>
              <w:t>3.监狱企业视同为小型、微型企业，提供由省级以上监狱管理局、戒毒管理局（含新疆生产建设兵团）出具的</w:t>
            </w:r>
            <w:r>
              <w:rPr>
                <w:rFonts w:hint="eastAsia" w:ascii="宋体" w:hAnsi="宋体" w:cs="宋体"/>
                <w:color w:val="auto"/>
                <w:sz w:val="20"/>
              </w:rPr>
              <w:t>供应商</w:t>
            </w:r>
            <w:r>
              <w:rPr>
                <w:rFonts w:hint="eastAsia" w:ascii="宋体" w:hAnsi="宋体" w:cs="宋体"/>
                <w:color w:val="auto"/>
                <w:sz w:val="20"/>
                <w:szCs w:val="28"/>
              </w:rPr>
              <w:t>属于监狱企业的证明文件复印件。</w:t>
            </w:r>
          </w:p>
        </w:tc>
      </w:tr>
    </w:tbl>
    <w:p>
      <w:pPr>
        <w:tabs>
          <w:tab w:val="left" w:pos="851"/>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一、以上每一项结论均为“合格”的，则供应商的响应文件通过资格审查，如有任意一项结论为“不合格”的，则供应商的响应文件按无效响应文件处理。</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二、“信用中国” “中国政府采购网”网站的查询结果，将以电子介质的形式留存。</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三、谈判小组资格审查结束后，应当出具资格审查报告。没有通过资格审查的供应商，谈判小组应当在资格审查报告中载明不合格的原因。</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通过资格审查的供应商不足三家的，采购失败。</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四、根据《政府采购非招标采购方式管理办法》（财政部令第74号）的相关规定，公开招标的货物、服务采购项目，招标过程中提交投标文件或者经评审实质性响应招标文件要求的供应商只有两家时，采购人、采购代理机构按照本办法第四条经本级财政部门批准后可以与该两家供应商进行竞争性谈判采购，采购人、采购代理机构应当根据招标文件中的采购需求编制谈判文件，成立谈判小组，由谈判小组对谈判文件进行确认。符合本款情形的，本办法第三十三条、第三十五条中规定的供应商最低数量可以为两家。</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特别说明：谈判文件中要求提供复印件的证明材料的，包含原件的影印件或复印件。</w:t>
      </w:r>
    </w:p>
    <w:p>
      <w:pPr>
        <w:pStyle w:val="5"/>
        <w:numPr>
          <w:ilvl w:val="2"/>
          <w:numId w:val="6"/>
        </w:numPr>
        <w:ind w:left="0" w:firstLine="562" w:firstLineChars="200"/>
        <w:rPr>
          <w:color w:val="auto"/>
        </w:rPr>
      </w:pPr>
      <w:r>
        <w:rPr>
          <w:rFonts w:hint="eastAsia"/>
          <w:color w:val="auto"/>
        </w:rPr>
        <w:t>符合性审查</w:t>
      </w:r>
    </w:p>
    <w:p>
      <w:pPr>
        <w:pStyle w:val="87"/>
        <w:numPr>
          <w:ilvl w:val="0"/>
          <w:numId w:val="35"/>
        </w:numPr>
        <w:tabs>
          <w:tab w:val="left" w:pos="1134"/>
          <w:tab w:val="left" w:pos="1276"/>
          <w:tab w:val="left" w:pos="1418"/>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资格审查结束后，由谈判小组对供应商响应文件进行符合性审查。</w:t>
      </w:r>
    </w:p>
    <w:p>
      <w:pPr>
        <w:pStyle w:val="87"/>
        <w:numPr>
          <w:ilvl w:val="0"/>
          <w:numId w:val="35"/>
        </w:numPr>
        <w:tabs>
          <w:tab w:val="left" w:pos="1134"/>
          <w:tab w:val="left" w:pos="1276"/>
          <w:tab w:val="left" w:pos="1418"/>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谈判小组在符合性审查过程中，谈判小组成员对供应商是否符合规定存在争议的，应当以少数服从多数的原则处理，但不违背政府采购法和谈判文件规定。</w:t>
      </w:r>
    </w:p>
    <w:p>
      <w:pPr>
        <w:pStyle w:val="87"/>
        <w:numPr>
          <w:ilvl w:val="0"/>
          <w:numId w:val="35"/>
        </w:numPr>
        <w:tabs>
          <w:tab w:val="left" w:pos="1134"/>
          <w:tab w:val="left" w:pos="1276"/>
          <w:tab w:val="left" w:pos="1418"/>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 xml:space="preserve">供应商符合性审查标准（按以下顺序审查）： </w:t>
      </w:r>
    </w:p>
    <w:tbl>
      <w:tblPr>
        <w:tblStyle w:val="41"/>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4218"/>
        <w:gridCol w:w="3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421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符合性审查项</w:t>
            </w:r>
          </w:p>
        </w:tc>
        <w:tc>
          <w:tcPr>
            <w:tcW w:w="38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hint="eastAsia" w:ascii="宋体" w:hAnsi="宋体" w:eastAsia="宋体" w:cs="宋体"/>
                <w:color w:val="auto"/>
                <w:sz w:val="24"/>
                <w:szCs w:val="24"/>
              </w:rPr>
            </w:pPr>
            <w:r>
              <w:rPr>
                <w:rFonts w:hint="eastAsia" w:ascii="宋体" w:hAnsi="宋体" w:eastAsia="宋体" w:cs="宋体"/>
                <w:b/>
                <w:color w:val="auto"/>
                <w:sz w:val="24"/>
                <w:szCs w:val="24"/>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421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投标报价</w:t>
            </w:r>
          </w:p>
        </w:tc>
        <w:tc>
          <w:tcPr>
            <w:tcW w:w="38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符合</w:t>
            </w:r>
            <w:r>
              <w:rPr>
                <w:rFonts w:hint="eastAsia" w:ascii="宋体" w:hAnsi="宋体" w:eastAsia="宋体" w:cs="宋体"/>
                <w:color w:val="auto"/>
                <w:sz w:val="24"/>
                <w:szCs w:val="24"/>
                <w:lang w:eastAsia="zh-CN"/>
              </w:rPr>
              <w:t>谈判文件</w:t>
            </w:r>
            <w:r>
              <w:rPr>
                <w:rFonts w:hint="eastAsia" w:ascii="宋体" w:hAnsi="宋体" w:cs="宋体"/>
                <w:color w:val="auto"/>
                <w:sz w:val="24"/>
                <w:szCs w:val="24"/>
                <w:lang w:val="en-US" w:eastAsia="zh-CN"/>
              </w:rPr>
              <w:t>第2章2.4.7报价要求。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p>
        </w:tc>
        <w:tc>
          <w:tcPr>
            <w:tcW w:w="421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技术、服务性响应文件的组成</w:t>
            </w:r>
          </w:p>
        </w:tc>
        <w:tc>
          <w:tcPr>
            <w:tcW w:w="38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谈判文件</w:t>
            </w:r>
            <w:r>
              <w:rPr>
                <w:rFonts w:hint="eastAsia" w:ascii="宋体" w:hAnsi="宋体" w:eastAsia="宋体" w:cs="宋体"/>
                <w:color w:val="auto"/>
                <w:sz w:val="24"/>
                <w:szCs w:val="24"/>
              </w:rPr>
              <w:t>“2.4.5响应文件的组成”规定要求。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3</w:t>
            </w:r>
          </w:p>
        </w:tc>
        <w:tc>
          <w:tcPr>
            <w:tcW w:w="421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技术、服务性响应文件计量单位、语言</w:t>
            </w:r>
          </w:p>
        </w:tc>
        <w:tc>
          <w:tcPr>
            <w:tcW w:w="38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计量单位、语言满足</w:t>
            </w:r>
            <w:r>
              <w:rPr>
                <w:rFonts w:hint="eastAsia" w:ascii="宋体" w:hAnsi="宋体" w:eastAsia="宋体" w:cs="宋体"/>
                <w:color w:val="auto"/>
                <w:sz w:val="24"/>
                <w:szCs w:val="24"/>
                <w:lang w:eastAsia="zh-CN"/>
              </w:rPr>
              <w:t>谈判文件</w:t>
            </w:r>
            <w:r>
              <w:rPr>
                <w:rFonts w:hint="eastAsia" w:ascii="宋体" w:hAnsi="宋体" w:eastAsia="宋体" w:cs="宋体"/>
                <w:color w:val="auto"/>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4</w:t>
            </w:r>
          </w:p>
        </w:tc>
        <w:tc>
          <w:tcPr>
            <w:tcW w:w="421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技术、服务性响应文件对谈判文件规定的采购项目实质性响应要求的响应情况（“第4章中“技术、服务、商务及其他要求”、第6章“合同草案条款”以外的实质性要求）</w:t>
            </w:r>
          </w:p>
        </w:tc>
        <w:tc>
          <w:tcPr>
            <w:tcW w:w="38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谈判文件</w:t>
            </w:r>
            <w:r>
              <w:rPr>
                <w:rFonts w:hint="eastAsia" w:ascii="宋体" w:hAnsi="宋体" w:eastAsia="宋体" w:cs="宋体"/>
                <w:color w:val="auto"/>
                <w:sz w:val="24"/>
                <w:szCs w:val="24"/>
              </w:rPr>
              <w:t>规定的采购项目实质性响应要求。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5</w:t>
            </w:r>
          </w:p>
        </w:tc>
        <w:tc>
          <w:tcPr>
            <w:tcW w:w="421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技术、服务性响应文件对谈判文件规定的采购项目实质性响应要求的响应情况（“第4章中“技术、服务、商务及其他要求”、第6章“合同草案条款”谈判中不可变动的实质性要求）</w:t>
            </w:r>
          </w:p>
        </w:tc>
        <w:tc>
          <w:tcPr>
            <w:tcW w:w="382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谈判文件</w:t>
            </w:r>
            <w:r>
              <w:rPr>
                <w:rFonts w:hint="eastAsia" w:ascii="宋体" w:hAnsi="宋体" w:eastAsia="宋体" w:cs="宋体"/>
                <w:color w:val="auto"/>
                <w:sz w:val="24"/>
                <w:szCs w:val="24"/>
              </w:rPr>
              <w:t>规定的采购项目实质性响应要求。</w:t>
            </w:r>
          </w:p>
        </w:tc>
      </w:tr>
    </w:tbl>
    <w:p>
      <w:pPr>
        <w:tabs>
          <w:tab w:val="left" w:pos="851"/>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一、以上每一项结论均为“通过”的，则供应商的响应文件通过符合性审查，才能允许其参加谈判；如有任意一项结论为“不通过”的，则供应商的响应文件按无效响应文件处理，不允许其参加谈判。</w:t>
      </w:r>
    </w:p>
    <w:p>
      <w:pPr>
        <w:pStyle w:val="87"/>
        <w:numPr>
          <w:ilvl w:val="0"/>
          <w:numId w:val="36"/>
        </w:numPr>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谈判小组符合性审查结束后，应当出具符合性审查报告，确定参加谈判的供应商名单。没有通过符合性审查的供应商，谈判小组应当在符合性审查报告中载明不通过的原因。</w:t>
      </w:r>
    </w:p>
    <w:p>
      <w:pPr>
        <w:pStyle w:val="87"/>
        <w:numPr>
          <w:ilvl w:val="0"/>
          <w:numId w:val="36"/>
        </w:numPr>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通过符合性审查的供应商不足三家的，采购失败（本章5.2.2第四款的情况除外）。</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特别说明：谈判文件中要求提供复印件的证明材料的，包含原件的影印件或复印件。</w:t>
      </w:r>
    </w:p>
    <w:p>
      <w:pPr>
        <w:pStyle w:val="5"/>
        <w:numPr>
          <w:ilvl w:val="2"/>
          <w:numId w:val="6"/>
        </w:numPr>
        <w:ind w:left="0" w:firstLine="562" w:firstLineChars="200"/>
        <w:rPr>
          <w:color w:val="auto"/>
        </w:rPr>
      </w:pPr>
      <w:r>
        <w:rPr>
          <w:rFonts w:hint="eastAsia"/>
          <w:color w:val="auto"/>
        </w:rPr>
        <w:t>谈判</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谈判会议在成都市公共资源交易服务中心“政府采购云平台”进行。谈判会议由综合部在线主持，供应商代表在线参加。评审结束之前，供应商应随时关注系统提示，及时通过“政府采购云平台”在线响应谈判小组发出的谈判，签章并确认提交成功。</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一、</w:t>
      </w:r>
      <w:r>
        <w:rPr>
          <w:rFonts w:hint="eastAsia" w:ascii="宋体" w:hAnsi="宋体" w:cs="宋体"/>
          <w:b/>
          <w:color w:val="auto"/>
          <w:sz w:val="28"/>
          <w:szCs w:val="28"/>
        </w:rPr>
        <w:tab/>
      </w:r>
      <w:r>
        <w:rPr>
          <w:rFonts w:hint="eastAsia" w:ascii="宋体" w:hAnsi="宋体" w:cs="宋体"/>
          <w:b/>
          <w:color w:val="auto"/>
          <w:sz w:val="28"/>
          <w:szCs w:val="28"/>
        </w:rPr>
        <w:t>谈判小组按照谈判文件的规定与邀请参加谈判的供应商分别进行谈判，谈判顺序由谈判小组确定，谈判通过“政府采购云平台”在线进行。供应商应随时关注“政府采购云平台”站内信息或短信提醒，及时参与在线谈判。登录政府采购云平台(www.zcygov.cn)—我的工作台—项目采购—开标评标—进入开标大厅（找到对应项目）。谈判小组可通过“发起视频评审”“询标”功能，向供应商发起在线谈判邀请，供应商可使用“视频评审”“澄清”功能，与专家进行在线谈判、递交谈判承诺函，承诺函应加盖供应商（法定名称）电子签章（评审结束之前，供应商应随时关注系统提示，及时通过“政府采购云平台”在线响应谈判小组发出的谈判邀请，签章并确认提交成功。逾时回复将不能提交，视为供应商自行放弃该轮谈判，其损失由供应商承担）。</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二、</w:t>
      </w:r>
      <w:r>
        <w:rPr>
          <w:rFonts w:hint="eastAsia" w:ascii="宋体" w:hAnsi="宋体" w:cs="宋体"/>
          <w:b/>
          <w:color w:val="auto"/>
          <w:sz w:val="28"/>
          <w:szCs w:val="28"/>
        </w:rPr>
        <w:tab/>
      </w:r>
      <w:r>
        <w:rPr>
          <w:rFonts w:hint="eastAsia" w:ascii="宋体" w:hAnsi="宋体" w:cs="宋体"/>
          <w:b/>
          <w:color w:val="auto"/>
          <w:sz w:val="28"/>
          <w:szCs w:val="28"/>
        </w:rPr>
        <w:t>谈判小组所有成员集中与单一供应商对技术、服务、合同条款等内容分别进行一轮或多轮的谈判。在谈判中，谈判的任何一方不得透露与谈判有关的其他供应商的技术资料、价格和其他信息。</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三、</w:t>
      </w:r>
      <w:r>
        <w:rPr>
          <w:rFonts w:hint="eastAsia" w:ascii="宋体" w:hAnsi="宋体" w:cs="宋体"/>
          <w:b/>
          <w:color w:val="auto"/>
          <w:sz w:val="28"/>
          <w:szCs w:val="28"/>
        </w:rPr>
        <w:tab/>
      </w:r>
      <w:r>
        <w:rPr>
          <w:rFonts w:hint="eastAsia" w:ascii="宋体" w:hAnsi="宋体" w:cs="宋体"/>
          <w:b/>
          <w:color w:val="auto"/>
          <w:sz w:val="28"/>
          <w:szCs w:val="28"/>
        </w:rPr>
        <w:t>谈判内容为第4章中“技术、服务、商务及其他要求”、第6章“合同草案条款”。第4章中“技术、服务、商务及其他要求”、第6章“合同草案条款”中内容均为“谈判过程中，谈判小组获得采购人同意（由采购人代表签字确认）后，可以根据谈判文件和谈判情况实质性变动谈判文件中的内容”。</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四、</w:t>
      </w:r>
      <w:r>
        <w:rPr>
          <w:rFonts w:hint="eastAsia" w:ascii="宋体" w:hAnsi="宋体" w:cs="宋体"/>
          <w:b/>
          <w:color w:val="auto"/>
          <w:sz w:val="28"/>
          <w:szCs w:val="28"/>
        </w:rPr>
        <w:tab/>
      </w:r>
      <w:r>
        <w:rPr>
          <w:rFonts w:hint="eastAsia" w:ascii="宋体" w:hAnsi="宋体" w:cs="宋体"/>
          <w:b/>
          <w:color w:val="auto"/>
          <w:sz w:val="28"/>
          <w:szCs w:val="28"/>
        </w:rPr>
        <w:t>谈判过程中，谈判小组获得采购人同意（由采购人代表签字确认）后，可以根据谈判文件和谈判情况实质性变动谈判文件中的第4章技术、服务、商务及其他要求、第6章合同草案条款可实质性变动的内容，但不得变动谈判文件中的其他内容。对谈判文件作出的实质性变动是谈判文件的有效组成部分，谈判小组应通过“询标”功能，将变动情况通知所有参加谈判的供应商。谈判过程中，谈判小组可以根据谈判情况调整谈判轮次。</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五、</w:t>
      </w:r>
      <w:r>
        <w:rPr>
          <w:rFonts w:hint="eastAsia" w:ascii="宋体" w:hAnsi="宋体" w:cs="宋体"/>
          <w:b/>
          <w:color w:val="auto"/>
          <w:sz w:val="28"/>
          <w:szCs w:val="28"/>
        </w:rPr>
        <w:tab/>
      </w:r>
      <w:r>
        <w:rPr>
          <w:rFonts w:hint="eastAsia" w:ascii="宋体" w:hAnsi="宋体" w:cs="宋体"/>
          <w:b/>
          <w:color w:val="auto"/>
          <w:sz w:val="28"/>
          <w:szCs w:val="28"/>
        </w:rPr>
        <w:t>谈判过程中，供应商可以根据谈判情况变更其响应文件，并将变更内容通过“澄清”功能送谈判小组。变更内容作为响应文件的一部分。供应商书面材料应加盖供应商（法定名称）电子签章，否则无效。</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六、经最终谈判后，响应文件仍有下列情况之一的，应按照无效响应文件处理：</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（一）响应文件仍不能实质响应谈判文件的实质性要求的；</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（二）响应文件中仍有谈判文件规定的其他无效响应情形的。</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七、</w:t>
      </w:r>
      <w:r>
        <w:rPr>
          <w:rFonts w:hint="eastAsia" w:ascii="宋体" w:hAnsi="宋体" w:cs="宋体"/>
          <w:b/>
          <w:color w:val="auto"/>
          <w:sz w:val="28"/>
          <w:szCs w:val="28"/>
        </w:rPr>
        <w:tab/>
      </w:r>
      <w:r>
        <w:rPr>
          <w:rFonts w:hint="eastAsia" w:ascii="宋体" w:hAnsi="宋体" w:cs="宋体"/>
          <w:b/>
          <w:color w:val="auto"/>
          <w:sz w:val="28"/>
          <w:szCs w:val="28"/>
        </w:rPr>
        <w:t>谈判过程中，谈判的任何一方不得透露与谈判有关的其他供应商的技术资料、价格和其他信息。</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八、谈判过程中，谈判小组发现或者知晓供应商存在违法行为的，应当评审报告中予以记录，并向财政部门报告，依法应将该供应商响应文件作无效处理的，应当作无效处理。</w:t>
      </w:r>
    </w:p>
    <w:p>
      <w:pPr>
        <w:pStyle w:val="5"/>
        <w:numPr>
          <w:ilvl w:val="2"/>
          <w:numId w:val="6"/>
        </w:numPr>
        <w:ind w:left="0" w:firstLine="562" w:firstLineChars="200"/>
        <w:rPr>
          <w:color w:val="auto"/>
        </w:rPr>
      </w:pPr>
      <w:r>
        <w:rPr>
          <w:rFonts w:hint="eastAsia"/>
          <w:color w:val="auto"/>
        </w:rPr>
        <w:t>最后报价</w:t>
      </w:r>
    </w:p>
    <w:p>
      <w:pPr>
        <w:widowControl/>
        <w:numPr>
          <w:ilvl w:val="0"/>
          <w:numId w:val="37"/>
        </w:numPr>
        <w:tabs>
          <w:tab w:val="left" w:pos="1276"/>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谈判结束后，谈判小组应当要求所有实质性响应的供应商在规定时间内进行最后报价。谈判小组开启报价后，供应商应随时关注“政府采购云平台”站内信息或短信提醒，登录“政府采购云平台”，通过“开标大厅”进行报价。登录政府采购云平台(www.zcygov.cn)—我的工作台—政府采购云平台—项目采购—开标评标—开标大厅（找到对应项目）—报价，进行报价并签章后递交。报价时间截止后，系统统一公布报价。提示：供应商未按时登录不见面开标系统，未在报价截止时间内递交报价或未按要求进行报价的，视为供应商响应文件无效，由供应商自行承担不利后果。</w:t>
      </w:r>
    </w:p>
    <w:p>
      <w:pPr>
        <w:widowControl/>
        <w:numPr>
          <w:ilvl w:val="0"/>
          <w:numId w:val="37"/>
        </w:numPr>
        <w:tabs>
          <w:tab w:val="left" w:pos="1134"/>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已提交响应文件的供应商，在提交最后报价之前，可以根据谈判情况退出谈判。</w:t>
      </w:r>
    </w:p>
    <w:p>
      <w:pPr>
        <w:widowControl/>
        <w:numPr>
          <w:ilvl w:val="0"/>
          <w:numId w:val="37"/>
        </w:numPr>
        <w:tabs>
          <w:tab w:val="left" w:pos="1134"/>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供应商未按谈判小组要求在规定时间内提交最后报价的，视为其退出谈判。</w:t>
      </w:r>
    </w:p>
    <w:p>
      <w:pPr>
        <w:widowControl/>
        <w:numPr>
          <w:ilvl w:val="0"/>
          <w:numId w:val="37"/>
        </w:numPr>
        <w:tabs>
          <w:tab w:val="left" w:pos="1134"/>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最后报价一旦递交后，供应商不得以任何理由撤回。</w:t>
      </w:r>
    </w:p>
    <w:p>
      <w:pPr>
        <w:widowControl/>
        <w:numPr>
          <w:ilvl w:val="0"/>
          <w:numId w:val="37"/>
        </w:numPr>
        <w:tabs>
          <w:tab w:val="left" w:pos="1134"/>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最后报价为有效报价应符合下列条件：</w:t>
      </w:r>
    </w:p>
    <w:p>
      <w:pPr>
        <w:widowControl/>
        <w:numPr>
          <w:ilvl w:val="0"/>
          <w:numId w:val="38"/>
        </w:numPr>
        <w:tabs>
          <w:tab w:val="left" w:pos="-2127"/>
          <w:tab w:val="left" w:pos="1134"/>
        </w:tabs>
        <w:snapToGrid w:val="0"/>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供应商所提供的最后报价是在规定的时间内提交。</w:t>
      </w:r>
    </w:p>
    <w:p>
      <w:pPr>
        <w:widowControl/>
        <w:numPr>
          <w:ilvl w:val="0"/>
          <w:numId w:val="38"/>
        </w:numPr>
        <w:tabs>
          <w:tab w:val="left" w:pos="-2127"/>
          <w:tab w:val="left" w:pos="1134"/>
        </w:tabs>
        <w:snapToGrid w:val="0"/>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供应商的最后报价应加盖供应商（法定名称）电子签章。</w:t>
      </w:r>
    </w:p>
    <w:p>
      <w:pPr>
        <w:widowControl/>
        <w:numPr>
          <w:ilvl w:val="0"/>
          <w:numId w:val="38"/>
        </w:numPr>
        <w:tabs>
          <w:tab w:val="left" w:pos="-2127"/>
          <w:tab w:val="left" w:pos="1134"/>
        </w:tabs>
        <w:snapToGrid w:val="0"/>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供应商的最后报价符合谈判文件的要求。</w:t>
      </w:r>
    </w:p>
    <w:p>
      <w:pPr>
        <w:widowControl/>
        <w:numPr>
          <w:ilvl w:val="0"/>
          <w:numId w:val="38"/>
        </w:numPr>
        <w:tabs>
          <w:tab w:val="left" w:pos="-2127"/>
          <w:tab w:val="left" w:pos="1134"/>
        </w:tabs>
        <w:snapToGrid w:val="0"/>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最后报价唯一，且不高于最高限价。</w:t>
      </w:r>
    </w:p>
    <w:p>
      <w:pPr>
        <w:pStyle w:val="87"/>
        <w:numPr>
          <w:ilvl w:val="0"/>
          <w:numId w:val="37"/>
        </w:numPr>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在未提高响应文件中承诺的产品及其服务质量的情况下，最后报价不高于技术、服务性响应文件中的报价，否则，谈判小组应当对其响应文件按无效处理。</w:t>
      </w:r>
    </w:p>
    <w:p>
      <w:pPr>
        <w:widowControl/>
        <w:numPr>
          <w:ilvl w:val="0"/>
          <w:numId w:val="37"/>
        </w:numPr>
        <w:tabs>
          <w:tab w:val="left" w:pos="-2127"/>
          <w:tab w:val="left" w:pos="1134"/>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最后报价出现下列情况的，不需要供应商澄清，按以下原则处理：</w:t>
      </w:r>
    </w:p>
    <w:p>
      <w:pPr>
        <w:pStyle w:val="89"/>
        <w:numPr>
          <w:ilvl w:val="0"/>
          <w:numId w:val="39"/>
        </w:numPr>
        <w:tabs>
          <w:tab w:val="left" w:pos="1134"/>
          <w:tab w:val="clear" w:pos="846"/>
        </w:tabs>
        <w:snapToGrid w:val="0"/>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最后报价中的大写金额和小写金额不一致的，以大写金额为准，但大写金额出现文字错误，导致金额无法判断的除外；</w:t>
      </w:r>
    </w:p>
    <w:p>
      <w:pPr>
        <w:pStyle w:val="89"/>
        <w:numPr>
          <w:ilvl w:val="0"/>
          <w:numId w:val="39"/>
        </w:numPr>
        <w:tabs>
          <w:tab w:val="left" w:pos="1134"/>
          <w:tab w:val="clear" w:pos="846"/>
        </w:tabs>
        <w:snapToGrid w:val="0"/>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单价金额小数点或者百分比有明显错位的，应以总价为准，并修改单价；</w:t>
      </w:r>
    </w:p>
    <w:p>
      <w:pPr>
        <w:pStyle w:val="89"/>
        <w:numPr>
          <w:ilvl w:val="0"/>
          <w:numId w:val="39"/>
        </w:numPr>
        <w:tabs>
          <w:tab w:val="left" w:pos="1134"/>
          <w:tab w:val="clear" w:pos="846"/>
        </w:tabs>
        <w:snapToGrid w:val="0"/>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总价金额与按单价汇总金额不一致的，以单价汇总金额计算结果为准；</w:t>
      </w:r>
    </w:p>
    <w:p>
      <w:pPr>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同时出现两种以上不一致的，按照前款规定的顺序修正。修正后的最后报价经加盖供应商（法定名称）电子签章后产生约束力，供应商不确认的，其最后报价无效。</w:t>
      </w:r>
    </w:p>
    <w:p>
      <w:pPr>
        <w:pStyle w:val="2"/>
        <w:spacing w:after="0" w:line="360" w:lineRule="auto"/>
        <w:ind w:firstLine="560" w:firstLineChars="200"/>
        <w:rPr>
          <w:rFonts w:ascii="宋体" w:hAnsi="宋体" w:cs="宋体"/>
          <w:color w:val="auto"/>
          <w:sz w:val="28"/>
          <w:szCs w:val="28"/>
        </w:rPr>
      </w:pPr>
      <w:r>
        <w:rPr>
          <w:rFonts w:hint="eastAsia" w:ascii="宋体" w:hAnsi="宋体" w:cs="宋体"/>
          <w:color w:val="auto"/>
          <w:sz w:val="28"/>
          <w:szCs w:val="28"/>
        </w:rPr>
        <w:t>对不同语言文本响应文件的解释发生异议的，以中文文本为准。</w:t>
      </w:r>
    </w:p>
    <w:p>
      <w:pPr>
        <w:widowControl/>
        <w:numPr>
          <w:ilvl w:val="0"/>
          <w:numId w:val="37"/>
        </w:numPr>
        <w:tabs>
          <w:tab w:val="left" w:pos="-2127"/>
          <w:tab w:val="left" w:pos="1134"/>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有效最后报价的供应商不足三家的，采购失败（本章5.2.2第四款的情况除外）。</w:t>
      </w:r>
    </w:p>
    <w:p>
      <w:pPr>
        <w:pStyle w:val="5"/>
        <w:numPr>
          <w:ilvl w:val="2"/>
          <w:numId w:val="6"/>
        </w:numPr>
        <w:ind w:left="0" w:firstLine="562" w:firstLineChars="200"/>
        <w:rPr>
          <w:color w:val="auto"/>
        </w:rPr>
      </w:pPr>
      <w:r>
        <w:rPr>
          <w:rFonts w:hint="eastAsia"/>
          <w:color w:val="auto"/>
        </w:rPr>
        <w:t>解释、澄清、说明的有关问题</w:t>
      </w:r>
    </w:p>
    <w:p>
      <w:pPr>
        <w:numPr>
          <w:ilvl w:val="0"/>
          <w:numId w:val="40"/>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评审过程中，谈判小组认为谈判文件有关事项表述不明确或需要说明的，可以提请综合部书面解释。综合部的解释不得改变谈判文件的原义或者影响公平、公正，解释事项如果涉及供应商权益的以有利于供应商的原则进行解释。</w:t>
      </w:r>
    </w:p>
    <w:p>
      <w:pPr>
        <w:numPr>
          <w:ilvl w:val="0"/>
          <w:numId w:val="40"/>
        </w:numPr>
        <w:tabs>
          <w:tab w:val="left" w:pos="1134"/>
        </w:tabs>
        <w:spacing w:line="360" w:lineRule="auto"/>
        <w:ind w:left="0" w:firstLine="560" w:firstLineChars="200"/>
        <w:rPr>
          <w:rFonts w:ascii="宋体" w:hAnsi="宋体" w:cs="宋体"/>
          <w:color w:val="auto"/>
          <w:sz w:val="28"/>
          <w:szCs w:val="28"/>
        </w:rPr>
      </w:pPr>
      <w:r>
        <w:rPr>
          <w:rFonts w:hint="eastAsia" w:ascii="宋体" w:hAnsi="宋体" w:cs="宋体"/>
          <w:color w:val="auto"/>
          <w:sz w:val="28"/>
          <w:szCs w:val="28"/>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562" w:firstLineChars="200"/>
        <w:rPr>
          <w:rFonts w:ascii="宋体" w:hAnsi="宋体" w:cs="宋体"/>
          <w:b/>
          <w:color w:val="auto"/>
          <w:sz w:val="28"/>
          <w:szCs w:val="28"/>
        </w:rPr>
      </w:pPr>
      <w:r>
        <w:rPr>
          <w:rFonts w:hint="eastAsia" w:ascii="宋体" w:hAnsi="宋体" w:cs="宋体"/>
          <w:b/>
          <w:color w:val="auto"/>
          <w:sz w:val="28"/>
          <w:szCs w:val="28"/>
        </w:rPr>
        <w:t>三、评审结束之前，供应商应随时关注系统提示，及时通过“政府采购云平台”在线响应谈判小组发出的澄清、说明或补正要求，签章并确认提交成功。逾时回复将不能提交，视为供应商自行放弃澄清、说明或补正，其损失由供应商承担。谈判小组应当积极履行澄清、说明或者更正的职责，不得滥用权力。</w:t>
      </w:r>
    </w:p>
    <w:p>
      <w:pPr>
        <w:pStyle w:val="5"/>
        <w:numPr>
          <w:ilvl w:val="2"/>
          <w:numId w:val="6"/>
        </w:numPr>
        <w:ind w:left="0" w:firstLine="562" w:firstLineChars="200"/>
        <w:rPr>
          <w:color w:val="auto"/>
        </w:rPr>
      </w:pPr>
      <w:r>
        <w:rPr>
          <w:rFonts w:hint="eastAsia"/>
          <w:color w:val="auto"/>
        </w:rPr>
        <w:t>复核</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评审结束后，谈判小组应当进行复核，特别要对拟推荐为成交候选供应商的、报价最低的、响应文件被认定为无效的进行重点复核。</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推荐成交候选供应商后，谈判小组拟出具谈判报告前，综合部应当组织2名以上的本单位工作人员，在采购现场监督人员的监督之下，依据有关的法律制度和谈判文件对评审结果进行复核，出具复核报告，存在资格性审查认定错误的，综合部应当根据情况书面建议谈判小组现场修改评审结果。由谈判小组自主决定是否采纳综合部的书面建议，并承担独立评审责任。谈判小组采纳综合部书面建议的，应当按照规定现场修改评审结果或者重新评审，并在谈判报告中详细记载有关事宜；不采纳综合部书面建议的，应当书面说明理由。综合部书面建议未被谈判小组采纳的，应当接照规定程序要求继续组织实施采购活动，不得擅自中止采购活动。综合部认为谈判小组评审结果不合法的，应当书面报告采购项目同级财政部门。</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综合部复核过程中，谈判小组成员不得离开评审现场。。</w:t>
      </w:r>
    </w:p>
    <w:p>
      <w:pPr>
        <w:pStyle w:val="5"/>
        <w:numPr>
          <w:ilvl w:val="2"/>
          <w:numId w:val="6"/>
        </w:numPr>
        <w:ind w:left="0" w:firstLine="562" w:firstLineChars="200"/>
        <w:rPr>
          <w:color w:val="auto"/>
        </w:rPr>
      </w:pPr>
      <w:r>
        <w:rPr>
          <w:rFonts w:hint="eastAsia"/>
          <w:color w:val="auto"/>
        </w:rPr>
        <w:t>推荐成交候选供应商</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谈判小组复核后，应当按照供应商的报价由低到高顺序推荐3家以上（本章5.2.2第四款的情况除外）成交候选供应商，并编写谈判报告。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商注册地为少数民族地区）。</w:t>
      </w:r>
    </w:p>
    <w:p>
      <w:pPr>
        <w:pStyle w:val="5"/>
        <w:numPr>
          <w:ilvl w:val="2"/>
          <w:numId w:val="6"/>
        </w:numPr>
        <w:ind w:left="0" w:firstLine="562" w:firstLineChars="200"/>
        <w:rPr>
          <w:color w:val="auto"/>
        </w:rPr>
      </w:pPr>
      <w:r>
        <w:rPr>
          <w:rFonts w:hint="eastAsia"/>
          <w:color w:val="auto"/>
        </w:rPr>
        <w:t>编写评审报告</w:t>
      </w:r>
    </w:p>
    <w:p>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评审报告是谈判小组根据全体成员签字的原始评审记录和评审结果编写的报告，其主要内容包括：</w:t>
      </w:r>
    </w:p>
    <w:p>
      <w:pPr>
        <w:pStyle w:val="87"/>
        <w:widowControl/>
        <w:numPr>
          <w:ilvl w:val="0"/>
          <w:numId w:val="41"/>
        </w:numPr>
        <w:tabs>
          <w:tab w:val="left" w:pos="1134"/>
        </w:tabs>
        <w:spacing w:line="360" w:lineRule="auto"/>
        <w:ind w:left="0" w:firstLine="560"/>
        <w:jc w:val="left"/>
        <w:rPr>
          <w:rFonts w:ascii="宋体" w:hAnsi="宋体" w:eastAsia="宋体" w:cs="宋体"/>
          <w:color w:val="auto"/>
          <w:sz w:val="28"/>
          <w:szCs w:val="28"/>
        </w:rPr>
      </w:pPr>
      <w:r>
        <w:rPr>
          <w:rFonts w:hint="eastAsia" w:ascii="宋体" w:hAnsi="宋体" w:eastAsia="宋体" w:cs="宋体"/>
          <w:color w:val="auto"/>
          <w:sz w:val="28"/>
          <w:szCs w:val="28"/>
        </w:rPr>
        <w:t>邀请供应商参加采购活动的具体方式和相关情况，以及参加采购活动的供应商名单；</w:t>
      </w:r>
    </w:p>
    <w:p>
      <w:pPr>
        <w:pStyle w:val="87"/>
        <w:widowControl/>
        <w:numPr>
          <w:ilvl w:val="0"/>
          <w:numId w:val="41"/>
        </w:numPr>
        <w:tabs>
          <w:tab w:val="left" w:pos="1134"/>
        </w:tabs>
        <w:spacing w:line="360" w:lineRule="auto"/>
        <w:ind w:left="0" w:firstLine="560"/>
        <w:jc w:val="left"/>
        <w:rPr>
          <w:rFonts w:ascii="宋体" w:hAnsi="宋体" w:eastAsia="宋体" w:cs="宋体"/>
          <w:color w:val="auto"/>
          <w:sz w:val="28"/>
          <w:szCs w:val="28"/>
        </w:rPr>
      </w:pPr>
      <w:r>
        <w:rPr>
          <w:rFonts w:hint="eastAsia" w:ascii="宋体" w:hAnsi="宋体" w:eastAsia="宋体" w:cs="宋体"/>
          <w:color w:val="auto"/>
          <w:sz w:val="28"/>
          <w:szCs w:val="28"/>
        </w:rPr>
        <w:t>评审日期和地点，谈判小组成员名单；</w:t>
      </w:r>
    </w:p>
    <w:p>
      <w:pPr>
        <w:pStyle w:val="87"/>
        <w:widowControl/>
        <w:numPr>
          <w:ilvl w:val="0"/>
          <w:numId w:val="41"/>
        </w:numPr>
        <w:tabs>
          <w:tab w:val="left" w:pos="1134"/>
        </w:tabs>
        <w:spacing w:line="360" w:lineRule="auto"/>
        <w:ind w:left="0" w:firstLine="560"/>
        <w:jc w:val="left"/>
        <w:rPr>
          <w:rFonts w:ascii="宋体" w:hAnsi="宋体" w:eastAsia="宋体" w:cs="宋体"/>
          <w:color w:val="auto"/>
          <w:sz w:val="28"/>
          <w:szCs w:val="28"/>
        </w:rPr>
      </w:pPr>
      <w:r>
        <w:rPr>
          <w:rFonts w:hint="eastAsia" w:ascii="宋体" w:hAnsi="宋体" w:eastAsia="宋体" w:cs="宋体"/>
          <w:color w:val="auto"/>
          <w:sz w:val="28"/>
          <w:szCs w:val="28"/>
        </w:rPr>
        <w:t>评审情况记录和说明，包括对供应商的资格审查情况、供应商响应文件审查情况、谈判情况、报价情况等；</w:t>
      </w:r>
    </w:p>
    <w:p>
      <w:pPr>
        <w:pStyle w:val="87"/>
        <w:widowControl/>
        <w:numPr>
          <w:ilvl w:val="0"/>
          <w:numId w:val="41"/>
        </w:numPr>
        <w:tabs>
          <w:tab w:val="left" w:pos="1155"/>
        </w:tabs>
        <w:spacing w:line="360" w:lineRule="auto"/>
        <w:ind w:left="0" w:firstLine="560"/>
        <w:jc w:val="left"/>
        <w:rPr>
          <w:rFonts w:ascii="宋体" w:hAnsi="宋体" w:eastAsia="宋体" w:cs="宋体"/>
          <w:color w:val="auto"/>
          <w:sz w:val="28"/>
          <w:szCs w:val="28"/>
        </w:rPr>
      </w:pPr>
      <w:r>
        <w:rPr>
          <w:rFonts w:hint="eastAsia" w:ascii="宋体" w:hAnsi="宋体" w:eastAsia="宋体" w:cs="宋体"/>
          <w:color w:val="auto"/>
          <w:sz w:val="28"/>
          <w:szCs w:val="28"/>
        </w:rPr>
        <w:t>推荐的成交候选人的名单及理由。</w:t>
      </w:r>
    </w:p>
    <w:p>
      <w:pPr>
        <w:pStyle w:val="87"/>
        <w:widowControl/>
        <w:numPr>
          <w:ilvl w:val="0"/>
          <w:numId w:val="41"/>
        </w:numPr>
        <w:tabs>
          <w:tab w:val="left" w:pos="1155"/>
        </w:tabs>
        <w:spacing w:line="360" w:lineRule="auto"/>
        <w:ind w:left="0" w:firstLine="560"/>
        <w:jc w:val="left"/>
        <w:rPr>
          <w:rFonts w:ascii="宋体" w:hAnsi="宋体" w:eastAsia="宋体" w:cs="宋体"/>
          <w:color w:val="auto"/>
          <w:sz w:val="28"/>
          <w:szCs w:val="28"/>
        </w:rPr>
      </w:pPr>
      <w:r>
        <w:rPr>
          <w:rFonts w:hint="eastAsia" w:ascii="宋体" w:hAnsi="宋体" w:eastAsia="宋体" w:cs="宋体"/>
          <w:color w:val="auto"/>
          <w:sz w:val="28"/>
          <w:szCs w:val="28"/>
        </w:rPr>
        <w:t>评审报告应当由谈判小组全体人员签字认可。谈判小组成员对评审报告有异议的，谈判小组按照少数服从多数的原则推荐成交候选供应商，采购程序继续进行。对评审报告有异议的谈判小组成员，应当在报告上签署不同意见并说明理由，由谈判小组书面记录相关情况。谈判小组成员拒绝在评审报告上签字又不书面说明其不同意见和理由的，视为同意评审报告。</w:t>
      </w:r>
    </w:p>
    <w:p>
      <w:pPr>
        <w:pStyle w:val="5"/>
        <w:numPr>
          <w:ilvl w:val="2"/>
          <w:numId w:val="6"/>
        </w:numPr>
        <w:ind w:left="0" w:firstLine="562" w:firstLineChars="200"/>
        <w:rPr>
          <w:color w:val="auto"/>
        </w:rPr>
      </w:pPr>
      <w:bookmarkStart w:id="154" w:name="_Toc494095665"/>
      <w:bookmarkEnd w:id="154"/>
      <w:bookmarkStart w:id="155" w:name="_Toc494357018"/>
      <w:bookmarkEnd w:id="155"/>
      <w:bookmarkStart w:id="156" w:name="_Toc58943347"/>
      <w:r>
        <w:rPr>
          <w:rFonts w:hint="eastAsia"/>
          <w:color w:val="auto"/>
        </w:rPr>
        <w:t>谈判异议处理规则</w:t>
      </w:r>
      <w:bookmarkEnd w:id="156"/>
    </w:p>
    <w:p>
      <w:pPr>
        <w:tabs>
          <w:tab w:val="left" w:pos="1155"/>
        </w:tabs>
        <w:spacing w:line="360" w:lineRule="auto"/>
        <w:ind w:firstLine="560" w:firstLineChars="200"/>
        <w:rPr>
          <w:rFonts w:ascii="宋体" w:hAnsi="宋体" w:cs="宋体"/>
          <w:color w:val="auto"/>
          <w:kern w:val="0"/>
          <w:sz w:val="28"/>
          <w:szCs w:val="28"/>
        </w:rPr>
      </w:pPr>
      <w:r>
        <w:rPr>
          <w:rFonts w:hint="eastAsia" w:ascii="宋体" w:hAnsi="宋体" w:cs="宋体"/>
          <w:color w:val="auto"/>
          <w:kern w:val="0"/>
          <w:sz w:val="28"/>
          <w:szCs w:val="28"/>
        </w:rPr>
        <w:t>在谈判过程中，谈判小组成员对响应文件是否符合谈判文件规定存在争议的，应当以少数服从多数的原则处理，但不得违背谈判文件规定。有不同意见的谈判小组成员认为认定过程和结果不符合法律法规或者谈判文件规定的，应当在谈判报告中予以反映。</w:t>
      </w:r>
    </w:p>
    <w:p>
      <w:pPr>
        <w:pStyle w:val="4"/>
        <w:numPr>
          <w:ilvl w:val="1"/>
          <w:numId w:val="6"/>
        </w:numPr>
        <w:tabs>
          <w:tab w:val="left" w:pos="426"/>
          <w:tab w:val="left" w:pos="567"/>
        </w:tabs>
        <w:spacing w:before="0" w:after="0"/>
        <w:ind w:left="0" w:firstLine="562" w:firstLineChars="200"/>
        <w:jc w:val="both"/>
        <w:rPr>
          <w:color w:val="auto"/>
        </w:rPr>
      </w:pPr>
      <w:bookmarkStart w:id="157" w:name="_Toc30920"/>
      <w:bookmarkStart w:id="158" w:name="_Toc24041"/>
      <w:bookmarkStart w:id="159" w:name="_Toc25679"/>
      <w:bookmarkStart w:id="160" w:name="_Toc58943348"/>
      <w:r>
        <w:rPr>
          <w:rFonts w:hint="eastAsia"/>
          <w:color w:val="auto"/>
        </w:rPr>
        <w:t>评审办法和标准</w:t>
      </w:r>
      <w:bookmarkEnd w:id="157"/>
      <w:bookmarkEnd w:id="158"/>
      <w:bookmarkEnd w:id="159"/>
      <w:bookmarkEnd w:id="160"/>
    </w:p>
    <w:p>
      <w:pPr>
        <w:pStyle w:val="22"/>
        <w:snapToGrid w:val="0"/>
        <w:spacing w:line="360" w:lineRule="auto"/>
        <w:ind w:firstLine="560" w:firstLineChars="200"/>
        <w:rPr>
          <w:rFonts w:hAnsi="宋体" w:cs="宋体"/>
          <w:color w:val="auto"/>
          <w:sz w:val="28"/>
          <w:szCs w:val="28"/>
        </w:rPr>
      </w:pPr>
      <w:r>
        <w:rPr>
          <w:rFonts w:hint="eastAsia" w:hAnsi="宋体" w:cs="宋体"/>
          <w:color w:val="auto"/>
          <w:sz w:val="28"/>
          <w:szCs w:val="28"/>
        </w:rPr>
        <w:t>谈判小组应当从质量和服务均能满足采购文件实质性响应要求的供应商中，按照最后报价由低到高的顺序提出3名以上成交候选人，并编写评审报告；</w:t>
      </w:r>
    </w:p>
    <w:p>
      <w:pPr>
        <w:pStyle w:val="4"/>
        <w:numPr>
          <w:ilvl w:val="1"/>
          <w:numId w:val="6"/>
        </w:numPr>
        <w:tabs>
          <w:tab w:val="left" w:pos="426"/>
          <w:tab w:val="left" w:pos="567"/>
        </w:tabs>
        <w:spacing w:before="0" w:after="0"/>
        <w:ind w:left="0" w:firstLine="562" w:firstLineChars="200"/>
        <w:jc w:val="both"/>
        <w:rPr>
          <w:color w:val="auto"/>
        </w:rPr>
      </w:pPr>
      <w:bookmarkStart w:id="161" w:name="_Toc494357035"/>
      <w:bookmarkEnd w:id="161"/>
      <w:bookmarkStart w:id="162" w:name="_Toc494357030"/>
      <w:bookmarkEnd w:id="162"/>
      <w:bookmarkStart w:id="163" w:name="_Toc494357029"/>
      <w:bookmarkEnd w:id="163"/>
      <w:bookmarkStart w:id="164" w:name="_Toc494095681"/>
      <w:bookmarkEnd w:id="164"/>
      <w:bookmarkStart w:id="165" w:name="_Toc494095680"/>
      <w:bookmarkEnd w:id="165"/>
      <w:bookmarkStart w:id="166" w:name="_Toc494357028"/>
      <w:bookmarkEnd w:id="166"/>
      <w:bookmarkStart w:id="167" w:name="_Toc494095678"/>
      <w:bookmarkEnd w:id="167"/>
      <w:bookmarkStart w:id="168" w:name="_Toc494357026"/>
      <w:bookmarkEnd w:id="168"/>
      <w:bookmarkStart w:id="169" w:name="_Toc494357027"/>
      <w:bookmarkEnd w:id="169"/>
      <w:bookmarkStart w:id="170" w:name="_Toc494357032"/>
      <w:bookmarkEnd w:id="170"/>
      <w:bookmarkStart w:id="171" w:name="_Toc494095682"/>
      <w:bookmarkEnd w:id="171"/>
      <w:bookmarkStart w:id="172" w:name="_Toc494095677"/>
      <w:bookmarkEnd w:id="172"/>
      <w:bookmarkStart w:id="173" w:name="_Toc494095668"/>
      <w:bookmarkEnd w:id="173"/>
      <w:bookmarkStart w:id="174" w:name="_Toc494095669"/>
      <w:bookmarkEnd w:id="174"/>
      <w:bookmarkStart w:id="175" w:name="_Toc494357022"/>
      <w:bookmarkEnd w:id="175"/>
      <w:bookmarkStart w:id="176" w:name="_Toc494095674"/>
      <w:bookmarkEnd w:id="176"/>
      <w:bookmarkStart w:id="177" w:name="_Toc494095670"/>
      <w:bookmarkEnd w:id="177"/>
      <w:bookmarkStart w:id="178" w:name="_Toc494095673"/>
      <w:bookmarkEnd w:id="178"/>
      <w:bookmarkStart w:id="179" w:name="_Toc494357031"/>
      <w:bookmarkEnd w:id="179"/>
      <w:bookmarkStart w:id="180" w:name="_Toc494357025"/>
      <w:bookmarkEnd w:id="180"/>
      <w:bookmarkStart w:id="181" w:name="_Toc494095672"/>
      <w:bookmarkEnd w:id="181"/>
      <w:bookmarkStart w:id="182" w:name="_Toc494095679"/>
      <w:bookmarkEnd w:id="182"/>
      <w:bookmarkStart w:id="183" w:name="_Toc494357033"/>
      <w:bookmarkEnd w:id="183"/>
      <w:bookmarkStart w:id="184" w:name="_Toc494357034"/>
      <w:bookmarkEnd w:id="184"/>
      <w:bookmarkStart w:id="185" w:name="_Toc494095676"/>
      <w:bookmarkEnd w:id="185"/>
      <w:bookmarkStart w:id="186" w:name="_Toc494357023"/>
      <w:bookmarkEnd w:id="186"/>
      <w:bookmarkStart w:id="187" w:name="_Toc494357021"/>
      <w:bookmarkEnd w:id="187"/>
      <w:bookmarkStart w:id="188" w:name="_Toc494095671"/>
      <w:bookmarkEnd w:id="188"/>
      <w:bookmarkStart w:id="189" w:name="_Toc494095675"/>
      <w:bookmarkEnd w:id="189"/>
      <w:bookmarkStart w:id="190" w:name="_Toc494357024"/>
      <w:bookmarkEnd w:id="190"/>
      <w:bookmarkStart w:id="191" w:name="_Toc21048"/>
      <w:bookmarkStart w:id="192" w:name="_Toc58943349"/>
      <w:bookmarkStart w:id="193" w:name="_Toc1577"/>
      <w:bookmarkStart w:id="194" w:name="_Toc2072"/>
      <w:r>
        <w:rPr>
          <w:rFonts w:hint="eastAsia"/>
          <w:color w:val="auto"/>
        </w:rPr>
        <w:t>采购失败情形</w:t>
      </w:r>
      <w:bookmarkEnd w:id="191"/>
      <w:bookmarkEnd w:id="192"/>
      <w:bookmarkEnd w:id="193"/>
      <w:bookmarkEnd w:id="194"/>
    </w:p>
    <w:p>
      <w:pPr>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有下列情形之一的，本项目采购失败：</w:t>
      </w:r>
    </w:p>
    <w:p>
      <w:pPr>
        <w:tabs>
          <w:tab w:val="left" w:pos="851"/>
        </w:tabs>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一、因情况变化，不再符合规定的竞争性谈判采购方式适用情形的；</w:t>
      </w:r>
    </w:p>
    <w:p>
      <w:pPr>
        <w:tabs>
          <w:tab w:val="left" w:pos="851"/>
        </w:tabs>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二、出现影响采购公正的违法、违规行为的；</w:t>
      </w:r>
    </w:p>
    <w:p>
      <w:pPr>
        <w:tabs>
          <w:tab w:val="left" w:pos="851"/>
        </w:tabs>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三、除本章5.2.2第四款的情况外，在采购过程中符合要求的供应商或者报价未超过采购预算的供应商不足3家的；</w:t>
      </w:r>
    </w:p>
    <w:p>
      <w:pPr>
        <w:pStyle w:val="4"/>
        <w:numPr>
          <w:ilvl w:val="1"/>
          <w:numId w:val="6"/>
        </w:numPr>
        <w:tabs>
          <w:tab w:val="left" w:pos="426"/>
          <w:tab w:val="left" w:pos="567"/>
        </w:tabs>
        <w:spacing w:before="0" w:after="0"/>
        <w:ind w:left="0" w:firstLine="562" w:firstLineChars="200"/>
        <w:jc w:val="both"/>
        <w:rPr>
          <w:color w:val="auto"/>
        </w:rPr>
      </w:pPr>
      <w:bookmarkStart w:id="195" w:name="_Toc1661"/>
      <w:bookmarkStart w:id="196" w:name="_Toc58943350"/>
      <w:bookmarkStart w:id="197" w:name="_Toc11019"/>
      <w:bookmarkStart w:id="198" w:name="_Toc3449"/>
      <w:r>
        <w:rPr>
          <w:rFonts w:hint="eastAsia"/>
          <w:color w:val="auto"/>
        </w:rPr>
        <w:t>确定成交供应商</w:t>
      </w:r>
      <w:bookmarkEnd w:id="195"/>
      <w:bookmarkEnd w:id="196"/>
      <w:bookmarkEnd w:id="197"/>
      <w:bookmarkEnd w:id="198"/>
    </w:p>
    <w:p>
      <w:pPr>
        <w:widowControl/>
        <w:numPr>
          <w:ilvl w:val="0"/>
          <w:numId w:val="42"/>
        </w:numPr>
        <w:tabs>
          <w:tab w:val="left" w:pos="1134"/>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采购人根据谈判小组推荐的成交候选供应商名单，按顺序确定1名成交供应商。成交候选供应商并列的，采购人采取随机抽取的方式确定。</w:t>
      </w:r>
    </w:p>
    <w:p>
      <w:pPr>
        <w:widowControl/>
        <w:numPr>
          <w:ilvl w:val="0"/>
          <w:numId w:val="42"/>
        </w:numPr>
        <w:tabs>
          <w:tab w:val="left" w:pos="1134"/>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评审结束后，综合部在评审结束之日起2个工作日内将评审报告及有关资料送交采购人确定1名成交供应商。</w:t>
      </w:r>
    </w:p>
    <w:p>
      <w:pPr>
        <w:widowControl/>
        <w:numPr>
          <w:ilvl w:val="0"/>
          <w:numId w:val="42"/>
        </w:numPr>
        <w:tabs>
          <w:tab w:val="left" w:pos="1134"/>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采购人在收到评审报告后五个工作日内，按照评审报告中推荐的成交候选供应商顺序确定成交供应商。如果成交候选供应商及其现任法定代表人、主要负责人存在行贿犯罪记录，采购人将不确定其为成交供应商。</w:t>
      </w:r>
    </w:p>
    <w:p>
      <w:pPr>
        <w:widowControl/>
        <w:numPr>
          <w:ilvl w:val="0"/>
          <w:numId w:val="42"/>
        </w:numPr>
        <w:tabs>
          <w:tab w:val="left" w:pos="1134"/>
        </w:tabs>
        <w:snapToGrid w:val="0"/>
        <w:spacing w:line="360" w:lineRule="auto"/>
        <w:ind w:left="0" w:firstLine="560" w:firstLineChars="200"/>
        <w:jc w:val="left"/>
        <w:rPr>
          <w:rFonts w:ascii="宋体" w:hAnsi="宋体" w:cs="宋体"/>
          <w:color w:val="auto"/>
          <w:sz w:val="28"/>
          <w:szCs w:val="28"/>
        </w:rPr>
      </w:pPr>
      <w:r>
        <w:rPr>
          <w:rFonts w:hint="eastAsia" w:ascii="宋体" w:hAnsi="宋体" w:cs="宋体"/>
          <w:color w:val="auto"/>
          <w:sz w:val="28"/>
          <w:szCs w:val="28"/>
        </w:rPr>
        <w:t>采购人逾期未确定成交供应商且不提出异议的，视为确定评审报告提出的排序第一的供应商为成交供应商。</w:t>
      </w:r>
    </w:p>
    <w:p>
      <w:pPr>
        <w:pStyle w:val="4"/>
        <w:numPr>
          <w:ilvl w:val="1"/>
          <w:numId w:val="6"/>
        </w:numPr>
        <w:tabs>
          <w:tab w:val="left" w:pos="426"/>
          <w:tab w:val="left" w:pos="567"/>
        </w:tabs>
        <w:spacing w:before="0" w:after="0"/>
        <w:ind w:left="0" w:firstLine="562" w:firstLineChars="200"/>
        <w:rPr>
          <w:color w:val="auto"/>
        </w:rPr>
      </w:pPr>
      <w:bookmarkStart w:id="199" w:name="_Toc77688503"/>
      <w:bookmarkEnd w:id="199"/>
      <w:bookmarkStart w:id="200" w:name="_Toc77688504"/>
      <w:bookmarkEnd w:id="200"/>
      <w:bookmarkStart w:id="201" w:name="_Toc77688501"/>
      <w:bookmarkEnd w:id="201"/>
      <w:bookmarkStart w:id="202" w:name="_Toc77688502"/>
      <w:bookmarkEnd w:id="202"/>
      <w:bookmarkStart w:id="203" w:name="_Toc58943351"/>
      <w:bookmarkStart w:id="204" w:name="_Toc27384"/>
      <w:bookmarkStart w:id="205" w:name="_Toc32647"/>
      <w:bookmarkStart w:id="206" w:name="_Toc11172"/>
      <w:r>
        <w:rPr>
          <w:rFonts w:hint="eastAsia"/>
          <w:color w:val="auto"/>
        </w:rPr>
        <w:t>谈判小组成员义务</w:t>
      </w:r>
      <w:bookmarkEnd w:id="203"/>
      <w:bookmarkEnd w:id="204"/>
      <w:bookmarkEnd w:id="205"/>
      <w:bookmarkEnd w:id="206"/>
    </w:p>
    <w:p>
      <w:pPr>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谈判小组成员在政府采购活动中承担以下义务：</w:t>
      </w:r>
    </w:p>
    <w:p>
      <w:pPr>
        <w:pStyle w:val="87"/>
        <w:numPr>
          <w:ilvl w:val="0"/>
          <w:numId w:val="43"/>
        </w:numPr>
        <w:tabs>
          <w:tab w:val="left" w:pos="284"/>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遵守评审工作纪律；</w:t>
      </w:r>
    </w:p>
    <w:p>
      <w:pPr>
        <w:pStyle w:val="87"/>
        <w:numPr>
          <w:ilvl w:val="0"/>
          <w:numId w:val="43"/>
        </w:numPr>
        <w:tabs>
          <w:tab w:val="left" w:pos="284"/>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按照客观、公正、审慎的原则，根据谈判文件规定的评审程序、评审方法和评审标准进行独立评审；</w:t>
      </w:r>
    </w:p>
    <w:p>
      <w:pPr>
        <w:pStyle w:val="87"/>
        <w:numPr>
          <w:ilvl w:val="0"/>
          <w:numId w:val="43"/>
        </w:numPr>
        <w:tabs>
          <w:tab w:val="left" w:pos="284"/>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不得泄露评审文件、评审情况和在评审过程中获悉的商业秘密；</w:t>
      </w:r>
    </w:p>
    <w:p>
      <w:pPr>
        <w:pStyle w:val="87"/>
        <w:numPr>
          <w:ilvl w:val="0"/>
          <w:numId w:val="43"/>
        </w:numPr>
        <w:tabs>
          <w:tab w:val="left" w:pos="284"/>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及时向财政部门报告评审过程中发现的采购人、综合部向评审专家做倾向性、误导性的解释或者说明，以及供应商行贿、提供虚假材料或者串通等违法行为；</w:t>
      </w:r>
    </w:p>
    <w:p>
      <w:pPr>
        <w:pStyle w:val="87"/>
        <w:numPr>
          <w:ilvl w:val="0"/>
          <w:numId w:val="43"/>
        </w:numPr>
        <w:tabs>
          <w:tab w:val="left" w:pos="284"/>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发现谈判文件内容违反国家有关强制性规定或者谈判文件存在歧义、重大缺陷导致评审工作无法进行时，停止评审并向采购人或者综合部书面说明情况；</w:t>
      </w:r>
    </w:p>
    <w:p>
      <w:pPr>
        <w:pStyle w:val="87"/>
        <w:numPr>
          <w:ilvl w:val="0"/>
          <w:numId w:val="43"/>
        </w:numPr>
        <w:tabs>
          <w:tab w:val="left" w:pos="284"/>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及时向财政、监察等部门举报在评审过程中受到非法干预的情况；</w:t>
      </w:r>
    </w:p>
    <w:p>
      <w:pPr>
        <w:pStyle w:val="87"/>
        <w:numPr>
          <w:ilvl w:val="0"/>
          <w:numId w:val="43"/>
        </w:numPr>
        <w:tabs>
          <w:tab w:val="left" w:pos="284"/>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配合答复处理供应商的询问、质疑和投诉等事项；</w:t>
      </w:r>
    </w:p>
    <w:p>
      <w:pPr>
        <w:pStyle w:val="87"/>
        <w:numPr>
          <w:ilvl w:val="0"/>
          <w:numId w:val="43"/>
        </w:numPr>
        <w:tabs>
          <w:tab w:val="left" w:pos="284"/>
        </w:tabs>
        <w:spacing w:line="360" w:lineRule="auto"/>
        <w:ind w:left="0" w:firstLine="560"/>
        <w:rPr>
          <w:rFonts w:ascii="宋体" w:hAnsi="宋体" w:eastAsia="宋体" w:cs="宋体"/>
          <w:color w:val="auto"/>
          <w:sz w:val="28"/>
          <w:szCs w:val="28"/>
        </w:rPr>
      </w:pPr>
      <w:r>
        <w:rPr>
          <w:rFonts w:hint="eastAsia" w:ascii="宋体" w:hAnsi="宋体" w:eastAsia="宋体" w:cs="宋体"/>
          <w:color w:val="auto"/>
          <w:sz w:val="28"/>
          <w:szCs w:val="28"/>
        </w:rPr>
        <w:t>法律、法规和规章规定的其他义务。</w:t>
      </w:r>
    </w:p>
    <w:p>
      <w:pPr>
        <w:pStyle w:val="4"/>
        <w:numPr>
          <w:ilvl w:val="1"/>
          <w:numId w:val="6"/>
        </w:numPr>
        <w:tabs>
          <w:tab w:val="left" w:pos="426"/>
          <w:tab w:val="left" w:pos="567"/>
        </w:tabs>
        <w:spacing w:before="0" w:after="0"/>
        <w:ind w:left="0" w:firstLine="562" w:firstLineChars="200"/>
        <w:rPr>
          <w:color w:val="auto"/>
        </w:rPr>
      </w:pPr>
      <w:bookmarkStart w:id="207" w:name="_Toc77688510"/>
      <w:bookmarkEnd w:id="207"/>
      <w:bookmarkStart w:id="208" w:name="_Toc77688515"/>
      <w:bookmarkEnd w:id="208"/>
      <w:bookmarkStart w:id="209" w:name="_Toc77688520"/>
      <w:bookmarkEnd w:id="209"/>
      <w:bookmarkStart w:id="210" w:name="_Toc77688516"/>
      <w:bookmarkEnd w:id="210"/>
      <w:bookmarkStart w:id="211" w:name="_Toc77688509"/>
      <w:bookmarkEnd w:id="211"/>
      <w:bookmarkStart w:id="212" w:name="_Toc77688507"/>
      <w:bookmarkEnd w:id="212"/>
      <w:bookmarkStart w:id="213" w:name="_Toc77688517"/>
      <w:bookmarkEnd w:id="213"/>
      <w:bookmarkStart w:id="214" w:name="_Toc77688513"/>
      <w:bookmarkEnd w:id="214"/>
      <w:bookmarkStart w:id="215" w:name="_Toc77688519"/>
      <w:bookmarkEnd w:id="215"/>
      <w:bookmarkStart w:id="216" w:name="_Toc77688512"/>
      <w:bookmarkEnd w:id="216"/>
      <w:bookmarkStart w:id="217" w:name="_Toc77688508"/>
      <w:bookmarkEnd w:id="217"/>
      <w:bookmarkStart w:id="218" w:name="_Toc77688511"/>
      <w:bookmarkEnd w:id="218"/>
      <w:bookmarkStart w:id="219" w:name="_Toc77688506"/>
      <w:bookmarkEnd w:id="219"/>
      <w:bookmarkStart w:id="220" w:name="_Toc77688514"/>
      <w:bookmarkEnd w:id="220"/>
      <w:bookmarkStart w:id="221" w:name="_Toc77688518"/>
      <w:bookmarkEnd w:id="221"/>
      <w:bookmarkStart w:id="222" w:name="_Toc637"/>
      <w:bookmarkStart w:id="223" w:name="_Toc58943353"/>
      <w:bookmarkStart w:id="224" w:name="_Toc23880"/>
      <w:bookmarkStart w:id="225" w:name="_Toc31261"/>
      <w:r>
        <w:rPr>
          <w:rFonts w:hint="eastAsia"/>
          <w:color w:val="auto"/>
        </w:rPr>
        <w:t>谈判纪律</w:t>
      </w:r>
      <w:bookmarkEnd w:id="222"/>
      <w:bookmarkEnd w:id="223"/>
      <w:bookmarkEnd w:id="224"/>
      <w:bookmarkEnd w:id="225"/>
    </w:p>
    <w:p>
      <w:pPr>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谈判小组成员在政府采购活动中应当遵守以下工作纪律：</w:t>
      </w:r>
    </w:p>
    <w:p>
      <w:pPr>
        <w:tabs>
          <w:tab w:val="left" w:pos="7665"/>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一、不得参加与自己有《中华人民共和国政府采购法实施条例》第九条规定的利害关系的政府采购项目的评审活动。发现参加了与自己有利害关系的评审活动，须主动提出回避，退出评审；</w:t>
      </w:r>
    </w:p>
    <w:p>
      <w:pPr>
        <w:tabs>
          <w:tab w:val="left" w:pos="7665"/>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二、评审前，应当将通讯工具或者相关电子设备交由综合部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综合部，不得私自转托他人；</w:t>
      </w:r>
    </w:p>
    <w:p>
      <w:pPr>
        <w:tabs>
          <w:tab w:val="left" w:pos="7665"/>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三、对需要专业判断的主管评审因素不得协商评分；</w:t>
      </w:r>
    </w:p>
    <w:p>
      <w:pPr>
        <w:tabs>
          <w:tab w:val="left" w:pos="7665"/>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四、在评审过程中不得擅离职守，影响谈判程序正常进行；</w:t>
      </w:r>
    </w:p>
    <w:p>
      <w:pPr>
        <w:tabs>
          <w:tab w:val="left" w:pos="7665"/>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五、评审过程中，不得与外界联系，因发生不可预见情况，确实需要与外界联系的，应当在监督人员监督之下办理；</w:t>
      </w:r>
    </w:p>
    <w:p>
      <w:pPr>
        <w:tabs>
          <w:tab w:val="left" w:pos="7665"/>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六、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七、在评审过程中和评审结束后，不得记录、复制或带走任何评审资料，不得向外界透露评审内容；</w:t>
      </w:r>
    </w:p>
    <w:p>
      <w:pPr>
        <w:tabs>
          <w:tab w:val="left" w:pos="7665"/>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八、评审现场服从综合部工作人员的管理，接受现场监督人员的合法监督；</w:t>
      </w:r>
    </w:p>
    <w:p>
      <w:pPr>
        <w:tabs>
          <w:tab w:val="left" w:pos="7665"/>
        </w:tabs>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九、遵守有关廉洁自律规定，不得私下接触供应商，不得收受供应商及有关业务单位和个人的财物或好处，不得接受综合部的请托。</w:t>
      </w:r>
    </w:p>
    <w:p>
      <w:pPr>
        <w:pStyle w:val="162"/>
        <w:rPr>
          <w:rFonts w:hAnsi="宋体"/>
          <w:color w:val="auto"/>
        </w:rPr>
      </w:pPr>
    </w:p>
    <w:p>
      <w:pPr>
        <w:widowControl/>
        <w:jc w:val="left"/>
        <w:rPr>
          <w:rFonts w:ascii="宋体" w:hAnsi="宋体" w:cs="宋体"/>
          <w:b/>
          <w:bCs/>
          <w:color w:val="auto"/>
          <w:spacing w:val="-20"/>
          <w:kern w:val="44"/>
          <w:sz w:val="32"/>
          <w:szCs w:val="32"/>
        </w:rPr>
      </w:pPr>
      <w:bookmarkStart w:id="226" w:name="_Toc58943354"/>
      <w:r>
        <w:rPr>
          <w:rFonts w:hint="eastAsia" w:ascii="宋体" w:hAnsi="宋体" w:cs="宋体"/>
          <w:color w:val="auto"/>
        </w:rPr>
        <w:br w:type="page"/>
      </w:r>
    </w:p>
    <w:bookmarkEnd w:id="226"/>
    <w:p>
      <w:pPr>
        <w:pStyle w:val="3"/>
        <w:widowControl/>
        <w:numPr>
          <w:ilvl w:val="0"/>
          <w:numId w:val="6"/>
        </w:numPr>
        <w:spacing w:before="0" w:after="0" w:line="360" w:lineRule="auto"/>
        <w:ind w:left="0" w:firstLine="0"/>
        <w:rPr>
          <w:color w:val="auto"/>
        </w:rPr>
      </w:pPr>
      <w:bookmarkStart w:id="227" w:name="_Toc7657"/>
      <w:bookmarkStart w:id="228" w:name="_Toc18034"/>
      <w:r>
        <w:rPr>
          <w:rFonts w:hint="eastAsia"/>
          <w:color w:val="auto"/>
        </w:rPr>
        <w:t>政府采购合同主要条款</w:t>
      </w:r>
      <w:bookmarkEnd w:id="227"/>
      <w:bookmarkEnd w:id="228"/>
    </w:p>
    <w:p>
      <w:pPr>
        <w:pStyle w:val="2"/>
        <w:ind w:firstLine="424" w:firstLineChars="177"/>
        <w:rPr>
          <w:rFonts w:ascii="宋体" w:hAnsi="宋体" w:cs="宋体"/>
          <w:color w:val="auto"/>
          <w:sz w:val="24"/>
          <w:szCs w:val="32"/>
        </w:rPr>
      </w:pPr>
      <w:bookmarkStart w:id="229" w:name="_Hlt101846155"/>
      <w:bookmarkEnd w:id="229"/>
    </w:p>
    <w:p>
      <w:pPr>
        <w:pStyle w:val="2"/>
        <w:spacing w:after="0" w:line="360"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合同编号： </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签订地点： </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签订时间：      年    月    日</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采购人（甲方）：                              </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供应商（乙方）：                              </w:t>
      </w:r>
    </w:p>
    <w:p>
      <w:pPr>
        <w:pStyle w:val="2"/>
        <w:spacing w:line="360" w:lineRule="auto"/>
        <w:ind w:firstLine="480" w:firstLineChars="200"/>
        <w:rPr>
          <w:rFonts w:ascii="宋体" w:hAnsi="宋体" w:cs="宋体"/>
          <w:color w:val="auto"/>
          <w:sz w:val="24"/>
          <w:szCs w:val="24"/>
        </w:rPr>
      </w:pP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根据《中华人民共和国政府采购法》、《中华人民共和国民法典》及XXXX采购项目（采购项目编号：XX）的《谈判文件》、乙方的《响应文件》及《成交通知书》，甲、乙双方同意签订本合同。详细技术说明及其他有关合同项目的特定信息由本合同附件予以说明，本合同附件及本项目的《谈判文件》、《响应文件》、《成交通知书》等均为本合同不可分割的部分。双方同意共同遵守如下条款：</w:t>
      </w:r>
    </w:p>
    <w:p>
      <w:pPr>
        <w:pStyle w:val="2"/>
        <w:spacing w:line="360" w:lineRule="auto"/>
        <w:ind w:firstLine="480" w:firstLineChars="200"/>
        <w:outlineLvl w:val="1"/>
        <w:rPr>
          <w:rFonts w:ascii="宋体" w:hAnsi="宋体" w:cs="宋体"/>
          <w:color w:val="auto"/>
          <w:sz w:val="24"/>
          <w:szCs w:val="24"/>
        </w:rPr>
      </w:pPr>
      <w:bookmarkStart w:id="230" w:name="_Toc17610"/>
      <w:bookmarkStart w:id="231" w:name="_Toc3780"/>
      <w:bookmarkStart w:id="232" w:name="_Toc19907"/>
      <w:r>
        <w:rPr>
          <w:rFonts w:hint="eastAsia" w:ascii="宋体" w:hAnsi="宋体" w:cs="宋体"/>
          <w:color w:val="auto"/>
          <w:sz w:val="24"/>
          <w:szCs w:val="24"/>
        </w:rPr>
        <w:t>一、合同货物</w:t>
      </w:r>
      <w:bookmarkEnd w:id="230"/>
      <w:bookmarkEnd w:id="231"/>
      <w:bookmarkEnd w:id="232"/>
    </w:p>
    <w:tbl>
      <w:tblPr>
        <w:tblStyle w:val="41"/>
        <w:tblW w:w="90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pPr>
              <w:pStyle w:val="2"/>
              <w:spacing w:line="360" w:lineRule="auto"/>
              <w:rPr>
                <w:rFonts w:ascii="宋体" w:hAnsi="宋体" w:cs="宋体"/>
                <w:color w:val="auto"/>
                <w:sz w:val="24"/>
                <w:szCs w:val="24"/>
              </w:rPr>
            </w:pPr>
            <w:r>
              <w:rPr>
                <w:rFonts w:hint="eastAsia" w:ascii="宋体" w:hAnsi="宋体" w:cs="宋体"/>
                <w:color w:val="auto"/>
                <w:sz w:val="24"/>
                <w:szCs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pStyle w:val="2"/>
              <w:spacing w:line="360" w:lineRule="auto"/>
              <w:rPr>
                <w:rFonts w:ascii="宋体" w:hAnsi="宋体" w:cs="宋体"/>
                <w:color w:val="auto"/>
                <w:sz w:val="24"/>
                <w:szCs w:val="24"/>
              </w:rPr>
            </w:pPr>
            <w:r>
              <w:rPr>
                <w:rFonts w:hint="eastAsia" w:ascii="宋体" w:hAnsi="宋体" w:cs="宋体"/>
                <w:color w:val="auto"/>
                <w:sz w:val="24"/>
                <w:szCs w:val="24"/>
              </w:rPr>
              <w:t>规格型号</w:t>
            </w:r>
          </w:p>
        </w:tc>
        <w:tc>
          <w:tcPr>
            <w:tcW w:w="720" w:type="dxa"/>
            <w:tcBorders>
              <w:top w:val="single" w:color="auto" w:sz="4" w:space="0"/>
              <w:left w:val="single" w:color="auto" w:sz="4" w:space="0"/>
              <w:bottom w:val="single" w:color="auto" w:sz="4" w:space="0"/>
              <w:right w:val="single" w:color="auto" w:sz="4" w:space="0"/>
            </w:tcBorders>
            <w:vAlign w:val="center"/>
          </w:tcPr>
          <w:p>
            <w:pPr>
              <w:pStyle w:val="2"/>
              <w:spacing w:line="360" w:lineRule="auto"/>
              <w:rPr>
                <w:rFonts w:ascii="宋体" w:hAnsi="宋体" w:cs="宋体"/>
                <w:color w:val="auto"/>
                <w:sz w:val="24"/>
                <w:szCs w:val="24"/>
              </w:rPr>
            </w:pPr>
            <w:r>
              <w:rPr>
                <w:rFonts w:hint="eastAsia" w:ascii="宋体" w:hAnsi="宋体" w:cs="宋体"/>
                <w:color w:val="auto"/>
                <w:sz w:val="24"/>
                <w:szCs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pStyle w:val="2"/>
              <w:spacing w:line="360" w:lineRule="auto"/>
              <w:rPr>
                <w:rFonts w:ascii="宋体" w:hAnsi="宋体" w:cs="宋体"/>
                <w:color w:val="auto"/>
                <w:sz w:val="24"/>
                <w:szCs w:val="24"/>
              </w:rPr>
            </w:pPr>
            <w:r>
              <w:rPr>
                <w:rFonts w:hint="eastAsia" w:ascii="宋体" w:hAnsi="宋体" w:cs="宋体"/>
                <w:color w:val="auto"/>
                <w:sz w:val="24"/>
                <w:szCs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pStyle w:val="2"/>
              <w:spacing w:line="360" w:lineRule="auto"/>
              <w:rPr>
                <w:rFonts w:ascii="宋体" w:hAnsi="宋体" w:cs="宋体"/>
                <w:color w:val="auto"/>
                <w:sz w:val="24"/>
                <w:szCs w:val="24"/>
              </w:rPr>
            </w:pPr>
            <w:r>
              <w:rPr>
                <w:rFonts w:hint="eastAsia" w:ascii="宋体" w:hAnsi="宋体" w:cs="宋体"/>
                <w:color w:val="auto"/>
                <w:sz w:val="24"/>
                <w:szCs w:val="24"/>
              </w:rPr>
              <w:t>单价（元）</w:t>
            </w:r>
          </w:p>
        </w:tc>
        <w:tc>
          <w:tcPr>
            <w:tcW w:w="1185" w:type="dxa"/>
            <w:tcBorders>
              <w:top w:val="single" w:color="auto" w:sz="4" w:space="0"/>
              <w:left w:val="single" w:color="auto" w:sz="4" w:space="0"/>
              <w:bottom w:val="single" w:color="auto" w:sz="4" w:space="0"/>
              <w:right w:val="single" w:color="auto" w:sz="4" w:space="0"/>
            </w:tcBorders>
            <w:vAlign w:val="center"/>
          </w:tcPr>
          <w:p>
            <w:pPr>
              <w:pStyle w:val="2"/>
              <w:spacing w:line="360" w:lineRule="auto"/>
              <w:rPr>
                <w:rFonts w:ascii="宋体" w:hAnsi="宋体" w:cs="宋体"/>
                <w:color w:val="auto"/>
                <w:sz w:val="24"/>
                <w:szCs w:val="24"/>
              </w:rPr>
            </w:pPr>
            <w:r>
              <w:rPr>
                <w:rFonts w:hint="eastAsia" w:ascii="宋体" w:hAnsi="宋体" w:cs="宋体"/>
                <w:color w:val="auto"/>
                <w:sz w:val="24"/>
                <w:szCs w:val="24"/>
              </w:rPr>
              <w:t>总价（元）</w:t>
            </w:r>
          </w:p>
        </w:tc>
        <w:tc>
          <w:tcPr>
            <w:tcW w:w="1260" w:type="dxa"/>
            <w:tcBorders>
              <w:top w:val="single" w:color="auto" w:sz="4" w:space="0"/>
              <w:left w:val="single" w:color="auto" w:sz="4" w:space="0"/>
              <w:bottom w:val="single" w:color="auto" w:sz="4" w:space="0"/>
              <w:right w:val="single" w:color="auto" w:sz="4" w:space="0"/>
            </w:tcBorders>
            <w:vAlign w:val="center"/>
          </w:tcPr>
          <w:p>
            <w:pPr>
              <w:pStyle w:val="2"/>
              <w:spacing w:line="360" w:lineRule="auto"/>
              <w:rPr>
                <w:rFonts w:ascii="宋体" w:hAnsi="宋体" w:cs="宋体"/>
                <w:color w:val="auto"/>
                <w:sz w:val="24"/>
                <w:szCs w:val="24"/>
              </w:rPr>
            </w:pPr>
            <w:r>
              <w:rPr>
                <w:rFonts w:hint="eastAsia" w:ascii="宋体" w:hAnsi="宋体" w:cs="宋体"/>
                <w:color w:val="auto"/>
                <w:sz w:val="24"/>
                <w:szCs w:val="24"/>
              </w:rPr>
              <w:t>随机配件</w:t>
            </w:r>
          </w:p>
        </w:tc>
        <w:tc>
          <w:tcPr>
            <w:tcW w:w="1260" w:type="dxa"/>
            <w:tcBorders>
              <w:top w:val="single" w:color="auto" w:sz="4" w:space="0"/>
              <w:left w:val="single" w:color="auto" w:sz="4" w:space="0"/>
              <w:bottom w:val="single" w:color="auto" w:sz="4" w:space="0"/>
              <w:right w:val="single" w:color="auto" w:sz="4" w:space="0"/>
            </w:tcBorders>
            <w:vAlign w:val="center"/>
          </w:tcPr>
          <w:p>
            <w:pPr>
              <w:pStyle w:val="2"/>
              <w:spacing w:line="360" w:lineRule="auto"/>
              <w:rPr>
                <w:rFonts w:ascii="宋体" w:hAnsi="宋体" w:cs="宋体"/>
                <w:color w:val="auto"/>
                <w:sz w:val="24"/>
                <w:szCs w:val="24"/>
              </w:rPr>
            </w:pPr>
            <w:r>
              <w:rPr>
                <w:rFonts w:hint="eastAsia" w:ascii="宋体" w:hAnsi="宋体" w:cs="宋体"/>
                <w:color w:val="auto"/>
                <w:sz w:val="24"/>
                <w:szCs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r>
              <w:rPr>
                <w:rFonts w:hint="eastAsia" w:ascii="宋体" w:hAnsi="宋体" w:eastAsia="宋体" w:cs="宋体"/>
                <w:color w:val="auto"/>
                <w:sz w:val="24"/>
                <w:lang w:val="en-US" w:eastAsia="zh-CN"/>
              </w:rPr>
              <w:t>LED显示屏</w:t>
            </w:r>
          </w:p>
        </w:tc>
        <w:tc>
          <w:tcPr>
            <w:tcW w:w="105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r>
              <w:rPr>
                <w:rFonts w:hint="eastAsia" w:ascii="宋体" w:hAnsi="宋体" w:eastAsia="宋体" w:cs="宋体"/>
                <w:color w:val="auto"/>
                <w:sz w:val="24"/>
                <w:lang w:val="en-US" w:eastAsia="zh-CN"/>
              </w:rPr>
              <w:t>平米</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r>
              <w:rPr>
                <w:rFonts w:hint="eastAsia" w:ascii="宋体" w:hAnsi="宋体" w:eastAsia="宋体" w:cs="宋体"/>
                <w:color w:val="auto"/>
                <w:sz w:val="24"/>
                <w:lang w:val="en-US" w:eastAsia="zh-CN"/>
              </w:rPr>
              <w:t>22</w:t>
            </w:r>
          </w:p>
        </w:tc>
        <w:tc>
          <w:tcPr>
            <w:tcW w:w="108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w:t>
            </w:r>
          </w:p>
        </w:tc>
        <w:tc>
          <w:tcPr>
            <w:tcW w:w="1185"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多功能电源</w:t>
            </w:r>
          </w:p>
          <w:p>
            <w:pPr>
              <w:spacing w:line="400" w:lineRule="exact"/>
              <w:jc w:val="center"/>
              <w:rPr>
                <w:rFonts w:ascii="宋体" w:hAnsi="宋体" w:cs="宋体"/>
                <w:color w:val="auto"/>
                <w:sz w:val="24"/>
                <w:szCs w:val="24"/>
              </w:rPr>
            </w:pPr>
            <w:r>
              <w:rPr>
                <w:rFonts w:hint="eastAsia" w:ascii="宋体" w:hAnsi="宋体" w:eastAsia="宋体" w:cs="宋体"/>
                <w:color w:val="auto"/>
                <w:sz w:val="24"/>
                <w:lang w:val="en-US" w:eastAsia="zh-CN"/>
              </w:rPr>
              <w:t>（控制系统与电源二合一）</w:t>
            </w:r>
          </w:p>
        </w:tc>
        <w:tc>
          <w:tcPr>
            <w:tcW w:w="105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r>
              <w:rPr>
                <w:rFonts w:hint="eastAsia" w:ascii="宋体" w:hAnsi="宋体" w:eastAsia="宋体" w:cs="宋体"/>
                <w:color w:val="auto"/>
                <w:sz w:val="24"/>
                <w:lang w:eastAsia="zh-CN"/>
              </w:rPr>
              <w:t>台</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szCs w:val="24"/>
              </w:rPr>
            </w:pPr>
            <w:r>
              <w:rPr>
                <w:rFonts w:hint="eastAsia" w:ascii="宋体" w:hAnsi="宋体" w:eastAsia="宋体" w:cs="宋体"/>
                <w:color w:val="auto"/>
                <w:sz w:val="24"/>
                <w:lang w:val="en-US" w:eastAsia="zh-CN"/>
              </w:rPr>
              <w:t>80</w:t>
            </w:r>
          </w:p>
        </w:tc>
        <w:tc>
          <w:tcPr>
            <w:tcW w:w="108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w:t>
            </w:r>
          </w:p>
        </w:tc>
        <w:tc>
          <w:tcPr>
            <w:tcW w:w="1185"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color w:val="auto"/>
                <w:sz w:val="24"/>
                <w:szCs w:val="24"/>
              </w:rPr>
            </w:pPr>
            <w:bookmarkStart w:id="233" w:name="_Toc28715"/>
            <w:bookmarkStart w:id="234" w:name="_Toc17238"/>
            <w:r>
              <w:rPr>
                <w:rFonts w:hint="eastAsia" w:ascii="宋体" w:hAnsi="宋体" w:eastAsia="宋体" w:cs="宋体"/>
                <w:color w:val="auto"/>
                <w:sz w:val="24"/>
                <w:lang w:val="en-US" w:eastAsia="zh-CN"/>
              </w:rPr>
              <w:t>视频控制器</w:t>
            </w:r>
          </w:p>
        </w:tc>
        <w:tc>
          <w:tcPr>
            <w:tcW w:w="105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hint="eastAsia" w:ascii="宋体" w:hAnsi="宋体" w:cs="宋体"/>
                <w:color w:val="auto"/>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color w:val="auto"/>
                <w:sz w:val="24"/>
                <w:szCs w:val="24"/>
              </w:rPr>
            </w:pPr>
            <w:r>
              <w:rPr>
                <w:rFonts w:hint="eastAsia" w:ascii="宋体" w:hAnsi="宋体" w:eastAsia="宋体" w:cs="宋体"/>
                <w:color w:val="auto"/>
                <w:sz w:val="24"/>
                <w:lang w:val="en-US" w:eastAsia="zh-CN"/>
              </w:rPr>
              <w:t>台</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color w:val="auto"/>
                <w:sz w:val="24"/>
                <w:szCs w:val="24"/>
              </w:rPr>
            </w:pPr>
            <w:r>
              <w:rPr>
                <w:rFonts w:hint="eastAsia" w:ascii="宋体" w:hAnsi="宋体" w:eastAsia="宋体" w:cs="宋体"/>
                <w:color w:val="auto"/>
                <w:sz w:val="24"/>
                <w:lang w:val="en-US" w:eastAsia="zh-CN"/>
              </w:rPr>
              <w:t>1</w:t>
            </w:r>
          </w:p>
        </w:tc>
        <w:tc>
          <w:tcPr>
            <w:tcW w:w="108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hint="eastAsia" w:ascii="宋体" w:hAnsi="宋体" w:cs="宋体"/>
                <w:color w:val="auto"/>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hint="eastAsia" w:ascii="宋体" w:hAnsi="宋体" w:cs="宋体"/>
                <w:color w:val="auto"/>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hint="eastAsia" w:ascii="宋体" w:hAnsi="宋体" w:cs="宋体"/>
                <w:color w:val="auto"/>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color w:val="auto"/>
                <w:sz w:val="24"/>
                <w:szCs w:val="24"/>
              </w:rPr>
            </w:pPr>
            <w:r>
              <w:rPr>
                <w:rFonts w:hint="eastAsia" w:ascii="宋体" w:hAnsi="宋体" w:eastAsia="宋体" w:cs="宋体"/>
                <w:color w:val="auto"/>
                <w:sz w:val="24"/>
                <w:lang w:val="en-US" w:eastAsia="zh-CN"/>
              </w:rPr>
              <w:t>系统软件</w:t>
            </w:r>
          </w:p>
        </w:tc>
        <w:tc>
          <w:tcPr>
            <w:tcW w:w="105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hint="eastAsia" w:ascii="宋体" w:hAnsi="宋体" w:cs="宋体"/>
                <w:color w:val="auto"/>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color w:val="auto"/>
                <w:sz w:val="24"/>
                <w:szCs w:val="24"/>
              </w:rPr>
            </w:pPr>
            <w:r>
              <w:rPr>
                <w:rFonts w:hint="eastAsia" w:ascii="宋体" w:hAnsi="宋体" w:eastAsia="宋体" w:cs="宋体"/>
                <w:color w:val="auto"/>
                <w:sz w:val="24"/>
                <w:lang w:val="en-US" w:eastAsia="zh-CN"/>
              </w:rPr>
              <w:t>套</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color w:val="auto"/>
                <w:sz w:val="24"/>
                <w:szCs w:val="24"/>
              </w:rPr>
            </w:pPr>
            <w:r>
              <w:rPr>
                <w:rFonts w:hint="eastAsia" w:ascii="宋体" w:hAnsi="宋体" w:eastAsia="宋体" w:cs="宋体"/>
                <w:color w:val="auto"/>
                <w:sz w:val="24"/>
                <w:lang w:val="en-US" w:eastAsia="zh-CN"/>
              </w:rPr>
              <w:t>1</w:t>
            </w:r>
          </w:p>
        </w:tc>
        <w:tc>
          <w:tcPr>
            <w:tcW w:w="108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hint="eastAsia" w:ascii="宋体" w:hAnsi="宋体" w:cs="宋体"/>
                <w:color w:val="auto"/>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hint="eastAsia" w:ascii="宋体" w:hAnsi="宋体" w:cs="宋体"/>
                <w:color w:val="auto"/>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hint="eastAsia" w:ascii="宋体" w:hAnsi="宋体" w:cs="宋体"/>
                <w:color w:val="auto"/>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color w:val="auto"/>
                <w:sz w:val="24"/>
                <w:szCs w:val="24"/>
              </w:rPr>
            </w:pPr>
            <w:r>
              <w:rPr>
                <w:rFonts w:hint="eastAsia" w:ascii="宋体" w:hAnsi="宋体" w:eastAsia="宋体" w:cs="宋体"/>
                <w:color w:val="auto"/>
                <w:sz w:val="24"/>
                <w:lang w:val="en-US" w:eastAsia="zh-CN"/>
              </w:rPr>
              <w:t>钢结构</w:t>
            </w:r>
          </w:p>
        </w:tc>
        <w:tc>
          <w:tcPr>
            <w:tcW w:w="105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hint="eastAsia" w:ascii="宋体" w:hAnsi="宋体" w:cs="宋体"/>
                <w:color w:val="auto"/>
                <w:sz w:val="24"/>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color w:val="auto"/>
                <w:sz w:val="24"/>
                <w:szCs w:val="24"/>
              </w:rPr>
            </w:pPr>
            <w:r>
              <w:rPr>
                <w:rFonts w:hint="eastAsia" w:ascii="宋体" w:hAnsi="宋体" w:eastAsia="宋体" w:cs="宋体"/>
                <w:color w:val="auto"/>
                <w:sz w:val="24"/>
                <w:lang w:val="en-US" w:eastAsia="zh-CN"/>
              </w:rPr>
              <w:t>平米</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color w:val="auto"/>
                <w:sz w:val="24"/>
                <w:szCs w:val="24"/>
              </w:rPr>
            </w:pPr>
            <w:r>
              <w:rPr>
                <w:rFonts w:hint="eastAsia" w:ascii="宋体" w:hAnsi="宋体" w:eastAsia="宋体" w:cs="宋体"/>
                <w:color w:val="auto"/>
                <w:sz w:val="24"/>
                <w:lang w:val="en-US" w:eastAsia="zh-CN"/>
              </w:rPr>
              <w:t>22</w:t>
            </w:r>
          </w:p>
        </w:tc>
        <w:tc>
          <w:tcPr>
            <w:tcW w:w="108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hint="eastAsia" w:ascii="宋体" w:hAnsi="宋体" w:cs="宋体"/>
                <w:color w:val="auto"/>
                <w:sz w:val="24"/>
                <w:szCs w:val="24"/>
              </w:rPr>
            </w:pPr>
          </w:p>
        </w:tc>
        <w:tc>
          <w:tcPr>
            <w:tcW w:w="1185"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hint="eastAsia" w:ascii="宋体" w:hAnsi="宋体" w:cs="宋体"/>
                <w:color w:val="auto"/>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hint="eastAsia" w:ascii="宋体" w:hAnsi="宋体" w:cs="宋体"/>
                <w:color w:val="auto"/>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480" w:firstLineChars="200"/>
              <w:rPr>
                <w:rFonts w:hint="eastAsia" w:ascii="宋体" w:hAnsi="宋体" w:cs="宋体"/>
                <w:color w:val="auto"/>
                <w:sz w:val="24"/>
                <w:szCs w:val="24"/>
              </w:rPr>
            </w:pPr>
          </w:p>
        </w:tc>
      </w:tr>
    </w:tbl>
    <w:p>
      <w:pPr>
        <w:pStyle w:val="2"/>
        <w:spacing w:line="360" w:lineRule="auto"/>
        <w:ind w:firstLine="480" w:firstLineChars="200"/>
        <w:outlineLvl w:val="1"/>
        <w:rPr>
          <w:rFonts w:ascii="宋体" w:hAnsi="宋体" w:cs="宋体"/>
          <w:color w:val="auto"/>
          <w:sz w:val="24"/>
          <w:szCs w:val="24"/>
        </w:rPr>
      </w:pPr>
      <w:bookmarkStart w:id="235" w:name="_Toc29321"/>
      <w:r>
        <w:rPr>
          <w:rFonts w:hint="eastAsia" w:ascii="宋体" w:hAnsi="宋体" w:cs="宋体"/>
          <w:color w:val="auto"/>
          <w:sz w:val="24"/>
          <w:szCs w:val="24"/>
        </w:rPr>
        <w:t>二、合同总价</w:t>
      </w:r>
      <w:bookmarkEnd w:id="233"/>
      <w:bookmarkEnd w:id="234"/>
      <w:bookmarkEnd w:id="235"/>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合同总价为人民币大写：</w:t>
      </w:r>
      <w:r>
        <w:rPr>
          <w:rFonts w:hint="eastAsia" w:ascii="宋体" w:hAnsi="宋体" w:cs="宋体"/>
          <w:color w:val="auto"/>
          <w:sz w:val="24"/>
          <w:szCs w:val="24"/>
          <w:u w:val="single"/>
        </w:rPr>
        <w:t xml:space="preserve">                </w:t>
      </w:r>
      <w:r>
        <w:rPr>
          <w:rFonts w:hint="eastAsia" w:ascii="宋体" w:hAnsi="宋体" w:cs="宋体"/>
          <w:color w:val="auto"/>
          <w:sz w:val="24"/>
          <w:szCs w:val="24"/>
        </w:rPr>
        <w:t>元，即RMB￥</w:t>
      </w:r>
      <w:r>
        <w:rPr>
          <w:rFonts w:hint="eastAsia" w:ascii="宋体" w:hAnsi="宋体" w:cs="宋体"/>
          <w:color w:val="auto"/>
          <w:sz w:val="24"/>
          <w:szCs w:val="24"/>
          <w:u w:val="single"/>
        </w:rPr>
        <w:t xml:space="preserve">        </w:t>
      </w:r>
      <w:r>
        <w:rPr>
          <w:rFonts w:hint="eastAsia" w:ascii="宋体" w:hAnsi="宋体" w:cs="宋体"/>
          <w:color w:val="auto"/>
          <w:sz w:val="24"/>
          <w:szCs w:val="24"/>
        </w:rPr>
        <w:t>元；该合同总价已包括货物设计、材料、制造、包装、运输、安装、调试、计量、检测、验收合格交付使用之前及保修期内保修服务与备用物件等等所有其他有关各项的含税费用。本合同执行期间合同总价不变，甲方无须另向乙方支付本合同规定之外的其他任何费用。</w:t>
      </w:r>
    </w:p>
    <w:p>
      <w:pPr>
        <w:pStyle w:val="2"/>
        <w:spacing w:line="360" w:lineRule="auto"/>
        <w:ind w:firstLine="480" w:firstLineChars="200"/>
        <w:outlineLvl w:val="1"/>
        <w:rPr>
          <w:rFonts w:ascii="宋体" w:hAnsi="宋体" w:cs="宋体"/>
          <w:color w:val="auto"/>
          <w:sz w:val="24"/>
          <w:szCs w:val="24"/>
        </w:rPr>
      </w:pPr>
      <w:bookmarkStart w:id="236" w:name="_Toc5445"/>
      <w:bookmarkStart w:id="237" w:name="_Toc13973"/>
      <w:bookmarkStart w:id="238" w:name="_Toc30735"/>
      <w:r>
        <w:rPr>
          <w:rFonts w:hint="eastAsia" w:ascii="宋体" w:hAnsi="宋体" w:cs="宋体"/>
          <w:color w:val="auto"/>
          <w:sz w:val="24"/>
          <w:szCs w:val="24"/>
        </w:rPr>
        <w:t>三、质量要求</w:t>
      </w:r>
      <w:bookmarkEnd w:id="236"/>
      <w:bookmarkEnd w:id="237"/>
      <w:bookmarkEnd w:id="238"/>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1、乙方须提供全新的货物（含零部件、配件等），表面无划伤、无碰撞痕迹，且权属清楚，不得侵害他人的知识产权。</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2、货物必须符合或优于国家（行业）标准，以及本项目招标文件的质量要求和技术指标与出厂标准。</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3、凡因产品质量和配置不符合相关质量标准和供需合同要求，一经发现，即无条件退货。</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4、若在安装过程中出现问题，须更换整机。统一部件在质保期内若出现二次以上故障须整部件更换。</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5、乙方负责到现场免费安装、调试设备，安装调试过程中所需零配件由乙方提供。进行操作实验，直至运行正常，为操作人员提供免费的操作及维护培训，并在硬件设备和软件安装后，无限期全面协助用户熟悉和操作。</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6、货到现场后由于甲方保管不当造成的质量问题，乙方亦应负责修理，但费用由甲方负担。</w:t>
      </w:r>
    </w:p>
    <w:p>
      <w:pPr>
        <w:pStyle w:val="2"/>
        <w:spacing w:line="360" w:lineRule="auto"/>
        <w:ind w:firstLine="480" w:firstLineChars="200"/>
        <w:outlineLvl w:val="1"/>
        <w:rPr>
          <w:rFonts w:ascii="宋体" w:hAnsi="宋体" w:cs="宋体"/>
          <w:color w:val="auto"/>
          <w:sz w:val="24"/>
          <w:szCs w:val="24"/>
        </w:rPr>
      </w:pPr>
      <w:bookmarkStart w:id="239" w:name="_Toc9543"/>
      <w:bookmarkStart w:id="240" w:name="_Toc2698"/>
      <w:bookmarkStart w:id="241" w:name="_Toc22831"/>
      <w:r>
        <w:rPr>
          <w:rFonts w:hint="eastAsia" w:ascii="宋体" w:hAnsi="宋体" w:cs="宋体"/>
          <w:color w:val="auto"/>
          <w:sz w:val="24"/>
          <w:szCs w:val="24"/>
        </w:rPr>
        <w:t>四、履行期限及地点和方式</w:t>
      </w:r>
      <w:bookmarkEnd w:id="239"/>
      <w:bookmarkEnd w:id="240"/>
      <w:bookmarkEnd w:id="241"/>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1、乙方交货期限为合同签订之日起5日内完成。</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2、供货地点:成都市东部新区贾家街道久隆社区19组128号。</w:t>
      </w:r>
    </w:p>
    <w:p>
      <w:pPr>
        <w:pStyle w:val="2"/>
        <w:spacing w:line="360" w:lineRule="auto"/>
        <w:ind w:firstLine="480" w:firstLineChars="200"/>
        <w:outlineLvl w:val="1"/>
        <w:rPr>
          <w:rFonts w:ascii="宋体" w:hAnsi="宋体" w:cs="宋体"/>
          <w:color w:val="auto"/>
          <w:sz w:val="24"/>
          <w:szCs w:val="24"/>
        </w:rPr>
      </w:pPr>
      <w:bookmarkStart w:id="242" w:name="_Toc11071"/>
      <w:bookmarkStart w:id="243" w:name="_Toc2393"/>
      <w:bookmarkStart w:id="244" w:name="_Toc162"/>
      <w:r>
        <w:rPr>
          <w:rFonts w:hint="eastAsia" w:ascii="宋体" w:hAnsi="宋体" w:cs="宋体"/>
          <w:color w:val="auto"/>
          <w:sz w:val="24"/>
          <w:szCs w:val="24"/>
        </w:rPr>
        <w:t>五、验收要求</w:t>
      </w:r>
      <w:bookmarkEnd w:id="242"/>
      <w:bookmarkEnd w:id="243"/>
      <w:bookmarkEnd w:id="244"/>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1、验收由甲方组织，乙方配合进行：</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 货物在乙方通知安装调试完毕后</w:t>
      </w:r>
      <w:r>
        <w:rPr>
          <w:rFonts w:hint="eastAsia" w:ascii="宋体" w:hAnsi="宋体" w:cs="宋体"/>
          <w:color w:val="auto"/>
          <w:sz w:val="24"/>
          <w:szCs w:val="24"/>
          <w:u w:val="single"/>
        </w:rPr>
        <w:t xml:space="preserve">    </w:t>
      </w:r>
      <w:r>
        <w:rPr>
          <w:rFonts w:hint="eastAsia" w:ascii="宋体" w:hAnsi="宋体" w:cs="宋体"/>
          <w:color w:val="auto"/>
          <w:sz w:val="24"/>
          <w:szCs w:val="24"/>
        </w:rPr>
        <w:t>日内初步验收。初步验收合格后，进入</w:t>
      </w:r>
      <w:r>
        <w:rPr>
          <w:rFonts w:hint="eastAsia" w:ascii="宋体" w:hAnsi="宋体" w:cs="宋体"/>
          <w:color w:val="auto"/>
          <w:sz w:val="24"/>
          <w:szCs w:val="24"/>
          <w:u w:val="single"/>
        </w:rPr>
        <w:t xml:space="preserve">   </w:t>
      </w:r>
      <w:r>
        <w:rPr>
          <w:rFonts w:hint="eastAsia" w:ascii="宋体" w:hAnsi="宋体" w:cs="宋体"/>
          <w:color w:val="auto"/>
          <w:sz w:val="24"/>
          <w:szCs w:val="24"/>
        </w:rPr>
        <w:t>日试用期；试用期间发生重大质量问题，修复后试用相应顺延；试用期结束后</w:t>
      </w:r>
      <w:r>
        <w:rPr>
          <w:rFonts w:hint="eastAsia" w:ascii="宋体" w:hAnsi="宋体" w:cs="宋体"/>
          <w:color w:val="auto"/>
          <w:sz w:val="24"/>
          <w:szCs w:val="24"/>
          <w:u w:val="single"/>
        </w:rPr>
        <w:t xml:space="preserve">   </w:t>
      </w:r>
      <w:r>
        <w:rPr>
          <w:rFonts w:hint="eastAsia" w:ascii="宋体" w:hAnsi="宋体" w:cs="宋体"/>
          <w:color w:val="auto"/>
          <w:sz w:val="24"/>
          <w:szCs w:val="24"/>
        </w:rPr>
        <w:t>日内完成最终验收；</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 验收标准：按国家有关规定以及采购文件的质量要求和技术指标、供应商的投标文件及承诺与本合同约定标准进行验收；采购人与供应商双方如对质量要求和技术指标的约定标准有相互抵触或异议的事项，由采购人在采购文件及响应文件中按质量要求和技术指标比较优胜的原则确定该项的约定标准进行验收；</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(4) 如质量验收合格，双方签署质量验收报告。</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2、货物安装调试完毕后</w:t>
      </w:r>
      <w:r>
        <w:rPr>
          <w:rFonts w:hint="eastAsia" w:ascii="宋体" w:hAnsi="宋体" w:cs="宋体"/>
          <w:color w:val="auto"/>
          <w:sz w:val="24"/>
          <w:szCs w:val="24"/>
          <w:u w:val="single"/>
        </w:rPr>
        <w:t xml:space="preserve">   </w:t>
      </w:r>
      <w:r>
        <w:rPr>
          <w:rFonts w:hint="eastAsia" w:ascii="宋体" w:hAnsi="宋体" w:cs="宋体"/>
          <w:color w:val="auto"/>
          <w:sz w:val="24"/>
          <w:szCs w:val="24"/>
        </w:rPr>
        <w:t>日内，甲方无故不进行验收工作并已使用货物的，视同已安装调试完成并验收合格。</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3、乙方应将所提供货物的装箱清单、配件、随机工具、用户使用手册、原厂保修卡等资料交付给甲方；乙方不能完整交付货物及本款规定的单证和工具的，必须负责补齐，否则视为未按合同约定交货。</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4、如货物经乙方</w:t>
      </w:r>
      <w:r>
        <w:rPr>
          <w:rFonts w:hint="eastAsia" w:ascii="宋体" w:hAnsi="宋体" w:cs="宋体"/>
          <w:color w:val="auto"/>
          <w:sz w:val="24"/>
          <w:szCs w:val="24"/>
          <w:u w:val="single"/>
        </w:rPr>
        <w:t xml:space="preserve">   </w:t>
      </w:r>
      <w:r>
        <w:rPr>
          <w:rFonts w:hint="eastAsia" w:ascii="宋体" w:hAnsi="宋体" w:cs="宋体"/>
          <w:color w:val="auto"/>
          <w:sz w:val="24"/>
          <w:szCs w:val="24"/>
        </w:rPr>
        <w:t>次维修仍不能达到合同约定的质量标准，甲方有权退货，并视作乙方不能交付货物而须支付违约赔偿金给甲方，甲方还可依法追究乙方的违约责任。 </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5、其他未尽事宜应严格按照《财政部关于进一步加强政府采购需求和履约验收管理的指导意见》(财库〔2016〕205号)的要求进行。</w:t>
      </w:r>
    </w:p>
    <w:p>
      <w:pPr>
        <w:pStyle w:val="2"/>
        <w:spacing w:line="360" w:lineRule="auto"/>
        <w:ind w:firstLine="480" w:firstLineChars="200"/>
        <w:outlineLvl w:val="1"/>
        <w:rPr>
          <w:rFonts w:ascii="宋体" w:hAnsi="宋体" w:cs="宋体"/>
          <w:color w:val="auto"/>
          <w:sz w:val="24"/>
          <w:szCs w:val="24"/>
        </w:rPr>
      </w:pPr>
      <w:bookmarkStart w:id="245" w:name="_Toc12399"/>
      <w:bookmarkStart w:id="246" w:name="_Toc3099"/>
      <w:bookmarkStart w:id="247" w:name="_Toc15062"/>
      <w:r>
        <w:rPr>
          <w:rFonts w:hint="eastAsia" w:ascii="宋体" w:hAnsi="宋体" w:cs="宋体"/>
          <w:color w:val="auto"/>
          <w:sz w:val="24"/>
          <w:szCs w:val="24"/>
        </w:rPr>
        <w:t>六、付款方式</w:t>
      </w:r>
      <w:bookmarkEnd w:id="245"/>
      <w:bookmarkEnd w:id="246"/>
      <w:bookmarkEnd w:id="247"/>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1、安装调试完毕且验收合格后待该项目专项资金到校，15日内支付合同总金额的100%。</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2、乙方收款账户信息：户名                ，开户银行             ，账号                   。</w:t>
      </w:r>
    </w:p>
    <w:p>
      <w:pPr>
        <w:pStyle w:val="2"/>
        <w:spacing w:line="360" w:lineRule="auto"/>
        <w:ind w:firstLine="480" w:firstLineChars="200"/>
        <w:outlineLvl w:val="1"/>
        <w:rPr>
          <w:rFonts w:ascii="宋体" w:hAnsi="宋体" w:cs="宋体"/>
          <w:color w:val="auto"/>
          <w:sz w:val="24"/>
          <w:szCs w:val="24"/>
        </w:rPr>
      </w:pPr>
      <w:bookmarkStart w:id="248" w:name="_Toc7471"/>
      <w:bookmarkStart w:id="249" w:name="_Toc24691"/>
      <w:bookmarkStart w:id="250" w:name="_Toc29402"/>
      <w:r>
        <w:rPr>
          <w:rFonts w:hint="eastAsia" w:ascii="宋体" w:hAnsi="宋体" w:cs="宋体"/>
          <w:color w:val="auto"/>
          <w:sz w:val="24"/>
          <w:szCs w:val="24"/>
        </w:rPr>
        <w:t>七、售后服务</w:t>
      </w:r>
      <w:bookmarkEnd w:id="248"/>
      <w:bookmarkEnd w:id="249"/>
      <w:bookmarkEnd w:id="250"/>
    </w:p>
    <w:p>
      <w:pPr>
        <w:pStyle w:val="2"/>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整体质保期不少于</w:t>
      </w:r>
      <w:r>
        <w:rPr>
          <w:rFonts w:hint="eastAsia" w:ascii="宋体" w:hAnsi="宋体" w:cs="宋体"/>
          <w:color w:val="auto"/>
          <w:sz w:val="24"/>
          <w:szCs w:val="24"/>
          <w:u w:val="single"/>
        </w:rPr>
        <w:t xml:space="preserve"> 一</w:t>
      </w:r>
      <w:r>
        <w:rPr>
          <w:rFonts w:hint="eastAsia" w:ascii="宋体" w:hAnsi="宋体" w:cs="宋体"/>
          <w:color w:val="auto"/>
          <w:sz w:val="24"/>
          <w:szCs w:val="24"/>
        </w:rPr>
        <w:t xml:space="preserve"> </w:t>
      </w:r>
      <w:r>
        <w:rPr>
          <w:rFonts w:hint="eastAsia" w:ascii="宋体" w:hAnsi="宋体" w:cs="宋体"/>
          <w:color w:val="auto"/>
          <w:sz w:val="24"/>
          <w:szCs w:val="24"/>
          <w:lang w:val="zh-CN"/>
        </w:rPr>
        <w:t>年（从验收合格之日算起），若产品厂家质保期超过1年的以厂家的为准</w:t>
      </w:r>
      <w:r>
        <w:rPr>
          <w:rFonts w:hint="eastAsia" w:ascii="宋体" w:hAnsi="宋体" w:cs="宋体"/>
          <w:color w:val="auto"/>
          <w:sz w:val="24"/>
          <w:szCs w:val="24"/>
        </w:rPr>
        <w:t>。</w:t>
      </w:r>
    </w:p>
    <w:p>
      <w:pPr>
        <w:pStyle w:val="2"/>
        <w:spacing w:line="360" w:lineRule="auto"/>
        <w:ind w:firstLine="480" w:firstLineChars="200"/>
        <w:outlineLvl w:val="1"/>
        <w:rPr>
          <w:rFonts w:ascii="宋体" w:hAnsi="宋体" w:cs="宋体"/>
          <w:color w:val="auto"/>
          <w:sz w:val="24"/>
          <w:szCs w:val="24"/>
        </w:rPr>
      </w:pPr>
      <w:bookmarkStart w:id="251" w:name="八、廉政合作"/>
      <w:bookmarkEnd w:id="251"/>
      <w:bookmarkStart w:id="252" w:name="_Toc12240"/>
      <w:bookmarkStart w:id="253" w:name="_Toc32515"/>
      <w:bookmarkStart w:id="254" w:name="_Toc7032"/>
      <w:r>
        <w:rPr>
          <w:rFonts w:hint="eastAsia" w:ascii="宋体" w:hAnsi="宋体" w:cs="宋体"/>
          <w:color w:val="auto"/>
          <w:sz w:val="24"/>
          <w:szCs w:val="24"/>
        </w:rPr>
        <w:t>八、廉政合作</w:t>
      </w:r>
      <w:bookmarkEnd w:id="252"/>
      <w:bookmarkEnd w:id="253"/>
      <w:bookmarkEnd w:id="254"/>
    </w:p>
    <w:p>
      <w:pPr>
        <w:pStyle w:val="2"/>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1、乙方不得宴请甲方工作人员，不得以任何形式赠送实物、现金或礼券。</w:t>
      </w:r>
    </w:p>
    <w:p>
      <w:pPr>
        <w:pStyle w:val="2"/>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2、乙方在本合同履行期间发现乙方工作人员有任何向甲方工作人员行贿行为，均应及时采取措施予以制止，并及时通报甲方。</w:t>
      </w:r>
    </w:p>
    <w:p>
      <w:pPr>
        <w:pStyle w:val="2"/>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3、乙方有责任接受甲方对乙方在本合同履行期间廉洁合作管理执行情况的监督。</w:t>
      </w:r>
    </w:p>
    <w:p>
      <w:pPr>
        <w:pStyle w:val="2"/>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4、乙方工作人员有义务就甲方工作人员任何形式的索贿或受贿行为及时向甲方举报；如乙方向甲方工作人员行贿，或甲方工作人员向乙方索贿，乙方满足其要求且并未向甲方举报的，一经查实，除追回由此给甲方造成的损失外，乙方同意在本合同总价款的基础上减少百分之</w:t>
      </w:r>
      <w:r>
        <w:rPr>
          <w:rFonts w:hint="eastAsia" w:ascii="宋体" w:hAnsi="宋体" w:cs="宋体"/>
          <w:color w:val="auto"/>
          <w:sz w:val="24"/>
          <w:szCs w:val="24"/>
          <w:u w:val="single"/>
          <w:lang w:val="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zh-CN"/>
        </w:rPr>
        <w:t xml:space="preserve">   </w:t>
      </w:r>
      <w:r>
        <w:rPr>
          <w:rFonts w:hint="eastAsia" w:ascii="宋体" w:hAnsi="宋体" w:cs="宋体"/>
          <w:color w:val="auto"/>
          <w:sz w:val="24"/>
          <w:szCs w:val="24"/>
          <w:lang w:val="zh-CN"/>
        </w:rPr>
        <w:t>后作为甲方应付货款，并由乙方对知情不报人员进行相应处罚。</w:t>
      </w:r>
    </w:p>
    <w:p>
      <w:pPr>
        <w:pStyle w:val="2"/>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5、如因乙方及其工作人员在本合同履行期间贿赂甲方工作人员，被司法机关立案查处的，甲方有权取消或终止本合同的履行，并只按乙方已交货产品价款的百分之</w:t>
      </w:r>
      <w:r>
        <w:rPr>
          <w:rFonts w:hint="eastAsia" w:ascii="宋体" w:hAnsi="宋体" w:cs="宋体"/>
          <w:color w:val="auto"/>
          <w:sz w:val="24"/>
          <w:szCs w:val="24"/>
          <w:u w:val="single"/>
          <w:lang w:val="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zh-CN"/>
        </w:rPr>
        <w:t xml:space="preserve">  </w:t>
      </w:r>
      <w:r>
        <w:rPr>
          <w:rFonts w:hint="eastAsia" w:ascii="宋体" w:hAnsi="宋体" w:cs="宋体"/>
          <w:color w:val="auto"/>
          <w:sz w:val="24"/>
          <w:szCs w:val="24"/>
          <w:lang w:val="zh-CN"/>
        </w:rPr>
        <w:t>办理结算。</w:t>
      </w:r>
    </w:p>
    <w:p>
      <w:pPr>
        <w:pStyle w:val="2"/>
        <w:spacing w:line="360" w:lineRule="auto"/>
        <w:ind w:firstLine="480" w:firstLineChars="200"/>
        <w:outlineLvl w:val="1"/>
        <w:rPr>
          <w:rFonts w:ascii="宋体" w:hAnsi="宋体" w:cs="宋体"/>
          <w:color w:val="auto"/>
          <w:sz w:val="24"/>
          <w:szCs w:val="24"/>
        </w:rPr>
      </w:pPr>
      <w:bookmarkStart w:id="255" w:name="_Toc31806"/>
      <w:bookmarkStart w:id="256" w:name="_Toc16183"/>
      <w:bookmarkStart w:id="257" w:name="_Toc26256"/>
      <w:r>
        <w:rPr>
          <w:rFonts w:hint="eastAsia" w:ascii="宋体" w:hAnsi="宋体" w:cs="宋体"/>
          <w:color w:val="auto"/>
          <w:sz w:val="24"/>
          <w:szCs w:val="24"/>
        </w:rPr>
        <w:t>九、违约责任</w:t>
      </w:r>
      <w:bookmarkEnd w:id="255"/>
      <w:bookmarkEnd w:id="256"/>
      <w:bookmarkEnd w:id="257"/>
    </w:p>
    <w:p>
      <w:pPr>
        <w:pStyle w:val="2"/>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1、甲方违约责任</w:t>
      </w:r>
    </w:p>
    <w:p>
      <w:pPr>
        <w:pStyle w:val="2"/>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（1）甲方无正当理由拒收货物的，甲方应偿付合同总价百分之</w:t>
      </w:r>
      <w:r>
        <w:rPr>
          <w:rFonts w:hint="eastAsia" w:ascii="宋体" w:hAnsi="宋体" w:cs="宋体"/>
          <w:color w:val="auto"/>
          <w:sz w:val="24"/>
          <w:szCs w:val="24"/>
          <w:u w:val="single"/>
          <w:lang w:val="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zh-CN"/>
        </w:rPr>
        <w:t xml:space="preserve">  </w:t>
      </w:r>
      <w:r>
        <w:rPr>
          <w:rFonts w:hint="eastAsia" w:ascii="宋体" w:hAnsi="宋体" w:cs="宋体"/>
          <w:color w:val="auto"/>
          <w:sz w:val="24"/>
          <w:szCs w:val="24"/>
          <w:lang w:val="zh-CN"/>
        </w:rPr>
        <w:t>的违约金；</w:t>
      </w:r>
    </w:p>
    <w:p>
      <w:pPr>
        <w:pStyle w:val="2"/>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 xml:space="preserve">（2）甲方逾期支付货款的，除应及时付足货款外，应向乙方偿付欠款总额万分之 </w:t>
      </w:r>
      <w:r>
        <w:rPr>
          <w:rFonts w:hint="eastAsia" w:ascii="宋体" w:hAnsi="宋体" w:cs="宋体"/>
          <w:color w:val="auto"/>
          <w:sz w:val="24"/>
          <w:szCs w:val="24"/>
          <w:u w:val="single"/>
          <w:lang w:val="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zh-CN"/>
        </w:rPr>
        <w:t xml:space="preserve">  </w:t>
      </w:r>
      <w:r>
        <w:rPr>
          <w:rFonts w:hint="eastAsia" w:ascii="宋体" w:hAnsi="宋体" w:cs="宋体"/>
          <w:color w:val="auto"/>
          <w:sz w:val="24"/>
          <w:szCs w:val="24"/>
          <w:lang w:val="zh-CN"/>
        </w:rPr>
        <w:t>/天的违约金；逾期付款超过</w:t>
      </w:r>
      <w:r>
        <w:rPr>
          <w:rFonts w:hint="eastAsia" w:ascii="宋体" w:hAnsi="宋体" w:cs="宋体"/>
          <w:color w:val="auto"/>
          <w:sz w:val="24"/>
          <w:szCs w:val="24"/>
          <w:u w:val="single"/>
          <w:lang w:val="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zh-CN"/>
        </w:rPr>
        <w:t xml:space="preserve">  </w:t>
      </w:r>
      <w:r>
        <w:rPr>
          <w:rFonts w:hint="eastAsia" w:ascii="宋体" w:hAnsi="宋体" w:cs="宋体"/>
          <w:color w:val="auto"/>
          <w:sz w:val="24"/>
          <w:szCs w:val="24"/>
          <w:lang w:val="zh-CN"/>
        </w:rPr>
        <w:t>天的，乙方有权终止合同；</w:t>
      </w:r>
    </w:p>
    <w:p>
      <w:pPr>
        <w:pStyle w:val="2"/>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（3）甲方偿付的违约金不足以弥补乙方损失的，还应按乙方损失尚未弥补的部分， 支付赔偿金给乙方。</w:t>
      </w:r>
    </w:p>
    <w:p>
      <w:pPr>
        <w:pStyle w:val="2"/>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2、乙方违约责任</w:t>
      </w:r>
    </w:p>
    <w:p>
      <w:pPr>
        <w:pStyle w:val="2"/>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（1）乙方交付的货物质量不符合合同规定的，乙方应向甲方支付合同总价的百分之</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zh-CN"/>
        </w:rPr>
        <w:t xml:space="preserve">   </w:t>
      </w:r>
      <w:r>
        <w:rPr>
          <w:rFonts w:hint="eastAsia" w:ascii="宋体" w:hAnsi="宋体" w:cs="宋体"/>
          <w:color w:val="auto"/>
          <w:sz w:val="24"/>
          <w:szCs w:val="24"/>
          <w:lang w:val="zh-CN"/>
        </w:rPr>
        <w:t xml:space="preserve"> 的违约金，并须在合同规定的交货时间内更换合格的货物给甲方，否则，视作乙方不能交付货物而违约，按本条本款下述第“（2）”项规定由乙方偿付违约赔偿金给甲方。</w:t>
      </w:r>
    </w:p>
    <w:p>
      <w:pPr>
        <w:pStyle w:val="2"/>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 xml:space="preserve">（2）乙方不能交付货物或逾期交付货物而违约的，除应及时交足货物外，应向甲方偿付逾期交货部分货款总额的万分之 </w:t>
      </w:r>
      <w:r>
        <w:rPr>
          <w:rFonts w:hint="eastAsia" w:ascii="宋体" w:hAnsi="宋体" w:cs="宋体"/>
          <w:color w:val="auto"/>
          <w:sz w:val="24"/>
          <w:szCs w:val="24"/>
          <w:u w:val="single"/>
        </w:rPr>
        <w:t xml:space="preserve">    </w:t>
      </w:r>
      <w:r>
        <w:rPr>
          <w:rFonts w:hint="eastAsia" w:ascii="宋体" w:hAnsi="宋体" w:cs="宋体"/>
          <w:color w:val="auto"/>
          <w:sz w:val="24"/>
          <w:szCs w:val="24"/>
          <w:lang w:val="zh-CN"/>
        </w:rPr>
        <w:t xml:space="preserve"> /天的违约金；逾期交货超过</w:t>
      </w:r>
      <w:r>
        <w:rPr>
          <w:rFonts w:hint="eastAsia" w:ascii="宋体" w:hAnsi="宋体" w:cs="宋体"/>
          <w:color w:val="auto"/>
          <w:sz w:val="24"/>
          <w:szCs w:val="24"/>
          <w:u w:val="single"/>
          <w:lang w:val="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zh-CN"/>
        </w:rPr>
        <w:t xml:space="preserve">   </w:t>
      </w:r>
      <w:r>
        <w:rPr>
          <w:rFonts w:hint="eastAsia" w:ascii="宋体" w:hAnsi="宋体" w:cs="宋体"/>
          <w:color w:val="auto"/>
          <w:sz w:val="24"/>
          <w:szCs w:val="24"/>
          <w:lang w:val="zh-CN"/>
        </w:rPr>
        <w:t xml:space="preserve">天，甲方有权终止或解除本合同，乙方则应按合同总价的百分之  </w:t>
      </w:r>
      <w:r>
        <w:rPr>
          <w:rFonts w:hint="eastAsia" w:ascii="宋体" w:hAnsi="宋体" w:cs="宋体"/>
          <w:color w:val="auto"/>
          <w:sz w:val="24"/>
          <w:szCs w:val="24"/>
        </w:rPr>
        <w:t xml:space="preserve"> </w:t>
      </w:r>
      <w:r>
        <w:rPr>
          <w:rFonts w:hint="eastAsia" w:ascii="宋体" w:hAnsi="宋体" w:cs="宋体"/>
          <w:color w:val="auto"/>
          <w:sz w:val="24"/>
          <w:szCs w:val="24"/>
          <w:lang w:val="zh-CN"/>
        </w:rPr>
        <w:t xml:space="preserve">  的款额向甲方偿付赔偿金，并须全额退还甲方已经付给乙方的货款。</w:t>
      </w:r>
    </w:p>
    <w:p>
      <w:pPr>
        <w:pStyle w:val="2"/>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（3）乙方货物经甲方送交具有法定资格条件的质量技术监督机构检测后，如检测结果认定货物质量不符合本合同规定标准的，则视为乙方没有按时交货而违约，乙方须在</w:t>
      </w:r>
      <w:r>
        <w:rPr>
          <w:rFonts w:hint="eastAsia" w:ascii="宋体" w:hAnsi="宋体" w:cs="宋体"/>
          <w:color w:val="auto"/>
          <w:sz w:val="24"/>
          <w:szCs w:val="24"/>
          <w:u w:val="single"/>
          <w:lang w:val="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zh-CN"/>
        </w:rPr>
        <w:t xml:space="preserve"> </w:t>
      </w:r>
      <w:r>
        <w:rPr>
          <w:rFonts w:hint="eastAsia" w:ascii="宋体" w:hAnsi="宋体" w:cs="宋体"/>
          <w:color w:val="auto"/>
          <w:sz w:val="24"/>
          <w:szCs w:val="24"/>
          <w:lang w:val="zh-CN"/>
        </w:rPr>
        <w:t>天内无条件更换合格的货物，如逾期不能更换合格的货物，甲方有权终止本合同，乙方应另付合同总价的百分之</w:t>
      </w:r>
      <w:r>
        <w:rPr>
          <w:rFonts w:hint="eastAsia" w:ascii="宋体" w:hAnsi="宋体" w:cs="宋体"/>
          <w:color w:val="auto"/>
          <w:sz w:val="24"/>
          <w:szCs w:val="24"/>
          <w:u w:val="single"/>
          <w:lang w:val="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zh-CN"/>
        </w:rPr>
        <w:t xml:space="preserve">   </w:t>
      </w:r>
      <w:r>
        <w:rPr>
          <w:rFonts w:hint="eastAsia" w:ascii="宋体" w:hAnsi="宋体" w:cs="宋体"/>
          <w:color w:val="auto"/>
          <w:sz w:val="24"/>
          <w:szCs w:val="24"/>
          <w:lang w:val="zh-CN"/>
        </w:rPr>
        <w:t>的赔偿金给甲方。</w:t>
      </w:r>
    </w:p>
    <w:p>
      <w:pPr>
        <w:pStyle w:val="2"/>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宋体" w:hAnsi="宋体" w:cs="宋体"/>
          <w:color w:val="auto"/>
          <w:sz w:val="24"/>
          <w:szCs w:val="24"/>
          <w:u w:val="single"/>
          <w:lang w:val="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zh-CN"/>
        </w:rPr>
        <w:t xml:space="preserve"> </w:t>
      </w:r>
      <w:r>
        <w:rPr>
          <w:rFonts w:hint="eastAsia" w:ascii="宋体" w:hAnsi="宋体" w:cs="宋体"/>
          <w:color w:val="auto"/>
          <w:sz w:val="24"/>
          <w:szCs w:val="24"/>
          <w:lang w:val="zh-CN"/>
        </w:rPr>
        <w:t>向甲方支付违约金并赔偿因此给甲方造成的一切损失。</w:t>
      </w:r>
    </w:p>
    <w:p>
      <w:pPr>
        <w:pStyle w:val="2"/>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(5)乙方偿付的违约金不足以弥补甲方损失的，还应按甲方损失尚未弥补的部分， 支付赔偿金给甲方。</w:t>
      </w:r>
    </w:p>
    <w:p>
      <w:pPr>
        <w:pStyle w:val="2"/>
        <w:spacing w:line="360" w:lineRule="auto"/>
        <w:ind w:firstLine="480" w:firstLineChars="200"/>
        <w:outlineLvl w:val="1"/>
        <w:rPr>
          <w:rFonts w:ascii="宋体" w:hAnsi="宋体" w:cs="宋体"/>
          <w:color w:val="auto"/>
          <w:sz w:val="24"/>
          <w:szCs w:val="24"/>
        </w:rPr>
      </w:pPr>
      <w:bookmarkStart w:id="258" w:name="_Toc20897"/>
      <w:bookmarkStart w:id="259" w:name="_Toc1372"/>
      <w:bookmarkStart w:id="260" w:name="_Toc14014"/>
      <w:r>
        <w:rPr>
          <w:rFonts w:hint="eastAsia" w:ascii="宋体" w:hAnsi="宋体" w:cs="宋体"/>
          <w:color w:val="auto"/>
          <w:sz w:val="24"/>
          <w:szCs w:val="24"/>
        </w:rPr>
        <w:t>十、争议解决办法</w:t>
      </w:r>
      <w:bookmarkEnd w:id="258"/>
      <w:bookmarkEnd w:id="259"/>
      <w:bookmarkEnd w:id="260"/>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1、因货物的质量问题发生争议，由质量技术监督部门或其指定的质量鉴定机构进行质量鉴定。货物符合标准的，鉴定费由甲方承担；货物不符合质量标准的，鉴定费由乙方承担。</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2、合同履行期间,若双方发生争议，可协商或由有关部门调解解决，协商或调解不成的，任何一方均可向甲方所在地人民法院提起诉讼，依法维护其合法权益。</w:t>
      </w:r>
    </w:p>
    <w:p>
      <w:pPr>
        <w:pStyle w:val="2"/>
        <w:spacing w:line="360" w:lineRule="auto"/>
        <w:ind w:firstLine="480" w:firstLineChars="200"/>
        <w:outlineLvl w:val="1"/>
        <w:rPr>
          <w:rFonts w:ascii="宋体" w:hAnsi="宋体" w:cs="宋体"/>
          <w:color w:val="auto"/>
          <w:sz w:val="24"/>
          <w:szCs w:val="24"/>
        </w:rPr>
      </w:pPr>
      <w:bookmarkStart w:id="261" w:name="_Toc31196"/>
      <w:bookmarkStart w:id="262" w:name="_Toc4304"/>
      <w:bookmarkStart w:id="263" w:name="_Toc16468"/>
      <w:r>
        <w:rPr>
          <w:rFonts w:hint="eastAsia" w:ascii="宋体" w:hAnsi="宋体" w:cs="宋体"/>
          <w:color w:val="auto"/>
          <w:sz w:val="24"/>
          <w:szCs w:val="24"/>
        </w:rPr>
        <w:t>十一、其他</w:t>
      </w:r>
      <w:bookmarkEnd w:id="261"/>
      <w:bookmarkEnd w:id="262"/>
      <w:bookmarkEnd w:id="263"/>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1、本合同附件系本合同的组成部分，与本合同具有同等法律效力。</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2、采购人与中标人应当根据合同的约定依法履行合同义务。</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3、政府采购合同的履行、违约责任和解决争议的方法等适用《中华人民共和国合同法》。</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4、如有未尽事宜，由双方依法订立补充合同。</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5、本合同一式伍份，自甲乙双方法定代表人或授权代表签字并盖章之日起生效。甲方贰份，乙方、政府采购管理部门、采购代理机构各一份。</w:t>
      </w:r>
    </w:p>
    <w:p>
      <w:pPr>
        <w:pStyle w:val="2"/>
        <w:spacing w:line="360" w:lineRule="auto"/>
        <w:ind w:firstLine="480" w:firstLineChars="200"/>
        <w:rPr>
          <w:rFonts w:ascii="宋体" w:hAnsi="宋体" w:cs="宋体"/>
          <w:color w:val="auto"/>
          <w:sz w:val="24"/>
          <w:szCs w:val="24"/>
        </w:rPr>
      </w:pP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甲方：   （盖章）   </w:t>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 xml:space="preserve">   乙方：   （盖章）</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法定代表人（授权代表）：           法定代表人（授权代表）：</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地    址：                         地    址：</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开户银行：                         开户银行：</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账号：                             账号：</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电    话：                         电    话：</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传    真：                         传    真：</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签约日期：    年    月    日 </w:t>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签约日期：    年    月    日</w:t>
      </w:r>
    </w:p>
    <w:p>
      <w:pPr>
        <w:pStyle w:val="2"/>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（注：为保障项目的顺利进行及甲、乙双方的合法权益，在不违法违规及改变本项目实质性的前提下，经甲、乙双方商议可增加、调整或删减本合同条款内容）</w:t>
      </w:r>
    </w:p>
    <w:p>
      <w:pPr>
        <w:pStyle w:val="162"/>
        <w:spacing w:line="360" w:lineRule="auto"/>
        <w:ind w:firstLine="480" w:firstLineChars="200"/>
        <w:rPr>
          <w:rFonts w:hAnsi="宋体"/>
          <w:color w:val="auto"/>
        </w:rPr>
      </w:pPr>
    </w:p>
    <w:p>
      <w:pPr>
        <w:pStyle w:val="162"/>
        <w:rPr>
          <w:rFonts w:hAnsi="宋体"/>
          <w:color w:val="auto"/>
        </w:rPr>
      </w:pPr>
    </w:p>
    <w:bookmarkEnd w:id="141"/>
    <w:bookmarkEnd w:id="142"/>
    <w:bookmarkEnd w:id="143"/>
    <w:bookmarkEnd w:id="144"/>
    <w:p>
      <w:pPr>
        <w:rPr>
          <w:rFonts w:ascii="宋体" w:hAnsi="宋体" w:cs="宋体"/>
          <w:b/>
          <w:bCs/>
          <w:color w:val="auto"/>
          <w:sz w:val="30"/>
          <w:szCs w:val="30"/>
        </w:rPr>
      </w:pPr>
    </w:p>
    <w:p>
      <w:pPr>
        <w:rPr>
          <w:rFonts w:ascii="宋体" w:hAnsi="宋体" w:cs="宋体"/>
          <w:b/>
          <w:bCs/>
          <w:color w:val="auto"/>
          <w:sz w:val="30"/>
          <w:szCs w:val="30"/>
        </w:rPr>
      </w:pPr>
      <w:r>
        <w:rPr>
          <w:rFonts w:hint="eastAsia" w:ascii="宋体" w:hAnsi="宋体" w:cs="宋体"/>
          <w:b/>
          <w:bCs/>
          <w:color w:val="auto"/>
          <w:sz w:val="30"/>
          <w:szCs w:val="30"/>
        </w:rPr>
        <w:br w:type="page"/>
      </w:r>
    </w:p>
    <w:p>
      <w:pPr>
        <w:outlineLvl w:val="0"/>
        <w:rPr>
          <w:rFonts w:ascii="宋体" w:hAnsi="宋体" w:cs="宋体"/>
          <w:color w:val="auto"/>
        </w:rPr>
      </w:pPr>
      <w:bookmarkStart w:id="264" w:name="_Toc26595"/>
      <w:bookmarkStart w:id="265" w:name="_Toc25042"/>
      <w:bookmarkStart w:id="266" w:name="_Toc32022"/>
      <w:r>
        <w:rPr>
          <w:rFonts w:hint="eastAsia" w:ascii="宋体" w:hAnsi="宋体" w:cs="宋体"/>
          <w:b/>
          <w:bCs/>
          <w:color w:val="auto"/>
          <w:sz w:val="30"/>
          <w:szCs w:val="30"/>
        </w:rPr>
        <w:t>附件：</w:t>
      </w:r>
      <w:bookmarkEnd w:id="264"/>
      <w:bookmarkEnd w:id="265"/>
      <w:bookmarkEnd w:id="266"/>
    </w:p>
    <w:p>
      <w:pPr>
        <w:rPr>
          <w:rFonts w:ascii="宋体" w:hAnsi="宋体" w:cs="宋体"/>
          <w:color w:val="auto"/>
        </w:rPr>
      </w:pPr>
      <w:r>
        <w:rPr>
          <w:rFonts w:hint="eastAsia" w:ascii="宋体" w:hAnsi="宋体" w:cs="宋体"/>
          <w:color w:val="auto"/>
        </w:rPr>
        <w:drawing>
          <wp:inline distT="0" distB="0" distL="0" distR="0">
            <wp:extent cx="5276850" cy="7458075"/>
            <wp:effectExtent l="0" t="0" r="11430" b="9525"/>
            <wp:docPr id="18" name="图片 18" descr="C:\Users\gwh\AppData\Local\Temp\ksohtml334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gwh\AppData\Local\Temp\ksohtml3340\wps19.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宋体" w:hAnsi="宋体" w:cs="宋体"/>
          <w:color w:val="auto"/>
        </w:rPr>
        <w:drawing>
          <wp:inline distT="0" distB="0" distL="0" distR="0">
            <wp:extent cx="5276850" cy="7458075"/>
            <wp:effectExtent l="0" t="0" r="11430" b="9525"/>
            <wp:docPr id="17" name="图片 17" descr="C:\Users\gwh\AppData\Local\Temp\ksohtml334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gwh\AppData\Local\Temp\ksohtml3340\wps20.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宋体" w:hAnsi="宋体" w:cs="宋体"/>
          <w:color w:val="auto"/>
        </w:rPr>
        <w:drawing>
          <wp:inline distT="0" distB="0" distL="0" distR="0">
            <wp:extent cx="5276850" cy="7448550"/>
            <wp:effectExtent l="0" t="0" r="11430" b="3810"/>
            <wp:docPr id="16" name="图片 16" descr="C:\Users\gwh\AppData\Local\Temp\ksohtml3340\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gwh\AppData\Local\Temp\ksohtml3340\wps2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r>
        <w:rPr>
          <w:rFonts w:hint="eastAsia" w:ascii="宋体" w:hAnsi="宋体" w:cs="宋体"/>
          <w:color w:val="auto"/>
        </w:rPr>
        <w:drawing>
          <wp:inline distT="0" distB="0" distL="0" distR="0">
            <wp:extent cx="5276850" cy="7458075"/>
            <wp:effectExtent l="0" t="0" r="11430" b="9525"/>
            <wp:docPr id="15" name="图片 15" descr="C:\Users\gwh\AppData\Local\Temp\ksohtml3340\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gwh\AppData\Local\Temp\ksohtml3340\wps2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宋体" w:hAnsi="宋体" w:cs="宋体"/>
          <w:color w:val="auto"/>
        </w:rPr>
        <w:drawing>
          <wp:inline distT="0" distB="0" distL="0" distR="0">
            <wp:extent cx="5276850" cy="7458075"/>
            <wp:effectExtent l="0" t="0" r="11430" b="9525"/>
            <wp:docPr id="14" name="图片 14" descr="C:\Users\gwh\AppData\Local\Temp\ksohtml3340\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gwh\AppData\Local\Temp\ksohtml3340\wps2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宋体" w:hAnsi="宋体" w:cs="宋体"/>
          <w:color w:val="auto"/>
        </w:rPr>
        <w:drawing>
          <wp:inline distT="0" distB="0" distL="0" distR="0">
            <wp:extent cx="5276850" cy="7458075"/>
            <wp:effectExtent l="0" t="0" r="11430" b="9525"/>
            <wp:docPr id="13" name="图片 13" descr="C:\Users\gwh\AppData\Local\Temp\ksohtml3340\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gwh\AppData\Local\Temp\ksohtml3340\wps24.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宋体" w:hAnsi="宋体" w:cs="宋体"/>
          <w:color w:val="auto"/>
        </w:rPr>
        <w:drawing>
          <wp:inline distT="0" distB="0" distL="0" distR="0">
            <wp:extent cx="5276850" cy="7458075"/>
            <wp:effectExtent l="0" t="0" r="11430" b="9525"/>
            <wp:docPr id="12" name="图片 12" descr="C:\Users\gwh\AppData\Local\Temp\ksohtml3340\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gwh\AppData\Local\Temp\ksohtml3340\wps25.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宋体" w:hAnsi="宋体" w:cs="宋体"/>
          <w:color w:val="auto"/>
        </w:rPr>
        <w:drawing>
          <wp:inline distT="0" distB="0" distL="0" distR="0">
            <wp:extent cx="5276850" cy="7458075"/>
            <wp:effectExtent l="0" t="0" r="11430" b="9525"/>
            <wp:docPr id="11" name="图片 11" descr="C:\Users\gwh\AppData\Local\Temp\ksohtml3340\wp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gwh\AppData\Local\Temp\ksohtml3340\wps26.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宋体" w:hAnsi="宋体" w:cs="宋体"/>
          <w:color w:val="auto"/>
        </w:rPr>
        <w:drawing>
          <wp:inline distT="0" distB="0" distL="0" distR="0">
            <wp:extent cx="5276850" cy="7458075"/>
            <wp:effectExtent l="0" t="0" r="11430" b="9525"/>
            <wp:docPr id="10" name="图片 10" descr="C:\Users\gwh\AppData\Local\Temp\ksohtml3340\w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gwh\AppData\Local\Temp\ksohtml3340\wps2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宋体" w:hAnsi="宋体" w:cs="宋体"/>
          <w:color w:val="auto"/>
        </w:rPr>
        <w:drawing>
          <wp:inline distT="0" distB="0" distL="0" distR="0">
            <wp:extent cx="5276850" cy="7458075"/>
            <wp:effectExtent l="0" t="0" r="11430" b="9525"/>
            <wp:docPr id="9" name="图片 9" descr="C:\Users\gwh\AppData\Local\Temp\ksohtml3340\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gwh\AppData\Local\Temp\ksohtml3340\wps28.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宋体" w:hAnsi="宋体" w:cs="宋体"/>
          <w:color w:val="auto"/>
        </w:rPr>
        <w:drawing>
          <wp:inline distT="0" distB="0" distL="0" distR="0">
            <wp:extent cx="5276850" cy="7458075"/>
            <wp:effectExtent l="0" t="0" r="11430" b="9525"/>
            <wp:docPr id="8" name="图片 8" descr="C:\Users\gwh\AppData\Local\Temp\ksohtml3340\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gwh\AppData\Local\Temp\ksohtml3340\wps29.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宋体" w:hAnsi="宋体" w:cs="宋体"/>
          <w:color w:val="auto"/>
        </w:rPr>
        <w:drawing>
          <wp:inline distT="0" distB="0" distL="0" distR="0">
            <wp:extent cx="5276850" cy="7458075"/>
            <wp:effectExtent l="0" t="0" r="11430" b="9525"/>
            <wp:docPr id="7" name="图片 7" descr="C:\Users\gwh\AppData\Local\Temp\ksohtml3340\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gwh\AppData\Local\Temp\ksohtml3340\wps3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宋体" w:hAnsi="宋体" w:cs="宋体"/>
          <w:color w:val="auto"/>
        </w:rPr>
        <w:drawing>
          <wp:inline distT="0" distB="0" distL="0" distR="0">
            <wp:extent cx="5276850" cy="7458075"/>
            <wp:effectExtent l="0" t="0" r="11430" b="9525"/>
            <wp:docPr id="6" name="图片 6" descr="C:\Users\gwh\AppData\Local\Temp\ksohtml3340\wp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gwh\AppData\Local\Temp\ksohtml3340\wps3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宋体" w:hAnsi="宋体" w:cs="宋体"/>
          <w:color w:val="auto"/>
        </w:rPr>
        <w:drawing>
          <wp:inline distT="0" distB="0" distL="0" distR="0">
            <wp:extent cx="5276850" cy="7458075"/>
            <wp:effectExtent l="0" t="0" r="11430" b="9525"/>
            <wp:docPr id="5" name="图片 5" descr="C:\Users\gwh\AppData\Local\Temp\ksohtml3340\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gwh\AppData\Local\Temp\ksohtml3340\wps32.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宋体" w:hAnsi="宋体" w:cs="宋体"/>
          <w:color w:val="auto"/>
        </w:rPr>
        <w:drawing>
          <wp:inline distT="0" distB="0" distL="0" distR="0">
            <wp:extent cx="5276850" cy="7458075"/>
            <wp:effectExtent l="0" t="0" r="11430" b="9525"/>
            <wp:docPr id="4" name="图片 4" descr="C:\Users\gwh\AppData\Local\Temp\ksohtml334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gwh\AppData\Local\Temp\ksohtml3340\wps33.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r>
        <w:rPr>
          <w:rFonts w:hint="eastAsia" w:ascii="宋体" w:hAnsi="宋体" w:cs="宋体"/>
          <w:color w:val="auto"/>
        </w:rPr>
        <w:drawing>
          <wp:inline distT="0" distB="0" distL="0" distR="0">
            <wp:extent cx="5219700" cy="6448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19700" cy="6448425"/>
                    </a:xfrm>
                    <a:prstGeom prst="rect">
                      <a:avLst/>
                    </a:prstGeom>
                    <a:noFill/>
                    <a:ln>
                      <a:noFill/>
                    </a:ln>
                  </pic:spPr>
                </pic:pic>
              </a:graphicData>
            </a:graphic>
          </wp:inline>
        </w:drawing>
      </w:r>
    </w:p>
    <w:p>
      <w:pPr>
        <w:rPr>
          <w:rFonts w:ascii="宋体" w:hAnsi="宋体" w:cs="宋体"/>
          <w:color w:val="auto"/>
        </w:rPr>
      </w:pPr>
      <w:r>
        <w:rPr>
          <w:rFonts w:hint="eastAsia" w:ascii="宋体" w:hAnsi="宋体" w:cs="宋体"/>
          <w:color w:val="auto"/>
        </w:rPr>
        <w:drawing>
          <wp:inline distT="0" distB="0" distL="0" distR="0">
            <wp:extent cx="5219700" cy="6381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19700" cy="6381750"/>
                    </a:xfrm>
                    <a:prstGeom prst="rect">
                      <a:avLst/>
                    </a:prstGeom>
                    <a:noFill/>
                    <a:ln>
                      <a:noFill/>
                    </a:ln>
                  </pic:spPr>
                </pic:pic>
              </a:graphicData>
            </a:graphic>
          </wp:inline>
        </w:drawing>
      </w:r>
    </w:p>
    <w:p>
      <w:pPr>
        <w:rPr>
          <w:rFonts w:ascii="宋体" w:hAnsi="宋体" w:cs="宋体"/>
          <w:color w:val="auto"/>
        </w:rPr>
      </w:pPr>
      <w:r>
        <w:rPr>
          <w:rFonts w:hint="eastAsia" w:ascii="宋体" w:hAnsi="宋体" w:cs="宋体"/>
          <w:color w:val="auto"/>
        </w:rPr>
        <w:br w:type="page"/>
      </w:r>
    </w:p>
    <w:p>
      <w:pPr>
        <w:pStyle w:val="2"/>
        <w:rPr>
          <w:rFonts w:ascii="宋体" w:hAnsi="宋体" w:cs="宋体"/>
          <w:color w:val="auto"/>
        </w:rPr>
      </w:pPr>
      <w:r>
        <w:rPr>
          <w:rFonts w:hint="eastAsia" w:ascii="宋体" w:hAnsi="宋体" w:cs="宋体"/>
          <w:color w:val="auto"/>
        </w:rPr>
        <w:drawing>
          <wp:inline distT="0" distB="0" distL="0" distR="0">
            <wp:extent cx="7439025" cy="5248275"/>
            <wp:effectExtent l="0" t="1104900" r="0" b="10763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rot="5400000">
                      <a:off x="0" y="0"/>
                      <a:ext cx="7439025" cy="5248275"/>
                    </a:xfrm>
                    <a:prstGeom prst="rect">
                      <a:avLst/>
                    </a:prstGeom>
                    <a:noFill/>
                    <a:ln>
                      <a:noFill/>
                    </a:ln>
                  </pic:spPr>
                </pic:pic>
              </a:graphicData>
            </a:graphic>
          </wp:inline>
        </w:drawing>
      </w:r>
    </w:p>
    <w:p>
      <w:pPr>
        <w:rPr>
          <w:rFonts w:ascii="宋体" w:hAnsi="宋体" w:cs="宋体"/>
          <w:color w:val="auto"/>
        </w:rPr>
      </w:pPr>
      <w:r>
        <w:rPr>
          <w:rFonts w:hint="eastAsia" w:ascii="宋体" w:hAnsi="宋体" w:cs="宋体"/>
          <w:color w:val="auto"/>
        </w:rPr>
        <w:drawing>
          <wp:inline distT="0" distB="0" distL="0" distR="0">
            <wp:extent cx="5276850" cy="57816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6850" cy="5781675"/>
                    </a:xfrm>
                    <a:prstGeom prst="rect">
                      <a:avLst/>
                    </a:prstGeom>
                    <a:noFill/>
                    <a:ln>
                      <a:noFill/>
                    </a:ln>
                  </pic:spPr>
                </pic:pic>
              </a:graphicData>
            </a:graphic>
          </wp:inline>
        </w:drawing>
      </w: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altName w:val="Arial"/>
    <w:panose1 w:val="020B0606020202030204"/>
    <w:charset w:val="00"/>
    <w:family w:val="swiss"/>
    <w:pitch w:val="default"/>
    <w:sig w:usb0="00000000"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roman"/>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6850672"/>
    </w:sdtPr>
    <w:sdtEndPr>
      <w:rPr>
        <w:sz w:val="24"/>
        <w:szCs w:val="24"/>
      </w:rPr>
    </w:sdtEndPr>
    <w:sdtContent>
      <w:p>
        <w:pPr>
          <w:pStyle w:val="27"/>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6</w:t>
        </w:r>
        <w:r>
          <w:rPr>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3098378"/>
    </w:sdtPr>
    <w:sdtContent>
      <w:p>
        <w:pPr>
          <w:pStyle w:val="27"/>
          <w:ind w:firstLine="420"/>
          <w:jc w:val="center"/>
        </w:pPr>
        <w:r>
          <w:fldChar w:fldCharType="begin"/>
        </w:r>
        <w:r>
          <w:instrText xml:space="preserve">PAGE   \* MERGEFORMAT</w:instrText>
        </w:r>
        <w:r>
          <w:fldChar w:fldCharType="separate"/>
        </w:r>
        <w:r>
          <w:rPr>
            <w:lang w:val="zh-CN"/>
          </w:rPr>
          <w:t>92</w:t>
        </w:r>
        <w:r>
          <w:rPr>
            <w:lang w:val="zh-CN"/>
          </w:rPr>
          <w:fldChar w:fldCharType="end"/>
        </w:r>
      </w:p>
    </w:sdtContent>
  </w:sdt>
  <w:p>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B272D3"/>
    <w:multiLevelType w:val="singleLevel"/>
    <w:tmpl w:val="DAB272D3"/>
    <w:lvl w:ilvl="0" w:tentative="0">
      <w:start w:val="1"/>
      <w:numFmt w:val="chineseCounting"/>
      <w:suff w:val="nothing"/>
      <w:lvlText w:val="%1、"/>
      <w:lvlJc w:val="left"/>
      <w:rPr>
        <w:rFonts w:hint="eastAsia"/>
      </w:rPr>
    </w:lvl>
  </w:abstractNum>
  <w:abstractNum w:abstractNumId="1">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8"/>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3">
    <w:nsid w:val="00000017"/>
    <w:multiLevelType w:val="multilevel"/>
    <w:tmpl w:val="00000017"/>
    <w:lvl w:ilvl="0" w:tentative="0">
      <w:start w:val="1"/>
      <w:numFmt w:val="chineseCountingThousand"/>
      <w:lvlText w:val="%1、"/>
      <w:lvlJc w:val="left"/>
      <w:pPr>
        <w:ind w:left="1271"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5">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1130"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1413"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6"/>
        <w:szCs w:val="36"/>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1701"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0">
    <w:nsid w:val="0000003E"/>
    <w:multiLevelType w:val="multilevel"/>
    <w:tmpl w:val="0000003E"/>
    <w:lvl w:ilvl="0" w:tentative="0">
      <w:start w:val="1"/>
      <w:numFmt w:val="chineseCountingThousand"/>
      <w:suff w:val="nothing"/>
      <w:lvlText w:val="%1、"/>
      <w:lvlJc w:val="left"/>
      <w:pPr>
        <w:ind w:left="1697" w:hanging="420"/>
      </w:pPr>
      <w:rPr>
        <w:b/>
        <w:lang w:val="en-US"/>
      </w:rPr>
    </w:lvl>
    <w:lvl w:ilvl="1" w:tentative="0">
      <w:start w:val="1"/>
      <w:numFmt w:val="decimal"/>
      <w:lvlText w:val="%2、"/>
      <w:lvlJc w:val="left"/>
      <w:pPr>
        <w:ind w:left="1125"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1">
    <w:nsid w:val="00000041"/>
    <w:multiLevelType w:val="multilevel"/>
    <w:tmpl w:val="00000041"/>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09065E2B"/>
    <w:multiLevelType w:val="multilevel"/>
    <w:tmpl w:val="09065E2B"/>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A807349"/>
    <w:multiLevelType w:val="multilevel"/>
    <w:tmpl w:val="0A807349"/>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5">
    <w:nsid w:val="114B0B5E"/>
    <w:multiLevelType w:val="multilevel"/>
    <w:tmpl w:val="114B0B5E"/>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1C5C2941"/>
    <w:multiLevelType w:val="multilevel"/>
    <w:tmpl w:val="1C5C2941"/>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17">
    <w:nsid w:val="27297F69"/>
    <w:multiLevelType w:val="multilevel"/>
    <w:tmpl w:val="27297F69"/>
    <w:lvl w:ilvl="0" w:tentative="0">
      <w:start w:val="1"/>
      <w:numFmt w:val="chineseCountingThousand"/>
      <w:suff w:val="nothing"/>
      <w:lvlText w:val="%1、"/>
      <w:lvlJc w:val="left"/>
      <w:pPr>
        <w:ind w:left="1413" w:hanging="420"/>
      </w:pPr>
      <w:rPr>
        <w:rFonts w:hint="eastAsia"/>
        <w:b/>
        <w:color w:val="auto"/>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8">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9">
    <w:nsid w:val="2C5917C3"/>
    <w:multiLevelType w:val="multilevel"/>
    <w:tmpl w:val="2C5917C3"/>
    <w:lvl w:ilvl="0" w:tentative="0">
      <w:start w:val="1"/>
      <w:numFmt w:val="none"/>
      <w:pStyle w:val="164"/>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0">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1">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394E3612"/>
    <w:multiLevelType w:val="multilevel"/>
    <w:tmpl w:val="394E3612"/>
    <w:lvl w:ilvl="0" w:tentative="0">
      <w:start w:val="1"/>
      <w:numFmt w:val="chineseCountingThousand"/>
      <w:lvlText w:val="%1、"/>
      <w:lvlJc w:val="left"/>
      <w:pPr>
        <w:ind w:left="1130" w:hanging="420"/>
      </w:pPr>
      <w:rPr>
        <w:rFonts w:hint="eastAsia"/>
        <w:color w:val="auto"/>
        <w:sz w:val="28"/>
        <w:szCs w:val="28"/>
        <w:lang w:val="en-US"/>
      </w:rPr>
    </w:lvl>
    <w:lvl w:ilvl="1" w:tentative="0">
      <w:start w:val="1"/>
      <w:numFmt w:val="decimal"/>
      <w:lvlText w:val="（%2）"/>
      <w:lvlJc w:val="left"/>
      <w:pPr>
        <w:ind w:left="1049" w:hanging="420"/>
      </w:pPr>
      <w:rPr>
        <w:rFonts w:hint="default"/>
        <w:color w:val="000000"/>
      </w:r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23">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4">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1"/>
      <w:numFmt w:val="lowerLetter"/>
      <w:pStyle w:val="54"/>
      <w:lvlText w:val="%5)"/>
      <w:lvlJc w:val="left"/>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5">
    <w:nsid w:val="443D2B39"/>
    <w:multiLevelType w:val="multilevel"/>
    <w:tmpl w:val="443D2B39"/>
    <w:lvl w:ilvl="0" w:tentative="0">
      <w:start w:val="1"/>
      <w:numFmt w:val="chineseCountingThousand"/>
      <w:lvlText w:val="%1、"/>
      <w:lvlJc w:val="left"/>
      <w:pPr>
        <w:ind w:left="988" w:hanging="420"/>
      </w:pPr>
      <w:rPr>
        <w:rFonts w:hint="eastAsia" w:ascii="宋体" w:hAnsi="宋体" w:eastAsia="宋体"/>
        <w:i w:val="0"/>
        <w:sz w:val="28"/>
        <w:szCs w:val="28"/>
      </w:rPr>
    </w:lvl>
    <w:lvl w:ilvl="1" w:tentative="0">
      <w:start w:val="1"/>
      <w:numFmt w:val="lowerLetter"/>
      <w:lvlText w:val="%2)"/>
      <w:lvlJc w:val="left"/>
      <w:pPr>
        <w:ind w:left="482" w:hanging="420"/>
      </w:pPr>
    </w:lvl>
    <w:lvl w:ilvl="2" w:tentative="0">
      <w:start w:val="1"/>
      <w:numFmt w:val="lowerRoman"/>
      <w:lvlText w:val="%3."/>
      <w:lvlJc w:val="right"/>
      <w:pPr>
        <w:ind w:left="902" w:hanging="420"/>
      </w:pPr>
    </w:lvl>
    <w:lvl w:ilvl="3" w:tentative="0">
      <w:start w:val="1"/>
      <w:numFmt w:val="decimal"/>
      <w:lvlText w:val="%4."/>
      <w:lvlJc w:val="left"/>
      <w:pPr>
        <w:ind w:left="1322" w:hanging="420"/>
      </w:pPr>
    </w:lvl>
    <w:lvl w:ilvl="4" w:tentative="0">
      <w:start w:val="1"/>
      <w:numFmt w:val="lowerLetter"/>
      <w:lvlText w:val="%5)"/>
      <w:lvlJc w:val="left"/>
      <w:pPr>
        <w:ind w:left="1742" w:hanging="420"/>
      </w:pPr>
    </w:lvl>
    <w:lvl w:ilvl="5" w:tentative="0">
      <w:start w:val="1"/>
      <w:numFmt w:val="lowerRoman"/>
      <w:lvlText w:val="%6."/>
      <w:lvlJc w:val="right"/>
      <w:pPr>
        <w:ind w:left="2162" w:hanging="420"/>
      </w:pPr>
    </w:lvl>
    <w:lvl w:ilvl="6" w:tentative="0">
      <w:start w:val="1"/>
      <w:numFmt w:val="decimal"/>
      <w:lvlText w:val="%7."/>
      <w:lvlJc w:val="left"/>
      <w:pPr>
        <w:ind w:left="2582" w:hanging="420"/>
      </w:pPr>
    </w:lvl>
    <w:lvl w:ilvl="7" w:tentative="0">
      <w:start w:val="1"/>
      <w:numFmt w:val="lowerLetter"/>
      <w:lvlText w:val="%8)"/>
      <w:lvlJc w:val="left"/>
      <w:pPr>
        <w:ind w:left="3002" w:hanging="420"/>
      </w:pPr>
    </w:lvl>
    <w:lvl w:ilvl="8" w:tentative="0">
      <w:start w:val="1"/>
      <w:numFmt w:val="lowerRoman"/>
      <w:lvlText w:val="%9."/>
      <w:lvlJc w:val="right"/>
      <w:pPr>
        <w:ind w:left="3422" w:hanging="420"/>
      </w:pPr>
    </w:lvl>
  </w:abstractNum>
  <w:abstractNum w:abstractNumId="26">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28">
    <w:nsid w:val="4FC6300F"/>
    <w:multiLevelType w:val="multilevel"/>
    <w:tmpl w:val="4FC6300F"/>
    <w:lvl w:ilvl="0" w:tentative="0">
      <w:start w:val="1"/>
      <w:numFmt w:val="chineseCountingThousand"/>
      <w:lvlText w:val="%1、"/>
      <w:lvlJc w:val="left"/>
      <w:pPr>
        <w:ind w:left="113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54410692"/>
    <w:multiLevelType w:val="multilevel"/>
    <w:tmpl w:val="54410692"/>
    <w:lvl w:ilvl="0" w:tentative="0">
      <w:start w:val="1"/>
      <w:numFmt w:val="japaneseCounting"/>
      <w:lvlText w:val="%1、"/>
      <w:lvlJc w:val="left"/>
      <w:pPr>
        <w:ind w:left="3394" w:hanging="1125"/>
      </w:pPr>
      <w:rPr>
        <w:rFonts w:hint="default"/>
        <w:b/>
        <w:sz w:val="28"/>
      </w:rPr>
    </w:lvl>
    <w:lvl w:ilvl="1" w:tentative="0">
      <w:start w:val="1"/>
      <w:numFmt w:val="lowerLetter"/>
      <w:lvlText w:val="%2)"/>
      <w:lvlJc w:val="left"/>
      <w:pPr>
        <w:ind w:left="2242" w:hanging="420"/>
      </w:pPr>
    </w:lvl>
    <w:lvl w:ilvl="2" w:tentative="0">
      <w:start w:val="1"/>
      <w:numFmt w:val="lowerRoman"/>
      <w:lvlText w:val="%3."/>
      <w:lvlJc w:val="right"/>
      <w:pPr>
        <w:ind w:left="2662" w:hanging="420"/>
      </w:pPr>
    </w:lvl>
    <w:lvl w:ilvl="3" w:tentative="0">
      <w:start w:val="1"/>
      <w:numFmt w:val="decimal"/>
      <w:lvlText w:val="%4."/>
      <w:lvlJc w:val="left"/>
      <w:pPr>
        <w:ind w:left="3082" w:hanging="420"/>
      </w:pPr>
    </w:lvl>
    <w:lvl w:ilvl="4" w:tentative="0">
      <w:start w:val="1"/>
      <w:numFmt w:val="lowerLetter"/>
      <w:lvlText w:val="%5)"/>
      <w:lvlJc w:val="left"/>
      <w:pPr>
        <w:ind w:left="3502" w:hanging="420"/>
      </w:pPr>
    </w:lvl>
    <w:lvl w:ilvl="5" w:tentative="0">
      <w:start w:val="1"/>
      <w:numFmt w:val="lowerRoman"/>
      <w:lvlText w:val="%6."/>
      <w:lvlJc w:val="right"/>
      <w:pPr>
        <w:ind w:left="3922" w:hanging="420"/>
      </w:pPr>
    </w:lvl>
    <w:lvl w:ilvl="6" w:tentative="0">
      <w:start w:val="1"/>
      <w:numFmt w:val="decimal"/>
      <w:lvlText w:val="%7."/>
      <w:lvlJc w:val="left"/>
      <w:pPr>
        <w:ind w:left="4342" w:hanging="420"/>
      </w:pPr>
    </w:lvl>
    <w:lvl w:ilvl="7" w:tentative="0">
      <w:start w:val="1"/>
      <w:numFmt w:val="lowerLetter"/>
      <w:lvlText w:val="%8)"/>
      <w:lvlJc w:val="left"/>
      <w:pPr>
        <w:ind w:left="4762" w:hanging="420"/>
      </w:pPr>
    </w:lvl>
    <w:lvl w:ilvl="8" w:tentative="0">
      <w:start w:val="1"/>
      <w:numFmt w:val="lowerRoman"/>
      <w:lvlText w:val="%9."/>
      <w:lvlJc w:val="right"/>
      <w:pPr>
        <w:ind w:left="5182" w:hanging="420"/>
      </w:pPr>
    </w:lvl>
  </w:abstractNum>
  <w:abstractNum w:abstractNumId="31">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32">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3">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4">
    <w:nsid w:val="6A47046A"/>
    <w:multiLevelType w:val="multilevel"/>
    <w:tmpl w:val="6A47046A"/>
    <w:lvl w:ilvl="0" w:tentative="0">
      <w:start w:val="1"/>
      <w:numFmt w:val="chineseCountingThousand"/>
      <w:lvlText w:val="%1、"/>
      <w:lvlJc w:val="left"/>
      <w:pPr>
        <w:ind w:left="1271" w:hanging="420"/>
      </w:pPr>
      <w:rPr>
        <w:rFonts w:hint="eastAsia"/>
        <w:i w:val="0"/>
        <w:sz w:val="28"/>
        <w:szCs w:val="28"/>
      </w:rPr>
    </w:lvl>
    <w:lvl w:ilvl="1" w:tentative="0">
      <w:start w:val="1"/>
      <w:numFmt w:val="lowerLetter"/>
      <w:lvlText w:val="%2)"/>
      <w:lvlJc w:val="left"/>
      <w:pPr>
        <w:ind w:left="1049" w:hanging="420"/>
      </w:p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35">
    <w:nsid w:val="721A25D2"/>
    <w:multiLevelType w:val="multilevel"/>
    <w:tmpl w:val="721A25D2"/>
    <w:lvl w:ilvl="0" w:tentative="0">
      <w:start w:val="1"/>
      <w:numFmt w:val="chineseCountingThousand"/>
      <w:lvlText w:val="%1、"/>
      <w:lvlJc w:val="left"/>
      <w:pPr>
        <w:ind w:left="988"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36">
    <w:nsid w:val="72C4FF02"/>
    <w:multiLevelType w:val="singleLevel"/>
    <w:tmpl w:val="72C4FF02"/>
    <w:lvl w:ilvl="0" w:tentative="0">
      <w:start w:val="1"/>
      <w:numFmt w:val="decimal"/>
      <w:suff w:val="nothing"/>
      <w:lvlText w:val="（%1）"/>
      <w:lvlJc w:val="left"/>
    </w:lvl>
  </w:abstractNum>
  <w:abstractNum w:abstractNumId="37">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8">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78645AC5"/>
    <w:multiLevelType w:val="multilevel"/>
    <w:tmpl w:val="78645AC5"/>
    <w:lvl w:ilvl="0" w:tentative="0">
      <w:start w:val="2"/>
      <w:numFmt w:val="japaneseCounting"/>
      <w:lvlText w:val="%1、"/>
      <w:lvlJc w:val="left"/>
      <w:pPr>
        <w:ind w:left="1280" w:hanging="720"/>
      </w:pPr>
    </w:lvl>
    <w:lvl w:ilvl="1" w:tentative="0">
      <w:start w:val="1"/>
      <w:numFmt w:val="japaneseCounting"/>
      <w:lvlText w:val="（%2）"/>
      <w:lvlJc w:val="left"/>
      <w:pPr>
        <w:ind w:left="1820" w:hanging="84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0">
    <w:nsid w:val="7B511F5D"/>
    <w:multiLevelType w:val="multilevel"/>
    <w:tmpl w:val="7B511F5D"/>
    <w:lvl w:ilvl="0" w:tentative="0">
      <w:start w:val="1"/>
      <w:numFmt w:val="japaneseCounting"/>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1">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9"/>
  </w:num>
  <w:num w:numId="2">
    <w:abstractNumId w:val="4"/>
  </w:num>
  <w:num w:numId="3">
    <w:abstractNumId w:val="24"/>
  </w:num>
  <w:num w:numId="4">
    <w:abstractNumId w:val="2"/>
  </w:num>
  <w:num w:numId="5">
    <w:abstractNumId w:val="1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6"/>
  </w:num>
  <w:num w:numId="30">
    <w:abstractNumId w:val="32"/>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3%e5%8f%b7/"/>
  </w:docVars>
  <w:rsids>
    <w:rsidRoot w:val="00CF1ACE"/>
    <w:rsid w:val="00002CDF"/>
    <w:rsid w:val="00005E54"/>
    <w:rsid w:val="00006E4B"/>
    <w:rsid w:val="00012FF9"/>
    <w:rsid w:val="000153FC"/>
    <w:rsid w:val="00022FB1"/>
    <w:rsid w:val="00030818"/>
    <w:rsid w:val="00036334"/>
    <w:rsid w:val="00040DED"/>
    <w:rsid w:val="0005000F"/>
    <w:rsid w:val="000540E1"/>
    <w:rsid w:val="00054E7B"/>
    <w:rsid w:val="000650D8"/>
    <w:rsid w:val="00070192"/>
    <w:rsid w:val="00070C97"/>
    <w:rsid w:val="00072512"/>
    <w:rsid w:val="00074C14"/>
    <w:rsid w:val="00076B8E"/>
    <w:rsid w:val="0008129E"/>
    <w:rsid w:val="000817D3"/>
    <w:rsid w:val="00084EFF"/>
    <w:rsid w:val="0008608F"/>
    <w:rsid w:val="000907A5"/>
    <w:rsid w:val="0009497F"/>
    <w:rsid w:val="000A2C01"/>
    <w:rsid w:val="000A4FAD"/>
    <w:rsid w:val="000A6441"/>
    <w:rsid w:val="000A684D"/>
    <w:rsid w:val="000A7D56"/>
    <w:rsid w:val="000B0265"/>
    <w:rsid w:val="000B0BF3"/>
    <w:rsid w:val="000B6F48"/>
    <w:rsid w:val="000D2F64"/>
    <w:rsid w:val="000D3F97"/>
    <w:rsid w:val="000E49B5"/>
    <w:rsid w:val="000E5E9A"/>
    <w:rsid w:val="000F0878"/>
    <w:rsid w:val="000F336A"/>
    <w:rsid w:val="000F44C3"/>
    <w:rsid w:val="000F5835"/>
    <w:rsid w:val="000F686B"/>
    <w:rsid w:val="00103FFF"/>
    <w:rsid w:val="0010675D"/>
    <w:rsid w:val="00110BE7"/>
    <w:rsid w:val="00112E33"/>
    <w:rsid w:val="001220B4"/>
    <w:rsid w:val="00122E0B"/>
    <w:rsid w:val="00123D77"/>
    <w:rsid w:val="00126780"/>
    <w:rsid w:val="001274E9"/>
    <w:rsid w:val="0013135C"/>
    <w:rsid w:val="00131474"/>
    <w:rsid w:val="001316AB"/>
    <w:rsid w:val="001329CF"/>
    <w:rsid w:val="00133328"/>
    <w:rsid w:val="00136382"/>
    <w:rsid w:val="001367DE"/>
    <w:rsid w:val="00145B5F"/>
    <w:rsid w:val="001464BA"/>
    <w:rsid w:val="00152658"/>
    <w:rsid w:val="00152E60"/>
    <w:rsid w:val="001530AA"/>
    <w:rsid w:val="00153D39"/>
    <w:rsid w:val="0015429F"/>
    <w:rsid w:val="0016006D"/>
    <w:rsid w:val="00166DA8"/>
    <w:rsid w:val="00166E19"/>
    <w:rsid w:val="001679EA"/>
    <w:rsid w:val="00172C1F"/>
    <w:rsid w:val="001743A0"/>
    <w:rsid w:val="00180E99"/>
    <w:rsid w:val="00183954"/>
    <w:rsid w:val="00187BD9"/>
    <w:rsid w:val="001907A3"/>
    <w:rsid w:val="00190C2D"/>
    <w:rsid w:val="001A01B3"/>
    <w:rsid w:val="001A3E67"/>
    <w:rsid w:val="001A4E6B"/>
    <w:rsid w:val="001B01EE"/>
    <w:rsid w:val="001C0380"/>
    <w:rsid w:val="001C0AF5"/>
    <w:rsid w:val="001C0B5E"/>
    <w:rsid w:val="001C2396"/>
    <w:rsid w:val="001C3E7D"/>
    <w:rsid w:val="001C567B"/>
    <w:rsid w:val="001C61D5"/>
    <w:rsid w:val="001D0C72"/>
    <w:rsid w:val="001D2B00"/>
    <w:rsid w:val="001D5B62"/>
    <w:rsid w:val="001D79FC"/>
    <w:rsid w:val="001D7DE2"/>
    <w:rsid w:val="001F14AD"/>
    <w:rsid w:val="00204D7E"/>
    <w:rsid w:val="00207A7A"/>
    <w:rsid w:val="00212B28"/>
    <w:rsid w:val="00214D78"/>
    <w:rsid w:val="00226005"/>
    <w:rsid w:val="00226664"/>
    <w:rsid w:val="00226D7F"/>
    <w:rsid w:val="0022718A"/>
    <w:rsid w:val="00231B3B"/>
    <w:rsid w:val="00236441"/>
    <w:rsid w:val="002408FF"/>
    <w:rsid w:val="00241712"/>
    <w:rsid w:val="002419AF"/>
    <w:rsid w:val="0024679A"/>
    <w:rsid w:val="002709D2"/>
    <w:rsid w:val="00271BC6"/>
    <w:rsid w:val="002748C9"/>
    <w:rsid w:val="00280356"/>
    <w:rsid w:val="0028275F"/>
    <w:rsid w:val="002917C6"/>
    <w:rsid w:val="00293DA8"/>
    <w:rsid w:val="00294C53"/>
    <w:rsid w:val="002A2361"/>
    <w:rsid w:val="002A27F2"/>
    <w:rsid w:val="002A28EB"/>
    <w:rsid w:val="002A5ED8"/>
    <w:rsid w:val="002A7A11"/>
    <w:rsid w:val="002B065F"/>
    <w:rsid w:val="002B0D84"/>
    <w:rsid w:val="002B4812"/>
    <w:rsid w:val="002B6646"/>
    <w:rsid w:val="002B6DE3"/>
    <w:rsid w:val="002D08C9"/>
    <w:rsid w:val="002D3B63"/>
    <w:rsid w:val="002D4A3A"/>
    <w:rsid w:val="002D5C2A"/>
    <w:rsid w:val="002D68D5"/>
    <w:rsid w:val="002E594F"/>
    <w:rsid w:val="002E5D24"/>
    <w:rsid w:val="002E7EF8"/>
    <w:rsid w:val="002F0048"/>
    <w:rsid w:val="002F365D"/>
    <w:rsid w:val="002F5781"/>
    <w:rsid w:val="002F5AE2"/>
    <w:rsid w:val="003014F1"/>
    <w:rsid w:val="00302FDF"/>
    <w:rsid w:val="0030403A"/>
    <w:rsid w:val="00312B9F"/>
    <w:rsid w:val="003262C6"/>
    <w:rsid w:val="003271A0"/>
    <w:rsid w:val="00330776"/>
    <w:rsid w:val="00332F29"/>
    <w:rsid w:val="00343234"/>
    <w:rsid w:val="00354165"/>
    <w:rsid w:val="00357B01"/>
    <w:rsid w:val="003667AA"/>
    <w:rsid w:val="00367A16"/>
    <w:rsid w:val="0037060B"/>
    <w:rsid w:val="003711D7"/>
    <w:rsid w:val="00381AD7"/>
    <w:rsid w:val="00383618"/>
    <w:rsid w:val="00384717"/>
    <w:rsid w:val="003847E2"/>
    <w:rsid w:val="00385446"/>
    <w:rsid w:val="00387F04"/>
    <w:rsid w:val="0039389A"/>
    <w:rsid w:val="003A0C19"/>
    <w:rsid w:val="003B3A8C"/>
    <w:rsid w:val="003B6F68"/>
    <w:rsid w:val="003C157A"/>
    <w:rsid w:val="003C499F"/>
    <w:rsid w:val="003C5932"/>
    <w:rsid w:val="003C6834"/>
    <w:rsid w:val="003C6FC5"/>
    <w:rsid w:val="003C758A"/>
    <w:rsid w:val="003C7640"/>
    <w:rsid w:val="003D410A"/>
    <w:rsid w:val="003D6343"/>
    <w:rsid w:val="003D6807"/>
    <w:rsid w:val="003E1639"/>
    <w:rsid w:val="003E239A"/>
    <w:rsid w:val="003E3DC4"/>
    <w:rsid w:val="003E62B3"/>
    <w:rsid w:val="003F06D0"/>
    <w:rsid w:val="00402105"/>
    <w:rsid w:val="00404B00"/>
    <w:rsid w:val="00406310"/>
    <w:rsid w:val="00414634"/>
    <w:rsid w:val="00417197"/>
    <w:rsid w:val="00417C0C"/>
    <w:rsid w:val="004214EC"/>
    <w:rsid w:val="00424742"/>
    <w:rsid w:val="00424F3C"/>
    <w:rsid w:val="00441320"/>
    <w:rsid w:val="00450245"/>
    <w:rsid w:val="0045575C"/>
    <w:rsid w:val="004572F9"/>
    <w:rsid w:val="00470681"/>
    <w:rsid w:val="00471E22"/>
    <w:rsid w:val="004809BB"/>
    <w:rsid w:val="00481CD4"/>
    <w:rsid w:val="0048309A"/>
    <w:rsid w:val="004834D3"/>
    <w:rsid w:val="0048799A"/>
    <w:rsid w:val="004879B8"/>
    <w:rsid w:val="00495441"/>
    <w:rsid w:val="004A4D58"/>
    <w:rsid w:val="004A52E7"/>
    <w:rsid w:val="004B0F02"/>
    <w:rsid w:val="004B2947"/>
    <w:rsid w:val="004B3F32"/>
    <w:rsid w:val="004C0763"/>
    <w:rsid w:val="004C10D6"/>
    <w:rsid w:val="004C6669"/>
    <w:rsid w:val="004D3806"/>
    <w:rsid w:val="004D5647"/>
    <w:rsid w:val="004D5D07"/>
    <w:rsid w:val="004D7FA3"/>
    <w:rsid w:val="004E32CF"/>
    <w:rsid w:val="004E422C"/>
    <w:rsid w:val="004F707E"/>
    <w:rsid w:val="0050068E"/>
    <w:rsid w:val="00500750"/>
    <w:rsid w:val="00502FD6"/>
    <w:rsid w:val="00503AB1"/>
    <w:rsid w:val="00503D28"/>
    <w:rsid w:val="00504A24"/>
    <w:rsid w:val="00506ECB"/>
    <w:rsid w:val="005125D6"/>
    <w:rsid w:val="00512B9D"/>
    <w:rsid w:val="00515400"/>
    <w:rsid w:val="00521CC9"/>
    <w:rsid w:val="00524E5D"/>
    <w:rsid w:val="00531010"/>
    <w:rsid w:val="005368EA"/>
    <w:rsid w:val="005402A8"/>
    <w:rsid w:val="0054100B"/>
    <w:rsid w:val="0054294B"/>
    <w:rsid w:val="00542F7A"/>
    <w:rsid w:val="0055041E"/>
    <w:rsid w:val="00557DA6"/>
    <w:rsid w:val="005675AB"/>
    <w:rsid w:val="00570309"/>
    <w:rsid w:val="0057140D"/>
    <w:rsid w:val="00576795"/>
    <w:rsid w:val="0057684A"/>
    <w:rsid w:val="0058272F"/>
    <w:rsid w:val="00583C60"/>
    <w:rsid w:val="00594456"/>
    <w:rsid w:val="005958BE"/>
    <w:rsid w:val="005974FA"/>
    <w:rsid w:val="005A4591"/>
    <w:rsid w:val="005A6408"/>
    <w:rsid w:val="005B1A0A"/>
    <w:rsid w:val="005B5087"/>
    <w:rsid w:val="005B5A54"/>
    <w:rsid w:val="005C1ED5"/>
    <w:rsid w:val="005C49DE"/>
    <w:rsid w:val="005C4E5E"/>
    <w:rsid w:val="005D41D0"/>
    <w:rsid w:val="005D46D4"/>
    <w:rsid w:val="005D6B61"/>
    <w:rsid w:val="005E1A9E"/>
    <w:rsid w:val="005E3293"/>
    <w:rsid w:val="005E3C5C"/>
    <w:rsid w:val="005E4DE6"/>
    <w:rsid w:val="005F163A"/>
    <w:rsid w:val="005F206A"/>
    <w:rsid w:val="00603BCA"/>
    <w:rsid w:val="006053AB"/>
    <w:rsid w:val="006071FF"/>
    <w:rsid w:val="00617AD9"/>
    <w:rsid w:val="00622891"/>
    <w:rsid w:val="00623E7E"/>
    <w:rsid w:val="00624BDE"/>
    <w:rsid w:val="006268C8"/>
    <w:rsid w:val="00626CD2"/>
    <w:rsid w:val="006275A3"/>
    <w:rsid w:val="0063034C"/>
    <w:rsid w:val="0063068E"/>
    <w:rsid w:val="00633BE1"/>
    <w:rsid w:val="00635A31"/>
    <w:rsid w:val="006367A3"/>
    <w:rsid w:val="00644EA6"/>
    <w:rsid w:val="00646D4B"/>
    <w:rsid w:val="00653D81"/>
    <w:rsid w:val="00657A1F"/>
    <w:rsid w:val="006679BD"/>
    <w:rsid w:val="006720CE"/>
    <w:rsid w:val="00672774"/>
    <w:rsid w:val="006804DA"/>
    <w:rsid w:val="006822B5"/>
    <w:rsid w:val="00684663"/>
    <w:rsid w:val="006854DF"/>
    <w:rsid w:val="006869ED"/>
    <w:rsid w:val="0068737C"/>
    <w:rsid w:val="00690078"/>
    <w:rsid w:val="0069210A"/>
    <w:rsid w:val="006A0990"/>
    <w:rsid w:val="006A4897"/>
    <w:rsid w:val="006A5A4D"/>
    <w:rsid w:val="006A61FB"/>
    <w:rsid w:val="006B0229"/>
    <w:rsid w:val="006B20BE"/>
    <w:rsid w:val="006C26AA"/>
    <w:rsid w:val="006C3244"/>
    <w:rsid w:val="006C5386"/>
    <w:rsid w:val="006C6752"/>
    <w:rsid w:val="006D5558"/>
    <w:rsid w:val="006D71FB"/>
    <w:rsid w:val="006D781A"/>
    <w:rsid w:val="006E0449"/>
    <w:rsid w:val="006E7230"/>
    <w:rsid w:val="006E7724"/>
    <w:rsid w:val="006F3BBB"/>
    <w:rsid w:val="006F3F0C"/>
    <w:rsid w:val="006F7DDA"/>
    <w:rsid w:val="007038DE"/>
    <w:rsid w:val="007049B2"/>
    <w:rsid w:val="00704C6D"/>
    <w:rsid w:val="00704DC4"/>
    <w:rsid w:val="0070638A"/>
    <w:rsid w:val="007125CC"/>
    <w:rsid w:val="0071369D"/>
    <w:rsid w:val="00715052"/>
    <w:rsid w:val="00720528"/>
    <w:rsid w:val="00724DA7"/>
    <w:rsid w:val="007251FB"/>
    <w:rsid w:val="007317F8"/>
    <w:rsid w:val="00731E8A"/>
    <w:rsid w:val="007328A4"/>
    <w:rsid w:val="0073447D"/>
    <w:rsid w:val="00736727"/>
    <w:rsid w:val="00736873"/>
    <w:rsid w:val="00740F06"/>
    <w:rsid w:val="0074186D"/>
    <w:rsid w:val="00741E81"/>
    <w:rsid w:val="007510B7"/>
    <w:rsid w:val="00752697"/>
    <w:rsid w:val="00755470"/>
    <w:rsid w:val="00771076"/>
    <w:rsid w:val="00771A0E"/>
    <w:rsid w:val="007724E1"/>
    <w:rsid w:val="00773306"/>
    <w:rsid w:val="00775A5A"/>
    <w:rsid w:val="00775FB5"/>
    <w:rsid w:val="00780F0C"/>
    <w:rsid w:val="00781319"/>
    <w:rsid w:val="0078306C"/>
    <w:rsid w:val="00783BD0"/>
    <w:rsid w:val="0078507E"/>
    <w:rsid w:val="00786C69"/>
    <w:rsid w:val="00796DB8"/>
    <w:rsid w:val="007A7A8E"/>
    <w:rsid w:val="007B0013"/>
    <w:rsid w:val="007B02D1"/>
    <w:rsid w:val="007B3E88"/>
    <w:rsid w:val="007C2382"/>
    <w:rsid w:val="007C4162"/>
    <w:rsid w:val="007C4BE7"/>
    <w:rsid w:val="007C7FD2"/>
    <w:rsid w:val="007D67DA"/>
    <w:rsid w:val="007D757F"/>
    <w:rsid w:val="007E211F"/>
    <w:rsid w:val="007E5A29"/>
    <w:rsid w:val="007F0578"/>
    <w:rsid w:val="007F1A22"/>
    <w:rsid w:val="007F230E"/>
    <w:rsid w:val="007F6126"/>
    <w:rsid w:val="007F724B"/>
    <w:rsid w:val="007F7DA1"/>
    <w:rsid w:val="00800F1E"/>
    <w:rsid w:val="00806685"/>
    <w:rsid w:val="008110C4"/>
    <w:rsid w:val="00811984"/>
    <w:rsid w:val="00814890"/>
    <w:rsid w:val="00815D7E"/>
    <w:rsid w:val="00816672"/>
    <w:rsid w:val="00816FA6"/>
    <w:rsid w:val="00820A16"/>
    <w:rsid w:val="008225C9"/>
    <w:rsid w:val="0082518D"/>
    <w:rsid w:val="00827DC9"/>
    <w:rsid w:val="00841DD7"/>
    <w:rsid w:val="00844E49"/>
    <w:rsid w:val="00847674"/>
    <w:rsid w:val="00847F32"/>
    <w:rsid w:val="00850C91"/>
    <w:rsid w:val="00851D06"/>
    <w:rsid w:val="008604D6"/>
    <w:rsid w:val="00860A8E"/>
    <w:rsid w:val="00861AFF"/>
    <w:rsid w:val="0086413F"/>
    <w:rsid w:val="00864D5A"/>
    <w:rsid w:val="008669C1"/>
    <w:rsid w:val="008670B6"/>
    <w:rsid w:val="00870A43"/>
    <w:rsid w:val="00874701"/>
    <w:rsid w:val="008762FC"/>
    <w:rsid w:val="00880D33"/>
    <w:rsid w:val="00882538"/>
    <w:rsid w:val="00882D71"/>
    <w:rsid w:val="00885E0D"/>
    <w:rsid w:val="008870ED"/>
    <w:rsid w:val="00893D5F"/>
    <w:rsid w:val="00895A9B"/>
    <w:rsid w:val="008A0AF7"/>
    <w:rsid w:val="008A0B3C"/>
    <w:rsid w:val="008A30B1"/>
    <w:rsid w:val="008A358E"/>
    <w:rsid w:val="008A6979"/>
    <w:rsid w:val="008A7E20"/>
    <w:rsid w:val="008B1AC3"/>
    <w:rsid w:val="008B3DF8"/>
    <w:rsid w:val="008C1C28"/>
    <w:rsid w:val="008C2151"/>
    <w:rsid w:val="008C6E65"/>
    <w:rsid w:val="008D0972"/>
    <w:rsid w:val="008D1CC4"/>
    <w:rsid w:val="008D3DB3"/>
    <w:rsid w:val="008D727A"/>
    <w:rsid w:val="008E2B15"/>
    <w:rsid w:val="008E42E6"/>
    <w:rsid w:val="008E577E"/>
    <w:rsid w:val="0090256B"/>
    <w:rsid w:val="0090294D"/>
    <w:rsid w:val="0090627F"/>
    <w:rsid w:val="009078A2"/>
    <w:rsid w:val="00920064"/>
    <w:rsid w:val="00925952"/>
    <w:rsid w:val="00930935"/>
    <w:rsid w:val="00933BE2"/>
    <w:rsid w:val="009360C9"/>
    <w:rsid w:val="00940298"/>
    <w:rsid w:val="00940475"/>
    <w:rsid w:val="0094251A"/>
    <w:rsid w:val="0094290D"/>
    <w:rsid w:val="00945727"/>
    <w:rsid w:val="009506C2"/>
    <w:rsid w:val="00953F51"/>
    <w:rsid w:val="00954424"/>
    <w:rsid w:val="00954825"/>
    <w:rsid w:val="009565EE"/>
    <w:rsid w:val="00962D88"/>
    <w:rsid w:val="00962E19"/>
    <w:rsid w:val="00966388"/>
    <w:rsid w:val="009777B4"/>
    <w:rsid w:val="00981875"/>
    <w:rsid w:val="00982E6B"/>
    <w:rsid w:val="00986475"/>
    <w:rsid w:val="00987605"/>
    <w:rsid w:val="0098764D"/>
    <w:rsid w:val="00987A66"/>
    <w:rsid w:val="009959C6"/>
    <w:rsid w:val="00996427"/>
    <w:rsid w:val="009A0264"/>
    <w:rsid w:val="009A4AB3"/>
    <w:rsid w:val="009B0A57"/>
    <w:rsid w:val="009B3392"/>
    <w:rsid w:val="009B4E84"/>
    <w:rsid w:val="009B6112"/>
    <w:rsid w:val="009C3FF7"/>
    <w:rsid w:val="009C516F"/>
    <w:rsid w:val="009D0003"/>
    <w:rsid w:val="009D5D0D"/>
    <w:rsid w:val="009D74E4"/>
    <w:rsid w:val="009E1613"/>
    <w:rsid w:val="009F26B7"/>
    <w:rsid w:val="009F376F"/>
    <w:rsid w:val="009F45D0"/>
    <w:rsid w:val="009F560A"/>
    <w:rsid w:val="00A0406F"/>
    <w:rsid w:val="00A06B57"/>
    <w:rsid w:val="00A10A62"/>
    <w:rsid w:val="00A11F13"/>
    <w:rsid w:val="00A1367E"/>
    <w:rsid w:val="00A17914"/>
    <w:rsid w:val="00A20B2B"/>
    <w:rsid w:val="00A23E73"/>
    <w:rsid w:val="00A265A5"/>
    <w:rsid w:val="00A277DE"/>
    <w:rsid w:val="00A32366"/>
    <w:rsid w:val="00A37974"/>
    <w:rsid w:val="00A402C8"/>
    <w:rsid w:val="00A43C13"/>
    <w:rsid w:val="00A47872"/>
    <w:rsid w:val="00A5162F"/>
    <w:rsid w:val="00A52E73"/>
    <w:rsid w:val="00A530B8"/>
    <w:rsid w:val="00A616EA"/>
    <w:rsid w:val="00A64431"/>
    <w:rsid w:val="00A919D7"/>
    <w:rsid w:val="00A92CC5"/>
    <w:rsid w:val="00A9787F"/>
    <w:rsid w:val="00AA16B9"/>
    <w:rsid w:val="00AA1F89"/>
    <w:rsid w:val="00AA5692"/>
    <w:rsid w:val="00AA74AC"/>
    <w:rsid w:val="00AA7A00"/>
    <w:rsid w:val="00AB0025"/>
    <w:rsid w:val="00AB732C"/>
    <w:rsid w:val="00AC0BD4"/>
    <w:rsid w:val="00AC126F"/>
    <w:rsid w:val="00AC24A4"/>
    <w:rsid w:val="00AC3FD6"/>
    <w:rsid w:val="00AD2C67"/>
    <w:rsid w:val="00AD612C"/>
    <w:rsid w:val="00AD7D30"/>
    <w:rsid w:val="00AE4041"/>
    <w:rsid w:val="00AE7FE2"/>
    <w:rsid w:val="00AF2F9F"/>
    <w:rsid w:val="00AF394A"/>
    <w:rsid w:val="00AF5C62"/>
    <w:rsid w:val="00B030A5"/>
    <w:rsid w:val="00B13F09"/>
    <w:rsid w:val="00B15145"/>
    <w:rsid w:val="00B214D2"/>
    <w:rsid w:val="00B30F98"/>
    <w:rsid w:val="00B33812"/>
    <w:rsid w:val="00B33A49"/>
    <w:rsid w:val="00B35C9B"/>
    <w:rsid w:val="00B36256"/>
    <w:rsid w:val="00B36966"/>
    <w:rsid w:val="00B36B0C"/>
    <w:rsid w:val="00B46060"/>
    <w:rsid w:val="00B46EE1"/>
    <w:rsid w:val="00B54844"/>
    <w:rsid w:val="00B5671B"/>
    <w:rsid w:val="00B56A96"/>
    <w:rsid w:val="00B614BA"/>
    <w:rsid w:val="00B62815"/>
    <w:rsid w:val="00B65528"/>
    <w:rsid w:val="00B66708"/>
    <w:rsid w:val="00B66E92"/>
    <w:rsid w:val="00B70C14"/>
    <w:rsid w:val="00B745ED"/>
    <w:rsid w:val="00B75AD4"/>
    <w:rsid w:val="00B83F96"/>
    <w:rsid w:val="00B85A12"/>
    <w:rsid w:val="00B90DFE"/>
    <w:rsid w:val="00B92377"/>
    <w:rsid w:val="00B924E0"/>
    <w:rsid w:val="00B92A54"/>
    <w:rsid w:val="00B92C73"/>
    <w:rsid w:val="00B93C0F"/>
    <w:rsid w:val="00BA2579"/>
    <w:rsid w:val="00BA344C"/>
    <w:rsid w:val="00BB3CEB"/>
    <w:rsid w:val="00BB7B8B"/>
    <w:rsid w:val="00BC4ADA"/>
    <w:rsid w:val="00BC5447"/>
    <w:rsid w:val="00BD042B"/>
    <w:rsid w:val="00BD127B"/>
    <w:rsid w:val="00BD4028"/>
    <w:rsid w:val="00BD479D"/>
    <w:rsid w:val="00BD5843"/>
    <w:rsid w:val="00BF2FB8"/>
    <w:rsid w:val="00BF3877"/>
    <w:rsid w:val="00BF64A7"/>
    <w:rsid w:val="00C00525"/>
    <w:rsid w:val="00C0150D"/>
    <w:rsid w:val="00C015B1"/>
    <w:rsid w:val="00C03C51"/>
    <w:rsid w:val="00C10E55"/>
    <w:rsid w:val="00C11694"/>
    <w:rsid w:val="00C12BB0"/>
    <w:rsid w:val="00C14790"/>
    <w:rsid w:val="00C171D1"/>
    <w:rsid w:val="00C24887"/>
    <w:rsid w:val="00C26524"/>
    <w:rsid w:val="00C308CB"/>
    <w:rsid w:val="00C30B14"/>
    <w:rsid w:val="00C32FD2"/>
    <w:rsid w:val="00C33C53"/>
    <w:rsid w:val="00C361C7"/>
    <w:rsid w:val="00C405F6"/>
    <w:rsid w:val="00C416EF"/>
    <w:rsid w:val="00C420D5"/>
    <w:rsid w:val="00C42B05"/>
    <w:rsid w:val="00C430D7"/>
    <w:rsid w:val="00C54411"/>
    <w:rsid w:val="00C544EB"/>
    <w:rsid w:val="00C56CEF"/>
    <w:rsid w:val="00C64B3A"/>
    <w:rsid w:val="00C724E3"/>
    <w:rsid w:val="00C73CE2"/>
    <w:rsid w:val="00C76138"/>
    <w:rsid w:val="00C77B0B"/>
    <w:rsid w:val="00C81972"/>
    <w:rsid w:val="00C81AC3"/>
    <w:rsid w:val="00C843CC"/>
    <w:rsid w:val="00C856BB"/>
    <w:rsid w:val="00C90C87"/>
    <w:rsid w:val="00C92027"/>
    <w:rsid w:val="00C92CBE"/>
    <w:rsid w:val="00C94102"/>
    <w:rsid w:val="00C963E2"/>
    <w:rsid w:val="00C966C7"/>
    <w:rsid w:val="00C97BE3"/>
    <w:rsid w:val="00CA2F4A"/>
    <w:rsid w:val="00CA5B10"/>
    <w:rsid w:val="00CB540D"/>
    <w:rsid w:val="00CB747C"/>
    <w:rsid w:val="00CB75A1"/>
    <w:rsid w:val="00CC0591"/>
    <w:rsid w:val="00CC666D"/>
    <w:rsid w:val="00CD0088"/>
    <w:rsid w:val="00CD1637"/>
    <w:rsid w:val="00CD7300"/>
    <w:rsid w:val="00CE50DF"/>
    <w:rsid w:val="00CE73EE"/>
    <w:rsid w:val="00CE7DDF"/>
    <w:rsid w:val="00CF1ACE"/>
    <w:rsid w:val="00CF3520"/>
    <w:rsid w:val="00CF63CC"/>
    <w:rsid w:val="00D01F8C"/>
    <w:rsid w:val="00D02130"/>
    <w:rsid w:val="00D03862"/>
    <w:rsid w:val="00D0537E"/>
    <w:rsid w:val="00D06771"/>
    <w:rsid w:val="00D06780"/>
    <w:rsid w:val="00D07B2A"/>
    <w:rsid w:val="00D1371B"/>
    <w:rsid w:val="00D15A38"/>
    <w:rsid w:val="00D17262"/>
    <w:rsid w:val="00D20679"/>
    <w:rsid w:val="00D20709"/>
    <w:rsid w:val="00D23840"/>
    <w:rsid w:val="00D238CE"/>
    <w:rsid w:val="00D27849"/>
    <w:rsid w:val="00D27B76"/>
    <w:rsid w:val="00D33BCA"/>
    <w:rsid w:val="00D33EF8"/>
    <w:rsid w:val="00D36148"/>
    <w:rsid w:val="00D475C4"/>
    <w:rsid w:val="00D47A92"/>
    <w:rsid w:val="00D5013F"/>
    <w:rsid w:val="00D50D24"/>
    <w:rsid w:val="00D519CC"/>
    <w:rsid w:val="00D60B50"/>
    <w:rsid w:val="00D635C2"/>
    <w:rsid w:val="00D71663"/>
    <w:rsid w:val="00D74592"/>
    <w:rsid w:val="00D80581"/>
    <w:rsid w:val="00D84015"/>
    <w:rsid w:val="00D84A01"/>
    <w:rsid w:val="00D854F6"/>
    <w:rsid w:val="00D937CC"/>
    <w:rsid w:val="00D961E3"/>
    <w:rsid w:val="00DA1A2A"/>
    <w:rsid w:val="00DA4E56"/>
    <w:rsid w:val="00DB0E6C"/>
    <w:rsid w:val="00DB5183"/>
    <w:rsid w:val="00DB692D"/>
    <w:rsid w:val="00DC63E5"/>
    <w:rsid w:val="00DC6DA2"/>
    <w:rsid w:val="00DD71B2"/>
    <w:rsid w:val="00DE2A55"/>
    <w:rsid w:val="00DE4E2A"/>
    <w:rsid w:val="00DE5921"/>
    <w:rsid w:val="00DE6CC2"/>
    <w:rsid w:val="00DF361B"/>
    <w:rsid w:val="00DF5559"/>
    <w:rsid w:val="00E17B5E"/>
    <w:rsid w:val="00E22020"/>
    <w:rsid w:val="00E2305B"/>
    <w:rsid w:val="00E3001E"/>
    <w:rsid w:val="00E356EE"/>
    <w:rsid w:val="00E36494"/>
    <w:rsid w:val="00E42C71"/>
    <w:rsid w:val="00E469A5"/>
    <w:rsid w:val="00E508A4"/>
    <w:rsid w:val="00E538C0"/>
    <w:rsid w:val="00E54AFE"/>
    <w:rsid w:val="00E562B4"/>
    <w:rsid w:val="00E57151"/>
    <w:rsid w:val="00E6293D"/>
    <w:rsid w:val="00E63569"/>
    <w:rsid w:val="00E722CA"/>
    <w:rsid w:val="00E74BDC"/>
    <w:rsid w:val="00E805F4"/>
    <w:rsid w:val="00E84049"/>
    <w:rsid w:val="00E8564C"/>
    <w:rsid w:val="00E864B5"/>
    <w:rsid w:val="00E87F48"/>
    <w:rsid w:val="00E9566D"/>
    <w:rsid w:val="00E975B6"/>
    <w:rsid w:val="00EB35BB"/>
    <w:rsid w:val="00EB654B"/>
    <w:rsid w:val="00EB6F5B"/>
    <w:rsid w:val="00EC39FF"/>
    <w:rsid w:val="00EC3F08"/>
    <w:rsid w:val="00EC65B5"/>
    <w:rsid w:val="00ED39F5"/>
    <w:rsid w:val="00EE1F53"/>
    <w:rsid w:val="00EE495A"/>
    <w:rsid w:val="00EF28FE"/>
    <w:rsid w:val="00EF4128"/>
    <w:rsid w:val="00F01ECA"/>
    <w:rsid w:val="00F03FFE"/>
    <w:rsid w:val="00F173BA"/>
    <w:rsid w:val="00F212C9"/>
    <w:rsid w:val="00F2478E"/>
    <w:rsid w:val="00F247EE"/>
    <w:rsid w:val="00F27328"/>
    <w:rsid w:val="00F31C0B"/>
    <w:rsid w:val="00F34199"/>
    <w:rsid w:val="00F3668F"/>
    <w:rsid w:val="00F36B04"/>
    <w:rsid w:val="00F37D5D"/>
    <w:rsid w:val="00F4168B"/>
    <w:rsid w:val="00F44B02"/>
    <w:rsid w:val="00F50D36"/>
    <w:rsid w:val="00F534B3"/>
    <w:rsid w:val="00F54063"/>
    <w:rsid w:val="00F54DEB"/>
    <w:rsid w:val="00F5514B"/>
    <w:rsid w:val="00F60810"/>
    <w:rsid w:val="00F60C5F"/>
    <w:rsid w:val="00F61DE3"/>
    <w:rsid w:val="00F62D14"/>
    <w:rsid w:val="00F70DD5"/>
    <w:rsid w:val="00F71008"/>
    <w:rsid w:val="00F8060D"/>
    <w:rsid w:val="00F861BA"/>
    <w:rsid w:val="00F9124B"/>
    <w:rsid w:val="00F91D83"/>
    <w:rsid w:val="00F93BA9"/>
    <w:rsid w:val="00F95C19"/>
    <w:rsid w:val="00F96084"/>
    <w:rsid w:val="00F9656E"/>
    <w:rsid w:val="00FA0891"/>
    <w:rsid w:val="00FA7099"/>
    <w:rsid w:val="00FB5DF5"/>
    <w:rsid w:val="00FC0784"/>
    <w:rsid w:val="00FC2113"/>
    <w:rsid w:val="00FD0D2A"/>
    <w:rsid w:val="00FD10E8"/>
    <w:rsid w:val="00FD50D8"/>
    <w:rsid w:val="00FD686A"/>
    <w:rsid w:val="00FE38C2"/>
    <w:rsid w:val="00FE5D00"/>
    <w:rsid w:val="00FE697E"/>
    <w:rsid w:val="00FF0E0E"/>
    <w:rsid w:val="00FF3CA8"/>
    <w:rsid w:val="00FF4600"/>
    <w:rsid w:val="00FF7CD8"/>
    <w:rsid w:val="023257B4"/>
    <w:rsid w:val="050A2A1B"/>
    <w:rsid w:val="0AE27A86"/>
    <w:rsid w:val="0C3B6B24"/>
    <w:rsid w:val="0C405F97"/>
    <w:rsid w:val="0FA31142"/>
    <w:rsid w:val="11B06B4C"/>
    <w:rsid w:val="1220417D"/>
    <w:rsid w:val="12282479"/>
    <w:rsid w:val="127F5F06"/>
    <w:rsid w:val="12887028"/>
    <w:rsid w:val="12B91B6C"/>
    <w:rsid w:val="14370E44"/>
    <w:rsid w:val="149E1509"/>
    <w:rsid w:val="15E22DEA"/>
    <w:rsid w:val="1C674EEC"/>
    <w:rsid w:val="1E185427"/>
    <w:rsid w:val="1ED23FD4"/>
    <w:rsid w:val="1F702482"/>
    <w:rsid w:val="2592082A"/>
    <w:rsid w:val="25D15B76"/>
    <w:rsid w:val="27641A48"/>
    <w:rsid w:val="2AAD6003"/>
    <w:rsid w:val="2E2A2941"/>
    <w:rsid w:val="2EDD6F3D"/>
    <w:rsid w:val="2F254DFF"/>
    <w:rsid w:val="302C729F"/>
    <w:rsid w:val="30577ED5"/>
    <w:rsid w:val="30757898"/>
    <w:rsid w:val="30BF0AFB"/>
    <w:rsid w:val="31AD6151"/>
    <w:rsid w:val="32C3110E"/>
    <w:rsid w:val="36B45FBB"/>
    <w:rsid w:val="36F56D67"/>
    <w:rsid w:val="36F94750"/>
    <w:rsid w:val="3754021E"/>
    <w:rsid w:val="380B30C9"/>
    <w:rsid w:val="38FC658D"/>
    <w:rsid w:val="392C704A"/>
    <w:rsid w:val="394064DD"/>
    <w:rsid w:val="39D501E8"/>
    <w:rsid w:val="3AD15794"/>
    <w:rsid w:val="3C2A7F0C"/>
    <w:rsid w:val="3E4B6014"/>
    <w:rsid w:val="3F9227E4"/>
    <w:rsid w:val="404C4D36"/>
    <w:rsid w:val="42175C2F"/>
    <w:rsid w:val="49B17433"/>
    <w:rsid w:val="4AB938C1"/>
    <w:rsid w:val="4D455887"/>
    <w:rsid w:val="4F1F6F95"/>
    <w:rsid w:val="4F5B2187"/>
    <w:rsid w:val="4F612FC6"/>
    <w:rsid w:val="536749CA"/>
    <w:rsid w:val="537E0E65"/>
    <w:rsid w:val="53810D8F"/>
    <w:rsid w:val="55B150CF"/>
    <w:rsid w:val="55CF3663"/>
    <w:rsid w:val="56837EEB"/>
    <w:rsid w:val="568453E2"/>
    <w:rsid w:val="56E344F9"/>
    <w:rsid w:val="57617706"/>
    <w:rsid w:val="57AF7DB0"/>
    <w:rsid w:val="5B1F7E64"/>
    <w:rsid w:val="5DBF6E54"/>
    <w:rsid w:val="5ED058E2"/>
    <w:rsid w:val="60DE34FD"/>
    <w:rsid w:val="619923E2"/>
    <w:rsid w:val="61E22D20"/>
    <w:rsid w:val="61FA337C"/>
    <w:rsid w:val="626A32B0"/>
    <w:rsid w:val="626D39FC"/>
    <w:rsid w:val="634C2388"/>
    <w:rsid w:val="635361C4"/>
    <w:rsid w:val="65121B2F"/>
    <w:rsid w:val="6C47110C"/>
    <w:rsid w:val="6CB73D86"/>
    <w:rsid w:val="6DCC32FB"/>
    <w:rsid w:val="720E111A"/>
    <w:rsid w:val="7373439C"/>
    <w:rsid w:val="74EB7213"/>
    <w:rsid w:val="751958CC"/>
    <w:rsid w:val="78DA400E"/>
    <w:rsid w:val="79405E83"/>
    <w:rsid w:val="79E33246"/>
    <w:rsid w:val="7BDB50BC"/>
    <w:rsid w:val="7C5E2AFB"/>
    <w:rsid w:val="7C8810B1"/>
    <w:rsid w:val="7D68469A"/>
    <w:rsid w:val="7F1426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6"/>
    <w:qFormat/>
    <w:uiPriority w:val="0"/>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7"/>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8"/>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9"/>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60"/>
    <w:unhideWhenUsed/>
    <w:qFormat/>
    <w:uiPriority w:val="9"/>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61"/>
    <w:unhideWhenUsed/>
    <w:qFormat/>
    <w:uiPriority w:val="9"/>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62"/>
    <w:unhideWhenUsed/>
    <w:qFormat/>
    <w:uiPriority w:val="9"/>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63"/>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64"/>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0"/>
    <w:unhideWhenUsed/>
    <w:qFormat/>
    <w:uiPriority w:val="0"/>
    <w:pPr>
      <w:spacing w:after="120"/>
    </w:pPr>
  </w:style>
  <w:style w:type="paragraph" w:styleId="12">
    <w:name w:val="toc 7"/>
    <w:basedOn w:val="1"/>
    <w:next w:val="1"/>
    <w:unhideWhenUsed/>
    <w:qFormat/>
    <w:uiPriority w:val="0"/>
    <w:pPr>
      <w:ind w:left="2520" w:leftChars="1200"/>
    </w:pPr>
    <w:rPr>
      <w:rFonts w:ascii="Times New Roman" w:hAnsi="Times New Roman"/>
      <w:szCs w:val="24"/>
    </w:rPr>
  </w:style>
  <w:style w:type="paragraph" w:styleId="13">
    <w:name w:val="Normal Indent"/>
    <w:basedOn w:val="1"/>
    <w:link w:val="65"/>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80"/>
    <w:unhideWhenUsed/>
    <w:qFormat/>
    <w:uiPriority w:val="0"/>
    <w:pPr>
      <w:shd w:val="clear" w:color="auto" w:fill="000080"/>
    </w:pPr>
    <w:rPr>
      <w:rFonts w:ascii="Times New Roman" w:hAnsi="Times New Roman"/>
      <w:kern w:val="0"/>
      <w:sz w:val="18"/>
      <w:szCs w:val="18"/>
    </w:rPr>
  </w:style>
  <w:style w:type="paragraph" w:styleId="16">
    <w:name w:val="annotation text"/>
    <w:basedOn w:val="1"/>
    <w:link w:val="67"/>
    <w:unhideWhenUsed/>
    <w:qFormat/>
    <w:uiPriority w:val="99"/>
    <w:pPr>
      <w:jc w:val="left"/>
    </w:pPr>
    <w:rPr>
      <w:rFonts w:ascii="Times New Roman" w:hAnsi="Times New Roman"/>
      <w:kern w:val="0"/>
      <w:sz w:val="18"/>
      <w:szCs w:val="18"/>
    </w:rPr>
  </w:style>
  <w:style w:type="paragraph" w:styleId="17">
    <w:name w:val="Body Text 3"/>
    <w:basedOn w:val="1"/>
    <w:link w:val="77"/>
    <w:unhideWhenUsed/>
    <w:qFormat/>
    <w:uiPriority w:val="0"/>
    <w:pPr>
      <w:jc w:val="center"/>
    </w:pPr>
    <w:rPr>
      <w:rFonts w:ascii="Times New Roman" w:hAnsi="Times New Roman" w:eastAsia="黑体"/>
      <w:sz w:val="44"/>
      <w:szCs w:val="24"/>
    </w:rPr>
  </w:style>
  <w:style w:type="paragraph" w:styleId="18">
    <w:name w:val="Body Text Indent"/>
    <w:basedOn w:val="1"/>
    <w:link w:val="72"/>
    <w:unhideWhenUsed/>
    <w:qFormat/>
    <w:uiPriority w:val="0"/>
    <w:pPr>
      <w:spacing w:after="120"/>
      <w:ind w:left="420" w:leftChars="200"/>
    </w:pPr>
    <w:rPr>
      <w:rFonts w:ascii="Times New Roman" w:hAnsi="Times New Roman"/>
      <w:kern w:val="0"/>
      <w:sz w:val="20"/>
      <w:szCs w:val="24"/>
    </w:rPr>
  </w:style>
  <w:style w:type="paragraph" w:styleId="19">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unhideWhenUsed/>
    <w:qFormat/>
    <w:uiPriority w:val="0"/>
    <w:pPr>
      <w:ind w:left="1680" w:leftChars="800"/>
    </w:pPr>
    <w:rPr>
      <w:rFonts w:ascii="Times New Roman" w:hAnsi="Times New Roman"/>
      <w:sz w:val="18"/>
      <w:szCs w:val="18"/>
    </w:rPr>
  </w:style>
  <w:style w:type="paragraph" w:styleId="21">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81"/>
    <w:unhideWhenUsed/>
    <w:qFormat/>
    <w:uiPriority w:val="0"/>
    <w:rPr>
      <w:rFonts w:ascii="宋体" w:hAnsi="Courier New"/>
      <w:kern w:val="0"/>
      <w:sz w:val="20"/>
      <w:szCs w:val="18"/>
    </w:rPr>
  </w:style>
  <w:style w:type="paragraph" w:styleId="23">
    <w:name w:val="toc 8"/>
    <w:basedOn w:val="1"/>
    <w:next w:val="1"/>
    <w:unhideWhenUsed/>
    <w:qFormat/>
    <w:uiPriority w:val="0"/>
    <w:pPr>
      <w:ind w:left="2940" w:leftChars="1400"/>
    </w:pPr>
    <w:rPr>
      <w:rFonts w:ascii="Times New Roman" w:hAnsi="Times New Roman"/>
      <w:szCs w:val="24"/>
    </w:rPr>
  </w:style>
  <w:style w:type="paragraph" w:styleId="24">
    <w:name w:val="Date"/>
    <w:basedOn w:val="1"/>
    <w:next w:val="1"/>
    <w:link w:val="74"/>
    <w:unhideWhenUsed/>
    <w:qFormat/>
    <w:uiPriority w:val="0"/>
    <w:pPr>
      <w:ind w:left="100" w:leftChars="2500"/>
    </w:pPr>
    <w:rPr>
      <w:rFonts w:ascii="Times New Roman" w:hAnsi="Times New Roman"/>
      <w:kern w:val="0"/>
      <w:sz w:val="24"/>
      <w:szCs w:val="24"/>
    </w:rPr>
  </w:style>
  <w:style w:type="paragraph" w:styleId="25">
    <w:name w:val="Body Text Indent 2"/>
    <w:basedOn w:val="1"/>
    <w:link w:val="78"/>
    <w:unhideWhenUsed/>
    <w:qFormat/>
    <w:uiPriority w:val="0"/>
    <w:pPr>
      <w:spacing w:after="120" w:line="480" w:lineRule="auto"/>
      <w:ind w:left="420" w:leftChars="200"/>
    </w:pPr>
  </w:style>
  <w:style w:type="paragraph" w:styleId="26">
    <w:name w:val="Balloon Text"/>
    <w:basedOn w:val="1"/>
    <w:link w:val="84"/>
    <w:unhideWhenUsed/>
    <w:qFormat/>
    <w:uiPriority w:val="0"/>
    <w:rPr>
      <w:rFonts w:ascii="Times New Roman" w:hAnsi="Times New Roman"/>
      <w:kern w:val="0"/>
      <w:sz w:val="18"/>
      <w:szCs w:val="18"/>
    </w:rPr>
  </w:style>
  <w:style w:type="paragraph" w:styleId="27">
    <w:name w:val="footer"/>
    <w:basedOn w:val="1"/>
    <w:link w:val="69"/>
    <w:unhideWhenUsed/>
    <w:qFormat/>
    <w:uiPriority w:val="99"/>
    <w:pPr>
      <w:tabs>
        <w:tab w:val="center" w:pos="4153"/>
        <w:tab w:val="right" w:pos="8306"/>
      </w:tabs>
      <w:snapToGrid w:val="0"/>
      <w:jc w:val="left"/>
    </w:pPr>
    <w:rPr>
      <w:kern w:val="0"/>
      <w:sz w:val="18"/>
      <w:szCs w:val="18"/>
    </w:rPr>
  </w:style>
  <w:style w:type="paragraph" w:styleId="28">
    <w:name w:val="header"/>
    <w:basedOn w:val="1"/>
    <w:link w:val="68"/>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unhideWhenUsed/>
    <w:qFormat/>
    <w:uiPriority w:val="0"/>
    <w:pPr>
      <w:ind w:left="1260" w:leftChars="600"/>
    </w:pPr>
    <w:rPr>
      <w:rFonts w:ascii="Times New Roman" w:hAnsi="Times New Roman"/>
      <w:sz w:val="18"/>
      <w:szCs w:val="18"/>
    </w:rPr>
  </w:style>
  <w:style w:type="paragraph" w:styleId="31">
    <w:name w:val="Subtitle"/>
    <w:basedOn w:val="1"/>
    <w:next w:val="1"/>
    <w:link w:val="73"/>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6"/>
    <w:unhideWhenUsed/>
    <w:qFormat/>
    <w:uiPriority w:val="0"/>
    <w:pPr>
      <w:snapToGrid w:val="0"/>
      <w:jc w:val="left"/>
    </w:pPr>
    <w:rPr>
      <w:sz w:val="18"/>
      <w:szCs w:val="18"/>
    </w:rPr>
  </w:style>
  <w:style w:type="paragraph" w:styleId="33">
    <w:name w:val="toc 6"/>
    <w:basedOn w:val="1"/>
    <w:next w:val="1"/>
    <w:unhideWhenUsed/>
    <w:qFormat/>
    <w:uiPriority w:val="0"/>
    <w:pPr>
      <w:ind w:left="2100" w:leftChars="1000"/>
    </w:pPr>
    <w:rPr>
      <w:rFonts w:ascii="Times New Roman" w:hAnsi="Times New Roman"/>
      <w:szCs w:val="24"/>
    </w:rPr>
  </w:style>
  <w:style w:type="paragraph" w:styleId="34">
    <w:name w:val="Body Text Indent 3"/>
    <w:basedOn w:val="1"/>
    <w:link w:val="79"/>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unhideWhenUsed/>
    <w:qFormat/>
    <w:uiPriority w:val="0"/>
    <w:pPr>
      <w:ind w:left="3360" w:leftChars="1600"/>
    </w:pPr>
    <w:rPr>
      <w:rFonts w:ascii="Times New Roman" w:hAnsi="Times New Roman"/>
      <w:szCs w:val="24"/>
    </w:rPr>
  </w:style>
  <w:style w:type="paragraph" w:styleId="37">
    <w:name w:val="Body Text 2"/>
    <w:basedOn w:val="1"/>
    <w:link w:val="76"/>
    <w:unhideWhenUsed/>
    <w:qFormat/>
    <w:uiPriority w:val="0"/>
    <w:pPr>
      <w:spacing w:after="120" w:line="480" w:lineRule="auto"/>
    </w:pPr>
    <w:rPr>
      <w:rFonts w:ascii="Times New Roman" w:hAnsi="Times New Roman"/>
      <w:kern w:val="0"/>
      <w:sz w:val="18"/>
      <w:szCs w:val="18"/>
    </w:rPr>
  </w:style>
  <w:style w:type="paragraph" w:styleId="38">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39">
    <w:name w:val="annotation subject"/>
    <w:basedOn w:val="16"/>
    <w:next w:val="16"/>
    <w:link w:val="83"/>
    <w:unhideWhenUsed/>
    <w:qFormat/>
    <w:uiPriority w:val="0"/>
    <w:rPr>
      <w:rFonts w:ascii="Calibri" w:hAnsi="Calibri"/>
      <w:b/>
      <w:bCs/>
      <w:kern w:val="2"/>
      <w:sz w:val="21"/>
      <w:szCs w:val="22"/>
    </w:rPr>
  </w:style>
  <w:style w:type="paragraph" w:styleId="40">
    <w:name w:val="Body Text First Indent"/>
    <w:basedOn w:val="2"/>
    <w:link w:val="75"/>
    <w:unhideWhenUsed/>
    <w:qFormat/>
    <w:uiPriority w:val="0"/>
    <w:pPr>
      <w:ind w:firstLine="420" w:firstLineChars="100"/>
    </w:pPr>
    <w:rPr>
      <w:rFonts w:ascii="Times New Roman" w:hAnsi="Times New Roman"/>
      <w:kern w:val="0"/>
      <w:sz w:val="18"/>
      <w:szCs w:val="18"/>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basedOn w:val="43"/>
    <w:unhideWhenUsed/>
    <w:qFormat/>
    <w:uiPriority w:val="99"/>
    <w:rPr>
      <w:color w:val="954F72" w:themeColor="followedHyperlink"/>
      <w:u w:val="single"/>
      <w14:textFill>
        <w14:solidFill>
          <w14:schemeClr w14:val="folHlink"/>
        </w14:solidFill>
      </w14:textFill>
    </w:rPr>
  </w:style>
  <w:style w:type="character" w:styleId="47">
    <w:name w:val="HTML Definition"/>
    <w:basedOn w:val="43"/>
    <w:semiHidden/>
    <w:unhideWhenUsed/>
    <w:qFormat/>
    <w:uiPriority w:val="99"/>
  </w:style>
  <w:style w:type="character" w:styleId="48">
    <w:name w:val="HTML Variable"/>
    <w:basedOn w:val="43"/>
    <w:semiHidden/>
    <w:unhideWhenUsed/>
    <w:qFormat/>
    <w:uiPriority w:val="99"/>
    <w:rPr>
      <w:color w:val="FFFFFF"/>
      <w:sz w:val="21"/>
      <w:szCs w:val="21"/>
      <w:shd w:val="clear" w:fill="2461B1"/>
    </w:rPr>
  </w:style>
  <w:style w:type="character" w:styleId="49">
    <w:name w:val="Hyperlink"/>
    <w:unhideWhenUsed/>
    <w:qFormat/>
    <w:uiPriority w:val="99"/>
    <w:rPr>
      <w:color w:val="0000FF"/>
      <w:u w:val="single"/>
    </w:rPr>
  </w:style>
  <w:style w:type="character" w:styleId="50">
    <w:name w:val="HTML Code"/>
    <w:basedOn w:val="43"/>
    <w:semiHidden/>
    <w:unhideWhenUsed/>
    <w:qFormat/>
    <w:uiPriority w:val="99"/>
    <w:rPr>
      <w:rFonts w:ascii="Courier New" w:hAnsi="Courier New"/>
      <w:sz w:val="20"/>
    </w:rPr>
  </w:style>
  <w:style w:type="character" w:styleId="51">
    <w:name w:val="annotation reference"/>
    <w:unhideWhenUsed/>
    <w:qFormat/>
    <w:uiPriority w:val="0"/>
    <w:rPr>
      <w:sz w:val="21"/>
      <w:szCs w:val="21"/>
    </w:rPr>
  </w:style>
  <w:style w:type="character" w:styleId="52">
    <w:name w:val="HTML Cite"/>
    <w:basedOn w:val="43"/>
    <w:semiHidden/>
    <w:unhideWhenUsed/>
    <w:qFormat/>
    <w:uiPriority w:val="99"/>
  </w:style>
  <w:style w:type="character" w:styleId="53">
    <w:name w:val="footnote reference"/>
    <w:unhideWhenUsed/>
    <w:qFormat/>
    <w:uiPriority w:val="0"/>
    <w:rPr>
      <w:vertAlign w:val="superscript"/>
    </w:rPr>
  </w:style>
  <w:style w:type="paragraph" w:customStyle="1" w:styleId="54">
    <w:name w:val="标题 5（有编号）（绿盟科技）"/>
    <w:basedOn w:val="1"/>
    <w:next w:val="55"/>
    <w:qFormat/>
    <w:uiPriority w:val="0"/>
    <w:pPr>
      <w:keepNext/>
      <w:keepLines/>
      <w:numPr>
        <w:ilvl w:val="4"/>
        <w:numId w:val="3"/>
      </w:numPr>
      <w:tabs>
        <w:tab w:val="left" w:pos="0"/>
      </w:tabs>
      <w:spacing w:before="280" w:after="156" w:line="377" w:lineRule="auto"/>
      <w:outlineLvl w:val="4"/>
    </w:pPr>
    <w:rPr>
      <w:rFonts w:ascii="Arial" w:hAnsi="Arial" w:eastAsia="黑体"/>
      <w:b/>
      <w:kern w:val="0"/>
      <w:szCs w:val="28"/>
    </w:rPr>
  </w:style>
  <w:style w:type="paragraph" w:customStyle="1" w:styleId="55">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56">
    <w:name w:val="标题 1 Char"/>
    <w:basedOn w:val="43"/>
    <w:link w:val="3"/>
    <w:qFormat/>
    <w:uiPriority w:val="0"/>
    <w:rPr>
      <w:rFonts w:ascii="宋体" w:hAnsi="宋体" w:eastAsia="宋体" w:cs="宋体"/>
      <w:b/>
      <w:bCs/>
      <w:spacing w:val="-20"/>
      <w:kern w:val="44"/>
      <w:sz w:val="32"/>
      <w:szCs w:val="32"/>
    </w:rPr>
  </w:style>
  <w:style w:type="character" w:customStyle="1" w:styleId="57">
    <w:name w:val="标题 2 Char"/>
    <w:basedOn w:val="43"/>
    <w:link w:val="4"/>
    <w:qFormat/>
    <w:uiPriority w:val="0"/>
    <w:rPr>
      <w:rFonts w:ascii="宋体" w:hAnsi="宋体" w:eastAsia="宋体" w:cs="宋体"/>
      <w:b/>
      <w:bCs/>
      <w:kern w:val="2"/>
      <w:sz w:val="28"/>
      <w:szCs w:val="28"/>
    </w:rPr>
  </w:style>
  <w:style w:type="character" w:customStyle="1" w:styleId="58">
    <w:name w:val="标题 3 Char"/>
    <w:basedOn w:val="43"/>
    <w:link w:val="5"/>
    <w:qFormat/>
    <w:uiPriority w:val="0"/>
    <w:rPr>
      <w:rFonts w:ascii="宋体" w:hAnsi="宋体" w:eastAsia="宋体" w:cs="宋体"/>
      <w:b/>
      <w:bCs/>
      <w:color w:val="000000"/>
      <w:sz w:val="28"/>
      <w:szCs w:val="28"/>
    </w:rPr>
  </w:style>
  <w:style w:type="character" w:customStyle="1" w:styleId="59">
    <w:name w:val="标题 4 Char"/>
    <w:basedOn w:val="43"/>
    <w:link w:val="6"/>
    <w:qFormat/>
    <w:uiPriority w:val="9"/>
    <w:rPr>
      <w:rFonts w:ascii="Arial" w:hAnsi="Arial" w:eastAsia="宋体" w:cs="Times New Roman"/>
      <w:b/>
      <w:bCs/>
      <w:sz w:val="28"/>
      <w:szCs w:val="28"/>
    </w:rPr>
  </w:style>
  <w:style w:type="character" w:customStyle="1" w:styleId="60">
    <w:name w:val="标题 5 Char"/>
    <w:basedOn w:val="43"/>
    <w:link w:val="7"/>
    <w:qFormat/>
    <w:uiPriority w:val="9"/>
    <w:rPr>
      <w:rFonts w:ascii="Calibri" w:hAnsi="Calibri" w:eastAsia="宋体" w:cs="宋体"/>
      <w:b/>
      <w:bCs/>
      <w:sz w:val="28"/>
      <w:szCs w:val="28"/>
    </w:rPr>
  </w:style>
  <w:style w:type="character" w:customStyle="1" w:styleId="61">
    <w:name w:val="标题 6 Char"/>
    <w:basedOn w:val="43"/>
    <w:link w:val="8"/>
    <w:qFormat/>
    <w:uiPriority w:val="9"/>
    <w:rPr>
      <w:rFonts w:ascii="Arial" w:hAnsi="Arial" w:eastAsia="宋体" w:cs="Times New Roman"/>
      <w:b/>
      <w:bCs/>
      <w:sz w:val="28"/>
      <w:szCs w:val="18"/>
    </w:rPr>
  </w:style>
  <w:style w:type="character" w:customStyle="1" w:styleId="62">
    <w:name w:val="标题 7 Char"/>
    <w:basedOn w:val="43"/>
    <w:link w:val="9"/>
    <w:qFormat/>
    <w:uiPriority w:val="9"/>
    <w:rPr>
      <w:rFonts w:ascii="Arial Narrow" w:hAnsi="Arial Narrow" w:eastAsia="宋体" w:cs="Times New Roman"/>
      <w:b/>
      <w:bCs/>
      <w:iCs/>
      <w:kern w:val="0"/>
      <w:sz w:val="20"/>
      <w:szCs w:val="24"/>
      <w:lang w:eastAsia="en-US"/>
    </w:rPr>
  </w:style>
  <w:style w:type="character" w:customStyle="1" w:styleId="63">
    <w:name w:val="标题 8 Char"/>
    <w:basedOn w:val="43"/>
    <w:link w:val="10"/>
    <w:qFormat/>
    <w:uiPriority w:val="0"/>
    <w:rPr>
      <w:rFonts w:ascii="Arial" w:hAnsi="Arial" w:eastAsia="黑体" w:cs="Times New Roman"/>
      <w:kern w:val="0"/>
      <w:sz w:val="24"/>
      <w:szCs w:val="24"/>
    </w:rPr>
  </w:style>
  <w:style w:type="character" w:customStyle="1" w:styleId="64">
    <w:name w:val="标题 9 Char"/>
    <w:basedOn w:val="43"/>
    <w:link w:val="11"/>
    <w:qFormat/>
    <w:uiPriority w:val="0"/>
    <w:rPr>
      <w:rFonts w:ascii="Arial" w:hAnsi="Arial" w:eastAsia="黑体" w:cs="Times New Roman"/>
      <w:kern w:val="0"/>
      <w:sz w:val="20"/>
      <w:szCs w:val="21"/>
    </w:rPr>
  </w:style>
  <w:style w:type="character" w:customStyle="1" w:styleId="65">
    <w:name w:val="正文缩进 Char1"/>
    <w:link w:val="13"/>
    <w:qFormat/>
    <w:locked/>
    <w:uiPriority w:val="0"/>
  </w:style>
  <w:style w:type="character" w:customStyle="1" w:styleId="66">
    <w:name w:val="脚注文本 Char"/>
    <w:basedOn w:val="43"/>
    <w:link w:val="32"/>
    <w:qFormat/>
    <w:uiPriority w:val="0"/>
    <w:rPr>
      <w:rFonts w:ascii="Calibri" w:hAnsi="Calibri" w:eastAsia="宋体" w:cs="Times New Roman"/>
      <w:sz w:val="18"/>
      <w:szCs w:val="18"/>
    </w:rPr>
  </w:style>
  <w:style w:type="character" w:customStyle="1" w:styleId="67">
    <w:name w:val="批注文字 Char"/>
    <w:basedOn w:val="43"/>
    <w:link w:val="16"/>
    <w:qFormat/>
    <w:uiPriority w:val="99"/>
    <w:rPr>
      <w:rFonts w:ascii="Times New Roman" w:hAnsi="Times New Roman" w:eastAsia="宋体" w:cs="Times New Roman"/>
      <w:kern w:val="0"/>
      <w:sz w:val="18"/>
      <w:szCs w:val="18"/>
    </w:rPr>
  </w:style>
  <w:style w:type="character" w:customStyle="1" w:styleId="68">
    <w:name w:val="页眉 Char"/>
    <w:basedOn w:val="43"/>
    <w:link w:val="28"/>
    <w:qFormat/>
    <w:uiPriority w:val="0"/>
    <w:rPr>
      <w:rFonts w:ascii="Calibri" w:hAnsi="Calibri" w:eastAsia="宋体" w:cs="Times New Roman"/>
      <w:kern w:val="0"/>
      <w:sz w:val="18"/>
      <w:szCs w:val="18"/>
    </w:rPr>
  </w:style>
  <w:style w:type="character" w:customStyle="1" w:styleId="69">
    <w:name w:val="页脚 Char"/>
    <w:basedOn w:val="43"/>
    <w:link w:val="27"/>
    <w:qFormat/>
    <w:uiPriority w:val="99"/>
    <w:rPr>
      <w:rFonts w:ascii="Calibri" w:hAnsi="Calibri" w:eastAsia="宋体" w:cs="Times New Roman"/>
      <w:kern w:val="0"/>
      <w:sz w:val="18"/>
      <w:szCs w:val="18"/>
    </w:rPr>
  </w:style>
  <w:style w:type="character" w:customStyle="1" w:styleId="70">
    <w:name w:val="正文文本 Char2"/>
    <w:basedOn w:val="43"/>
    <w:link w:val="2"/>
    <w:qFormat/>
    <w:uiPriority w:val="0"/>
    <w:rPr>
      <w:rFonts w:ascii="Calibri" w:hAnsi="Calibri" w:eastAsia="宋体" w:cs="Times New Roman"/>
    </w:rPr>
  </w:style>
  <w:style w:type="character" w:customStyle="1" w:styleId="71">
    <w:name w:val="正文文本 Char"/>
    <w:basedOn w:val="43"/>
    <w:qFormat/>
    <w:uiPriority w:val="0"/>
    <w:rPr>
      <w:rFonts w:ascii="Times New Roman" w:hAnsi="Times New Roman" w:cs="Times New Roman"/>
      <w:kern w:val="0"/>
      <w:sz w:val="24"/>
      <w:szCs w:val="24"/>
    </w:rPr>
  </w:style>
  <w:style w:type="character" w:customStyle="1" w:styleId="72">
    <w:name w:val="正文文本缩进 Char"/>
    <w:basedOn w:val="43"/>
    <w:link w:val="18"/>
    <w:qFormat/>
    <w:uiPriority w:val="0"/>
    <w:rPr>
      <w:rFonts w:ascii="Times New Roman" w:hAnsi="Times New Roman" w:eastAsia="宋体" w:cs="Times New Roman"/>
      <w:kern w:val="0"/>
      <w:sz w:val="20"/>
      <w:szCs w:val="24"/>
    </w:rPr>
  </w:style>
  <w:style w:type="character" w:customStyle="1" w:styleId="73">
    <w:name w:val="副标题 Char"/>
    <w:basedOn w:val="43"/>
    <w:link w:val="31"/>
    <w:qFormat/>
    <w:uiPriority w:val="0"/>
    <w:rPr>
      <w:rFonts w:ascii="Cambria" w:hAnsi="Cambria" w:eastAsia="宋体" w:cs="Times New Roman"/>
      <w:b/>
      <w:bCs/>
      <w:kern w:val="28"/>
      <w:sz w:val="32"/>
      <w:szCs w:val="32"/>
    </w:rPr>
  </w:style>
  <w:style w:type="character" w:customStyle="1" w:styleId="74">
    <w:name w:val="日期 Char"/>
    <w:basedOn w:val="43"/>
    <w:link w:val="24"/>
    <w:qFormat/>
    <w:uiPriority w:val="0"/>
    <w:rPr>
      <w:rFonts w:ascii="Times New Roman" w:hAnsi="Times New Roman" w:eastAsia="宋体" w:cs="Times New Roman"/>
      <w:kern w:val="0"/>
      <w:sz w:val="24"/>
      <w:szCs w:val="24"/>
    </w:rPr>
  </w:style>
  <w:style w:type="character" w:customStyle="1" w:styleId="75">
    <w:name w:val="正文首行缩进 Char"/>
    <w:basedOn w:val="70"/>
    <w:link w:val="40"/>
    <w:qFormat/>
    <w:uiPriority w:val="0"/>
    <w:rPr>
      <w:rFonts w:ascii="Times New Roman" w:hAnsi="Times New Roman" w:eastAsia="宋体" w:cs="Times New Roman"/>
      <w:kern w:val="0"/>
      <w:sz w:val="18"/>
      <w:szCs w:val="18"/>
    </w:rPr>
  </w:style>
  <w:style w:type="character" w:customStyle="1" w:styleId="76">
    <w:name w:val="正文文本 2 Char"/>
    <w:basedOn w:val="43"/>
    <w:link w:val="37"/>
    <w:qFormat/>
    <w:uiPriority w:val="0"/>
    <w:rPr>
      <w:rFonts w:ascii="Times New Roman" w:hAnsi="Times New Roman" w:eastAsia="宋体" w:cs="Times New Roman"/>
      <w:kern w:val="0"/>
      <w:sz w:val="18"/>
      <w:szCs w:val="18"/>
    </w:rPr>
  </w:style>
  <w:style w:type="character" w:customStyle="1" w:styleId="77">
    <w:name w:val="正文文本 3 Char"/>
    <w:basedOn w:val="43"/>
    <w:link w:val="17"/>
    <w:qFormat/>
    <w:uiPriority w:val="0"/>
    <w:rPr>
      <w:rFonts w:ascii="Times New Roman" w:hAnsi="Times New Roman" w:eastAsia="黑体" w:cs="Times New Roman"/>
      <w:sz w:val="44"/>
      <w:szCs w:val="24"/>
    </w:rPr>
  </w:style>
  <w:style w:type="character" w:customStyle="1" w:styleId="78">
    <w:name w:val="正文文本缩进 2 Char"/>
    <w:basedOn w:val="43"/>
    <w:link w:val="25"/>
    <w:qFormat/>
    <w:uiPriority w:val="0"/>
    <w:rPr>
      <w:rFonts w:ascii="Calibri" w:hAnsi="Calibri" w:eastAsia="宋体" w:cs="Times New Roman"/>
    </w:rPr>
  </w:style>
  <w:style w:type="character" w:customStyle="1" w:styleId="79">
    <w:name w:val="正文文本缩进 3 Char"/>
    <w:basedOn w:val="43"/>
    <w:link w:val="34"/>
    <w:qFormat/>
    <w:uiPriority w:val="0"/>
    <w:rPr>
      <w:rFonts w:ascii="宋体" w:hAnsi="宋体" w:eastAsia="宋体" w:cs="Times New Roman"/>
      <w:kern w:val="0"/>
      <w:sz w:val="28"/>
      <w:szCs w:val="28"/>
    </w:rPr>
  </w:style>
  <w:style w:type="character" w:customStyle="1" w:styleId="80">
    <w:name w:val="文档结构图 Char"/>
    <w:basedOn w:val="43"/>
    <w:link w:val="15"/>
    <w:qFormat/>
    <w:uiPriority w:val="0"/>
    <w:rPr>
      <w:rFonts w:ascii="Times New Roman" w:hAnsi="Times New Roman" w:eastAsia="宋体" w:cs="Times New Roman"/>
      <w:kern w:val="0"/>
      <w:sz w:val="18"/>
      <w:szCs w:val="18"/>
      <w:shd w:val="clear" w:color="auto" w:fill="000080"/>
    </w:rPr>
  </w:style>
  <w:style w:type="character" w:customStyle="1" w:styleId="81">
    <w:name w:val="纯文本 Char1"/>
    <w:basedOn w:val="43"/>
    <w:link w:val="22"/>
    <w:qFormat/>
    <w:uiPriority w:val="0"/>
    <w:rPr>
      <w:rFonts w:ascii="宋体" w:hAnsi="Courier New" w:eastAsia="宋体" w:cs="Times New Roman"/>
      <w:kern w:val="0"/>
      <w:sz w:val="20"/>
      <w:szCs w:val="18"/>
    </w:rPr>
  </w:style>
  <w:style w:type="character" w:customStyle="1" w:styleId="82">
    <w:name w:val="纯文本 Char"/>
    <w:basedOn w:val="43"/>
    <w:qFormat/>
    <w:uiPriority w:val="0"/>
    <w:rPr>
      <w:rFonts w:ascii="宋体" w:hAnsi="Courier New" w:eastAsia="宋体" w:cs="Courier New"/>
      <w:kern w:val="0"/>
      <w:szCs w:val="21"/>
    </w:rPr>
  </w:style>
  <w:style w:type="character" w:customStyle="1" w:styleId="83">
    <w:name w:val="批注主题 Char"/>
    <w:basedOn w:val="67"/>
    <w:link w:val="39"/>
    <w:qFormat/>
    <w:uiPriority w:val="0"/>
    <w:rPr>
      <w:rFonts w:ascii="Calibri" w:hAnsi="Calibri" w:eastAsia="宋体" w:cs="Times New Roman"/>
      <w:b/>
      <w:bCs/>
      <w:kern w:val="0"/>
      <w:sz w:val="18"/>
      <w:szCs w:val="18"/>
    </w:rPr>
  </w:style>
  <w:style w:type="character" w:customStyle="1" w:styleId="84">
    <w:name w:val="批注框文本 Char"/>
    <w:basedOn w:val="43"/>
    <w:link w:val="26"/>
    <w:qFormat/>
    <w:uiPriority w:val="0"/>
    <w:rPr>
      <w:rFonts w:ascii="Times New Roman" w:hAnsi="Times New Roman" w:eastAsia="宋体" w:cs="Times New Roman"/>
      <w:kern w:val="0"/>
      <w:sz w:val="18"/>
      <w:szCs w:val="18"/>
    </w:rPr>
  </w:style>
  <w:style w:type="paragraph" w:customStyle="1" w:styleId="85">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6">
    <w:name w:val="列出段落 字符"/>
    <w:link w:val="87"/>
    <w:qFormat/>
    <w:locked/>
    <w:uiPriority w:val="1"/>
    <w:rPr>
      <w:rFonts w:ascii="Calibri" w:hAnsi="Calibri"/>
    </w:rPr>
  </w:style>
  <w:style w:type="paragraph" w:customStyle="1" w:styleId="87">
    <w:name w:val="列出段落1"/>
    <w:basedOn w:val="1"/>
    <w:link w:val="86"/>
    <w:qFormat/>
    <w:uiPriority w:val="99"/>
    <w:pPr>
      <w:ind w:firstLine="420" w:firstLineChars="200"/>
    </w:pPr>
    <w:rPr>
      <w:rFonts w:eastAsiaTheme="minorEastAsia" w:cstheme="minorBidi"/>
    </w:rPr>
  </w:style>
  <w:style w:type="character" w:customStyle="1" w:styleId="88">
    <w:name w:val="彩色列表 - 强调文字颜色 1 Char"/>
    <w:link w:val="89"/>
    <w:qFormat/>
    <w:locked/>
    <w:uiPriority w:val="0"/>
    <w:rPr>
      <w:rFonts w:ascii="Calibri" w:hAnsi="Calibri"/>
    </w:rPr>
  </w:style>
  <w:style w:type="paragraph" w:customStyle="1" w:styleId="89">
    <w:name w:val="彩色列表 - 强调文字颜色 11"/>
    <w:basedOn w:val="1"/>
    <w:link w:val="88"/>
    <w:qFormat/>
    <w:uiPriority w:val="0"/>
    <w:pPr>
      <w:ind w:firstLine="420" w:firstLineChars="200"/>
    </w:pPr>
    <w:rPr>
      <w:rFonts w:eastAsiaTheme="minorEastAsia" w:cstheme="minorBidi"/>
    </w:rPr>
  </w:style>
  <w:style w:type="paragraph" w:customStyle="1" w:styleId="90">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91">
    <w:name w:val="MM Title"/>
    <w:basedOn w:val="1"/>
    <w:qFormat/>
    <w:uiPriority w:val="0"/>
    <w:pPr>
      <w:spacing w:before="240" w:after="60"/>
      <w:jc w:val="center"/>
      <w:outlineLvl w:val="0"/>
    </w:pPr>
    <w:rPr>
      <w:rFonts w:ascii="Arial" w:hAnsi="Arial" w:cs="Arial"/>
      <w:b/>
      <w:bCs/>
      <w:sz w:val="32"/>
      <w:szCs w:val="32"/>
    </w:rPr>
  </w:style>
  <w:style w:type="paragraph" w:customStyle="1" w:styleId="92">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93">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94">
    <w:name w:val="gb_master正文"/>
    <w:basedOn w:val="1"/>
    <w:qFormat/>
    <w:uiPriority w:val="0"/>
    <w:pPr>
      <w:ind w:firstLine="200" w:firstLineChars="200"/>
    </w:pPr>
    <w:rPr>
      <w:rFonts w:ascii="Times New Roman" w:hAnsi="Times New Roman"/>
      <w:szCs w:val="24"/>
    </w:rPr>
  </w:style>
  <w:style w:type="paragraph" w:customStyle="1" w:styleId="95">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6">
    <w:name w:val="无间隔1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7">
    <w:name w:val="Char2 Char Char Char"/>
    <w:basedOn w:val="1"/>
    <w:qFormat/>
    <w:uiPriority w:val="0"/>
    <w:rPr>
      <w:rFonts w:ascii="仿宋_GB2312" w:hAnsi="Times New Roman"/>
      <w:b/>
      <w:sz w:val="30"/>
      <w:szCs w:val="32"/>
    </w:rPr>
  </w:style>
  <w:style w:type="paragraph" w:customStyle="1" w:styleId="98">
    <w:name w:val="样式 样式 样式 标题 2 + 宋体 五号 非加粗 黑色 + 段前: 6 磅 段后: 0 磅 行距: 单倍行距 + 段前: 12..."/>
    <w:basedOn w:val="1"/>
    <w:qFormat/>
    <w:uiPriority w:val="0"/>
    <w:pPr>
      <w:keepNext/>
      <w:keepLines/>
      <w:numPr>
        <w:ilvl w:val="1"/>
        <w:numId w:val="4"/>
      </w:numPr>
      <w:adjustRightInd w:val="0"/>
      <w:spacing w:before="240"/>
      <w:jc w:val="left"/>
      <w:outlineLvl w:val="1"/>
    </w:pPr>
    <w:rPr>
      <w:rFonts w:ascii="宋体" w:hAnsi="宋体" w:cs="宋体"/>
      <w:color w:val="000000"/>
      <w:kern w:val="0"/>
      <w:szCs w:val="20"/>
    </w:rPr>
  </w:style>
  <w:style w:type="paragraph" w:customStyle="1" w:styleId="99">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100">
    <w:name w:val="默认段落字体 Para Char"/>
    <w:basedOn w:val="1"/>
    <w:qFormat/>
    <w:uiPriority w:val="0"/>
    <w:rPr>
      <w:rFonts w:ascii="Tahoma" w:hAnsi="Tahoma"/>
      <w:sz w:val="24"/>
      <w:szCs w:val="20"/>
    </w:rPr>
  </w:style>
  <w:style w:type="paragraph" w:customStyle="1" w:styleId="101">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2">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103">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104">
    <w:name w:val="表格文字"/>
    <w:basedOn w:val="1"/>
    <w:qFormat/>
    <w:uiPriority w:val="0"/>
    <w:pPr>
      <w:spacing w:beforeLines="25"/>
    </w:pPr>
    <w:rPr>
      <w:rFonts w:ascii="Times New (W1)" w:hAnsi="Times New (W1)"/>
      <w:spacing w:val="10"/>
      <w:szCs w:val="24"/>
    </w:rPr>
  </w:style>
  <w:style w:type="paragraph" w:customStyle="1" w:styleId="105">
    <w:name w:val="文章正文"/>
    <w:basedOn w:val="1"/>
    <w:qFormat/>
    <w:uiPriority w:val="0"/>
    <w:pPr>
      <w:spacing w:line="360" w:lineRule="auto"/>
      <w:ind w:firstLine="420"/>
    </w:pPr>
    <w:rPr>
      <w:rFonts w:ascii="Times New Roman" w:hAnsi="Times New Roman"/>
      <w:sz w:val="24"/>
      <w:szCs w:val="24"/>
    </w:rPr>
  </w:style>
  <w:style w:type="paragraph" w:customStyle="1" w:styleId="106">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7">
    <w:name w:val="默认段落字体 Para Char Char"/>
    <w:basedOn w:val="1"/>
    <w:qFormat/>
    <w:uiPriority w:val="0"/>
    <w:rPr>
      <w:rFonts w:ascii="Times New Roman" w:hAnsi="Times New Roman"/>
      <w:szCs w:val="24"/>
    </w:rPr>
  </w:style>
  <w:style w:type="paragraph" w:customStyle="1" w:styleId="108">
    <w:name w:val="MM Topic 6"/>
    <w:basedOn w:val="8"/>
    <w:qFormat/>
    <w:uiPriority w:val="0"/>
    <w:pPr>
      <w:tabs>
        <w:tab w:val="left" w:pos="3260"/>
        <w:tab w:val="clear" w:pos="1702"/>
      </w:tabs>
      <w:ind w:left="0" w:firstLine="0"/>
    </w:pPr>
    <w:rPr>
      <w:rFonts w:eastAsia="黑体"/>
    </w:rPr>
  </w:style>
  <w:style w:type="paragraph" w:customStyle="1" w:styleId="109">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10">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11">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12">
    <w:name w:val="标题 5 + 首行缩进:  2 字符"/>
    <w:basedOn w:val="7"/>
    <w:next w:val="18"/>
    <w:qFormat/>
    <w:uiPriority w:val="0"/>
    <w:pPr>
      <w:tabs>
        <w:tab w:val="left" w:pos="992"/>
        <w:tab w:val="clear" w:pos="1134"/>
      </w:tabs>
      <w:snapToGrid w:val="0"/>
      <w:spacing w:beforeLines="50" w:afterLines="50"/>
      <w:ind w:left="3570" w:firstLine="482" w:firstLineChars="200"/>
    </w:pPr>
    <w:rPr>
      <w:rFonts w:cs="Times New Roman"/>
      <w:color w:val="000000"/>
      <w:szCs w:val="20"/>
    </w:rPr>
  </w:style>
  <w:style w:type="paragraph" w:customStyle="1" w:styleId="113">
    <w:name w:val="Char2 Char Char Char Char Char Char"/>
    <w:basedOn w:val="1"/>
    <w:qFormat/>
    <w:uiPriority w:val="0"/>
    <w:rPr>
      <w:rFonts w:ascii="仿宋_GB2312" w:hAnsi="Times New Roman"/>
      <w:b/>
      <w:sz w:val="30"/>
      <w:szCs w:val="32"/>
    </w:rPr>
  </w:style>
  <w:style w:type="paragraph" w:customStyle="1" w:styleId="114">
    <w:name w:val="MM Topic 2"/>
    <w:basedOn w:val="4"/>
    <w:qFormat/>
    <w:uiPriority w:val="0"/>
    <w:pPr>
      <w:numPr>
        <w:ilvl w:val="0"/>
        <w:numId w:val="0"/>
      </w:numPr>
      <w:tabs>
        <w:tab w:val="left" w:pos="992"/>
      </w:tabs>
    </w:pPr>
    <w:rPr>
      <w:rFonts w:cs="Times New Roman"/>
    </w:rPr>
  </w:style>
  <w:style w:type="paragraph" w:customStyle="1" w:styleId="115">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6">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7">
    <w:name w:val="MM Topic 8"/>
    <w:basedOn w:val="10"/>
    <w:qFormat/>
    <w:uiPriority w:val="0"/>
    <w:pPr>
      <w:tabs>
        <w:tab w:val="left" w:pos="4394"/>
      </w:tabs>
    </w:pPr>
  </w:style>
  <w:style w:type="paragraph" w:customStyle="1" w:styleId="118">
    <w:name w:val="Char1 Char Char Char Char Char Char"/>
    <w:basedOn w:val="1"/>
    <w:qFormat/>
    <w:uiPriority w:val="0"/>
    <w:rPr>
      <w:rFonts w:ascii="Tahoma" w:hAnsi="Tahoma"/>
      <w:sz w:val="24"/>
      <w:szCs w:val="20"/>
    </w:rPr>
  </w:style>
  <w:style w:type="paragraph" w:customStyle="1" w:styleId="119">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20">
    <w:name w:val="样式 小四2"/>
    <w:basedOn w:val="1"/>
    <w:qFormat/>
    <w:uiPriority w:val="0"/>
    <w:rPr>
      <w:rFonts w:ascii="宋体" w:hAnsi="宋体"/>
      <w:sz w:val="24"/>
      <w:szCs w:val="24"/>
    </w:rPr>
  </w:style>
  <w:style w:type="paragraph" w:customStyle="1" w:styleId="12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22">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23">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24">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5">
    <w:name w:val="文章正文 Char Char1"/>
    <w:basedOn w:val="1"/>
    <w:qFormat/>
    <w:uiPriority w:val="0"/>
    <w:pPr>
      <w:spacing w:line="360" w:lineRule="auto"/>
      <w:ind w:firstLine="420"/>
    </w:pPr>
    <w:rPr>
      <w:rFonts w:ascii="Times New Roman" w:hAnsi="Times New Roman"/>
      <w:sz w:val="24"/>
      <w:szCs w:val="24"/>
    </w:rPr>
  </w:style>
  <w:style w:type="paragraph" w:customStyle="1" w:styleId="126">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7">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28">
    <w:name w:val="图"/>
    <w:basedOn w:val="1"/>
    <w:qFormat/>
    <w:uiPriority w:val="0"/>
    <w:pPr>
      <w:widowControl/>
      <w:adjustRightInd w:val="0"/>
      <w:snapToGrid w:val="0"/>
      <w:jc w:val="center"/>
    </w:pPr>
    <w:rPr>
      <w:rFonts w:ascii="宋体" w:hAnsi="宋体"/>
      <w:bCs/>
      <w:szCs w:val="24"/>
    </w:rPr>
  </w:style>
  <w:style w:type="paragraph" w:customStyle="1" w:styleId="129">
    <w:name w:val="Char1 Char Char Char Char Char Char1"/>
    <w:basedOn w:val="1"/>
    <w:qFormat/>
    <w:uiPriority w:val="0"/>
    <w:rPr>
      <w:rFonts w:ascii="Tahoma" w:hAnsi="Tahoma"/>
      <w:sz w:val="24"/>
      <w:szCs w:val="20"/>
    </w:rPr>
  </w:style>
  <w:style w:type="paragraph" w:customStyle="1" w:styleId="130">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31">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32">
    <w:name w:val="MM Topic 1"/>
    <w:basedOn w:val="3"/>
    <w:qFormat/>
    <w:uiPriority w:val="0"/>
    <w:pPr>
      <w:tabs>
        <w:tab w:val="left" w:pos="425"/>
      </w:tabs>
    </w:pPr>
    <w:rPr>
      <w:rFonts w:cs="Times New Roman"/>
      <w:sz w:val="44"/>
    </w:rPr>
  </w:style>
  <w:style w:type="paragraph" w:customStyle="1" w:styleId="133">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34">
    <w:name w:val="我的正文"/>
    <w:basedOn w:val="1"/>
    <w:qFormat/>
    <w:uiPriority w:val="0"/>
    <w:pPr>
      <w:spacing w:line="360" w:lineRule="auto"/>
      <w:ind w:firstLine="420" w:firstLineChars="200"/>
    </w:pPr>
    <w:rPr>
      <w:rFonts w:ascii="宋体" w:hAnsi="宋体"/>
      <w:szCs w:val="24"/>
    </w:rPr>
  </w:style>
  <w:style w:type="paragraph" w:customStyle="1" w:styleId="135">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6">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7">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8">
    <w:name w:val="论文正文"/>
    <w:basedOn w:val="1"/>
    <w:qFormat/>
    <w:uiPriority w:val="0"/>
    <w:pPr>
      <w:spacing w:line="360" w:lineRule="auto"/>
      <w:ind w:firstLine="700" w:firstLineChars="250"/>
    </w:pPr>
    <w:rPr>
      <w:rFonts w:ascii="宋体" w:hAnsi="宋体"/>
      <w:bCs/>
      <w:sz w:val="28"/>
      <w:szCs w:val="28"/>
    </w:rPr>
  </w:style>
  <w:style w:type="paragraph" w:customStyle="1" w:styleId="139">
    <w:name w:val="样式1"/>
    <w:basedOn w:val="1"/>
    <w:qFormat/>
    <w:uiPriority w:val="0"/>
    <w:rPr>
      <w:rFonts w:ascii="Times New Roman" w:hAnsi="Times New Roman" w:eastAsia="隶书"/>
      <w:i/>
      <w:dstrike/>
      <w:sz w:val="28"/>
      <w:szCs w:val="18"/>
    </w:rPr>
  </w:style>
  <w:style w:type="paragraph" w:customStyle="1" w:styleId="140">
    <w:name w:val="表格"/>
    <w:basedOn w:val="1"/>
    <w:qFormat/>
    <w:uiPriority w:val="0"/>
    <w:pPr>
      <w:spacing w:line="400" w:lineRule="exact"/>
    </w:pPr>
    <w:rPr>
      <w:rFonts w:ascii="Times New Roman" w:hAnsi="Times New Roman"/>
      <w:sz w:val="24"/>
      <w:szCs w:val="24"/>
    </w:rPr>
  </w:style>
  <w:style w:type="paragraph" w:customStyle="1" w:styleId="141">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42">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43">
    <w:name w:val="Char Char Char Char Char Char Char Char Char Char Char Char Char"/>
    <w:basedOn w:val="15"/>
    <w:qFormat/>
    <w:uiPriority w:val="0"/>
    <w:rPr>
      <w:rFonts w:ascii="Tahoma" w:hAnsi="Tahoma"/>
      <w:sz w:val="24"/>
      <w:szCs w:val="24"/>
    </w:rPr>
  </w:style>
  <w:style w:type="paragraph" w:customStyle="1" w:styleId="144">
    <w:name w:val="MM Topic 3"/>
    <w:basedOn w:val="5"/>
    <w:qFormat/>
    <w:uiPriority w:val="0"/>
    <w:pPr>
      <w:numPr>
        <w:ilvl w:val="0"/>
        <w:numId w:val="0"/>
      </w:numPr>
      <w:tabs>
        <w:tab w:val="left" w:pos="1418"/>
      </w:tabs>
    </w:pPr>
    <w:rPr>
      <w:rFonts w:cs="Times New Roman"/>
    </w:rPr>
  </w:style>
  <w:style w:type="paragraph" w:customStyle="1" w:styleId="145">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6">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7">
    <w:name w:val="Char Char Char Char"/>
    <w:basedOn w:val="1"/>
    <w:qFormat/>
    <w:uiPriority w:val="0"/>
    <w:rPr>
      <w:rFonts w:ascii="Tahoma" w:hAnsi="Tahoma"/>
      <w:sz w:val="24"/>
      <w:szCs w:val="20"/>
    </w:rPr>
  </w:style>
  <w:style w:type="paragraph" w:customStyle="1" w:styleId="148">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9">
    <w:name w:val="MM Topic 9"/>
    <w:basedOn w:val="11"/>
    <w:qFormat/>
    <w:uiPriority w:val="0"/>
    <w:pPr>
      <w:tabs>
        <w:tab w:val="left" w:pos="5102"/>
      </w:tabs>
    </w:pPr>
  </w:style>
  <w:style w:type="paragraph" w:customStyle="1" w:styleId="150">
    <w:name w:val="MM Topic 5"/>
    <w:basedOn w:val="7"/>
    <w:qFormat/>
    <w:uiPriority w:val="0"/>
    <w:pPr>
      <w:tabs>
        <w:tab w:val="left" w:pos="2551"/>
        <w:tab w:val="clear" w:pos="1134"/>
        <w:tab w:val="clear" w:pos="1560"/>
      </w:tabs>
      <w:ind w:left="0" w:firstLine="0"/>
    </w:pPr>
    <w:rPr>
      <w:rFonts w:cs="Times New Roman"/>
    </w:rPr>
  </w:style>
  <w:style w:type="paragraph" w:customStyle="1" w:styleId="151">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52">
    <w:name w:val="MM Topic 4"/>
    <w:basedOn w:val="6"/>
    <w:qFormat/>
    <w:uiPriority w:val="0"/>
    <w:pPr>
      <w:tabs>
        <w:tab w:val="left" w:pos="1984"/>
      </w:tabs>
      <w:ind w:left="0" w:firstLine="0"/>
    </w:pPr>
  </w:style>
  <w:style w:type="paragraph" w:customStyle="1" w:styleId="1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4">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5">
    <w:name w:val="样式 标题 2H2第一章 标题 2Heading 2 HiddenHeading 2 CCBSheading 2h2..."/>
    <w:basedOn w:val="4"/>
    <w:qFormat/>
    <w:uiPriority w:val="0"/>
    <w:pPr>
      <w:tabs>
        <w:tab w:val="left" w:pos="-2493"/>
      </w:tabs>
    </w:pPr>
    <w:rPr>
      <w:rFonts w:cs="Times New Roman"/>
      <w:szCs w:val="20"/>
    </w:rPr>
  </w:style>
  <w:style w:type="paragraph" w:customStyle="1" w:styleId="156">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7">
    <w:name w:val="列出段落2"/>
    <w:basedOn w:val="1"/>
    <w:qFormat/>
    <w:uiPriority w:val="0"/>
    <w:pPr>
      <w:ind w:firstLine="420" w:firstLineChars="200"/>
    </w:pPr>
  </w:style>
  <w:style w:type="paragraph" w:customStyle="1" w:styleId="158">
    <w:name w:val="列出段落4"/>
    <w:basedOn w:val="1"/>
    <w:qFormat/>
    <w:uiPriority w:val="99"/>
    <w:pPr>
      <w:ind w:firstLine="420" w:firstLineChars="200"/>
    </w:pPr>
    <w:rPr>
      <w:rFonts w:ascii="Times New Roman" w:hAnsi="Times New Roman"/>
      <w:szCs w:val="24"/>
    </w:rPr>
  </w:style>
  <w:style w:type="paragraph" w:customStyle="1" w:styleId="159">
    <w:name w:val="列出段落1111"/>
    <w:basedOn w:val="1"/>
    <w:qFormat/>
    <w:uiPriority w:val="0"/>
    <w:pPr>
      <w:ind w:firstLine="420" w:firstLineChars="200"/>
    </w:pPr>
  </w:style>
  <w:style w:type="paragraph" w:customStyle="1" w:styleId="160">
    <w:name w:val="修订1"/>
    <w:qFormat/>
    <w:uiPriority w:val="0"/>
    <w:rPr>
      <w:rFonts w:ascii="Calibri" w:hAnsi="Calibri" w:eastAsia="宋体" w:cs="Times New Roman"/>
      <w:kern w:val="2"/>
      <w:sz w:val="21"/>
      <w:szCs w:val="22"/>
      <w:lang w:val="en-US" w:eastAsia="zh-CN" w:bidi="ar-SA"/>
    </w:rPr>
  </w:style>
  <w:style w:type="paragraph" w:customStyle="1" w:styleId="161">
    <w:name w:val="彩色列表 - 强调文字颜色 12"/>
    <w:basedOn w:val="1"/>
    <w:qFormat/>
    <w:uiPriority w:val="0"/>
    <w:pPr>
      <w:ind w:firstLine="420" w:firstLineChars="200"/>
    </w:pPr>
  </w:style>
  <w:style w:type="paragraph" w:customStyle="1" w:styleId="16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3">
    <w:name w:val="列出段落3"/>
    <w:basedOn w:val="1"/>
    <w:link w:val="273"/>
    <w:qFormat/>
    <w:uiPriority w:val="99"/>
    <w:pPr>
      <w:widowControl/>
      <w:ind w:firstLine="420" w:firstLineChars="200"/>
      <w:jc w:val="left"/>
    </w:pPr>
    <w:rPr>
      <w:rFonts w:ascii="Times New Roman" w:hAnsi="Times New Roman"/>
      <w:kern w:val="0"/>
      <w:sz w:val="24"/>
      <w:szCs w:val="24"/>
    </w:rPr>
  </w:style>
  <w:style w:type="paragraph" w:customStyle="1" w:styleId="164">
    <w:name w:val="列项——（一级）"/>
    <w:qFormat/>
    <w:uiPriority w:val="0"/>
    <w:pPr>
      <w:widowControl w:val="0"/>
      <w:numPr>
        <w:ilvl w:val="0"/>
        <w:numId w:val="5"/>
      </w:numPr>
      <w:jc w:val="both"/>
    </w:pPr>
    <w:rPr>
      <w:rFonts w:ascii="宋体" w:hAnsi="Times New Roman" w:eastAsia="宋体" w:cs="Times New Roman"/>
      <w:sz w:val="21"/>
      <w:lang w:val="en-US" w:eastAsia="zh-CN" w:bidi="ar-SA"/>
    </w:rPr>
  </w:style>
  <w:style w:type="character" w:customStyle="1" w:styleId="165">
    <w:name w:val="0-CD Char"/>
    <w:link w:val="166"/>
    <w:qFormat/>
    <w:locked/>
    <w:uiPriority w:val="0"/>
    <w:rPr>
      <w:rFonts w:ascii="宋体" w:hAnsi="宋体" w:eastAsia="宋体"/>
      <w:sz w:val="28"/>
      <w:szCs w:val="24"/>
    </w:rPr>
  </w:style>
  <w:style w:type="paragraph" w:customStyle="1" w:styleId="166">
    <w:name w:val="0-CD"/>
    <w:basedOn w:val="1"/>
    <w:link w:val="165"/>
    <w:qFormat/>
    <w:uiPriority w:val="0"/>
    <w:pPr>
      <w:spacing w:line="360" w:lineRule="auto"/>
      <w:ind w:firstLine="708" w:firstLineChars="253"/>
      <w:jc w:val="left"/>
    </w:pPr>
    <w:rPr>
      <w:rFonts w:ascii="宋体" w:hAnsi="宋体" w:cstheme="minorBidi"/>
      <w:sz w:val="28"/>
      <w:szCs w:val="24"/>
    </w:rPr>
  </w:style>
  <w:style w:type="character" w:customStyle="1" w:styleId="167">
    <w:name w:val="Char Char8"/>
    <w:qFormat/>
    <w:uiPriority w:val="0"/>
    <w:rPr>
      <w:rFonts w:hint="eastAsia" w:ascii="宋体" w:hAnsi="宋体" w:eastAsia="宋体"/>
      <w:kern w:val="2"/>
      <w:sz w:val="28"/>
      <w:szCs w:val="28"/>
    </w:rPr>
  </w:style>
  <w:style w:type="character" w:customStyle="1" w:styleId="168">
    <w:name w:val="Char Char5"/>
    <w:qFormat/>
    <w:uiPriority w:val="0"/>
    <w:rPr>
      <w:kern w:val="2"/>
      <w:sz w:val="21"/>
      <w:szCs w:val="24"/>
    </w:rPr>
  </w:style>
  <w:style w:type="character" w:customStyle="1" w:styleId="169">
    <w:name w:val="列出段落 Char Char"/>
    <w:qFormat/>
    <w:uiPriority w:val="0"/>
    <w:rPr>
      <w:rFonts w:hint="default" w:ascii="Calibri" w:hAnsi="Calibri" w:cs="Calibri"/>
      <w:kern w:val="2"/>
      <w:sz w:val="21"/>
      <w:szCs w:val="22"/>
    </w:rPr>
  </w:style>
  <w:style w:type="character" w:customStyle="1" w:styleId="170">
    <w:name w:val="正文文本 Char Char"/>
    <w:qFormat/>
    <w:uiPriority w:val="0"/>
    <w:rPr>
      <w:kern w:val="2"/>
      <w:sz w:val="21"/>
      <w:szCs w:val="24"/>
    </w:rPr>
  </w:style>
  <w:style w:type="character" w:customStyle="1" w:styleId="171">
    <w:name w:val="Char Char11"/>
    <w:qFormat/>
    <w:uiPriority w:val="0"/>
    <w:rPr>
      <w:rFonts w:hint="default" w:ascii="Arial Narrow" w:hAnsi="Arial Narrow"/>
      <w:b/>
      <w:bCs/>
      <w:iCs/>
      <w:szCs w:val="24"/>
      <w:lang w:eastAsia="en-US"/>
    </w:rPr>
  </w:style>
  <w:style w:type="character" w:customStyle="1" w:styleId="172">
    <w:name w:val="标书（正文） Char Char"/>
    <w:qFormat/>
    <w:uiPriority w:val="0"/>
    <w:rPr>
      <w:rFonts w:hint="eastAsia" w:ascii="宋体" w:hAnsi="宋体" w:eastAsia="宋体"/>
      <w:b/>
      <w:kern w:val="10"/>
      <w:sz w:val="21"/>
      <w:szCs w:val="21"/>
      <w:lang w:val="en-US" w:eastAsia="zh-CN" w:bidi="ar-SA"/>
    </w:rPr>
  </w:style>
  <w:style w:type="character" w:customStyle="1" w:styleId="173">
    <w:name w:val="line2"/>
    <w:basedOn w:val="43"/>
    <w:qFormat/>
    <w:uiPriority w:val="0"/>
  </w:style>
  <w:style w:type="character" w:customStyle="1" w:styleId="174">
    <w:name w:val="Char Char10"/>
    <w:qFormat/>
    <w:uiPriority w:val="0"/>
    <w:rPr>
      <w:kern w:val="2"/>
      <w:sz w:val="24"/>
      <w:szCs w:val="24"/>
    </w:rPr>
  </w:style>
  <w:style w:type="character" w:customStyle="1" w:styleId="175">
    <w:name w:val="MM Topic 4 Char Char"/>
    <w:qFormat/>
    <w:uiPriority w:val="0"/>
    <w:rPr>
      <w:rFonts w:hint="default" w:ascii="Arial" w:hAnsi="Arial" w:cs="Arial"/>
      <w:b/>
      <w:bCs/>
      <w:kern w:val="2"/>
      <w:sz w:val="28"/>
      <w:szCs w:val="28"/>
    </w:rPr>
  </w:style>
  <w:style w:type="character" w:customStyle="1" w:styleId="176">
    <w:name w:val="标书正文:  0.74 厘米 Char Char"/>
    <w:qFormat/>
    <w:uiPriority w:val="0"/>
    <w:rPr>
      <w:kern w:val="2"/>
      <w:sz w:val="24"/>
    </w:rPr>
  </w:style>
  <w:style w:type="character" w:customStyle="1" w:styleId="177">
    <w:name w:val="访问过的超链接1"/>
    <w:qFormat/>
    <w:uiPriority w:val="99"/>
    <w:rPr>
      <w:color w:val="800080"/>
      <w:u w:val="single"/>
    </w:rPr>
  </w:style>
  <w:style w:type="character" w:customStyle="1" w:styleId="178">
    <w:name w:val="标题 3 Char Char Char"/>
    <w:qFormat/>
    <w:uiPriority w:val="0"/>
    <w:rPr>
      <w:rFonts w:hint="eastAsia" w:ascii="宋体" w:hAnsi="宋体" w:eastAsia="宋体"/>
      <w:b/>
      <w:kern w:val="2"/>
      <w:sz w:val="32"/>
      <w:lang w:val="en-US" w:eastAsia="zh-CN" w:bidi="ar-SA"/>
    </w:rPr>
  </w:style>
  <w:style w:type="character" w:customStyle="1" w:styleId="179">
    <w:name w:val="（符号）邀请函中一、"/>
    <w:qFormat/>
    <w:uiPriority w:val="0"/>
    <w:rPr>
      <w:rFonts w:hint="eastAsia" w:ascii="黑体" w:hAnsi="黑体" w:eastAsia="黑体"/>
      <w:b/>
      <w:bCs/>
      <w:sz w:val="24"/>
    </w:rPr>
  </w:style>
  <w:style w:type="character" w:customStyle="1" w:styleId="180">
    <w:name w:val="tt Char"/>
    <w:qFormat/>
    <w:uiPriority w:val="0"/>
    <w:rPr>
      <w:rFonts w:hint="default" w:ascii="Arial" w:hAnsi="Arial" w:eastAsia="黑体" w:cs="Arial"/>
      <w:kern w:val="2"/>
      <w:sz w:val="21"/>
      <w:szCs w:val="21"/>
    </w:rPr>
  </w:style>
  <w:style w:type="character" w:customStyle="1" w:styleId="181">
    <w:name w:val="Char Char9"/>
    <w:qFormat/>
    <w:uiPriority w:val="0"/>
    <w:rPr>
      <w:kern w:val="2"/>
      <w:sz w:val="18"/>
      <w:szCs w:val="18"/>
    </w:rPr>
  </w:style>
  <w:style w:type="character" w:customStyle="1" w:styleId="182">
    <w:name w:val="MM Topic 3 Char Char"/>
    <w:qFormat/>
    <w:uiPriority w:val="0"/>
    <w:rPr>
      <w:rFonts w:hint="eastAsia" w:ascii="宋体" w:hAnsi="宋体" w:eastAsia="宋体"/>
      <w:b/>
      <w:bCs/>
      <w:color w:val="000000"/>
      <w:kern w:val="2"/>
      <w:sz w:val="28"/>
      <w:szCs w:val="28"/>
    </w:rPr>
  </w:style>
  <w:style w:type="character" w:customStyle="1" w:styleId="183">
    <w:name w:val="样式 小四2 Char Char"/>
    <w:qFormat/>
    <w:uiPriority w:val="0"/>
    <w:rPr>
      <w:rFonts w:hint="eastAsia" w:ascii="宋体" w:hAnsi="宋体" w:eastAsia="宋体"/>
      <w:kern w:val="2"/>
      <w:sz w:val="24"/>
      <w:szCs w:val="24"/>
    </w:rPr>
  </w:style>
  <w:style w:type="character" w:customStyle="1" w:styleId="184">
    <w:name w:val="Char Char7"/>
    <w:qFormat/>
    <w:uiPriority w:val="0"/>
    <w:rPr>
      <w:kern w:val="2"/>
      <w:sz w:val="18"/>
      <w:szCs w:val="18"/>
    </w:rPr>
  </w:style>
  <w:style w:type="character" w:customStyle="1" w:styleId="185">
    <w:name w:val="Char Char3"/>
    <w:qFormat/>
    <w:uiPriority w:val="0"/>
    <w:rPr>
      <w:b/>
      <w:bCs/>
      <w:kern w:val="2"/>
      <w:sz w:val="18"/>
      <w:szCs w:val="18"/>
    </w:rPr>
  </w:style>
  <w:style w:type="character" w:customStyle="1" w:styleId="186">
    <w:name w:val="apple-style-span"/>
    <w:basedOn w:val="43"/>
    <w:qFormat/>
    <w:uiPriority w:val="0"/>
  </w:style>
  <w:style w:type="character" w:customStyle="1" w:styleId="187">
    <w:name w:val="Char Char4"/>
    <w:qFormat/>
    <w:uiPriority w:val="0"/>
    <w:rPr>
      <w:kern w:val="2"/>
      <w:sz w:val="18"/>
      <w:szCs w:val="18"/>
    </w:rPr>
  </w:style>
  <w:style w:type="character" w:customStyle="1" w:styleId="188">
    <w:name w:val="副标题 Char1"/>
    <w:qFormat/>
    <w:uiPriority w:val="11"/>
    <w:rPr>
      <w:rFonts w:hint="default" w:ascii="Cambria" w:hAnsi="Cambria" w:cs="Times New Roman"/>
      <w:b/>
      <w:bCs/>
      <w:kern w:val="28"/>
      <w:sz w:val="32"/>
      <w:szCs w:val="32"/>
    </w:rPr>
  </w:style>
  <w:style w:type="character" w:customStyle="1" w:styleId="189">
    <w:name w:val="small"/>
    <w:basedOn w:val="43"/>
    <w:qFormat/>
    <w:uiPriority w:val="0"/>
  </w:style>
  <w:style w:type="character" w:customStyle="1" w:styleId="190">
    <w:name w:val="Legal Level 1.1.1. Char"/>
    <w:qFormat/>
    <w:uiPriority w:val="0"/>
    <w:rPr>
      <w:rFonts w:hint="default" w:ascii="Arial" w:hAnsi="Arial" w:eastAsia="黑体" w:cs="Arial"/>
      <w:kern w:val="2"/>
      <w:sz w:val="24"/>
      <w:szCs w:val="24"/>
    </w:rPr>
  </w:style>
  <w:style w:type="character" w:customStyle="1" w:styleId="191">
    <w:name w:val="文章正文 Char Char"/>
    <w:qFormat/>
    <w:uiPriority w:val="0"/>
    <w:rPr>
      <w:rFonts w:hint="eastAsia" w:ascii="宋体" w:hAnsi="宋体" w:eastAsia="宋体"/>
      <w:kern w:val="2"/>
      <w:sz w:val="24"/>
      <w:szCs w:val="24"/>
      <w:lang w:val="en-US" w:eastAsia="zh-CN" w:bidi="ar-SA"/>
    </w:rPr>
  </w:style>
  <w:style w:type="character" w:customStyle="1" w:styleId="192">
    <w:name w:val="正文文本 Char1"/>
    <w:qFormat/>
    <w:uiPriority w:val="0"/>
    <w:rPr>
      <w:rFonts w:hint="default" w:ascii="Times New Roman" w:hAnsi="Times New Roman" w:eastAsia="宋体" w:cs="Times New Roman"/>
      <w:kern w:val="0"/>
      <w:sz w:val="18"/>
      <w:szCs w:val="18"/>
    </w:rPr>
  </w:style>
  <w:style w:type="character" w:customStyle="1" w:styleId="193">
    <w:name w:val="CD正文 Char Char"/>
    <w:qFormat/>
    <w:uiPriority w:val="0"/>
    <w:rPr>
      <w:rFonts w:hint="eastAsia" w:ascii="宋体" w:hAnsi="宋体" w:eastAsia="宋体"/>
      <w:kern w:val="2"/>
      <w:sz w:val="30"/>
      <w:szCs w:val="28"/>
      <w:lang w:val="en-US" w:eastAsia="zh-CN" w:bidi="ar-SA"/>
    </w:rPr>
  </w:style>
  <w:style w:type="character" w:customStyle="1" w:styleId="194">
    <w:name w:val="Char Char2"/>
    <w:qFormat/>
    <w:uiPriority w:val="0"/>
    <w:rPr>
      <w:kern w:val="2"/>
      <w:sz w:val="18"/>
      <w:szCs w:val="18"/>
    </w:rPr>
  </w:style>
  <w:style w:type="character" w:customStyle="1" w:styleId="195">
    <w:name w:val="标题 1 Char1"/>
    <w:qFormat/>
    <w:uiPriority w:val="0"/>
    <w:rPr>
      <w:b/>
      <w:bCs/>
      <w:kern w:val="44"/>
      <w:sz w:val="44"/>
      <w:szCs w:val="44"/>
    </w:rPr>
  </w:style>
  <w:style w:type="character" w:customStyle="1" w:styleId="196">
    <w:name w:val="表正文 Char1"/>
    <w:qFormat/>
    <w:uiPriority w:val="0"/>
    <w:rPr>
      <w:rFonts w:hint="eastAsia" w:ascii="宋体" w:hAnsi="宋体" w:eastAsia="宋体"/>
      <w:kern w:val="2"/>
      <w:sz w:val="21"/>
      <w:lang w:val="en-US" w:eastAsia="zh-CN" w:bidi="ar-SA"/>
    </w:rPr>
  </w:style>
  <w:style w:type="character" w:customStyle="1" w:styleId="197">
    <w:name w:val="Char Char Char"/>
    <w:qFormat/>
    <w:uiPriority w:val="0"/>
    <w:rPr>
      <w:rFonts w:hint="eastAsia" w:ascii="宋体" w:hAnsi="宋体" w:eastAsia="宋体"/>
      <w:kern w:val="2"/>
      <w:sz w:val="18"/>
      <w:szCs w:val="18"/>
      <w:lang w:val="en-US" w:eastAsia="zh-CN" w:bidi="ar-SA"/>
    </w:rPr>
  </w:style>
  <w:style w:type="character" w:customStyle="1" w:styleId="198">
    <w:name w:val="Char Char6"/>
    <w:qFormat/>
    <w:uiPriority w:val="0"/>
    <w:rPr>
      <w:kern w:val="2"/>
      <w:sz w:val="21"/>
      <w:szCs w:val="24"/>
    </w:rPr>
  </w:style>
  <w:style w:type="character" w:customStyle="1" w:styleId="199">
    <w:name w:val="正文缩进 Char"/>
    <w:qFormat/>
    <w:uiPriority w:val="0"/>
    <w:rPr>
      <w:kern w:val="2"/>
      <w:sz w:val="21"/>
      <w:lang w:val="zh-CN" w:eastAsia="zh-CN"/>
    </w:rPr>
  </w:style>
  <w:style w:type="character" w:customStyle="1" w:styleId="200">
    <w:name w:val="font11"/>
    <w:basedOn w:val="43"/>
    <w:qFormat/>
    <w:uiPriority w:val="0"/>
    <w:rPr>
      <w:rFonts w:hint="eastAsia" w:ascii="宋体" w:hAnsi="宋体" w:eastAsia="宋体" w:cs="宋体"/>
      <w:b/>
      <w:color w:val="000000"/>
      <w:sz w:val="22"/>
      <w:szCs w:val="22"/>
      <w:u w:val="none"/>
    </w:rPr>
  </w:style>
  <w:style w:type="character" w:customStyle="1" w:styleId="201">
    <w:name w:val="font01"/>
    <w:basedOn w:val="43"/>
    <w:qFormat/>
    <w:uiPriority w:val="0"/>
    <w:rPr>
      <w:rFonts w:hint="eastAsia" w:ascii="宋体" w:hAnsi="宋体" w:eastAsia="宋体" w:cs="宋体"/>
      <w:color w:val="000000"/>
      <w:sz w:val="22"/>
      <w:szCs w:val="22"/>
      <w:u w:val="none"/>
    </w:rPr>
  </w:style>
  <w:style w:type="character" w:customStyle="1" w:styleId="202">
    <w:name w:val="页脚 Char1"/>
    <w:basedOn w:val="43"/>
    <w:qFormat/>
    <w:uiPriority w:val="99"/>
    <w:rPr>
      <w:sz w:val="18"/>
      <w:szCs w:val="18"/>
    </w:rPr>
  </w:style>
  <w:style w:type="character" w:customStyle="1" w:styleId="203">
    <w:name w:val="批注文字 Char2"/>
    <w:qFormat/>
    <w:uiPriority w:val="0"/>
    <w:rPr>
      <w:rFonts w:hint="eastAsia" w:ascii="宋体" w:hAnsi="宋体" w:eastAsia="宋体"/>
      <w:sz w:val="18"/>
      <w:szCs w:val="18"/>
    </w:rPr>
  </w:style>
  <w:style w:type="character" w:customStyle="1" w:styleId="204">
    <w:name w:val="列出段落 Char1"/>
    <w:qFormat/>
    <w:uiPriority w:val="34"/>
    <w:rPr>
      <w:rFonts w:hint="default" w:ascii="Calibri" w:hAnsi="Calibri"/>
      <w:kern w:val="2"/>
      <w:sz w:val="21"/>
      <w:szCs w:val="22"/>
    </w:rPr>
  </w:style>
  <w:style w:type="paragraph" w:customStyle="1" w:styleId="205">
    <w:name w:val="CD正文"/>
    <w:basedOn w:val="105"/>
    <w:link w:val="281"/>
    <w:qFormat/>
    <w:uiPriority w:val="0"/>
  </w:style>
  <w:style w:type="paragraph" w:customStyle="1" w:styleId="206">
    <w:name w:val="项目符号：一级"/>
    <w:basedOn w:val="92"/>
    <w:next w:val="92"/>
    <w:qFormat/>
    <w:uiPriority w:val="0"/>
  </w:style>
  <w:style w:type="paragraph" w:customStyle="1" w:styleId="207">
    <w:name w:val="正文 A"/>
    <w:qFormat/>
    <w:uiPriority w:val="0"/>
    <w:rPr>
      <w:rFonts w:hint="eastAsia" w:ascii="Arial Unicode MS" w:hAnsi="Arial Unicode MS" w:eastAsia="Arial Unicode MS" w:cs="Arial Unicode MS"/>
      <w:color w:val="000000"/>
      <w:sz w:val="24"/>
      <w:szCs w:val="24"/>
      <w:lang w:val="zh-TW" w:eastAsia="zh-TW" w:bidi="ar-SA"/>
    </w:rPr>
  </w:style>
  <w:style w:type="paragraph" w:customStyle="1" w:styleId="208">
    <w:name w:val="标题5"/>
    <w:basedOn w:val="1"/>
    <w:qFormat/>
    <w:uiPriority w:val="0"/>
    <w:pPr>
      <w:spacing w:before="100" w:beforeAutospacing="1" w:after="100" w:afterAutospacing="1"/>
      <w:ind w:left="283" w:hanging="425"/>
      <w:outlineLvl w:val="4"/>
    </w:pPr>
    <w:rPr>
      <w:rFonts w:ascii="Times New Roman" w:hAnsi="Times New Roman"/>
      <w:szCs w:val="24"/>
    </w:rPr>
  </w:style>
  <w:style w:type="paragraph" w:customStyle="1" w:styleId="209">
    <w:name w:val="列出段落5"/>
    <w:basedOn w:val="1"/>
    <w:unhideWhenUsed/>
    <w:qFormat/>
    <w:uiPriority w:val="99"/>
    <w:pPr>
      <w:ind w:firstLine="420" w:firstLineChars="200"/>
    </w:pPr>
    <w:rPr>
      <w:rFonts w:ascii="Times New Roman" w:hAnsi="Times New Roman"/>
    </w:rPr>
  </w:style>
  <w:style w:type="paragraph" w:customStyle="1" w:styleId="210">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11">
    <w:name w:val="图题标题"/>
    <w:basedOn w:val="1"/>
    <w:qFormat/>
    <w:uiPriority w:val="0"/>
    <w:pPr>
      <w:spacing w:line="400" w:lineRule="exact"/>
      <w:jc w:val="center"/>
    </w:pPr>
    <w:rPr>
      <w:rFonts w:ascii="Times New Roman" w:hAnsi="Times New Roman" w:eastAsia="黑体"/>
      <w:sz w:val="24"/>
      <w:szCs w:val="24"/>
    </w:rPr>
  </w:style>
  <w:style w:type="paragraph" w:customStyle="1" w:styleId="212">
    <w:name w:val="无间隔11"/>
    <w:qFormat/>
    <w:uiPriority w:val="0"/>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3">
    <w:name w:val="列出段落11"/>
    <w:basedOn w:val="1"/>
    <w:qFormat/>
    <w:uiPriority w:val="99"/>
    <w:pPr>
      <w:spacing w:after="200" w:line="276" w:lineRule="auto"/>
      <w:ind w:firstLine="420" w:firstLineChars="200"/>
    </w:pPr>
  </w:style>
  <w:style w:type="paragraph" w:customStyle="1" w:styleId="214">
    <w:name w:val="修订2"/>
    <w:hidden/>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5">
    <w:name w:val="NormalCharacter"/>
    <w:qFormat/>
    <w:uiPriority w:val="0"/>
  </w:style>
  <w:style w:type="character" w:customStyle="1" w:styleId="216">
    <w:name w:val="UserStyle_26"/>
    <w:link w:val="217"/>
    <w:qFormat/>
    <w:uiPriority w:val="0"/>
    <w:rPr>
      <w:szCs w:val="20"/>
    </w:rPr>
  </w:style>
  <w:style w:type="paragraph" w:customStyle="1" w:styleId="217">
    <w:name w:val="NormalIndent"/>
    <w:basedOn w:val="1"/>
    <w:link w:val="216"/>
    <w:qFormat/>
    <w:uiPriority w:val="0"/>
    <w:pPr>
      <w:widowControl/>
      <w:spacing w:after="200" w:line="276" w:lineRule="auto"/>
      <w:ind w:firstLine="420"/>
      <w:textAlignment w:val="baseline"/>
    </w:pPr>
    <w:rPr>
      <w:rFonts w:asciiTheme="minorHAnsi" w:hAnsiTheme="minorHAnsi" w:eastAsiaTheme="minorEastAsia" w:cstheme="minorBidi"/>
      <w:szCs w:val="20"/>
    </w:rPr>
  </w:style>
  <w:style w:type="paragraph" w:customStyle="1" w:styleId="218">
    <w:name w:val="HtmlNormal"/>
    <w:basedOn w:val="1"/>
    <w:qFormat/>
    <w:uiPriority w:val="0"/>
    <w:pPr>
      <w:widowControl/>
      <w:spacing w:before="100" w:beforeAutospacing="1" w:after="100" w:afterAutospacing="1" w:line="276" w:lineRule="auto"/>
      <w:jc w:val="left"/>
      <w:textAlignment w:val="baseline"/>
    </w:pPr>
    <w:rPr>
      <w:rFonts w:ascii="宋体" w:hAnsi="宋体"/>
      <w:kern w:val="0"/>
      <w:sz w:val="24"/>
      <w:szCs w:val="24"/>
    </w:rPr>
  </w:style>
  <w:style w:type="paragraph" w:customStyle="1" w:styleId="219">
    <w:name w:val="Heading1"/>
    <w:basedOn w:val="1"/>
    <w:next w:val="1"/>
    <w:qFormat/>
    <w:uiPriority w:val="0"/>
    <w:pPr>
      <w:keepNext/>
      <w:keepLines/>
      <w:widowControl/>
      <w:spacing w:before="300" w:after="200" w:line="276" w:lineRule="auto"/>
      <w:textAlignment w:val="baseline"/>
    </w:pPr>
    <w:rPr>
      <w:rFonts w:eastAsia="黑体"/>
      <w:kern w:val="44"/>
      <w:sz w:val="44"/>
      <w:szCs w:val="44"/>
    </w:rPr>
  </w:style>
  <w:style w:type="paragraph" w:customStyle="1" w:styleId="220">
    <w:name w:val="UserStyle_33"/>
    <w:basedOn w:val="1"/>
    <w:qFormat/>
    <w:uiPriority w:val="0"/>
    <w:pPr>
      <w:widowControl/>
      <w:spacing w:after="200" w:line="400" w:lineRule="exact"/>
      <w:ind w:firstLine="200" w:firstLineChars="200"/>
      <w:textAlignment w:val="baseline"/>
    </w:pPr>
    <w:rPr>
      <w:rFonts w:ascii="Times New Roman" w:hAnsi="Times New Roman"/>
      <w:sz w:val="24"/>
      <w:szCs w:val="24"/>
    </w:rPr>
  </w:style>
  <w:style w:type="paragraph" w:customStyle="1" w:styleId="221">
    <w:name w:val="UserStyle_40"/>
    <w:basedOn w:val="1"/>
    <w:qFormat/>
    <w:uiPriority w:val="0"/>
    <w:pPr>
      <w:widowControl/>
      <w:spacing w:after="200" w:line="276" w:lineRule="auto"/>
      <w:ind w:firstLine="420" w:firstLineChars="200"/>
      <w:textAlignment w:val="baseline"/>
    </w:pPr>
    <w:rPr>
      <w:szCs w:val="21"/>
    </w:rPr>
  </w:style>
  <w:style w:type="paragraph" w:customStyle="1" w:styleId="222">
    <w:name w:val="Heading2"/>
    <w:basedOn w:val="1"/>
    <w:next w:val="1"/>
    <w:qFormat/>
    <w:uiPriority w:val="0"/>
    <w:pPr>
      <w:widowControl/>
      <w:tabs>
        <w:tab w:val="right" w:leader="dot" w:pos="9000"/>
      </w:tabs>
      <w:spacing w:after="200" w:line="276" w:lineRule="auto"/>
      <w:ind w:right="-686" w:rightChars="-245"/>
      <w:textAlignment w:val="baseline"/>
    </w:pPr>
    <w:rPr>
      <w:szCs w:val="21"/>
    </w:rPr>
  </w:style>
  <w:style w:type="character" w:customStyle="1" w:styleId="223">
    <w:name w:val="UserStyle_9"/>
    <w:basedOn w:val="43"/>
    <w:link w:val="224"/>
    <w:qFormat/>
    <w:uiPriority w:val="0"/>
    <w:rPr>
      <w:sz w:val="28"/>
    </w:rPr>
  </w:style>
  <w:style w:type="paragraph" w:customStyle="1" w:styleId="224">
    <w:name w:val="BodyText1I"/>
    <w:basedOn w:val="225"/>
    <w:link w:val="223"/>
    <w:qFormat/>
    <w:uiPriority w:val="0"/>
    <w:pPr>
      <w:widowControl/>
      <w:ind w:firstLine="420" w:firstLineChars="100"/>
      <w:textAlignment w:val="baseline"/>
    </w:pPr>
    <w:rPr>
      <w:rFonts w:asciiTheme="minorHAnsi" w:hAnsiTheme="minorHAnsi" w:eastAsiaTheme="minorEastAsia" w:cstheme="minorBidi"/>
      <w:sz w:val="28"/>
    </w:rPr>
  </w:style>
  <w:style w:type="paragraph" w:customStyle="1" w:styleId="225">
    <w:name w:val="BodyText"/>
    <w:basedOn w:val="1"/>
    <w:qFormat/>
    <w:uiPriority w:val="0"/>
    <w:pPr>
      <w:spacing w:after="120" w:line="276" w:lineRule="auto"/>
    </w:pPr>
  </w:style>
  <w:style w:type="character" w:customStyle="1" w:styleId="226">
    <w:name w:val="15"/>
    <w:basedOn w:val="43"/>
    <w:qFormat/>
    <w:uiPriority w:val="0"/>
    <w:rPr>
      <w:rFonts w:hint="default" w:ascii="Calibri" w:hAnsi="Calibri"/>
    </w:rPr>
  </w:style>
  <w:style w:type="paragraph" w:customStyle="1" w:styleId="227">
    <w:name w:val="_Style 2"/>
    <w:basedOn w:val="1"/>
    <w:qFormat/>
    <w:uiPriority w:val="0"/>
    <w:pPr>
      <w:spacing w:after="200" w:line="276" w:lineRule="auto"/>
      <w:ind w:firstLine="420" w:firstLineChars="200"/>
    </w:pPr>
  </w:style>
  <w:style w:type="paragraph" w:customStyle="1" w:styleId="228">
    <w:name w:val="正文2"/>
    <w:qFormat/>
    <w:uiPriority w:val="0"/>
    <w:pPr>
      <w:spacing w:after="200" w:line="276" w:lineRule="auto"/>
      <w:jc w:val="both"/>
    </w:pPr>
    <w:rPr>
      <w:rFonts w:ascii="Calibri" w:hAnsi="Calibri" w:eastAsia="宋体" w:cs="Calibri"/>
      <w:kern w:val="2"/>
      <w:sz w:val="21"/>
      <w:szCs w:val="21"/>
      <w:lang w:val="en-US" w:eastAsia="zh-CN" w:bidi="ar-SA"/>
    </w:rPr>
  </w:style>
  <w:style w:type="table" w:customStyle="1" w:styleId="229">
    <w:name w:val="网格型2"/>
    <w:basedOn w:val="41"/>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0">
    <w:name w:val="标准文本 Char Char"/>
    <w:link w:val="231"/>
    <w:qFormat/>
    <w:uiPriority w:val="0"/>
    <w:rPr>
      <w:sz w:val="24"/>
    </w:rPr>
  </w:style>
  <w:style w:type="paragraph" w:customStyle="1" w:styleId="231">
    <w:name w:val="标准文本"/>
    <w:basedOn w:val="1"/>
    <w:link w:val="230"/>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32">
    <w:name w:val="批注文字 Char1"/>
    <w:basedOn w:val="43"/>
    <w:semiHidden/>
    <w:qFormat/>
    <w:locked/>
    <w:uiPriority w:val="0"/>
    <w:rPr>
      <w:rFonts w:ascii="Calibri" w:hAnsi="Calibri" w:eastAsia="宋体" w:cs="Times New Roman"/>
    </w:rPr>
  </w:style>
  <w:style w:type="paragraph" w:customStyle="1" w:styleId="233">
    <w:name w:val="正文360首行缩进"/>
    <w:basedOn w:val="1"/>
    <w:link w:val="234"/>
    <w:qFormat/>
    <w:uiPriority w:val="0"/>
    <w:pPr>
      <w:widowControl/>
      <w:spacing w:before="120" w:line="300" w:lineRule="auto"/>
      <w:ind w:firstLine="200" w:firstLineChars="200"/>
      <w:jc w:val="left"/>
    </w:pPr>
    <w:rPr>
      <w:rFonts w:ascii="Times New Roman" w:hAnsi="Times New Roman"/>
      <w:sz w:val="24"/>
      <w:szCs w:val="20"/>
    </w:rPr>
  </w:style>
  <w:style w:type="character" w:customStyle="1" w:styleId="234">
    <w:name w:val="正文360首行缩进 Char"/>
    <w:basedOn w:val="43"/>
    <w:link w:val="233"/>
    <w:qFormat/>
    <w:uiPriority w:val="0"/>
    <w:rPr>
      <w:rFonts w:ascii="Times New Roman" w:hAnsi="Times New Roman" w:eastAsia="宋体" w:cs="Times New Roman"/>
      <w:sz w:val="24"/>
      <w:szCs w:val="20"/>
    </w:rPr>
  </w:style>
  <w:style w:type="paragraph" w:customStyle="1" w:styleId="235">
    <w:name w:val="列出段落1_0"/>
    <w:basedOn w:val="1"/>
    <w:qFormat/>
    <w:uiPriority w:val="0"/>
    <w:pPr>
      <w:ind w:firstLine="420" w:firstLineChars="200"/>
    </w:pPr>
    <w:rPr>
      <w:szCs w:val="21"/>
    </w:rPr>
  </w:style>
  <w:style w:type="character" w:customStyle="1" w:styleId="236">
    <w:name w:val="font21"/>
    <w:qFormat/>
    <w:uiPriority w:val="0"/>
    <w:rPr>
      <w:rFonts w:hint="default" w:ascii="Arial" w:hAnsi="Arial" w:cs="Arial"/>
      <w:color w:val="000000"/>
      <w:sz w:val="18"/>
      <w:szCs w:val="18"/>
      <w:u w:val="none"/>
    </w:rPr>
  </w:style>
  <w:style w:type="character" w:customStyle="1" w:styleId="237">
    <w:name w:val="_Style 8"/>
    <w:qFormat/>
    <w:uiPriority w:val="32"/>
    <w:rPr>
      <w:b/>
      <w:bCs/>
      <w:smallCaps/>
      <w:color w:val="C0504D"/>
      <w:spacing w:val="5"/>
      <w:u w:val="single"/>
    </w:rPr>
  </w:style>
  <w:style w:type="character" w:customStyle="1" w:styleId="238">
    <w:name w:val="l-btn-icon-left"/>
    <w:basedOn w:val="43"/>
    <w:qFormat/>
    <w:uiPriority w:val="0"/>
  </w:style>
  <w:style w:type="character" w:customStyle="1" w:styleId="239">
    <w:name w:val="l-btn-icon-left1"/>
    <w:basedOn w:val="43"/>
    <w:qFormat/>
    <w:uiPriority w:val="0"/>
  </w:style>
  <w:style w:type="character" w:customStyle="1" w:styleId="240">
    <w:name w:val="l-btn-empty"/>
    <w:basedOn w:val="43"/>
    <w:qFormat/>
    <w:uiPriority w:val="0"/>
  </w:style>
  <w:style w:type="character" w:customStyle="1" w:styleId="241">
    <w:name w:val="l-btn-icon-right"/>
    <w:basedOn w:val="43"/>
    <w:qFormat/>
    <w:uiPriority w:val="0"/>
  </w:style>
  <w:style w:type="character" w:customStyle="1" w:styleId="242">
    <w:name w:val="l-btn-left2"/>
    <w:basedOn w:val="43"/>
    <w:qFormat/>
    <w:uiPriority w:val="0"/>
  </w:style>
  <w:style w:type="character" w:customStyle="1" w:styleId="243">
    <w:name w:val="l-btn-left3"/>
    <w:basedOn w:val="43"/>
    <w:qFormat/>
    <w:uiPriority w:val="0"/>
  </w:style>
  <w:style w:type="character" w:customStyle="1" w:styleId="244">
    <w:name w:val="l-btn-left4"/>
    <w:basedOn w:val="43"/>
    <w:qFormat/>
    <w:uiPriority w:val="0"/>
  </w:style>
  <w:style w:type="character" w:customStyle="1" w:styleId="245">
    <w:name w:val="l-btn-left5"/>
    <w:basedOn w:val="43"/>
    <w:qFormat/>
    <w:uiPriority w:val="0"/>
  </w:style>
  <w:style w:type="character" w:customStyle="1" w:styleId="246">
    <w:name w:val="l-btn-left6"/>
    <w:basedOn w:val="43"/>
    <w:qFormat/>
    <w:uiPriority w:val="0"/>
  </w:style>
  <w:style w:type="character" w:customStyle="1" w:styleId="247">
    <w:name w:val="l-btn-text"/>
    <w:basedOn w:val="43"/>
    <w:qFormat/>
    <w:uiPriority w:val="0"/>
    <w:rPr>
      <w:vertAlign w:val="baseline"/>
    </w:rPr>
  </w:style>
  <w:style w:type="character" w:customStyle="1" w:styleId="248">
    <w:name w:val="l-btn-text1"/>
    <w:basedOn w:val="43"/>
    <w:qFormat/>
    <w:uiPriority w:val="0"/>
    <w:rPr>
      <w:vertAlign w:val="baseline"/>
    </w:rPr>
  </w:style>
  <w:style w:type="character" w:customStyle="1" w:styleId="249">
    <w:name w:val="ajaxtitle"/>
    <w:basedOn w:val="43"/>
    <w:qFormat/>
    <w:uiPriority w:val="0"/>
  </w:style>
  <w:style w:type="character" w:customStyle="1" w:styleId="250">
    <w:name w:val="json_key"/>
    <w:basedOn w:val="43"/>
    <w:qFormat/>
    <w:uiPriority w:val="0"/>
  </w:style>
  <w:style w:type="character" w:customStyle="1" w:styleId="251">
    <w:name w:val="json_string"/>
    <w:basedOn w:val="43"/>
    <w:qFormat/>
    <w:uiPriority w:val="0"/>
  </w:style>
  <w:style w:type="paragraph" w:customStyle="1" w:styleId="252">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53">
    <w:name w:val="Char1 Char Char Char Char Char Char_0"/>
    <w:basedOn w:val="1"/>
    <w:qFormat/>
    <w:uiPriority w:val="0"/>
    <w:rPr>
      <w:rFonts w:ascii="Tahoma" w:hAnsi="Tahoma"/>
      <w:sz w:val="24"/>
      <w:szCs w:val="20"/>
    </w:rPr>
  </w:style>
  <w:style w:type="paragraph" w:customStyle="1" w:styleId="254">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55">
    <w:name w:val="列出段落111"/>
    <w:basedOn w:val="1"/>
    <w:qFormat/>
    <w:uiPriority w:val="99"/>
    <w:pPr>
      <w:ind w:firstLine="420" w:firstLineChars="200"/>
    </w:pPr>
    <w:rPr>
      <w:rFonts w:ascii="Times New Roman" w:hAnsi="Times New Roman"/>
    </w:rPr>
  </w:style>
  <w:style w:type="character" w:customStyle="1" w:styleId="256">
    <w:name w:val="标题 2 Char1"/>
    <w:basedOn w:val="43"/>
    <w:semiHidden/>
    <w:qFormat/>
    <w:uiPriority w:val="99"/>
    <w:rPr>
      <w:rFonts w:hint="default" w:asciiTheme="majorHAnsi" w:hAnsiTheme="majorHAnsi" w:eastAsiaTheme="majorEastAsia" w:cstheme="majorBidi"/>
      <w:b/>
      <w:bCs/>
      <w:kern w:val="2"/>
      <w:sz w:val="32"/>
      <w:szCs w:val="32"/>
    </w:rPr>
  </w:style>
  <w:style w:type="character" w:customStyle="1" w:styleId="257">
    <w:name w:val="标题 3 Char1"/>
    <w:basedOn w:val="43"/>
    <w:semiHidden/>
    <w:qFormat/>
    <w:uiPriority w:val="99"/>
    <w:rPr>
      <w:rFonts w:hint="default" w:ascii="Calibri" w:hAnsi="Calibri"/>
      <w:b/>
      <w:bCs/>
      <w:kern w:val="2"/>
      <w:sz w:val="32"/>
      <w:szCs w:val="32"/>
    </w:rPr>
  </w:style>
  <w:style w:type="character" w:customStyle="1" w:styleId="258">
    <w:name w:val="标题 4 Char1"/>
    <w:basedOn w:val="43"/>
    <w:semiHidden/>
    <w:qFormat/>
    <w:uiPriority w:val="9"/>
    <w:rPr>
      <w:rFonts w:hint="default" w:asciiTheme="majorHAnsi" w:hAnsiTheme="majorHAnsi" w:eastAsiaTheme="majorEastAsia" w:cstheme="majorBidi"/>
      <w:b/>
      <w:bCs/>
      <w:kern w:val="2"/>
      <w:sz w:val="28"/>
      <w:szCs w:val="28"/>
    </w:rPr>
  </w:style>
  <w:style w:type="character" w:customStyle="1" w:styleId="259">
    <w:name w:val="正文文本缩进 2 Char1"/>
    <w:basedOn w:val="43"/>
    <w:semiHidden/>
    <w:qFormat/>
    <w:uiPriority w:val="99"/>
    <w:rPr>
      <w:rFonts w:hint="default" w:ascii="Calibri" w:hAnsi="Calibri" w:cs="Calibri"/>
      <w:kern w:val="2"/>
      <w:sz w:val="21"/>
      <w:szCs w:val="22"/>
    </w:rPr>
  </w:style>
  <w:style w:type="character" w:customStyle="1" w:styleId="260">
    <w:name w:val="正文文本缩进 Char1"/>
    <w:basedOn w:val="43"/>
    <w:semiHidden/>
    <w:qFormat/>
    <w:uiPriority w:val="99"/>
    <w:rPr>
      <w:rFonts w:hint="default" w:ascii="Calibri" w:hAnsi="Calibri" w:cs="Calibri"/>
      <w:kern w:val="2"/>
      <w:sz w:val="21"/>
      <w:szCs w:val="22"/>
    </w:rPr>
  </w:style>
  <w:style w:type="character" w:customStyle="1" w:styleId="261">
    <w:name w:val="正文文本 3 Char1"/>
    <w:basedOn w:val="43"/>
    <w:semiHidden/>
    <w:qFormat/>
    <w:uiPriority w:val="99"/>
    <w:rPr>
      <w:rFonts w:hint="default" w:ascii="Calibri" w:hAnsi="Calibri" w:cs="Calibri"/>
      <w:kern w:val="2"/>
      <w:sz w:val="16"/>
      <w:szCs w:val="16"/>
    </w:rPr>
  </w:style>
  <w:style w:type="character" w:customStyle="1" w:styleId="262">
    <w:name w:val="正文文本缩进 3 Char1"/>
    <w:basedOn w:val="43"/>
    <w:semiHidden/>
    <w:qFormat/>
    <w:uiPriority w:val="99"/>
    <w:rPr>
      <w:rFonts w:hint="default" w:ascii="Calibri" w:hAnsi="Calibri" w:cs="Calibri"/>
      <w:kern w:val="2"/>
      <w:sz w:val="16"/>
      <w:szCs w:val="16"/>
    </w:rPr>
  </w:style>
  <w:style w:type="character" w:customStyle="1" w:styleId="263">
    <w:name w:val="批注框文本 Char1"/>
    <w:basedOn w:val="43"/>
    <w:semiHidden/>
    <w:qFormat/>
    <w:uiPriority w:val="99"/>
    <w:rPr>
      <w:rFonts w:hint="default" w:ascii="Calibri" w:hAnsi="Calibri" w:cs="Calibri"/>
      <w:kern w:val="2"/>
      <w:sz w:val="18"/>
      <w:szCs w:val="18"/>
    </w:rPr>
  </w:style>
  <w:style w:type="character" w:customStyle="1" w:styleId="264">
    <w:name w:val="文档结构图 Char1"/>
    <w:basedOn w:val="43"/>
    <w:semiHidden/>
    <w:qFormat/>
    <w:uiPriority w:val="99"/>
    <w:rPr>
      <w:rFonts w:hint="eastAsia" w:ascii="宋体" w:hAnsi="Calibri" w:eastAsia="宋体"/>
      <w:kern w:val="2"/>
      <w:sz w:val="18"/>
      <w:szCs w:val="18"/>
    </w:rPr>
  </w:style>
  <w:style w:type="character" w:customStyle="1" w:styleId="265">
    <w:name w:val="页眉 Char1"/>
    <w:basedOn w:val="43"/>
    <w:semiHidden/>
    <w:qFormat/>
    <w:uiPriority w:val="99"/>
    <w:rPr>
      <w:rFonts w:hint="default" w:ascii="Calibri" w:hAnsi="Calibri" w:cs="Calibri"/>
      <w:kern w:val="2"/>
      <w:sz w:val="18"/>
      <w:szCs w:val="18"/>
    </w:rPr>
  </w:style>
  <w:style w:type="character" w:customStyle="1" w:styleId="266">
    <w:name w:val="日期 Char1"/>
    <w:basedOn w:val="43"/>
    <w:semiHidden/>
    <w:qFormat/>
    <w:uiPriority w:val="99"/>
    <w:rPr>
      <w:rFonts w:hint="default" w:ascii="Calibri" w:hAnsi="Calibri" w:cs="Calibri"/>
      <w:kern w:val="2"/>
      <w:sz w:val="21"/>
      <w:szCs w:val="22"/>
    </w:rPr>
  </w:style>
  <w:style w:type="character" w:customStyle="1" w:styleId="267">
    <w:name w:val="正文文本 Char3"/>
    <w:basedOn w:val="43"/>
    <w:semiHidden/>
    <w:qFormat/>
    <w:uiPriority w:val="99"/>
    <w:rPr>
      <w:rFonts w:hint="default" w:ascii="Calibri" w:hAnsi="Calibri" w:cs="Calibri"/>
      <w:kern w:val="2"/>
      <w:sz w:val="21"/>
      <w:szCs w:val="22"/>
    </w:rPr>
  </w:style>
  <w:style w:type="character" w:customStyle="1" w:styleId="268">
    <w:name w:val="纯文本 Char2"/>
    <w:basedOn w:val="43"/>
    <w:semiHidden/>
    <w:qFormat/>
    <w:uiPriority w:val="99"/>
    <w:rPr>
      <w:rFonts w:hint="eastAsia" w:ascii="宋体" w:hAnsi="Courier New" w:eastAsia="宋体" w:cs="Courier New"/>
      <w:kern w:val="2"/>
      <w:sz w:val="21"/>
      <w:szCs w:val="21"/>
    </w:rPr>
  </w:style>
  <w:style w:type="character" w:customStyle="1" w:styleId="269">
    <w:name w:val="正文首行缩进 Char1"/>
    <w:basedOn w:val="267"/>
    <w:semiHidden/>
    <w:qFormat/>
    <w:uiPriority w:val="99"/>
    <w:rPr>
      <w:rFonts w:hint="default" w:ascii="Calibri" w:hAnsi="Calibri" w:cs="Calibri"/>
      <w:kern w:val="2"/>
      <w:sz w:val="21"/>
      <w:szCs w:val="22"/>
    </w:rPr>
  </w:style>
  <w:style w:type="character" w:customStyle="1" w:styleId="270">
    <w:name w:val="正文文本 2 Char1"/>
    <w:basedOn w:val="43"/>
    <w:semiHidden/>
    <w:qFormat/>
    <w:uiPriority w:val="99"/>
    <w:rPr>
      <w:rFonts w:hint="default" w:ascii="Calibri" w:hAnsi="Calibri" w:cs="Calibri"/>
      <w:kern w:val="2"/>
      <w:sz w:val="21"/>
      <w:szCs w:val="22"/>
    </w:rPr>
  </w:style>
  <w:style w:type="character" w:customStyle="1" w:styleId="271">
    <w:name w:val="副标题 Char2"/>
    <w:basedOn w:val="43"/>
    <w:qFormat/>
    <w:uiPriority w:val="11"/>
    <w:rPr>
      <w:rFonts w:hint="default" w:asciiTheme="majorHAnsi" w:hAnsiTheme="majorHAnsi" w:cstheme="majorBidi"/>
      <w:b/>
      <w:bCs/>
      <w:kern w:val="28"/>
      <w:sz w:val="32"/>
      <w:szCs w:val="32"/>
    </w:rPr>
  </w:style>
  <w:style w:type="paragraph" w:customStyle="1" w:styleId="272">
    <w:name w:val="List Paragraph1"/>
    <w:basedOn w:val="1"/>
    <w:qFormat/>
    <w:uiPriority w:val="0"/>
    <w:pPr>
      <w:ind w:firstLine="420" w:firstLineChars="200"/>
    </w:pPr>
    <w:rPr>
      <w:rFonts w:ascii="Times New Roman" w:hAnsi="Times New Roman"/>
      <w:szCs w:val="24"/>
    </w:rPr>
  </w:style>
  <w:style w:type="character" w:customStyle="1" w:styleId="273">
    <w:name w:val="列出段落 Char"/>
    <w:link w:val="163"/>
    <w:qFormat/>
    <w:uiPriority w:val="99"/>
    <w:rPr>
      <w:rFonts w:ascii="Times New Roman" w:hAnsi="Times New Roman" w:eastAsia="宋体" w:cs="Times New Roman"/>
      <w:kern w:val="0"/>
      <w:sz w:val="24"/>
      <w:szCs w:val="24"/>
    </w:rPr>
  </w:style>
  <w:style w:type="paragraph" w:customStyle="1" w:styleId="274">
    <w:name w:val="修订3"/>
    <w:hidden/>
    <w:unhideWhenUsed/>
    <w:qFormat/>
    <w:uiPriority w:val="99"/>
    <w:rPr>
      <w:rFonts w:ascii="Calibri" w:hAnsi="Calibri" w:eastAsia="宋体" w:cs="Times New Roman"/>
      <w:kern w:val="2"/>
      <w:sz w:val="21"/>
      <w:szCs w:val="22"/>
      <w:lang w:val="en-US" w:eastAsia="zh-CN" w:bidi="ar-SA"/>
    </w:rPr>
  </w:style>
  <w:style w:type="paragraph" w:customStyle="1" w:styleId="275">
    <w:name w:val="正文缩进2字符"/>
    <w:link w:val="276"/>
    <w:qFormat/>
    <w:uiPriority w:val="0"/>
    <w:pPr>
      <w:spacing w:line="360" w:lineRule="auto"/>
      <w:ind w:firstLine="480" w:firstLineChars="200"/>
    </w:pPr>
    <w:rPr>
      <w:rFonts w:ascii="Calibri" w:hAnsi="Calibri" w:eastAsia="宋体" w:cs="Times New Roman"/>
      <w:sz w:val="24"/>
      <w:szCs w:val="24"/>
      <w:lang w:val="en-US" w:eastAsia="zh-CN" w:bidi="ar-SA"/>
    </w:rPr>
  </w:style>
  <w:style w:type="character" w:customStyle="1" w:styleId="276">
    <w:name w:val="正文缩进2字符 Char"/>
    <w:link w:val="275"/>
    <w:qFormat/>
    <w:uiPriority w:val="0"/>
    <w:rPr>
      <w:rFonts w:ascii="Calibri" w:hAnsi="Calibri" w:eastAsia="宋体" w:cs="Times New Roman"/>
      <w:kern w:val="0"/>
      <w:sz w:val="24"/>
      <w:szCs w:val="24"/>
    </w:rPr>
  </w:style>
  <w:style w:type="paragraph" w:customStyle="1" w:styleId="277">
    <w:name w:val="彩色列表 - 强调文字颜色"/>
    <w:basedOn w:val="1"/>
    <w:qFormat/>
    <w:uiPriority w:val="99"/>
    <w:pPr>
      <w:spacing w:after="200" w:line="276" w:lineRule="auto"/>
      <w:ind w:firstLine="420" w:firstLineChars="200"/>
    </w:pPr>
    <w:rPr>
      <w:rFonts w:eastAsiaTheme="minorEastAsia" w:cstheme="minorBidi"/>
    </w:rPr>
  </w:style>
  <w:style w:type="character" w:customStyle="1" w:styleId="278">
    <w:name w:val="qowt-font2"/>
    <w:basedOn w:val="43"/>
    <w:qFormat/>
    <w:uiPriority w:val="0"/>
  </w:style>
  <w:style w:type="table" w:customStyle="1" w:styleId="279">
    <w:name w:val="网格型1"/>
    <w:basedOn w:val="41"/>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0">
    <w:name w:val="_Style 1"/>
    <w:basedOn w:val="1"/>
    <w:qFormat/>
    <w:uiPriority w:val="0"/>
    <w:pPr>
      <w:ind w:firstLine="420" w:firstLineChars="200"/>
    </w:pPr>
    <w:rPr>
      <w:kern w:val="0"/>
      <w:sz w:val="34"/>
    </w:rPr>
  </w:style>
  <w:style w:type="character" w:customStyle="1" w:styleId="281">
    <w:name w:val="CD正文 Char"/>
    <w:link w:val="205"/>
    <w:qFormat/>
    <w:uiPriority w:val="0"/>
    <w:rPr>
      <w:rFonts w:ascii="Times New Roman" w:hAnsi="Times New Roman" w:eastAsia="宋体" w:cs="Times New Roman"/>
      <w:sz w:val="24"/>
      <w:szCs w:val="24"/>
    </w:rPr>
  </w:style>
  <w:style w:type="character" w:customStyle="1" w:styleId="282">
    <w:name w:val="正文缩进 Char2"/>
    <w:qFormat/>
    <w:uiPriority w:val="0"/>
    <w:rPr>
      <w:szCs w:val="24"/>
    </w:rPr>
  </w:style>
  <w:style w:type="character" w:customStyle="1" w:styleId="283">
    <w:name w:val="H4 Char"/>
    <w:qFormat/>
    <w:uiPriority w:val="0"/>
    <w:rPr>
      <w:rFonts w:ascii="Arial" w:hAnsi="Arial" w:eastAsia="宋体"/>
      <w:b/>
      <w:kern w:val="2"/>
      <w:sz w:val="28"/>
      <w:lang w:val="en-US" w:eastAsia="zh-CN"/>
    </w:rPr>
  </w:style>
  <w:style w:type="paragraph" w:styleId="284">
    <w:name w:val="List Paragraph"/>
    <w:basedOn w:val="1"/>
    <w:qFormat/>
    <w:uiPriority w:val="99"/>
    <w:pPr>
      <w:ind w:firstLine="420" w:firstLineChars="200"/>
    </w:pPr>
  </w:style>
  <w:style w:type="paragraph" w:customStyle="1" w:styleId="285">
    <w:name w:val="修订4"/>
    <w:hidden/>
    <w:semiHidden/>
    <w:qFormat/>
    <w:uiPriority w:val="99"/>
    <w:rPr>
      <w:rFonts w:ascii="Calibri" w:hAnsi="Calibri" w:eastAsia="宋体" w:cs="Times New Roman"/>
      <w:kern w:val="2"/>
      <w:sz w:val="21"/>
      <w:szCs w:val="22"/>
      <w:lang w:val="en-US" w:eastAsia="zh-CN" w:bidi="ar-SA"/>
    </w:rPr>
  </w:style>
  <w:style w:type="paragraph" w:customStyle="1" w:styleId="286">
    <w:name w:val="WPSOffice手动目录 1"/>
    <w:qFormat/>
    <w:uiPriority w:val="0"/>
    <w:rPr>
      <w:rFonts w:ascii="Times New Roman" w:hAnsi="Times New Roman" w:eastAsia="宋体" w:cs="Times New Roman"/>
      <w:lang w:val="en-US" w:eastAsia="zh-CN" w:bidi="ar-SA"/>
    </w:rPr>
  </w:style>
  <w:style w:type="paragraph" w:customStyle="1" w:styleId="28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88">
    <w:name w:val="img"/>
    <w:basedOn w:val="43"/>
    <w:qFormat/>
    <w:uiPriority w:val="0"/>
  </w:style>
  <w:style w:type="character" w:customStyle="1" w:styleId="289">
    <w:name w:val="img1"/>
    <w:basedOn w:val="4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E56C1C-BAC8-460C-8E53-859A5761C5E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91</Pages>
  <Words>31766</Words>
  <Characters>33426</Characters>
  <Lines>264</Lines>
  <Paragraphs>74</Paragraphs>
  <TotalTime>35</TotalTime>
  <ScaleCrop>false</ScaleCrop>
  <LinksUpToDate>false</LinksUpToDate>
  <CharactersWithSpaces>34609</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2021-10-25T07:03:00Z</dcterms:created>
  <dc:creator>郑思媛</dc:creator>
  <cp:lastModifiedBy>S&amp;H</cp:lastModifiedBy>
  <dcterms:modified xsi:type="dcterms:W3CDTF">2021-11-18T08:06:45Z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KSOSaveFontToCloudKey">
    <vt:lpwstr>300669523_btnclosed</vt:lpwstr>
  </property>
  <property fmtid="{D5CDD505-2E9C-101B-9397-08002B2CF9AE}" pid="4" name="ICV">
    <vt:lpwstr>405D346069C8420BABACF6969AFBFA3E</vt:lpwstr>
  </property>
</Properties>
</file>