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42"/>
          <w:sz w:val="84"/>
        </w:rPr>
      </w:pPr>
      <w:r>
        <w:rPr>
          <w:rFonts w:hint="eastAsia" w:ascii="华文中宋" w:hAnsi="华文中宋" w:eastAsia="华文中宋"/>
          <w:spacing w:val="42"/>
          <w:sz w:val="84"/>
        </w:rPr>
        <w:t xml:space="preserve"> </w:t>
      </w: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华文中宋" w:hAnsi="华文中宋" w:eastAsia="华文中宋"/>
          <w:sz w:val="32"/>
          <w:szCs w:val="32"/>
        </w:rPr>
      </w:pPr>
    </w:p>
    <w:p>
      <w:pPr>
        <w:spacing w:line="360" w:lineRule="auto"/>
        <w:rPr>
          <w:rFonts w:ascii="华文中宋" w:hAnsi="华文中宋" w:eastAsia="华文中宋"/>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cs="宋体"/>
          <w:sz w:val="32"/>
          <w:szCs w:val="32"/>
          <w:lang w:eastAsia="zh-CN"/>
        </w:rPr>
        <w:t>成都市双流区妇幼保健院二期业务楼第一批办公家具采购项目（第三次）</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cs="宋体"/>
          <w:sz w:val="32"/>
          <w:szCs w:val="32"/>
          <w:lang w:eastAsia="zh-CN"/>
        </w:rPr>
        <w:t>双流政采（2021）A0060号-1</w:t>
      </w:r>
    </w:p>
    <w:p>
      <w:pPr>
        <w:spacing w:line="360" w:lineRule="auto"/>
        <w:ind w:firstLine="1280" w:firstLineChars="400"/>
        <w:rPr>
          <w:rFonts w:hint="eastAsia" w:ascii="宋体" w:hAnsi="宋体" w:eastAsia="宋体" w:cs="宋体"/>
          <w:sz w:val="32"/>
          <w:szCs w:val="32"/>
        </w:rPr>
      </w:pPr>
    </w:p>
    <w:p>
      <w:pPr>
        <w:spacing w:line="360" w:lineRule="auto"/>
        <w:jc w:val="both"/>
        <w:rPr>
          <w:rFonts w:hint="eastAsia" w:ascii="宋体" w:hAnsi="宋体" w:eastAsia="宋体" w:cs="宋体"/>
          <w:sz w:val="32"/>
          <w:szCs w:val="32"/>
        </w:rPr>
      </w:pPr>
    </w:p>
    <w:p>
      <w:pPr>
        <w:pStyle w:val="2"/>
        <w:rPr>
          <w:rFonts w:hint="eastAsia" w:ascii="宋体" w:hAnsi="宋体" w:eastAsia="宋体" w:cs="宋体"/>
          <w:sz w:val="32"/>
          <w:szCs w:val="32"/>
        </w:rPr>
      </w:pPr>
    </w:p>
    <w:p>
      <w:pPr>
        <w:rPr>
          <w:rFonts w:hint="eastAsia"/>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成都市双流区妇幼保健院</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成都市双流区公共资源交易服务中心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pStyle w:val="2"/>
        <w:rPr>
          <w:rFonts w:hint="eastAsia"/>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cs="宋体"/>
          <w:sz w:val="32"/>
          <w:szCs w:val="32"/>
          <w:lang w:val="en-US" w:eastAsia="zh-CN"/>
        </w:rPr>
        <w:t>十</w:t>
      </w:r>
      <w:r>
        <w:rPr>
          <w:rFonts w:hint="eastAsia" w:ascii="宋体" w:hAnsi="宋体" w:eastAsia="宋体" w:cs="宋体"/>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p>
    <w:p>
      <w:pPr>
        <w:pStyle w:val="2"/>
        <w:rPr>
          <w:rFonts w:ascii="华文中宋" w:hAnsi="华文中宋" w:eastAsia="华文中宋"/>
          <w:sz w:val="32"/>
          <w:szCs w:val="32"/>
        </w:rPr>
      </w:pPr>
    </w:p>
    <w:p>
      <w:pPr>
        <w:pStyle w:val="2"/>
      </w:pP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b/>
          <w:sz w:val="36"/>
        </w:rPr>
      </w:pPr>
      <w:bookmarkStart w:id="0" w:name="_Toc101328520"/>
      <w:bookmarkStart w:id="1" w:name="_Toc101234248"/>
      <w:bookmarkStart w:id="2" w:name="_Toc101247312"/>
      <w:bookmarkStart w:id="3" w:name="_Toc148505181"/>
      <w:r>
        <w:rPr>
          <w:rFonts w:hint="eastAsia" w:ascii="宋体" w:hAnsi="宋体"/>
          <w:b/>
          <w:sz w:val="32"/>
          <w:szCs w:val="32"/>
        </w:rPr>
        <w:t>目 录</w:t>
      </w:r>
    </w:p>
    <w:p>
      <w:pPr>
        <w:pStyle w:val="29"/>
        <w:tabs>
          <w:tab w:val="right" w:leader="dot" w:pos="8306"/>
          <w:tab w:val="clear" w:pos="709"/>
          <w:tab w:val="clear" w:pos="8364"/>
        </w:tabs>
      </w:pPr>
      <w:r>
        <w:rPr>
          <w:rFonts w:hint="eastAsia"/>
        </w:rPr>
        <w:fldChar w:fldCharType="begin"/>
      </w:r>
      <w:r>
        <w:rPr>
          <w:rFonts w:hint="eastAsia" w:ascii="宋体" w:hAnsi="宋体"/>
          <w:smallCaps/>
        </w:rPr>
        <w:instrText xml:space="preserve"> TOC \o "1-2" \h \z \u </w:instrText>
      </w:r>
      <w:r>
        <w:rPr>
          <w:rFonts w:hint="eastAsia"/>
        </w:rPr>
        <w:fldChar w:fldCharType="separate"/>
      </w:r>
      <w:r>
        <w:rPr>
          <w:rFonts w:hint="eastAsia"/>
        </w:rPr>
        <w:fldChar w:fldCharType="begin"/>
      </w:r>
      <w:r>
        <w:rPr>
          <w:rFonts w:hint="eastAsia"/>
        </w:rPr>
        <w:instrText xml:space="preserve"> HYPERLINK \l _Toc7765 </w:instrText>
      </w:r>
      <w:r>
        <w:rPr>
          <w:rFonts w:hint="eastAsi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_Toc7765 \h </w:instrText>
      </w:r>
      <w:r>
        <w:fldChar w:fldCharType="separate"/>
      </w:r>
      <w:r>
        <w:t>3</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_Toc28002 </w:instrText>
      </w:r>
      <w:r>
        <w:rPr>
          <w:rFonts w:hint="eastAsia"/>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_Toc28002 \h </w:instrText>
      </w:r>
      <w:r>
        <w:fldChar w:fldCharType="separate"/>
      </w:r>
      <w:r>
        <w:t>9</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_Toc31438 </w:instrText>
      </w:r>
      <w:r>
        <w:rPr>
          <w:rFonts w:hint="eastAsia"/>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_Toc31438 \h </w:instrText>
      </w:r>
      <w:r>
        <w:fldChar w:fldCharType="separate"/>
      </w:r>
      <w:r>
        <w:t>9</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_Toc6333 </w:instrText>
      </w:r>
      <w:r>
        <w:rPr>
          <w:rFonts w:hint="eastAsia"/>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_Toc6333 \h </w:instrText>
      </w:r>
      <w:r>
        <w:fldChar w:fldCharType="separate"/>
      </w:r>
      <w:r>
        <w:t>11</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_Toc2697 </w:instrText>
      </w:r>
      <w:r>
        <w:rPr>
          <w:rFonts w:hint="eastAsia"/>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_Toc2697 \h </w:instrText>
      </w:r>
      <w:r>
        <w:fldChar w:fldCharType="separate"/>
      </w:r>
      <w:r>
        <w:t>14</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_Toc14278 </w:instrText>
      </w:r>
      <w:r>
        <w:rPr>
          <w:rFonts w:hint="eastAsia"/>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_Toc14278 \h </w:instrText>
      </w:r>
      <w:r>
        <w:fldChar w:fldCharType="separate"/>
      </w:r>
      <w:r>
        <w:t>15</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_Toc14304 </w:instrText>
      </w:r>
      <w:r>
        <w:rPr>
          <w:rFonts w:hint="eastAsia"/>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_Toc14304 \h </w:instrText>
      </w:r>
      <w:r>
        <w:fldChar w:fldCharType="separate"/>
      </w:r>
      <w:r>
        <w:t>23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_Toc12562 </w:instrText>
      </w:r>
      <w:r>
        <w:rPr>
          <w:rFonts w:hint="eastAsia"/>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_Toc12562 \h </w:instrText>
      </w:r>
      <w:r>
        <w:fldChar w:fldCharType="separate"/>
      </w:r>
      <w:r>
        <w:t>25</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_Toc26151 </w:instrText>
      </w:r>
      <w:r>
        <w:rPr>
          <w:rFonts w:hint="eastAsia"/>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_Toc26151 \h </w:instrText>
      </w:r>
      <w:r>
        <w:fldChar w:fldCharType="separate"/>
      </w:r>
      <w:r>
        <w:t>27</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_Toc32086 </w:instrText>
      </w:r>
      <w:r>
        <w:rPr>
          <w:rFonts w:hint="eastAsia"/>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_Toc32086 \h </w:instrText>
      </w:r>
      <w:r>
        <w:fldChar w:fldCharType="separate"/>
      </w:r>
      <w:r>
        <w:t>30</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_Toc2864 </w:instrText>
      </w:r>
      <w:r>
        <w:rPr>
          <w:rFonts w:hint="eastAsia"/>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中小企业政府采购信用融资</w:t>
      </w:r>
      <w:r>
        <w:tab/>
      </w:r>
      <w:r>
        <w:fldChar w:fldCharType="begin"/>
      </w:r>
      <w:r>
        <w:instrText xml:space="preserve"> PAGEREF _Toc2864 \h </w:instrText>
      </w:r>
      <w:r>
        <w:fldChar w:fldCharType="separate"/>
      </w:r>
      <w:r>
        <w:t>31</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_Toc17248 </w:instrText>
      </w:r>
      <w:r>
        <w:rPr>
          <w:rFonts w:hint="eastAsia"/>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_Toc17248 \h </w:instrText>
      </w:r>
      <w:r>
        <w:fldChar w:fldCharType="separate"/>
      </w:r>
      <w:r>
        <w:t>32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_Toc8649 </w:instrText>
      </w:r>
      <w:r>
        <w:rPr>
          <w:rFonts w:hint="eastAsia"/>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_Toc8649 \h </w:instrText>
      </w:r>
      <w:r>
        <w:fldChar w:fldCharType="separate"/>
      </w:r>
      <w:r>
        <w:t>32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_Toc11542 </w:instrText>
      </w:r>
      <w:r>
        <w:rPr>
          <w:rFonts w:hint="eastAsia"/>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_Toc11542 \h </w:instrText>
      </w:r>
      <w:r>
        <w:fldChar w:fldCharType="separate"/>
      </w:r>
      <w:r>
        <w:t>33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_Toc9543 </w:instrText>
      </w:r>
      <w:r>
        <w:rPr>
          <w:rFonts w:hint="eastAsia"/>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w:t>
      </w:r>
      <w:r>
        <w:rPr>
          <w:rFonts w:ascii="宋体" w:hAnsi="宋体"/>
          <w:bCs/>
          <w:szCs w:val="28"/>
        </w:rPr>
        <w:t>响应文件</w:t>
      </w:r>
      <w:r>
        <w:tab/>
      </w:r>
      <w:r>
        <w:fldChar w:fldCharType="begin"/>
      </w:r>
      <w:r>
        <w:instrText xml:space="preserve"> PAGEREF _Toc9543 \h </w:instrText>
      </w:r>
      <w:r>
        <w:fldChar w:fldCharType="separate"/>
      </w:r>
      <w:r>
        <w:t>40</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_Toc1369 </w:instrText>
      </w:r>
      <w:r>
        <w:rPr>
          <w:rFonts w:hint="eastAsia"/>
        </w:rPr>
        <w:fldChar w:fldCharType="separate"/>
      </w:r>
      <w:r>
        <w:rPr>
          <w:rFonts w:hint="default" w:ascii="Times New Roman" w:hAnsi="Times New Roman" w:eastAsia="宋体" w:cs="Times New Roman"/>
          <w:bCs/>
          <w:i w:val="0"/>
          <w:szCs w:val="28"/>
        </w:rPr>
        <w:t xml:space="preserve">3.4 </w:t>
      </w:r>
      <w:r>
        <w:rPr>
          <w:rFonts w:hint="eastAsia" w:ascii="宋体" w:hAnsi="宋体"/>
          <w:bCs/>
          <w:szCs w:val="28"/>
        </w:rPr>
        <w:t>报价</w:t>
      </w:r>
      <w:r>
        <w:rPr>
          <w:rFonts w:ascii="宋体" w:hAnsi="宋体"/>
          <w:bCs/>
          <w:szCs w:val="28"/>
        </w:rPr>
        <w:t>要求响应文件</w:t>
      </w:r>
      <w:r>
        <w:tab/>
      </w:r>
      <w:r>
        <w:fldChar w:fldCharType="begin"/>
      </w:r>
      <w:r>
        <w:instrText xml:space="preserve"> PAGEREF _Toc1369 \h </w:instrText>
      </w:r>
      <w:r>
        <w:fldChar w:fldCharType="separate"/>
      </w:r>
      <w:r>
        <w:t>50</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_Toc1635 </w:instrText>
      </w:r>
      <w:r>
        <w:rPr>
          <w:rFonts w:hint="eastAsia"/>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_Toc1635 \h </w:instrText>
      </w:r>
      <w:r>
        <w:fldChar w:fldCharType="separate"/>
      </w:r>
      <w:r>
        <w:t>53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_Toc28146 </w:instrText>
      </w:r>
      <w:r>
        <w:rPr>
          <w:rFonts w:hint="eastAsia"/>
        </w:rPr>
        <w:fldChar w:fldCharType="separate"/>
      </w:r>
      <w:r>
        <w:rPr>
          <w:rFonts w:hint="default" w:ascii="Times New Roman" w:hAnsi="Times New Roman" w:eastAsia="宋体" w:cs="Times New Roman"/>
          <w:bCs/>
          <w:i w:val="0"/>
          <w:szCs w:val="28"/>
        </w:rPr>
        <w:t xml:space="preserve">4.1 </w:t>
      </w:r>
      <w:r>
        <w:rPr>
          <w:rFonts w:hint="eastAsia" w:ascii="宋体" w:hAnsi="宋体"/>
          <w:bCs/>
          <w:szCs w:val="28"/>
        </w:rPr>
        <w:t>项目概况</w:t>
      </w:r>
      <w:r>
        <w:tab/>
      </w:r>
      <w:r>
        <w:fldChar w:fldCharType="begin"/>
      </w:r>
      <w:r>
        <w:instrText xml:space="preserve"> PAGEREF _Toc28146 \h </w:instrText>
      </w:r>
      <w:r>
        <w:fldChar w:fldCharType="separate"/>
      </w:r>
      <w:r>
        <w:t>53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_Toc19437 </w:instrText>
      </w:r>
      <w:r>
        <w:rPr>
          <w:rFonts w:hint="eastAsia"/>
        </w:rPr>
        <w:fldChar w:fldCharType="separate"/>
      </w:r>
      <w:r>
        <w:rPr>
          <w:rFonts w:hint="default" w:ascii="Times New Roman" w:hAnsi="Times New Roman" w:eastAsia="宋体" w:cs="Times New Roman"/>
          <w:bCs/>
          <w:i w:val="0"/>
          <w:szCs w:val="28"/>
        </w:rPr>
        <w:t xml:space="preserve">4.2 </w:t>
      </w:r>
      <w:r>
        <w:rPr>
          <w:rFonts w:hint="eastAsia" w:ascii="宋体" w:hAnsi="宋体"/>
          <w:bCs/>
          <w:szCs w:val="28"/>
        </w:rPr>
        <w:t>采购内容</w:t>
      </w:r>
      <w:r>
        <w:tab/>
      </w:r>
      <w:r>
        <w:fldChar w:fldCharType="begin"/>
      </w:r>
      <w:r>
        <w:instrText xml:space="preserve"> PAGEREF _Toc19437 \h </w:instrText>
      </w:r>
      <w:r>
        <w:fldChar w:fldCharType="separate"/>
      </w:r>
      <w:r>
        <w:t>53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_Toc13815 </w:instrText>
      </w:r>
      <w:r>
        <w:rPr>
          <w:rFonts w:hint="eastAsia"/>
        </w:rPr>
        <w:fldChar w:fldCharType="separate"/>
      </w:r>
      <w:r>
        <w:rPr>
          <w:rFonts w:hint="default" w:ascii="Times New Roman" w:hAnsi="Times New Roman" w:eastAsia="宋体" w:cs="Times New Roman"/>
          <w:bCs/>
          <w:i w:val="0"/>
          <w:szCs w:val="28"/>
        </w:rPr>
        <w:t xml:space="preserve">4.3 </w:t>
      </w:r>
      <w:r>
        <w:rPr>
          <w:rFonts w:hint="eastAsia" w:ascii="宋体" w:hAnsi="宋体"/>
          <w:bCs/>
          <w:szCs w:val="28"/>
        </w:rPr>
        <w:t>技术参数及要求</w:t>
      </w:r>
      <w:r>
        <w:tab/>
      </w:r>
      <w:r>
        <w:fldChar w:fldCharType="begin"/>
      </w:r>
      <w:r>
        <w:instrText xml:space="preserve"> PAGEREF _Toc13815 \h </w:instrText>
      </w:r>
      <w:r>
        <w:fldChar w:fldCharType="separate"/>
      </w:r>
      <w:r>
        <w:t>54</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_Toc26142 </w:instrText>
      </w:r>
      <w:r>
        <w:rPr>
          <w:rFonts w:hint="eastAsia"/>
        </w:rPr>
        <w:fldChar w:fldCharType="separate"/>
      </w:r>
      <w:r>
        <w:rPr>
          <w:rFonts w:hint="default" w:ascii="Times New Roman" w:hAnsi="Times New Roman" w:eastAsia="宋体" w:cs="Times New Roman"/>
          <w:bCs/>
          <w:i w:val="0"/>
          <w:szCs w:val="28"/>
        </w:rPr>
        <w:t xml:space="preserve">4.4 </w:t>
      </w:r>
      <w:r>
        <w:rPr>
          <w:rFonts w:hint="eastAsia" w:ascii="宋体" w:hAnsi="宋体"/>
          <w:bCs/>
          <w:szCs w:val="28"/>
        </w:rPr>
        <w:t>核心产品</w:t>
      </w:r>
      <w:r>
        <w:tab/>
      </w:r>
      <w:r>
        <w:fldChar w:fldCharType="begin"/>
      </w:r>
      <w:r>
        <w:instrText xml:space="preserve"> PAGEREF _Toc26142 \h </w:instrText>
      </w:r>
      <w:r>
        <w:fldChar w:fldCharType="separate"/>
      </w:r>
      <w:r>
        <w:t>71</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_Toc23624 </w:instrText>
      </w:r>
      <w:r>
        <w:rPr>
          <w:rFonts w:hint="eastAsia"/>
        </w:rPr>
        <w:fldChar w:fldCharType="separate"/>
      </w:r>
      <w:r>
        <w:rPr>
          <w:rFonts w:hint="default" w:ascii="Times New Roman" w:hAnsi="Times New Roman" w:eastAsia="宋体" w:cs="Times New Roman"/>
          <w:bCs/>
          <w:i w:val="0"/>
          <w:szCs w:val="28"/>
        </w:rPr>
        <w:t xml:space="preserve">4.5 </w:t>
      </w:r>
      <w:r>
        <w:rPr>
          <w:rFonts w:hint="eastAsia" w:ascii="宋体" w:hAnsi="宋体"/>
          <w:bCs/>
          <w:szCs w:val="28"/>
          <w:lang w:val="en-US" w:eastAsia="zh-CN"/>
        </w:rPr>
        <w:t>*</w:t>
      </w:r>
      <w:r>
        <w:rPr>
          <w:rFonts w:hint="eastAsia" w:ascii="宋体" w:hAnsi="宋体"/>
          <w:bCs/>
          <w:szCs w:val="28"/>
        </w:rPr>
        <w:t>商务</w:t>
      </w:r>
      <w:r>
        <w:rPr>
          <w:rFonts w:ascii="宋体" w:hAnsi="宋体"/>
          <w:bCs/>
          <w:szCs w:val="28"/>
        </w:rPr>
        <w:t>要求</w:t>
      </w:r>
      <w:r>
        <w:tab/>
      </w:r>
      <w:r>
        <w:fldChar w:fldCharType="begin"/>
      </w:r>
      <w:r>
        <w:instrText xml:space="preserve"> PAGEREF _Toc23624 \h </w:instrText>
      </w:r>
      <w:r>
        <w:fldChar w:fldCharType="separate"/>
      </w:r>
      <w:r>
        <w:t>72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_Toc12699 </w:instrText>
      </w:r>
      <w:r>
        <w:rPr>
          <w:rFonts w:hint="eastAsia"/>
        </w:rPr>
        <w:fldChar w:fldCharType="separate"/>
      </w:r>
      <w:r>
        <w:rPr>
          <w:rFonts w:hint="default" w:ascii="Times New Roman" w:hAnsi="Times New Roman" w:eastAsia="宋体" w:cs="Times New Roman"/>
          <w:bCs/>
          <w:i w:val="0"/>
          <w:szCs w:val="28"/>
        </w:rPr>
        <w:t xml:space="preserve">4.6 </w:t>
      </w:r>
      <w:r>
        <w:rPr>
          <w:rFonts w:hint="eastAsia" w:ascii="宋体" w:hAnsi="宋体" w:cs="宋体"/>
          <w:bCs/>
          <w:szCs w:val="28"/>
          <w:lang w:val="en-US" w:eastAsia="zh-CN"/>
        </w:rPr>
        <w:t>*</w:t>
      </w:r>
      <w:r>
        <w:rPr>
          <w:rFonts w:hint="eastAsia" w:ascii="宋体" w:hAnsi="宋体" w:cs="宋体"/>
          <w:bCs/>
          <w:szCs w:val="28"/>
        </w:rPr>
        <w:t>最高限价</w:t>
      </w:r>
      <w:r>
        <w:tab/>
      </w:r>
      <w:r>
        <w:fldChar w:fldCharType="begin"/>
      </w:r>
      <w:r>
        <w:instrText xml:space="preserve"> PAGEREF _Toc12699 \h </w:instrText>
      </w:r>
      <w:r>
        <w:fldChar w:fldCharType="separate"/>
      </w:r>
      <w:r>
        <w:t>76</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_Toc26395 </w:instrText>
      </w:r>
      <w:r>
        <w:rPr>
          <w:rFonts w:hint="eastAsia"/>
        </w:rPr>
        <w:fldChar w:fldCharType="separate"/>
      </w:r>
      <w:r>
        <w:rPr>
          <w:rFonts w:hint="default" w:ascii="Times New Roman" w:hAnsi="Times New Roman" w:eastAsia="宋体" w:cs="Times New Roman"/>
          <w:bCs/>
          <w:i w:val="0"/>
          <w:szCs w:val="28"/>
        </w:rPr>
        <w:t xml:space="preserve">4.7 </w:t>
      </w:r>
      <w:r>
        <w:rPr>
          <w:rFonts w:hint="eastAsia" w:ascii="宋体" w:hAnsi="宋体" w:cs="宋体"/>
          <w:bCs/>
          <w:szCs w:val="28"/>
        </w:rPr>
        <w:t>解决争议的方式</w:t>
      </w:r>
      <w:r>
        <w:tab/>
      </w:r>
      <w:r>
        <w:fldChar w:fldCharType="begin"/>
      </w:r>
      <w:r>
        <w:instrText xml:space="preserve"> PAGEREF _Toc26395 \h </w:instrText>
      </w:r>
      <w:r>
        <w:fldChar w:fldCharType="separate"/>
      </w:r>
      <w:r>
        <w:t>76</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_Toc20323 </w:instrText>
      </w:r>
      <w:r>
        <w:rPr>
          <w:rFonts w:hint="eastAsia"/>
        </w:rPr>
        <w:fldChar w:fldCharType="separate"/>
      </w:r>
      <w:r>
        <w:rPr>
          <w:rFonts w:hint="default" w:ascii="Times New Roman" w:hAnsi="Times New Roman" w:eastAsia="宋体" w:cs="Times New Roman"/>
          <w:i w:val="0"/>
          <w:szCs w:val="28"/>
        </w:rPr>
        <w:t xml:space="preserve">4.8 </w:t>
      </w:r>
      <w:r>
        <w:rPr>
          <w:rFonts w:hint="eastAsia" w:ascii="宋体" w:hAnsi="宋体" w:cs="宋体"/>
          <w:szCs w:val="28"/>
          <w:lang w:val="en-US" w:eastAsia="zh-CN"/>
        </w:rPr>
        <w:t>*</w:t>
      </w:r>
      <w:r>
        <w:rPr>
          <w:rFonts w:hint="eastAsia" w:ascii="宋体" w:hAnsi="宋体" w:cs="宋体"/>
          <w:szCs w:val="28"/>
        </w:rPr>
        <w:t>其他要求</w:t>
      </w:r>
      <w:r>
        <w:tab/>
      </w:r>
      <w:r>
        <w:fldChar w:fldCharType="begin"/>
      </w:r>
      <w:r>
        <w:instrText xml:space="preserve"> PAGEREF _Toc20323 \h </w:instrText>
      </w:r>
      <w:r>
        <w:fldChar w:fldCharType="separate"/>
      </w:r>
      <w:r>
        <w:t>76</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_Toc16551 </w:instrText>
      </w:r>
      <w:r>
        <w:rPr>
          <w:rFonts w:hint="eastAsia"/>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_Toc16551 \h </w:instrText>
      </w:r>
      <w:r>
        <w:fldChar w:fldCharType="separate"/>
      </w:r>
      <w:r>
        <w:t>78</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_Toc24883 </w:instrText>
      </w:r>
      <w:r>
        <w:rPr>
          <w:rFonts w:hint="eastAsia"/>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_Toc24883 \h </w:instrText>
      </w:r>
      <w:r>
        <w:fldChar w:fldCharType="separate"/>
      </w:r>
      <w:r>
        <w:t>82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_Toc2676 </w:instrText>
      </w:r>
      <w:r>
        <w:rPr>
          <w:rFonts w:hint="eastAsia"/>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_Toc2676 \h </w:instrText>
      </w:r>
      <w:r>
        <w:fldChar w:fldCharType="separate"/>
      </w:r>
      <w:r>
        <w:t>82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_Toc30261 </w:instrText>
      </w:r>
      <w:r>
        <w:rPr>
          <w:rFonts w:hint="eastAsia"/>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_Toc30261 \h </w:instrText>
      </w:r>
      <w:r>
        <w:fldChar w:fldCharType="separate"/>
      </w:r>
      <w:r>
        <w:t>83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_Toc9175 </w:instrText>
      </w:r>
      <w:r>
        <w:rPr>
          <w:rFonts w:hint="eastAsia"/>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_Toc9175 \h </w:instrText>
      </w:r>
      <w:r>
        <w:fldChar w:fldCharType="separate"/>
      </w:r>
      <w:r>
        <w:t>83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_Toc4591 </w:instrText>
      </w:r>
      <w:r>
        <w:rPr>
          <w:rFonts w:hint="eastAsia"/>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_Toc4591 \h </w:instrText>
      </w:r>
      <w:r>
        <w:fldChar w:fldCharType="separate"/>
      </w:r>
      <w:r>
        <w:t>89</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_Toc17826 </w:instrText>
      </w:r>
      <w:r>
        <w:rPr>
          <w:rFonts w:hint="eastAsia"/>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_Toc17826 \h </w:instrText>
      </w:r>
      <w:r>
        <w:fldChar w:fldCharType="separate"/>
      </w:r>
      <w:r>
        <w:t>89</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_Toc18373 </w:instrText>
      </w:r>
      <w:r>
        <w:rPr>
          <w:rFonts w:hint="eastAsia"/>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_Toc18373 \h </w:instrText>
      </w:r>
      <w:r>
        <w:fldChar w:fldCharType="separate"/>
      </w:r>
      <w:r>
        <w:t>90</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_Toc25625 </w:instrText>
      </w:r>
      <w:r>
        <w:rPr>
          <w:rFonts w:hint="eastAsia"/>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_Toc25625 \h </w:instrText>
      </w:r>
      <w:r>
        <w:fldChar w:fldCharType="separate"/>
      </w:r>
      <w:r>
        <w:t>90</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_Toc30615 </w:instrText>
      </w:r>
      <w:r>
        <w:rPr>
          <w:rFonts w:hint="eastAsia"/>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_Toc30615 \h </w:instrText>
      </w:r>
      <w:r>
        <w:fldChar w:fldCharType="separate"/>
      </w:r>
      <w:r>
        <w:t>91</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_Toc20891 </w:instrText>
      </w:r>
      <w:r>
        <w:rPr>
          <w:rFonts w:hint="eastAsia"/>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_Toc20891 \h </w:instrText>
      </w:r>
      <w:r>
        <w:fldChar w:fldCharType="separate"/>
      </w:r>
      <w:r>
        <w:t>92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_Toc23616 </w:instrText>
      </w:r>
      <w:r>
        <w:rPr>
          <w:rFonts w:hint="eastAsia"/>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评审专家在政府采购活动中应当遵守以下工作纪律</w:t>
      </w:r>
      <w:r>
        <w:tab/>
      </w:r>
      <w:r>
        <w:fldChar w:fldCharType="begin"/>
      </w:r>
      <w:r>
        <w:instrText xml:space="preserve"> PAGEREF _Toc23616 \h </w:instrText>
      </w:r>
      <w:r>
        <w:fldChar w:fldCharType="separate"/>
      </w:r>
      <w:r>
        <w:t>93</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_Toc12207 </w:instrText>
      </w:r>
      <w:r>
        <w:rPr>
          <w:rFonts w:hint="eastAsia"/>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拟签订合同文本</w:t>
      </w:r>
      <w:r>
        <w:tab/>
      </w:r>
      <w:r>
        <w:fldChar w:fldCharType="begin"/>
      </w:r>
      <w:r>
        <w:instrText xml:space="preserve"> PAGEREF _Toc12207 \h </w:instrText>
      </w:r>
      <w:r>
        <w:fldChar w:fldCharType="separate"/>
      </w:r>
      <w:r>
        <w:t>95</w:t>
      </w:r>
      <w:r>
        <w:fldChar w:fldCharType="end"/>
      </w:r>
      <w:r>
        <w:rPr>
          <w:rFonts w:hint="eastAsia"/>
        </w:rPr>
        <w:fldChar w:fldCharType="end"/>
      </w:r>
    </w:p>
    <w:p>
      <w:pPr>
        <w:keepNext/>
        <w:keepLines/>
        <w:pageBreakBefore w:val="0"/>
        <w:widowControl w:val="0"/>
        <w:numPr>
          <w:ilvl w:val="0"/>
          <w:numId w:val="3"/>
        </w:numPr>
        <w:kinsoku/>
        <w:wordWrap/>
        <w:overflowPunct/>
        <w:topLinePunct w:val="0"/>
        <w:autoSpaceDE/>
        <w:autoSpaceDN/>
        <w:bidi w:val="0"/>
        <w:adjustRightInd/>
        <w:snapToGrid/>
        <w:spacing w:before="340" w:line="400" w:lineRule="exact"/>
        <w:ind w:left="0" w:firstLine="0"/>
        <w:jc w:val="center"/>
        <w:textAlignment w:val="auto"/>
        <w:outlineLvl w:val="0"/>
        <w:rPr>
          <w:rFonts w:ascii="宋体" w:hAnsi="宋体"/>
          <w:b/>
          <w:bCs/>
          <w:spacing w:val="-20"/>
          <w:kern w:val="44"/>
          <w:sz w:val="32"/>
          <w:szCs w:val="32"/>
        </w:rPr>
      </w:pPr>
      <w:r>
        <w:rPr>
          <w:rFonts w:hint="eastAsia"/>
        </w:rPr>
        <w:fldChar w:fldCharType="end"/>
      </w:r>
      <w:bookmarkStart w:id="4" w:name="_Toc7765"/>
      <w:bookmarkStart w:id="5" w:name="_Toc181610856"/>
      <w:bookmarkStart w:id="6" w:name="_Toc204575871"/>
      <w:bookmarkStart w:id="7" w:name="_Toc181591102"/>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rPr>
        <w:t>成都市双流区公共资源交易服务中心(以下简称“区公资交易中心”)受</w:t>
      </w:r>
      <w:r>
        <w:rPr>
          <w:rFonts w:hint="eastAsia" w:ascii="宋体" w:hAnsi="宋体"/>
          <w:b/>
          <w:sz w:val="28"/>
          <w:szCs w:val="28"/>
          <w:u w:val="single"/>
        </w:rPr>
        <w:t>成都市双流区妇幼保健院</w:t>
      </w:r>
      <w:r>
        <w:rPr>
          <w:rFonts w:hint="eastAsia" w:ascii="宋体" w:hAnsi="宋体"/>
          <w:sz w:val="28"/>
          <w:szCs w:val="28"/>
        </w:rPr>
        <w:t>委托，拟对</w:t>
      </w:r>
      <w:r>
        <w:rPr>
          <w:rFonts w:hint="eastAsia" w:ascii="宋体" w:hAnsi="宋体"/>
          <w:b/>
          <w:sz w:val="28"/>
          <w:szCs w:val="28"/>
          <w:u w:val="single"/>
          <w:lang w:eastAsia="zh-CN"/>
        </w:rPr>
        <w:t>成都市双流区妇幼保健院二期业务楼第一批办公家具采购项目（第三次）</w:t>
      </w:r>
      <w:r>
        <w:rPr>
          <w:rFonts w:hint="eastAsia" w:ascii="宋体" w:hAnsi="宋体"/>
          <w:sz w:val="28"/>
          <w:szCs w:val="28"/>
        </w:rPr>
        <w:t>进行国内公开招标，兹邀请符合本次招标要求的供应商参加投标。</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双流政采（2021）A0060号-1</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（采购项目编号：510122202100215）</w:t>
      </w:r>
      <w:r>
        <w:rPr>
          <w:rFonts w:ascii="宋体" w:hAnsi="宋体"/>
          <w:b/>
          <w:sz w:val="28"/>
          <w:szCs w:val="28"/>
        </w:rPr>
        <w:t xml:space="preserve"> </w:t>
      </w:r>
    </w:p>
    <w:p>
      <w:pPr>
        <w:numPr>
          <w:ilvl w:val="0"/>
          <w:numId w:val="4"/>
        </w:numPr>
        <w:spacing w:line="360" w:lineRule="auto"/>
        <w:ind w:left="98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成都市双流区妇幼保健院二期业务楼第一批办公家具采购项目（第三次）</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财政性资金，政府采购实施计划备案表号：(2021)0542号；预算品目：办公家具；预算金额：3194200.00元；投标</w:t>
      </w:r>
      <w:r>
        <w:rPr>
          <w:rFonts w:ascii="宋体" w:hAnsi="宋体"/>
          <w:sz w:val="28"/>
          <w:szCs w:val="28"/>
        </w:rPr>
        <w:t>报价</w:t>
      </w:r>
      <w:r>
        <w:rPr>
          <w:rFonts w:hint="eastAsia" w:ascii="宋体" w:hAnsi="宋体"/>
          <w:sz w:val="28"/>
          <w:szCs w:val="28"/>
        </w:rPr>
        <w:t>最高限价：3194200.00元；</w:t>
      </w:r>
      <w:r>
        <w:rPr>
          <w:rFonts w:ascii="宋体" w:hAnsi="宋体"/>
          <w:sz w:val="28"/>
          <w:szCs w:val="28"/>
        </w:rPr>
        <w:t>单价最高限价见</w:t>
      </w:r>
      <w:r>
        <w:rPr>
          <w:rFonts w:hint="eastAsia" w:ascii="宋体" w:hAnsi="宋体"/>
          <w:sz w:val="28"/>
          <w:szCs w:val="28"/>
        </w:rPr>
        <w:t>第4章4.2采购内容。</w:t>
      </w:r>
    </w:p>
    <w:p>
      <w:pPr>
        <w:numPr>
          <w:ilvl w:val="0"/>
          <w:numId w:val="4"/>
        </w:numPr>
        <w:spacing w:line="360" w:lineRule="auto"/>
        <w:ind w:left="0" w:firstLine="562" w:firstLineChars="200"/>
        <w:rPr>
          <w:rFonts w:ascii="宋体" w:hAnsi="宋体"/>
          <w:sz w:val="28"/>
          <w:szCs w:val="28"/>
        </w:rPr>
      </w:pPr>
      <w:r>
        <w:rPr>
          <w:rFonts w:hint="eastAsia" w:ascii="宋体" w:hAnsi="宋体"/>
          <w:b/>
          <w:sz w:val="28"/>
          <w:szCs w:val="28"/>
        </w:rPr>
        <w:t>招标项目简介</w:t>
      </w:r>
    </w:p>
    <w:tbl>
      <w:tblPr>
        <w:tblStyle w:val="43"/>
        <w:tblpPr w:leftFromText="180" w:rightFromText="180" w:vertAnchor="text" w:tblpXSpec="center" w:tblpY="1"/>
        <w:tblOverlap w:val="never"/>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767"/>
        <w:gridCol w:w="1245"/>
        <w:gridCol w:w="1418"/>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74" w:type="dxa"/>
            <w:vAlign w:val="center"/>
          </w:tcPr>
          <w:p>
            <w:pPr>
              <w:pStyle w:val="8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2"/>
                <w:szCs w:val="22"/>
              </w:rPr>
            </w:pPr>
            <w:r>
              <w:rPr>
                <w:rFonts w:hint="eastAsia" w:ascii="宋体" w:hAnsi="宋体" w:eastAsia="宋体" w:cs="宋体"/>
                <w:b/>
                <w:sz w:val="22"/>
                <w:szCs w:val="22"/>
              </w:rPr>
              <w:t>序号</w:t>
            </w:r>
          </w:p>
        </w:tc>
        <w:tc>
          <w:tcPr>
            <w:tcW w:w="2767" w:type="dxa"/>
            <w:vAlign w:val="center"/>
          </w:tcPr>
          <w:p>
            <w:pPr>
              <w:pStyle w:val="8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2"/>
                <w:szCs w:val="22"/>
              </w:rPr>
            </w:pPr>
            <w:r>
              <w:rPr>
                <w:rFonts w:hint="eastAsia" w:ascii="宋体" w:hAnsi="宋体" w:eastAsia="宋体" w:cs="宋体"/>
                <w:b/>
                <w:sz w:val="22"/>
                <w:szCs w:val="22"/>
              </w:rPr>
              <w:t>货物名称（标的名称）</w:t>
            </w:r>
          </w:p>
        </w:tc>
        <w:tc>
          <w:tcPr>
            <w:tcW w:w="1245" w:type="dxa"/>
            <w:vAlign w:val="center"/>
          </w:tcPr>
          <w:p>
            <w:pPr>
              <w:pStyle w:val="8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2"/>
                <w:szCs w:val="22"/>
              </w:rPr>
            </w:pPr>
            <w:r>
              <w:rPr>
                <w:rFonts w:hint="eastAsia" w:ascii="宋体" w:hAnsi="宋体" w:eastAsia="宋体" w:cs="宋体"/>
                <w:b/>
                <w:sz w:val="22"/>
                <w:szCs w:val="22"/>
              </w:rPr>
              <w:t>数量</w:t>
            </w:r>
          </w:p>
        </w:tc>
        <w:tc>
          <w:tcPr>
            <w:tcW w:w="1418" w:type="dxa"/>
            <w:vAlign w:val="center"/>
          </w:tcPr>
          <w:p>
            <w:pPr>
              <w:pStyle w:val="8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2"/>
                <w:szCs w:val="22"/>
              </w:rPr>
            </w:pPr>
            <w:r>
              <w:rPr>
                <w:rFonts w:hint="eastAsia" w:ascii="宋体" w:hAnsi="宋体" w:eastAsia="宋体" w:cs="宋体"/>
                <w:b/>
                <w:sz w:val="22"/>
                <w:szCs w:val="22"/>
              </w:rPr>
              <w:t>单位</w:t>
            </w:r>
          </w:p>
        </w:tc>
        <w:tc>
          <w:tcPr>
            <w:tcW w:w="1984" w:type="dxa"/>
            <w:vAlign w:val="center"/>
          </w:tcPr>
          <w:p>
            <w:pPr>
              <w:pStyle w:val="8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2"/>
                <w:szCs w:val="22"/>
              </w:rPr>
            </w:pPr>
            <w:r>
              <w:rPr>
                <w:rFonts w:hint="eastAsia" w:ascii="宋体" w:hAnsi="宋体" w:eastAsia="宋体" w:cs="宋体"/>
                <w:b/>
                <w:sz w:val="22"/>
                <w:szCs w:val="22"/>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电脑办公桌</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105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张</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直型办公桌</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48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位</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多功能保险柜</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17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个</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病区壁柜</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个</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餐桌</w:t>
            </w:r>
            <w:r>
              <w:rPr>
                <w:rFonts w:hint="eastAsia" w:asciiTheme="minorHAnsi"/>
                <w:sz w:val="22"/>
                <w:szCs w:val="22"/>
              </w:rPr>
              <w:br w:type="textWrapping"/>
            </w:r>
            <w:r>
              <w:rPr>
                <w:rFonts w:hint="eastAsia" w:asciiTheme="minorHAnsi"/>
                <w:sz w:val="22"/>
                <w:szCs w:val="22"/>
              </w:rPr>
              <w:t>生活区（1桌4椅）</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12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套</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餐桌、配套椅子（配餐间可收放）</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19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茶几</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12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张</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各病区储物柜</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135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个</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各病区库房储物架</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33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高低床</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59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套</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更衣柜</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73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等侯椅（三人位）</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100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护士站大理石桌子</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50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米</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靠背木椅</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94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把</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可移动简易书桌</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32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张</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配奶台</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2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张</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shd w:val="clear" w:color="auto" w:fill="auto"/>
            <w:vAlign w:val="center"/>
          </w:tcPr>
          <w:p>
            <w:pPr>
              <w:jc w:val="left"/>
              <w:rPr>
                <w:rFonts w:hint="eastAsia" w:ascii="宋体" w:hAnsi="宋体" w:eastAsia="宋体" w:cs="宋体"/>
                <w:sz w:val="22"/>
                <w:szCs w:val="22"/>
              </w:rPr>
            </w:pPr>
            <w:r>
              <w:rPr>
                <w:rFonts w:hint="eastAsia" w:asciiTheme="minorHAnsi"/>
                <w:sz w:val="22"/>
                <w:szCs w:val="22"/>
              </w:rPr>
              <w:t>L组合型沙发</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16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示教室椅</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320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把</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示教室桌子</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155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张</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手术圆凳</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44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把</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踏脚凳</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11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把</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躺椅</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2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把</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调剂台</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4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张</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文件柜</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72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五节档案柜</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物品柜</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4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鞋柜</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12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鞋架</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14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办公椅</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134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把</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药架1（双面）</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20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药架2（单向）</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20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圆盘摆药架</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2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不锈钢鞋架</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10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组</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手动有轨档案密集架</w:t>
            </w:r>
          </w:p>
        </w:tc>
        <w:tc>
          <w:tcPr>
            <w:tcW w:w="1245" w:type="dxa"/>
            <w:vAlign w:val="center"/>
          </w:tcPr>
          <w:p>
            <w:pPr>
              <w:jc w:val="center"/>
              <w:rPr>
                <w:rFonts w:hint="eastAsia" w:ascii="宋体" w:hAnsi="宋体" w:eastAsia="宋体" w:cs="宋体"/>
                <w:sz w:val="22"/>
                <w:szCs w:val="22"/>
              </w:rPr>
            </w:pPr>
            <w:r>
              <w:rPr>
                <w:rFonts w:asciiTheme="minorHAnsi"/>
                <w:sz w:val="22"/>
                <w:szCs w:val="22"/>
              </w:rPr>
              <w:t>159.7</w:t>
            </w:r>
            <w:r>
              <w:rPr>
                <w:rFonts w:hint="eastAsia" w:asciiTheme="minorHAnsi"/>
                <w:sz w:val="22"/>
                <w:szCs w:val="22"/>
              </w:rPr>
              <w:t xml:space="preserve">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立方米</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长条凳</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4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张</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sz w:val="22"/>
                <w:szCs w:val="22"/>
              </w:rPr>
            </w:pPr>
            <w:r>
              <w:rPr>
                <w:rFonts w:hint="eastAsia" w:asciiTheme="minorHAnsi"/>
                <w:sz w:val="22"/>
                <w:szCs w:val="22"/>
              </w:rPr>
              <w:t>独凳</w:t>
            </w:r>
          </w:p>
        </w:tc>
        <w:tc>
          <w:tcPr>
            <w:tcW w:w="1245" w:type="dxa"/>
            <w:vAlign w:val="center"/>
          </w:tcPr>
          <w:p>
            <w:pPr>
              <w:jc w:val="center"/>
              <w:rPr>
                <w:rFonts w:hint="eastAsia" w:ascii="宋体" w:hAnsi="宋体" w:eastAsia="宋体" w:cs="宋体"/>
                <w:sz w:val="22"/>
                <w:szCs w:val="22"/>
              </w:rPr>
            </w:pPr>
            <w:r>
              <w:rPr>
                <w:rFonts w:hint="eastAsia" w:asciiTheme="minorHAnsi"/>
                <w:sz w:val="22"/>
                <w:szCs w:val="22"/>
              </w:rPr>
              <w:t xml:space="preserve">30 </w:t>
            </w:r>
          </w:p>
        </w:tc>
        <w:tc>
          <w:tcPr>
            <w:tcW w:w="1418" w:type="dxa"/>
            <w:vAlign w:val="center"/>
          </w:tcPr>
          <w:p>
            <w:pPr>
              <w:jc w:val="center"/>
              <w:rPr>
                <w:rFonts w:hint="eastAsia" w:ascii="宋体" w:hAnsi="宋体" w:eastAsia="宋体" w:cs="宋体"/>
                <w:sz w:val="22"/>
                <w:szCs w:val="22"/>
              </w:rPr>
            </w:pPr>
            <w:r>
              <w:rPr>
                <w:rFonts w:hint="eastAsia" w:asciiTheme="minorHAnsi"/>
                <w:sz w:val="22"/>
                <w:szCs w:val="22"/>
              </w:rPr>
              <w:t>把</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color w:val="000000"/>
                <w:sz w:val="22"/>
                <w:szCs w:val="22"/>
              </w:rPr>
            </w:pPr>
            <w:r>
              <w:rPr>
                <w:rFonts w:hint="eastAsia" w:asciiTheme="minorHAnsi"/>
                <w:sz w:val="22"/>
                <w:szCs w:val="22"/>
              </w:rPr>
              <w:t>订制组合沙发</w:t>
            </w:r>
          </w:p>
        </w:tc>
        <w:tc>
          <w:tcPr>
            <w:tcW w:w="1245" w:type="dxa"/>
            <w:vAlign w:val="center"/>
          </w:tcPr>
          <w:p>
            <w:pPr>
              <w:jc w:val="center"/>
              <w:rPr>
                <w:rFonts w:hint="eastAsia" w:ascii="宋体" w:hAnsi="宋体" w:eastAsia="宋体" w:cs="宋体"/>
                <w:color w:val="000000"/>
                <w:sz w:val="22"/>
                <w:szCs w:val="22"/>
              </w:rPr>
            </w:pPr>
            <w:r>
              <w:rPr>
                <w:rFonts w:hint="eastAsia" w:asciiTheme="minorHAnsi"/>
                <w:sz w:val="22"/>
                <w:szCs w:val="22"/>
              </w:rPr>
              <w:t>36</w:t>
            </w:r>
          </w:p>
        </w:tc>
        <w:tc>
          <w:tcPr>
            <w:tcW w:w="1418" w:type="dxa"/>
            <w:vAlign w:val="center"/>
          </w:tcPr>
          <w:p>
            <w:pPr>
              <w:jc w:val="center"/>
              <w:rPr>
                <w:rFonts w:hint="eastAsia" w:ascii="宋体" w:hAnsi="宋体" w:eastAsia="宋体" w:cs="宋体"/>
                <w:color w:val="000000"/>
                <w:sz w:val="22"/>
                <w:szCs w:val="22"/>
              </w:rPr>
            </w:pPr>
            <w:r>
              <w:rPr>
                <w:rFonts w:hint="eastAsia" w:asciiTheme="minorHAnsi"/>
                <w:sz w:val="22"/>
                <w:szCs w:val="22"/>
              </w:rPr>
              <w:t>套</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color w:val="000000"/>
                <w:sz w:val="22"/>
                <w:szCs w:val="22"/>
              </w:rPr>
            </w:pPr>
            <w:r>
              <w:rPr>
                <w:rFonts w:hint="eastAsia" w:asciiTheme="minorHAnsi"/>
                <w:sz w:val="22"/>
                <w:szCs w:val="22"/>
              </w:rPr>
              <w:t>订制儿童沙发</w:t>
            </w:r>
          </w:p>
        </w:tc>
        <w:tc>
          <w:tcPr>
            <w:tcW w:w="1245" w:type="dxa"/>
            <w:vAlign w:val="center"/>
          </w:tcPr>
          <w:p>
            <w:pPr>
              <w:jc w:val="center"/>
              <w:rPr>
                <w:rFonts w:hint="eastAsia" w:ascii="宋体" w:hAnsi="宋体" w:eastAsia="宋体" w:cs="宋体"/>
                <w:color w:val="000000"/>
                <w:sz w:val="22"/>
                <w:szCs w:val="22"/>
              </w:rPr>
            </w:pPr>
            <w:r>
              <w:rPr>
                <w:rFonts w:hint="eastAsia" w:asciiTheme="minorHAnsi"/>
                <w:sz w:val="22"/>
                <w:szCs w:val="22"/>
              </w:rPr>
              <w:t>1</w:t>
            </w:r>
          </w:p>
        </w:tc>
        <w:tc>
          <w:tcPr>
            <w:tcW w:w="1418" w:type="dxa"/>
            <w:vAlign w:val="center"/>
          </w:tcPr>
          <w:p>
            <w:pPr>
              <w:jc w:val="center"/>
              <w:rPr>
                <w:rFonts w:hint="eastAsia" w:ascii="宋体" w:hAnsi="宋体" w:eastAsia="宋体" w:cs="宋体"/>
                <w:color w:val="000000"/>
                <w:sz w:val="22"/>
                <w:szCs w:val="22"/>
              </w:rPr>
            </w:pPr>
            <w:r>
              <w:rPr>
                <w:rFonts w:hint="eastAsia" w:asciiTheme="minorHAnsi"/>
                <w:sz w:val="22"/>
                <w:szCs w:val="22"/>
              </w:rPr>
              <w:t>套</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color w:val="000000"/>
                <w:sz w:val="22"/>
                <w:szCs w:val="22"/>
              </w:rPr>
            </w:pPr>
            <w:r>
              <w:rPr>
                <w:rFonts w:hint="eastAsia" w:asciiTheme="minorHAnsi"/>
                <w:sz w:val="22"/>
                <w:szCs w:val="22"/>
              </w:rPr>
              <w:t>订制儿童沙发</w:t>
            </w:r>
          </w:p>
        </w:tc>
        <w:tc>
          <w:tcPr>
            <w:tcW w:w="1245" w:type="dxa"/>
            <w:vAlign w:val="center"/>
          </w:tcPr>
          <w:p>
            <w:pPr>
              <w:jc w:val="center"/>
              <w:rPr>
                <w:rFonts w:hint="eastAsia" w:ascii="宋体" w:hAnsi="宋体" w:eastAsia="宋体" w:cs="宋体"/>
                <w:color w:val="000000"/>
                <w:sz w:val="22"/>
                <w:szCs w:val="22"/>
              </w:rPr>
            </w:pPr>
            <w:r>
              <w:rPr>
                <w:rFonts w:hint="eastAsia" w:asciiTheme="minorHAnsi"/>
                <w:sz w:val="22"/>
                <w:szCs w:val="22"/>
              </w:rPr>
              <w:t>2</w:t>
            </w:r>
          </w:p>
        </w:tc>
        <w:tc>
          <w:tcPr>
            <w:tcW w:w="1418" w:type="dxa"/>
            <w:vAlign w:val="center"/>
          </w:tcPr>
          <w:p>
            <w:pPr>
              <w:jc w:val="center"/>
              <w:rPr>
                <w:rFonts w:hint="eastAsia" w:ascii="宋体" w:hAnsi="宋体" w:eastAsia="宋体" w:cs="宋体"/>
                <w:color w:val="000000"/>
                <w:sz w:val="22"/>
                <w:szCs w:val="22"/>
              </w:rPr>
            </w:pPr>
            <w:r>
              <w:rPr>
                <w:rFonts w:hint="eastAsia" w:asciiTheme="minorHAnsi"/>
                <w:sz w:val="22"/>
                <w:szCs w:val="22"/>
              </w:rPr>
              <w:t>套</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color w:val="000000"/>
                <w:sz w:val="22"/>
                <w:szCs w:val="22"/>
              </w:rPr>
            </w:pPr>
            <w:r>
              <w:rPr>
                <w:rFonts w:hint="eastAsia" w:asciiTheme="minorHAnsi"/>
                <w:sz w:val="22"/>
                <w:szCs w:val="22"/>
              </w:rPr>
              <w:t>订制儿童沙发</w:t>
            </w:r>
          </w:p>
        </w:tc>
        <w:tc>
          <w:tcPr>
            <w:tcW w:w="1245" w:type="dxa"/>
            <w:vAlign w:val="center"/>
          </w:tcPr>
          <w:p>
            <w:pPr>
              <w:jc w:val="center"/>
              <w:rPr>
                <w:rFonts w:hint="eastAsia" w:ascii="宋体" w:hAnsi="宋体" w:eastAsia="宋体" w:cs="宋体"/>
                <w:color w:val="000000"/>
                <w:sz w:val="22"/>
                <w:szCs w:val="22"/>
              </w:rPr>
            </w:pPr>
            <w:r>
              <w:rPr>
                <w:rFonts w:hint="eastAsia" w:asciiTheme="minorHAnsi"/>
                <w:sz w:val="22"/>
                <w:szCs w:val="22"/>
              </w:rPr>
              <w:t>1</w:t>
            </w:r>
          </w:p>
        </w:tc>
        <w:tc>
          <w:tcPr>
            <w:tcW w:w="1418" w:type="dxa"/>
            <w:vAlign w:val="center"/>
          </w:tcPr>
          <w:p>
            <w:pPr>
              <w:jc w:val="center"/>
              <w:rPr>
                <w:rFonts w:hint="eastAsia" w:ascii="宋体" w:hAnsi="宋体" w:eastAsia="宋体" w:cs="宋体"/>
                <w:color w:val="000000"/>
                <w:sz w:val="22"/>
                <w:szCs w:val="22"/>
              </w:rPr>
            </w:pPr>
            <w:r>
              <w:rPr>
                <w:rFonts w:hint="eastAsia" w:asciiTheme="minorHAnsi"/>
                <w:sz w:val="22"/>
                <w:szCs w:val="22"/>
              </w:rPr>
              <w:t>套</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color w:val="000000"/>
                <w:sz w:val="22"/>
                <w:szCs w:val="22"/>
              </w:rPr>
            </w:pPr>
            <w:r>
              <w:rPr>
                <w:rFonts w:hint="eastAsia" w:asciiTheme="minorHAnsi"/>
                <w:sz w:val="22"/>
                <w:szCs w:val="22"/>
              </w:rPr>
              <w:t>订制儿童沙发</w:t>
            </w:r>
          </w:p>
        </w:tc>
        <w:tc>
          <w:tcPr>
            <w:tcW w:w="1245" w:type="dxa"/>
            <w:vAlign w:val="center"/>
          </w:tcPr>
          <w:p>
            <w:pPr>
              <w:jc w:val="center"/>
              <w:rPr>
                <w:rFonts w:hint="eastAsia" w:ascii="宋体" w:hAnsi="宋体" w:eastAsia="宋体" w:cs="宋体"/>
                <w:color w:val="000000"/>
                <w:sz w:val="22"/>
                <w:szCs w:val="22"/>
              </w:rPr>
            </w:pPr>
            <w:r>
              <w:rPr>
                <w:rFonts w:hint="eastAsia" w:asciiTheme="minorHAnsi"/>
                <w:sz w:val="22"/>
                <w:szCs w:val="22"/>
              </w:rPr>
              <w:t>8</w:t>
            </w:r>
          </w:p>
        </w:tc>
        <w:tc>
          <w:tcPr>
            <w:tcW w:w="1418" w:type="dxa"/>
            <w:vAlign w:val="center"/>
          </w:tcPr>
          <w:p>
            <w:pPr>
              <w:jc w:val="center"/>
              <w:rPr>
                <w:rFonts w:hint="eastAsia" w:ascii="宋体" w:hAnsi="宋体" w:eastAsia="宋体" w:cs="宋体"/>
                <w:color w:val="000000"/>
                <w:sz w:val="22"/>
                <w:szCs w:val="22"/>
              </w:rPr>
            </w:pPr>
            <w:r>
              <w:rPr>
                <w:rFonts w:hint="eastAsia" w:asciiTheme="minorHAnsi"/>
                <w:sz w:val="22"/>
                <w:szCs w:val="22"/>
              </w:rPr>
              <w:t>个</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2"/>
                <w:szCs w:val="22"/>
              </w:rPr>
            </w:pPr>
            <w:r>
              <w:rPr>
                <w:rFonts w:hint="eastAsia" w:ascii="宋体" w:hAnsi="宋体" w:eastAsia="宋体" w:cs="宋体"/>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4" w:type="dxa"/>
            <w:vAlign w:val="center"/>
          </w:tcPr>
          <w:p>
            <w:pPr>
              <w:pStyle w:val="81"/>
              <w:keepNext w:val="0"/>
              <w:keepLines w:val="0"/>
              <w:pageBreakBefore w:val="0"/>
              <w:widowControl w:val="0"/>
              <w:numPr>
                <w:ilvl w:val="0"/>
                <w:numId w:val="5"/>
              </w:numPr>
              <w:kinsoku/>
              <w:wordWrap/>
              <w:overflowPunct/>
              <w:topLinePunct w:val="0"/>
              <w:autoSpaceDE/>
              <w:autoSpaceDN/>
              <w:bidi w:val="0"/>
              <w:adjustRightInd/>
              <w:snapToGrid/>
              <w:ind w:firstLineChars="0"/>
              <w:textAlignment w:val="auto"/>
              <w:rPr>
                <w:rFonts w:hint="eastAsia" w:ascii="宋体" w:hAnsi="宋体" w:eastAsia="宋体" w:cs="宋体"/>
                <w:sz w:val="22"/>
                <w:szCs w:val="22"/>
              </w:rPr>
            </w:pPr>
          </w:p>
        </w:tc>
        <w:tc>
          <w:tcPr>
            <w:tcW w:w="2767" w:type="dxa"/>
            <w:vAlign w:val="center"/>
          </w:tcPr>
          <w:p>
            <w:pPr>
              <w:jc w:val="left"/>
              <w:rPr>
                <w:rFonts w:hint="eastAsia" w:ascii="宋体" w:hAnsi="宋体" w:eastAsia="宋体" w:cs="宋体"/>
                <w:color w:val="000000"/>
                <w:sz w:val="22"/>
                <w:szCs w:val="22"/>
              </w:rPr>
            </w:pPr>
            <w:r>
              <w:rPr>
                <w:rFonts w:hint="eastAsia" w:asciiTheme="minorHAnsi"/>
                <w:sz w:val="22"/>
                <w:szCs w:val="22"/>
              </w:rPr>
              <w:t>订制ICU操作台柜</w:t>
            </w:r>
          </w:p>
        </w:tc>
        <w:tc>
          <w:tcPr>
            <w:tcW w:w="1245" w:type="dxa"/>
            <w:vAlign w:val="center"/>
          </w:tcPr>
          <w:p>
            <w:pPr>
              <w:jc w:val="center"/>
              <w:rPr>
                <w:rFonts w:hint="eastAsia" w:ascii="宋体" w:hAnsi="宋体" w:eastAsia="宋体" w:cs="宋体"/>
                <w:color w:val="000000"/>
                <w:sz w:val="22"/>
                <w:szCs w:val="22"/>
              </w:rPr>
            </w:pPr>
            <w:r>
              <w:rPr>
                <w:rFonts w:hint="eastAsia" w:asciiTheme="minorHAnsi"/>
                <w:sz w:val="22"/>
                <w:szCs w:val="22"/>
              </w:rPr>
              <w:t>5</w:t>
            </w:r>
          </w:p>
        </w:tc>
        <w:tc>
          <w:tcPr>
            <w:tcW w:w="1418" w:type="dxa"/>
            <w:vAlign w:val="center"/>
          </w:tcPr>
          <w:p>
            <w:pPr>
              <w:jc w:val="center"/>
              <w:rPr>
                <w:rFonts w:hint="eastAsia" w:ascii="宋体" w:hAnsi="宋体" w:eastAsia="宋体" w:cs="宋体"/>
                <w:color w:val="000000"/>
                <w:sz w:val="22"/>
                <w:szCs w:val="22"/>
              </w:rPr>
            </w:pPr>
            <w:r>
              <w:rPr>
                <w:rFonts w:hint="eastAsia" w:asciiTheme="minorHAnsi"/>
                <w:sz w:val="22"/>
                <w:szCs w:val="22"/>
              </w:rPr>
              <w:t>套</w:t>
            </w:r>
          </w:p>
        </w:tc>
        <w:tc>
          <w:tcPr>
            <w:tcW w:w="19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工业</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详细的技术、服务、商务及其他要求见招标文件第4章。</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firstLine="567"/>
        <w:textAlignment w:val="auto"/>
        <w:rPr>
          <w:rFonts w:ascii="宋体" w:hAnsi="宋体"/>
          <w:b/>
          <w:sz w:val="28"/>
          <w:szCs w:val="28"/>
        </w:rPr>
      </w:pPr>
      <w:r>
        <w:rPr>
          <w:rFonts w:hint="eastAsia" w:ascii="宋体" w:hAnsi="宋体"/>
          <w:b/>
          <w:sz w:val="28"/>
          <w:szCs w:val="28"/>
        </w:rPr>
        <w:t>供应商参加本次政府采购活动应具备的条件</w:t>
      </w:r>
    </w:p>
    <w:p>
      <w:pPr>
        <w:keepNext w:val="0"/>
        <w:keepLines w:val="0"/>
        <w:pageBreakBefore w:val="0"/>
        <w:widowControl w:val="0"/>
        <w:numPr>
          <w:ilvl w:val="1"/>
          <w:numId w:val="6"/>
        </w:numPr>
        <w:tabs>
          <w:tab w:val="left" w:pos="1260"/>
        </w:tabs>
        <w:kinsoku/>
        <w:wordWrap/>
        <w:overflowPunct/>
        <w:topLinePunct w:val="0"/>
        <w:autoSpaceDE/>
        <w:autoSpaceDN/>
        <w:bidi w:val="0"/>
        <w:adjustRightInd/>
        <w:snapToGrid/>
        <w:spacing w:line="560" w:lineRule="exact"/>
        <w:ind w:left="0" w:firstLine="630"/>
        <w:textAlignment w:val="auto"/>
        <w:rPr>
          <w:rFonts w:ascii="宋体" w:hAnsi="宋体"/>
          <w:sz w:val="28"/>
          <w:szCs w:val="28"/>
        </w:rPr>
      </w:pPr>
      <w:r>
        <w:rPr>
          <w:rFonts w:hint="eastAsia" w:ascii="宋体" w:hAnsi="宋体"/>
          <w:sz w:val="28"/>
          <w:szCs w:val="28"/>
        </w:rPr>
        <w:t>符合《政府采购法》第二十二条第一款规定的条件；</w:t>
      </w:r>
    </w:p>
    <w:p>
      <w:pPr>
        <w:keepNext w:val="0"/>
        <w:keepLines w:val="0"/>
        <w:pageBreakBefore w:val="0"/>
        <w:widowControl w:val="0"/>
        <w:numPr>
          <w:ilvl w:val="1"/>
          <w:numId w:val="6"/>
        </w:numPr>
        <w:tabs>
          <w:tab w:val="left" w:pos="1260"/>
        </w:tabs>
        <w:kinsoku/>
        <w:wordWrap/>
        <w:overflowPunct/>
        <w:topLinePunct w:val="0"/>
        <w:autoSpaceDE/>
        <w:autoSpaceDN/>
        <w:bidi w:val="0"/>
        <w:adjustRightInd/>
        <w:snapToGrid/>
        <w:spacing w:line="560" w:lineRule="exact"/>
        <w:ind w:left="0" w:firstLine="630"/>
        <w:textAlignment w:val="auto"/>
        <w:rPr>
          <w:rFonts w:ascii="宋体" w:hAnsi="宋体"/>
          <w:b/>
          <w:sz w:val="28"/>
          <w:szCs w:val="28"/>
        </w:rPr>
      </w:pPr>
      <w:r>
        <w:rPr>
          <w:rFonts w:hint="eastAsia" w:ascii="宋体" w:hAnsi="宋体"/>
          <w:b/>
          <w:sz w:val="28"/>
          <w:szCs w:val="28"/>
        </w:rPr>
        <w:t>本项目为</w:t>
      </w:r>
      <w:r>
        <w:rPr>
          <w:rFonts w:ascii="宋体" w:hAnsi="宋体"/>
          <w:b/>
          <w:sz w:val="28"/>
          <w:szCs w:val="28"/>
        </w:rPr>
        <w:t>专门面向中小企业采购项目，</w:t>
      </w:r>
      <w:r>
        <w:rPr>
          <w:rFonts w:hint="eastAsia" w:ascii="宋体" w:hAnsi="宋体"/>
          <w:b/>
          <w:sz w:val="28"/>
          <w:szCs w:val="28"/>
        </w:rPr>
        <w:t>投标人</w:t>
      </w:r>
      <w:r>
        <w:rPr>
          <w:rFonts w:ascii="宋体" w:hAnsi="宋体"/>
          <w:b/>
          <w:sz w:val="28"/>
          <w:szCs w:val="28"/>
        </w:rPr>
        <w:t>提供的货物全部由符合政策要求的中小企业制造</w:t>
      </w:r>
      <w:r>
        <w:rPr>
          <w:rFonts w:hint="eastAsia" w:ascii="宋体" w:hAnsi="宋体"/>
          <w:b/>
          <w:sz w:val="28"/>
          <w:szCs w:val="28"/>
        </w:rPr>
        <w:t>；</w:t>
      </w:r>
      <w:r>
        <w:rPr>
          <w:rFonts w:ascii="宋体" w:hAnsi="宋体"/>
          <w:b/>
          <w:sz w:val="28"/>
          <w:szCs w:val="28"/>
        </w:rPr>
        <w:t>（</w:t>
      </w:r>
      <w:r>
        <w:rPr>
          <w:rFonts w:hint="eastAsia" w:ascii="宋体" w:hAnsi="宋体"/>
          <w:b/>
          <w:sz w:val="28"/>
          <w:szCs w:val="28"/>
        </w:rPr>
        <w:t>说明</w:t>
      </w:r>
      <w:r>
        <w:rPr>
          <w:rFonts w:ascii="宋体" w:hAnsi="宋体"/>
          <w:b/>
          <w:sz w:val="28"/>
          <w:szCs w:val="28"/>
        </w:rPr>
        <w:t>：监狱企业、残疾人福利性单位视同小型、微型企业）</w:t>
      </w:r>
    </w:p>
    <w:p>
      <w:pPr>
        <w:keepNext w:val="0"/>
        <w:keepLines w:val="0"/>
        <w:pageBreakBefore w:val="0"/>
        <w:widowControl w:val="0"/>
        <w:numPr>
          <w:ilvl w:val="1"/>
          <w:numId w:val="6"/>
        </w:numPr>
        <w:tabs>
          <w:tab w:val="left" w:pos="1260"/>
        </w:tabs>
        <w:kinsoku/>
        <w:wordWrap/>
        <w:overflowPunct/>
        <w:topLinePunct w:val="0"/>
        <w:autoSpaceDE/>
        <w:autoSpaceDN/>
        <w:bidi w:val="0"/>
        <w:adjustRightInd/>
        <w:snapToGrid/>
        <w:spacing w:line="560" w:lineRule="exact"/>
        <w:ind w:left="0" w:firstLine="630"/>
        <w:textAlignment w:val="auto"/>
        <w:rPr>
          <w:rFonts w:hint="eastAsia" w:ascii="宋体" w:hAnsi="宋体"/>
          <w:sz w:val="28"/>
          <w:szCs w:val="28"/>
        </w:rPr>
      </w:pPr>
      <w:r>
        <w:rPr>
          <w:rFonts w:hint="eastAsia" w:ascii="宋体" w:hAnsi="宋体"/>
          <w:sz w:val="28"/>
          <w:szCs w:val="28"/>
        </w:rPr>
        <w:t>在中华人民共和国境内依法登记注册，并有效存续具有独立法人资格的</w:t>
      </w:r>
      <w:r>
        <w:rPr>
          <w:rFonts w:hint="eastAsia" w:ascii="宋体" w:hAnsi="宋体"/>
          <w:sz w:val="28"/>
          <w:szCs w:val="28"/>
          <w:lang w:eastAsia="zh-CN"/>
        </w:rPr>
        <w:t>供应商</w:t>
      </w:r>
      <w:r>
        <w:rPr>
          <w:rFonts w:hint="eastAsia" w:ascii="宋体" w:hAnsi="宋体"/>
          <w:sz w:val="28"/>
          <w:szCs w:val="28"/>
        </w:rPr>
        <w:t>；</w:t>
      </w:r>
    </w:p>
    <w:p>
      <w:pPr>
        <w:keepNext w:val="0"/>
        <w:keepLines w:val="0"/>
        <w:pageBreakBefore w:val="0"/>
        <w:widowControl w:val="0"/>
        <w:numPr>
          <w:ilvl w:val="1"/>
          <w:numId w:val="6"/>
        </w:numPr>
        <w:tabs>
          <w:tab w:val="left" w:pos="1260"/>
        </w:tabs>
        <w:kinsoku/>
        <w:wordWrap/>
        <w:overflowPunct/>
        <w:topLinePunct w:val="0"/>
        <w:autoSpaceDE/>
        <w:autoSpaceDN/>
        <w:bidi w:val="0"/>
        <w:adjustRightInd/>
        <w:snapToGrid/>
        <w:spacing w:line="560" w:lineRule="exact"/>
        <w:ind w:left="0" w:firstLine="630"/>
        <w:textAlignment w:val="auto"/>
        <w:rPr>
          <w:rFonts w:hint="eastAsia"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keepNext w:val="0"/>
        <w:keepLines w:val="0"/>
        <w:pageBreakBefore w:val="0"/>
        <w:widowControl w:val="0"/>
        <w:numPr>
          <w:ilvl w:val="1"/>
          <w:numId w:val="6"/>
        </w:numPr>
        <w:tabs>
          <w:tab w:val="left" w:pos="1260"/>
        </w:tabs>
        <w:kinsoku/>
        <w:wordWrap/>
        <w:overflowPunct/>
        <w:topLinePunct w:val="0"/>
        <w:autoSpaceDE/>
        <w:autoSpaceDN/>
        <w:bidi w:val="0"/>
        <w:adjustRightInd/>
        <w:snapToGrid/>
        <w:spacing w:line="560" w:lineRule="exact"/>
        <w:ind w:left="0" w:firstLine="630"/>
        <w:textAlignment w:val="auto"/>
        <w:rPr>
          <w:rFonts w:hint="eastAsia" w:ascii="宋体" w:hAnsi="宋体"/>
          <w:sz w:val="28"/>
          <w:szCs w:val="28"/>
        </w:rPr>
      </w:pPr>
      <w:r>
        <w:rPr>
          <w:rFonts w:hint="eastAsia" w:ascii="宋体" w:hAnsi="宋体"/>
          <w:sz w:val="28"/>
          <w:szCs w:val="28"/>
        </w:rPr>
        <w:t>在行贿犯罪信息查询期限内，投标人及其现任法定代表人、主要负责人没有行贿犯罪记录；</w:t>
      </w:r>
    </w:p>
    <w:p>
      <w:pPr>
        <w:keepNext w:val="0"/>
        <w:keepLines w:val="0"/>
        <w:pageBreakBefore w:val="0"/>
        <w:widowControl w:val="0"/>
        <w:numPr>
          <w:ilvl w:val="1"/>
          <w:numId w:val="6"/>
        </w:numPr>
        <w:tabs>
          <w:tab w:val="left" w:pos="1260"/>
        </w:tabs>
        <w:kinsoku/>
        <w:wordWrap/>
        <w:overflowPunct/>
        <w:topLinePunct w:val="0"/>
        <w:autoSpaceDE/>
        <w:autoSpaceDN/>
        <w:bidi w:val="0"/>
        <w:adjustRightInd/>
        <w:snapToGrid/>
        <w:spacing w:line="560" w:lineRule="exact"/>
        <w:ind w:left="0" w:firstLine="630"/>
        <w:textAlignment w:val="auto"/>
        <w:rPr>
          <w:rFonts w:hint="eastAsia" w:ascii="宋体" w:hAnsi="宋体"/>
          <w:sz w:val="28"/>
          <w:szCs w:val="28"/>
        </w:rPr>
      </w:pPr>
      <w:r>
        <w:rPr>
          <w:rFonts w:hint="eastAsia" w:ascii="宋体" w:hAnsi="宋体"/>
          <w:sz w:val="28"/>
          <w:szCs w:val="28"/>
        </w:rPr>
        <w:t>未处于被行政部门禁止参与政府采购活动的期限内；</w:t>
      </w:r>
    </w:p>
    <w:p>
      <w:pPr>
        <w:keepNext w:val="0"/>
        <w:keepLines w:val="0"/>
        <w:pageBreakBefore w:val="0"/>
        <w:widowControl w:val="0"/>
        <w:numPr>
          <w:ilvl w:val="1"/>
          <w:numId w:val="6"/>
        </w:numPr>
        <w:tabs>
          <w:tab w:val="left" w:pos="1260"/>
        </w:tabs>
        <w:kinsoku/>
        <w:wordWrap/>
        <w:overflowPunct/>
        <w:topLinePunct w:val="0"/>
        <w:autoSpaceDE/>
        <w:autoSpaceDN/>
        <w:bidi w:val="0"/>
        <w:adjustRightInd/>
        <w:snapToGrid/>
        <w:spacing w:line="560" w:lineRule="exact"/>
        <w:ind w:left="0" w:firstLine="630"/>
        <w:textAlignment w:val="auto"/>
        <w:rPr>
          <w:rFonts w:hint="eastAsia" w:ascii="宋体" w:hAnsi="宋体"/>
          <w:sz w:val="28"/>
          <w:szCs w:val="28"/>
        </w:rPr>
      </w:pPr>
      <w:r>
        <w:rPr>
          <w:rFonts w:hint="eastAsia" w:ascii="宋体" w:hAnsi="宋体"/>
          <w:sz w:val="28"/>
          <w:szCs w:val="28"/>
        </w:rPr>
        <w:t>不属于其他国家相关法律法规规定的禁止参加投标的供应商；</w:t>
      </w:r>
    </w:p>
    <w:p>
      <w:pPr>
        <w:keepNext w:val="0"/>
        <w:keepLines w:val="0"/>
        <w:pageBreakBefore w:val="0"/>
        <w:widowControl w:val="0"/>
        <w:numPr>
          <w:ilvl w:val="1"/>
          <w:numId w:val="6"/>
        </w:numPr>
        <w:tabs>
          <w:tab w:val="left" w:pos="1260"/>
        </w:tabs>
        <w:kinsoku/>
        <w:wordWrap/>
        <w:overflowPunct/>
        <w:topLinePunct w:val="0"/>
        <w:autoSpaceDE/>
        <w:autoSpaceDN/>
        <w:bidi w:val="0"/>
        <w:adjustRightInd/>
        <w:snapToGrid/>
        <w:spacing w:line="560" w:lineRule="exact"/>
        <w:ind w:left="0" w:firstLine="630"/>
        <w:textAlignment w:val="auto"/>
        <w:rPr>
          <w:rFonts w:ascii="宋体" w:hAnsi="宋体"/>
          <w:sz w:val="28"/>
          <w:szCs w:val="28"/>
        </w:rPr>
      </w:pPr>
      <w:r>
        <w:rPr>
          <w:rFonts w:hint="eastAsia" w:ascii="宋体" w:hAnsi="宋体"/>
          <w:sz w:val="28"/>
          <w:szCs w:val="28"/>
        </w:rPr>
        <w:t>本项目</w:t>
      </w:r>
      <w:r>
        <w:rPr>
          <w:rFonts w:hint="eastAsia" w:ascii="宋体" w:hAnsi="宋体"/>
          <w:b/>
          <w:sz w:val="28"/>
          <w:szCs w:val="28"/>
        </w:rPr>
        <w:t>不接受</w:t>
      </w:r>
      <w:r>
        <w:rPr>
          <w:rFonts w:hint="eastAsia" w:ascii="宋体" w:hAnsi="宋体"/>
          <w:sz w:val="28"/>
          <w:szCs w:val="28"/>
        </w:rPr>
        <w:t>联合体投标。</w:t>
      </w:r>
    </w:p>
    <w:p>
      <w:pPr>
        <w:numPr>
          <w:ilvl w:val="0"/>
          <w:numId w:val="4"/>
        </w:numPr>
        <w:spacing w:line="360" w:lineRule="auto"/>
        <w:ind w:left="0" w:firstLine="567"/>
        <w:rPr>
          <w:rFonts w:hint="eastAsia" w:ascii="宋体" w:hAnsi="宋体"/>
          <w:b/>
          <w:sz w:val="28"/>
          <w:szCs w:val="28"/>
        </w:rPr>
      </w:pPr>
      <w:r>
        <w:rPr>
          <w:rFonts w:hint="eastAsia" w:ascii="宋体" w:hAnsi="宋体"/>
          <w:b/>
          <w:sz w:val="28"/>
          <w:szCs w:val="28"/>
        </w:rPr>
        <w:t>招标文件获取时间</w:t>
      </w:r>
    </w:p>
    <w:p>
      <w:pPr>
        <w:numPr>
          <w:ilvl w:val="0"/>
          <w:numId w:val="7"/>
        </w:numPr>
        <w:spacing w:line="360" w:lineRule="auto"/>
        <w:ind w:left="0" w:firstLine="567"/>
        <w:rPr>
          <w:rFonts w:ascii="宋体" w:hAnsi="宋体"/>
          <w:color w:val="auto"/>
          <w:sz w:val="28"/>
        </w:rPr>
      </w:pPr>
      <w:r>
        <w:rPr>
          <w:rFonts w:hint="eastAsia" w:ascii="宋体" w:hAnsi="宋体"/>
          <w:color w:val="auto"/>
          <w:sz w:val="28"/>
          <w:szCs w:val="28"/>
        </w:rPr>
        <w:t>招标文件获取时间：2021年</w:t>
      </w:r>
      <w:r>
        <w:rPr>
          <w:rFonts w:hint="eastAsia" w:ascii="宋体" w:hAnsi="宋体"/>
          <w:color w:val="auto"/>
          <w:sz w:val="28"/>
          <w:szCs w:val="28"/>
          <w:lang w:val="en-US" w:eastAsia="zh-CN"/>
        </w:rPr>
        <w:t>10</w:t>
      </w:r>
      <w:r>
        <w:rPr>
          <w:rFonts w:hint="eastAsia" w:ascii="宋体" w:hAnsi="宋体"/>
          <w:color w:val="auto"/>
          <w:sz w:val="28"/>
          <w:szCs w:val="28"/>
        </w:rPr>
        <w:t>月</w:t>
      </w:r>
      <w:r>
        <w:rPr>
          <w:rFonts w:hint="eastAsia" w:ascii="宋体" w:hAnsi="宋体"/>
          <w:color w:val="auto"/>
          <w:sz w:val="28"/>
          <w:szCs w:val="28"/>
          <w:lang w:val="en-US" w:eastAsia="zh-CN"/>
        </w:rPr>
        <w:t>29</w:t>
      </w:r>
      <w:r>
        <w:rPr>
          <w:rFonts w:hint="eastAsia" w:ascii="宋体" w:hAnsi="宋体"/>
          <w:color w:val="auto"/>
          <w:sz w:val="28"/>
          <w:szCs w:val="28"/>
        </w:rPr>
        <w:t>日至</w:t>
      </w:r>
      <w:r>
        <w:rPr>
          <w:rFonts w:hint="eastAsia" w:ascii="宋体" w:hAnsi="宋体"/>
          <w:color w:val="auto"/>
          <w:sz w:val="28"/>
          <w:szCs w:val="28"/>
          <w:lang w:val="en-US" w:eastAsia="zh-CN"/>
        </w:rPr>
        <w:t>11</w:t>
      </w:r>
      <w:r>
        <w:rPr>
          <w:rFonts w:hint="eastAsia" w:ascii="宋体" w:hAnsi="宋体"/>
          <w:color w:val="auto"/>
          <w:sz w:val="28"/>
          <w:szCs w:val="28"/>
        </w:rPr>
        <w:t>月</w:t>
      </w:r>
      <w:r>
        <w:rPr>
          <w:rFonts w:hint="eastAsia" w:ascii="宋体" w:hAnsi="宋体"/>
          <w:color w:val="auto"/>
          <w:sz w:val="28"/>
          <w:szCs w:val="28"/>
          <w:lang w:val="en-US" w:eastAsia="zh-CN"/>
        </w:rPr>
        <w:t>4</w:t>
      </w:r>
      <w:r>
        <w:rPr>
          <w:rFonts w:hint="eastAsia" w:ascii="宋体" w:hAnsi="宋体"/>
          <w:color w:val="auto"/>
          <w:sz w:val="28"/>
          <w:szCs w:val="28"/>
        </w:rPr>
        <w:t>日。</w:t>
      </w:r>
    </w:p>
    <w:p>
      <w:pPr>
        <w:numPr>
          <w:ilvl w:val="0"/>
          <w:numId w:val="7"/>
        </w:numPr>
        <w:spacing w:line="360" w:lineRule="auto"/>
        <w:ind w:left="0" w:firstLine="567"/>
        <w:rPr>
          <w:rFonts w:ascii="宋体" w:hAnsi="宋体"/>
          <w:color w:val="auto"/>
          <w:sz w:val="28"/>
          <w:szCs w:val="28"/>
        </w:rPr>
      </w:pPr>
      <w:r>
        <w:rPr>
          <w:rFonts w:hint="eastAsia" w:ascii="宋体" w:hAnsi="宋体"/>
          <w:color w:val="auto"/>
          <w:sz w:val="28"/>
          <w:szCs w:val="28"/>
        </w:rPr>
        <w:t>公告期限：2021年</w:t>
      </w:r>
      <w:r>
        <w:rPr>
          <w:rFonts w:hint="eastAsia" w:ascii="宋体" w:hAnsi="宋体"/>
          <w:color w:val="auto"/>
          <w:sz w:val="28"/>
          <w:szCs w:val="28"/>
          <w:lang w:val="en-US" w:eastAsia="zh-CN"/>
        </w:rPr>
        <w:t>10</w:t>
      </w:r>
      <w:r>
        <w:rPr>
          <w:rFonts w:hint="eastAsia" w:ascii="宋体" w:hAnsi="宋体"/>
          <w:color w:val="auto"/>
          <w:sz w:val="28"/>
          <w:szCs w:val="28"/>
        </w:rPr>
        <w:t>月</w:t>
      </w:r>
      <w:r>
        <w:rPr>
          <w:rFonts w:hint="eastAsia" w:ascii="宋体" w:hAnsi="宋体"/>
          <w:color w:val="auto"/>
          <w:sz w:val="28"/>
          <w:szCs w:val="28"/>
          <w:lang w:val="en-US" w:eastAsia="zh-CN"/>
        </w:rPr>
        <w:t>29</w:t>
      </w:r>
      <w:r>
        <w:rPr>
          <w:rFonts w:hint="eastAsia" w:ascii="宋体" w:hAnsi="宋体"/>
          <w:color w:val="auto"/>
          <w:sz w:val="28"/>
          <w:szCs w:val="28"/>
        </w:rPr>
        <w:t>日至</w:t>
      </w:r>
      <w:r>
        <w:rPr>
          <w:rFonts w:hint="eastAsia" w:ascii="宋体" w:hAnsi="宋体"/>
          <w:color w:val="auto"/>
          <w:sz w:val="28"/>
          <w:szCs w:val="28"/>
          <w:lang w:val="en-US" w:eastAsia="zh-CN"/>
        </w:rPr>
        <w:t>11</w:t>
      </w:r>
      <w:r>
        <w:rPr>
          <w:rFonts w:hint="eastAsia" w:ascii="宋体" w:hAnsi="宋体"/>
          <w:color w:val="auto"/>
          <w:sz w:val="28"/>
          <w:szCs w:val="28"/>
        </w:rPr>
        <w:t>月</w:t>
      </w:r>
      <w:r>
        <w:rPr>
          <w:rFonts w:hint="eastAsia" w:ascii="宋体" w:hAnsi="宋体"/>
          <w:color w:val="auto"/>
          <w:sz w:val="28"/>
          <w:szCs w:val="28"/>
          <w:lang w:val="en-US" w:eastAsia="zh-CN"/>
        </w:rPr>
        <w:t>21</w:t>
      </w:r>
      <w:r>
        <w:rPr>
          <w:rFonts w:hint="eastAsia" w:ascii="宋体" w:hAnsi="宋体"/>
          <w:color w:val="auto"/>
          <w:sz w:val="28"/>
          <w:szCs w:val="28"/>
        </w:rPr>
        <w:t>日。</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0" w:firstLineChars="200"/>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0" w:firstLineChars="200"/>
        <w:rPr>
          <w:rFonts w:ascii="宋体" w:hAnsi="宋体"/>
          <w:sz w:val="28"/>
          <w:szCs w:val="28"/>
        </w:rPr>
      </w:pPr>
      <w:r>
        <w:rPr>
          <w:rFonts w:hint="eastAsia" w:ascii="宋体" w:hAnsi="宋体"/>
          <w:sz w:val="28"/>
          <w:szCs w:val="28"/>
        </w:rPr>
        <w:t>提示：</w:t>
      </w:r>
    </w:p>
    <w:p>
      <w:pPr>
        <w:spacing w:line="360" w:lineRule="auto"/>
        <w:ind w:firstLine="560" w:firstLineChars="200"/>
        <w:rPr>
          <w:rFonts w:ascii="宋体" w:hAnsi="宋体"/>
          <w:sz w:val="28"/>
          <w:szCs w:val="28"/>
        </w:rPr>
      </w:pPr>
      <w:r>
        <w:rPr>
          <w:rFonts w:hint="eastAsia" w:ascii="宋体" w:hAnsi="宋体"/>
          <w:sz w:val="28"/>
          <w:szCs w:val="28"/>
        </w:rPr>
        <w:t>（1）本项目采购文件免费获取。</w:t>
      </w:r>
    </w:p>
    <w:p>
      <w:pPr>
        <w:spacing w:line="360" w:lineRule="auto"/>
        <w:ind w:firstLine="560" w:firstLineChars="200"/>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0" w:firstLineChars="200"/>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0" w:firstLineChars="200"/>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0" w:firstLineChars="200"/>
        <w:rPr>
          <w:rFonts w:ascii="宋体" w:hAnsi="宋体"/>
          <w:sz w:val="28"/>
          <w:szCs w:val="28"/>
        </w:rPr>
      </w:pPr>
      <w:bookmarkStart w:id="8" w:name="_Toc174185149"/>
      <w:bookmarkStart w:id="9" w:name="_Toc180051012"/>
      <w:bookmarkStart w:id="10" w:name="_Toc186274101"/>
      <w:bookmarkStart w:id="11" w:name="_Toc184023104"/>
      <w:bookmarkStart w:id="12" w:name="_Toc184013605"/>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5" w:firstLineChars="202"/>
        <w:rPr>
          <w:rFonts w:ascii="宋体" w:hAnsi="宋体"/>
          <w:b/>
          <w:color w:val="auto"/>
          <w:sz w:val="28"/>
          <w:szCs w:val="28"/>
        </w:rPr>
      </w:pPr>
      <w:r>
        <w:rPr>
          <w:rFonts w:hint="eastAsia" w:ascii="宋体" w:hAnsi="宋体"/>
          <w:sz w:val="28"/>
          <w:szCs w:val="28"/>
        </w:rPr>
        <w:t>（一）投标文件递交截止时间及开标时间：</w:t>
      </w:r>
      <w:r>
        <w:rPr>
          <w:rFonts w:hint="eastAsia" w:ascii="宋体" w:hAnsi="宋体"/>
          <w:b/>
          <w:color w:val="auto"/>
          <w:sz w:val="28"/>
          <w:szCs w:val="28"/>
        </w:rPr>
        <w:t>202</w:t>
      </w:r>
      <w:r>
        <w:rPr>
          <w:rFonts w:ascii="宋体" w:hAnsi="宋体"/>
          <w:b/>
          <w:color w:val="auto"/>
          <w:sz w:val="28"/>
          <w:szCs w:val="28"/>
        </w:rPr>
        <w:t>1</w:t>
      </w:r>
      <w:r>
        <w:rPr>
          <w:rFonts w:hint="eastAsia" w:ascii="宋体" w:hAnsi="宋体"/>
          <w:b/>
          <w:color w:val="auto"/>
          <w:sz w:val="28"/>
          <w:szCs w:val="28"/>
        </w:rPr>
        <w:t>年</w:t>
      </w:r>
      <w:r>
        <w:rPr>
          <w:rFonts w:hint="eastAsia" w:ascii="宋体" w:hAnsi="宋体"/>
          <w:b/>
          <w:color w:val="auto"/>
          <w:sz w:val="28"/>
          <w:szCs w:val="28"/>
          <w:lang w:val="en-US" w:eastAsia="zh-CN"/>
        </w:rPr>
        <w:t>11</w:t>
      </w:r>
      <w:r>
        <w:rPr>
          <w:rFonts w:hint="eastAsia" w:ascii="宋体" w:hAnsi="宋体"/>
          <w:b/>
          <w:color w:val="auto"/>
          <w:sz w:val="28"/>
          <w:szCs w:val="28"/>
        </w:rPr>
        <w:t>月</w:t>
      </w:r>
      <w:r>
        <w:rPr>
          <w:rFonts w:hint="eastAsia" w:ascii="宋体" w:hAnsi="宋体"/>
          <w:b/>
          <w:color w:val="auto"/>
          <w:sz w:val="28"/>
          <w:szCs w:val="28"/>
          <w:lang w:val="en-US" w:eastAsia="zh-CN"/>
        </w:rPr>
        <w:t>22</w:t>
      </w:r>
      <w:r>
        <w:rPr>
          <w:rFonts w:hint="eastAsia" w:ascii="宋体" w:hAnsi="宋体"/>
          <w:b/>
          <w:color w:val="auto"/>
          <w:sz w:val="28"/>
          <w:szCs w:val="28"/>
        </w:rPr>
        <w:t>日上午09:</w:t>
      </w:r>
      <w:r>
        <w:rPr>
          <w:rFonts w:hint="eastAsia" w:ascii="宋体" w:hAnsi="宋体"/>
          <w:b/>
          <w:color w:val="auto"/>
          <w:sz w:val="28"/>
          <w:szCs w:val="28"/>
          <w:lang w:val="en-US" w:eastAsia="zh-CN"/>
        </w:rPr>
        <w:t>10</w:t>
      </w:r>
      <w:r>
        <w:rPr>
          <w:rFonts w:hint="eastAsia" w:ascii="宋体" w:hAnsi="宋体"/>
          <w:b/>
          <w:color w:val="auto"/>
          <w:sz w:val="28"/>
          <w:szCs w:val="28"/>
        </w:rPr>
        <w:t>。</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（二）投标文件递交方式、地点：投标截止时间前，投标人应将加密的投标文件递交至“政府采购云平台”对应项目（包件）。</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2" w:firstLineChars="150"/>
        <w:jc w:val="left"/>
        <w:rPr>
          <w:rFonts w:ascii="宋体" w:hAnsi="宋体"/>
          <w:b/>
          <w:sz w:val="28"/>
          <w:szCs w:val="28"/>
        </w:rPr>
      </w:pPr>
      <w:r>
        <w:rPr>
          <w:rFonts w:hint="eastAsia" w:ascii="宋体" w:hAnsi="宋体"/>
          <w:b/>
          <w:sz w:val="28"/>
          <w:szCs w:val="28"/>
        </w:rPr>
        <w:t>本项目为不见面开标项目。</w:t>
      </w:r>
    </w:p>
    <w:p>
      <w:pPr>
        <w:spacing w:line="360" w:lineRule="auto"/>
        <w:ind w:firstLine="560" w:firstLineChars="20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280" w:firstLineChars="100"/>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widowControl/>
        <w:tabs>
          <w:tab w:val="left" w:pos="1134"/>
        </w:tabs>
        <w:spacing w:line="360" w:lineRule="auto"/>
        <w:ind w:firstLine="560" w:firstLineChars="200"/>
        <w:rPr>
          <w:rFonts w:ascii="宋体" w:hAnsi="宋体"/>
          <w:sz w:val="28"/>
          <w:szCs w:val="28"/>
        </w:rPr>
      </w:pPr>
      <w:r>
        <w:rPr>
          <w:rFonts w:hint="eastAsia" w:ascii="宋体" w:hAnsi="宋体"/>
          <w:color w:val="000000" w:themeColor="text1"/>
          <w:sz w:val="28"/>
          <w:szCs w:val="28"/>
          <w14:textFill>
            <w14:solidFill>
              <w14:schemeClr w14:val="tx1"/>
            </w14:solidFill>
          </w14:textFill>
        </w:rPr>
        <w:t>参加本次招标活动中标</w:t>
      </w:r>
      <w:r>
        <w:rPr>
          <w:rFonts w:hint="eastAsia" w:ascii="宋体" w:hAnsi="宋体"/>
          <w:sz w:val="28"/>
          <w:szCs w:val="28"/>
        </w:rPr>
        <w:t>的中小企业无需提供财产抵押或第三方担保，凭借政府采购合同可向融资机构申请融资。</w:t>
      </w:r>
      <w:bookmarkStart w:id="13" w:name="_Toc26253"/>
      <w:bookmarkStart w:id="14" w:name="_Toc13269"/>
      <w:bookmarkStart w:id="15" w:name="_Toc21629"/>
      <w:r>
        <w:rPr>
          <w:rFonts w:hint="eastAsia" w:ascii="宋体" w:hAnsi="宋体"/>
          <w:sz w:val="28"/>
          <w:szCs w:val="28"/>
        </w:rPr>
        <w:t>本项目属于政府采购信用融资业务项目，融资利率上浮比例不超过人民银行同期贷款基准利率30%，银行机构名单联系方式见附件1。</w:t>
      </w:r>
      <w:bookmarkEnd w:id="13"/>
      <w:bookmarkEnd w:id="14"/>
      <w:bookmarkEnd w:id="15"/>
    </w:p>
    <w:p>
      <w:pPr>
        <w:numPr>
          <w:ilvl w:val="0"/>
          <w:numId w:val="4"/>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ascii="宋体" w:hAnsi="宋体"/>
          <w:b/>
          <w:sz w:val="28"/>
          <w:szCs w:val="28"/>
        </w:rPr>
      </w:pPr>
      <w:r>
        <w:rPr>
          <w:rFonts w:hint="eastAsia" w:ascii="宋体" w:hAnsi="宋体"/>
          <w:b/>
          <w:sz w:val="28"/>
          <w:szCs w:val="28"/>
        </w:rPr>
        <w:t>采购人：成都市双流区妇幼保健院</w:t>
      </w:r>
    </w:p>
    <w:p>
      <w:pPr>
        <w:spacing w:line="360" w:lineRule="auto"/>
        <w:ind w:firstLine="565" w:firstLineChars="202"/>
        <w:rPr>
          <w:rFonts w:ascii="宋体" w:hAnsi="宋体"/>
          <w:sz w:val="28"/>
          <w:szCs w:val="28"/>
        </w:rPr>
      </w:pPr>
      <w:r>
        <w:rPr>
          <w:rFonts w:hint="eastAsia" w:ascii="宋体" w:hAnsi="宋体"/>
          <w:sz w:val="28"/>
          <w:szCs w:val="28"/>
        </w:rPr>
        <w:t>地  址：</w:t>
      </w:r>
      <w:r>
        <w:rPr>
          <w:rFonts w:hint="eastAsia" w:ascii="宋体" w:hAnsi="宋体" w:cs="宋体"/>
          <w:kern w:val="0"/>
          <w:sz w:val="28"/>
        </w:rPr>
        <w:t>成都市双流区东升街道涧槽中街396号</w:t>
      </w:r>
    </w:p>
    <w:p>
      <w:pPr>
        <w:spacing w:line="360" w:lineRule="auto"/>
        <w:ind w:firstLine="565" w:firstLineChars="202"/>
        <w:rPr>
          <w:rFonts w:ascii="宋体" w:hAnsi="宋体"/>
          <w:sz w:val="28"/>
          <w:szCs w:val="28"/>
        </w:rPr>
      </w:pPr>
      <w:r>
        <w:rPr>
          <w:rFonts w:hint="eastAsia" w:ascii="宋体" w:hAnsi="宋体"/>
          <w:sz w:val="28"/>
          <w:szCs w:val="28"/>
        </w:rPr>
        <w:t>邮  编：</w:t>
      </w:r>
      <w:r>
        <w:rPr>
          <w:rFonts w:hint="eastAsia" w:ascii="宋体" w:hAnsi="宋体" w:cs="宋体"/>
          <w:sz w:val="28"/>
          <w:szCs w:val="28"/>
        </w:rPr>
        <w:t>610200</w:t>
      </w:r>
    </w:p>
    <w:p>
      <w:pPr>
        <w:spacing w:line="360" w:lineRule="auto"/>
        <w:ind w:firstLine="565" w:firstLineChars="202"/>
        <w:rPr>
          <w:rFonts w:ascii="宋体" w:hAnsi="宋体"/>
          <w:sz w:val="28"/>
          <w:szCs w:val="28"/>
        </w:rPr>
      </w:pPr>
      <w:r>
        <w:rPr>
          <w:rFonts w:hint="eastAsia" w:ascii="宋体" w:hAnsi="宋体"/>
          <w:sz w:val="28"/>
          <w:szCs w:val="28"/>
        </w:rPr>
        <w:t>联系人：郭小冬</w:t>
      </w:r>
    </w:p>
    <w:p>
      <w:pPr>
        <w:spacing w:line="360" w:lineRule="auto"/>
        <w:ind w:firstLine="565" w:firstLineChars="20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cs="宋体"/>
          <w:sz w:val="28"/>
          <w:szCs w:val="28"/>
        </w:rPr>
        <w:t>：</w:t>
      </w:r>
      <w:r>
        <w:rPr>
          <w:rFonts w:hint="eastAsia" w:ascii="宋体" w:hAnsi="宋体" w:cs="宋体"/>
          <w:sz w:val="28"/>
          <w:szCs w:val="28"/>
          <w:lang w:val="en-US" w:eastAsia="zh-CN"/>
        </w:rPr>
        <w:t>17708150052</w:t>
      </w:r>
    </w:p>
    <w:p>
      <w:pPr>
        <w:spacing w:line="360" w:lineRule="auto"/>
        <w:ind w:firstLine="568" w:firstLineChars="202"/>
        <w:rPr>
          <w:rFonts w:ascii="宋体" w:hAnsi="宋体"/>
          <w:b/>
          <w:sz w:val="28"/>
          <w:szCs w:val="28"/>
        </w:rPr>
      </w:pPr>
      <w:r>
        <w:rPr>
          <w:rFonts w:hint="eastAsia" w:ascii="宋体" w:hAnsi="宋体"/>
          <w:b/>
          <w:sz w:val="28"/>
          <w:szCs w:val="28"/>
        </w:rPr>
        <w:t>采购代理机构：成都市双流区公共资源交易服务中心</w:t>
      </w:r>
    </w:p>
    <w:p>
      <w:pPr>
        <w:spacing w:line="360" w:lineRule="auto"/>
        <w:ind w:firstLine="565" w:firstLineChars="202"/>
        <w:rPr>
          <w:rFonts w:ascii="宋体" w:hAnsi="宋体"/>
          <w:sz w:val="28"/>
          <w:szCs w:val="28"/>
        </w:rPr>
      </w:pPr>
      <w:r>
        <w:rPr>
          <w:rFonts w:hint="eastAsia" w:ascii="宋体" w:hAnsi="宋体"/>
          <w:sz w:val="28"/>
          <w:szCs w:val="28"/>
        </w:rPr>
        <w:t>地  址：</w:t>
      </w:r>
      <w:bookmarkStart w:id="16" w:name="开标地址_1617677663849"/>
      <w:r>
        <w:rPr>
          <w:rFonts w:hint="eastAsia" w:ascii="宋体" w:hAnsi="宋体" w:cs="宋体"/>
          <w:sz w:val="28"/>
          <w:szCs w:val="28"/>
        </w:rPr>
        <w:t>成都市双流区西航港街道机场路土桥段80号</w:t>
      </w:r>
      <w:bookmarkEnd w:id="16"/>
    </w:p>
    <w:p>
      <w:pPr>
        <w:spacing w:line="360" w:lineRule="auto"/>
        <w:ind w:firstLine="565" w:firstLineChars="202"/>
        <w:rPr>
          <w:rFonts w:ascii="宋体" w:hAnsi="宋体"/>
          <w:sz w:val="28"/>
          <w:szCs w:val="28"/>
        </w:rPr>
      </w:pPr>
      <w:r>
        <w:rPr>
          <w:rFonts w:hint="eastAsia" w:ascii="宋体" w:hAnsi="宋体"/>
          <w:sz w:val="28"/>
          <w:szCs w:val="28"/>
        </w:rPr>
        <w:t>邮  编：</w:t>
      </w:r>
      <w:r>
        <w:rPr>
          <w:rFonts w:hint="eastAsia" w:ascii="宋体" w:hAnsi="宋体" w:cs="宋体"/>
          <w:sz w:val="28"/>
          <w:szCs w:val="28"/>
        </w:rPr>
        <w:t>610200</w:t>
      </w:r>
    </w:p>
    <w:p>
      <w:pPr>
        <w:spacing w:line="360" w:lineRule="auto"/>
        <w:ind w:firstLine="565" w:firstLineChars="202"/>
        <w:rPr>
          <w:rFonts w:hint="default" w:ascii="宋体" w:hAnsi="宋体" w:eastAsia="宋体"/>
          <w:sz w:val="28"/>
          <w:szCs w:val="28"/>
          <w:lang w:val="en-US" w:eastAsia="zh-CN"/>
        </w:rPr>
      </w:pPr>
      <w:r>
        <w:rPr>
          <w:rFonts w:hint="eastAsia" w:ascii="宋体" w:hAnsi="宋体"/>
          <w:sz w:val="28"/>
          <w:szCs w:val="28"/>
        </w:rPr>
        <w:t xml:space="preserve">联系人： </w:t>
      </w:r>
      <w:r>
        <w:rPr>
          <w:rFonts w:hint="eastAsia" w:ascii="宋体" w:hAnsi="宋体" w:cs="宋体"/>
          <w:sz w:val="28"/>
          <w:szCs w:val="28"/>
        </w:rPr>
        <w:t>廖婷、</w:t>
      </w:r>
      <w:r>
        <w:rPr>
          <w:rFonts w:hint="eastAsia" w:ascii="宋体" w:hAnsi="宋体" w:cs="宋体"/>
          <w:sz w:val="28"/>
          <w:szCs w:val="28"/>
          <w:lang w:val="en-US" w:eastAsia="zh-CN"/>
        </w:rPr>
        <w:t>万晨鹞</w:t>
      </w:r>
    </w:p>
    <w:p>
      <w:pPr>
        <w:spacing w:line="360" w:lineRule="auto"/>
        <w:ind w:firstLine="565" w:firstLineChars="202"/>
        <w:rPr>
          <w:rFonts w:ascii="宋体" w:hAnsi="宋体"/>
          <w:sz w:val="28"/>
          <w:szCs w:val="28"/>
        </w:rPr>
      </w:pPr>
      <w:r>
        <w:rPr>
          <w:rFonts w:hint="eastAsia" w:ascii="宋体" w:hAnsi="宋体"/>
          <w:sz w:val="28"/>
          <w:szCs w:val="28"/>
        </w:rPr>
        <w:t>联系电话：</w:t>
      </w:r>
      <w:r>
        <w:rPr>
          <w:rFonts w:hint="eastAsia" w:ascii="宋体" w:hAnsi="宋体" w:cs="宋体"/>
          <w:sz w:val="28"/>
          <w:szCs w:val="28"/>
        </w:rPr>
        <w:t>028-85825029、028-85825012</w:t>
      </w:r>
    </w:p>
    <w:p>
      <w:pPr>
        <w:spacing w:line="360" w:lineRule="auto"/>
        <w:ind w:firstLine="568" w:firstLineChars="202"/>
        <w:rPr>
          <w:rFonts w:ascii="宋体" w:hAnsi="宋体"/>
          <w:sz w:val="28"/>
          <w:szCs w:val="28"/>
        </w:rPr>
      </w:pPr>
      <w:r>
        <w:rPr>
          <w:rFonts w:hint="eastAsia" w:ascii="宋体" w:hAnsi="宋体" w:cstheme="minorBidi"/>
          <w:b/>
          <w:sz w:val="28"/>
          <w:szCs w:val="28"/>
        </w:rPr>
        <w:t>技术支持电话：400-881-7190</w:t>
      </w:r>
    </w:p>
    <w:p>
      <w:pPr>
        <w:spacing w:line="360" w:lineRule="auto"/>
        <w:ind w:firstLine="562" w:firstLineChars="200"/>
        <w:rPr>
          <w:rFonts w:ascii="宋体" w:hAnsi="宋体"/>
          <w:b/>
          <w:sz w:val="28"/>
          <w:szCs w:val="28"/>
        </w:rPr>
      </w:pPr>
      <w:r>
        <w:rPr>
          <w:rFonts w:hint="eastAsia" w:ascii="宋体" w:hAnsi="宋体"/>
          <w:b/>
          <w:sz w:val="28"/>
          <w:szCs w:val="28"/>
        </w:rPr>
        <w:t>集中采购监督机构：</w:t>
      </w:r>
      <w:r>
        <w:rPr>
          <w:rFonts w:hint="eastAsia" w:ascii="宋体" w:hAnsi="宋体" w:cs="宋体"/>
          <w:b/>
          <w:bCs/>
          <w:sz w:val="28"/>
          <w:szCs w:val="28"/>
          <w:lang w:val="zh-CN"/>
        </w:rPr>
        <w:t>成都市双流区财政局</w:t>
      </w:r>
    </w:p>
    <w:p>
      <w:pPr>
        <w:spacing w:line="360" w:lineRule="auto"/>
        <w:ind w:firstLine="560" w:firstLineChars="200"/>
        <w:rPr>
          <w:rFonts w:ascii="宋体" w:hAnsi="宋体"/>
          <w:sz w:val="28"/>
          <w:szCs w:val="28"/>
        </w:rPr>
      </w:pPr>
      <w:r>
        <w:rPr>
          <w:rFonts w:hint="eastAsia" w:ascii="宋体" w:hAnsi="宋体"/>
          <w:sz w:val="28"/>
          <w:szCs w:val="28"/>
        </w:rPr>
        <w:t>地 址：</w:t>
      </w:r>
      <w:r>
        <w:rPr>
          <w:rFonts w:hint="eastAsia" w:ascii="宋体" w:hAnsi="宋体" w:cs="宋体"/>
          <w:sz w:val="28"/>
          <w:szCs w:val="28"/>
        </w:rPr>
        <w:t>成都市双流区电视塔路2段36号</w:t>
      </w:r>
    </w:p>
    <w:p>
      <w:pPr>
        <w:tabs>
          <w:tab w:val="left" w:pos="900"/>
        </w:tabs>
        <w:spacing w:line="360" w:lineRule="auto"/>
        <w:ind w:firstLine="560" w:firstLineChars="200"/>
        <w:rPr>
          <w:rFonts w:ascii="宋体" w:hAnsi="宋体" w:cstheme="minorBidi"/>
          <w:sz w:val="28"/>
          <w:szCs w:val="28"/>
        </w:rPr>
      </w:pPr>
      <w:r>
        <w:rPr>
          <w:rFonts w:hint="eastAsia" w:ascii="宋体" w:hAnsi="宋体" w:cstheme="minorBidi"/>
          <w:sz w:val="28"/>
          <w:szCs w:val="28"/>
        </w:rPr>
        <w:t>联系电话：</w:t>
      </w:r>
      <w:r>
        <w:rPr>
          <w:rFonts w:hint="eastAsia" w:ascii="宋体" w:hAnsi="宋体" w:cs="宋体"/>
          <w:sz w:val="28"/>
          <w:szCs w:val="28"/>
          <w:lang w:val="zh-CN"/>
        </w:rPr>
        <w:t>028-85804726</w:t>
      </w:r>
      <w:r>
        <w:rPr>
          <w:rFonts w:hint="eastAsia" w:ascii="宋体" w:hAnsi="宋体" w:cs="宋体"/>
          <w:sz w:val="28"/>
          <w:szCs w:val="28"/>
        </w:rPr>
        <w:t xml:space="preserve">  </w:t>
      </w:r>
    </w:p>
    <w:p>
      <w:pPr>
        <w:tabs>
          <w:tab w:val="left" w:pos="900"/>
        </w:tabs>
        <w:spacing w:line="360" w:lineRule="auto"/>
        <w:ind w:firstLine="562" w:firstLineChars="200"/>
        <w:rPr>
          <w:rFonts w:ascii="宋体" w:hAnsi="宋体" w:cstheme="minorBidi"/>
          <w:b/>
          <w:sz w:val="28"/>
          <w:szCs w:val="28"/>
        </w:rPr>
      </w:pPr>
    </w:p>
    <w:p>
      <w:pPr>
        <w:tabs>
          <w:tab w:val="left" w:pos="900"/>
        </w:tabs>
        <w:spacing w:line="360" w:lineRule="auto"/>
        <w:ind w:firstLine="562" w:firstLineChars="200"/>
        <w:rPr>
          <w:rFonts w:ascii="宋体" w:hAnsi="宋体" w:cstheme="minorBidi"/>
          <w:b/>
          <w:sz w:val="28"/>
          <w:szCs w:val="28"/>
        </w:rPr>
      </w:pPr>
    </w:p>
    <w:p>
      <w:pPr>
        <w:tabs>
          <w:tab w:val="left" w:pos="900"/>
        </w:tabs>
        <w:spacing w:line="360" w:lineRule="auto"/>
        <w:ind w:firstLine="562" w:firstLineChars="200"/>
        <w:rPr>
          <w:rFonts w:ascii="宋体" w:hAnsi="宋体" w:cstheme="minorBidi"/>
          <w:b/>
          <w:sz w:val="28"/>
          <w:szCs w:val="28"/>
        </w:rPr>
      </w:pPr>
    </w:p>
    <w:p>
      <w:pPr>
        <w:tabs>
          <w:tab w:val="left" w:pos="900"/>
        </w:tabs>
        <w:spacing w:line="360" w:lineRule="auto"/>
        <w:ind w:firstLine="562" w:firstLineChars="200"/>
        <w:rPr>
          <w:rFonts w:ascii="宋体" w:hAnsi="宋体" w:cstheme="minorBidi"/>
          <w:b/>
          <w:sz w:val="28"/>
          <w:szCs w:val="28"/>
        </w:rPr>
      </w:pPr>
    </w:p>
    <w:p>
      <w:pPr>
        <w:pStyle w:val="2"/>
        <w:rPr>
          <w:rFonts w:ascii="宋体" w:hAnsi="宋体" w:cstheme="minorBidi"/>
          <w:b/>
          <w:sz w:val="28"/>
          <w:szCs w:val="28"/>
        </w:rPr>
      </w:pPr>
    </w:p>
    <w:p>
      <w:pPr>
        <w:rPr>
          <w:rFonts w:ascii="宋体" w:hAnsi="宋体" w:cstheme="minorBidi"/>
          <w:b/>
          <w:sz w:val="28"/>
          <w:szCs w:val="28"/>
        </w:rPr>
      </w:pPr>
    </w:p>
    <w:p>
      <w:pPr>
        <w:pStyle w:val="2"/>
        <w:rPr>
          <w:rFonts w:ascii="宋体" w:hAnsi="宋体" w:cstheme="minorBidi"/>
          <w:b/>
          <w:sz w:val="28"/>
          <w:szCs w:val="28"/>
        </w:rPr>
      </w:pPr>
    </w:p>
    <w:p/>
    <w:p>
      <w:pPr>
        <w:pStyle w:val="2"/>
      </w:pPr>
    </w:p>
    <w:p>
      <w:pPr>
        <w:keepNext/>
        <w:keepLines/>
        <w:pageBreakBefore w:val="0"/>
        <w:widowControl w:val="0"/>
        <w:numPr>
          <w:ilvl w:val="0"/>
          <w:numId w:val="3"/>
        </w:numPr>
        <w:kinsoku/>
        <w:wordWrap/>
        <w:overflowPunct/>
        <w:topLinePunct w:val="0"/>
        <w:autoSpaceDE/>
        <w:autoSpaceDN/>
        <w:bidi w:val="0"/>
        <w:adjustRightInd/>
        <w:snapToGrid/>
        <w:spacing w:line="400" w:lineRule="exact"/>
        <w:ind w:left="0" w:firstLine="0"/>
        <w:jc w:val="center"/>
        <w:textAlignment w:val="auto"/>
        <w:outlineLvl w:val="0"/>
        <w:rPr>
          <w:rFonts w:ascii="宋体" w:hAnsi="宋体"/>
          <w:b/>
          <w:bCs/>
          <w:spacing w:val="-20"/>
          <w:kern w:val="44"/>
          <w:sz w:val="32"/>
          <w:szCs w:val="32"/>
        </w:rPr>
      </w:pPr>
      <w:bookmarkStart w:id="17" w:name="_Toc28002"/>
      <w:r>
        <w:rPr>
          <w:rFonts w:hint="eastAsia" w:ascii="宋体" w:hAnsi="宋体"/>
          <w:b/>
          <w:bCs/>
          <w:spacing w:val="-20"/>
          <w:kern w:val="44"/>
          <w:sz w:val="32"/>
          <w:szCs w:val="32"/>
        </w:rPr>
        <w:t>投标人须知</w:t>
      </w:r>
      <w:bookmarkEnd w:id="17"/>
    </w:p>
    <w:p>
      <w:pPr>
        <w:keepNext/>
        <w:keepLines/>
        <w:pageBreakBefore w:val="0"/>
        <w:widowControl w:val="0"/>
        <w:numPr>
          <w:ilvl w:val="1"/>
          <w:numId w:val="3"/>
        </w:numPr>
        <w:kinsoku/>
        <w:wordWrap/>
        <w:overflowPunct/>
        <w:topLinePunct w:val="0"/>
        <w:autoSpaceDE/>
        <w:autoSpaceDN/>
        <w:bidi w:val="0"/>
        <w:adjustRightInd/>
        <w:snapToGrid/>
        <w:spacing w:line="360" w:lineRule="auto"/>
        <w:ind w:left="567" w:hanging="567"/>
        <w:jc w:val="left"/>
        <w:textAlignment w:val="auto"/>
        <w:outlineLvl w:val="1"/>
        <w:rPr>
          <w:rFonts w:ascii="宋体" w:hAnsi="宋体"/>
          <w:b/>
          <w:bCs/>
          <w:sz w:val="28"/>
          <w:szCs w:val="28"/>
        </w:rPr>
      </w:pPr>
      <w:bookmarkStart w:id="18" w:name="_Toc189727030"/>
      <w:bookmarkStart w:id="19" w:name="_Toc213496268"/>
      <w:bookmarkStart w:id="20" w:name="_Toc217446032"/>
      <w:bookmarkStart w:id="21" w:name="_Toc213396946"/>
      <w:bookmarkStart w:id="22" w:name="_Toc31438"/>
      <w:bookmarkStart w:id="23" w:name="_Toc213397010"/>
      <w:bookmarkStart w:id="24" w:name="_Toc316462344"/>
      <w:bookmarkStart w:id="25" w:name="_Toc213396760"/>
      <w:r>
        <w:rPr>
          <w:rFonts w:hint="eastAsia" w:ascii="宋体" w:hAnsi="宋体"/>
          <w:b/>
          <w:bCs/>
          <w:sz w:val="28"/>
          <w:szCs w:val="28"/>
        </w:rPr>
        <w:t>投标人须知前附表</w:t>
      </w:r>
      <w:bookmarkEnd w:id="18"/>
      <w:bookmarkEnd w:id="19"/>
      <w:bookmarkEnd w:id="20"/>
      <w:bookmarkEnd w:id="21"/>
      <w:bookmarkEnd w:id="22"/>
      <w:bookmarkEnd w:id="23"/>
      <w:bookmarkEnd w:id="24"/>
      <w:bookmarkEnd w:id="25"/>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9"/>
        <w:gridCol w:w="1921"/>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67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921"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eastAsia="仿宋_GB2312" w:cs="宋体"/>
                <w:b/>
                <w:lang w:val="zh-CN"/>
              </w:rPr>
            </w:pPr>
            <w:r>
              <w:rPr>
                <w:rFonts w:hint="eastAsia" w:ascii="宋体" w:hAnsi="宋体"/>
                <w:b/>
              </w:rPr>
              <w:t>人民币3194200.00元</w:t>
            </w:r>
            <w:r>
              <w:rPr>
                <w:rFonts w:hint="eastAsia"/>
                <w:b/>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05" w:hRule="exac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本项目最高限价：人民币</w:t>
            </w:r>
            <w:r>
              <w:rPr>
                <w:rFonts w:hint="eastAsia" w:ascii="宋体" w:hAnsi="宋体"/>
                <w:b/>
              </w:rPr>
              <w:t>3194200.00</w:t>
            </w:r>
            <w:r>
              <w:rPr>
                <w:rFonts w:hint="eastAsia" w:ascii="宋体" w:hAnsi="宋体" w:cs="宋体"/>
                <w:b/>
                <w:lang w:val="zh-CN"/>
              </w:rPr>
              <w:t>元，</w:t>
            </w:r>
            <w:r>
              <w:rPr>
                <w:rFonts w:hint="eastAsia"/>
                <w:b/>
                <w:lang w:val="zh-CN"/>
              </w:rPr>
              <w:t>单价最高限价见第4章4.2采购内容。如投标人投标报价高于最高限价或单价报价高于单价最高限价的则其投标文件将按无效投标文件处理。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0" w:hRule="exac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1"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en-US" w:eastAsia="zh-CN"/>
              </w:rPr>
              <w:t>最低评标价法（</w:t>
            </w:r>
            <w:r>
              <w:rPr>
                <w:rFonts w:hint="eastAsia" w:ascii="宋体" w:hAnsi="宋体" w:cs="宋体"/>
                <w:lang w:val="zh-CN"/>
              </w:rPr>
              <w:t>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小微企业价格扣除（监狱企业、残疾人福利性单位视同小微企业）</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szCs w:val="21"/>
              </w:rPr>
            </w:pPr>
            <w:r>
              <w:rPr>
                <w:rFonts w:hint="eastAsia" w:ascii="宋体" w:hAnsi="宋体" w:cs="宋体"/>
                <w:szCs w:val="21"/>
                <w:lang w:val="zh-CN"/>
              </w:rPr>
              <w:t>本项目为</w:t>
            </w:r>
            <w:r>
              <w:rPr>
                <w:rFonts w:hint="eastAsia" w:ascii="宋体" w:hAnsi="宋体" w:cs="宋体"/>
                <w:b/>
                <w:bCs/>
                <w:szCs w:val="21"/>
                <w:lang w:val="zh-CN"/>
              </w:rPr>
              <w:t>专门面向</w:t>
            </w:r>
            <w:r>
              <w:rPr>
                <w:rFonts w:hint="eastAsia" w:ascii="宋体" w:hAnsi="宋体" w:cs="宋体"/>
                <w:szCs w:val="21"/>
                <w:lang w:val="zh-CN"/>
              </w:rPr>
              <w:t>中小企业采购，中小企业包括中小微企业、监狱企业、残疾人福利性单位。</w:t>
            </w:r>
            <w:r>
              <w:rPr>
                <w:rFonts w:hint="eastAsia" w:ascii="宋体" w:hAnsi="宋体" w:cs="宋体"/>
                <w:szCs w:val="21"/>
              </w:rPr>
              <w:t xml:space="preserve">  </w:t>
            </w:r>
          </w:p>
          <w:p>
            <w:pPr>
              <w:autoSpaceDE w:val="0"/>
              <w:autoSpaceDN w:val="0"/>
              <w:adjustRightInd w:val="0"/>
              <w:spacing w:line="360" w:lineRule="auto"/>
              <w:ind w:right="210" w:rightChars="100"/>
              <w:rPr>
                <w:rFonts w:ascii="宋体" w:hAnsi="宋体"/>
                <w:b/>
              </w:rPr>
            </w:pPr>
            <w:r>
              <w:rPr>
                <w:rFonts w:hint="eastAsia" w:ascii="宋体" w:hAnsi="宋体" w:cs="宋体"/>
                <w:b/>
                <w:bCs/>
                <w:szCs w:val="21"/>
                <w:lang w:val="zh-CN"/>
              </w:rPr>
              <w:t>注：专门面向中小企业的政府采购项目不再进行价格扣除。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8"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0"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b/>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3"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84"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300" w:lineRule="exact"/>
              <w:jc w:val="left"/>
              <w:textAlignment w:val="auto"/>
              <w:rPr>
                <w:rFonts w:ascii="宋体" w:hAnsi="宋体"/>
              </w:rPr>
            </w:pPr>
            <w:r>
              <w:rPr>
                <w:rFonts w:hint="eastAsia" w:ascii="宋体" w:hAnsi="宋体"/>
              </w:rPr>
              <w:t>详见投标人须知2.4.12</w:t>
            </w:r>
          </w:p>
          <w:p>
            <w:pPr>
              <w:keepNext w:val="0"/>
              <w:keepLines w:val="0"/>
              <w:pageBreakBefore w:val="0"/>
              <w:widowControl w:val="0"/>
              <w:tabs>
                <w:tab w:val="left" w:pos="7665"/>
              </w:tabs>
              <w:kinsoku/>
              <w:wordWrap/>
              <w:overflowPunct/>
              <w:topLinePunct w:val="0"/>
              <w:autoSpaceDE/>
              <w:autoSpaceDN/>
              <w:bidi w:val="0"/>
              <w:adjustRightInd/>
              <w:snapToGrid w:val="0"/>
              <w:spacing w:line="300" w:lineRule="exact"/>
              <w:jc w:val="left"/>
              <w:textAlignment w:val="auto"/>
              <w:rPr>
                <w:b/>
              </w:rPr>
            </w:pPr>
            <w:r>
              <w:rPr>
                <w:rFonts w:hint="eastAsia" w:ascii="宋体" w:hAnsi="宋体"/>
                <w:b/>
              </w:rPr>
              <w:t>注：投标人使用</w:t>
            </w:r>
            <w:r>
              <w:rPr>
                <w:rFonts w:ascii="宋体" w:hAnsi="宋体"/>
                <w:b/>
              </w:rPr>
              <w:t>CA证书在</w:t>
            </w:r>
            <w:r>
              <w:rPr>
                <w:rFonts w:hint="eastAsia" w:ascii="宋体" w:hAnsi="宋体"/>
                <w:b/>
              </w:rPr>
              <w:t>投标截止时间前，将投标文件上传至政府</w:t>
            </w:r>
            <w:r>
              <w:rPr>
                <w:rFonts w:ascii="宋体" w:hAnsi="宋体"/>
                <w:b/>
              </w:rPr>
              <w:t>采购</w:t>
            </w:r>
            <w:r>
              <w:rPr>
                <w:rFonts w:hint="eastAsia" w:ascii="宋体" w:hAnsi="宋体"/>
                <w:b/>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53"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 ，使用对投标文件进行加密的CA证书在线完成对投标人递交至政府采购云平台的投标文件的解密。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02"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对招标文件中供应商参加本次政府采购活动应当具备的条件,招标文件</w:t>
            </w:r>
            <w:r>
              <w:rPr>
                <w:rFonts w:hint="eastAsia" w:ascii="宋体" w:hAnsi="宋体" w:cs="宋体"/>
                <w:szCs w:val="21"/>
              </w:rPr>
              <w:t>项目技术、服务、商务及其他要求,评审细则和标准,采购合同格式，以及关于资格审查、中标（成交）结果的询问、质疑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68"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对招标文件中的其他内容，招标文件</w:t>
            </w:r>
            <w:r>
              <w:rPr>
                <w:rFonts w:hint="eastAsia" w:ascii="宋体" w:hAnsi="宋体" w:cs="宋体"/>
                <w:szCs w:val="21"/>
              </w:rPr>
              <w:t>中采购程序、供应商须知、响应文件格式、以及开标过程程序的询问、质疑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向区公资交易中心提出，并由区公资交易中心按相关规定作出答复（详见投标人须知2.8）。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14" w:hRule="atLeast"/>
          <w:jc w:val="center"/>
        </w:trPr>
        <w:tc>
          <w:tcPr>
            <w:tcW w:w="679"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921"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lang w:val="zh-CN"/>
              </w:rPr>
            </w:pPr>
            <w:r>
              <w:rPr>
                <w:rFonts w:hint="eastAsia" w:ascii="宋体" w:hAnsi="宋体"/>
              </w:rPr>
              <w:t>投诉受理单位：</w:t>
            </w:r>
            <w:r>
              <w:rPr>
                <w:rFonts w:hint="eastAsia" w:ascii="宋体" w:hAnsi="宋体"/>
                <w:lang w:val="zh-CN"/>
              </w:rPr>
              <w:t>本采购项目同级财政部门，即成都市双流区财政局。</w:t>
            </w:r>
          </w:p>
          <w:p>
            <w:pPr>
              <w:tabs>
                <w:tab w:val="left" w:pos="7665"/>
              </w:tabs>
              <w:snapToGrid w:val="0"/>
              <w:spacing w:line="360" w:lineRule="auto"/>
              <w:rPr>
                <w:rFonts w:ascii="宋体" w:hAnsi="宋体"/>
              </w:rPr>
            </w:pPr>
            <w:r>
              <w:rPr>
                <w:rFonts w:hint="eastAsia" w:ascii="宋体" w:hAnsi="宋体"/>
              </w:rPr>
              <w:t>联系电话：</w:t>
            </w:r>
            <w:r>
              <w:rPr>
                <w:rFonts w:hint="eastAsia" w:ascii="宋体" w:hAnsi="宋体"/>
                <w:lang w:val="zh-CN"/>
              </w:rPr>
              <w:t>028-85804726</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地址：成都市双流区电视塔路2段36号。</w:t>
            </w:r>
          </w:p>
          <w:p>
            <w:pPr>
              <w:tabs>
                <w:tab w:val="left" w:pos="7665"/>
              </w:tabs>
              <w:snapToGrid w:val="0"/>
              <w:spacing w:line="360" w:lineRule="auto"/>
              <w:rPr>
                <w:rFonts w:ascii="宋体" w:hAnsi="宋体"/>
              </w:rPr>
            </w:pPr>
            <w:r>
              <w:rPr>
                <w:rFonts w:hint="eastAsia" w:ascii="宋体" w:hAnsi="宋体"/>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98" w:hRule="atLeast"/>
          <w:jc w:val="center"/>
        </w:trPr>
        <w:tc>
          <w:tcPr>
            <w:tcW w:w="679"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921"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81" w:hRule="atLeast"/>
          <w:jc w:val="center"/>
        </w:trPr>
        <w:tc>
          <w:tcPr>
            <w:tcW w:w="679"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921"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7" w:hRule="atLeast"/>
          <w:jc w:val="center"/>
        </w:trPr>
        <w:tc>
          <w:tcPr>
            <w:tcW w:w="679"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921"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54" w:hRule="atLeast"/>
          <w:jc w:val="center"/>
        </w:trPr>
        <w:tc>
          <w:tcPr>
            <w:tcW w:w="679"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921"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hAnsi="宋体"/>
              </w:rPr>
              <w:t>政府采购合同签订之日起2个工作日内，采购人将在四川政府采购网公告采购合同；政府采购合同签订之日起7个工作日内，采购人将向本采购项目同级财政部门，即</w:t>
            </w:r>
            <w:r>
              <w:rPr>
                <w:rFonts w:hint="eastAsia" w:ascii="宋体" w:hAnsi="宋体"/>
                <w:lang w:val="zh-CN"/>
              </w:rPr>
              <w:t>成都市双流区财政局</w:t>
            </w:r>
            <w:r>
              <w:rPr>
                <w:rFonts w:hint="eastAsia" w:ascii="宋体" w:hAnsi="宋体"/>
              </w:rPr>
              <w:t>备案</w:t>
            </w:r>
            <w:r>
              <w:rPr>
                <w:rFonts w:hint="eastAsia" w:ascii="宋体" w:hAnsi="宋体"/>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37" w:hRule="atLeast"/>
          <w:jc w:val="center"/>
        </w:trPr>
        <w:tc>
          <w:tcPr>
            <w:tcW w:w="679"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921"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rPr>
            </w:pPr>
            <w:r>
              <w:rPr>
                <w:rFonts w:hint="eastAsia" w:ascii="宋体" w:hAnsi="宋体"/>
              </w:rPr>
              <w:t>中小企业政府采购信用融资</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参加本次招标活动中标的中小企业无需提供财产抵押或第三方担保，凭借政府采购合同可向融资机构申请融资。本项目属于政府采购信用融资业务项目，融资利率上浮比例不超过人民银行同期贷款基准利率30%，银行机构名单联系方式见附件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1" w:hRule="atLeast"/>
          <w:jc w:val="center"/>
        </w:trPr>
        <w:tc>
          <w:tcPr>
            <w:tcW w:w="679"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921"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2" w:hRule="atLeast"/>
          <w:jc w:val="center"/>
        </w:trPr>
        <w:tc>
          <w:tcPr>
            <w:tcW w:w="679"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831"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firstLine="420" w:firstLineChars="200"/>
              <w:rPr>
                <w:rFonts w:ascii="宋体" w:hAnsi="宋体"/>
              </w:rPr>
            </w:pPr>
            <w:r>
              <w:rPr>
                <w:rFonts w:hint="eastAsia" w:ascii="宋体" w:hAnsi="宋体"/>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20" w:hRule="atLeast"/>
          <w:jc w:val="center"/>
        </w:trPr>
        <w:tc>
          <w:tcPr>
            <w:tcW w:w="679"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831"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firstLine="420" w:firstLineChars="200"/>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5" w:hRule="atLeast"/>
          <w:jc w:val="center"/>
        </w:trPr>
        <w:tc>
          <w:tcPr>
            <w:tcW w:w="679"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831"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firstLine="420" w:firstLineChars="200"/>
              <w:rPr>
                <w:rFonts w:ascii="宋体" w:hAnsi="宋体"/>
              </w:rPr>
            </w:pPr>
            <w:r>
              <w:rPr>
                <w:rFonts w:hint="eastAsia" w:ascii="宋体" w:hAnsi="宋体"/>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68" w:hRule="atLeast"/>
          <w:jc w:val="center"/>
        </w:trPr>
        <w:tc>
          <w:tcPr>
            <w:tcW w:w="679"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831"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firstLine="420" w:firstLineChars="200"/>
              <w:rPr>
                <w:rFonts w:ascii="宋体" w:hAnsi="宋体"/>
              </w:rPr>
            </w:pPr>
            <w:r>
              <w:rPr>
                <w:rFonts w:hint="eastAsia" w:ascii="宋体" w:hAnsi="宋体"/>
              </w:rPr>
              <w:t>采购人须对第3章、第4章、第5章和第6章中要求供应商提供的承诺函、相关材料及证明文件进行查验并做好查验记录。查验时间截止时点：采购人在收到评审报告后，确认中标供应商前完成查验。</w:t>
            </w:r>
          </w:p>
        </w:tc>
      </w:tr>
    </w:tbl>
    <w:p>
      <w:pPr>
        <w:keepNext/>
        <w:keepLines/>
        <w:pageBreakBefore w:val="0"/>
        <w:widowControl w:val="0"/>
        <w:numPr>
          <w:ilvl w:val="1"/>
          <w:numId w:val="3"/>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26" w:name="_Toc6333"/>
      <w:r>
        <w:rPr>
          <w:rFonts w:hint="eastAsia" w:ascii="宋体" w:hAnsi="宋体"/>
          <w:b/>
          <w:bCs/>
          <w:sz w:val="28"/>
          <w:szCs w:val="28"/>
        </w:rPr>
        <w:t>总则</w:t>
      </w:r>
      <w:bookmarkEnd w:id="26"/>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适用范围</w:t>
      </w:r>
    </w:p>
    <w:p>
      <w:pPr>
        <w:pageBreakBefore w:val="0"/>
        <w:numPr>
          <w:ilvl w:val="0"/>
          <w:numId w:val="9"/>
        </w:numPr>
        <w:tabs>
          <w:tab w:val="left" w:pos="1134"/>
        </w:tabs>
        <w:kinsoku/>
        <w:wordWrap/>
        <w:overflowPunct/>
        <w:topLinePunct w:val="0"/>
        <w:bidi w:val="0"/>
        <w:snapToGrid/>
        <w:spacing w:line="360" w:lineRule="auto"/>
        <w:ind w:left="0" w:firstLine="565" w:firstLineChars="202"/>
        <w:textAlignment w:val="auto"/>
        <w:rPr>
          <w:rFonts w:ascii="宋体" w:hAnsi="宋体"/>
          <w:sz w:val="28"/>
          <w:szCs w:val="28"/>
        </w:rPr>
      </w:pPr>
      <w:r>
        <w:rPr>
          <w:rFonts w:hint="eastAsia" w:ascii="宋体" w:hAnsi="宋体"/>
          <w:sz w:val="28"/>
          <w:szCs w:val="28"/>
        </w:rPr>
        <w:t>本招标文件仅适用于本次公开招标采购项目。</w:t>
      </w:r>
    </w:p>
    <w:p>
      <w:pPr>
        <w:pageBreakBefore w:val="0"/>
        <w:numPr>
          <w:ilvl w:val="0"/>
          <w:numId w:val="9"/>
        </w:numPr>
        <w:tabs>
          <w:tab w:val="left" w:pos="1134"/>
        </w:tabs>
        <w:kinsoku/>
        <w:wordWrap/>
        <w:overflowPunct/>
        <w:topLinePunct w:val="0"/>
        <w:bidi w:val="0"/>
        <w:snapToGrid/>
        <w:spacing w:line="360" w:lineRule="auto"/>
        <w:ind w:left="0" w:firstLine="565" w:firstLineChars="202"/>
        <w:textAlignment w:val="auto"/>
        <w:rPr>
          <w:rFonts w:ascii="宋体" w:hAnsi="宋体"/>
          <w:sz w:val="28"/>
          <w:szCs w:val="28"/>
        </w:rPr>
      </w:pPr>
      <w:r>
        <w:rPr>
          <w:rFonts w:hint="eastAsia" w:ascii="宋体" w:hAnsi="宋体"/>
          <w:sz w:val="28"/>
          <w:szCs w:val="28"/>
        </w:rPr>
        <w:t>本招标文件的最终解释权由采购人或区公资交易中心享有。对招标文件中供应商参加本次政府采购活动应当具备的条件，招标项目技术、服务、商务及其他要求，评标细则及标准由采购人负责解释。除上述招标文件内容，其他内容由区公资交易中心负责解释。</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有关定义</w:t>
      </w:r>
    </w:p>
    <w:p>
      <w:pPr>
        <w:pageBreakBefore w:val="0"/>
        <w:numPr>
          <w:ilvl w:val="0"/>
          <w:numId w:val="10"/>
        </w:numPr>
        <w:tabs>
          <w:tab w:val="left" w:pos="1134"/>
        </w:tabs>
        <w:kinsoku/>
        <w:wordWrap/>
        <w:overflowPunct/>
        <w:topLinePunct w:val="0"/>
        <w:bidi w:val="0"/>
        <w:snapToGrid/>
        <w:spacing w:line="360" w:lineRule="auto"/>
        <w:ind w:left="0" w:firstLine="568"/>
        <w:textAlignment w:val="auto"/>
        <w:rPr>
          <w:rFonts w:ascii="宋体" w:hAnsi="宋体"/>
          <w:sz w:val="28"/>
          <w:szCs w:val="28"/>
        </w:rPr>
      </w:pPr>
      <w:r>
        <w:rPr>
          <w:rFonts w:hint="eastAsia" w:ascii="宋体" w:hAnsi="宋体"/>
          <w:sz w:val="28"/>
          <w:szCs w:val="28"/>
        </w:rPr>
        <w:t>“采购人”和“甲方”系指依法进行政府采购的成都市</w:t>
      </w:r>
      <w:r>
        <w:rPr>
          <w:rFonts w:hint="eastAsia" w:ascii="宋体" w:hAnsi="宋体"/>
          <w:sz w:val="28"/>
          <w:szCs w:val="28"/>
          <w:lang w:val="en-US" w:eastAsia="zh-CN"/>
        </w:rPr>
        <w:t>双流区</w:t>
      </w:r>
      <w:r>
        <w:rPr>
          <w:rFonts w:hint="eastAsia" w:ascii="宋体" w:hAnsi="宋体"/>
          <w:sz w:val="28"/>
          <w:szCs w:val="28"/>
        </w:rPr>
        <w:t>级机关、事业单位、团体组织。本次招标的采购人是</w:t>
      </w:r>
      <w:r>
        <w:rPr>
          <w:rFonts w:hint="eastAsia" w:ascii="宋体" w:hAnsi="宋体"/>
          <w:b/>
          <w:sz w:val="28"/>
          <w:szCs w:val="28"/>
        </w:rPr>
        <w:t>成都市双流区妇幼保健院</w:t>
      </w:r>
      <w:r>
        <w:rPr>
          <w:rFonts w:hint="eastAsia" w:ascii="宋体" w:hAnsi="宋体"/>
          <w:sz w:val="28"/>
          <w:szCs w:val="28"/>
        </w:rPr>
        <w:t>。</w:t>
      </w:r>
    </w:p>
    <w:p>
      <w:pPr>
        <w:pageBreakBefore w:val="0"/>
        <w:numPr>
          <w:ilvl w:val="0"/>
          <w:numId w:val="10"/>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pageBreakBefore w:val="0"/>
        <w:numPr>
          <w:ilvl w:val="0"/>
          <w:numId w:val="10"/>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pageBreakBefore w:val="0"/>
        <w:numPr>
          <w:ilvl w:val="0"/>
          <w:numId w:val="10"/>
        </w:numPr>
        <w:tabs>
          <w:tab w:val="left" w:pos="1134"/>
        </w:tabs>
        <w:kinsoku/>
        <w:wordWrap/>
        <w:overflowPunct/>
        <w:topLinePunct w:val="0"/>
        <w:bidi w:val="0"/>
        <w:snapToGrid/>
        <w:spacing w:line="360" w:lineRule="auto"/>
        <w:ind w:left="0" w:firstLine="568"/>
        <w:textAlignment w:val="auto"/>
        <w:rPr>
          <w:rFonts w:ascii="宋体" w:hAnsi="宋体"/>
          <w:sz w:val="28"/>
          <w:szCs w:val="28"/>
        </w:rPr>
      </w:pPr>
      <w:r>
        <w:rPr>
          <w:rFonts w:hint="eastAsia" w:ascii="宋体" w:hAnsi="宋体"/>
          <w:sz w:val="28"/>
          <w:szCs w:val="28"/>
        </w:rPr>
        <w:t>本招标文件各部分规定的“以上”、“以下”、“内”、“以内”，包括本数；所称的“不足”，不包括本数。</w:t>
      </w:r>
    </w:p>
    <w:p>
      <w:pPr>
        <w:pageBreakBefore w:val="0"/>
        <w:numPr>
          <w:ilvl w:val="0"/>
          <w:numId w:val="10"/>
        </w:numPr>
        <w:tabs>
          <w:tab w:val="left" w:pos="1134"/>
        </w:tabs>
        <w:kinsoku/>
        <w:wordWrap/>
        <w:overflowPunct/>
        <w:topLinePunct w:val="0"/>
        <w:bidi w:val="0"/>
        <w:snapToGrid/>
        <w:spacing w:line="360" w:lineRule="auto"/>
        <w:ind w:left="0" w:firstLine="568"/>
        <w:textAlignment w:val="auto"/>
        <w:rPr>
          <w:rFonts w:ascii="宋体" w:hAnsi="宋体"/>
          <w:sz w:val="28"/>
          <w:szCs w:val="28"/>
        </w:rPr>
      </w:pPr>
      <w:r>
        <w:rPr>
          <w:rFonts w:ascii="宋体" w:hAnsi="宋体"/>
          <w:sz w:val="28"/>
          <w:szCs w:val="28"/>
        </w:rPr>
        <w:t>重大违法记录是指供应商因违法经营受到刑事处罚或者责令停产停业、吊销许可证或者执照、较大数额罚款等行政处罚</w:t>
      </w:r>
      <w:r>
        <w:rPr>
          <w:rFonts w:hint="eastAsia" w:ascii="宋体" w:hAnsi="宋体"/>
          <w:sz w:val="28"/>
          <w:szCs w:val="28"/>
        </w:rPr>
        <w:t>。</w:t>
      </w:r>
    </w:p>
    <w:p>
      <w:pPr>
        <w:pageBreakBefore w:val="0"/>
        <w:numPr>
          <w:ilvl w:val="0"/>
          <w:numId w:val="10"/>
        </w:numPr>
        <w:tabs>
          <w:tab w:val="left" w:pos="1134"/>
        </w:tabs>
        <w:kinsoku/>
        <w:wordWrap/>
        <w:overflowPunct/>
        <w:topLinePunct w:val="0"/>
        <w:bidi w:val="0"/>
        <w:snapToGrid/>
        <w:spacing w:line="360" w:lineRule="auto"/>
        <w:ind w:left="0" w:firstLine="568"/>
        <w:textAlignment w:val="auto"/>
        <w:rPr>
          <w:rFonts w:ascii="宋体" w:hAnsi="宋体"/>
          <w:sz w:val="28"/>
          <w:szCs w:val="28"/>
        </w:rPr>
      </w:pPr>
      <w:r>
        <w:rPr>
          <w:rFonts w:hint="eastAsia" w:ascii="宋体" w:hAnsi="宋体"/>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w:t>
      </w:r>
      <w:r>
        <w:rPr>
          <w:rFonts w:hint="eastAsia" w:ascii="宋体" w:hAnsi="宋体"/>
          <w:sz w:val="28"/>
          <w:szCs w:val="28"/>
        </w:rPr>
        <w:t>为准。</w:t>
      </w:r>
    </w:p>
    <w:p>
      <w:pPr>
        <w:pageBreakBefore w:val="0"/>
        <w:numPr>
          <w:ilvl w:val="0"/>
          <w:numId w:val="10"/>
        </w:numPr>
        <w:tabs>
          <w:tab w:val="left" w:pos="1134"/>
        </w:tabs>
        <w:kinsoku/>
        <w:wordWrap/>
        <w:overflowPunct/>
        <w:topLinePunct w:val="0"/>
        <w:bidi w:val="0"/>
        <w:snapToGrid/>
        <w:spacing w:line="360" w:lineRule="auto"/>
        <w:ind w:left="0" w:firstLine="568"/>
        <w:textAlignment w:val="auto"/>
        <w:rPr>
          <w:rFonts w:ascii="宋体" w:hAnsi="宋体"/>
          <w:sz w:val="28"/>
          <w:szCs w:val="28"/>
        </w:rPr>
      </w:pPr>
      <w:r>
        <w:rPr>
          <w:rFonts w:hint="eastAsia" w:ascii="宋体" w:hAnsi="宋体"/>
          <w:sz w:val="28"/>
          <w:szCs w:val="28"/>
        </w:rPr>
        <w:t>不见面开标是指，区公资交易中心依托政府采购云平台组织开标活动，供应商在线参与开标的一种组织形式。</w:t>
      </w:r>
    </w:p>
    <w:p>
      <w:pPr>
        <w:keepNext/>
        <w:keepLines/>
        <w:pageBreakBefore w:val="0"/>
        <w:numPr>
          <w:ilvl w:val="2"/>
          <w:numId w:val="3"/>
        </w:numPr>
        <w:kinsoku/>
        <w:wordWrap/>
        <w:overflowPunct/>
        <w:topLinePunct w:val="0"/>
        <w:bidi w:val="0"/>
        <w:snapToGrid/>
        <w:spacing w:line="360" w:lineRule="auto"/>
        <w:ind w:left="3119" w:hanging="3119"/>
        <w:textAlignment w:val="auto"/>
        <w:outlineLvl w:val="2"/>
        <w:rPr>
          <w:rFonts w:ascii="宋体" w:hAnsi="宋体"/>
          <w:b/>
          <w:bCs/>
          <w:sz w:val="28"/>
          <w:szCs w:val="28"/>
        </w:rPr>
      </w:pPr>
      <w:bookmarkStart w:id="27" w:name="_Toc217446036"/>
      <w:bookmarkStart w:id="28" w:name="_Toc183682344"/>
      <w:bookmarkStart w:id="29" w:name="_Toc183582207"/>
      <w:bookmarkStart w:id="30" w:name="_Toc217390843"/>
      <w:r>
        <w:rPr>
          <w:rFonts w:hint="eastAsia" w:ascii="宋体" w:hAnsi="宋体"/>
          <w:b/>
          <w:bCs/>
          <w:sz w:val="28"/>
          <w:szCs w:val="28"/>
        </w:rPr>
        <w:t>合格的投标人</w:t>
      </w:r>
      <w:bookmarkEnd w:id="27"/>
      <w:bookmarkEnd w:id="28"/>
      <w:bookmarkEnd w:id="29"/>
      <w:bookmarkEnd w:id="30"/>
    </w:p>
    <w:p>
      <w:pPr>
        <w:pageBreakBefore w:val="0"/>
        <w:tabs>
          <w:tab w:val="left" w:pos="7665"/>
        </w:tabs>
        <w:kinsoku/>
        <w:wordWrap/>
        <w:overflowPunct/>
        <w:topLinePunct w:val="0"/>
        <w:bidi w:val="0"/>
        <w:snapToGrid/>
        <w:spacing w:line="360" w:lineRule="auto"/>
        <w:ind w:firstLine="565" w:firstLineChars="202"/>
        <w:textAlignment w:val="auto"/>
        <w:rPr>
          <w:rFonts w:ascii="宋体" w:hAnsi="宋体"/>
          <w:sz w:val="28"/>
          <w:szCs w:val="28"/>
        </w:rPr>
      </w:pPr>
      <w:r>
        <w:rPr>
          <w:rFonts w:hint="eastAsia" w:ascii="宋体" w:hAnsi="宋体"/>
          <w:sz w:val="28"/>
          <w:szCs w:val="28"/>
        </w:rPr>
        <w:t>合格的投标人应具备以下条件：</w:t>
      </w:r>
    </w:p>
    <w:p>
      <w:pPr>
        <w:pageBreakBefore w:val="0"/>
        <w:numPr>
          <w:ilvl w:val="0"/>
          <w:numId w:val="11"/>
        </w:numPr>
        <w:tabs>
          <w:tab w:val="left" w:pos="1134"/>
        </w:tabs>
        <w:kinsoku/>
        <w:wordWrap/>
        <w:overflowPunct/>
        <w:topLinePunct w:val="0"/>
        <w:bidi w:val="0"/>
        <w:snapToGrid/>
        <w:spacing w:line="360" w:lineRule="auto"/>
        <w:textAlignment w:val="auto"/>
        <w:rPr>
          <w:rFonts w:ascii="宋体" w:hAnsi="宋体"/>
          <w:sz w:val="28"/>
          <w:szCs w:val="28"/>
        </w:rPr>
      </w:pPr>
      <w:r>
        <w:rPr>
          <w:rFonts w:hint="eastAsia" w:ascii="宋体" w:hAnsi="宋体"/>
          <w:sz w:val="28"/>
          <w:szCs w:val="28"/>
        </w:rPr>
        <w:t>本招标文件“投标邀请”第五条规定的条件；</w:t>
      </w:r>
    </w:p>
    <w:p>
      <w:pPr>
        <w:pageBreakBefore w:val="0"/>
        <w:numPr>
          <w:ilvl w:val="0"/>
          <w:numId w:val="11"/>
        </w:numPr>
        <w:tabs>
          <w:tab w:val="left" w:pos="1134"/>
        </w:tabs>
        <w:kinsoku/>
        <w:wordWrap/>
        <w:overflowPunct/>
        <w:topLinePunct w:val="0"/>
        <w:bidi w:val="0"/>
        <w:snapToGrid/>
        <w:spacing w:line="360" w:lineRule="auto"/>
        <w:ind w:left="0" w:firstLine="568"/>
        <w:textAlignment w:val="auto"/>
        <w:rPr>
          <w:rFonts w:ascii="宋体" w:hAnsi="宋体"/>
          <w:sz w:val="28"/>
          <w:szCs w:val="28"/>
        </w:rPr>
      </w:pPr>
      <w:r>
        <w:rPr>
          <w:rFonts w:hint="eastAsia" w:ascii="宋体" w:hAnsi="宋体"/>
          <w:sz w:val="28"/>
          <w:szCs w:val="28"/>
        </w:rPr>
        <w:t>按照招标文件“投标邀请”中第六、七、八条规定获取了招标文件。</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投标费用</w:t>
      </w:r>
    </w:p>
    <w:p>
      <w:pPr>
        <w:pageBreakBefore w:val="0"/>
        <w:kinsoku/>
        <w:wordWrap/>
        <w:overflowPunct/>
        <w:topLinePunct w:val="0"/>
        <w:bidi w:val="0"/>
        <w:snapToGrid/>
        <w:spacing w:line="360" w:lineRule="auto"/>
        <w:ind w:firstLine="660" w:firstLineChars="236"/>
        <w:textAlignment w:val="auto"/>
        <w:rPr>
          <w:rFonts w:ascii="宋体" w:hAnsi="宋体"/>
          <w:sz w:val="28"/>
          <w:szCs w:val="28"/>
        </w:rPr>
      </w:pPr>
      <w:r>
        <w:rPr>
          <w:rFonts w:hint="eastAsia" w:ascii="宋体" w:hAnsi="宋体"/>
          <w:sz w:val="28"/>
          <w:szCs w:val="28"/>
        </w:rPr>
        <w:t>投标人应自行承担参加投标的全部费用。</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充分、公平竞争保障措施</w:t>
      </w:r>
    </w:p>
    <w:p>
      <w:pPr>
        <w:pageBreakBefore w:val="0"/>
        <w:numPr>
          <w:ilvl w:val="0"/>
          <w:numId w:val="12"/>
        </w:numPr>
        <w:tabs>
          <w:tab w:val="left" w:pos="1134"/>
        </w:tabs>
        <w:kinsoku/>
        <w:wordWrap/>
        <w:overflowPunct/>
        <w:topLinePunct w:val="0"/>
        <w:bidi w:val="0"/>
        <w:adjustRightInd w:val="0"/>
        <w:snapToGrid/>
        <w:spacing w:line="360" w:lineRule="auto"/>
        <w:ind w:left="0" w:firstLine="567"/>
        <w:textAlignment w:val="auto"/>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pageBreakBefore w:val="0"/>
        <w:numPr>
          <w:ilvl w:val="0"/>
          <w:numId w:val="12"/>
        </w:numPr>
        <w:tabs>
          <w:tab w:val="left" w:pos="1134"/>
        </w:tabs>
        <w:kinsoku/>
        <w:wordWrap/>
        <w:overflowPunct/>
        <w:topLinePunct w:val="0"/>
        <w:bidi w:val="0"/>
        <w:adjustRightInd w:val="0"/>
        <w:snapToGrid/>
        <w:spacing w:line="360" w:lineRule="auto"/>
        <w:ind w:left="0" w:firstLine="567"/>
        <w:textAlignment w:val="auto"/>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ageBreakBefore w:val="0"/>
        <w:tabs>
          <w:tab w:val="left" w:pos="1134"/>
        </w:tabs>
        <w:kinsoku/>
        <w:wordWrap/>
        <w:overflowPunct/>
        <w:topLinePunct w:val="0"/>
        <w:bidi w:val="0"/>
        <w:adjustRightInd w:val="0"/>
        <w:snapToGrid/>
        <w:spacing w:line="360" w:lineRule="auto"/>
        <w:ind w:firstLine="562" w:firstLineChars="200"/>
        <w:textAlignment w:val="auto"/>
        <w:rPr>
          <w:rFonts w:ascii="宋体" w:hAnsi="宋体"/>
          <w:b/>
          <w:sz w:val="28"/>
          <w:szCs w:val="28"/>
        </w:rPr>
      </w:pPr>
      <w:r>
        <w:rPr>
          <w:rFonts w:hint="eastAsia" w:ascii="宋体" w:hAnsi="宋体"/>
          <w:b/>
          <w:sz w:val="28"/>
          <w:szCs w:val="28"/>
        </w:rPr>
        <w:t>（说明：无供应商为本项目提供整体设计、规范编制或者项目管理、监理、检测等服务。）</w:t>
      </w:r>
    </w:p>
    <w:p>
      <w:pPr>
        <w:pageBreakBefore w:val="0"/>
        <w:numPr>
          <w:ilvl w:val="0"/>
          <w:numId w:val="12"/>
        </w:numPr>
        <w:tabs>
          <w:tab w:val="left" w:pos="1134"/>
        </w:tabs>
        <w:kinsoku/>
        <w:wordWrap/>
        <w:overflowPunct/>
        <w:topLinePunct w:val="0"/>
        <w:bidi w:val="0"/>
        <w:adjustRightInd w:val="0"/>
        <w:snapToGrid/>
        <w:spacing w:line="360" w:lineRule="auto"/>
        <w:ind w:left="0" w:firstLine="567"/>
        <w:textAlignment w:val="auto"/>
      </w:pPr>
      <w:r>
        <w:rPr>
          <w:rFonts w:hint="eastAsia" w:asciiTheme="minorEastAsia" w:hAnsiTheme="minorEastAsia"/>
          <w:b/>
          <w:bCs/>
          <w:sz w:val="28"/>
          <w:szCs w:val="28"/>
          <w:lang w:val="zh-CN"/>
        </w:rPr>
        <w:t>本项目</w:t>
      </w:r>
      <w:r>
        <w:rPr>
          <w:rFonts w:hint="eastAsia" w:asciiTheme="minorEastAsia" w:hAnsiTheme="minorEastAsia"/>
          <w:b/>
          <w:bCs/>
          <w:sz w:val="28"/>
          <w:szCs w:val="28"/>
        </w:rPr>
        <w:t>核心产品为序号2直型办公桌、序号12等候椅（三人位）、序号18示教室椅、序号29办公椅、序号30药架1（双面）、序号31药架2（单向）、序号32圆盘摆药架、序号34手动有轨档案密集架。</w:t>
      </w:r>
      <w:r>
        <w:rPr>
          <w:rFonts w:hint="eastAsia" w:ascii="宋体" w:hAnsi="宋体"/>
          <w:sz w:val="28"/>
          <w:szCs w:val="28"/>
        </w:rPr>
        <w:t>提供的核心产品品牌相同的不同投标人参加同一项目投标的，以其中通过资格审查、符合性审查且报价最低的参加评标；报价相同的，由评标委员会采取随机抽取的方式确定一个参加评标，其他投标无效。</w:t>
      </w:r>
    </w:p>
    <w:p>
      <w:pPr>
        <w:keepNext/>
        <w:keepLines/>
        <w:pageBreakBefore w:val="0"/>
        <w:numPr>
          <w:ilvl w:val="1"/>
          <w:numId w:val="3"/>
        </w:numPr>
        <w:kinsoku/>
        <w:wordWrap/>
        <w:overflowPunct/>
        <w:topLinePunct w:val="0"/>
        <w:bidi w:val="0"/>
        <w:snapToGrid/>
        <w:spacing w:line="360" w:lineRule="auto"/>
        <w:jc w:val="left"/>
        <w:textAlignment w:val="auto"/>
        <w:outlineLvl w:val="1"/>
        <w:rPr>
          <w:rFonts w:ascii="宋体" w:hAnsi="宋体"/>
          <w:b/>
          <w:bCs/>
          <w:sz w:val="28"/>
          <w:szCs w:val="28"/>
        </w:rPr>
      </w:pPr>
      <w:bookmarkStart w:id="31" w:name="_Toc217446039"/>
      <w:bookmarkStart w:id="32" w:name="_Toc183682347"/>
      <w:bookmarkStart w:id="33" w:name="_Toc183582210"/>
      <w:bookmarkStart w:id="34" w:name="_Toc2697"/>
      <w:r>
        <w:rPr>
          <w:rFonts w:hint="eastAsia" w:ascii="宋体" w:hAnsi="宋体"/>
          <w:b/>
          <w:bCs/>
          <w:sz w:val="28"/>
          <w:szCs w:val="28"/>
        </w:rPr>
        <w:t>招标文件</w:t>
      </w:r>
      <w:bookmarkEnd w:id="31"/>
      <w:bookmarkEnd w:id="32"/>
      <w:bookmarkEnd w:id="33"/>
      <w:bookmarkEnd w:id="34"/>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招标文件的构成</w:t>
      </w:r>
    </w:p>
    <w:p>
      <w:pPr>
        <w:pageBreakBefore w:val="0"/>
        <w:numPr>
          <w:ilvl w:val="0"/>
          <w:numId w:val="13"/>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pageBreakBefore w:val="0"/>
        <w:numPr>
          <w:ilvl w:val="1"/>
          <w:numId w:val="1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投标邀请；</w:t>
      </w:r>
    </w:p>
    <w:p>
      <w:pPr>
        <w:pageBreakBefore w:val="0"/>
        <w:numPr>
          <w:ilvl w:val="1"/>
          <w:numId w:val="1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投标人须知；</w:t>
      </w:r>
    </w:p>
    <w:p>
      <w:pPr>
        <w:pageBreakBefore w:val="0"/>
        <w:numPr>
          <w:ilvl w:val="1"/>
          <w:numId w:val="1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投标文件格式；</w:t>
      </w:r>
    </w:p>
    <w:p>
      <w:pPr>
        <w:pageBreakBefore w:val="0"/>
        <w:numPr>
          <w:ilvl w:val="1"/>
          <w:numId w:val="1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招标项目技术、服务、商务及其他要求；</w:t>
      </w:r>
    </w:p>
    <w:p>
      <w:pPr>
        <w:pageBreakBefore w:val="0"/>
        <w:numPr>
          <w:ilvl w:val="1"/>
          <w:numId w:val="1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资格性审查；</w:t>
      </w:r>
    </w:p>
    <w:p>
      <w:pPr>
        <w:pageBreakBefore w:val="0"/>
        <w:numPr>
          <w:ilvl w:val="1"/>
          <w:numId w:val="1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评标办法；</w:t>
      </w:r>
    </w:p>
    <w:p>
      <w:pPr>
        <w:pageBreakBefore w:val="0"/>
        <w:numPr>
          <w:ilvl w:val="1"/>
          <w:numId w:val="1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拟签订合同文本。</w:t>
      </w:r>
    </w:p>
    <w:p>
      <w:pPr>
        <w:pageBreakBefore w:val="0"/>
        <w:numPr>
          <w:ilvl w:val="0"/>
          <w:numId w:val="13"/>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35" w:name="_Toc183682348"/>
      <w:bookmarkStart w:id="36" w:name="_Toc183582211"/>
      <w:bookmarkStart w:id="37" w:name="_Toc217446040"/>
      <w:r>
        <w:rPr>
          <w:rFonts w:hint="eastAsia" w:ascii="宋体" w:hAnsi="宋体"/>
          <w:b/>
          <w:bCs/>
          <w:sz w:val="28"/>
          <w:szCs w:val="28"/>
        </w:rPr>
        <w:t>招标文件的澄清</w:t>
      </w:r>
      <w:bookmarkEnd w:id="35"/>
      <w:bookmarkEnd w:id="36"/>
      <w:r>
        <w:rPr>
          <w:rFonts w:hint="eastAsia" w:ascii="宋体" w:hAnsi="宋体"/>
          <w:b/>
          <w:bCs/>
          <w:sz w:val="28"/>
          <w:szCs w:val="28"/>
        </w:rPr>
        <w:t>和修改</w:t>
      </w:r>
      <w:bookmarkEnd w:id="37"/>
      <w:bookmarkStart w:id="38" w:name="_Toc89075876"/>
      <w:bookmarkStart w:id="39" w:name="_Toc183682351"/>
      <w:bookmarkStart w:id="40" w:name="_Toc217446042"/>
      <w:bookmarkStart w:id="41" w:name="_Toc183582214"/>
      <w:bookmarkStart w:id="42" w:name="_Toc77400780"/>
    </w:p>
    <w:p>
      <w:pPr>
        <w:pageBreakBefore w:val="0"/>
        <w:numPr>
          <w:ilvl w:val="0"/>
          <w:numId w:val="15"/>
        </w:numPr>
        <w:tabs>
          <w:tab w:val="left" w:pos="142"/>
          <w:tab w:val="left" w:pos="1134"/>
        </w:tabs>
        <w:kinsoku/>
        <w:wordWrap/>
        <w:overflowPunct/>
        <w:topLinePunct w:val="0"/>
        <w:bidi w:val="0"/>
        <w:snapToGrid/>
        <w:spacing w:line="360" w:lineRule="auto"/>
        <w:ind w:left="0" w:firstLine="560"/>
        <w:textAlignment w:val="auto"/>
        <w:rPr>
          <w:rFonts w:ascii="宋体" w:hAnsi="宋体"/>
          <w:sz w:val="28"/>
          <w:szCs w:val="28"/>
        </w:rPr>
      </w:pPr>
      <w:r>
        <w:rPr>
          <w:rFonts w:hint="eastAsia" w:ascii="宋体" w:hAnsi="宋体"/>
          <w:sz w:val="28"/>
          <w:szCs w:val="28"/>
        </w:rPr>
        <w:t>在投标截止时间前，采购人或者</w:t>
      </w:r>
      <w:r>
        <w:rPr>
          <w:rFonts w:hint="eastAsia" w:cs="Arial"/>
          <w:sz w:val="28"/>
          <w:szCs w:val="28"/>
        </w:rPr>
        <w:t>区公资交易中心</w:t>
      </w:r>
      <w:r>
        <w:rPr>
          <w:rFonts w:hint="eastAsia" w:ascii="宋体" w:hAnsi="宋体"/>
          <w:sz w:val="28"/>
          <w:szCs w:val="28"/>
        </w:rPr>
        <w:t>可以对已发出的招标文件进行必要的澄清或者修改。</w:t>
      </w:r>
    </w:p>
    <w:p>
      <w:pPr>
        <w:pageBreakBefore w:val="0"/>
        <w:numPr>
          <w:ilvl w:val="0"/>
          <w:numId w:val="15"/>
        </w:numPr>
        <w:tabs>
          <w:tab w:val="left" w:pos="142"/>
          <w:tab w:val="left" w:pos="1134"/>
        </w:tabs>
        <w:kinsoku/>
        <w:wordWrap/>
        <w:overflowPunct/>
        <w:topLinePunct w:val="0"/>
        <w:bidi w:val="0"/>
        <w:snapToGrid/>
        <w:spacing w:line="360" w:lineRule="auto"/>
        <w:ind w:left="0" w:firstLine="560"/>
        <w:textAlignment w:val="auto"/>
        <w:rPr>
          <w:rFonts w:ascii="宋体" w:hAnsi="宋体"/>
          <w:sz w:val="28"/>
          <w:szCs w:val="28"/>
        </w:rPr>
      </w:pPr>
      <w:r>
        <w:rPr>
          <w:rFonts w:hint="eastAsia" w:ascii="宋体" w:hAnsi="宋体"/>
          <w:sz w:val="28"/>
          <w:szCs w:val="28"/>
        </w:rPr>
        <w:t>澄清或者修改的内容，区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pPr>
        <w:pageBreakBefore w:val="0"/>
        <w:numPr>
          <w:ilvl w:val="0"/>
          <w:numId w:val="15"/>
        </w:numPr>
        <w:tabs>
          <w:tab w:val="left" w:pos="142"/>
          <w:tab w:val="left" w:pos="1134"/>
        </w:tabs>
        <w:kinsoku/>
        <w:wordWrap/>
        <w:overflowPunct/>
        <w:topLinePunct w:val="0"/>
        <w:bidi w:val="0"/>
        <w:snapToGrid/>
        <w:spacing w:line="360" w:lineRule="auto"/>
        <w:ind w:left="0" w:firstLine="560"/>
        <w:textAlignment w:val="auto"/>
        <w:rPr>
          <w:rFonts w:ascii="宋体" w:hAnsi="宋体"/>
          <w:sz w:val="28"/>
          <w:szCs w:val="28"/>
        </w:rPr>
      </w:pPr>
      <w:r>
        <w:rPr>
          <w:rFonts w:hint="eastAsia" w:ascii="宋体" w:hAnsi="宋体"/>
          <w:sz w:val="28"/>
          <w:szCs w:val="28"/>
        </w:rPr>
        <w:t>澄清或者修改的内容可能影响投标文件编制的，区公资交易中心应当在投标截止时间至少15日前，通过政府采购云平台通知所有获取招标文件的潜在投标人；不足15日的，采购人或区公资交易中心应当顺延提交投标文件的截止时间。</w:t>
      </w:r>
    </w:p>
    <w:p>
      <w:pPr>
        <w:keepNext/>
        <w:keepLines/>
        <w:pageBreakBefore w:val="0"/>
        <w:numPr>
          <w:ilvl w:val="1"/>
          <w:numId w:val="3"/>
        </w:numPr>
        <w:kinsoku/>
        <w:wordWrap/>
        <w:overflowPunct/>
        <w:topLinePunct w:val="0"/>
        <w:bidi w:val="0"/>
        <w:snapToGrid/>
        <w:spacing w:line="360" w:lineRule="auto"/>
        <w:jc w:val="left"/>
        <w:textAlignment w:val="auto"/>
        <w:outlineLvl w:val="1"/>
        <w:rPr>
          <w:rFonts w:ascii="宋体" w:hAnsi="宋体"/>
          <w:b/>
          <w:bCs/>
          <w:sz w:val="28"/>
          <w:szCs w:val="28"/>
        </w:rPr>
      </w:pPr>
      <w:bookmarkStart w:id="43" w:name="_Toc14278"/>
      <w:r>
        <w:rPr>
          <w:rFonts w:hint="eastAsia" w:ascii="宋体" w:hAnsi="宋体"/>
          <w:b/>
          <w:bCs/>
          <w:sz w:val="28"/>
          <w:szCs w:val="28"/>
        </w:rPr>
        <w:t>投标文件</w:t>
      </w:r>
      <w:bookmarkEnd w:id="38"/>
      <w:bookmarkEnd w:id="39"/>
      <w:bookmarkEnd w:id="40"/>
      <w:bookmarkEnd w:id="41"/>
      <w:bookmarkEnd w:id="42"/>
      <w:bookmarkEnd w:id="43"/>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44" w:name="_Toc183582215"/>
      <w:bookmarkStart w:id="45" w:name="_Toc183682352"/>
      <w:bookmarkStart w:id="46" w:name="_Toc217446043"/>
      <w:r>
        <w:rPr>
          <w:rFonts w:hint="eastAsia" w:ascii="宋体" w:hAnsi="宋体"/>
          <w:b/>
          <w:bCs/>
          <w:sz w:val="28"/>
          <w:szCs w:val="28"/>
        </w:rPr>
        <w:t>投标文件的语言</w:t>
      </w:r>
      <w:bookmarkEnd w:id="44"/>
      <w:bookmarkEnd w:id="45"/>
      <w:bookmarkEnd w:id="46"/>
    </w:p>
    <w:p>
      <w:pPr>
        <w:pageBreakBefore w:val="0"/>
        <w:numPr>
          <w:ilvl w:val="0"/>
          <w:numId w:val="16"/>
        </w:numPr>
        <w:tabs>
          <w:tab w:val="left" w:pos="1134"/>
        </w:tabs>
        <w:kinsoku/>
        <w:wordWrap/>
        <w:overflowPunct/>
        <w:topLinePunct w:val="0"/>
        <w:bidi w:val="0"/>
        <w:snapToGrid/>
        <w:spacing w:line="360" w:lineRule="auto"/>
        <w:ind w:left="0" w:firstLine="560"/>
        <w:textAlignment w:val="auto"/>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rPr>
        <w:t>区公资交易中心</w:t>
      </w:r>
      <w:r>
        <w:rPr>
          <w:rFonts w:hint="eastAsia" w:ascii="宋体" w:hAnsi="宋体"/>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pageBreakBefore w:val="0"/>
        <w:numPr>
          <w:ilvl w:val="0"/>
          <w:numId w:val="16"/>
        </w:numPr>
        <w:tabs>
          <w:tab w:val="left" w:pos="1134"/>
        </w:tabs>
        <w:kinsoku/>
        <w:wordWrap/>
        <w:overflowPunct/>
        <w:topLinePunct w:val="0"/>
        <w:bidi w:val="0"/>
        <w:snapToGrid/>
        <w:spacing w:line="360" w:lineRule="auto"/>
        <w:ind w:left="0" w:firstLine="560"/>
        <w:textAlignment w:val="auto"/>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47" w:name="_Toc183582216"/>
      <w:bookmarkStart w:id="48" w:name="_Toc217446044"/>
      <w:bookmarkStart w:id="49" w:name="_Toc183682353"/>
      <w:r>
        <w:rPr>
          <w:rFonts w:hint="eastAsia" w:ascii="宋体" w:hAnsi="宋体"/>
          <w:b/>
          <w:bCs/>
          <w:sz w:val="28"/>
          <w:szCs w:val="28"/>
        </w:rPr>
        <w:t>计量单位</w:t>
      </w:r>
      <w:bookmarkEnd w:id="47"/>
      <w:bookmarkEnd w:id="48"/>
      <w:bookmarkEnd w:id="49"/>
    </w:p>
    <w:p>
      <w:pPr>
        <w:pageBreakBefore w:val="0"/>
        <w:tabs>
          <w:tab w:val="left" w:pos="7665"/>
        </w:tabs>
        <w:kinsoku/>
        <w:wordWrap/>
        <w:overflowPunct/>
        <w:topLinePunct w:val="0"/>
        <w:bidi w:val="0"/>
        <w:snapToGrid/>
        <w:spacing w:line="360" w:lineRule="auto"/>
        <w:ind w:left="13" w:firstLine="554"/>
        <w:textAlignment w:val="auto"/>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50" w:name="_Toc217446045"/>
      <w:r>
        <w:rPr>
          <w:rFonts w:hint="eastAsia" w:ascii="宋体" w:hAnsi="宋体"/>
          <w:b/>
          <w:bCs/>
          <w:sz w:val="28"/>
          <w:szCs w:val="28"/>
        </w:rPr>
        <w:t>投标货币</w:t>
      </w:r>
      <w:bookmarkEnd w:id="50"/>
    </w:p>
    <w:p>
      <w:pPr>
        <w:pageBreakBefore w:val="0"/>
        <w:tabs>
          <w:tab w:val="left" w:pos="7665"/>
        </w:tabs>
        <w:kinsoku/>
        <w:wordWrap/>
        <w:overflowPunct/>
        <w:topLinePunct w:val="0"/>
        <w:bidi w:val="0"/>
        <w:snapToGrid/>
        <w:spacing w:line="360" w:lineRule="auto"/>
        <w:ind w:left="13" w:firstLine="554"/>
        <w:textAlignment w:val="auto"/>
        <w:rPr>
          <w:rFonts w:ascii="宋体" w:hAnsi="宋体"/>
          <w:sz w:val="28"/>
          <w:szCs w:val="28"/>
        </w:rPr>
      </w:pPr>
      <w:r>
        <w:rPr>
          <w:rFonts w:hint="eastAsia" w:ascii="宋体" w:hAnsi="宋体"/>
          <w:sz w:val="28"/>
          <w:szCs w:val="28"/>
        </w:rPr>
        <w:t>本次招标项目的投标均以人民币报价。</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51" w:name="_Toc217446046"/>
      <w:r>
        <w:rPr>
          <w:rFonts w:hint="eastAsia" w:ascii="宋体" w:hAnsi="宋体"/>
          <w:b/>
          <w:bCs/>
          <w:sz w:val="28"/>
          <w:szCs w:val="28"/>
        </w:rPr>
        <w:t>联合体投标</w:t>
      </w:r>
      <w:bookmarkEnd w:id="51"/>
    </w:p>
    <w:p>
      <w:pPr>
        <w:pageBreakBefore w:val="0"/>
        <w:tabs>
          <w:tab w:val="left" w:pos="1134"/>
        </w:tabs>
        <w:kinsoku/>
        <w:wordWrap/>
        <w:overflowPunct/>
        <w:topLinePunct w:val="0"/>
        <w:bidi w:val="0"/>
        <w:snapToGrid/>
        <w:spacing w:line="360" w:lineRule="auto"/>
        <w:ind w:left="546"/>
        <w:textAlignment w:val="auto"/>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52" w:name="_Toc217446047"/>
      <w:r>
        <w:rPr>
          <w:rFonts w:hint="eastAsia" w:ascii="宋体" w:hAnsi="宋体"/>
          <w:b/>
          <w:bCs/>
          <w:sz w:val="28"/>
          <w:szCs w:val="28"/>
        </w:rPr>
        <w:t>知识产权</w:t>
      </w:r>
      <w:bookmarkEnd w:id="52"/>
    </w:p>
    <w:p>
      <w:pPr>
        <w:pageBreakBefore w:val="0"/>
        <w:numPr>
          <w:ilvl w:val="0"/>
          <w:numId w:val="17"/>
        </w:numPr>
        <w:tabs>
          <w:tab w:val="left" w:pos="1134"/>
        </w:tabs>
        <w:kinsoku/>
        <w:wordWrap/>
        <w:overflowPunct/>
        <w:topLinePunct w:val="0"/>
        <w:bidi w:val="0"/>
        <w:snapToGrid/>
        <w:spacing w:line="360" w:lineRule="auto"/>
        <w:ind w:left="0" w:firstLine="549"/>
        <w:textAlignment w:val="auto"/>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ageBreakBefore w:val="0"/>
        <w:numPr>
          <w:ilvl w:val="0"/>
          <w:numId w:val="17"/>
        </w:numPr>
        <w:tabs>
          <w:tab w:val="left" w:pos="1134"/>
        </w:tabs>
        <w:kinsoku/>
        <w:wordWrap/>
        <w:overflowPunct/>
        <w:topLinePunct w:val="0"/>
        <w:bidi w:val="0"/>
        <w:snapToGrid/>
        <w:spacing w:line="360" w:lineRule="auto"/>
        <w:ind w:left="0" w:firstLine="549"/>
        <w:textAlignment w:val="auto"/>
        <w:rPr>
          <w:rFonts w:ascii="宋体" w:hAnsi="宋体"/>
          <w:sz w:val="28"/>
          <w:szCs w:val="28"/>
        </w:rPr>
      </w:pPr>
      <w:r>
        <w:rPr>
          <w:rFonts w:hint="eastAsia" w:ascii="宋体" w:hAnsi="宋体"/>
          <w:sz w:val="28"/>
          <w:szCs w:val="28"/>
        </w:rPr>
        <w:t>采购人享有本项目实施过程中产生的知识成果及知识产权。</w:t>
      </w:r>
    </w:p>
    <w:p>
      <w:pPr>
        <w:pageBreakBefore w:val="0"/>
        <w:numPr>
          <w:ilvl w:val="0"/>
          <w:numId w:val="17"/>
        </w:numPr>
        <w:tabs>
          <w:tab w:val="left" w:pos="1134"/>
        </w:tabs>
        <w:kinsoku/>
        <w:wordWrap/>
        <w:overflowPunct/>
        <w:topLinePunct w:val="0"/>
        <w:bidi w:val="0"/>
        <w:snapToGrid/>
        <w:spacing w:line="360" w:lineRule="auto"/>
        <w:ind w:left="0" w:firstLine="549"/>
        <w:textAlignment w:val="auto"/>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ageBreakBefore w:val="0"/>
        <w:numPr>
          <w:ilvl w:val="0"/>
          <w:numId w:val="17"/>
        </w:numPr>
        <w:tabs>
          <w:tab w:val="left" w:pos="1134"/>
        </w:tabs>
        <w:kinsoku/>
        <w:wordWrap/>
        <w:overflowPunct/>
        <w:topLinePunct w:val="0"/>
        <w:bidi w:val="0"/>
        <w:snapToGrid/>
        <w:spacing w:line="360" w:lineRule="auto"/>
        <w:ind w:left="0" w:firstLine="549"/>
        <w:textAlignment w:val="auto"/>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53" w:name="_Toc183582217"/>
      <w:bookmarkStart w:id="54" w:name="_Toc183682354"/>
      <w:bookmarkStart w:id="55" w:name="_Toc217446048"/>
      <w:r>
        <w:rPr>
          <w:rFonts w:hint="eastAsia" w:ascii="宋体" w:hAnsi="宋体"/>
          <w:b/>
          <w:bCs/>
          <w:sz w:val="28"/>
          <w:szCs w:val="28"/>
        </w:rPr>
        <w:t>投标文件的组成</w:t>
      </w:r>
      <w:bookmarkEnd w:id="53"/>
      <w:bookmarkEnd w:id="54"/>
      <w:bookmarkEnd w:id="55"/>
    </w:p>
    <w:p>
      <w:pPr>
        <w:pageBreakBefore w:val="0"/>
        <w:kinsoku/>
        <w:wordWrap/>
        <w:overflowPunct/>
        <w:topLinePunct w:val="0"/>
        <w:bidi w:val="0"/>
        <w:snapToGrid/>
        <w:spacing w:line="360" w:lineRule="auto"/>
        <w:ind w:firstLine="548" w:firstLineChars="196"/>
        <w:textAlignment w:val="auto"/>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pageBreakBefore w:val="0"/>
        <w:numPr>
          <w:ilvl w:val="3"/>
          <w:numId w:val="3"/>
        </w:numPr>
        <w:kinsoku/>
        <w:wordWrap/>
        <w:overflowPunct/>
        <w:topLinePunct w:val="0"/>
        <w:bidi w:val="0"/>
        <w:snapToGrid/>
        <w:spacing w:before="0" w:after="0" w:line="360" w:lineRule="auto"/>
        <w:textAlignment w:val="auto"/>
        <w:rPr>
          <w:rFonts w:ascii="宋体" w:hAnsi="宋体"/>
        </w:rPr>
      </w:pPr>
      <w:r>
        <w:rPr>
          <w:rFonts w:hint="eastAsia" w:ascii="宋体" w:hAnsi="宋体"/>
        </w:rPr>
        <w:t>资格响应文件：</w:t>
      </w:r>
    </w:p>
    <w:p>
      <w:pPr>
        <w:pageBreakBefore w:val="0"/>
        <w:numPr>
          <w:ilvl w:val="0"/>
          <w:numId w:val="18"/>
        </w:numPr>
        <w:tabs>
          <w:tab w:val="left" w:pos="1134"/>
        </w:tabs>
        <w:kinsoku/>
        <w:wordWrap/>
        <w:overflowPunct/>
        <w:topLinePunct w:val="0"/>
        <w:bidi w:val="0"/>
        <w:snapToGrid/>
        <w:spacing w:line="360" w:lineRule="auto"/>
        <w:ind w:left="0" w:firstLine="546"/>
        <w:textAlignment w:val="auto"/>
        <w:rPr>
          <w:rFonts w:ascii="宋体" w:hAnsi="宋体"/>
          <w:b/>
          <w:sz w:val="28"/>
          <w:szCs w:val="28"/>
        </w:rPr>
      </w:pPr>
      <w:r>
        <w:rPr>
          <w:rFonts w:hint="eastAsia" w:ascii="宋体" w:hAnsi="宋体"/>
          <w:b/>
          <w:sz w:val="28"/>
          <w:szCs w:val="28"/>
        </w:rPr>
        <w:t>关于投标人资格</w:t>
      </w:r>
      <w:r>
        <w:rPr>
          <w:rFonts w:hint="eastAsia" w:ascii="宋体" w:hAnsi="宋体"/>
          <w:b/>
          <w:sz w:val="28"/>
          <w:szCs w:val="28"/>
          <w:lang w:val="en-US" w:eastAsia="zh-CN"/>
        </w:rPr>
        <w:t>声明</w:t>
      </w:r>
      <w:r>
        <w:rPr>
          <w:rFonts w:hint="eastAsia" w:ascii="宋体" w:hAnsi="宋体"/>
          <w:b/>
          <w:sz w:val="28"/>
          <w:szCs w:val="28"/>
        </w:rPr>
        <w:t>的函；</w:t>
      </w:r>
    </w:p>
    <w:p>
      <w:pPr>
        <w:pageBreakBefore w:val="0"/>
        <w:numPr>
          <w:ilvl w:val="0"/>
          <w:numId w:val="18"/>
        </w:numPr>
        <w:tabs>
          <w:tab w:val="left" w:pos="1134"/>
        </w:tabs>
        <w:kinsoku/>
        <w:wordWrap/>
        <w:overflowPunct/>
        <w:topLinePunct w:val="0"/>
        <w:bidi w:val="0"/>
        <w:snapToGrid/>
        <w:spacing w:line="360" w:lineRule="auto"/>
        <w:ind w:left="0" w:firstLine="546"/>
        <w:textAlignment w:val="auto"/>
        <w:rPr>
          <w:rFonts w:ascii="宋体" w:hAnsi="宋体"/>
          <w:b/>
          <w:sz w:val="28"/>
          <w:szCs w:val="28"/>
        </w:rPr>
      </w:pPr>
      <w:r>
        <w:rPr>
          <w:rFonts w:hint="eastAsia" w:ascii="宋体" w:hAnsi="宋体"/>
          <w:b/>
          <w:sz w:val="28"/>
          <w:szCs w:val="28"/>
        </w:rPr>
        <w:t>声明；</w:t>
      </w:r>
    </w:p>
    <w:p>
      <w:pPr>
        <w:pageBreakBefore w:val="0"/>
        <w:numPr>
          <w:ilvl w:val="0"/>
          <w:numId w:val="18"/>
        </w:numPr>
        <w:tabs>
          <w:tab w:val="left" w:pos="1134"/>
        </w:tabs>
        <w:kinsoku/>
        <w:wordWrap/>
        <w:overflowPunct/>
        <w:topLinePunct w:val="0"/>
        <w:bidi w:val="0"/>
        <w:snapToGrid/>
        <w:spacing w:line="360" w:lineRule="auto"/>
        <w:ind w:left="0" w:firstLine="565" w:firstLineChars="201"/>
        <w:textAlignment w:val="auto"/>
        <w:rPr>
          <w:rFonts w:ascii="宋体" w:hAnsi="宋体"/>
          <w:b/>
          <w:sz w:val="28"/>
          <w:szCs w:val="28"/>
        </w:rPr>
      </w:pPr>
      <w:r>
        <w:rPr>
          <w:rFonts w:hint="eastAsia" w:ascii="宋体" w:hAnsi="宋体"/>
          <w:b/>
          <w:sz w:val="28"/>
          <w:szCs w:val="28"/>
        </w:rPr>
        <w:t>中小企业声明函（说明：提供了残疾人福利性单位声明函或监狱企业证明文件复印件的不需提供）；</w:t>
      </w:r>
    </w:p>
    <w:p>
      <w:pPr>
        <w:pageBreakBefore w:val="0"/>
        <w:numPr>
          <w:ilvl w:val="0"/>
          <w:numId w:val="18"/>
        </w:numPr>
        <w:tabs>
          <w:tab w:val="left" w:pos="1134"/>
        </w:tabs>
        <w:kinsoku/>
        <w:wordWrap/>
        <w:overflowPunct/>
        <w:topLinePunct w:val="0"/>
        <w:bidi w:val="0"/>
        <w:snapToGrid/>
        <w:spacing w:line="360" w:lineRule="auto"/>
        <w:ind w:left="0" w:firstLine="565" w:firstLineChars="201"/>
        <w:textAlignment w:val="auto"/>
        <w:rPr>
          <w:rFonts w:ascii="宋体" w:hAnsi="宋体"/>
          <w:b/>
          <w:sz w:val="28"/>
          <w:szCs w:val="28"/>
        </w:rPr>
      </w:pPr>
      <w:r>
        <w:rPr>
          <w:rFonts w:hint="eastAsia" w:ascii="宋体" w:hAnsi="宋体"/>
          <w:b/>
          <w:sz w:val="28"/>
          <w:szCs w:val="28"/>
        </w:rPr>
        <w:t>残疾人福利性单位声明函（说明：提供了中小企业声明函或监狱企业证明文件复印件的不需提供）；</w:t>
      </w:r>
    </w:p>
    <w:p>
      <w:pPr>
        <w:pageBreakBefore w:val="0"/>
        <w:numPr>
          <w:ilvl w:val="0"/>
          <w:numId w:val="18"/>
        </w:numPr>
        <w:tabs>
          <w:tab w:val="left" w:pos="1134"/>
        </w:tabs>
        <w:kinsoku/>
        <w:wordWrap/>
        <w:overflowPunct/>
        <w:topLinePunct w:val="0"/>
        <w:bidi w:val="0"/>
        <w:snapToGrid/>
        <w:spacing w:line="360" w:lineRule="auto"/>
        <w:ind w:left="0" w:firstLine="546"/>
        <w:textAlignment w:val="auto"/>
        <w:rPr>
          <w:rFonts w:ascii="宋体" w:hAnsi="宋体"/>
          <w:b/>
          <w:sz w:val="28"/>
          <w:szCs w:val="28"/>
        </w:rPr>
      </w:pPr>
      <w:r>
        <w:rPr>
          <w:rFonts w:hint="eastAsia" w:ascii="宋体" w:hAnsi="宋体"/>
          <w:b/>
          <w:sz w:val="28"/>
          <w:szCs w:val="28"/>
        </w:rPr>
        <w:t>投标人应提交的相关资格证明材料：</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 xml:space="preserve">由省级以上监狱管理局、戒毒管理局（含新疆生产建设兵团）出具的投标人属于监狱企业的证明文件复印件（说明：提供了中小企业声明函或残疾人福利性单位声明函的不需提供）； </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营业执照复印件（正本或副本）或法人证书复印件（正本或副本）；</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lang w:eastAsia="zh-CN"/>
        </w:rPr>
        <w:t>2020</w:t>
      </w:r>
      <w:r>
        <w:rPr>
          <w:rFonts w:hint="eastAsia" w:ascii="宋体" w:hAnsi="宋体"/>
          <w:b/>
          <w:sz w:val="28"/>
          <w:szCs w:val="28"/>
        </w:rPr>
        <w:t>会计年度资产负债表复印件</w:t>
      </w:r>
      <w:r>
        <w:rPr>
          <w:rFonts w:hint="eastAsia" w:ascii="宋体" w:hAnsi="宋体"/>
          <w:b/>
          <w:sz w:val="28"/>
          <w:szCs w:val="28"/>
          <w:lang w:eastAsia="zh-CN"/>
        </w:rPr>
        <w:t>【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r>
        <w:rPr>
          <w:rFonts w:hint="eastAsia" w:ascii="宋体" w:hAnsi="宋体"/>
          <w:b/>
          <w:sz w:val="28"/>
          <w:szCs w:val="28"/>
        </w:rPr>
        <w:t>；</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投标人</w:t>
      </w:r>
      <w:r>
        <w:rPr>
          <w:rFonts w:hint="eastAsia" w:ascii="宋体" w:hAnsi="宋体"/>
          <w:b/>
          <w:sz w:val="28"/>
          <w:szCs w:val="28"/>
          <w:lang w:eastAsia="zh-CN"/>
        </w:rPr>
        <w:t>缴纳2021年任意时段的税收的银行电子回单或者行政部门出具的纳税证明或完税证明复印件或承诺函（格式自拟）复印件（依法免税的供应商，应提供相应文件证明其依法免税）</w:t>
      </w:r>
      <w:r>
        <w:rPr>
          <w:rFonts w:hint="eastAsia" w:ascii="宋体" w:hAnsi="宋体"/>
          <w:b/>
          <w:sz w:val="28"/>
          <w:szCs w:val="28"/>
        </w:rPr>
        <w:t>；</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采购人对</w:t>
      </w:r>
      <w:r>
        <w:rPr>
          <w:rFonts w:hint="eastAsia" w:ascii="宋体" w:hAnsi="宋体"/>
          <w:b/>
          <w:bCs/>
          <w:kern w:val="0"/>
          <w:sz w:val="28"/>
          <w:szCs w:val="28"/>
        </w:rPr>
        <w:t>投标人履行合同所必须的设备和专业技术能力无其他特殊要求，投标人具有有效的营业执照或法人证书即可，可不提供其他证明材料；</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投标人</w:t>
      </w:r>
      <w:r>
        <w:rPr>
          <w:rFonts w:hint="eastAsia" w:ascii="宋体" w:hAnsi="宋体"/>
          <w:b/>
          <w:sz w:val="28"/>
          <w:szCs w:val="28"/>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ascii="宋体" w:hAnsi="宋体"/>
          <w:b/>
          <w:sz w:val="28"/>
          <w:szCs w:val="28"/>
        </w:rPr>
        <w:t>；</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采购人对法律、行政法规规定的其他条件无特殊要求，</w:t>
      </w:r>
      <w:r>
        <w:rPr>
          <w:rFonts w:hint="eastAsia" w:ascii="宋体" w:hAnsi="宋体"/>
          <w:b/>
          <w:bCs/>
          <w:kern w:val="0"/>
          <w:sz w:val="28"/>
          <w:szCs w:val="28"/>
        </w:rPr>
        <w:t>投标人具有有效的营业执照或法人证书即可，可不提供其他证明材料。</w:t>
      </w:r>
    </w:p>
    <w:p>
      <w:pPr>
        <w:pStyle w:val="6"/>
        <w:pageBreakBefore w:val="0"/>
        <w:numPr>
          <w:ilvl w:val="3"/>
          <w:numId w:val="3"/>
        </w:numPr>
        <w:kinsoku/>
        <w:wordWrap/>
        <w:overflowPunct/>
        <w:topLinePunct w:val="0"/>
        <w:bidi w:val="0"/>
        <w:snapToGrid/>
        <w:spacing w:before="0" w:after="0" w:line="360" w:lineRule="auto"/>
        <w:textAlignment w:val="auto"/>
        <w:rPr>
          <w:rFonts w:ascii="宋体" w:hAnsi="宋体"/>
        </w:rPr>
      </w:pPr>
      <w:r>
        <w:rPr>
          <w:rFonts w:hint="eastAsia" w:ascii="宋体" w:hAnsi="宋体"/>
        </w:rPr>
        <w:t>商务技术</w:t>
      </w:r>
      <w:r>
        <w:rPr>
          <w:rFonts w:ascii="宋体" w:hAnsi="宋体"/>
        </w:rPr>
        <w:t>响应</w:t>
      </w:r>
      <w:r>
        <w:rPr>
          <w:rFonts w:hint="eastAsia" w:ascii="宋体" w:hAnsi="宋体"/>
        </w:rPr>
        <w:t>文件</w:t>
      </w:r>
    </w:p>
    <w:p>
      <w:pPr>
        <w:pageBreakBefore w:val="0"/>
        <w:numPr>
          <w:ilvl w:val="0"/>
          <w:numId w:val="20"/>
        </w:numPr>
        <w:tabs>
          <w:tab w:val="left" w:pos="1134"/>
        </w:tabs>
        <w:kinsoku/>
        <w:wordWrap/>
        <w:overflowPunct/>
        <w:topLinePunct w:val="0"/>
        <w:bidi w:val="0"/>
        <w:snapToGrid/>
        <w:spacing w:line="360" w:lineRule="auto"/>
        <w:ind w:hanging="279"/>
        <w:jc w:val="left"/>
        <w:textAlignment w:val="auto"/>
        <w:rPr>
          <w:rFonts w:ascii="宋体" w:hAnsi="宋体"/>
          <w:b/>
          <w:sz w:val="28"/>
          <w:szCs w:val="28"/>
        </w:rPr>
      </w:pPr>
      <w:r>
        <w:rPr>
          <w:rFonts w:hint="eastAsia" w:ascii="宋体" w:hAnsi="宋体"/>
          <w:b/>
          <w:sz w:val="28"/>
          <w:szCs w:val="28"/>
        </w:rPr>
        <w:t>投标函；</w:t>
      </w:r>
    </w:p>
    <w:p>
      <w:pPr>
        <w:pageBreakBefore w:val="0"/>
        <w:numPr>
          <w:ilvl w:val="0"/>
          <w:numId w:val="20"/>
        </w:numPr>
        <w:tabs>
          <w:tab w:val="left" w:pos="1134"/>
        </w:tabs>
        <w:kinsoku/>
        <w:wordWrap/>
        <w:overflowPunct/>
        <w:topLinePunct w:val="0"/>
        <w:bidi w:val="0"/>
        <w:snapToGrid/>
        <w:spacing w:line="360" w:lineRule="auto"/>
        <w:ind w:left="0" w:firstLine="546"/>
        <w:textAlignment w:val="auto"/>
        <w:rPr>
          <w:rFonts w:ascii="宋体" w:hAnsi="宋体"/>
          <w:b/>
          <w:sz w:val="28"/>
          <w:szCs w:val="28"/>
        </w:rPr>
      </w:pPr>
      <w:r>
        <w:rPr>
          <w:rFonts w:hint="eastAsia" w:ascii="宋体" w:hAnsi="宋体"/>
          <w:b/>
          <w:sz w:val="28"/>
          <w:szCs w:val="28"/>
        </w:rPr>
        <w:t>法定代表人身份证明书；</w:t>
      </w:r>
    </w:p>
    <w:p>
      <w:pPr>
        <w:pageBreakBefore w:val="0"/>
        <w:numPr>
          <w:ilvl w:val="0"/>
          <w:numId w:val="20"/>
        </w:numPr>
        <w:tabs>
          <w:tab w:val="left" w:pos="1134"/>
        </w:tabs>
        <w:kinsoku/>
        <w:wordWrap/>
        <w:overflowPunct/>
        <w:topLinePunct w:val="0"/>
        <w:bidi w:val="0"/>
        <w:snapToGrid/>
        <w:spacing w:line="360" w:lineRule="auto"/>
        <w:ind w:left="0" w:firstLine="546"/>
        <w:textAlignment w:val="auto"/>
        <w:rPr>
          <w:rFonts w:ascii="宋体" w:hAnsi="宋体"/>
          <w:b/>
          <w:sz w:val="28"/>
          <w:szCs w:val="28"/>
        </w:rPr>
      </w:pPr>
      <w:r>
        <w:rPr>
          <w:rFonts w:hint="eastAsia" w:ascii="宋体" w:hAnsi="宋体"/>
          <w:b/>
          <w:sz w:val="28"/>
          <w:szCs w:val="28"/>
        </w:rPr>
        <w:t>投标人基本情况表；</w:t>
      </w:r>
    </w:p>
    <w:p>
      <w:pPr>
        <w:pageBreakBefore w:val="0"/>
        <w:numPr>
          <w:ilvl w:val="0"/>
          <w:numId w:val="20"/>
        </w:numPr>
        <w:tabs>
          <w:tab w:val="left" w:pos="1134"/>
        </w:tabs>
        <w:kinsoku/>
        <w:wordWrap/>
        <w:overflowPunct/>
        <w:topLinePunct w:val="0"/>
        <w:bidi w:val="0"/>
        <w:snapToGrid/>
        <w:spacing w:line="360" w:lineRule="auto"/>
        <w:ind w:left="0" w:firstLine="546"/>
        <w:textAlignment w:val="auto"/>
        <w:rPr>
          <w:rFonts w:ascii="宋体" w:hAnsi="宋体"/>
          <w:b/>
          <w:sz w:val="28"/>
          <w:szCs w:val="28"/>
        </w:rPr>
      </w:pPr>
      <w:r>
        <w:rPr>
          <w:rFonts w:hint="eastAsia" w:ascii="宋体" w:hAnsi="宋体"/>
          <w:b/>
          <w:sz w:val="28"/>
          <w:szCs w:val="28"/>
        </w:rPr>
        <w:t>投标产品技术性能、技术参数和配置的详细描述；</w:t>
      </w:r>
    </w:p>
    <w:p>
      <w:pPr>
        <w:pageBreakBefore w:val="0"/>
        <w:numPr>
          <w:ilvl w:val="0"/>
          <w:numId w:val="20"/>
        </w:numPr>
        <w:tabs>
          <w:tab w:val="left" w:pos="1134"/>
        </w:tabs>
        <w:kinsoku/>
        <w:wordWrap/>
        <w:overflowPunct/>
        <w:topLinePunct w:val="0"/>
        <w:bidi w:val="0"/>
        <w:snapToGrid/>
        <w:spacing w:line="360" w:lineRule="auto"/>
        <w:ind w:left="0" w:firstLine="546"/>
        <w:textAlignment w:val="auto"/>
        <w:rPr>
          <w:rFonts w:ascii="宋体" w:hAnsi="宋体"/>
          <w:b/>
          <w:sz w:val="28"/>
          <w:szCs w:val="28"/>
        </w:rPr>
      </w:pPr>
      <w:r>
        <w:rPr>
          <w:rFonts w:hint="eastAsia" w:ascii="宋体" w:hAnsi="宋体"/>
          <w:b/>
          <w:sz w:val="28"/>
          <w:szCs w:val="28"/>
        </w:rPr>
        <w:t>售后服务及承诺；</w:t>
      </w:r>
    </w:p>
    <w:p>
      <w:pPr>
        <w:pageBreakBefore w:val="0"/>
        <w:numPr>
          <w:ilvl w:val="0"/>
          <w:numId w:val="20"/>
        </w:numPr>
        <w:tabs>
          <w:tab w:val="left" w:pos="1134"/>
        </w:tabs>
        <w:kinsoku/>
        <w:wordWrap/>
        <w:overflowPunct/>
        <w:topLinePunct w:val="0"/>
        <w:bidi w:val="0"/>
        <w:snapToGrid/>
        <w:spacing w:line="360" w:lineRule="auto"/>
        <w:ind w:left="0" w:firstLine="546"/>
        <w:textAlignment w:val="auto"/>
      </w:pPr>
      <w:r>
        <w:rPr>
          <w:rFonts w:hint="eastAsia" w:ascii="宋体" w:hAnsi="宋体"/>
          <w:b/>
          <w:sz w:val="28"/>
          <w:szCs w:val="28"/>
        </w:rPr>
        <w:t>承诺函；</w:t>
      </w:r>
    </w:p>
    <w:p>
      <w:pPr>
        <w:pageBreakBefore w:val="0"/>
        <w:numPr>
          <w:ilvl w:val="0"/>
          <w:numId w:val="20"/>
        </w:numPr>
        <w:tabs>
          <w:tab w:val="left" w:pos="1134"/>
        </w:tabs>
        <w:kinsoku/>
        <w:wordWrap/>
        <w:overflowPunct/>
        <w:topLinePunct w:val="0"/>
        <w:bidi w:val="0"/>
        <w:snapToGrid/>
        <w:spacing w:line="360" w:lineRule="auto"/>
        <w:ind w:left="0" w:firstLine="546"/>
        <w:textAlignment w:val="auto"/>
      </w:pPr>
      <w:r>
        <w:rPr>
          <w:rFonts w:hint="eastAsia" w:ascii="宋体" w:hAnsi="宋体"/>
          <w:b/>
          <w:sz w:val="28"/>
          <w:szCs w:val="28"/>
        </w:rPr>
        <w:t>商务应答表；</w:t>
      </w:r>
    </w:p>
    <w:p>
      <w:pPr>
        <w:pageBreakBefore w:val="0"/>
        <w:numPr>
          <w:ilvl w:val="0"/>
          <w:numId w:val="20"/>
        </w:numPr>
        <w:tabs>
          <w:tab w:val="left" w:pos="1134"/>
        </w:tabs>
        <w:kinsoku/>
        <w:wordWrap/>
        <w:overflowPunct/>
        <w:topLinePunct w:val="0"/>
        <w:bidi w:val="0"/>
        <w:snapToGrid/>
        <w:spacing w:line="360" w:lineRule="auto"/>
        <w:ind w:left="0" w:firstLine="546"/>
        <w:textAlignment w:val="auto"/>
      </w:pPr>
      <w:r>
        <w:rPr>
          <w:rFonts w:hint="eastAsia" w:ascii="宋体" w:hAnsi="宋体"/>
          <w:b/>
          <w:sz w:val="28"/>
          <w:szCs w:val="28"/>
          <w:lang w:val="en-US" w:eastAsia="zh-CN"/>
        </w:rPr>
        <w:t>投标产品技术参数表；</w:t>
      </w:r>
    </w:p>
    <w:p>
      <w:pPr>
        <w:pageBreakBefore w:val="0"/>
        <w:numPr>
          <w:ilvl w:val="0"/>
          <w:numId w:val="20"/>
        </w:numPr>
        <w:tabs>
          <w:tab w:val="left" w:pos="1134"/>
        </w:tabs>
        <w:kinsoku/>
        <w:wordWrap/>
        <w:overflowPunct/>
        <w:topLinePunct w:val="0"/>
        <w:bidi w:val="0"/>
        <w:snapToGrid/>
        <w:spacing w:line="360" w:lineRule="auto"/>
        <w:ind w:left="0" w:firstLine="546"/>
        <w:textAlignment w:val="auto"/>
        <w:rPr>
          <w:rFonts w:ascii="宋体" w:hAnsi="宋体"/>
          <w:b/>
          <w:sz w:val="28"/>
          <w:szCs w:val="28"/>
        </w:rPr>
      </w:pPr>
      <w:r>
        <w:rPr>
          <w:rFonts w:hint="eastAsia" w:ascii="宋体" w:hAnsi="宋体"/>
          <w:b/>
          <w:sz w:val="28"/>
          <w:szCs w:val="28"/>
        </w:rPr>
        <w:t>项目管理、技术、服务人员情况表；</w:t>
      </w:r>
    </w:p>
    <w:p>
      <w:pPr>
        <w:pageBreakBefore w:val="0"/>
        <w:numPr>
          <w:ilvl w:val="0"/>
          <w:numId w:val="20"/>
        </w:numPr>
        <w:tabs>
          <w:tab w:val="left" w:pos="1134"/>
        </w:tabs>
        <w:kinsoku/>
        <w:wordWrap/>
        <w:overflowPunct/>
        <w:topLinePunct w:val="0"/>
        <w:bidi w:val="0"/>
        <w:snapToGrid/>
        <w:spacing w:line="360" w:lineRule="auto"/>
        <w:ind w:left="0" w:firstLine="546"/>
        <w:textAlignment w:val="auto"/>
      </w:pPr>
      <w:r>
        <w:rPr>
          <w:rFonts w:hint="eastAsia" w:ascii="宋体" w:hAnsi="宋体"/>
          <w:b/>
          <w:kern w:val="0"/>
          <w:sz w:val="28"/>
          <w:szCs w:val="28"/>
        </w:rPr>
        <w:t>投标人认为需要提供的其他文件和资料。</w:t>
      </w:r>
    </w:p>
    <w:p>
      <w:pPr>
        <w:pStyle w:val="6"/>
        <w:pageBreakBefore w:val="0"/>
        <w:numPr>
          <w:ilvl w:val="3"/>
          <w:numId w:val="3"/>
        </w:numPr>
        <w:kinsoku/>
        <w:wordWrap/>
        <w:overflowPunct/>
        <w:topLinePunct w:val="0"/>
        <w:bidi w:val="0"/>
        <w:snapToGrid/>
        <w:spacing w:before="0" w:after="0" w:line="360" w:lineRule="auto"/>
        <w:ind w:left="0" w:hanging="8"/>
        <w:textAlignment w:val="auto"/>
        <w:rPr>
          <w:rFonts w:ascii="宋体" w:hAnsi="宋体"/>
        </w:rPr>
      </w:pPr>
      <w:r>
        <w:rPr>
          <w:rFonts w:hint="eastAsia" w:ascii="宋体" w:hAnsi="宋体"/>
        </w:rPr>
        <w:t>报价</w:t>
      </w:r>
      <w:r>
        <w:rPr>
          <w:rFonts w:ascii="宋体" w:hAnsi="宋体"/>
        </w:rPr>
        <w:t>要求响应文件</w:t>
      </w:r>
    </w:p>
    <w:p>
      <w:pPr>
        <w:pStyle w:val="79"/>
        <w:pageBreakBefore w:val="0"/>
        <w:numPr>
          <w:ilvl w:val="0"/>
          <w:numId w:val="0"/>
        </w:numPr>
        <w:tabs>
          <w:tab w:val="left" w:pos="1134"/>
        </w:tabs>
        <w:kinsoku/>
        <w:wordWrap/>
        <w:overflowPunct/>
        <w:topLinePunct w:val="0"/>
        <w:bidi w:val="0"/>
        <w:snapToGrid/>
        <w:spacing w:line="360" w:lineRule="auto"/>
        <w:ind w:left="-8" w:leftChars="0" w:firstLine="562" w:firstLineChars="200"/>
        <w:textAlignment w:val="auto"/>
        <w:rPr>
          <w:rFonts w:ascii="宋体" w:hAnsi="宋体"/>
          <w:b/>
          <w:sz w:val="28"/>
          <w:szCs w:val="28"/>
        </w:rPr>
      </w:pPr>
      <w:r>
        <w:rPr>
          <w:rFonts w:hint="eastAsia" w:ascii="宋体" w:hAnsi="宋体"/>
          <w:b/>
          <w:sz w:val="28"/>
          <w:szCs w:val="28"/>
          <w:lang w:val="en-US" w:eastAsia="zh-CN"/>
        </w:rPr>
        <w:t>一、</w:t>
      </w:r>
      <w:r>
        <w:rPr>
          <w:rFonts w:hint="eastAsia" w:ascii="宋体" w:hAnsi="宋体"/>
          <w:b/>
          <w:sz w:val="28"/>
          <w:szCs w:val="28"/>
        </w:rPr>
        <w:t>开标一览表（投标报价以投标人在政府采购云平台开标一览表中填写的报价为准）；</w:t>
      </w:r>
    </w:p>
    <w:p>
      <w:pPr>
        <w:pageBreakBefore w:val="0"/>
        <w:tabs>
          <w:tab w:val="left" w:pos="1134"/>
        </w:tabs>
        <w:kinsoku/>
        <w:wordWrap/>
        <w:overflowPunct/>
        <w:topLinePunct w:val="0"/>
        <w:bidi w:val="0"/>
        <w:snapToGrid/>
        <w:spacing w:line="360" w:lineRule="auto"/>
        <w:ind w:firstLine="562" w:firstLineChars="200"/>
        <w:textAlignment w:val="auto"/>
        <w:rPr>
          <w:rFonts w:ascii="宋体" w:hAnsi="宋体"/>
          <w:b/>
          <w:sz w:val="28"/>
          <w:szCs w:val="28"/>
        </w:rPr>
      </w:pPr>
      <w:r>
        <w:rPr>
          <w:rFonts w:hint="eastAsia" w:ascii="宋体" w:hAnsi="宋体"/>
          <w:b/>
          <w:sz w:val="28"/>
          <w:szCs w:val="28"/>
        </w:rPr>
        <w:t>二、报价明细表(报价明细表中要求填写品牌、规格型号、制造商、进口或国产的，投标人必须载明其投标产品的品牌、规格型号、制造商、进口或国产)。</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56" w:name="_Toc316291395"/>
      <w:bookmarkEnd w:id="56"/>
      <w:bookmarkStart w:id="57" w:name="_Toc316291396"/>
      <w:bookmarkEnd w:id="57"/>
      <w:bookmarkStart w:id="58" w:name="_Toc316292020"/>
      <w:bookmarkEnd w:id="58"/>
      <w:bookmarkStart w:id="59" w:name="_Toc316292019"/>
      <w:bookmarkEnd w:id="59"/>
      <w:bookmarkStart w:id="60" w:name="_Toc217446049"/>
      <w:bookmarkStart w:id="61" w:name="_Toc183582218"/>
      <w:bookmarkStart w:id="62" w:name="_Toc183682355"/>
      <w:r>
        <w:rPr>
          <w:rFonts w:hint="eastAsia" w:ascii="宋体" w:hAnsi="宋体"/>
          <w:b/>
          <w:bCs/>
          <w:sz w:val="28"/>
          <w:szCs w:val="28"/>
        </w:rPr>
        <w:t>投标文件格式</w:t>
      </w:r>
      <w:bookmarkEnd w:id="60"/>
      <w:bookmarkEnd w:id="61"/>
      <w:bookmarkEnd w:id="62"/>
      <w:r>
        <w:rPr>
          <w:rFonts w:hint="eastAsia" w:ascii="宋体" w:hAnsi="宋体"/>
          <w:b/>
          <w:bCs/>
          <w:sz w:val="28"/>
          <w:szCs w:val="28"/>
        </w:rPr>
        <w:tab/>
      </w:r>
    </w:p>
    <w:p>
      <w:pPr>
        <w:pageBreakBefore w:val="0"/>
        <w:numPr>
          <w:ilvl w:val="0"/>
          <w:numId w:val="21"/>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投标人应按照招标文件第3章中提供的“投标文件格式”填写相关内容。</w:t>
      </w:r>
    </w:p>
    <w:p>
      <w:pPr>
        <w:pageBreakBefore w:val="0"/>
        <w:numPr>
          <w:ilvl w:val="0"/>
          <w:numId w:val="21"/>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对于没有格式要求的投标文件由投标人自行编写。</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投标报价</w:t>
      </w:r>
    </w:p>
    <w:p>
      <w:pPr>
        <w:pageBreakBefore w:val="0"/>
        <w:numPr>
          <w:ilvl w:val="0"/>
          <w:numId w:val="22"/>
        </w:numPr>
        <w:tabs>
          <w:tab w:val="left" w:pos="1134"/>
        </w:tabs>
        <w:kinsoku/>
        <w:wordWrap/>
        <w:overflowPunct/>
        <w:topLinePunct w:val="0"/>
        <w:bidi w:val="0"/>
        <w:snapToGrid/>
        <w:spacing w:line="360" w:lineRule="auto"/>
        <w:ind w:left="0" w:firstLine="560"/>
        <w:textAlignment w:val="auto"/>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pageBreakBefore w:val="0"/>
        <w:numPr>
          <w:ilvl w:val="0"/>
          <w:numId w:val="22"/>
        </w:numPr>
        <w:tabs>
          <w:tab w:val="left" w:pos="1134"/>
        </w:tabs>
        <w:kinsoku/>
        <w:wordWrap/>
        <w:overflowPunct/>
        <w:topLinePunct w:val="0"/>
        <w:bidi w:val="0"/>
        <w:snapToGrid/>
        <w:spacing w:line="360" w:lineRule="auto"/>
        <w:ind w:left="0" w:firstLine="560"/>
        <w:textAlignment w:val="auto"/>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pageBreakBefore w:val="0"/>
        <w:tabs>
          <w:tab w:val="left" w:pos="1134"/>
        </w:tabs>
        <w:kinsoku/>
        <w:wordWrap/>
        <w:overflowPunct/>
        <w:topLinePunct w:val="0"/>
        <w:bidi w:val="0"/>
        <w:snapToGrid/>
        <w:spacing w:line="360" w:lineRule="auto"/>
        <w:ind w:firstLine="565" w:firstLineChars="202"/>
        <w:textAlignment w:val="auto"/>
        <w:rPr>
          <w:rFonts w:ascii="宋体" w:hAnsi="宋体"/>
          <w:sz w:val="28"/>
          <w:szCs w:val="28"/>
        </w:rPr>
      </w:pPr>
      <w:bookmarkStart w:id="63" w:name="_Toc217446050"/>
      <w:bookmarkStart w:id="64" w:name="_Toc183582223"/>
      <w:bookmarkStart w:id="65" w:name="_Toc183682360"/>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pageBreakBefore w:val="0"/>
        <w:tabs>
          <w:tab w:val="left" w:pos="1134"/>
        </w:tabs>
        <w:kinsoku/>
        <w:wordWrap/>
        <w:overflowPunct/>
        <w:topLinePunct w:val="0"/>
        <w:bidi w:val="0"/>
        <w:snapToGrid/>
        <w:spacing w:line="360" w:lineRule="auto"/>
        <w:ind w:firstLine="565" w:firstLineChars="202"/>
        <w:textAlignment w:val="auto"/>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投标保证金</w:t>
      </w:r>
      <w:bookmarkEnd w:id="63"/>
      <w:bookmarkEnd w:id="64"/>
      <w:bookmarkEnd w:id="65"/>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cs="Arial"/>
          <w:sz w:val="28"/>
          <w:szCs w:val="28"/>
        </w:rPr>
        <w:t>本项目不收取投标保证金。</w:t>
      </w:r>
    </w:p>
    <w:p>
      <w:pPr>
        <w:keepNext/>
        <w:keepLines/>
        <w:pageBreakBefore w:val="0"/>
        <w:numPr>
          <w:ilvl w:val="2"/>
          <w:numId w:val="3"/>
        </w:numPr>
        <w:tabs>
          <w:tab w:val="left" w:pos="851"/>
        </w:tabs>
        <w:kinsoku/>
        <w:wordWrap/>
        <w:overflowPunct/>
        <w:topLinePunct w:val="0"/>
        <w:bidi w:val="0"/>
        <w:snapToGrid/>
        <w:spacing w:line="360" w:lineRule="auto"/>
        <w:ind w:left="0" w:firstLine="0"/>
        <w:textAlignment w:val="auto"/>
        <w:outlineLvl w:val="2"/>
        <w:rPr>
          <w:rFonts w:ascii="宋体" w:hAnsi="宋体"/>
          <w:b/>
          <w:bCs/>
          <w:sz w:val="28"/>
          <w:szCs w:val="28"/>
        </w:rPr>
      </w:pPr>
      <w:bookmarkStart w:id="66" w:name="_Toc316291400"/>
      <w:bookmarkEnd w:id="66"/>
      <w:bookmarkStart w:id="67" w:name="_Toc316292024"/>
      <w:bookmarkEnd w:id="67"/>
      <w:bookmarkStart w:id="68" w:name="_Toc217446051"/>
      <w:bookmarkStart w:id="69" w:name="_Toc183682361"/>
      <w:bookmarkStart w:id="70" w:name="_Toc183582224"/>
      <w:r>
        <w:rPr>
          <w:rFonts w:hint="eastAsia" w:ascii="宋体" w:hAnsi="宋体"/>
          <w:b/>
          <w:bCs/>
          <w:sz w:val="28"/>
          <w:szCs w:val="28"/>
        </w:rPr>
        <w:t>投标有效期</w:t>
      </w:r>
      <w:bookmarkEnd w:id="68"/>
      <w:bookmarkEnd w:id="69"/>
      <w:bookmarkEnd w:id="70"/>
    </w:p>
    <w:p>
      <w:pPr>
        <w:pageBreakBefore w:val="0"/>
        <w:numPr>
          <w:ilvl w:val="0"/>
          <w:numId w:val="23"/>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pageBreakBefore w:val="0"/>
        <w:numPr>
          <w:ilvl w:val="0"/>
          <w:numId w:val="23"/>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pageBreakBefore w:val="0"/>
        <w:numPr>
          <w:ilvl w:val="2"/>
          <w:numId w:val="3"/>
        </w:numPr>
        <w:tabs>
          <w:tab w:val="left" w:pos="851"/>
        </w:tabs>
        <w:kinsoku/>
        <w:wordWrap/>
        <w:overflowPunct/>
        <w:topLinePunct w:val="0"/>
        <w:bidi w:val="0"/>
        <w:snapToGrid/>
        <w:spacing w:line="360" w:lineRule="auto"/>
        <w:ind w:left="0" w:firstLine="0"/>
        <w:textAlignment w:val="auto"/>
        <w:rPr>
          <w:color w:val="auto"/>
        </w:rPr>
      </w:pPr>
      <w:bookmarkStart w:id="71" w:name="_Toc183582227"/>
      <w:bookmarkStart w:id="72" w:name="_Toc183682364"/>
      <w:bookmarkStart w:id="73" w:name="_Toc217446054"/>
      <w:r>
        <w:rPr>
          <w:rFonts w:hint="eastAsia"/>
          <w:color w:val="auto"/>
        </w:rPr>
        <w:t>投标文件的制作和签章、加密</w:t>
      </w:r>
    </w:p>
    <w:p>
      <w:pPr>
        <w:pageBreakBefore w:val="0"/>
        <w:kinsoku/>
        <w:wordWrap/>
        <w:overflowPunct/>
        <w:topLinePunct w:val="0"/>
        <w:bidi w:val="0"/>
        <w:snapToGrid/>
        <w:spacing w:line="360" w:lineRule="auto"/>
        <w:ind w:firstLine="562" w:firstLineChars="200"/>
        <w:textAlignment w:val="auto"/>
        <w:rPr>
          <w:rFonts w:ascii="宋体" w:hAnsi="宋体"/>
          <w:sz w:val="28"/>
          <w:szCs w:val="28"/>
        </w:rPr>
      </w:pPr>
      <w:r>
        <w:rPr>
          <w:rFonts w:hint="eastAsia" w:ascii="宋体" w:hAnsi="宋体"/>
          <w:b/>
          <w:sz w:val="28"/>
          <w:szCs w:val="28"/>
        </w:rPr>
        <w:t>一、投标文件应根据招标文件的要求进行制作。</w:t>
      </w:r>
      <w:r>
        <w:rPr>
          <w:rFonts w:hint="eastAsia" w:ascii="宋体" w:hAnsi="宋体"/>
          <w:b/>
          <w:bCs/>
          <w:sz w:val="28"/>
          <w:szCs w:val="28"/>
        </w:rPr>
        <w:t>（说明：1、招标文件中要求提供复印件证明材料的，包含提供原件的影印件或复印件。2、要求提供复印件的证明材料须清晰可辨，如因投标人上传的图片清晰度使评审专家无法辨别、不予认可，由投标人自行承担可能产生的一切后果。）</w:t>
      </w:r>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二、投标文件制作详情：</w:t>
      </w:r>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Pr>
          <w:rFonts w:hint="eastAsia" w:ascii="宋体" w:hAnsi="宋体"/>
          <w:b/>
          <w:sz w:val="28"/>
          <w:szCs w:val="28"/>
        </w:rPr>
        <w:t>投标人应按招标文件要求，通过“政采云投标客户端”制作、加密并提交投标文件。</w:t>
      </w:r>
    </w:p>
    <w:p>
      <w:pPr>
        <w:pageBreakBefore w:val="0"/>
        <w:kinsoku/>
        <w:wordWrap/>
        <w:overflowPunct/>
        <w:topLinePunct w:val="0"/>
        <w:bidi w:val="0"/>
        <w:snapToGrid/>
        <w:spacing w:line="360" w:lineRule="auto"/>
        <w:ind w:firstLine="562" w:firstLineChars="200"/>
        <w:textAlignment w:val="auto"/>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pageBreakBefore w:val="0"/>
        <w:kinsoku/>
        <w:wordWrap/>
        <w:overflowPunct/>
        <w:topLinePunct w:val="0"/>
        <w:bidi w:val="0"/>
        <w:snapToGrid/>
        <w:spacing w:line="360" w:lineRule="auto"/>
        <w:ind w:firstLine="562" w:firstLineChars="200"/>
        <w:textAlignment w:val="auto"/>
        <w:rPr>
          <w:rFonts w:ascii="宋体" w:hAnsi="宋体"/>
          <w:b/>
          <w:sz w:val="28"/>
          <w:szCs w:val="28"/>
        </w:rPr>
      </w:pPr>
      <w:r>
        <w:rPr>
          <w:rFonts w:hint="eastAsia" w:ascii="宋体" w:hAnsi="宋体"/>
          <w:b/>
          <w:sz w:val="28"/>
          <w:szCs w:val="28"/>
        </w:rPr>
        <w:t>3、投标人应使用本企业CA数字证书对投标文件进行加密。</w:t>
      </w:r>
    </w:p>
    <w:p>
      <w:pPr>
        <w:pageBreakBefore w:val="0"/>
        <w:kinsoku/>
        <w:wordWrap/>
        <w:overflowPunct/>
        <w:topLinePunct w:val="0"/>
        <w:bidi w:val="0"/>
        <w:snapToGrid/>
        <w:spacing w:line="360" w:lineRule="auto"/>
        <w:ind w:firstLine="562" w:firstLineChars="200"/>
        <w:textAlignment w:val="auto"/>
        <w:rPr>
          <w:rFonts w:ascii="宋体" w:hAnsi="宋体"/>
          <w:b/>
          <w:sz w:val="28"/>
          <w:szCs w:val="28"/>
        </w:rPr>
      </w:pPr>
      <w:r>
        <w:rPr>
          <w:rFonts w:hint="eastAsia" w:ascii="宋体" w:hAnsi="宋体"/>
          <w:b/>
          <w:sz w:val="28"/>
          <w:szCs w:val="28"/>
        </w:rPr>
        <w:t>4、招标文件有修改的，投标人须重新下载修改后的招标文件（修改后的招标文件在更正公告中下载），根据修改后的招标文件制作、撤回修改，并递交投标文件。</w:t>
      </w:r>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5、</w:t>
      </w:r>
      <w:r>
        <w:rPr>
          <w:rFonts w:ascii="宋体" w:hAnsi="宋体"/>
          <w:sz w:val="28"/>
          <w:szCs w:val="28"/>
        </w:rPr>
        <w:t>使用“政府采购云平台”（含政采云电子交易客户端）需要提前申领CA数字证书及电子签章，请自行前往四川CA、CFCA、天威CA服务点办理</w:t>
      </w:r>
      <w:r>
        <w:rPr>
          <w:rFonts w:hint="eastAsia" w:ascii="宋体" w:hAnsi="宋体"/>
          <w:sz w:val="28"/>
          <w:szCs w:val="28"/>
        </w:rPr>
        <w:t>，</w:t>
      </w:r>
      <w:r>
        <w:rPr>
          <w:rFonts w:ascii="宋体" w:hAnsi="宋体"/>
          <w:sz w:val="28"/>
          <w:szCs w:val="28"/>
        </w:rPr>
        <w:t>以上CA数字证书均</w:t>
      </w:r>
      <w:r>
        <w:rPr>
          <w:rFonts w:hint="eastAsia" w:ascii="宋体" w:hAnsi="宋体"/>
          <w:sz w:val="28"/>
          <w:szCs w:val="28"/>
        </w:rPr>
        <w:t>可</w:t>
      </w:r>
      <w:r>
        <w:rPr>
          <w:rFonts w:ascii="宋体" w:hAnsi="宋体"/>
          <w:sz w:val="28"/>
          <w:szCs w:val="28"/>
        </w:rPr>
        <w:t>在成都市公共资源交易服务中心3楼窗口办理</w:t>
      </w:r>
      <w:r>
        <w:rPr>
          <w:rFonts w:hint="eastAsia" w:ascii="宋体" w:hAnsi="宋体"/>
          <w:sz w:val="28"/>
          <w:szCs w:val="28"/>
        </w:rPr>
        <w:t>，</w:t>
      </w:r>
      <w:r>
        <w:rPr>
          <w:rFonts w:ascii="宋体" w:hAnsi="宋体"/>
          <w:sz w:val="28"/>
          <w:szCs w:val="28"/>
        </w:rPr>
        <w:t>其他办理服务点</w:t>
      </w:r>
      <w:r>
        <w:rPr>
          <w:rFonts w:hint="eastAsia" w:ascii="宋体" w:hAnsi="宋体"/>
          <w:sz w:val="28"/>
          <w:szCs w:val="28"/>
        </w:rPr>
        <w:t>及</w:t>
      </w:r>
      <w:r>
        <w:rPr>
          <w:rFonts w:ascii="宋体" w:hAnsi="宋体"/>
          <w:sz w:val="28"/>
          <w:szCs w:val="28"/>
        </w:rPr>
        <w:t>办理方式可拨打官方</w:t>
      </w:r>
      <w:r>
        <w:rPr>
          <w:rFonts w:hint="eastAsia" w:ascii="宋体" w:hAnsi="宋体"/>
          <w:sz w:val="28"/>
          <w:szCs w:val="28"/>
        </w:rPr>
        <w:t>服务</w:t>
      </w:r>
      <w:r>
        <w:rPr>
          <w:rFonts w:ascii="宋体" w:hAnsi="宋体"/>
          <w:sz w:val="28"/>
          <w:szCs w:val="28"/>
        </w:rPr>
        <w:t>电话</w:t>
      </w:r>
      <w:r>
        <w:rPr>
          <w:rFonts w:hint="eastAsia" w:ascii="宋体" w:hAnsi="宋体"/>
          <w:sz w:val="28"/>
          <w:szCs w:val="28"/>
        </w:rPr>
        <w:t>咨询</w:t>
      </w:r>
      <w:r>
        <w:rPr>
          <w:rFonts w:ascii="宋体" w:hAnsi="宋体"/>
          <w:sz w:val="28"/>
          <w:szCs w:val="28"/>
        </w:rPr>
        <w:t>400-028-1130(四川CA)</w:t>
      </w:r>
      <w:r>
        <w:rPr>
          <w:rFonts w:hint="eastAsia" w:ascii="宋体" w:hAnsi="宋体"/>
          <w:sz w:val="28"/>
          <w:szCs w:val="28"/>
        </w:rPr>
        <w:t>；</w:t>
      </w:r>
      <w:r>
        <w:rPr>
          <w:rFonts w:ascii="宋体" w:hAnsi="宋体"/>
          <w:sz w:val="28"/>
          <w:szCs w:val="28"/>
        </w:rPr>
        <w:t>(028)6578532</w:t>
      </w:r>
      <w:r>
        <w:rPr>
          <w:rFonts w:hint="eastAsia" w:ascii="宋体" w:hAnsi="宋体"/>
          <w:sz w:val="28"/>
          <w:szCs w:val="28"/>
        </w:rPr>
        <w:t>、</w:t>
      </w:r>
      <w:r>
        <w:rPr>
          <w:rFonts w:ascii="宋体" w:hAnsi="宋体"/>
          <w:sz w:val="28"/>
          <w:szCs w:val="28"/>
        </w:rPr>
        <w:t>400-8809888(CFCA)；400-819-9995</w:t>
      </w:r>
      <w:r>
        <w:rPr>
          <w:rFonts w:hint="eastAsia" w:ascii="宋体" w:hAnsi="宋体"/>
          <w:sz w:val="28"/>
          <w:szCs w:val="28"/>
        </w:rPr>
        <w:t>、</w:t>
      </w:r>
      <w:r>
        <w:rPr>
          <w:rFonts w:ascii="宋体" w:hAnsi="宋体"/>
          <w:sz w:val="28"/>
          <w:szCs w:val="28"/>
        </w:rPr>
        <w:t>15928647082(天威CA)</w:t>
      </w:r>
      <w:r>
        <w:rPr>
          <w:rFonts w:hint="eastAsia" w:ascii="宋体" w:hAnsi="宋体"/>
          <w:sz w:val="28"/>
          <w:szCs w:val="28"/>
        </w:rPr>
        <w:t>。供应商只需办理其中一家</w:t>
      </w:r>
      <w:r>
        <w:rPr>
          <w:rFonts w:ascii="宋体" w:hAnsi="宋体"/>
          <w:sz w:val="28"/>
          <w:szCs w:val="28"/>
        </w:rPr>
        <w:t>CA数字证书及签章（提示：办理时请说明参与成都市政府采购项目）。供应商应及时完成在“政府采购云平台”的CA账号绑定，确保顺利参与电子采购。</w:t>
      </w:r>
    </w:p>
    <w:p>
      <w:pPr>
        <w:pStyle w:val="5"/>
        <w:pageBreakBefore w:val="0"/>
        <w:numPr>
          <w:ilvl w:val="2"/>
          <w:numId w:val="3"/>
        </w:numPr>
        <w:kinsoku/>
        <w:wordWrap/>
        <w:overflowPunct/>
        <w:topLinePunct w:val="0"/>
        <w:bidi w:val="0"/>
        <w:snapToGrid/>
        <w:spacing w:line="360" w:lineRule="auto"/>
        <w:ind w:left="0" w:firstLine="0"/>
        <w:textAlignment w:val="auto"/>
        <w:rPr>
          <w:color w:val="auto"/>
        </w:rPr>
      </w:pPr>
      <w:r>
        <w:rPr>
          <w:rFonts w:hint="eastAsia"/>
          <w:color w:val="auto"/>
        </w:rPr>
        <w:t>投标文件的</w:t>
      </w:r>
      <w:bookmarkEnd w:id="71"/>
      <w:bookmarkEnd w:id="72"/>
      <w:r>
        <w:rPr>
          <w:rFonts w:hint="eastAsia"/>
          <w:color w:val="auto"/>
        </w:rPr>
        <w:t>递交</w:t>
      </w:r>
      <w:bookmarkEnd w:id="73"/>
    </w:p>
    <w:p>
      <w:pPr>
        <w:pageBreakBefore w:val="0"/>
        <w:tabs>
          <w:tab w:val="left" w:pos="0"/>
        </w:tabs>
        <w:kinsoku/>
        <w:wordWrap/>
        <w:overflowPunct/>
        <w:topLinePunct w:val="0"/>
        <w:bidi w:val="0"/>
        <w:snapToGrid/>
        <w:spacing w:line="360" w:lineRule="auto"/>
        <w:ind w:firstLine="420" w:firstLineChars="150"/>
        <w:textAlignment w:val="auto"/>
        <w:rPr>
          <w:rFonts w:ascii="宋体" w:hAnsi="宋体" w:eastAsiaTheme="minorEastAsia" w:cstheme="minorBidi"/>
          <w:bCs/>
          <w:sz w:val="28"/>
          <w:szCs w:val="28"/>
        </w:rPr>
      </w:pPr>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pageBreakBefore w:val="0"/>
        <w:tabs>
          <w:tab w:val="left" w:pos="0"/>
        </w:tabs>
        <w:kinsoku/>
        <w:wordWrap/>
        <w:overflowPunct/>
        <w:topLinePunct w:val="0"/>
        <w:bidi w:val="0"/>
        <w:snapToGrid/>
        <w:spacing w:line="360" w:lineRule="auto"/>
        <w:ind w:firstLine="420" w:firstLineChars="150"/>
        <w:textAlignment w:val="auto"/>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区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pageBreakBefore w:val="0"/>
        <w:tabs>
          <w:tab w:val="left" w:pos="0"/>
        </w:tabs>
        <w:kinsoku/>
        <w:wordWrap/>
        <w:overflowPunct/>
        <w:topLinePunct w:val="0"/>
        <w:bidi w:val="0"/>
        <w:snapToGrid/>
        <w:spacing w:line="360" w:lineRule="auto"/>
        <w:ind w:firstLine="420" w:firstLineChars="150"/>
        <w:textAlignment w:val="auto"/>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5"/>
        <w:pageBreakBefore w:val="0"/>
        <w:numPr>
          <w:ilvl w:val="2"/>
          <w:numId w:val="3"/>
        </w:numPr>
        <w:kinsoku/>
        <w:wordWrap/>
        <w:overflowPunct/>
        <w:topLinePunct w:val="0"/>
        <w:bidi w:val="0"/>
        <w:snapToGrid/>
        <w:spacing w:line="360" w:lineRule="auto"/>
        <w:ind w:left="0" w:firstLine="0"/>
        <w:textAlignment w:val="auto"/>
        <w:rPr>
          <w:color w:val="auto"/>
        </w:rPr>
      </w:pPr>
      <w:r>
        <w:rPr>
          <w:rFonts w:hint="eastAsia"/>
          <w:color w:val="auto"/>
        </w:rPr>
        <w:t>投标文件的补充、修改</w:t>
      </w:r>
    </w:p>
    <w:p>
      <w:pPr>
        <w:pageBreakBefore w:val="0"/>
        <w:numPr>
          <w:ilvl w:val="0"/>
          <w:numId w:val="2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ageBreakBefore w:val="0"/>
        <w:numPr>
          <w:ilvl w:val="0"/>
          <w:numId w:val="24"/>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5"/>
        <w:pageBreakBefore w:val="0"/>
        <w:numPr>
          <w:ilvl w:val="2"/>
          <w:numId w:val="3"/>
        </w:numPr>
        <w:kinsoku/>
        <w:wordWrap/>
        <w:overflowPunct/>
        <w:topLinePunct w:val="0"/>
        <w:bidi w:val="0"/>
        <w:snapToGrid/>
        <w:spacing w:line="360" w:lineRule="auto"/>
        <w:ind w:left="0" w:firstLine="0"/>
        <w:textAlignment w:val="auto"/>
        <w:rPr>
          <w:color w:val="auto"/>
        </w:rPr>
      </w:pPr>
      <w:bookmarkStart w:id="74" w:name="_Toc316475587"/>
      <w:bookmarkEnd w:id="74"/>
      <w:bookmarkStart w:id="75" w:name="_Toc316475586"/>
      <w:bookmarkEnd w:id="75"/>
      <w:bookmarkStart w:id="76" w:name="_Toc183682365"/>
      <w:bookmarkStart w:id="77" w:name="_Toc217446055"/>
      <w:bookmarkStart w:id="78" w:name="_Toc183582228"/>
      <w:r>
        <w:rPr>
          <w:rFonts w:hint="eastAsia"/>
          <w:color w:val="auto"/>
        </w:rPr>
        <w:t>投标文件的</w:t>
      </w:r>
      <w:bookmarkEnd w:id="76"/>
      <w:bookmarkEnd w:id="77"/>
      <w:bookmarkEnd w:id="78"/>
      <w:r>
        <w:rPr>
          <w:rFonts w:hint="eastAsia"/>
          <w:color w:val="auto"/>
        </w:rPr>
        <w:t>撤回</w:t>
      </w:r>
    </w:p>
    <w:p>
      <w:pPr>
        <w:pageBreakBefore w:val="0"/>
        <w:kinsoku/>
        <w:wordWrap/>
        <w:overflowPunct/>
        <w:topLinePunct w:val="0"/>
        <w:bidi w:val="0"/>
        <w:snapToGrid/>
        <w:spacing w:line="360" w:lineRule="auto"/>
        <w:ind w:firstLine="560" w:firstLineChars="200"/>
        <w:textAlignment w:val="auto"/>
        <w:rPr>
          <w:rFonts w:ascii="宋体" w:hAnsi="宋体"/>
          <w:bCs/>
          <w:sz w:val="28"/>
          <w:szCs w:val="28"/>
        </w:rPr>
      </w:pPr>
      <w:r>
        <w:rPr>
          <w:rFonts w:hint="eastAsia" w:ascii="宋体" w:hAnsi="宋体"/>
          <w:bCs/>
          <w:sz w:val="28"/>
          <w:szCs w:val="28"/>
        </w:rPr>
        <w:t>在投标截止时间之前，投标人可对已递交的投标文件进行撤回。在投标截止时间之后，投标人不得撤回投标文件。</w:t>
      </w:r>
    </w:p>
    <w:p>
      <w:pPr>
        <w:pStyle w:val="5"/>
        <w:pageBreakBefore w:val="0"/>
        <w:numPr>
          <w:ilvl w:val="2"/>
          <w:numId w:val="3"/>
        </w:numPr>
        <w:kinsoku/>
        <w:wordWrap/>
        <w:overflowPunct/>
        <w:topLinePunct w:val="0"/>
        <w:bidi w:val="0"/>
        <w:snapToGrid/>
        <w:spacing w:line="360" w:lineRule="auto"/>
        <w:textAlignment w:val="auto"/>
        <w:rPr>
          <w:color w:val="auto"/>
        </w:rPr>
      </w:pPr>
      <w:r>
        <w:rPr>
          <w:rFonts w:hint="eastAsia"/>
          <w:color w:val="auto"/>
        </w:rPr>
        <w:t>投标文件的解密</w:t>
      </w:r>
    </w:p>
    <w:p>
      <w:pPr>
        <w:pageBreakBefore w:val="0"/>
        <w:tabs>
          <w:tab w:val="left" w:pos="1134"/>
        </w:tabs>
        <w:kinsoku/>
        <w:wordWrap/>
        <w:overflowPunct/>
        <w:topLinePunct w:val="0"/>
        <w:bidi w:val="0"/>
        <w:snapToGrid/>
        <w:spacing w:line="360" w:lineRule="auto"/>
        <w:ind w:firstLine="565" w:firstLineChars="202"/>
        <w:textAlignment w:val="auto"/>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登录政府采购云平台，点击“项目采购—开标评标”模块，找到对应项目，进入“开标大厅”，等待区公资交易中心开启解密后，进行线上解密。</w:t>
      </w:r>
      <w:r>
        <w:rPr>
          <w:rFonts w:hint="eastAsia" w:ascii="宋体" w:hAnsi="宋体"/>
          <w:bCs/>
          <w:sz w:val="28"/>
          <w:szCs w:val="28"/>
        </w:rPr>
        <w:t>除因</w:t>
      </w:r>
      <w:r>
        <w:rPr>
          <w:rFonts w:hint="eastAsia" w:ascii="宋体" w:hAnsi="宋体"/>
          <w:sz w:val="28"/>
          <w:szCs w:val="28"/>
        </w:rPr>
        <w:t>区公资交易中心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pageBreakBefore w:val="0"/>
        <w:numPr>
          <w:ilvl w:val="1"/>
          <w:numId w:val="3"/>
        </w:numPr>
        <w:kinsoku/>
        <w:wordWrap/>
        <w:overflowPunct/>
        <w:topLinePunct w:val="0"/>
        <w:bidi w:val="0"/>
        <w:snapToGrid/>
        <w:spacing w:line="360" w:lineRule="auto"/>
        <w:jc w:val="left"/>
        <w:textAlignment w:val="auto"/>
        <w:outlineLvl w:val="1"/>
        <w:rPr>
          <w:rFonts w:ascii="宋体" w:hAnsi="宋体"/>
          <w:b/>
          <w:bCs/>
          <w:sz w:val="28"/>
          <w:szCs w:val="28"/>
        </w:rPr>
      </w:pPr>
      <w:bookmarkStart w:id="79" w:name="_Toc183582231"/>
      <w:bookmarkStart w:id="80" w:name="_Toc217446056"/>
      <w:bookmarkStart w:id="81" w:name="_Toc183682368"/>
      <w:bookmarkStart w:id="82" w:name="_Toc77400782"/>
      <w:bookmarkStart w:id="83" w:name="_Toc89075878"/>
      <w:bookmarkStart w:id="84" w:name="_Toc14304"/>
      <w:r>
        <w:rPr>
          <w:rFonts w:hint="eastAsia" w:ascii="宋体" w:hAnsi="宋体"/>
          <w:b/>
          <w:bCs/>
          <w:sz w:val="28"/>
          <w:szCs w:val="28"/>
        </w:rPr>
        <w:t>开标、资格审查、评标和中标</w:t>
      </w:r>
      <w:bookmarkEnd w:id="79"/>
      <w:bookmarkEnd w:id="80"/>
      <w:bookmarkEnd w:id="81"/>
      <w:bookmarkEnd w:id="82"/>
      <w:bookmarkEnd w:id="83"/>
      <w:bookmarkEnd w:id="84"/>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开标及开标程序</w:t>
      </w:r>
    </w:p>
    <w:p>
      <w:pPr>
        <w:pStyle w:val="81"/>
        <w:pageBreakBefore w:val="0"/>
        <w:numPr>
          <w:ilvl w:val="0"/>
          <w:numId w:val="25"/>
        </w:numPr>
        <w:tabs>
          <w:tab w:val="left" w:pos="1134"/>
        </w:tabs>
        <w:kinsoku/>
        <w:wordWrap/>
        <w:overflowPunct/>
        <w:topLinePunct w:val="0"/>
        <w:bidi w:val="0"/>
        <w:snapToGrid/>
        <w:spacing w:line="360" w:lineRule="auto"/>
        <w:ind w:left="0" w:right="210" w:firstLine="567" w:firstLineChars="0"/>
        <w:textAlignment w:val="auto"/>
        <w:rPr>
          <w:rFonts w:ascii="宋体" w:hAnsi="宋体" w:eastAsia="宋体" w:cs="宋体"/>
          <w:sz w:val="28"/>
          <w:szCs w:val="28"/>
        </w:rPr>
      </w:pPr>
      <w:r>
        <w:rPr>
          <w:rFonts w:hint="eastAsia" w:ascii="宋体" w:hAnsi="宋体" w:eastAsia="宋体" w:cs="宋体"/>
          <w:b/>
          <w:bCs/>
          <w:sz w:val="28"/>
          <w:szCs w:val="28"/>
        </w:rPr>
        <w:t>本项目为不见面开标项目。</w:t>
      </w:r>
      <w:r>
        <w:rPr>
          <w:rFonts w:hint="eastAsia" w:ascii="宋体" w:hAnsi="宋体" w:eastAsia="宋体" w:cs="宋体"/>
          <w:sz w:val="28"/>
          <w:szCs w:val="28"/>
        </w:rPr>
        <w:t>递交投标文件的投标人不足3家的，不予开标。</w:t>
      </w:r>
    </w:p>
    <w:p>
      <w:pPr>
        <w:pStyle w:val="81"/>
        <w:pageBreakBefore w:val="0"/>
        <w:numPr>
          <w:ilvl w:val="0"/>
          <w:numId w:val="25"/>
        </w:numPr>
        <w:tabs>
          <w:tab w:val="left" w:pos="1134"/>
        </w:tabs>
        <w:kinsoku/>
        <w:wordWrap/>
        <w:overflowPunct/>
        <w:topLinePunct w:val="0"/>
        <w:bidi w:val="0"/>
        <w:snapToGrid/>
        <w:spacing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1"/>
        <w:pageBreakBefore w:val="0"/>
        <w:numPr>
          <w:ilvl w:val="0"/>
          <w:numId w:val="25"/>
        </w:numPr>
        <w:tabs>
          <w:tab w:val="left" w:pos="1134"/>
        </w:tabs>
        <w:kinsoku/>
        <w:wordWrap/>
        <w:overflowPunct/>
        <w:topLinePunct w:val="0"/>
        <w:bidi w:val="0"/>
        <w:snapToGrid/>
        <w:spacing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解密投标文件。等待区公资交易中心开启解密后，投标人进行线上解密。开启解密后，投标人应在60分钟内，使用加密该投标文件的CA数字证书在线完成投标文件的解密。除因区公资交易中心断电、断网、系统故障或其他不可抗力等因素，导致系统无法使用外，投标人在规定的解密时间内，未成功解密的投标文件将视为无效投标文件。</w:t>
      </w:r>
    </w:p>
    <w:p>
      <w:pPr>
        <w:pStyle w:val="81"/>
        <w:pageBreakBefore w:val="0"/>
        <w:numPr>
          <w:ilvl w:val="0"/>
          <w:numId w:val="25"/>
        </w:numPr>
        <w:tabs>
          <w:tab w:val="left" w:pos="1134"/>
        </w:tabs>
        <w:kinsoku/>
        <w:wordWrap/>
        <w:overflowPunct/>
        <w:topLinePunct w:val="0"/>
        <w:bidi w:val="0"/>
        <w:snapToGrid/>
        <w:spacing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1"/>
        <w:pageBreakBefore w:val="0"/>
        <w:numPr>
          <w:ilvl w:val="0"/>
          <w:numId w:val="25"/>
        </w:numPr>
        <w:tabs>
          <w:tab w:val="left" w:pos="1134"/>
        </w:tabs>
        <w:kinsoku/>
        <w:wordWrap/>
        <w:overflowPunct/>
        <w:topLinePunct w:val="0"/>
        <w:bidi w:val="0"/>
        <w:snapToGrid/>
        <w:spacing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1"/>
        <w:pageBreakBefore w:val="0"/>
        <w:numPr>
          <w:ilvl w:val="0"/>
          <w:numId w:val="25"/>
        </w:numPr>
        <w:tabs>
          <w:tab w:val="left" w:pos="1134"/>
        </w:tabs>
        <w:kinsoku/>
        <w:wordWrap/>
        <w:overflowPunct/>
        <w:topLinePunct w:val="0"/>
        <w:bidi w:val="0"/>
        <w:snapToGrid/>
        <w:spacing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因区公资交易中心断电、断网、系统故障或其他不可抗力等因素导致不见面开标系统无法正常运行的，开标活动中止或延迟，待系统恢复正常后继续进行开标活动。</w:t>
      </w:r>
    </w:p>
    <w:p>
      <w:pPr>
        <w:pStyle w:val="81"/>
        <w:pageBreakBefore w:val="0"/>
        <w:numPr>
          <w:ilvl w:val="0"/>
          <w:numId w:val="25"/>
        </w:numPr>
        <w:tabs>
          <w:tab w:val="left" w:pos="1134"/>
        </w:tabs>
        <w:kinsoku/>
        <w:wordWrap/>
        <w:overflowPunct/>
        <w:topLinePunct w:val="0"/>
        <w:bidi w:val="0"/>
        <w:snapToGrid/>
        <w:spacing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资格审查</w:t>
      </w:r>
    </w:p>
    <w:p>
      <w:pPr>
        <w:pageBreakBefore w:val="0"/>
        <w:kinsoku/>
        <w:wordWrap/>
        <w:overflowPunct/>
        <w:topLinePunct w:val="0"/>
        <w:bidi w:val="0"/>
        <w:snapToGrid/>
        <w:spacing w:line="360" w:lineRule="auto"/>
        <w:ind w:firstLine="495"/>
        <w:textAlignment w:val="auto"/>
        <w:rPr>
          <w:rFonts w:ascii="宋体" w:hAnsi="宋体"/>
          <w:sz w:val="28"/>
          <w:szCs w:val="28"/>
        </w:rPr>
      </w:pPr>
      <w:r>
        <w:rPr>
          <w:rFonts w:hint="eastAsia" w:ascii="宋体" w:hAnsi="宋体"/>
          <w:sz w:val="28"/>
          <w:szCs w:val="28"/>
        </w:rPr>
        <w:t>详见招标文件第5章。</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评标</w:t>
      </w:r>
    </w:p>
    <w:p>
      <w:pPr>
        <w:pageBreakBefore w:val="0"/>
        <w:kinsoku/>
        <w:wordWrap/>
        <w:overflowPunct/>
        <w:topLinePunct w:val="0"/>
        <w:bidi w:val="0"/>
        <w:snapToGrid/>
        <w:spacing w:line="360" w:lineRule="auto"/>
        <w:ind w:firstLine="495"/>
        <w:textAlignment w:val="auto"/>
        <w:rPr>
          <w:rFonts w:ascii="宋体" w:hAnsi="宋体"/>
          <w:sz w:val="28"/>
          <w:szCs w:val="28"/>
        </w:rPr>
      </w:pPr>
      <w:r>
        <w:rPr>
          <w:rFonts w:hint="eastAsia" w:ascii="宋体" w:hAnsi="宋体"/>
          <w:sz w:val="28"/>
          <w:szCs w:val="28"/>
        </w:rPr>
        <w:t>详见招标文件第6章。</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85" w:name="_Toc183682375"/>
      <w:bookmarkStart w:id="86" w:name="_Toc183582238"/>
      <w:bookmarkStart w:id="87" w:name="_Toc217446063"/>
      <w:r>
        <w:rPr>
          <w:rFonts w:hint="eastAsia" w:ascii="宋体" w:hAnsi="宋体"/>
          <w:b/>
          <w:bCs/>
          <w:sz w:val="28"/>
          <w:szCs w:val="28"/>
        </w:rPr>
        <w:t>中标通知</w:t>
      </w:r>
      <w:bookmarkEnd w:id="85"/>
      <w:bookmarkEnd w:id="86"/>
      <w:r>
        <w:rPr>
          <w:rFonts w:hint="eastAsia" w:ascii="宋体" w:hAnsi="宋体"/>
          <w:b/>
          <w:bCs/>
          <w:sz w:val="28"/>
          <w:szCs w:val="28"/>
        </w:rPr>
        <w:t>书</w:t>
      </w:r>
      <w:bookmarkEnd w:id="87"/>
    </w:p>
    <w:p>
      <w:pPr>
        <w:pageBreakBefore w:val="0"/>
        <w:kinsoku/>
        <w:wordWrap/>
        <w:overflowPunct/>
        <w:topLinePunct w:val="0"/>
        <w:bidi w:val="0"/>
        <w:snapToGrid/>
        <w:spacing w:line="360" w:lineRule="auto"/>
        <w:ind w:right="210" w:firstLine="560" w:firstLineChars="200"/>
        <w:textAlignment w:val="auto"/>
        <w:rPr>
          <w:rFonts w:ascii="宋体" w:hAnsi="宋体"/>
          <w:sz w:val="28"/>
          <w:szCs w:val="28"/>
        </w:rPr>
      </w:pPr>
      <w:bookmarkStart w:id="88" w:name="_Toc217446064"/>
      <w:bookmarkStart w:id="89" w:name="_Toc183582240"/>
      <w:bookmarkStart w:id="90"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三、中标公告在四川政府采购网上公告后，中标供应商自行登录政府采购云平台下载中标通知书。</w:t>
      </w:r>
    </w:p>
    <w:p>
      <w:pPr>
        <w:keepNext/>
        <w:keepLines/>
        <w:pageBreakBefore w:val="0"/>
        <w:numPr>
          <w:ilvl w:val="1"/>
          <w:numId w:val="3"/>
        </w:numPr>
        <w:kinsoku/>
        <w:wordWrap/>
        <w:overflowPunct/>
        <w:topLinePunct w:val="0"/>
        <w:bidi w:val="0"/>
        <w:snapToGrid/>
        <w:spacing w:line="360" w:lineRule="auto"/>
        <w:jc w:val="left"/>
        <w:textAlignment w:val="auto"/>
        <w:outlineLvl w:val="1"/>
        <w:rPr>
          <w:rFonts w:ascii="宋体" w:hAnsi="宋体"/>
          <w:b/>
          <w:bCs/>
          <w:sz w:val="28"/>
          <w:szCs w:val="28"/>
        </w:rPr>
      </w:pPr>
      <w:bookmarkStart w:id="91" w:name="_Toc12562"/>
      <w:r>
        <w:rPr>
          <w:rFonts w:hint="eastAsia" w:ascii="宋体" w:hAnsi="宋体"/>
          <w:b/>
          <w:bCs/>
          <w:sz w:val="28"/>
          <w:szCs w:val="28"/>
        </w:rPr>
        <w:t>签订及履行合同和验收</w:t>
      </w:r>
      <w:bookmarkEnd w:id="88"/>
      <w:bookmarkEnd w:id="91"/>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92" w:name="_Toc217446065"/>
      <w:r>
        <w:rPr>
          <w:rFonts w:hint="eastAsia" w:ascii="宋体" w:hAnsi="宋体"/>
          <w:b/>
          <w:bCs/>
          <w:sz w:val="28"/>
          <w:szCs w:val="28"/>
        </w:rPr>
        <w:t>签订合同</w:t>
      </w:r>
      <w:bookmarkEnd w:id="92"/>
    </w:p>
    <w:p>
      <w:pPr>
        <w:pageBreakBefore w:val="0"/>
        <w:numPr>
          <w:ilvl w:val="0"/>
          <w:numId w:val="26"/>
        </w:numPr>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中标人应在中标通知书发出之日起30日内与采购人签订采购合同，因中标人的原因</w:t>
      </w:r>
      <w:r>
        <w:rPr>
          <w:rFonts w:ascii="宋体" w:hAnsi="宋体"/>
          <w:sz w:val="28"/>
          <w:szCs w:val="28"/>
        </w:rPr>
        <w:t>在</w:t>
      </w:r>
      <w:r>
        <w:rPr>
          <w:rFonts w:hint="eastAsia" w:ascii="宋体" w:hAnsi="宋体"/>
          <w:sz w:val="28"/>
          <w:szCs w:val="28"/>
        </w:rPr>
        <w:t>中标通知书发出之日起</w:t>
      </w:r>
      <w:r>
        <w:rPr>
          <w:rFonts w:ascii="宋体" w:hAnsi="宋体"/>
          <w:sz w:val="28"/>
          <w:szCs w:val="28"/>
        </w:rPr>
        <w:t>30日</w:t>
      </w:r>
      <w:r>
        <w:rPr>
          <w:rFonts w:hint="eastAsia" w:ascii="宋体" w:hAnsi="宋体"/>
          <w:sz w:val="28"/>
          <w:szCs w:val="28"/>
        </w:rPr>
        <w:t>内未与采购人签订采购合同或者中标人拒绝与采购人签订合同的，采购人可以按照评审报告推荐的中标候选人名单排序，确定下一候选人为中标人，也可以重新开展政府采购活动。</w:t>
      </w:r>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四、询问或者质疑事项可能影响中标、中标结果的，采购人应当暂停签订合同，已经签订合同的，应当中止履行合同。</w:t>
      </w:r>
    </w:p>
    <w:p>
      <w:pPr>
        <w:keepNext/>
        <w:keepLines/>
        <w:pageBreakBefore w:val="0"/>
        <w:numPr>
          <w:ilvl w:val="2"/>
          <w:numId w:val="3"/>
        </w:numPr>
        <w:kinsoku/>
        <w:wordWrap/>
        <w:overflowPunct/>
        <w:topLinePunct w:val="0"/>
        <w:bidi w:val="0"/>
        <w:snapToGrid/>
        <w:spacing w:line="360" w:lineRule="auto"/>
        <w:ind w:left="3119" w:hanging="3119"/>
        <w:textAlignment w:val="auto"/>
        <w:outlineLvl w:val="2"/>
        <w:rPr>
          <w:rFonts w:ascii="宋体" w:hAnsi="宋体"/>
          <w:b/>
          <w:bCs/>
          <w:sz w:val="28"/>
          <w:szCs w:val="28"/>
        </w:rPr>
      </w:pPr>
      <w:bookmarkStart w:id="93" w:name="_Toc315871033"/>
      <w:bookmarkEnd w:id="93"/>
      <w:bookmarkStart w:id="94" w:name="_Toc217446066"/>
      <w:r>
        <w:rPr>
          <w:rFonts w:hint="eastAsia" w:ascii="宋体" w:hAnsi="宋体"/>
          <w:b/>
          <w:bCs/>
          <w:sz w:val="28"/>
          <w:szCs w:val="28"/>
        </w:rPr>
        <w:t>合同分包</w:t>
      </w:r>
      <w:bookmarkEnd w:id="94"/>
      <w:r>
        <w:rPr>
          <w:rFonts w:hint="eastAsia" w:ascii="宋体" w:hAnsi="宋体"/>
          <w:b/>
          <w:bCs/>
          <w:sz w:val="28"/>
          <w:szCs w:val="28"/>
        </w:rPr>
        <w:t>和转包</w:t>
      </w:r>
    </w:p>
    <w:p>
      <w:pPr>
        <w:keepNext/>
        <w:keepLines/>
        <w:pageBreakBefore w:val="0"/>
        <w:numPr>
          <w:ilvl w:val="3"/>
          <w:numId w:val="3"/>
        </w:numPr>
        <w:kinsoku/>
        <w:wordWrap/>
        <w:overflowPunct/>
        <w:topLinePunct w:val="0"/>
        <w:bidi w:val="0"/>
        <w:snapToGrid/>
        <w:spacing w:line="360" w:lineRule="auto"/>
        <w:ind w:left="1275" w:hanging="1275"/>
        <w:textAlignment w:val="auto"/>
        <w:outlineLvl w:val="2"/>
        <w:rPr>
          <w:rFonts w:ascii="宋体" w:hAnsi="宋体"/>
          <w:b/>
          <w:bCs/>
          <w:sz w:val="28"/>
          <w:szCs w:val="28"/>
        </w:rPr>
      </w:pPr>
      <w:r>
        <w:rPr>
          <w:rFonts w:hint="eastAsia" w:ascii="宋体" w:hAnsi="宋体"/>
          <w:b/>
          <w:bCs/>
          <w:sz w:val="28"/>
          <w:szCs w:val="28"/>
        </w:rPr>
        <w:t>合同分包</w:t>
      </w:r>
    </w:p>
    <w:p>
      <w:pPr>
        <w:pStyle w:val="121"/>
        <w:pageBreakBefore w:val="0"/>
        <w:kinsoku/>
        <w:wordWrap/>
        <w:overflowPunct/>
        <w:topLinePunct w:val="0"/>
        <w:bidi w:val="0"/>
        <w:snapToGrid/>
        <w:spacing w:line="360" w:lineRule="auto"/>
        <w:ind w:firstLine="560" w:firstLineChars="200"/>
        <w:textAlignment w:val="auto"/>
        <w:rPr>
          <w:rFonts w:cs="Times New Roman"/>
          <w:sz w:val="28"/>
          <w:szCs w:val="28"/>
          <w:lang w:val="zh-CN"/>
        </w:rPr>
      </w:pPr>
      <w:r>
        <w:rPr>
          <w:rFonts w:hint="eastAsia" w:cs="Times New Roman"/>
          <w:sz w:val="28"/>
          <w:szCs w:val="28"/>
          <w:lang w:val="zh-CN"/>
        </w:rPr>
        <w:t>本</w:t>
      </w:r>
      <w:r>
        <w:rPr>
          <w:rFonts w:cs="Times New Roman"/>
          <w:sz w:val="28"/>
          <w:szCs w:val="28"/>
          <w:lang w:val="zh-CN"/>
        </w:rPr>
        <w:t>项目不允许分包</w:t>
      </w:r>
      <w:r>
        <w:rPr>
          <w:rFonts w:hint="eastAsia" w:cs="Times New Roman"/>
          <w:sz w:val="28"/>
          <w:szCs w:val="28"/>
          <w:lang w:val="zh-CN"/>
        </w:rPr>
        <w:t>。</w:t>
      </w:r>
    </w:p>
    <w:p>
      <w:pPr>
        <w:keepNext/>
        <w:keepLines/>
        <w:pageBreakBefore w:val="0"/>
        <w:numPr>
          <w:ilvl w:val="3"/>
          <w:numId w:val="3"/>
        </w:numPr>
        <w:kinsoku/>
        <w:wordWrap/>
        <w:overflowPunct/>
        <w:topLinePunct w:val="0"/>
        <w:bidi w:val="0"/>
        <w:snapToGrid/>
        <w:spacing w:line="360" w:lineRule="auto"/>
        <w:ind w:left="1275" w:hanging="1275"/>
        <w:textAlignment w:val="auto"/>
        <w:outlineLvl w:val="2"/>
        <w:rPr>
          <w:rFonts w:ascii="宋体" w:hAnsi="宋体"/>
          <w:b/>
          <w:bCs/>
          <w:sz w:val="28"/>
          <w:szCs w:val="28"/>
        </w:rPr>
      </w:pPr>
      <w:r>
        <w:rPr>
          <w:rFonts w:hint="eastAsia" w:ascii="宋体" w:hAnsi="宋体"/>
          <w:b/>
          <w:bCs/>
          <w:sz w:val="28"/>
          <w:szCs w:val="28"/>
        </w:rPr>
        <w:t>合同转包</w:t>
      </w:r>
    </w:p>
    <w:p>
      <w:pPr>
        <w:pageBreakBefore w:val="0"/>
        <w:kinsoku/>
        <w:wordWrap/>
        <w:overflowPunct/>
        <w:topLinePunct w:val="0"/>
        <w:bidi w:val="0"/>
        <w:snapToGrid/>
        <w:spacing w:line="360" w:lineRule="auto"/>
        <w:ind w:firstLine="560" w:firstLineChars="200"/>
        <w:textAlignment w:val="auto"/>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pageBreakBefore w:val="0"/>
        <w:kinsoku/>
        <w:wordWrap/>
        <w:overflowPunct/>
        <w:topLinePunct w:val="0"/>
        <w:bidi w:val="0"/>
        <w:snapToGrid/>
        <w:spacing w:line="360" w:lineRule="auto"/>
        <w:ind w:firstLine="495"/>
        <w:textAlignment w:val="auto"/>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95" w:name="_Toc217446067"/>
      <w:r>
        <w:rPr>
          <w:rFonts w:hint="eastAsia" w:ascii="宋体" w:hAnsi="宋体"/>
          <w:b/>
          <w:bCs/>
          <w:sz w:val="28"/>
          <w:szCs w:val="28"/>
        </w:rPr>
        <w:t>采购人增加合同标的的权</w:t>
      </w:r>
      <w:bookmarkEnd w:id="95"/>
      <w:r>
        <w:rPr>
          <w:rFonts w:hint="eastAsia" w:ascii="宋体" w:hAnsi="宋体"/>
          <w:b/>
          <w:bCs/>
          <w:sz w:val="28"/>
          <w:szCs w:val="28"/>
        </w:rPr>
        <w:t>利</w:t>
      </w:r>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96" w:name="_Toc217446068"/>
      <w:r>
        <w:rPr>
          <w:rFonts w:hint="eastAsia" w:ascii="宋体" w:hAnsi="宋体"/>
          <w:b/>
          <w:bCs/>
          <w:sz w:val="28"/>
          <w:szCs w:val="28"/>
        </w:rPr>
        <w:t>履约保证金</w:t>
      </w:r>
      <w:bookmarkEnd w:id="96"/>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bookmarkStart w:id="97" w:name="_Toc217446069"/>
      <w:r>
        <w:rPr>
          <w:rFonts w:hint="eastAsia" w:ascii="宋体" w:hAnsi="宋体"/>
          <w:sz w:val="28"/>
          <w:szCs w:val="28"/>
        </w:rPr>
        <w:t>本项目</w:t>
      </w:r>
      <w:r>
        <w:rPr>
          <w:rFonts w:ascii="宋体" w:hAnsi="宋体"/>
          <w:sz w:val="28"/>
          <w:szCs w:val="28"/>
        </w:rPr>
        <w:t>不收取履约保证金</w:t>
      </w:r>
      <w:r>
        <w:rPr>
          <w:rFonts w:hint="eastAsia" w:ascii="宋体" w:hAnsi="宋体"/>
          <w:sz w:val="28"/>
          <w:szCs w:val="28"/>
        </w:rPr>
        <w:t>。</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合同公告</w:t>
      </w:r>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合同备案</w:t>
      </w:r>
    </w:p>
    <w:p>
      <w:pPr>
        <w:pageBreakBefore w:val="0"/>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政府采购合同签订之日起2个工作日内，采购人将在四川政府采购网公告政府采购合同；政府采购合同签订之日起7个工作日内，采购人将向本采购项目同级财政部门，即</w:t>
      </w:r>
      <w:r>
        <w:rPr>
          <w:rFonts w:hint="eastAsia" w:ascii="宋体" w:hAnsi="宋体"/>
          <w:sz w:val="28"/>
          <w:szCs w:val="28"/>
          <w:lang w:val="zh-CN"/>
        </w:rPr>
        <w:t>成都市双流区财政局备</w:t>
      </w:r>
      <w:r>
        <w:rPr>
          <w:rFonts w:hint="eastAsia" w:ascii="宋体" w:hAnsi="宋体"/>
          <w:sz w:val="28"/>
          <w:szCs w:val="28"/>
        </w:rPr>
        <w:t>案</w:t>
      </w:r>
      <w:r>
        <w:rPr>
          <w:rFonts w:hint="eastAsia" w:ascii="宋体" w:hAnsi="宋体"/>
          <w:sz w:val="28"/>
          <w:szCs w:val="28"/>
          <w:lang w:val="zh-CN"/>
        </w:rPr>
        <w:t>。</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履行合同</w:t>
      </w:r>
      <w:bookmarkEnd w:id="97"/>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一、合同一经签订，双方应严格履行合同规定的义务。</w:t>
      </w:r>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98" w:name="_Toc217446070"/>
      <w:r>
        <w:rPr>
          <w:rFonts w:hint="eastAsia" w:ascii="宋体" w:hAnsi="宋体"/>
          <w:b/>
          <w:bCs/>
          <w:sz w:val="28"/>
          <w:szCs w:val="28"/>
        </w:rPr>
        <w:t>验收</w:t>
      </w:r>
      <w:bookmarkEnd w:id="98"/>
      <w:r>
        <w:rPr>
          <w:rFonts w:hint="eastAsia" w:ascii="宋体" w:hAnsi="宋体"/>
          <w:b/>
          <w:bCs/>
          <w:sz w:val="28"/>
          <w:szCs w:val="28"/>
        </w:rPr>
        <w:t>或考核</w:t>
      </w:r>
    </w:p>
    <w:bookmarkEnd w:id="89"/>
    <w:bookmarkEnd w:id="90"/>
    <w:p>
      <w:pPr>
        <w:pageBreakBefore w:val="0"/>
        <w:kinsoku/>
        <w:wordWrap/>
        <w:overflowPunct/>
        <w:topLinePunct w:val="0"/>
        <w:bidi w:val="0"/>
        <w:snapToGrid/>
        <w:spacing w:line="360" w:lineRule="auto"/>
        <w:ind w:firstLine="560" w:firstLineChars="200"/>
        <w:textAlignment w:val="auto"/>
        <w:rPr>
          <w:rFonts w:ascii="宋体" w:hAnsi="宋体"/>
          <w:sz w:val="28"/>
          <w:szCs w:val="28"/>
        </w:rPr>
      </w:pPr>
      <w:bookmarkStart w:id="99" w:name="_Toc217446074"/>
      <w:bookmarkStart w:id="100" w:name="_Toc183682380"/>
      <w:bookmarkStart w:id="101" w:name="_Toc183582243"/>
      <w:r>
        <w:rPr>
          <w:rFonts w:hint="eastAsia" w:ascii="宋体" w:hAnsi="宋体"/>
          <w:sz w:val="28"/>
          <w:szCs w:val="28"/>
        </w:rPr>
        <w:t>采购人严格按照国家相关法律法规的要求组织验收或考核。</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资金支付</w:t>
      </w:r>
    </w:p>
    <w:p>
      <w:pPr>
        <w:pageBreakBefore w:val="0"/>
        <w:shd w:val="clear" w:color="auto" w:fill="FFFFFF"/>
        <w:kinsoku/>
        <w:wordWrap/>
        <w:overflowPunct/>
        <w:topLinePunct w:val="0"/>
        <w:bidi w:val="0"/>
        <w:snapToGrid/>
        <w:spacing w:line="360" w:lineRule="auto"/>
        <w:ind w:firstLine="570"/>
        <w:textAlignment w:val="auto"/>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pageBreakBefore w:val="0"/>
        <w:numPr>
          <w:ilvl w:val="1"/>
          <w:numId w:val="3"/>
        </w:numPr>
        <w:kinsoku/>
        <w:wordWrap/>
        <w:overflowPunct/>
        <w:topLinePunct w:val="0"/>
        <w:bidi w:val="0"/>
        <w:snapToGrid/>
        <w:spacing w:line="360" w:lineRule="auto"/>
        <w:jc w:val="left"/>
        <w:textAlignment w:val="auto"/>
        <w:outlineLvl w:val="1"/>
        <w:rPr>
          <w:rFonts w:ascii="宋体" w:hAnsi="宋体"/>
          <w:b/>
          <w:bCs/>
          <w:sz w:val="28"/>
          <w:szCs w:val="28"/>
        </w:rPr>
      </w:pPr>
      <w:bookmarkStart w:id="102" w:name="_Toc26151"/>
      <w:r>
        <w:rPr>
          <w:rFonts w:hint="eastAsia" w:ascii="宋体" w:hAnsi="宋体"/>
          <w:b/>
          <w:bCs/>
          <w:sz w:val="28"/>
          <w:szCs w:val="28"/>
        </w:rPr>
        <w:t>投标纪律要求</w:t>
      </w:r>
      <w:bookmarkEnd w:id="99"/>
      <w:bookmarkEnd w:id="102"/>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103" w:name="_Toc217446075"/>
      <w:r>
        <w:rPr>
          <w:rFonts w:hint="eastAsia" w:ascii="宋体" w:hAnsi="宋体"/>
          <w:b/>
          <w:bCs/>
          <w:sz w:val="28"/>
          <w:szCs w:val="28"/>
        </w:rPr>
        <w:t>投标人不得具有的情形</w:t>
      </w:r>
      <w:bookmarkEnd w:id="103"/>
    </w:p>
    <w:p>
      <w:pPr>
        <w:pageBreakBefore w:val="0"/>
        <w:kinsoku/>
        <w:wordWrap/>
        <w:overflowPunct/>
        <w:topLinePunct w:val="0"/>
        <w:bidi w:val="0"/>
        <w:snapToGrid/>
        <w:spacing w:line="360" w:lineRule="auto"/>
        <w:ind w:firstLine="567"/>
        <w:textAlignment w:val="auto"/>
        <w:rPr>
          <w:rFonts w:ascii="宋体" w:hAnsi="宋体"/>
          <w:sz w:val="28"/>
          <w:szCs w:val="28"/>
        </w:rPr>
      </w:pPr>
      <w:r>
        <w:rPr>
          <w:rFonts w:hint="eastAsia" w:ascii="宋体" w:hAnsi="宋体"/>
          <w:sz w:val="28"/>
          <w:szCs w:val="28"/>
        </w:rPr>
        <w:t>投标人参加投标不得有下列情形：</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有下列情形之一的，视为投标人串通投标：</w:t>
      </w:r>
    </w:p>
    <w:p>
      <w:pPr>
        <w:pageBreakBefore w:val="0"/>
        <w:tabs>
          <w:tab w:val="left" w:pos="1134"/>
        </w:tabs>
        <w:kinsoku/>
        <w:wordWrap/>
        <w:overflowPunct/>
        <w:topLinePunct w:val="0"/>
        <w:bidi w:val="0"/>
        <w:snapToGrid/>
        <w:spacing w:line="360" w:lineRule="auto"/>
        <w:ind w:left="420"/>
        <w:textAlignment w:val="auto"/>
        <w:rPr>
          <w:rFonts w:ascii="宋体" w:hAnsi="宋体"/>
          <w:sz w:val="28"/>
          <w:szCs w:val="28"/>
        </w:rPr>
      </w:pPr>
      <w:r>
        <w:rPr>
          <w:rFonts w:hint="eastAsia" w:ascii="宋体" w:hAnsi="宋体"/>
          <w:sz w:val="28"/>
          <w:szCs w:val="28"/>
        </w:rPr>
        <w:t>（一）不同投标人的投标文件由同一单位或者个人编制；</w:t>
      </w:r>
    </w:p>
    <w:p>
      <w:pPr>
        <w:pageBreakBefore w:val="0"/>
        <w:tabs>
          <w:tab w:val="left" w:pos="1134"/>
        </w:tabs>
        <w:kinsoku/>
        <w:wordWrap/>
        <w:overflowPunct/>
        <w:topLinePunct w:val="0"/>
        <w:bidi w:val="0"/>
        <w:snapToGrid/>
        <w:spacing w:line="360" w:lineRule="auto"/>
        <w:ind w:left="420"/>
        <w:textAlignment w:val="auto"/>
        <w:rPr>
          <w:rFonts w:ascii="宋体" w:hAnsi="宋体"/>
          <w:sz w:val="28"/>
          <w:szCs w:val="28"/>
        </w:rPr>
      </w:pPr>
      <w:r>
        <w:rPr>
          <w:rFonts w:hint="eastAsia" w:ascii="宋体" w:hAnsi="宋体"/>
          <w:sz w:val="28"/>
          <w:szCs w:val="28"/>
        </w:rPr>
        <w:t>（二）不同投标人委托同一单位或者个人办理投标事宜；</w:t>
      </w:r>
    </w:p>
    <w:p>
      <w:pPr>
        <w:pageBreakBefore w:val="0"/>
        <w:tabs>
          <w:tab w:val="left" w:pos="1134"/>
        </w:tabs>
        <w:kinsoku/>
        <w:wordWrap/>
        <w:overflowPunct/>
        <w:topLinePunct w:val="0"/>
        <w:bidi w:val="0"/>
        <w:snapToGrid/>
        <w:spacing w:line="360" w:lineRule="auto"/>
        <w:ind w:left="420"/>
        <w:textAlignment w:val="auto"/>
        <w:rPr>
          <w:rFonts w:ascii="宋体" w:hAnsi="宋体"/>
          <w:sz w:val="28"/>
          <w:szCs w:val="28"/>
        </w:rPr>
      </w:pPr>
      <w:r>
        <w:rPr>
          <w:rFonts w:hint="eastAsia" w:ascii="宋体" w:hAnsi="宋体"/>
          <w:sz w:val="28"/>
          <w:szCs w:val="28"/>
        </w:rPr>
        <w:t>（三）不同投标人的投标文件载明的项目管理成员或者联系人员为同一人；</w:t>
      </w:r>
    </w:p>
    <w:p>
      <w:pPr>
        <w:pageBreakBefore w:val="0"/>
        <w:tabs>
          <w:tab w:val="left" w:pos="1134"/>
        </w:tabs>
        <w:kinsoku/>
        <w:wordWrap/>
        <w:overflowPunct/>
        <w:topLinePunct w:val="0"/>
        <w:bidi w:val="0"/>
        <w:snapToGrid/>
        <w:spacing w:line="360" w:lineRule="auto"/>
        <w:ind w:firstLine="420" w:firstLineChars="150"/>
        <w:textAlignment w:val="auto"/>
        <w:rPr>
          <w:rFonts w:ascii="宋体" w:hAnsi="宋体"/>
          <w:sz w:val="28"/>
          <w:szCs w:val="28"/>
        </w:rPr>
      </w:pPr>
      <w:r>
        <w:rPr>
          <w:rFonts w:hint="eastAsia" w:ascii="宋体" w:hAnsi="宋体"/>
          <w:sz w:val="28"/>
          <w:szCs w:val="28"/>
        </w:rPr>
        <w:t>（四）不同投标人的投标文件异常一致或者投标报价呈规律性差异；</w:t>
      </w:r>
    </w:p>
    <w:p>
      <w:pPr>
        <w:pageBreakBefore w:val="0"/>
        <w:tabs>
          <w:tab w:val="left" w:pos="1134"/>
        </w:tabs>
        <w:kinsoku/>
        <w:wordWrap/>
        <w:overflowPunct/>
        <w:topLinePunct w:val="0"/>
        <w:bidi w:val="0"/>
        <w:snapToGrid/>
        <w:spacing w:line="360" w:lineRule="auto"/>
        <w:ind w:firstLine="420" w:firstLineChars="150"/>
        <w:textAlignment w:val="auto"/>
        <w:rPr>
          <w:rFonts w:ascii="宋体" w:hAnsi="宋体"/>
          <w:sz w:val="28"/>
          <w:szCs w:val="28"/>
        </w:rPr>
      </w:pPr>
      <w:r>
        <w:rPr>
          <w:rFonts w:hint="eastAsia" w:ascii="宋体" w:hAnsi="宋体"/>
          <w:sz w:val="28"/>
          <w:szCs w:val="28"/>
        </w:rPr>
        <w:t>（五）不同投标人的投标文件相互混装；</w:t>
      </w:r>
    </w:p>
    <w:p>
      <w:pPr>
        <w:pageBreakBefore w:val="0"/>
        <w:tabs>
          <w:tab w:val="left" w:pos="1134"/>
        </w:tabs>
        <w:kinsoku/>
        <w:wordWrap/>
        <w:overflowPunct/>
        <w:topLinePunct w:val="0"/>
        <w:bidi w:val="0"/>
        <w:snapToGrid/>
        <w:spacing w:line="360" w:lineRule="auto"/>
        <w:ind w:left="420"/>
        <w:textAlignment w:val="auto"/>
        <w:rPr>
          <w:rFonts w:ascii="宋体" w:hAnsi="宋体"/>
          <w:sz w:val="28"/>
          <w:szCs w:val="28"/>
        </w:rPr>
      </w:pPr>
      <w:r>
        <w:rPr>
          <w:rFonts w:hint="eastAsia" w:ascii="宋体" w:hAnsi="宋体"/>
          <w:sz w:val="28"/>
          <w:szCs w:val="28"/>
        </w:rPr>
        <w:t>（六）不同投标人的投标保证金从同一单位或者个人的账户转出；</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提供虚假材料谋取中标；</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采取不正当手段诋毁、排挤其他投标人；</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与采购人或</w:t>
      </w:r>
      <w:r>
        <w:rPr>
          <w:rFonts w:hint="eastAsia" w:cs="Arial"/>
          <w:sz w:val="28"/>
          <w:szCs w:val="28"/>
        </w:rPr>
        <w:t>区公资交易中心</w:t>
      </w:r>
      <w:r>
        <w:rPr>
          <w:rFonts w:hint="eastAsia" w:ascii="宋体" w:hAnsi="宋体"/>
          <w:sz w:val="28"/>
          <w:szCs w:val="28"/>
        </w:rPr>
        <w:t>、其他投标人恶意串通；</w:t>
      </w:r>
    </w:p>
    <w:p>
      <w:pPr>
        <w:pageBreakBefore w:val="0"/>
        <w:numPr>
          <w:ilvl w:val="1"/>
          <w:numId w:val="27"/>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向采购人或</w:t>
      </w:r>
      <w:r>
        <w:rPr>
          <w:rFonts w:hint="eastAsia" w:cs="Arial"/>
          <w:sz w:val="28"/>
          <w:szCs w:val="28"/>
        </w:rPr>
        <w:t>区公资交易中心</w:t>
      </w:r>
      <w:r>
        <w:rPr>
          <w:rFonts w:hint="eastAsia" w:ascii="宋体" w:hAnsi="宋体"/>
          <w:sz w:val="28"/>
          <w:szCs w:val="28"/>
        </w:rPr>
        <w:t>、评标委员会成员行贿或者提供其他不正当利益；</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在招标过程中与采购人或</w:t>
      </w:r>
      <w:r>
        <w:rPr>
          <w:rFonts w:hint="eastAsia" w:cs="Arial"/>
          <w:sz w:val="28"/>
          <w:szCs w:val="28"/>
        </w:rPr>
        <w:t>区公资交易中心</w:t>
      </w:r>
      <w:r>
        <w:rPr>
          <w:rFonts w:hint="eastAsia" w:ascii="宋体" w:hAnsi="宋体"/>
          <w:sz w:val="28"/>
          <w:szCs w:val="28"/>
        </w:rPr>
        <w:t>进行协商谈判；</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中标后无正当理由拒不与采购人签订政府采购合同；</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未按照采购文件确定的事项签订政府采购合同；</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将政府采购合同转包或者违规分包；</w:t>
      </w:r>
    </w:p>
    <w:p>
      <w:pPr>
        <w:pageBreakBefore w:val="0"/>
        <w:numPr>
          <w:ilvl w:val="1"/>
          <w:numId w:val="27"/>
        </w:numPr>
        <w:tabs>
          <w:tab w:val="left" w:pos="1134"/>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提供假冒伪劣产品；</w:t>
      </w:r>
    </w:p>
    <w:p>
      <w:pPr>
        <w:pageBreakBefore w:val="0"/>
        <w:numPr>
          <w:ilvl w:val="1"/>
          <w:numId w:val="27"/>
        </w:numPr>
        <w:tabs>
          <w:tab w:val="left" w:pos="1134"/>
          <w:tab w:val="left" w:pos="1418"/>
        </w:tabs>
        <w:kinsoku/>
        <w:wordWrap/>
        <w:overflowPunct/>
        <w:topLinePunct w:val="0"/>
        <w:bidi w:val="0"/>
        <w:snapToGrid/>
        <w:spacing w:line="360" w:lineRule="auto"/>
        <w:ind w:left="420" w:firstLine="147"/>
        <w:textAlignment w:val="auto"/>
        <w:rPr>
          <w:rFonts w:ascii="宋体" w:hAnsi="宋体"/>
          <w:sz w:val="28"/>
          <w:szCs w:val="28"/>
        </w:rPr>
      </w:pPr>
      <w:r>
        <w:rPr>
          <w:rFonts w:hint="eastAsia" w:ascii="宋体" w:hAnsi="宋体"/>
          <w:sz w:val="28"/>
          <w:szCs w:val="28"/>
        </w:rPr>
        <w:t>擅自变更、中止或者终止政府采购合同；</w:t>
      </w:r>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十四、处于被行政部门禁止参与政府采购活动的期限内；</w:t>
      </w:r>
    </w:p>
    <w:p>
      <w:pPr>
        <w:pageBreakBefore w:val="0"/>
        <w:tabs>
          <w:tab w:val="left" w:pos="1134"/>
        </w:tabs>
        <w:kinsoku/>
        <w:wordWrap/>
        <w:overflowPunct/>
        <w:topLinePunct w:val="0"/>
        <w:bidi w:val="0"/>
        <w:snapToGrid/>
        <w:spacing w:line="360" w:lineRule="auto"/>
        <w:ind w:firstLine="560" w:firstLineChars="200"/>
        <w:textAlignment w:val="auto"/>
        <w:rPr>
          <w:rFonts w:ascii="宋体" w:hAnsi="宋体"/>
          <w:sz w:val="28"/>
          <w:szCs w:val="28"/>
        </w:rPr>
      </w:pPr>
      <w:r>
        <w:rPr>
          <w:rFonts w:hint="eastAsia" w:ascii="宋体" w:hAnsi="宋体"/>
          <w:sz w:val="28"/>
          <w:szCs w:val="28"/>
        </w:rPr>
        <w:t>十五、拒绝有关部门的监督检查或者向监督检查部门提供虚假情况；</w:t>
      </w:r>
    </w:p>
    <w:p>
      <w:pPr>
        <w:pageBreakBefore w:val="0"/>
        <w:kinsoku/>
        <w:wordWrap/>
        <w:overflowPunct/>
        <w:topLinePunct w:val="0"/>
        <w:bidi w:val="0"/>
        <w:snapToGrid/>
        <w:spacing w:line="360" w:lineRule="auto"/>
        <w:ind w:firstLine="565" w:firstLineChars="202"/>
        <w:textAlignment w:val="auto"/>
        <w:rPr>
          <w:rFonts w:ascii="宋体" w:hAnsi="宋体"/>
          <w:sz w:val="28"/>
          <w:szCs w:val="28"/>
        </w:rPr>
      </w:pPr>
      <w:r>
        <w:rPr>
          <w:rFonts w:hint="eastAsia" w:ascii="宋体" w:hAnsi="宋体"/>
          <w:sz w:val="28"/>
          <w:szCs w:val="28"/>
        </w:rPr>
        <w:t>十六、法律法规规定的其他情形。</w:t>
      </w:r>
    </w:p>
    <w:p>
      <w:pPr>
        <w:pageBreakBefore w:val="0"/>
        <w:kinsoku/>
        <w:wordWrap/>
        <w:overflowPunct/>
        <w:topLinePunct w:val="0"/>
        <w:bidi w:val="0"/>
        <w:snapToGrid/>
        <w:spacing w:line="360" w:lineRule="auto"/>
        <w:ind w:firstLine="568" w:firstLineChars="202"/>
        <w:textAlignment w:val="auto"/>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bookmarkStart w:id="104" w:name="_Toc314574786"/>
      <w:r>
        <w:rPr>
          <w:rFonts w:hint="eastAsia" w:ascii="宋体" w:hAnsi="宋体"/>
          <w:b/>
          <w:bCs/>
          <w:sz w:val="28"/>
          <w:szCs w:val="28"/>
        </w:rPr>
        <w:t>保密</w:t>
      </w:r>
      <w:bookmarkEnd w:id="104"/>
    </w:p>
    <w:p>
      <w:pPr>
        <w:pageBreakBefore w:val="0"/>
        <w:numPr>
          <w:ilvl w:val="0"/>
          <w:numId w:val="28"/>
        </w:numPr>
        <w:tabs>
          <w:tab w:val="left" w:pos="0"/>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pageBreakBefore w:val="0"/>
        <w:numPr>
          <w:ilvl w:val="0"/>
          <w:numId w:val="28"/>
        </w:numPr>
        <w:tabs>
          <w:tab w:val="left" w:pos="0"/>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pageBreakBefore w:val="0"/>
        <w:numPr>
          <w:ilvl w:val="2"/>
          <w:numId w:val="3"/>
        </w:numPr>
        <w:kinsoku/>
        <w:wordWrap/>
        <w:overflowPunct/>
        <w:topLinePunct w:val="0"/>
        <w:bidi w:val="0"/>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回避</w:t>
      </w:r>
    </w:p>
    <w:p>
      <w:pPr>
        <w:pageBreakBefore w:val="0"/>
        <w:shd w:val="clear" w:color="auto" w:fill="FFFFFF"/>
        <w:kinsoku/>
        <w:wordWrap/>
        <w:overflowPunct/>
        <w:topLinePunct w:val="0"/>
        <w:bidi w:val="0"/>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在政府采购活动中，采购人员</w:t>
      </w:r>
      <w:r>
        <w:rPr>
          <w:rFonts w:hint="eastAsia" w:cs="Helvetica"/>
          <w:sz w:val="28"/>
          <w:szCs w:val="28"/>
        </w:rPr>
        <w:t>（如</w:t>
      </w:r>
      <w:r>
        <w:rPr>
          <w:rFonts w:hint="eastAsia"/>
          <w:sz w:val="28"/>
          <w:szCs w:val="28"/>
        </w:rPr>
        <w:t>采购人内部负责采购项目的具体经办工作人员或直接分管采购项目的负责人、</w:t>
      </w:r>
      <w:r>
        <w:rPr>
          <w:rFonts w:hint="eastAsia" w:cs="Arial"/>
          <w:sz w:val="28"/>
          <w:szCs w:val="28"/>
        </w:rPr>
        <w:t>区公资交易中心</w:t>
      </w:r>
      <w:r>
        <w:rPr>
          <w:rFonts w:hint="eastAsia"/>
          <w:sz w:val="28"/>
          <w:szCs w:val="28"/>
        </w:rPr>
        <w:t>负责采购项目的具体经办工作人员或直接分管采购活动的负责人等</w:t>
      </w:r>
      <w:r>
        <w:rPr>
          <w:rFonts w:hint="eastAsia" w:cs="Helvetica"/>
          <w:sz w:val="28"/>
          <w:szCs w:val="28"/>
        </w:rPr>
        <w:t>）</w:t>
      </w:r>
      <w:r>
        <w:rPr>
          <w:rFonts w:hint="eastAsia" w:ascii="宋体" w:hAnsi="宋体" w:cs="Helvetica"/>
          <w:sz w:val="28"/>
          <w:szCs w:val="28"/>
        </w:rPr>
        <w:t>及相关人员与</w:t>
      </w:r>
      <w:r>
        <w:rPr>
          <w:rFonts w:hint="eastAsia" w:ascii="宋体" w:hAnsi="宋体"/>
          <w:sz w:val="28"/>
          <w:szCs w:val="28"/>
        </w:rPr>
        <w:t>供应商</w:t>
      </w:r>
      <w:r>
        <w:rPr>
          <w:rFonts w:hint="eastAsia" w:ascii="宋体" w:hAnsi="宋体" w:cs="Helvetica"/>
          <w:sz w:val="28"/>
          <w:szCs w:val="28"/>
        </w:rPr>
        <w:t>有下列利害关系之一的，应当回避：</w:t>
      </w:r>
    </w:p>
    <w:p>
      <w:pPr>
        <w:pageBreakBefore w:val="0"/>
        <w:shd w:val="clear" w:color="auto" w:fill="FFFFFF"/>
        <w:kinsoku/>
        <w:wordWrap/>
        <w:overflowPunct/>
        <w:topLinePunct w:val="0"/>
        <w:bidi w:val="0"/>
        <w:snapToGrid/>
        <w:spacing w:line="360" w:lineRule="auto"/>
        <w:ind w:left="708" w:hanging="708" w:hangingChars="253"/>
        <w:textAlignment w:val="auto"/>
        <w:rPr>
          <w:rFonts w:ascii="宋体" w:hAnsi="宋体" w:cs="Helvetica"/>
          <w:sz w:val="28"/>
          <w:szCs w:val="28"/>
        </w:rPr>
      </w:pPr>
      <w:r>
        <w:rPr>
          <w:rFonts w:hint="eastAsia" w:ascii="宋体" w:hAnsi="宋体" w:cs="Helvetica"/>
          <w:sz w:val="28"/>
          <w:szCs w:val="28"/>
        </w:rPr>
        <w:t>　　（一）参加采购活动前3年内与</w:t>
      </w:r>
      <w:r>
        <w:rPr>
          <w:rFonts w:hint="eastAsia" w:ascii="宋体" w:hAnsi="宋体"/>
          <w:sz w:val="28"/>
          <w:szCs w:val="28"/>
        </w:rPr>
        <w:t>供应商</w:t>
      </w:r>
      <w:r>
        <w:rPr>
          <w:rFonts w:hint="eastAsia" w:ascii="宋体" w:hAnsi="宋体" w:cs="Helvetica"/>
          <w:sz w:val="28"/>
          <w:szCs w:val="28"/>
        </w:rPr>
        <w:t>存在劳动关系；</w:t>
      </w:r>
    </w:p>
    <w:p>
      <w:pPr>
        <w:pageBreakBefore w:val="0"/>
        <w:shd w:val="clear" w:color="auto" w:fill="FFFFFF"/>
        <w:kinsoku/>
        <w:wordWrap/>
        <w:overflowPunct/>
        <w:topLinePunct w:val="0"/>
        <w:bidi w:val="0"/>
        <w:snapToGrid/>
        <w:spacing w:line="360" w:lineRule="auto"/>
        <w:textAlignment w:val="auto"/>
        <w:rPr>
          <w:rFonts w:ascii="宋体" w:hAnsi="宋体" w:cs="Helvetica"/>
          <w:sz w:val="28"/>
          <w:szCs w:val="28"/>
        </w:rPr>
      </w:pPr>
      <w:r>
        <w:rPr>
          <w:rFonts w:hint="eastAsia" w:ascii="宋体" w:hAnsi="宋体" w:cs="Helvetica"/>
          <w:sz w:val="28"/>
          <w:szCs w:val="28"/>
        </w:rPr>
        <w:t>　　（二）参加采购活动前3年内担任</w:t>
      </w:r>
      <w:r>
        <w:rPr>
          <w:rFonts w:hint="eastAsia" w:ascii="宋体" w:hAnsi="宋体"/>
          <w:sz w:val="28"/>
          <w:szCs w:val="28"/>
        </w:rPr>
        <w:t>供应商</w:t>
      </w:r>
      <w:r>
        <w:rPr>
          <w:rFonts w:hint="eastAsia" w:ascii="宋体" w:hAnsi="宋体" w:cs="Helvetica"/>
          <w:sz w:val="28"/>
          <w:szCs w:val="28"/>
        </w:rPr>
        <w:t>的董事、监事；</w:t>
      </w:r>
    </w:p>
    <w:p>
      <w:pPr>
        <w:pageBreakBefore w:val="0"/>
        <w:shd w:val="clear" w:color="auto" w:fill="FFFFFF"/>
        <w:kinsoku/>
        <w:wordWrap/>
        <w:overflowPunct/>
        <w:topLinePunct w:val="0"/>
        <w:bidi w:val="0"/>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（三）参加采购活动前3年内是</w:t>
      </w:r>
      <w:r>
        <w:rPr>
          <w:rFonts w:hint="eastAsia" w:ascii="宋体" w:hAnsi="宋体"/>
          <w:sz w:val="28"/>
          <w:szCs w:val="28"/>
        </w:rPr>
        <w:t>供应商</w:t>
      </w:r>
      <w:r>
        <w:rPr>
          <w:rFonts w:hint="eastAsia" w:ascii="宋体" w:hAnsi="宋体" w:cs="Helvetica"/>
          <w:sz w:val="28"/>
          <w:szCs w:val="28"/>
        </w:rPr>
        <w:t>的控股股东或者实际控制人；</w:t>
      </w:r>
    </w:p>
    <w:p>
      <w:pPr>
        <w:pageBreakBefore w:val="0"/>
        <w:shd w:val="clear" w:color="auto" w:fill="FFFFFF"/>
        <w:kinsoku/>
        <w:wordWrap/>
        <w:overflowPunct/>
        <w:topLinePunct w:val="0"/>
        <w:bidi w:val="0"/>
        <w:snapToGrid/>
        <w:spacing w:line="360" w:lineRule="auto"/>
        <w:ind w:firstLine="570"/>
        <w:textAlignment w:val="auto"/>
        <w:rPr>
          <w:rFonts w:ascii="宋体" w:hAnsi="宋体" w:cs="Helvetica"/>
          <w:sz w:val="28"/>
          <w:szCs w:val="28"/>
        </w:rPr>
      </w:pPr>
      <w:r>
        <w:rPr>
          <w:rFonts w:hint="eastAsia" w:ascii="宋体" w:hAnsi="宋体" w:cs="Helvetica"/>
          <w:sz w:val="28"/>
          <w:szCs w:val="28"/>
        </w:rPr>
        <w:t>（四）与</w:t>
      </w:r>
      <w:r>
        <w:rPr>
          <w:rFonts w:hint="eastAsia" w:ascii="宋体" w:hAnsi="宋体"/>
          <w:sz w:val="28"/>
          <w:szCs w:val="28"/>
        </w:rPr>
        <w:t>供应商</w:t>
      </w:r>
      <w:r>
        <w:rPr>
          <w:rFonts w:hint="eastAsia" w:ascii="宋体" w:hAnsi="宋体" w:cs="Helvetica"/>
          <w:sz w:val="28"/>
          <w:szCs w:val="28"/>
        </w:rPr>
        <w:t>的法定代表人或者负责人有夫妻、直系血亲、三代以内旁系血亲或者近姻亲关系；</w:t>
      </w:r>
    </w:p>
    <w:p>
      <w:pPr>
        <w:pageBreakBefore w:val="0"/>
        <w:shd w:val="clear" w:color="auto" w:fill="FFFFFF"/>
        <w:kinsoku/>
        <w:wordWrap/>
        <w:overflowPunct/>
        <w:topLinePunct w:val="0"/>
        <w:bidi w:val="0"/>
        <w:snapToGrid/>
        <w:spacing w:line="360" w:lineRule="auto"/>
        <w:ind w:firstLine="570"/>
        <w:textAlignment w:val="auto"/>
        <w:rPr>
          <w:rFonts w:ascii="宋体" w:hAnsi="宋体" w:cs="Helvetica"/>
          <w:sz w:val="28"/>
          <w:szCs w:val="28"/>
        </w:rPr>
      </w:pPr>
      <w:r>
        <w:rPr>
          <w:rFonts w:hint="eastAsia" w:ascii="宋体" w:hAnsi="宋体" w:cs="Helvetica"/>
          <w:sz w:val="28"/>
          <w:szCs w:val="28"/>
        </w:rPr>
        <w:t>（五）与</w:t>
      </w:r>
      <w:r>
        <w:rPr>
          <w:rFonts w:hint="eastAsia" w:ascii="宋体" w:hAnsi="宋体"/>
          <w:sz w:val="28"/>
          <w:szCs w:val="28"/>
        </w:rPr>
        <w:t>供应商</w:t>
      </w:r>
      <w:r>
        <w:rPr>
          <w:rFonts w:hint="eastAsia" w:ascii="宋体" w:hAnsi="宋体" w:cs="Helvetica"/>
          <w:sz w:val="28"/>
          <w:szCs w:val="28"/>
        </w:rPr>
        <w:t>有其他可能影响政府采购活动公平、公正进行的关系。</w:t>
      </w:r>
    </w:p>
    <w:p>
      <w:pPr>
        <w:pageBreakBefore w:val="0"/>
        <w:shd w:val="clear" w:color="auto" w:fill="FFFFFF"/>
        <w:kinsoku/>
        <w:wordWrap/>
        <w:overflowPunct/>
        <w:topLinePunct w:val="0"/>
        <w:bidi w:val="0"/>
        <w:snapToGrid/>
        <w:spacing w:line="360" w:lineRule="auto"/>
        <w:ind w:firstLine="570"/>
        <w:textAlignment w:val="auto"/>
        <w:rPr>
          <w:rFonts w:ascii="宋体" w:hAnsi="宋体" w:cs="Helvetica"/>
          <w:sz w:val="28"/>
          <w:szCs w:val="28"/>
        </w:rPr>
      </w:pPr>
      <w:r>
        <w:rPr>
          <w:rFonts w:hint="eastAsia" w:ascii="宋体" w:hAnsi="宋体"/>
          <w:sz w:val="28"/>
          <w:szCs w:val="28"/>
        </w:rPr>
        <w:t>供应商</w:t>
      </w:r>
      <w:r>
        <w:rPr>
          <w:rFonts w:hint="eastAsia" w:ascii="宋体" w:hAnsi="宋体" w:cs="Helvetica"/>
          <w:sz w:val="28"/>
          <w:szCs w:val="28"/>
        </w:rPr>
        <w:t>认为采购人员及相关人员与其他</w:t>
      </w:r>
      <w:r>
        <w:rPr>
          <w:rFonts w:hint="eastAsia" w:ascii="宋体" w:hAnsi="宋体"/>
          <w:sz w:val="28"/>
          <w:szCs w:val="28"/>
        </w:rPr>
        <w:t>供应商</w:t>
      </w:r>
      <w:r>
        <w:rPr>
          <w:rFonts w:hint="eastAsia" w:ascii="宋体" w:hAnsi="宋体" w:cs="Helvetica"/>
          <w:sz w:val="28"/>
          <w:szCs w:val="28"/>
        </w:rPr>
        <w:t>有利害关系的，可以向采购人或者</w:t>
      </w:r>
      <w:r>
        <w:rPr>
          <w:rFonts w:hint="eastAsia" w:ascii="宋体" w:hAnsi="宋体" w:cs="Arial"/>
          <w:sz w:val="28"/>
          <w:szCs w:val="28"/>
        </w:rPr>
        <w:t>采购代理机构</w:t>
      </w:r>
      <w:r>
        <w:rPr>
          <w:rFonts w:hint="eastAsia" w:ascii="宋体" w:hAnsi="宋体" w:cs="Helvetica"/>
          <w:sz w:val="28"/>
          <w:szCs w:val="28"/>
        </w:rPr>
        <w:t>书面提出回避申请，并说明理由。采购人或者</w:t>
      </w:r>
      <w:r>
        <w:rPr>
          <w:rFonts w:hint="eastAsia" w:ascii="宋体" w:hAnsi="宋体" w:cs="Arial"/>
          <w:sz w:val="28"/>
          <w:szCs w:val="28"/>
        </w:rPr>
        <w:t>采购代理机构</w:t>
      </w:r>
      <w:r>
        <w:rPr>
          <w:rFonts w:hint="eastAsia" w:ascii="宋体" w:hAnsi="宋体" w:cs="Helvetica"/>
          <w:sz w:val="28"/>
          <w:szCs w:val="28"/>
        </w:rPr>
        <w:t>应当及时询问被申请回避人员，有利害关系的被申请回避人员应当回避。</w:t>
      </w:r>
    </w:p>
    <w:p>
      <w:pPr>
        <w:keepNext/>
        <w:keepLines/>
        <w:pageBreakBefore w:val="0"/>
        <w:numPr>
          <w:ilvl w:val="1"/>
          <w:numId w:val="3"/>
        </w:numPr>
        <w:kinsoku/>
        <w:wordWrap/>
        <w:overflowPunct/>
        <w:topLinePunct w:val="0"/>
        <w:bidi w:val="0"/>
        <w:snapToGrid/>
        <w:spacing w:line="360" w:lineRule="auto"/>
        <w:jc w:val="left"/>
        <w:textAlignment w:val="auto"/>
        <w:outlineLvl w:val="1"/>
        <w:rPr>
          <w:rFonts w:ascii="宋体" w:hAnsi="宋体"/>
          <w:b/>
          <w:bCs/>
          <w:sz w:val="28"/>
          <w:szCs w:val="28"/>
        </w:rPr>
      </w:pPr>
      <w:bookmarkStart w:id="105" w:name="_Toc217446078"/>
      <w:bookmarkStart w:id="106" w:name="_Toc32086"/>
      <w:r>
        <w:rPr>
          <w:rFonts w:hint="eastAsia" w:ascii="宋体" w:hAnsi="宋体"/>
          <w:b/>
          <w:bCs/>
          <w:sz w:val="28"/>
          <w:szCs w:val="28"/>
        </w:rPr>
        <w:t>询问、质疑和投诉</w:t>
      </w:r>
      <w:bookmarkEnd w:id="105"/>
      <w:bookmarkEnd w:id="106"/>
      <w:bookmarkStart w:id="107" w:name="_Toc217446079"/>
    </w:p>
    <w:bookmarkEnd w:id="100"/>
    <w:bookmarkEnd w:id="101"/>
    <w:bookmarkEnd w:id="107"/>
    <w:p>
      <w:pPr>
        <w:pageBreakBefore w:val="0"/>
        <w:numPr>
          <w:ilvl w:val="0"/>
          <w:numId w:val="29"/>
        </w:numPr>
        <w:kinsoku/>
        <w:wordWrap/>
        <w:overflowPunct/>
        <w:topLinePunct w:val="0"/>
        <w:bidi w:val="0"/>
        <w:snapToGrid/>
        <w:spacing w:line="360" w:lineRule="auto"/>
        <w:ind w:left="0" w:firstLine="567"/>
        <w:jc w:val="left"/>
        <w:textAlignment w:val="auto"/>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pageBreakBefore w:val="0"/>
        <w:numPr>
          <w:ilvl w:val="0"/>
          <w:numId w:val="29"/>
        </w:numPr>
        <w:kinsoku/>
        <w:wordWrap/>
        <w:overflowPunct/>
        <w:topLinePunct w:val="0"/>
        <w:bidi w:val="0"/>
        <w:snapToGrid/>
        <w:spacing w:line="360" w:lineRule="auto"/>
        <w:ind w:left="0" w:firstLine="567"/>
        <w:jc w:val="left"/>
        <w:textAlignment w:val="auto"/>
        <w:rPr>
          <w:sz w:val="28"/>
          <w:szCs w:val="28"/>
        </w:rPr>
      </w:pPr>
      <w:r>
        <w:rPr>
          <w:rFonts w:hint="eastAsia"/>
          <w:sz w:val="28"/>
          <w:szCs w:val="28"/>
        </w:rPr>
        <w:t>供应商</w:t>
      </w:r>
      <w:r>
        <w:rPr>
          <w:rFonts w:hint="eastAsia" w:ascii="宋体" w:hAnsi="宋体"/>
          <w:sz w:val="28"/>
          <w:szCs w:val="28"/>
        </w:rPr>
        <w:t>询问、质疑的对象</w:t>
      </w:r>
    </w:p>
    <w:p>
      <w:pPr>
        <w:pStyle w:val="25"/>
        <w:pageBreakBefore w:val="0"/>
        <w:numPr>
          <w:ilvl w:val="1"/>
          <w:numId w:val="30"/>
        </w:numPr>
        <w:tabs>
          <w:tab w:val="left" w:pos="1134"/>
        </w:tabs>
        <w:kinsoku/>
        <w:wordWrap/>
        <w:overflowPunct/>
        <w:topLinePunct w:val="0"/>
        <w:bidi w:val="0"/>
        <w:snapToGrid/>
        <w:spacing w:after="0" w:line="360" w:lineRule="auto"/>
        <w:ind w:left="0" w:leftChars="0" w:firstLine="567"/>
        <w:textAlignment w:val="auto"/>
        <w:rPr>
          <w:rFonts w:ascii="宋体" w:hAnsi="宋体"/>
          <w:sz w:val="28"/>
          <w:szCs w:val="28"/>
        </w:rPr>
      </w:pPr>
      <w:r>
        <w:rPr>
          <w:rFonts w:hint="eastAsia" w:ascii="宋体" w:hAnsi="宋体"/>
          <w:sz w:val="28"/>
          <w:szCs w:val="28"/>
        </w:rPr>
        <w:t>供应商对采购文件中供应商参加本次政府采购活动应当具备的条件，项目技术、服务、商务及其他要求，评审办法和标准，</w:t>
      </w:r>
      <w:r>
        <w:rPr>
          <w:rFonts w:hint="eastAsia" w:cs="Helvetica"/>
          <w:sz w:val="28"/>
          <w:szCs w:val="28"/>
        </w:rPr>
        <w:t>采购合同格式以及关于资格审查、中标（成交）结果提出询问或质疑的</w:t>
      </w:r>
      <w:r>
        <w:rPr>
          <w:rFonts w:hint="eastAsia" w:ascii="宋体" w:hAnsi="宋体"/>
          <w:sz w:val="28"/>
          <w:szCs w:val="28"/>
        </w:rPr>
        <w:t>，应通过</w:t>
      </w:r>
      <w:r>
        <w:rPr>
          <w:rFonts w:hint="eastAsia" w:cs="Helvetica"/>
          <w:sz w:val="28"/>
          <w:szCs w:val="28"/>
        </w:rPr>
        <w:t>“政府采购云平台”</w:t>
      </w:r>
      <w:r>
        <w:rPr>
          <w:rFonts w:hint="eastAsia" w:ascii="宋体" w:hAnsi="宋体"/>
          <w:sz w:val="28"/>
          <w:szCs w:val="28"/>
        </w:rPr>
        <w:t>向采购人提出；</w:t>
      </w:r>
    </w:p>
    <w:p>
      <w:pPr>
        <w:pStyle w:val="25"/>
        <w:pageBreakBefore w:val="0"/>
        <w:numPr>
          <w:ilvl w:val="1"/>
          <w:numId w:val="30"/>
        </w:numPr>
        <w:tabs>
          <w:tab w:val="left" w:pos="1134"/>
        </w:tabs>
        <w:kinsoku/>
        <w:wordWrap/>
        <w:overflowPunct/>
        <w:topLinePunct w:val="0"/>
        <w:bidi w:val="0"/>
        <w:snapToGrid/>
        <w:spacing w:after="0" w:line="360" w:lineRule="auto"/>
        <w:ind w:left="0" w:leftChars="0" w:firstLine="567"/>
        <w:textAlignment w:val="auto"/>
        <w:rPr>
          <w:rFonts w:ascii="宋体" w:hAnsi="宋体"/>
          <w:sz w:val="28"/>
          <w:szCs w:val="28"/>
        </w:rPr>
      </w:pPr>
      <w:r>
        <w:rPr>
          <w:rFonts w:hint="eastAsia" w:ascii="宋体" w:hAnsi="宋体"/>
          <w:sz w:val="28"/>
          <w:szCs w:val="28"/>
        </w:rPr>
        <w:t>供应商对除上述采购文件中的其他内容，</w:t>
      </w:r>
      <w:r>
        <w:rPr>
          <w:rFonts w:hint="eastAsia" w:cs="Helvetica"/>
          <w:sz w:val="28"/>
          <w:szCs w:val="28"/>
        </w:rPr>
        <w:t>采购文件中采购程序、采购文件中供应商须知、响应文件格式、以及开标过程程序提出询问或质疑的，</w:t>
      </w:r>
      <w:r>
        <w:rPr>
          <w:rFonts w:hint="eastAsia" w:ascii="宋体" w:hAnsi="宋体"/>
          <w:sz w:val="28"/>
          <w:szCs w:val="28"/>
        </w:rPr>
        <w:t>应通过</w:t>
      </w:r>
      <w:r>
        <w:rPr>
          <w:rFonts w:hint="eastAsia" w:cs="Helvetica"/>
          <w:sz w:val="28"/>
          <w:szCs w:val="28"/>
        </w:rPr>
        <w:t>“政府采购云平台”</w:t>
      </w:r>
      <w:r>
        <w:rPr>
          <w:rFonts w:hint="eastAsia" w:ascii="宋体" w:hAnsi="宋体"/>
          <w:sz w:val="28"/>
          <w:szCs w:val="28"/>
        </w:rPr>
        <w:t>向区公资交易中心提出。</w:t>
      </w:r>
    </w:p>
    <w:p>
      <w:pPr>
        <w:pageBreakBefore w:val="0"/>
        <w:numPr>
          <w:ilvl w:val="0"/>
          <w:numId w:val="29"/>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ageBreakBefore w:val="0"/>
        <w:numPr>
          <w:ilvl w:val="0"/>
          <w:numId w:val="29"/>
        </w:numPr>
        <w:tabs>
          <w:tab w:val="left" w:pos="1134"/>
        </w:tabs>
        <w:kinsoku/>
        <w:wordWrap/>
        <w:overflowPunct/>
        <w:topLinePunct w:val="0"/>
        <w:bidi w:val="0"/>
        <w:snapToGrid/>
        <w:spacing w:line="360" w:lineRule="auto"/>
        <w:ind w:left="0" w:firstLine="567"/>
        <w:textAlignment w:val="auto"/>
        <w:rPr>
          <w:rFonts w:ascii="宋体" w:hAnsi="宋体"/>
          <w:sz w:val="28"/>
          <w:szCs w:val="28"/>
        </w:rPr>
      </w:pPr>
      <w:r>
        <w:rPr>
          <w:rFonts w:hint="eastAsia" w:ascii="宋体" w:hAnsi="宋体"/>
          <w:sz w:val="28"/>
          <w:szCs w:val="28"/>
        </w:rPr>
        <w:t>供应商应在法定质疑期内一次性提出针对同一采购程序环节的质疑。</w:t>
      </w:r>
    </w:p>
    <w:p>
      <w:pPr>
        <w:keepNext w:val="0"/>
        <w:keepLines w:val="0"/>
        <w:pageBreakBefore w:val="0"/>
        <w:widowControl w:val="0"/>
        <w:numPr>
          <w:ilvl w:val="0"/>
          <w:numId w:val="29"/>
        </w:numPr>
        <w:tabs>
          <w:tab w:val="left" w:pos="1134"/>
        </w:tabs>
        <w:kinsoku/>
        <w:wordWrap/>
        <w:overflowPunct/>
        <w:topLinePunct w:val="0"/>
        <w:autoSpaceDE/>
        <w:autoSpaceDN/>
        <w:bidi w:val="0"/>
        <w:adjustRightInd/>
        <w:snapToGrid/>
        <w:spacing w:line="360" w:lineRule="auto"/>
        <w:ind w:left="0" w:firstLine="567"/>
        <w:textAlignment w:val="auto"/>
        <w:rPr>
          <w:rFonts w:ascii="宋体" w:hAnsi="宋体"/>
          <w:sz w:val="28"/>
          <w:szCs w:val="28"/>
        </w:rPr>
      </w:pPr>
      <w:r>
        <w:rPr>
          <w:rFonts w:hint="eastAsia" w:ascii="宋体" w:hAnsi="宋体"/>
          <w:sz w:val="28"/>
          <w:szCs w:val="28"/>
        </w:rPr>
        <w:t>供应商提出质疑时应当准备的资料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（一）质疑书正本1份；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（二）法定代表人授权委托书1份（委托代理人办理质疑事宜的需提供）；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（三）营业执照或法人证书复印件1份（加盖公章）；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（四）法定代表人身份证复印件1份；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（五）委托代理人身份证复印件1份（委托代理人办理质疑事宜的需提供）；</w:t>
      </w:r>
    </w:p>
    <w:p>
      <w:pPr>
        <w:pStyle w:val="25"/>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after="0" w:line="360" w:lineRule="auto"/>
        <w:ind w:left="567" w:leftChars="0"/>
        <w:textAlignment w:val="auto"/>
        <w:rPr>
          <w:rFonts w:ascii="宋体" w:hAnsi="宋体"/>
          <w:sz w:val="28"/>
          <w:szCs w:val="28"/>
        </w:rPr>
      </w:pPr>
      <w:r>
        <w:rPr>
          <w:rFonts w:hint="eastAsia" w:ascii="宋体" w:hAnsi="宋体" w:eastAsia="宋体" w:cs="Helvetica"/>
          <w:color w:val="auto"/>
          <w:kern w:val="0"/>
          <w:sz w:val="28"/>
          <w:szCs w:val="28"/>
          <w:lang w:val="en-US" w:eastAsia="zh-CN" w:bidi="ar-SA"/>
        </w:rPr>
        <w:t>（六）针对质疑事项必要的证明材料（加盖公章）。</w:t>
      </w:r>
    </w:p>
    <w:p>
      <w:pPr>
        <w:keepNext w:val="0"/>
        <w:keepLines w:val="0"/>
        <w:pageBreakBefore w:val="0"/>
        <w:widowControl w:val="0"/>
        <w:numPr>
          <w:ilvl w:val="0"/>
          <w:numId w:val="29"/>
        </w:numPr>
        <w:tabs>
          <w:tab w:val="left" w:pos="1134"/>
        </w:tabs>
        <w:kinsoku/>
        <w:wordWrap/>
        <w:overflowPunct/>
        <w:topLinePunct w:val="0"/>
        <w:autoSpaceDE/>
        <w:autoSpaceDN/>
        <w:bidi w:val="0"/>
        <w:adjustRightInd/>
        <w:snapToGrid/>
        <w:spacing w:line="360" w:lineRule="auto"/>
        <w:ind w:left="0" w:firstLine="567"/>
        <w:textAlignment w:val="auto"/>
        <w:rPr>
          <w:rFonts w:ascii="宋体" w:hAnsi="宋体"/>
          <w:sz w:val="28"/>
          <w:szCs w:val="28"/>
        </w:rPr>
      </w:pPr>
      <w:r>
        <w:rPr>
          <w:rFonts w:hint="eastAsia" w:ascii="宋体" w:hAnsi="宋体"/>
          <w:sz w:val="28"/>
          <w:szCs w:val="28"/>
        </w:rPr>
        <w:t>供应商对采购人或区公资交易中心的质疑答复不满意，或者采购人或区公资交易中心未在规定期限内作出答复的，供应商可以在答复期满后15个工作日内向同级财政部门提起投诉。</w:t>
      </w:r>
    </w:p>
    <w:p>
      <w:pPr>
        <w:keepNext/>
        <w:keepLines/>
        <w:pageBreakBefore w:val="0"/>
        <w:numPr>
          <w:ilvl w:val="1"/>
          <w:numId w:val="3"/>
        </w:numPr>
        <w:kinsoku/>
        <w:wordWrap/>
        <w:overflowPunct/>
        <w:topLinePunct w:val="0"/>
        <w:bidi w:val="0"/>
        <w:snapToGrid/>
        <w:spacing w:line="360" w:lineRule="auto"/>
        <w:jc w:val="left"/>
        <w:textAlignment w:val="auto"/>
        <w:outlineLvl w:val="1"/>
        <w:rPr>
          <w:rFonts w:ascii="宋体" w:hAnsi="宋体"/>
          <w:b/>
          <w:bCs/>
          <w:sz w:val="28"/>
          <w:szCs w:val="28"/>
        </w:rPr>
      </w:pPr>
      <w:bookmarkStart w:id="108" w:name="_Toc2864"/>
      <w:r>
        <w:rPr>
          <w:rFonts w:hint="eastAsia" w:ascii="宋体" w:hAnsi="宋体"/>
          <w:b/>
          <w:bCs/>
          <w:sz w:val="28"/>
          <w:szCs w:val="28"/>
        </w:rPr>
        <w:t>中小企业政府采购信用融资</w:t>
      </w:r>
      <w:bookmarkEnd w:id="108"/>
    </w:p>
    <w:p>
      <w:pPr>
        <w:pageBreakBefore w:val="0"/>
        <w:tabs>
          <w:tab w:val="left" w:pos="1134"/>
        </w:tabs>
        <w:kinsoku/>
        <w:wordWrap/>
        <w:overflowPunct/>
        <w:topLinePunct w:val="0"/>
        <w:bidi w:val="0"/>
        <w:snapToGrid/>
        <w:spacing w:line="360" w:lineRule="auto"/>
        <w:ind w:firstLine="560" w:firstLineChars="200"/>
        <w:textAlignment w:val="auto"/>
        <w:rPr>
          <w:rFonts w:hint="eastAsia"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本项目属于政府采购信用融资业务项目，融资利率上浮比例不超过人民银行同期贷款基准利率30%，银行机构名单联系方式见附件1。</w:t>
      </w: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keepNext/>
        <w:keepLines/>
        <w:numPr>
          <w:ilvl w:val="0"/>
          <w:numId w:val="3"/>
        </w:numPr>
        <w:spacing w:before="340" w:after="330" w:line="400" w:lineRule="exact"/>
        <w:ind w:left="567"/>
        <w:jc w:val="center"/>
        <w:outlineLvl w:val="0"/>
        <w:rPr>
          <w:rFonts w:ascii="宋体" w:hAnsi="宋体"/>
          <w:b/>
          <w:bCs/>
          <w:spacing w:val="-20"/>
          <w:kern w:val="44"/>
          <w:sz w:val="32"/>
          <w:szCs w:val="32"/>
        </w:rPr>
      </w:pPr>
      <w:bookmarkStart w:id="109" w:name="_Toc315871047"/>
      <w:bookmarkEnd w:id="109"/>
      <w:bookmarkStart w:id="110" w:name="_Toc315871048"/>
      <w:bookmarkEnd w:id="110"/>
      <w:bookmarkStart w:id="111" w:name="_Toc316292051"/>
      <w:bookmarkEnd w:id="111"/>
      <w:bookmarkStart w:id="112" w:name="_Toc315871045"/>
      <w:bookmarkEnd w:id="112"/>
      <w:bookmarkStart w:id="113" w:name="_Toc316292052"/>
      <w:bookmarkEnd w:id="113"/>
      <w:bookmarkStart w:id="114" w:name="_Toc315871046"/>
      <w:bookmarkEnd w:id="114"/>
      <w:bookmarkStart w:id="115" w:name="_Toc316292049"/>
      <w:bookmarkEnd w:id="115"/>
      <w:bookmarkStart w:id="116" w:name="_Toc315871050"/>
      <w:bookmarkEnd w:id="116"/>
      <w:bookmarkStart w:id="117" w:name="_Toc316292048"/>
      <w:bookmarkEnd w:id="117"/>
      <w:bookmarkStart w:id="118" w:name="_Toc316292050"/>
      <w:bookmarkEnd w:id="118"/>
      <w:bookmarkStart w:id="119" w:name="_Toc315871049"/>
      <w:bookmarkEnd w:id="119"/>
      <w:bookmarkStart w:id="120" w:name="_Toc17248"/>
      <w:r>
        <w:rPr>
          <w:rFonts w:hint="eastAsia" w:ascii="宋体" w:hAnsi="宋体"/>
          <w:b/>
          <w:bCs/>
          <w:spacing w:val="-20"/>
          <w:kern w:val="44"/>
          <w:sz w:val="32"/>
          <w:szCs w:val="32"/>
        </w:rPr>
        <w:t>投标文件格式</w:t>
      </w:r>
      <w:bookmarkEnd w:id="120"/>
    </w:p>
    <w:p>
      <w:pPr>
        <w:keepNext/>
        <w:keepLines/>
        <w:numPr>
          <w:ilvl w:val="1"/>
          <w:numId w:val="3"/>
        </w:numPr>
        <w:spacing w:before="260" w:after="260" w:line="360" w:lineRule="auto"/>
        <w:jc w:val="left"/>
        <w:outlineLvl w:val="1"/>
        <w:rPr>
          <w:rFonts w:ascii="宋体" w:hAnsi="宋体"/>
          <w:b/>
          <w:bCs/>
          <w:sz w:val="28"/>
          <w:szCs w:val="28"/>
        </w:rPr>
      </w:pPr>
      <w:bookmarkStart w:id="121" w:name="_Toc8649"/>
      <w:r>
        <w:rPr>
          <w:rFonts w:hint="eastAsia" w:ascii="宋体" w:hAnsi="宋体"/>
          <w:b/>
          <w:bCs/>
          <w:sz w:val="28"/>
          <w:szCs w:val="28"/>
        </w:rPr>
        <w:t>投标文件封面格式</w:t>
      </w:r>
      <w:bookmarkEnd w:id="121"/>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成都市双流区妇幼保健院二期业务楼第一批办公家具采购项目（第三次）</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双流政采（2021）A0060号-1</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期：XXXX年XX月XX日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pageBreakBefore w:val="0"/>
        <w:widowControl w:val="0"/>
        <w:numPr>
          <w:ilvl w:val="1"/>
          <w:numId w:val="3"/>
        </w:numPr>
        <w:kinsoku/>
        <w:wordWrap/>
        <w:overflowPunct/>
        <w:topLinePunct w:val="0"/>
        <w:autoSpaceDE/>
        <w:autoSpaceDN/>
        <w:bidi w:val="0"/>
        <w:adjustRightInd/>
        <w:snapToGrid/>
        <w:spacing w:line="360" w:lineRule="auto"/>
        <w:ind w:left="567" w:hanging="567"/>
        <w:jc w:val="left"/>
        <w:textAlignment w:val="auto"/>
        <w:outlineLvl w:val="1"/>
        <w:rPr>
          <w:rFonts w:ascii="宋体" w:hAnsi="宋体"/>
          <w:b/>
          <w:bCs/>
          <w:sz w:val="28"/>
          <w:szCs w:val="28"/>
        </w:rPr>
      </w:pPr>
      <w:bookmarkStart w:id="122" w:name="_Toc11542"/>
      <w:r>
        <w:rPr>
          <w:rFonts w:hint="eastAsia" w:ascii="宋体" w:hAnsi="宋体"/>
          <w:b/>
          <w:bCs/>
          <w:sz w:val="28"/>
          <w:szCs w:val="28"/>
        </w:rPr>
        <w:t>资格响应文件</w:t>
      </w:r>
      <w:bookmarkEnd w:id="122"/>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关于投标人资格声明的函</w:t>
      </w:r>
    </w:p>
    <w:p>
      <w:pPr>
        <w:spacing w:line="360" w:lineRule="auto"/>
        <w:rPr>
          <w:rFonts w:ascii="宋体" w:hAnsi="宋体"/>
          <w:sz w:val="28"/>
          <w:szCs w:val="28"/>
        </w:rPr>
      </w:pPr>
      <w:bookmarkStart w:id="123" w:name="_Toc119296788"/>
      <w:bookmarkStart w:id="124" w:name="_Toc119295087"/>
      <w:bookmarkStart w:id="125" w:name="_Toc146903609"/>
      <w:bookmarkStart w:id="126" w:name="_Toc119203988"/>
      <w:bookmarkStart w:id="127" w:name="_Toc52184753"/>
      <w:r>
        <w:rPr>
          <w:rFonts w:hint="eastAsia" w:ascii="宋体" w:hAnsi="宋体"/>
          <w:sz w:val="28"/>
          <w:szCs w:val="28"/>
        </w:rPr>
        <w:t>致：成都市双流区公共资源交易服务中心</w:t>
      </w:r>
    </w:p>
    <w:p>
      <w:pPr>
        <w:spacing w:line="360" w:lineRule="auto"/>
        <w:ind w:firstLine="565" w:firstLineChars="202"/>
        <w:rPr>
          <w:rFonts w:ascii="宋体" w:hAnsi="宋体"/>
          <w:sz w:val="28"/>
          <w:szCs w:val="28"/>
        </w:rPr>
      </w:pPr>
      <w:bookmarkStart w:id="128" w:name="_Toc238581783"/>
      <w:r>
        <w:rPr>
          <w:rFonts w:hint="eastAsia" w:ascii="宋体" w:hAnsi="宋体"/>
          <w:sz w:val="28"/>
          <w:szCs w:val="28"/>
        </w:rPr>
        <w:t>关于我方对</w:t>
      </w:r>
      <w:r>
        <w:rPr>
          <w:rFonts w:hint="eastAsia" w:ascii="宋体" w:hAnsi="宋体"/>
          <w:b/>
          <w:sz w:val="28"/>
          <w:szCs w:val="28"/>
          <w:u w:val="single"/>
          <w:lang w:eastAsia="zh-CN"/>
        </w:rPr>
        <w:t>成都市双流区妇幼保健院二期业务楼第一批办公家具采购项目（第三次）</w:t>
      </w:r>
      <w:r>
        <w:rPr>
          <w:rFonts w:hint="eastAsia" w:ascii="宋体" w:hAnsi="宋体"/>
          <w:b/>
          <w:sz w:val="28"/>
          <w:szCs w:val="28"/>
          <w:u w:val="single"/>
        </w:rPr>
        <w:t>（项目编号：</w:t>
      </w:r>
      <w:r>
        <w:rPr>
          <w:rFonts w:hint="eastAsia" w:ascii="宋体" w:hAnsi="宋体"/>
          <w:b/>
          <w:sz w:val="28"/>
          <w:szCs w:val="28"/>
          <w:u w:val="single"/>
          <w:lang w:eastAsia="zh-CN"/>
        </w:rPr>
        <w:t>双流政采（2021）A0060号-1</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8"/>
    </w:p>
    <w:p>
      <w:pPr>
        <w:widowControl/>
        <w:numPr>
          <w:ilvl w:val="2"/>
          <w:numId w:val="31"/>
        </w:numPr>
        <w:spacing w:line="360" w:lineRule="auto"/>
        <w:ind w:left="0" w:firstLine="560" w:firstLineChars="200"/>
        <w:rPr>
          <w:rFonts w:ascii="宋体" w:hAnsi="宋体"/>
          <w:sz w:val="28"/>
          <w:szCs w:val="28"/>
        </w:rPr>
      </w:pPr>
      <w:bookmarkStart w:id="129" w:name="_Toc238581784"/>
      <w:r>
        <w:rPr>
          <w:rFonts w:hint="eastAsia" w:ascii="宋体" w:hAnsi="宋体"/>
          <w:sz w:val="28"/>
          <w:szCs w:val="28"/>
        </w:rPr>
        <w:t>投标人名称及概况：</w:t>
      </w:r>
      <w:bookmarkEnd w:id="123"/>
      <w:bookmarkEnd w:id="124"/>
      <w:bookmarkEnd w:id="125"/>
      <w:bookmarkEnd w:id="126"/>
      <w:bookmarkEnd w:id="127"/>
      <w:bookmarkEnd w:id="129"/>
    </w:p>
    <w:p>
      <w:pPr>
        <w:widowControl/>
        <w:numPr>
          <w:ilvl w:val="0"/>
          <w:numId w:val="32"/>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2"/>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2"/>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2"/>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1"/>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bCs/>
          <w:sz w:val="28"/>
        </w:rPr>
      </w:pPr>
      <w:r>
        <w:rPr>
          <w:rFonts w:hint="eastAsia" w:ascii="宋体" w:hAnsi="宋体"/>
          <w:bCs/>
          <w:sz w:val="28"/>
          <w:szCs w:val="28"/>
        </w:rPr>
        <w:t>日    期：</w:t>
      </w:r>
      <w:r>
        <w:rPr>
          <w:rFonts w:hint="eastAsia" w:ascii="宋体" w:hAnsi="宋体"/>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pP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致：成都市双流区公共资源交易服务中心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成都市双流区妇幼保健院二期业务楼第一批办公家具采购项目（第三次）</w:t>
      </w:r>
      <w:r>
        <w:rPr>
          <w:rFonts w:hint="eastAsia" w:ascii="宋体" w:hAnsi="宋体"/>
          <w:b/>
          <w:sz w:val="28"/>
          <w:szCs w:val="28"/>
          <w:u w:val="single"/>
        </w:rPr>
        <w:t>（项目编号：</w:t>
      </w:r>
      <w:r>
        <w:rPr>
          <w:rFonts w:hint="eastAsia" w:ascii="宋体" w:hAnsi="宋体"/>
          <w:b/>
          <w:sz w:val="28"/>
          <w:szCs w:val="28"/>
          <w:u w:val="single"/>
          <w:lang w:eastAsia="zh-CN"/>
        </w:rPr>
        <w:t>双流政采（2021）A0060号-1</w:t>
      </w:r>
      <w:r>
        <w:rPr>
          <w:rFonts w:hint="eastAsia" w:ascii="宋体" w:hAnsi="宋体"/>
          <w:b/>
          <w:sz w:val="28"/>
          <w:szCs w:val="28"/>
          <w:u w:val="single"/>
        </w:rPr>
        <w:t>）</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w:t>
      </w:r>
      <w:r>
        <w:rPr>
          <w:rFonts w:hint="eastAsia" w:ascii="宋体" w:hAnsi="宋体"/>
          <w:sz w:val="28"/>
          <w:szCs w:val="28"/>
          <w:u w:val="single"/>
        </w:rPr>
        <w:t>XXXX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 xml:space="preserve"> </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
      <w:pPr>
        <w:pStyle w:val="2"/>
      </w:pPr>
    </w:p>
    <w:p/>
    <w:p>
      <w:pPr>
        <w:pStyle w:val="2"/>
      </w:pPr>
    </w:p>
    <w:p/>
    <w:p>
      <w:pPr>
        <w:pStyle w:val="2"/>
      </w:pPr>
    </w:p>
    <w:p/>
    <w:p>
      <w:pPr>
        <w:pStyle w:val="2"/>
      </w:pPr>
    </w:p>
    <w:p>
      <w:pPr>
        <w:pStyle w:val="2"/>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spacing w:line="480" w:lineRule="exact"/>
        <w:ind w:firstLine="561"/>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bCs/>
          <w:sz w:val="28"/>
          <w:szCs w:val="28"/>
          <w:u w:val="single"/>
        </w:rPr>
        <w:t>成都市双流区妇幼保健院</w:t>
      </w:r>
      <w:r>
        <w:rPr>
          <w:rFonts w:hint="eastAsia" w:ascii="宋体" w:hAnsi="宋体"/>
          <w:sz w:val="28"/>
          <w:szCs w:val="28"/>
        </w:rPr>
        <w:t>的</w:t>
      </w:r>
      <w:r>
        <w:rPr>
          <w:rFonts w:hint="eastAsia" w:ascii="宋体" w:hAnsi="宋体"/>
          <w:b/>
          <w:bCs/>
          <w:sz w:val="28"/>
          <w:szCs w:val="28"/>
          <w:u w:val="single"/>
          <w:lang w:eastAsia="zh-CN"/>
        </w:rPr>
        <w:t>成都市双流区妇幼保健院二期业务楼第一批办公家具采购项目（第三次）</w:t>
      </w:r>
      <w:r>
        <w:rPr>
          <w:rFonts w:hint="eastAsia" w:ascii="宋体" w:hAnsi="宋体"/>
          <w:sz w:val="28"/>
          <w:szCs w:val="28"/>
        </w:rPr>
        <w:t>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numPr>
          <w:ilvl w:val="0"/>
          <w:numId w:val="33"/>
        </w:numPr>
        <w:spacing w:line="480" w:lineRule="exact"/>
        <w:ind w:firstLine="562" w:firstLineChars="200"/>
        <w:rPr>
          <w:rFonts w:ascii="宋体" w:hAnsi="宋体"/>
          <w:sz w:val="28"/>
          <w:szCs w:val="28"/>
        </w:rPr>
      </w:pPr>
      <w:r>
        <w:rPr>
          <w:rFonts w:hint="eastAsia" w:ascii="宋体" w:hAnsi="宋体"/>
          <w:b/>
          <w:bCs/>
          <w:sz w:val="28"/>
          <w:szCs w:val="28"/>
          <w:u w:val="single"/>
        </w:rPr>
        <w:t xml:space="preserve"> XXXX </w:t>
      </w:r>
      <w:r>
        <w:rPr>
          <w:rFonts w:hint="eastAsia" w:ascii="宋体" w:hAnsi="宋体"/>
          <w:sz w:val="28"/>
          <w:szCs w:val="28"/>
        </w:rPr>
        <w:t>（标的名称），属于</w:t>
      </w:r>
      <w:r>
        <w:rPr>
          <w:rFonts w:hint="eastAsia" w:ascii="宋体" w:hAnsi="宋体"/>
          <w:sz w:val="28"/>
          <w:szCs w:val="28"/>
          <w:u w:val="single"/>
        </w:rPr>
        <w:t xml:space="preserve"> </w:t>
      </w:r>
      <w:r>
        <w:rPr>
          <w:rFonts w:hint="eastAsia" w:ascii="宋体" w:hAnsi="宋体"/>
          <w:b/>
          <w:bCs/>
          <w:sz w:val="28"/>
          <w:szCs w:val="28"/>
          <w:u w:val="single"/>
        </w:rPr>
        <w:t xml:space="preserve">工业 </w:t>
      </w:r>
      <w:r>
        <w:rPr>
          <w:rFonts w:hint="eastAsia" w:ascii="宋体" w:hAnsi="宋体"/>
          <w:sz w:val="28"/>
          <w:szCs w:val="28"/>
        </w:rPr>
        <w:t>行业；制造商为</w:t>
      </w:r>
      <w:r>
        <w:rPr>
          <w:rFonts w:hint="eastAsia" w:ascii="宋体" w:hAnsi="宋体"/>
          <w:sz w:val="28"/>
          <w:szCs w:val="28"/>
          <w:u w:val="single"/>
        </w:rPr>
        <w:t xml:space="preserve"> </w:t>
      </w:r>
      <w:r>
        <w:rPr>
          <w:rFonts w:hint="eastAsia" w:ascii="宋体" w:hAnsi="宋体"/>
          <w:b/>
          <w:bCs/>
          <w:sz w:val="28"/>
          <w:szCs w:val="28"/>
          <w:u w:val="single"/>
        </w:rPr>
        <w:t xml:space="preserve">XXXX </w:t>
      </w:r>
      <w:r>
        <w:rPr>
          <w:rFonts w:hint="eastAsia" w:ascii="宋体" w:hAnsi="宋体"/>
          <w:sz w:val="28"/>
          <w:szCs w:val="28"/>
        </w:rPr>
        <w:t>（企业名称），从业人员</w:t>
      </w:r>
      <w:r>
        <w:rPr>
          <w:rFonts w:hint="eastAsia" w:ascii="宋体" w:hAnsi="宋体"/>
          <w:sz w:val="28"/>
          <w:szCs w:val="28"/>
          <w:u w:val="single"/>
        </w:rPr>
        <w:t>_</w:t>
      </w:r>
      <w:r>
        <w:rPr>
          <w:rFonts w:hint="eastAsia" w:ascii="宋体" w:hAnsi="宋体"/>
          <w:b/>
          <w:bCs/>
          <w:sz w:val="28"/>
          <w:szCs w:val="28"/>
          <w:u w:val="single"/>
        </w:rPr>
        <w:t>XX</w:t>
      </w:r>
      <w:r>
        <w:rPr>
          <w:rFonts w:hint="eastAsia" w:ascii="宋体" w:hAnsi="宋体"/>
          <w:sz w:val="28"/>
          <w:szCs w:val="28"/>
        </w:rPr>
        <w:t>人，营业收入为</w:t>
      </w:r>
      <w:r>
        <w:rPr>
          <w:rFonts w:hint="eastAsia" w:ascii="宋体" w:hAnsi="宋体"/>
          <w:sz w:val="28"/>
          <w:szCs w:val="28"/>
          <w:u w:val="single"/>
        </w:rPr>
        <w:t xml:space="preserve"> </w:t>
      </w:r>
      <w:r>
        <w:rPr>
          <w:rFonts w:hint="eastAsia" w:ascii="宋体" w:hAnsi="宋体"/>
          <w:b/>
          <w:bCs/>
          <w:sz w:val="28"/>
          <w:szCs w:val="28"/>
          <w:u w:val="single"/>
        </w:rPr>
        <w:t xml:space="preserve">XXXX </w:t>
      </w:r>
      <w:r>
        <w:rPr>
          <w:rFonts w:hint="eastAsia" w:ascii="宋体" w:hAnsi="宋体"/>
          <w:sz w:val="28"/>
          <w:szCs w:val="28"/>
        </w:rPr>
        <w:t>万元，资产总额为</w:t>
      </w:r>
      <w:r>
        <w:rPr>
          <w:rFonts w:hint="eastAsia" w:ascii="宋体" w:hAnsi="宋体"/>
          <w:sz w:val="28"/>
          <w:szCs w:val="28"/>
          <w:u w:val="single"/>
        </w:rPr>
        <w:t xml:space="preserve"> </w:t>
      </w:r>
      <w:r>
        <w:rPr>
          <w:rFonts w:hint="eastAsia" w:ascii="宋体" w:hAnsi="宋体"/>
          <w:b/>
          <w:bCs/>
          <w:sz w:val="28"/>
          <w:szCs w:val="28"/>
          <w:u w:val="single"/>
        </w:rPr>
        <w:t xml:space="preserve">XXXX </w:t>
      </w:r>
      <w:r>
        <w:rPr>
          <w:rFonts w:hint="eastAsia" w:ascii="宋体" w:hAnsi="宋体"/>
          <w:sz w:val="28"/>
          <w:szCs w:val="28"/>
        </w:rPr>
        <w:t>万元，属于</w:t>
      </w:r>
      <w:r>
        <w:rPr>
          <w:rFonts w:hint="eastAsia" w:ascii="宋体" w:hAnsi="宋体"/>
          <w:sz w:val="28"/>
          <w:szCs w:val="28"/>
          <w:u w:val="single"/>
        </w:rPr>
        <w:t xml:space="preserve"> </w:t>
      </w:r>
      <w:r>
        <w:rPr>
          <w:rFonts w:hint="eastAsia" w:ascii="宋体" w:hAnsi="宋体"/>
          <w:b/>
          <w:bCs/>
          <w:sz w:val="28"/>
          <w:szCs w:val="28"/>
          <w:u w:val="single"/>
        </w:rPr>
        <w:t xml:space="preserve">XXXX </w:t>
      </w:r>
      <w:r>
        <w:rPr>
          <w:rFonts w:hint="eastAsia" w:ascii="宋体" w:hAnsi="宋体"/>
          <w:sz w:val="28"/>
          <w:szCs w:val="28"/>
        </w:rPr>
        <w:t>（中型企业、小型企业、微型企业）；</w:t>
      </w:r>
    </w:p>
    <w:p>
      <w:pPr>
        <w:numPr>
          <w:ilvl w:val="0"/>
          <w:numId w:val="33"/>
        </w:numPr>
        <w:spacing w:line="480" w:lineRule="exact"/>
        <w:ind w:firstLine="562" w:firstLineChars="200"/>
        <w:rPr>
          <w:rFonts w:ascii="宋体" w:hAnsi="宋体"/>
          <w:sz w:val="28"/>
          <w:szCs w:val="28"/>
        </w:rPr>
      </w:pPr>
      <w:r>
        <w:rPr>
          <w:rFonts w:hint="eastAsia" w:ascii="宋体" w:hAnsi="宋体"/>
          <w:b/>
          <w:bCs/>
          <w:sz w:val="28"/>
          <w:szCs w:val="28"/>
          <w:u w:val="single"/>
        </w:rPr>
        <w:t xml:space="preserve"> XXXX </w:t>
      </w:r>
      <w:r>
        <w:rPr>
          <w:rFonts w:hint="eastAsia" w:ascii="宋体" w:hAnsi="宋体"/>
          <w:sz w:val="28"/>
          <w:szCs w:val="28"/>
        </w:rPr>
        <w:t>（标的名称），属于</w:t>
      </w:r>
      <w:r>
        <w:rPr>
          <w:rFonts w:hint="eastAsia" w:ascii="宋体" w:hAnsi="宋体"/>
          <w:sz w:val="28"/>
          <w:szCs w:val="28"/>
          <w:u w:val="single"/>
        </w:rPr>
        <w:t xml:space="preserve"> </w:t>
      </w:r>
      <w:r>
        <w:rPr>
          <w:rFonts w:hint="eastAsia" w:ascii="宋体" w:hAnsi="宋体"/>
          <w:b/>
          <w:bCs/>
          <w:sz w:val="28"/>
          <w:szCs w:val="28"/>
          <w:u w:val="single"/>
        </w:rPr>
        <w:t xml:space="preserve">工业 </w:t>
      </w:r>
      <w:r>
        <w:rPr>
          <w:rFonts w:hint="eastAsia" w:ascii="宋体" w:hAnsi="宋体"/>
          <w:sz w:val="28"/>
          <w:szCs w:val="28"/>
        </w:rPr>
        <w:t>行业；制造商为</w:t>
      </w:r>
      <w:r>
        <w:rPr>
          <w:rFonts w:hint="eastAsia" w:ascii="宋体" w:hAnsi="宋体"/>
          <w:sz w:val="28"/>
          <w:szCs w:val="28"/>
          <w:u w:val="single"/>
        </w:rPr>
        <w:t xml:space="preserve"> </w:t>
      </w:r>
      <w:r>
        <w:rPr>
          <w:rFonts w:hint="eastAsia" w:ascii="宋体" w:hAnsi="宋体"/>
          <w:b/>
          <w:bCs/>
          <w:sz w:val="28"/>
          <w:szCs w:val="28"/>
          <w:u w:val="single"/>
        </w:rPr>
        <w:t xml:space="preserve">XXXX </w:t>
      </w:r>
      <w:r>
        <w:rPr>
          <w:rFonts w:hint="eastAsia" w:ascii="宋体" w:hAnsi="宋体"/>
          <w:sz w:val="28"/>
          <w:szCs w:val="28"/>
        </w:rPr>
        <w:t>（企业名称），从业人员</w:t>
      </w:r>
      <w:r>
        <w:rPr>
          <w:rFonts w:hint="eastAsia" w:ascii="宋体" w:hAnsi="宋体"/>
          <w:sz w:val="28"/>
          <w:szCs w:val="28"/>
          <w:u w:val="single"/>
        </w:rPr>
        <w:t>_</w:t>
      </w:r>
      <w:r>
        <w:rPr>
          <w:rFonts w:hint="eastAsia" w:ascii="宋体" w:hAnsi="宋体"/>
          <w:b/>
          <w:bCs/>
          <w:sz w:val="28"/>
          <w:szCs w:val="28"/>
          <w:u w:val="single"/>
        </w:rPr>
        <w:t>XX</w:t>
      </w:r>
      <w:r>
        <w:rPr>
          <w:rFonts w:hint="eastAsia" w:ascii="宋体" w:hAnsi="宋体"/>
          <w:sz w:val="28"/>
          <w:szCs w:val="28"/>
        </w:rPr>
        <w:t>人，营业收入为</w:t>
      </w:r>
      <w:r>
        <w:rPr>
          <w:rFonts w:hint="eastAsia" w:ascii="宋体" w:hAnsi="宋体"/>
          <w:sz w:val="28"/>
          <w:szCs w:val="28"/>
          <w:u w:val="single"/>
        </w:rPr>
        <w:t xml:space="preserve"> </w:t>
      </w:r>
      <w:r>
        <w:rPr>
          <w:rFonts w:hint="eastAsia" w:ascii="宋体" w:hAnsi="宋体"/>
          <w:b/>
          <w:bCs/>
          <w:sz w:val="28"/>
          <w:szCs w:val="28"/>
          <w:u w:val="single"/>
        </w:rPr>
        <w:t xml:space="preserve">XXXX </w:t>
      </w:r>
      <w:r>
        <w:rPr>
          <w:rFonts w:hint="eastAsia" w:ascii="宋体" w:hAnsi="宋体"/>
          <w:sz w:val="28"/>
          <w:szCs w:val="28"/>
        </w:rPr>
        <w:t>万元，资产总额为</w:t>
      </w:r>
      <w:r>
        <w:rPr>
          <w:rFonts w:hint="eastAsia" w:ascii="宋体" w:hAnsi="宋体"/>
          <w:sz w:val="28"/>
          <w:szCs w:val="28"/>
          <w:u w:val="single"/>
        </w:rPr>
        <w:t xml:space="preserve"> </w:t>
      </w:r>
      <w:r>
        <w:rPr>
          <w:rFonts w:hint="eastAsia" w:ascii="宋体" w:hAnsi="宋体"/>
          <w:b/>
          <w:bCs/>
          <w:sz w:val="28"/>
          <w:szCs w:val="28"/>
          <w:u w:val="single"/>
        </w:rPr>
        <w:t xml:space="preserve">XXXX </w:t>
      </w:r>
      <w:r>
        <w:rPr>
          <w:rFonts w:hint="eastAsia" w:ascii="宋体" w:hAnsi="宋体"/>
          <w:sz w:val="28"/>
          <w:szCs w:val="28"/>
        </w:rPr>
        <w:t>万元，属于</w:t>
      </w:r>
      <w:r>
        <w:rPr>
          <w:rFonts w:hint="eastAsia" w:ascii="宋体" w:hAnsi="宋体"/>
          <w:sz w:val="28"/>
          <w:szCs w:val="28"/>
          <w:u w:val="single"/>
        </w:rPr>
        <w:t xml:space="preserve"> </w:t>
      </w:r>
      <w:r>
        <w:rPr>
          <w:rFonts w:hint="eastAsia" w:ascii="宋体" w:hAnsi="宋体"/>
          <w:b/>
          <w:bCs/>
          <w:sz w:val="28"/>
          <w:szCs w:val="28"/>
          <w:u w:val="single"/>
        </w:rPr>
        <w:t xml:space="preserve">XXXX </w:t>
      </w:r>
      <w:r>
        <w:rPr>
          <w:rFonts w:hint="eastAsia" w:ascii="宋体" w:hAnsi="宋体"/>
          <w:sz w:val="28"/>
          <w:szCs w:val="28"/>
        </w:rPr>
        <w:t>（中型企业、小型企业、微型企业）；</w:t>
      </w:r>
    </w:p>
    <w:p>
      <w:pPr>
        <w:spacing w:line="480" w:lineRule="exact"/>
        <w:ind w:firstLine="560" w:firstLineChars="200"/>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center"/>
        <w:rPr>
          <w:rFonts w:ascii="宋体" w:hAnsi="宋体"/>
          <w:sz w:val="28"/>
          <w:szCs w:val="28"/>
        </w:rPr>
      </w:pPr>
      <w:r>
        <w:rPr>
          <w:rFonts w:hint="eastAsia" w:ascii="宋体" w:hAnsi="宋体"/>
          <w:sz w:val="28"/>
          <w:szCs w:val="28"/>
        </w:rPr>
        <w:t xml:space="preserve">                 企业名称：XXXX</w:t>
      </w:r>
    </w:p>
    <w:p>
      <w:pPr>
        <w:spacing w:line="480" w:lineRule="exact"/>
        <w:ind w:firstLine="561"/>
        <w:rPr>
          <w:rFonts w:hint="eastAsia"/>
        </w:rPr>
      </w:pPr>
      <w:r>
        <w:rPr>
          <w:rFonts w:hint="eastAsia" w:ascii="宋体" w:hAnsi="宋体"/>
          <w:sz w:val="28"/>
          <w:szCs w:val="28"/>
        </w:rPr>
        <w:t xml:space="preserve">                             日   期：XXXX年XX月XX日</w:t>
      </w:r>
    </w:p>
    <w:p>
      <w:pPr>
        <w:pStyle w:val="81"/>
        <w:tabs>
          <w:tab w:val="left" w:pos="567"/>
          <w:tab w:val="left" w:pos="709"/>
          <w:tab w:val="left" w:pos="851"/>
        </w:tabs>
        <w:spacing w:line="520" w:lineRule="exact"/>
        <w:ind w:firstLine="442" w:firstLineChars="200"/>
        <w:rPr>
          <w:rFonts w:hint="eastAsia" w:ascii="宋体" w:hAnsi="宋体" w:eastAsia="宋体" w:cs="宋体"/>
          <w:kern w:val="2"/>
          <w:sz w:val="22"/>
          <w:szCs w:val="22"/>
          <w:lang w:val="en-US" w:eastAsia="zh-CN" w:bidi="ar-SA"/>
        </w:rPr>
      </w:pPr>
      <w:r>
        <w:rPr>
          <w:rFonts w:hint="eastAsia" w:ascii="宋体" w:hAnsi="宋体" w:eastAsia="宋体"/>
          <w:b/>
          <w:sz w:val="22"/>
          <w:szCs w:val="22"/>
        </w:rPr>
        <w:t>说明：</w:t>
      </w:r>
      <w:r>
        <w:rPr>
          <w:rFonts w:hint="eastAsia" w:ascii="宋体" w:hAnsi="宋体" w:eastAsia="宋体" w:cs="宋体"/>
          <w:sz w:val="22"/>
          <w:szCs w:val="22"/>
          <w:lang w:val="en-US" w:eastAsia="zh-CN"/>
        </w:rPr>
        <w:t xml:space="preserve"> </w:t>
      </w:r>
      <w:r>
        <w:rPr>
          <w:rFonts w:hint="eastAsia" w:ascii="宋体" w:hAnsi="宋体" w:eastAsia="宋体" w:cs="宋体"/>
          <w:kern w:val="2"/>
          <w:sz w:val="22"/>
          <w:szCs w:val="22"/>
          <w:lang w:val="en-US" w:eastAsia="zh-CN" w:bidi="ar-SA"/>
        </w:rPr>
        <w:t>①本项目为专门面向中小企业，若未提供中小企业声明函，则其投标文件无效。提供了《残疾人福利性单位声明函》或监狱企业证明文件复印件的不需提供；②从业人员、营业收入、资产总额填报上一年度数据，无上一年度数据的新成立的企业可不填报。③投标人参加政府采购活动时，提供虚假中小企业声明函的，以提供虚假材料谋取中标处理。④投标人如为分支机构的，则需提供由总公司出具的中小企业声明函复印件⑤投标人根据《工业和信息化部、国家统计局、国家发展和改革委员会、财政部关于印发中小企业划型标准规定的通知》（工信部联企业[2011]300号）规定的划分标准填写中小企业声明函。</w:t>
      </w: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sz w:val="28"/>
          <w:szCs w:val="28"/>
          <w:u w:val="single"/>
        </w:rPr>
        <w:t>成都市双流区妇幼保健院</w:t>
      </w:r>
      <w:r>
        <w:rPr>
          <w:rFonts w:hint="eastAsia" w:ascii="宋体" w:hAnsi="宋体"/>
          <w:spacing w:val="6"/>
          <w:sz w:val="28"/>
          <w:szCs w:val="28"/>
          <w:u w:val="single"/>
        </w:rPr>
        <w:t>的</w:t>
      </w:r>
      <w:r>
        <w:rPr>
          <w:rFonts w:hint="eastAsia" w:ascii="宋体" w:hAnsi="宋体"/>
          <w:b/>
          <w:bCs/>
          <w:sz w:val="28"/>
          <w:szCs w:val="28"/>
          <w:u w:val="single"/>
          <w:lang w:eastAsia="zh-CN"/>
        </w:rPr>
        <w:t>成都市双流区妇幼保健院二期业务楼第一批办公家具采购项目（第三次）</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tabs>
          <w:tab w:val="left" w:pos="3969"/>
        </w:tabs>
        <w:spacing w:line="588" w:lineRule="exact"/>
        <w:ind w:right="-58"/>
        <w:jc w:val="center"/>
        <w:rPr>
          <w:rFonts w:ascii="宋体" w:hAnsi="宋体"/>
          <w:spacing w:val="6"/>
          <w:sz w:val="28"/>
          <w:szCs w:val="28"/>
        </w:rPr>
      </w:pPr>
    </w:p>
    <w:p>
      <w:pPr>
        <w:tabs>
          <w:tab w:val="left" w:pos="3969"/>
        </w:tabs>
        <w:spacing w:line="588" w:lineRule="exact"/>
        <w:ind w:right="-58"/>
        <w:jc w:val="center"/>
        <w:rPr>
          <w:rFonts w:ascii="宋体" w:hAnsi="宋体"/>
          <w:spacing w:val="6"/>
          <w:sz w:val="28"/>
          <w:szCs w:val="28"/>
        </w:rPr>
      </w:pPr>
      <w:r>
        <w:rPr>
          <w:rFonts w:hint="eastAsia" w:ascii="宋体" w:hAnsi="宋体"/>
          <w:spacing w:val="6"/>
          <w:sz w:val="28"/>
          <w:szCs w:val="28"/>
        </w:rPr>
        <w:t xml:space="preserve">                        单位名称：</w:t>
      </w:r>
      <w:r>
        <w:rPr>
          <w:rFonts w:hint="eastAsia" w:ascii="宋体" w:hAnsi="宋体"/>
          <w:spacing w:val="6"/>
          <w:sz w:val="28"/>
          <w:szCs w:val="28"/>
          <w:u w:val="single"/>
        </w:rPr>
        <w:t>XXXX</w:t>
      </w:r>
    </w:p>
    <w:p>
      <w:pPr>
        <w:tabs>
          <w:tab w:val="left" w:pos="3969"/>
        </w:tabs>
        <w:spacing w:line="588" w:lineRule="exact"/>
        <w:ind w:right="-58"/>
        <w:jc w:val="right"/>
        <w:rPr>
          <w:rFonts w:hint="eastAsia" w:ascii="宋体" w:hAnsi="宋体"/>
          <w:bCs/>
          <w:sz w:val="28"/>
        </w:rPr>
      </w:pPr>
      <w:r>
        <w:rPr>
          <w:rFonts w:hint="eastAsia" w:ascii="宋体" w:hAnsi="宋体"/>
          <w:spacing w:val="6"/>
          <w:sz w:val="28"/>
          <w:szCs w:val="28"/>
        </w:rPr>
        <w:t>日  期：</w:t>
      </w:r>
      <w:r>
        <w:rPr>
          <w:rFonts w:hint="eastAsia" w:ascii="宋体" w:hAnsi="宋体"/>
          <w:spacing w:val="6"/>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pPr>
    </w:p>
    <w:p>
      <w:pPr>
        <w:pStyle w:val="2"/>
      </w:pPr>
    </w:p>
    <w:p>
      <w:pPr>
        <w:spacing w:line="588" w:lineRule="exact"/>
        <w:ind w:firstLine="586" w:firstLineChars="200"/>
        <w:rPr>
          <w:rFonts w:ascii="宋体" w:hAnsi="宋体"/>
          <w:b/>
          <w:spacing w:val="6"/>
          <w:sz w:val="28"/>
          <w:szCs w:val="28"/>
        </w:rPr>
      </w:pPr>
      <w:r>
        <w:rPr>
          <w:rFonts w:hint="eastAsia" w:ascii="宋体" w:hAnsi="宋体"/>
          <w:b/>
          <w:spacing w:val="6"/>
          <w:sz w:val="28"/>
          <w:szCs w:val="28"/>
        </w:rPr>
        <w:t>说明</w:t>
      </w:r>
      <w:r>
        <w:rPr>
          <w:rFonts w:ascii="宋体" w:hAnsi="宋体"/>
          <w:b/>
          <w:spacing w:val="6"/>
          <w:sz w:val="28"/>
          <w:szCs w:val="28"/>
        </w:rPr>
        <w:t>：</w:t>
      </w:r>
      <w:r>
        <w:rPr>
          <w:rFonts w:hint="eastAsia" w:ascii="宋体" w:hAnsi="宋体"/>
          <w:b/>
          <w:spacing w:val="6"/>
          <w:sz w:val="28"/>
          <w:szCs w:val="28"/>
        </w:rPr>
        <w:t>提供了《中小</w:t>
      </w:r>
      <w:r>
        <w:rPr>
          <w:rFonts w:ascii="宋体" w:hAnsi="宋体"/>
          <w:b/>
          <w:spacing w:val="6"/>
          <w:sz w:val="28"/>
          <w:szCs w:val="28"/>
        </w:rPr>
        <w:t>企业声明函</w:t>
      </w:r>
      <w:r>
        <w:rPr>
          <w:rFonts w:hint="eastAsia" w:ascii="宋体" w:hAnsi="宋体"/>
          <w:b/>
          <w:spacing w:val="6"/>
          <w:sz w:val="28"/>
          <w:szCs w:val="28"/>
        </w:rPr>
        <w:t>》或监狱企业证明文件复印件的不需提供。</w:t>
      </w:r>
    </w:p>
    <w:p>
      <w:pPr>
        <w:spacing w:line="588" w:lineRule="exact"/>
        <w:ind w:firstLine="586" w:firstLineChars="200"/>
        <w:rPr>
          <w:rFonts w:ascii="宋体" w:hAnsi="宋体"/>
          <w:b/>
          <w:spacing w:val="6"/>
          <w:sz w:val="28"/>
          <w:szCs w:val="28"/>
        </w:rPr>
      </w:pPr>
    </w:p>
    <w:p>
      <w:pPr>
        <w:tabs>
          <w:tab w:val="left" w:pos="3969"/>
        </w:tabs>
        <w:spacing w:line="588" w:lineRule="exact"/>
        <w:ind w:right="-58"/>
        <w:jc w:val="both"/>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pStyle w:val="2"/>
      </w:pP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投标人按招标文件要求，应提供以下相关资格证明材料：</w:t>
      </w:r>
    </w:p>
    <w:p>
      <w:pPr>
        <w:pStyle w:val="81"/>
        <w:numPr>
          <w:ilvl w:val="0"/>
          <w:numId w:val="34"/>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81"/>
        <w:numPr>
          <w:ilvl w:val="0"/>
          <w:numId w:val="34"/>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营业执照复印件（正本或副本）或法人证书复印件（正本或副本）；</w:t>
      </w:r>
    </w:p>
    <w:p>
      <w:pPr>
        <w:pStyle w:val="81"/>
        <w:numPr>
          <w:ilvl w:val="0"/>
          <w:numId w:val="34"/>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lang w:eastAsia="zh-CN"/>
        </w:rPr>
        <w:t>2020</w:t>
      </w:r>
      <w:r>
        <w:rPr>
          <w:rFonts w:hint="eastAsia" w:ascii="宋体" w:hAnsi="宋体"/>
          <w:sz w:val="28"/>
          <w:szCs w:val="28"/>
        </w:rPr>
        <w:t>会计年度资产负债表复印件</w:t>
      </w:r>
      <w:r>
        <w:rPr>
          <w:rFonts w:hint="eastAsia" w:ascii="宋体" w:hAnsi="宋体"/>
          <w:sz w:val="28"/>
          <w:szCs w:val="28"/>
          <w:lang w:eastAsia="zh-CN"/>
        </w:rPr>
        <w:t>【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r>
        <w:rPr>
          <w:rFonts w:hint="eastAsia" w:ascii="宋体" w:hAnsi="宋体"/>
          <w:sz w:val="28"/>
          <w:szCs w:val="28"/>
        </w:rPr>
        <w:t>；</w:t>
      </w:r>
    </w:p>
    <w:p>
      <w:pPr>
        <w:pStyle w:val="81"/>
        <w:numPr>
          <w:ilvl w:val="0"/>
          <w:numId w:val="34"/>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投标人</w:t>
      </w:r>
      <w:r>
        <w:rPr>
          <w:rFonts w:hint="eastAsia" w:ascii="宋体" w:hAnsi="宋体"/>
          <w:sz w:val="28"/>
          <w:szCs w:val="28"/>
          <w:lang w:eastAsia="zh-CN"/>
        </w:rPr>
        <w:t>缴纳2021年任意时段的税收的银行电子回单或者行政部门出具的纳税证明或完税证明复印件或承诺函（格式自拟）复印件（依法免税的供应商，应提供相应文件证明其依法免税）</w:t>
      </w:r>
      <w:r>
        <w:rPr>
          <w:rFonts w:hint="eastAsia" w:ascii="宋体" w:hAnsi="宋体"/>
          <w:sz w:val="28"/>
          <w:szCs w:val="28"/>
        </w:rPr>
        <w:t>；</w:t>
      </w:r>
    </w:p>
    <w:p>
      <w:pPr>
        <w:pStyle w:val="81"/>
        <w:numPr>
          <w:ilvl w:val="0"/>
          <w:numId w:val="34"/>
        </w:numPr>
        <w:tabs>
          <w:tab w:val="left" w:pos="1134"/>
        </w:tabs>
        <w:spacing w:before="60" w:line="360" w:lineRule="auto"/>
        <w:ind w:left="0" w:firstLine="567" w:firstLineChars="0"/>
        <w:rPr>
          <w:rFonts w:ascii="宋体" w:hAnsi="宋体"/>
          <w:sz w:val="28"/>
          <w:szCs w:val="28"/>
        </w:rPr>
      </w:pPr>
      <w:r>
        <w:rPr>
          <w:rFonts w:hint="eastAsia"/>
          <w:sz w:val="28"/>
          <w:szCs w:val="28"/>
        </w:rPr>
        <w:t>采购人</w:t>
      </w:r>
      <w:r>
        <w:rPr>
          <w:rFonts w:hint="eastAsia" w:ascii="宋体" w:hAnsi="宋体"/>
          <w:kern w:val="0"/>
          <w:sz w:val="28"/>
          <w:szCs w:val="28"/>
        </w:rPr>
        <w:t>对投标人履行合同所必须的设备和专业技术能力无其他特殊要求，投标人具有有效的营业执照或法人证书即可，可不提供其他证明材料；</w:t>
      </w:r>
    </w:p>
    <w:p>
      <w:pPr>
        <w:pStyle w:val="81"/>
        <w:numPr>
          <w:ilvl w:val="0"/>
          <w:numId w:val="34"/>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投标人</w:t>
      </w:r>
      <w:r>
        <w:rPr>
          <w:rFonts w:hint="eastAsia" w:ascii="宋体" w:hAnsi="宋体"/>
          <w:sz w:val="28"/>
          <w:szCs w:val="28"/>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ascii="宋体" w:hAnsi="宋体"/>
          <w:sz w:val="28"/>
          <w:szCs w:val="28"/>
        </w:rPr>
        <w:t>；</w:t>
      </w:r>
    </w:p>
    <w:p>
      <w:pPr>
        <w:pStyle w:val="81"/>
        <w:numPr>
          <w:ilvl w:val="0"/>
          <w:numId w:val="34"/>
        </w:numPr>
        <w:tabs>
          <w:tab w:val="left" w:pos="0"/>
          <w:tab w:val="left" w:pos="1134"/>
        </w:tabs>
        <w:spacing w:before="60" w:line="360" w:lineRule="auto"/>
        <w:ind w:left="0" w:firstLine="546" w:firstLineChars="0"/>
        <w:rPr>
          <w:rFonts w:hint="eastAsia" w:ascii="宋体" w:hAnsi="宋体" w:eastAsia="宋体" w:cs="宋体"/>
          <w:sz w:val="28"/>
          <w:szCs w:val="28"/>
          <w:lang w:eastAsia="zh-CN"/>
        </w:rPr>
      </w:pPr>
      <w:r>
        <w:rPr>
          <w:rFonts w:hint="eastAsia" w:ascii="宋体" w:hAnsi="宋体"/>
          <w:sz w:val="28"/>
          <w:szCs w:val="28"/>
        </w:rPr>
        <w:t>采购人</w:t>
      </w:r>
      <w:r>
        <w:rPr>
          <w:rFonts w:hint="eastAsia" w:ascii="宋体" w:hAnsi="宋体"/>
          <w:sz w:val="28"/>
          <w:szCs w:val="28"/>
          <w:lang w:eastAsia="zh-CN"/>
        </w:rPr>
        <w:t>对法律、行政法规规定的其他条件无其他特殊要求，投标人具有有效的营业执照或法人证书即可，可不提供其他证明材料。</w:t>
      </w: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pStyle w:val="81"/>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eastAsia="zh-CN"/>
        </w:rPr>
      </w:pPr>
    </w:p>
    <w:p>
      <w:pPr>
        <w:keepNext/>
        <w:keepLines/>
        <w:numPr>
          <w:ilvl w:val="1"/>
          <w:numId w:val="3"/>
        </w:numPr>
        <w:spacing w:line="360" w:lineRule="auto"/>
        <w:jc w:val="left"/>
        <w:outlineLvl w:val="1"/>
        <w:rPr>
          <w:rFonts w:ascii="宋体" w:hAnsi="宋体"/>
          <w:b/>
          <w:bCs/>
          <w:sz w:val="28"/>
          <w:szCs w:val="28"/>
        </w:rPr>
      </w:pPr>
      <w:bookmarkStart w:id="130" w:name="_Toc9543"/>
      <w:r>
        <w:rPr>
          <w:rFonts w:hint="eastAsia" w:ascii="宋体" w:hAnsi="宋体"/>
          <w:b/>
          <w:bCs/>
          <w:sz w:val="28"/>
          <w:szCs w:val="28"/>
        </w:rPr>
        <w:t>商务技术</w:t>
      </w:r>
      <w:r>
        <w:rPr>
          <w:rFonts w:ascii="宋体" w:hAnsi="宋体"/>
          <w:b/>
          <w:bCs/>
          <w:sz w:val="28"/>
          <w:szCs w:val="28"/>
        </w:rPr>
        <w:t>响应文件</w:t>
      </w:r>
      <w:bookmarkEnd w:id="130"/>
    </w:p>
    <w:p>
      <w:pPr>
        <w:keepNext/>
        <w:keepLines/>
        <w:numPr>
          <w:ilvl w:val="2"/>
          <w:numId w:val="3"/>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rPr>
        <w:t>成都市双流区公共资源交易服务中心：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成都市双流区妇幼保健院二期业务楼第一批办公家具采购项目（第三次）</w:t>
      </w:r>
      <w:r>
        <w:rPr>
          <w:rFonts w:hint="eastAsia" w:ascii="宋体" w:hAnsi="宋体"/>
          <w:b/>
          <w:bCs/>
          <w:sz w:val="28"/>
          <w:szCs w:val="28"/>
          <w:u w:val="single"/>
        </w:rPr>
        <w:t>”（项目编号：</w:t>
      </w:r>
      <w:r>
        <w:rPr>
          <w:rFonts w:hint="eastAsia" w:ascii="宋体" w:hAnsi="宋体"/>
          <w:b/>
          <w:bCs/>
          <w:sz w:val="28"/>
          <w:szCs w:val="28"/>
          <w:u w:val="single"/>
          <w:lang w:eastAsia="zh-CN"/>
        </w:rPr>
        <w:t>双流政采（2021）A0060号-1</w:t>
      </w:r>
      <w:r>
        <w:rPr>
          <w:rFonts w:hint="eastAsia" w:ascii="宋体" w:hAnsi="宋体"/>
          <w:b/>
          <w:bCs/>
          <w:sz w:val="28"/>
          <w:szCs w:val="28"/>
          <w:u w:val="single"/>
        </w:rPr>
        <w:t>）</w:t>
      </w:r>
      <w:r>
        <w:rPr>
          <w:rFonts w:hint="eastAsia" w:ascii="宋体" w:hAnsi="宋体"/>
          <w:bCs/>
          <w:sz w:val="28"/>
          <w:szCs w:val="28"/>
        </w:rPr>
        <w:t>招标文件，决定参加贵单位组织的本项目投标。</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rPr>
      </w:pPr>
      <w:r>
        <w:rPr>
          <w:rFonts w:hint="eastAsia" w:ascii="宋体" w:hAnsi="宋体"/>
          <w:bCs/>
          <w:sz w:val="28"/>
          <w:szCs w:val="28"/>
        </w:rPr>
        <w:t>日    期：</w:t>
      </w:r>
      <w:r>
        <w:rPr>
          <w:rFonts w:hint="eastAsia" w:ascii="宋体" w:hAnsi="宋体"/>
          <w:bCs/>
          <w:sz w:val="28"/>
          <w:szCs w:val="28"/>
          <w:u w:val="single"/>
        </w:rPr>
        <w:t>XXX</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131" w:name="_Toc265494342"/>
      <w:bookmarkStart w:id="132" w:name="_Toc229802674"/>
      <w:bookmarkStart w:id="133" w:name="_Toc239846734"/>
      <w:bookmarkStart w:id="134" w:name="_Toc231030275"/>
      <w:bookmarkStart w:id="135" w:name="_Toc240865266"/>
      <w:bookmarkStart w:id="136" w:name="_Toc237145395"/>
      <w:bookmarkStart w:id="137" w:name="_Toc314574804"/>
      <w:bookmarkStart w:id="138" w:name="_Toc239849853"/>
      <w:bookmarkStart w:id="139" w:name="_Toc240367172"/>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0" w:name="_Toc263768866"/>
      <w:r>
        <w:rPr>
          <w:rFonts w:hint="eastAsia" w:ascii="宋体" w:hAnsi="宋体"/>
          <w:sz w:val="28"/>
          <w:lang w:val="zh-CN"/>
        </w:rPr>
        <w:t>特此证明。</w:t>
      </w:r>
      <w:bookmarkEnd w:id="14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hint="eastAsia" w:ascii="宋体" w:hAnsi="宋体"/>
          <w:bCs/>
          <w:sz w:val="28"/>
        </w:rPr>
      </w:pPr>
      <w:r>
        <w:rPr>
          <w:rFonts w:hint="eastAsia" w:ascii="宋体" w:hAnsi="宋体"/>
          <w:sz w:val="28"/>
        </w:rPr>
        <w:t>日期：</w:t>
      </w:r>
      <w:r>
        <w:rPr>
          <w:rFonts w:hint="eastAsia" w:ascii="宋体" w:hAnsi="宋体"/>
          <w:bCs/>
          <w:sz w:val="28"/>
          <w:szCs w:val="28"/>
          <w:u w:val="single"/>
        </w:rPr>
        <w:t>XXX</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pStyle w:val="2"/>
        <w:rPr>
          <w:rFonts w:hint="eastAsia" w:ascii="宋体" w:hAnsi="宋体"/>
          <w:bCs/>
          <w:sz w:val="28"/>
        </w:rPr>
      </w:pPr>
    </w:p>
    <w:p/>
    <w:p>
      <w:pPr>
        <w:spacing w:after="180" w:line="360" w:lineRule="auto"/>
        <w:ind w:firstLine="568" w:firstLineChars="202"/>
        <w:rPr>
          <w:rFonts w:hint="eastAsia"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pStyle w:val="2"/>
        <w:rPr>
          <w:rFonts w:hint="eastAsia" w:ascii="宋体" w:hAnsi="宋体"/>
          <w:b/>
          <w:sz w:val="28"/>
          <w:szCs w:val="28"/>
        </w:rPr>
      </w:pPr>
    </w:p>
    <w:p/>
    <w:bookmarkEnd w:id="131"/>
    <w:bookmarkEnd w:id="132"/>
    <w:bookmarkEnd w:id="133"/>
    <w:bookmarkEnd w:id="134"/>
    <w:bookmarkEnd w:id="135"/>
    <w:bookmarkEnd w:id="136"/>
    <w:bookmarkEnd w:id="137"/>
    <w:bookmarkEnd w:id="138"/>
    <w:bookmarkEnd w:id="139"/>
    <w:p>
      <w:pPr>
        <w:keepNext/>
        <w:keepLines/>
        <w:numPr>
          <w:ilvl w:val="2"/>
          <w:numId w:val="3"/>
        </w:numPr>
        <w:spacing w:line="360" w:lineRule="auto"/>
        <w:ind w:left="3119" w:hanging="3119"/>
        <w:outlineLvl w:val="2"/>
        <w:rPr>
          <w:rFonts w:ascii="宋体" w:hAnsi="宋体"/>
          <w:b/>
          <w:bCs/>
          <w:sz w:val="28"/>
          <w:szCs w:val="28"/>
        </w:rPr>
      </w:pPr>
      <w:bookmarkStart w:id="141" w:name="_Toc315871054"/>
      <w:bookmarkEnd w:id="141"/>
      <w:bookmarkStart w:id="142" w:name="_Toc302997926"/>
      <w:bookmarkStart w:id="143" w:name="_Toc263753605"/>
      <w:bookmarkStart w:id="144" w:name="_Toc263768870"/>
      <w:bookmarkStart w:id="145" w:name="_Toc220299393"/>
      <w:bookmarkStart w:id="146" w:name="_Toc217446083"/>
      <w:r>
        <w:rPr>
          <w:rFonts w:hint="eastAsia" w:ascii="宋体" w:hAnsi="宋体"/>
          <w:b/>
          <w:bCs/>
          <w:sz w:val="28"/>
          <w:szCs w:val="28"/>
        </w:rPr>
        <w:t>投标人基本情况表</w:t>
      </w:r>
      <w:bookmarkEnd w:id="142"/>
    </w:p>
    <w:tbl>
      <w:tblPr>
        <w:tblStyle w:val="43"/>
        <w:tblW w:w="8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szCs w:val="28"/>
          <w:u w:val="single"/>
        </w:rPr>
        <w:t>XXX</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p>
      <w:pPr>
        <w:adjustRightInd w:val="0"/>
        <w:spacing w:line="400" w:lineRule="exact"/>
        <w:ind w:firstLine="700" w:firstLineChars="250"/>
        <w:rPr>
          <w:rFonts w:ascii="宋体" w:hAnsi="宋体"/>
          <w:bCs/>
          <w:sz w:val="28"/>
          <w:szCs w:val="28"/>
        </w:rPr>
      </w:pPr>
    </w:p>
    <w:p>
      <w:pPr>
        <w:pStyle w:val="2"/>
      </w:pPr>
    </w:p>
    <w:bookmarkEnd w:id="143"/>
    <w:bookmarkEnd w:id="144"/>
    <w:bookmarkEnd w:id="145"/>
    <w:p>
      <w:pPr>
        <w:keepNext/>
        <w:keepLines/>
        <w:numPr>
          <w:ilvl w:val="2"/>
          <w:numId w:val="3"/>
        </w:numPr>
        <w:spacing w:line="360" w:lineRule="auto"/>
        <w:ind w:left="142" w:hanging="142"/>
        <w:outlineLvl w:val="2"/>
        <w:rPr>
          <w:rFonts w:ascii="宋体" w:hAnsi="宋体"/>
          <w:b/>
          <w:bCs/>
          <w:sz w:val="28"/>
          <w:szCs w:val="28"/>
        </w:rPr>
      </w:pPr>
      <w:bookmarkStart w:id="147" w:name="_Toc263753619"/>
      <w:bookmarkStart w:id="148" w:name="_Toc302997928"/>
      <w:bookmarkStart w:id="149" w:name="_Toc263768877"/>
      <w:r>
        <w:rPr>
          <w:rFonts w:hint="eastAsia" w:ascii="宋体" w:hAnsi="宋体"/>
          <w:b/>
          <w:bCs/>
          <w:sz w:val="28"/>
          <w:szCs w:val="28"/>
        </w:rPr>
        <w:t>投标产品技术性能、技术参数和配置的详细描述</w:t>
      </w:r>
    </w:p>
    <w:p>
      <w:pPr>
        <w:pStyle w:val="2"/>
      </w:pPr>
    </w:p>
    <w:p>
      <w:pPr>
        <w:snapToGrid w:val="0"/>
        <w:spacing w:line="360" w:lineRule="auto"/>
        <w:ind w:left="1405" w:right="-624" w:rightChars="-297" w:hanging="1405" w:hangingChars="500"/>
        <w:rPr>
          <w:rFonts w:hint="eastAsia" w:ascii="宋体" w:hAnsi="宋体"/>
          <w:b/>
          <w:sz w:val="28"/>
          <w:szCs w:val="28"/>
          <w:u w:val="none"/>
          <w:lang w:eastAsia="zh-CN"/>
        </w:rPr>
      </w:pPr>
      <w:r>
        <w:rPr>
          <w:rFonts w:hint="eastAsia" w:ascii="宋体" w:hAnsi="宋体"/>
          <w:b/>
          <w:sz w:val="28"/>
          <w:u w:val="none"/>
        </w:rPr>
        <w:t>项目名称：</w:t>
      </w:r>
      <w:r>
        <w:rPr>
          <w:rFonts w:hint="eastAsia" w:ascii="宋体" w:hAnsi="宋体"/>
          <w:b/>
          <w:sz w:val="28"/>
          <w:szCs w:val="28"/>
          <w:u w:val="none"/>
          <w:lang w:eastAsia="zh-CN"/>
        </w:rPr>
        <w:t>成都市双流区妇幼保健院二期业务楼第一批办公家具采购项目（第三次）</w:t>
      </w:r>
    </w:p>
    <w:p>
      <w:pPr>
        <w:snapToGrid w:val="0"/>
        <w:spacing w:line="360" w:lineRule="auto"/>
        <w:ind w:right="-624" w:rightChars="-297"/>
        <w:rPr>
          <w:rFonts w:hint="eastAsia" w:ascii="宋体" w:hAnsi="宋体" w:eastAsia="宋体"/>
          <w:u w:val="none"/>
          <w:lang w:eastAsia="zh-CN"/>
        </w:rPr>
      </w:pPr>
      <w:r>
        <w:rPr>
          <w:rFonts w:hint="eastAsia" w:ascii="宋体" w:hAnsi="宋体"/>
          <w:b/>
          <w:sz w:val="28"/>
          <w:u w:val="none"/>
        </w:rPr>
        <w:t>项目编号：</w:t>
      </w:r>
      <w:r>
        <w:rPr>
          <w:rFonts w:hint="eastAsia" w:ascii="宋体" w:hAnsi="宋体"/>
          <w:b/>
          <w:sz w:val="28"/>
          <w:szCs w:val="28"/>
          <w:u w:val="none"/>
          <w:lang w:eastAsia="zh-CN"/>
        </w:rPr>
        <w:t>双流政采（2021）A0060号-1</w:t>
      </w:r>
    </w:p>
    <w:p>
      <w:pPr>
        <w:spacing w:line="360" w:lineRule="auto"/>
        <w:rPr>
          <w:rFonts w:ascii="宋体" w:hAnsi="宋体"/>
          <w:b/>
          <w:sz w:val="28"/>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szCs w:val="28"/>
          <w:u w:val="single"/>
        </w:rPr>
        <w:t>XXX</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rPr>
          <w:rFonts w:ascii="宋体" w:hAnsi="宋体"/>
          <w:bCs/>
          <w:sz w:val="28"/>
        </w:rPr>
      </w:pPr>
    </w:p>
    <w:p>
      <w:pPr>
        <w:adjustRightInd w:val="0"/>
        <w:spacing w:line="400" w:lineRule="exact"/>
        <w:rPr>
          <w:rFonts w:ascii="宋体" w:hAnsi="宋体"/>
          <w:bCs/>
          <w:sz w:val="28"/>
        </w:rPr>
      </w:pPr>
    </w:p>
    <w:p>
      <w:pPr>
        <w:pStyle w:val="2"/>
        <w:rPr>
          <w:rFonts w:ascii="宋体" w:hAnsi="宋体"/>
          <w:bCs/>
          <w:sz w:val="28"/>
        </w:rPr>
      </w:pPr>
    </w:p>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售后服务及承诺</w:t>
      </w:r>
      <w:bookmarkEnd w:id="147"/>
      <w:bookmarkEnd w:id="148"/>
      <w:bookmarkEnd w:id="149"/>
    </w:p>
    <w:p>
      <w:pPr>
        <w:snapToGrid w:val="0"/>
        <w:spacing w:line="360" w:lineRule="auto"/>
        <w:ind w:left="1405" w:right="-624" w:rightChars="-297" w:hanging="1405" w:hangingChars="500"/>
        <w:rPr>
          <w:rFonts w:hint="eastAsia" w:ascii="宋体" w:hAnsi="宋体" w:eastAsia="宋体"/>
          <w:b/>
          <w:sz w:val="28"/>
          <w:szCs w:val="28"/>
          <w:u w:val="none"/>
          <w:lang w:eastAsia="zh-CN"/>
        </w:rPr>
      </w:pPr>
      <w:r>
        <w:rPr>
          <w:rFonts w:hint="eastAsia" w:ascii="宋体" w:hAnsi="宋体"/>
          <w:b/>
          <w:sz w:val="28"/>
          <w:u w:val="none"/>
        </w:rPr>
        <w:t>项目名称：</w:t>
      </w:r>
      <w:r>
        <w:rPr>
          <w:rFonts w:hint="eastAsia" w:ascii="宋体" w:hAnsi="宋体"/>
          <w:b/>
          <w:sz w:val="28"/>
          <w:szCs w:val="28"/>
          <w:u w:val="none"/>
          <w:lang w:eastAsia="zh-CN"/>
        </w:rPr>
        <w:t>成都市双流区妇幼保健院二期业务楼第一批办公家具采购项目（第三次）</w:t>
      </w:r>
    </w:p>
    <w:p>
      <w:pPr>
        <w:snapToGrid w:val="0"/>
        <w:spacing w:line="360" w:lineRule="auto"/>
        <w:ind w:right="-624" w:rightChars="-297"/>
        <w:rPr>
          <w:rFonts w:hint="eastAsia" w:ascii="宋体" w:hAnsi="宋体" w:eastAsia="宋体"/>
          <w:b/>
          <w:sz w:val="28"/>
          <w:u w:val="none"/>
          <w:lang w:eastAsia="zh-CN"/>
        </w:rPr>
      </w:pPr>
      <w:r>
        <w:rPr>
          <w:rFonts w:hint="eastAsia" w:ascii="宋体" w:hAnsi="宋体"/>
          <w:b/>
          <w:sz w:val="28"/>
          <w:u w:val="none"/>
        </w:rPr>
        <w:t>项目编号：</w:t>
      </w:r>
      <w:r>
        <w:rPr>
          <w:rFonts w:hint="eastAsia" w:ascii="宋体" w:hAnsi="宋体"/>
          <w:b/>
          <w:sz w:val="28"/>
          <w:u w:val="none"/>
          <w:lang w:eastAsia="zh-CN"/>
        </w:rPr>
        <w:t>双流政采（2021）A0060号-1</w:t>
      </w:r>
    </w:p>
    <w:p>
      <w:pPr>
        <w:tabs>
          <w:tab w:val="left" w:pos="720"/>
        </w:tabs>
        <w:spacing w:line="360" w:lineRule="auto"/>
        <w:ind w:firstLine="560" w:firstLineChars="200"/>
        <w:rPr>
          <w:rFonts w:ascii="宋体" w:hAnsi="宋体"/>
          <w:sz w:val="28"/>
        </w:rPr>
      </w:pPr>
      <w:r>
        <w:rPr>
          <w:rFonts w:hint="eastAsia" w:ascii="宋体" w:hAnsi="宋体"/>
          <w:sz w:val="28"/>
        </w:rPr>
        <w:t>一、验收标准</w:t>
      </w:r>
    </w:p>
    <w:p>
      <w:pPr>
        <w:spacing w:line="360" w:lineRule="auto"/>
        <w:ind w:firstLine="565" w:firstLineChars="202"/>
        <w:rPr>
          <w:rFonts w:ascii="宋体" w:hAnsi="宋体"/>
          <w:sz w:val="28"/>
        </w:rPr>
      </w:pPr>
      <w:r>
        <w:rPr>
          <w:rFonts w:hint="eastAsia" w:ascii="宋体" w:hAnsi="宋体"/>
          <w:sz w:val="28"/>
        </w:rPr>
        <w:t xml:space="preserve">    （投标人应提出详细的验收程序和所执行的验收标准）</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二、交货进度计划及保障措施</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p>
    <w:p>
      <w:pPr>
        <w:tabs>
          <w:tab w:val="left" w:pos="720"/>
        </w:tabs>
        <w:spacing w:line="360" w:lineRule="auto"/>
        <w:ind w:firstLine="560" w:firstLineChars="200"/>
        <w:rPr>
          <w:rFonts w:ascii="宋体" w:hAnsi="宋体"/>
          <w:sz w:val="28"/>
        </w:rPr>
      </w:pPr>
      <w:r>
        <w:rPr>
          <w:rFonts w:hint="eastAsia" w:ascii="宋体" w:hAnsi="宋体"/>
          <w:sz w:val="28"/>
        </w:rPr>
        <w:t>三、售后服务承诺</w:t>
      </w:r>
    </w:p>
    <w:p>
      <w:pPr>
        <w:ind w:firstLine="565" w:firstLineChars="202"/>
        <w:rPr>
          <w:rFonts w:ascii="宋体" w:hAnsi="宋体"/>
          <w:sz w:val="28"/>
        </w:rPr>
      </w:pPr>
      <w:r>
        <w:rPr>
          <w:rFonts w:hint="eastAsia" w:ascii="宋体" w:hAnsi="宋体"/>
          <w:sz w:val="28"/>
        </w:rPr>
        <w:t>（售后服务承诺应包括但不限于以下内容）</w:t>
      </w:r>
    </w:p>
    <w:p>
      <w:pPr>
        <w:spacing w:line="400" w:lineRule="exact"/>
        <w:ind w:firstLine="560" w:firstLineChars="200"/>
        <w:rPr>
          <w:rFonts w:ascii="宋体" w:hAnsi="宋体"/>
          <w:sz w:val="28"/>
        </w:rPr>
      </w:pPr>
      <w:r>
        <w:rPr>
          <w:rFonts w:hint="eastAsia" w:ascii="宋体" w:hAnsi="宋体"/>
          <w:sz w:val="28"/>
        </w:rPr>
        <w:t>（一）产品制造厂家或投标人设立的售后服务机构网点清单、服务电话和维修人员名单；</w:t>
      </w:r>
    </w:p>
    <w:p>
      <w:pPr>
        <w:spacing w:line="400" w:lineRule="exact"/>
        <w:ind w:firstLine="560" w:firstLineChars="200"/>
        <w:rPr>
          <w:rFonts w:ascii="宋体" w:hAnsi="宋体"/>
          <w:sz w:val="28"/>
        </w:rPr>
      </w:pPr>
      <w:r>
        <w:rPr>
          <w:rFonts w:hint="eastAsia" w:ascii="宋体" w:hAnsi="宋体"/>
          <w:sz w:val="28"/>
        </w:rPr>
        <w:t>（二）说明投标产品的保修时间、保修期内的保修内容与范围、维修响应时间等；</w:t>
      </w:r>
    </w:p>
    <w:p>
      <w:pPr>
        <w:ind w:firstLine="565" w:firstLineChars="202"/>
        <w:rPr>
          <w:rFonts w:ascii="宋体" w:hAnsi="宋体"/>
          <w:sz w:val="28"/>
        </w:rPr>
      </w:pPr>
      <w:r>
        <w:rPr>
          <w:rFonts w:hint="eastAsia" w:ascii="宋体" w:hAnsi="宋体"/>
          <w:sz w:val="28"/>
        </w:rPr>
        <w:t>（三）……</w:t>
      </w:r>
    </w:p>
    <w:p>
      <w:pPr>
        <w:ind w:firstLine="565" w:firstLineChars="202"/>
        <w:rPr>
          <w:rFonts w:ascii="宋体" w:hAnsi="宋体"/>
          <w:sz w:val="28"/>
        </w:rPr>
      </w:pPr>
      <w:r>
        <w:rPr>
          <w:rFonts w:hint="eastAsia" w:ascii="宋体" w:hAnsi="宋体"/>
          <w:sz w:val="28"/>
        </w:rPr>
        <w:t>四、技术支持的能力及方案</w:t>
      </w:r>
    </w:p>
    <w:p>
      <w:pPr>
        <w:tabs>
          <w:tab w:val="left" w:pos="720"/>
        </w:tabs>
        <w:ind w:firstLine="560" w:firstLineChars="200"/>
        <w:rPr>
          <w:rFonts w:ascii="宋体" w:hAnsi="宋体"/>
          <w:sz w:val="28"/>
        </w:rPr>
      </w:pPr>
      <w:r>
        <w:rPr>
          <w:rFonts w:hint="eastAsia" w:ascii="宋体" w:hAnsi="宋体"/>
          <w:sz w:val="28"/>
        </w:rPr>
        <w:t>五、其他说明的内容</w:t>
      </w:r>
      <w:bookmarkEnd w:id="146"/>
      <w:bookmarkStart w:id="150" w:name="_Toc316475719"/>
    </w:p>
    <w:p>
      <w:pPr>
        <w:ind w:firstLine="565" w:firstLineChars="202"/>
        <w:rPr>
          <w:rFonts w:ascii="宋体" w:hAnsi="宋体"/>
          <w:sz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szCs w:val="28"/>
          <w:u w:val="single"/>
        </w:rPr>
        <w:t>XXX</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ind w:firstLine="565" w:firstLineChars="202"/>
        <w:rPr>
          <w:rFonts w:ascii="宋体" w:hAnsi="宋体"/>
          <w:bCs/>
          <w:sz w:val="28"/>
          <w:szCs w:val="28"/>
        </w:rPr>
      </w:pPr>
    </w:p>
    <w:p>
      <w:pPr>
        <w:keepNext/>
        <w:keepLines/>
        <w:numPr>
          <w:ilvl w:val="2"/>
          <w:numId w:val="3"/>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ind w:left="1405" w:right="-624" w:rightChars="-297" w:hanging="1405" w:hangingChars="500"/>
        <w:rPr>
          <w:rFonts w:hint="eastAsia" w:ascii="宋体" w:hAnsi="宋体" w:eastAsia="宋体"/>
          <w:b/>
          <w:sz w:val="28"/>
          <w:szCs w:val="28"/>
          <w:u w:val="none"/>
          <w:lang w:eastAsia="zh-CN"/>
        </w:rPr>
      </w:pPr>
      <w:r>
        <w:rPr>
          <w:rFonts w:hint="eastAsia" w:ascii="宋体" w:hAnsi="宋体"/>
          <w:b/>
          <w:sz w:val="28"/>
          <w:szCs w:val="28"/>
          <w:u w:val="none"/>
        </w:rPr>
        <w:t>项目名称：</w:t>
      </w:r>
      <w:r>
        <w:rPr>
          <w:rFonts w:hint="eastAsia" w:ascii="宋体" w:hAnsi="宋体"/>
          <w:b/>
          <w:sz w:val="28"/>
          <w:szCs w:val="28"/>
          <w:u w:val="none"/>
          <w:lang w:eastAsia="zh-CN"/>
        </w:rPr>
        <w:t>成都市双流区妇幼保健院二期业务楼第一批办公家具采购项目（第三次）</w:t>
      </w:r>
    </w:p>
    <w:p>
      <w:pPr>
        <w:snapToGrid w:val="0"/>
        <w:spacing w:line="360" w:lineRule="auto"/>
        <w:ind w:right="-624" w:rightChars="-297"/>
        <w:rPr>
          <w:rFonts w:hint="eastAsia" w:ascii="宋体" w:hAnsi="宋体" w:eastAsia="宋体"/>
          <w:b/>
          <w:sz w:val="28"/>
          <w:szCs w:val="28"/>
          <w:u w:val="none"/>
          <w:lang w:eastAsia="zh-CN"/>
        </w:rPr>
      </w:pPr>
      <w:r>
        <w:rPr>
          <w:rFonts w:hint="eastAsia" w:ascii="宋体" w:hAnsi="宋体"/>
          <w:b/>
          <w:sz w:val="28"/>
          <w:szCs w:val="28"/>
          <w:u w:val="none"/>
        </w:rPr>
        <w:t>项目编号：</w:t>
      </w:r>
      <w:r>
        <w:rPr>
          <w:rFonts w:hint="eastAsia" w:ascii="宋体" w:hAnsi="宋体"/>
          <w:b/>
          <w:sz w:val="28"/>
          <w:szCs w:val="28"/>
          <w:u w:val="none"/>
          <w:lang w:eastAsia="zh-CN"/>
        </w:rPr>
        <w:t>双流政采（2021）A0060号-1</w:t>
      </w:r>
    </w:p>
    <w:p>
      <w:pPr>
        <w:snapToGrid w:val="0"/>
        <w:spacing w:line="360" w:lineRule="auto"/>
        <w:ind w:firstLine="562" w:firstLineChars="200"/>
        <w:rPr>
          <w:rFonts w:hint="eastAsia" w:ascii="宋体" w:hAnsi="宋体"/>
          <w:b/>
          <w:bCs/>
          <w:sz w:val="28"/>
        </w:rPr>
      </w:pPr>
      <w:r>
        <w:rPr>
          <w:rFonts w:hint="eastAsia" w:ascii="宋体" w:hAnsi="宋体"/>
          <w:b/>
          <w:bCs/>
          <w:sz w:val="28"/>
        </w:rPr>
        <w:t>我公司作为参加本项目的投标人，在此郑重承诺：</w:t>
      </w:r>
    </w:p>
    <w:p>
      <w:pPr>
        <w:pStyle w:val="81"/>
        <w:numPr>
          <w:ilvl w:val="0"/>
          <w:numId w:val="36"/>
        </w:numPr>
        <w:tabs>
          <w:tab w:val="left" w:pos="1134"/>
        </w:tabs>
        <w:snapToGrid w:val="0"/>
        <w:spacing w:line="360" w:lineRule="auto"/>
        <w:ind w:left="11" w:firstLine="629" w:firstLineChars="0"/>
        <w:rPr>
          <w:rFonts w:hint="eastAsia" w:ascii="宋体" w:hAnsi="宋体"/>
          <w:b/>
          <w:bCs/>
          <w:sz w:val="28"/>
          <w:szCs w:val="28"/>
          <w:lang w:eastAsia="zh-CN"/>
        </w:rPr>
      </w:pPr>
      <w:r>
        <w:rPr>
          <w:rFonts w:hint="eastAsia" w:ascii="宋体" w:hAnsi="宋体"/>
          <w:b/>
          <w:bCs/>
          <w:sz w:val="28"/>
          <w:szCs w:val="28"/>
          <w:lang w:eastAsia="zh-CN"/>
        </w:rPr>
        <w:t>为本项目提供的所有产品、辅材中属于《国家强制性产品认证目录》范围内产品的，均通过国家强制性产品认证并取得认证证书。</w:t>
      </w:r>
    </w:p>
    <w:p>
      <w:pPr>
        <w:pStyle w:val="81"/>
        <w:numPr>
          <w:ilvl w:val="0"/>
          <w:numId w:val="36"/>
        </w:numPr>
        <w:tabs>
          <w:tab w:val="left" w:pos="1134"/>
        </w:tabs>
        <w:snapToGrid w:val="0"/>
        <w:spacing w:line="360" w:lineRule="auto"/>
        <w:ind w:left="11" w:firstLine="629" w:firstLineChars="0"/>
        <w:rPr>
          <w:rFonts w:hint="eastAsia" w:ascii="宋体" w:hAnsi="宋体"/>
          <w:b/>
          <w:bCs/>
          <w:sz w:val="28"/>
          <w:szCs w:val="28"/>
          <w:lang w:eastAsia="zh-CN"/>
        </w:rPr>
      </w:pPr>
      <w:r>
        <w:rPr>
          <w:rFonts w:hint="eastAsia" w:ascii="宋体" w:hAnsi="宋体"/>
          <w:b/>
          <w:bCs/>
          <w:sz w:val="28"/>
          <w:szCs w:val="28"/>
          <w:lang w:eastAsia="zh-CN"/>
        </w:rPr>
        <w:t>为本项目提供的所有产品、辅材符合现行的强制性国家相关标准、行业标准。</w:t>
      </w:r>
    </w:p>
    <w:p>
      <w:pPr>
        <w:pStyle w:val="81"/>
        <w:numPr>
          <w:ilvl w:val="0"/>
          <w:numId w:val="36"/>
        </w:numPr>
        <w:tabs>
          <w:tab w:val="left" w:pos="1134"/>
        </w:tabs>
        <w:snapToGrid w:val="0"/>
        <w:spacing w:line="360" w:lineRule="auto"/>
        <w:ind w:left="11" w:firstLine="629" w:firstLineChars="0"/>
        <w:rPr>
          <w:rFonts w:hint="eastAsia" w:ascii="宋体" w:hAnsi="宋体"/>
          <w:b/>
          <w:bCs/>
          <w:sz w:val="28"/>
          <w:szCs w:val="28"/>
          <w:lang w:eastAsia="zh-CN"/>
        </w:rPr>
      </w:pPr>
      <w:r>
        <w:rPr>
          <w:rFonts w:hint="eastAsia" w:ascii="宋体" w:hAnsi="宋体"/>
          <w:b/>
          <w:bCs/>
          <w:sz w:val="28"/>
          <w:szCs w:val="28"/>
          <w:lang w:eastAsia="zh-CN"/>
        </w:rPr>
        <w:t>投标人须提供全新的货物(含零部件、配件、使用说明书等)，表面无划伤、无碰撞痕迹，且权属清楚，不得侵害他人的知识产权，货物必须符合或优于国家标准，以及本项目招标文件及技术协议的质量要求和技术指标与出厂标准。</w:t>
      </w:r>
    </w:p>
    <w:p>
      <w:pPr>
        <w:pStyle w:val="81"/>
        <w:numPr>
          <w:ilvl w:val="0"/>
          <w:numId w:val="36"/>
        </w:numPr>
        <w:tabs>
          <w:tab w:val="left" w:pos="1134"/>
        </w:tabs>
        <w:snapToGrid w:val="0"/>
        <w:spacing w:line="360" w:lineRule="auto"/>
        <w:ind w:left="11" w:firstLine="629" w:firstLineChars="0"/>
        <w:rPr>
          <w:rFonts w:hint="eastAsia" w:ascii="宋体" w:hAnsi="宋体"/>
          <w:b/>
          <w:bCs/>
          <w:sz w:val="28"/>
          <w:szCs w:val="28"/>
          <w:lang w:eastAsia="zh-CN"/>
        </w:rPr>
      </w:pPr>
      <w:r>
        <w:rPr>
          <w:rFonts w:hint="eastAsia" w:ascii="宋体" w:hAnsi="宋体"/>
          <w:b/>
          <w:bCs/>
          <w:sz w:val="28"/>
          <w:szCs w:val="28"/>
          <w:lang w:eastAsia="zh-CN"/>
        </w:rPr>
        <w:t>投标人</w:t>
      </w:r>
      <w:r>
        <w:rPr>
          <w:rFonts w:hint="eastAsia" w:ascii="宋体" w:hAnsi="宋体"/>
          <w:b/>
          <w:bCs/>
          <w:sz w:val="28"/>
          <w:szCs w:val="28"/>
          <w:lang w:val="zh-CN" w:eastAsia="zh-CN"/>
        </w:rPr>
        <w:t>须指派专人负责与采购人联系售后服务事宜。如</w:t>
      </w:r>
      <w:r>
        <w:rPr>
          <w:rFonts w:hint="eastAsia" w:ascii="宋体" w:hAnsi="宋体"/>
          <w:b/>
          <w:bCs/>
          <w:sz w:val="28"/>
          <w:szCs w:val="28"/>
          <w:lang w:eastAsia="zh-CN"/>
        </w:rPr>
        <w:t>投标人</w:t>
      </w:r>
      <w:r>
        <w:rPr>
          <w:rFonts w:hint="eastAsia" w:ascii="宋体" w:hAnsi="宋体"/>
          <w:b/>
          <w:bCs/>
          <w:sz w:val="28"/>
          <w:szCs w:val="28"/>
          <w:lang w:val="zh-CN" w:eastAsia="zh-CN"/>
        </w:rPr>
        <w:t>售后联系人或联系方式发生变更，应在变更前3日内书面通知采购人，否则视为未作变更，原约定的联系信息仍为有效的信息，由此产生的不利后果均由</w:t>
      </w:r>
      <w:r>
        <w:rPr>
          <w:rFonts w:hint="eastAsia" w:ascii="宋体" w:hAnsi="宋体"/>
          <w:b/>
          <w:bCs/>
          <w:sz w:val="28"/>
          <w:szCs w:val="28"/>
          <w:lang w:eastAsia="zh-CN"/>
        </w:rPr>
        <w:t>投标人</w:t>
      </w:r>
      <w:r>
        <w:rPr>
          <w:rFonts w:hint="eastAsia" w:ascii="宋体" w:hAnsi="宋体"/>
          <w:b/>
          <w:bCs/>
          <w:sz w:val="28"/>
          <w:szCs w:val="28"/>
          <w:lang w:val="zh-CN" w:eastAsia="zh-CN"/>
        </w:rPr>
        <w:t>承担。</w:t>
      </w:r>
    </w:p>
    <w:p>
      <w:pPr>
        <w:snapToGrid w:val="0"/>
        <w:spacing w:line="360" w:lineRule="auto"/>
        <w:ind w:firstLine="562" w:firstLineChars="200"/>
        <w:rPr>
          <w:rFonts w:hint="eastAsia" w:ascii="宋体" w:hAnsi="宋体"/>
          <w:b/>
          <w:bCs/>
          <w:sz w:val="28"/>
          <w:szCs w:val="28"/>
        </w:rPr>
      </w:pPr>
      <w:r>
        <w:rPr>
          <w:rFonts w:hint="eastAsia" w:ascii="宋体" w:hAnsi="宋体"/>
          <w:b/>
          <w:bCs/>
          <w:sz w:val="28"/>
          <w:szCs w:val="28"/>
        </w:rPr>
        <w:t>特此承诺。</w:t>
      </w:r>
    </w:p>
    <w:p>
      <w:pPr>
        <w:pStyle w:val="2"/>
      </w:pPr>
    </w:p>
    <w:p>
      <w:pPr>
        <w:keepNext w:val="0"/>
        <w:keepLines w:val="0"/>
        <w:pageBreakBefore w:val="0"/>
        <w:widowControl w:val="0"/>
        <w:kinsoku/>
        <w:wordWrap/>
        <w:overflowPunct/>
        <w:topLinePunct w:val="0"/>
        <w:autoSpaceDE/>
        <w:autoSpaceDN/>
        <w:bidi w:val="0"/>
        <w:snapToGrid/>
        <w:spacing w:line="360" w:lineRule="auto"/>
        <w:ind w:left="420" w:leftChars="200"/>
        <w:textAlignment w:val="auto"/>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150"/>
        <w:textAlignment w:val="auto"/>
        <w:rPr>
          <w:rFonts w:ascii="宋体" w:hAnsi="宋体"/>
          <w:bCs/>
          <w:sz w:val="28"/>
        </w:rPr>
      </w:pPr>
      <w:r>
        <w:rPr>
          <w:rFonts w:hint="eastAsia" w:ascii="宋体" w:hAnsi="宋体"/>
          <w:sz w:val="28"/>
        </w:rPr>
        <w:t>日期：</w:t>
      </w:r>
      <w:r>
        <w:rPr>
          <w:rFonts w:hint="eastAsia" w:ascii="宋体" w:hAnsi="宋体"/>
          <w:bCs/>
          <w:sz w:val="28"/>
          <w:szCs w:val="28"/>
          <w:u w:val="single"/>
        </w:rPr>
        <w:t>XXX</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rPr>
          <w:rFonts w:ascii="宋体" w:hAnsi="宋体"/>
          <w:bCs/>
          <w:sz w:val="28"/>
        </w:rPr>
      </w:pPr>
    </w:p>
    <w:p>
      <w:pPr>
        <w:pStyle w:val="2"/>
        <w:rPr>
          <w:rFonts w:ascii="宋体" w:hAnsi="宋体"/>
          <w:bCs/>
          <w:sz w:val="28"/>
        </w:rPr>
      </w:pPr>
    </w:p>
    <w:p/>
    <w:p>
      <w:pPr>
        <w:adjustRightInd w:val="0"/>
        <w:spacing w:line="400" w:lineRule="exact"/>
        <w:rPr>
          <w:rFonts w:ascii="宋体" w:hAnsi="宋体"/>
          <w:bCs/>
          <w:sz w:val="28"/>
        </w:rPr>
      </w:pPr>
    </w:p>
    <w:p>
      <w:pPr>
        <w:keepNext/>
        <w:keepLines/>
        <w:numPr>
          <w:ilvl w:val="2"/>
          <w:numId w:val="3"/>
        </w:numPr>
        <w:spacing w:line="360" w:lineRule="auto"/>
        <w:outlineLvl w:val="2"/>
        <w:rPr>
          <w:rFonts w:hint="eastAsia" w:ascii="宋体" w:hAnsi="宋体"/>
          <w:b/>
          <w:sz w:val="28"/>
          <w:szCs w:val="28"/>
          <w:lang w:val="en-US" w:eastAsia="zh-CN"/>
        </w:rPr>
      </w:pPr>
      <w:r>
        <w:rPr>
          <w:rFonts w:hint="eastAsia" w:ascii="宋体" w:hAnsi="宋体"/>
          <w:b/>
          <w:sz w:val="28"/>
          <w:szCs w:val="28"/>
          <w:lang w:val="en-US" w:eastAsia="zh-CN"/>
        </w:rPr>
        <w:t>商务应答表</w:t>
      </w:r>
    </w:p>
    <w:p>
      <w:pPr>
        <w:tabs>
          <w:tab w:val="left" w:pos="3969"/>
        </w:tabs>
        <w:spacing w:line="588" w:lineRule="exact"/>
        <w:ind w:right="-58" w:firstLine="3224" w:firstLineChars="1100"/>
        <w:jc w:val="left"/>
        <w:rPr>
          <w:rFonts w:hint="eastAsia" w:ascii="宋体" w:hAnsi="宋体"/>
          <w:b/>
          <w:bCs/>
          <w:spacing w:val="6"/>
          <w:sz w:val="28"/>
          <w:szCs w:val="28"/>
        </w:rPr>
      </w:pPr>
      <w:r>
        <w:rPr>
          <w:rFonts w:hint="eastAsia" w:ascii="宋体" w:hAnsi="宋体"/>
          <w:b/>
          <w:bCs/>
          <w:spacing w:val="6"/>
          <w:sz w:val="28"/>
          <w:szCs w:val="28"/>
        </w:rPr>
        <w:t>商务应答表</w:t>
      </w:r>
    </w:p>
    <w:p>
      <w:pPr>
        <w:pStyle w:val="2"/>
      </w:pPr>
    </w:p>
    <w:p>
      <w:pPr>
        <w:snapToGrid w:val="0"/>
        <w:spacing w:line="360" w:lineRule="auto"/>
        <w:ind w:left="1405" w:hanging="1405" w:hangingChars="500"/>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lang w:eastAsia="zh-CN"/>
        </w:rPr>
        <w:t>：</w:t>
      </w:r>
      <w:r>
        <w:rPr>
          <w:rFonts w:hint="eastAsia" w:ascii="宋体" w:hAnsi="宋体"/>
          <w:b/>
          <w:sz w:val="28"/>
          <w:szCs w:val="28"/>
          <w:u w:val="none"/>
          <w:lang w:eastAsia="zh-CN"/>
        </w:rPr>
        <w:t>成都市双流区妇幼保健院二期业务楼第一批办公家具采购项目（第三次）</w:t>
      </w:r>
    </w:p>
    <w:p>
      <w:pPr>
        <w:snapToGrid w:val="0"/>
        <w:spacing w:line="360" w:lineRule="auto"/>
        <w:rPr>
          <w:rFonts w:hint="eastAsia" w:ascii="宋体" w:hAnsi="宋体" w:eastAsia="宋体"/>
          <w:b/>
          <w:sz w:val="28"/>
          <w:szCs w:val="28"/>
          <w:u w:val="none"/>
          <w:lang w:eastAsia="zh-CN"/>
        </w:rPr>
      </w:pPr>
      <w:r>
        <w:rPr>
          <w:rFonts w:hint="eastAsia" w:ascii="宋体" w:hAnsi="宋体"/>
          <w:b/>
          <w:sz w:val="28"/>
          <w:szCs w:val="28"/>
          <w:u w:val="none"/>
        </w:rPr>
        <w:t>项目编号：</w:t>
      </w:r>
      <w:r>
        <w:rPr>
          <w:rFonts w:hint="eastAsia" w:ascii="宋体" w:hAnsi="宋体"/>
          <w:b/>
          <w:sz w:val="28"/>
          <w:szCs w:val="28"/>
          <w:u w:val="none"/>
          <w:lang w:eastAsia="zh-CN"/>
        </w:rPr>
        <w:t>双流政采（2021）A0060号-1</w:t>
      </w:r>
    </w:p>
    <w:tbl>
      <w:tblPr>
        <w:tblStyle w:val="43"/>
        <w:tblW w:w="8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3547"/>
        <w:gridCol w:w="3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319"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序号</w:t>
            </w:r>
          </w:p>
        </w:tc>
        <w:tc>
          <w:tcPr>
            <w:tcW w:w="3547"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招标要求</w:t>
            </w:r>
          </w:p>
        </w:tc>
        <w:tc>
          <w:tcPr>
            <w:tcW w:w="3451"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319" w:type="dxa"/>
          </w:tcPr>
          <w:p>
            <w:pPr>
              <w:tabs>
                <w:tab w:val="left" w:pos="3969"/>
              </w:tabs>
              <w:spacing w:line="588" w:lineRule="exact"/>
              <w:ind w:right="-58"/>
              <w:jc w:val="left"/>
              <w:rPr>
                <w:rFonts w:ascii="宋体" w:hAnsi="宋体"/>
                <w:spacing w:val="6"/>
                <w:sz w:val="28"/>
                <w:szCs w:val="28"/>
              </w:rPr>
            </w:pPr>
          </w:p>
        </w:tc>
        <w:tc>
          <w:tcPr>
            <w:tcW w:w="3547" w:type="dxa"/>
          </w:tcPr>
          <w:p>
            <w:pPr>
              <w:tabs>
                <w:tab w:val="left" w:pos="3969"/>
              </w:tabs>
              <w:spacing w:line="588" w:lineRule="exact"/>
              <w:ind w:right="-58"/>
              <w:jc w:val="left"/>
              <w:rPr>
                <w:rFonts w:ascii="宋体" w:hAnsi="宋体"/>
                <w:spacing w:val="6"/>
                <w:sz w:val="28"/>
                <w:szCs w:val="28"/>
              </w:rPr>
            </w:pPr>
          </w:p>
        </w:tc>
        <w:tc>
          <w:tcPr>
            <w:tcW w:w="3451"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319" w:type="dxa"/>
          </w:tcPr>
          <w:p>
            <w:pPr>
              <w:tabs>
                <w:tab w:val="left" w:pos="3969"/>
              </w:tabs>
              <w:spacing w:line="588" w:lineRule="exact"/>
              <w:ind w:right="-58"/>
              <w:jc w:val="left"/>
              <w:rPr>
                <w:rFonts w:ascii="宋体" w:hAnsi="宋体"/>
                <w:spacing w:val="6"/>
                <w:sz w:val="28"/>
                <w:szCs w:val="28"/>
              </w:rPr>
            </w:pPr>
          </w:p>
        </w:tc>
        <w:tc>
          <w:tcPr>
            <w:tcW w:w="3547" w:type="dxa"/>
          </w:tcPr>
          <w:p>
            <w:pPr>
              <w:tabs>
                <w:tab w:val="left" w:pos="3969"/>
              </w:tabs>
              <w:spacing w:line="588" w:lineRule="exact"/>
              <w:ind w:right="-58"/>
              <w:jc w:val="left"/>
              <w:rPr>
                <w:rFonts w:ascii="宋体" w:hAnsi="宋体"/>
                <w:spacing w:val="6"/>
                <w:sz w:val="28"/>
                <w:szCs w:val="28"/>
              </w:rPr>
            </w:pPr>
          </w:p>
        </w:tc>
        <w:tc>
          <w:tcPr>
            <w:tcW w:w="3451"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319" w:type="dxa"/>
          </w:tcPr>
          <w:p>
            <w:pPr>
              <w:tabs>
                <w:tab w:val="left" w:pos="3969"/>
              </w:tabs>
              <w:spacing w:line="588" w:lineRule="exact"/>
              <w:ind w:right="-58"/>
              <w:jc w:val="left"/>
              <w:rPr>
                <w:rFonts w:ascii="宋体" w:hAnsi="宋体"/>
                <w:spacing w:val="6"/>
                <w:sz w:val="28"/>
                <w:szCs w:val="28"/>
              </w:rPr>
            </w:pPr>
          </w:p>
        </w:tc>
        <w:tc>
          <w:tcPr>
            <w:tcW w:w="3547" w:type="dxa"/>
          </w:tcPr>
          <w:p>
            <w:pPr>
              <w:tabs>
                <w:tab w:val="left" w:pos="3969"/>
              </w:tabs>
              <w:spacing w:line="588" w:lineRule="exact"/>
              <w:ind w:right="-58"/>
              <w:jc w:val="left"/>
              <w:rPr>
                <w:rFonts w:ascii="宋体" w:hAnsi="宋体"/>
                <w:spacing w:val="6"/>
                <w:sz w:val="28"/>
                <w:szCs w:val="28"/>
              </w:rPr>
            </w:pPr>
          </w:p>
        </w:tc>
        <w:tc>
          <w:tcPr>
            <w:tcW w:w="3451"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319" w:type="dxa"/>
          </w:tcPr>
          <w:p>
            <w:pPr>
              <w:tabs>
                <w:tab w:val="left" w:pos="3969"/>
              </w:tabs>
              <w:spacing w:line="588" w:lineRule="exact"/>
              <w:ind w:right="-58"/>
              <w:jc w:val="left"/>
              <w:rPr>
                <w:rFonts w:ascii="宋体" w:hAnsi="宋体"/>
                <w:spacing w:val="6"/>
                <w:sz w:val="28"/>
                <w:szCs w:val="28"/>
              </w:rPr>
            </w:pPr>
          </w:p>
        </w:tc>
        <w:tc>
          <w:tcPr>
            <w:tcW w:w="3547" w:type="dxa"/>
          </w:tcPr>
          <w:p>
            <w:pPr>
              <w:tabs>
                <w:tab w:val="left" w:pos="3969"/>
              </w:tabs>
              <w:spacing w:line="588" w:lineRule="exact"/>
              <w:ind w:right="-58"/>
              <w:jc w:val="left"/>
              <w:rPr>
                <w:rFonts w:ascii="宋体" w:hAnsi="宋体"/>
                <w:spacing w:val="6"/>
                <w:sz w:val="28"/>
                <w:szCs w:val="28"/>
              </w:rPr>
            </w:pPr>
          </w:p>
        </w:tc>
        <w:tc>
          <w:tcPr>
            <w:tcW w:w="3451" w:type="dxa"/>
          </w:tcPr>
          <w:p>
            <w:pPr>
              <w:tabs>
                <w:tab w:val="left" w:pos="3969"/>
              </w:tabs>
              <w:spacing w:line="588" w:lineRule="exact"/>
              <w:ind w:right="-58"/>
              <w:jc w:val="left"/>
              <w:rPr>
                <w:rFonts w:ascii="宋体" w:hAnsi="宋体"/>
                <w:spacing w:val="6"/>
                <w:sz w:val="28"/>
                <w:szCs w:val="28"/>
              </w:rPr>
            </w:pPr>
          </w:p>
        </w:tc>
      </w:tr>
    </w:tbl>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注：供应商必须据实填写，不得虚假应答，否则将取消其投标或中标资格。</w:t>
      </w:r>
    </w:p>
    <w:p>
      <w:pPr>
        <w:pStyle w:val="42"/>
        <w:ind w:left="0" w:leftChars="0" w:firstLine="0" w:firstLineChars="0"/>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lang w:eastAsia="zh-CN"/>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39"/>
        <w:ind w:left="0" w:leftChars="0" w:firstLine="0" w:firstLineChars="0"/>
        <w:rPr>
          <w:rFonts w:hint="eastAsia" w:ascii="宋体" w:hAnsi="宋体"/>
          <w:bCs/>
          <w:sz w:val="28"/>
        </w:rPr>
      </w:pPr>
    </w:p>
    <w:p>
      <w:pPr>
        <w:pStyle w:val="39"/>
        <w:ind w:left="0" w:leftChars="0" w:firstLine="0" w:firstLineChars="0"/>
        <w:rPr>
          <w:rFonts w:hint="eastAsia" w:ascii="宋体" w:hAnsi="宋体"/>
          <w:bCs/>
          <w:sz w:val="28"/>
        </w:rPr>
      </w:pPr>
    </w:p>
    <w:p>
      <w:pPr>
        <w:pStyle w:val="39"/>
        <w:ind w:left="0" w:leftChars="0" w:firstLine="0" w:firstLineChars="0"/>
        <w:rPr>
          <w:rFonts w:hint="eastAsia" w:ascii="宋体" w:hAnsi="宋体"/>
          <w:bCs/>
          <w:sz w:val="28"/>
        </w:rPr>
      </w:pPr>
    </w:p>
    <w:p>
      <w:pPr>
        <w:keepNext/>
        <w:keepLines/>
        <w:numPr>
          <w:ilvl w:val="2"/>
          <w:numId w:val="3"/>
        </w:numPr>
        <w:spacing w:line="360" w:lineRule="auto"/>
        <w:outlineLvl w:val="2"/>
        <w:rPr>
          <w:rFonts w:hint="eastAsia" w:ascii="宋体" w:hAnsi="宋体"/>
          <w:b/>
          <w:sz w:val="28"/>
          <w:szCs w:val="28"/>
          <w:lang w:val="en-US" w:eastAsia="zh-CN"/>
        </w:rPr>
      </w:pPr>
      <w:r>
        <w:rPr>
          <w:rFonts w:hint="eastAsia" w:ascii="宋体" w:hAnsi="宋体"/>
          <w:b/>
          <w:sz w:val="28"/>
          <w:szCs w:val="28"/>
          <w:lang w:val="en-US" w:eastAsia="zh-CN"/>
        </w:rPr>
        <w:t>投标产品技术参数表</w:t>
      </w:r>
    </w:p>
    <w:p>
      <w:pPr>
        <w:pStyle w:val="25"/>
        <w:keepNext w:val="0"/>
        <w:keepLines w:val="0"/>
        <w:pageBreakBefore w:val="0"/>
        <w:widowControl w:val="0"/>
        <w:kinsoku/>
        <w:wordWrap/>
        <w:overflowPunct/>
        <w:topLinePunct w:val="0"/>
        <w:autoSpaceDE/>
        <w:autoSpaceDN/>
        <w:bidi w:val="0"/>
        <w:adjustRightInd/>
        <w:snapToGrid/>
        <w:spacing w:before="181" w:beforeLines="50" w:after="181" w:afterLines="50" w:line="360" w:lineRule="auto"/>
        <w:ind w:left="0" w:leftChars="0" w:firstLine="0" w:firstLineChars="0"/>
        <w:jc w:val="center"/>
        <w:textAlignment w:val="auto"/>
        <w:rPr>
          <w:rFonts w:hint="eastAsia" w:ascii="宋体" w:hAnsi="宋体"/>
          <w:b/>
          <w:bCs w:val="0"/>
          <w:sz w:val="28"/>
          <w:szCs w:val="28"/>
        </w:rPr>
      </w:pPr>
      <w:r>
        <w:rPr>
          <w:rFonts w:hint="eastAsia" w:ascii="宋体" w:hAnsi="宋体"/>
          <w:b/>
          <w:bCs w:val="0"/>
          <w:sz w:val="28"/>
          <w:szCs w:val="28"/>
        </w:rPr>
        <w:t>投标产品技术参数表</w:t>
      </w:r>
    </w:p>
    <w:p>
      <w:pPr>
        <w:snapToGrid w:val="0"/>
        <w:spacing w:line="360" w:lineRule="auto"/>
        <w:ind w:left="1405" w:hanging="1405" w:hangingChars="500"/>
        <w:rPr>
          <w:rFonts w:hint="eastAsia" w:ascii="宋体" w:hAnsi="宋体" w:eastAsia="宋体" w:cs="宋体"/>
          <w:b/>
          <w:sz w:val="28"/>
          <w:szCs w:val="28"/>
          <w:u w:val="none"/>
          <w:lang w:eastAsia="zh-CN"/>
        </w:rPr>
      </w:pPr>
      <w:r>
        <w:rPr>
          <w:rFonts w:hint="eastAsia" w:ascii="宋体" w:hAnsi="宋体" w:eastAsia="宋体" w:cs="宋体"/>
          <w:b/>
          <w:sz w:val="28"/>
          <w:szCs w:val="28"/>
          <w:u w:val="none"/>
        </w:rPr>
        <w:t>项目名称：</w:t>
      </w:r>
      <w:r>
        <w:rPr>
          <w:rFonts w:hint="eastAsia" w:ascii="宋体" w:hAnsi="宋体"/>
          <w:b/>
          <w:sz w:val="28"/>
          <w:szCs w:val="28"/>
          <w:u w:val="none"/>
          <w:lang w:eastAsia="zh-CN"/>
        </w:rPr>
        <w:t>成都市双流区妇幼保健院二期业务楼第一批办公家具采购项目（第三次）</w:t>
      </w:r>
    </w:p>
    <w:p>
      <w:pPr>
        <w:snapToGrid w:val="0"/>
        <w:spacing w:line="360" w:lineRule="auto"/>
        <w:rPr>
          <w:rFonts w:hint="eastAsia" w:ascii="宋体" w:hAnsi="宋体" w:eastAsia="宋体" w:cs="宋体"/>
          <w:bCs/>
          <w:sz w:val="28"/>
          <w:szCs w:val="28"/>
          <w:u w:val="none"/>
          <w:lang w:val="en-US" w:eastAsia="zh-CN"/>
        </w:rPr>
      </w:pPr>
      <w:r>
        <w:rPr>
          <w:rFonts w:hint="eastAsia" w:ascii="宋体" w:hAnsi="宋体" w:eastAsia="宋体" w:cs="宋体"/>
          <w:b/>
          <w:sz w:val="28"/>
          <w:szCs w:val="28"/>
          <w:u w:val="none"/>
        </w:rPr>
        <w:t>项目编号：</w:t>
      </w:r>
      <w:r>
        <w:rPr>
          <w:rFonts w:hint="eastAsia" w:ascii="宋体" w:hAnsi="宋体"/>
          <w:b/>
          <w:sz w:val="28"/>
          <w:szCs w:val="28"/>
          <w:u w:val="none"/>
          <w:lang w:eastAsia="zh-CN"/>
        </w:rPr>
        <w:t>双流政采（2021）A0060号-1</w:t>
      </w:r>
    </w:p>
    <w:tbl>
      <w:tblPr>
        <w:tblStyle w:val="43"/>
        <w:tblW w:w="9179" w:type="dxa"/>
        <w:tblInd w:w="-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150"/>
        <w:gridCol w:w="1716"/>
        <w:gridCol w:w="2003"/>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30" w:type="dxa"/>
            <w:vAlign w:val="center"/>
          </w:tcPr>
          <w:p>
            <w:pPr>
              <w:pStyle w:val="135"/>
              <w:jc w:val="center"/>
              <w:rPr>
                <w:rFonts w:ascii="宋体" w:hAnsi="宋体"/>
                <w:sz w:val="24"/>
                <w:szCs w:val="24"/>
              </w:rPr>
            </w:pPr>
            <w:r>
              <w:rPr>
                <w:rFonts w:hint="eastAsia" w:ascii="宋体" w:hAnsi="宋体"/>
                <w:sz w:val="24"/>
                <w:szCs w:val="24"/>
              </w:rPr>
              <w:t>序号</w:t>
            </w:r>
          </w:p>
        </w:tc>
        <w:tc>
          <w:tcPr>
            <w:tcW w:w="2150" w:type="dxa"/>
            <w:vAlign w:val="center"/>
          </w:tcPr>
          <w:p>
            <w:pPr>
              <w:pStyle w:val="135"/>
              <w:jc w:val="center"/>
              <w:rPr>
                <w:rFonts w:ascii="宋体" w:hAnsi="宋体"/>
                <w:sz w:val="24"/>
                <w:szCs w:val="24"/>
              </w:rPr>
            </w:pPr>
            <w:r>
              <w:rPr>
                <w:rFonts w:hint="eastAsia" w:ascii="宋体" w:hAnsi="宋体"/>
                <w:sz w:val="24"/>
                <w:szCs w:val="24"/>
              </w:rPr>
              <w:t>货物（设备）名称</w:t>
            </w:r>
          </w:p>
        </w:tc>
        <w:tc>
          <w:tcPr>
            <w:tcW w:w="1716" w:type="dxa"/>
            <w:vAlign w:val="center"/>
          </w:tcPr>
          <w:p>
            <w:pPr>
              <w:pStyle w:val="135"/>
              <w:jc w:val="center"/>
              <w:rPr>
                <w:rFonts w:ascii="宋体" w:hAnsi="宋体"/>
                <w:sz w:val="24"/>
                <w:szCs w:val="24"/>
              </w:rPr>
            </w:pPr>
            <w:r>
              <w:rPr>
                <w:rFonts w:hint="eastAsia" w:ascii="宋体" w:hAnsi="宋体"/>
                <w:sz w:val="24"/>
                <w:szCs w:val="24"/>
              </w:rPr>
              <w:t>招标文件要求</w:t>
            </w:r>
          </w:p>
        </w:tc>
        <w:tc>
          <w:tcPr>
            <w:tcW w:w="2003" w:type="dxa"/>
            <w:vAlign w:val="center"/>
          </w:tcPr>
          <w:p>
            <w:pPr>
              <w:pStyle w:val="135"/>
              <w:jc w:val="center"/>
              <w:rPr>
                <w:rFonts w:ascii="宋体" w:hAnsi="宋体"/>
                <w:sz w:val="24"/>
                <w:szCs w:val="24"/>
              </w:rPr>
            </w:pPr>
            <w:r>
              <w:rPr>
                <w:rFonts w:hint="eastAsia" w:ascii="宋体" w:hAnsi="宋体"/>
                <w:sz w:val="24"/>
                <w:szCs w:val="24"/>
              </w:rPr>
              <w:t>投标响应</w:t>
            </w:r>
          </w:p>
        </w:tc>
        <w:tc>
          <w:tcPr>
            <w:tcW w:w="2580" w:type="dxa"/>
            <w:vAlign w:val="center"/>
          </w:tcPr>
          <w:p>
            <w:pPr>
              <w:pStyle w:val="135"/>
              <w:jc w:val="center"/>
              <w:rPr>
                <w:rFonts w:ascii="宋体" w:hAnsi="宋体"/>
                <w:sz w:val="24"/>
                <w:szCs w:val="24"/>
              </w:rPr>
            </w:pPr>
            <w:r>
              <w:rPr>
                <w:rFonts w:hint="eastAsia" w:ascii="宋体" w:hAnsi="宋体"/>
                <w:sz w:val="24"/>
                <w:szCs w:val="24"/>
              </w:rPr>
              <w:t>技术偏离情况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30" w:type="dxa"/>
            <w:vAlign w:val="top"/>
          </w:tcPr>
          <w:p>
            <w:pPr>
              <w:pStyle w:val="135"/>
              <w:rPr>
                <w:rFonts w:ascii="宋体" w:hAnsi="宋体"/>
                <w:sz w:val="24"/>
                <w:szCs w:val="24"/>
              </w:rPr>
            </w:pPr>
          </w:p>
        </w:tc>
        <w:tc>
          <w:tcPr>
            <w:tcW w:w="2150" w:type="dxa"/>
            <w:vAlign w:val="top"/>
          </w:tcPr>
          <w:p>
            <w:pPr>
              <w:pStyle w:val="135"/>
              <w:rPr>
                <w:rFonts w:ascii="宋体" w:hAnsi="宋体"/>
                <w:sz w:val="24"/>
                <w:szCs w:val="24"/>
              </w:rPr>
            </w:pPr>
          </w:p>
        </w:tc>
        <w:tc>
          <w:tcPr>
            <w:tcW w:w="1716" w:type="dxa"/>
            <w:vAlign w:val="top"/>
          </w:tcPr>
          <w:p>
            <w:pPr>
              <w:pStyle w:val="135"/>
              <w:rPr>
                <w:rFonts w:ascii="宋体" w:hAnsi="宋体"/>
                <w:sz w:val="24"/>
                <w:szCs w:val="24"/>
              </w:rPr>
            </w:pPr>
          </w:p>
        </w:tc>
        <w:tc>
          <w:tcPr>
            <w:tcW w:w="2003" w:type="dxa"/>
            <w:vAlign w:val="top"/>
          </w:tcPr>
          <w:p>
            <w:pPr>
              <w:pStyle w:val="135"/>
              <w:rPr>
                <w:rFonts w:ascii="宋体" w:hAnsi="宋体"/>
                <w:sz w:val="24"/>
                <w:szCs w:val="24"/>
              </w:rPr>
            </w:pPr>
          </w:p>
        </w:tc>
        <w:tc>
          <w:tcPr>
            <w:tcW w:w="2580" w:type="dxa"/>
            <w:vAlign w:val="top"/>
          </w:tcPr>
          <w:p>
            <w:pPr>
              <w:pStyle w:val="135"/>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30" w:type="dxa"/>
            <w:vAlign w:val="top"/>
          </w:tcPr>
          <w:p>
            <w:pPr>
              <w:pStyle w:val="135"/>
              <w:rPr>
                <w:rFonts w:ascii="宋体" w:hAnsi="宋体"/>
                <w:sz w:val="21"/>
                <w:szCs w:val="21"/>
              </w:rPr>
            </w:pPr>
          </w:p>
        </w:tc>
        <w:tc>
          <w:tcPr>
            <w:tcW w:w="2150" w:type="dxa"/>
            <w:vAlign w:val="top"/>
          </w:tcPr>
          <w:p>
            <w:pPr>
              <w:pStyle w:val="135"/>
              <w:rPr>
                <w:rFonts w:ascii="宋体" w:hAnsi="宋体"/>
                <w:sz w:val="21"/>
                <w:szCs w:val="21"/>
              </w:rPr>
            </w:pPr>
          </w:p>
        </w:tc>
        <w:tc>
          <w:tcPr>
            <w:tcW w:w="1716" w:type="dxa"/>
            <w:vAlign w:val="top"/>
          </w:tcPr>
          <w:p>
            <w:pPr>
              <w:pStyle w:val="135"/>
              <w:rPr>
                <w:rFonts w:ascii="宋体" w:hAnsi="宋体"/>
                <w:sz w:val="21"/>
                <w:szCs w:val="21"/>
              </w:rPr>
            </w:pPr>
          </w:p>
        </w:tc>
        <w:tc>
          <w:tcPr>
            <w:tcW w:w="2003" w:type="dxa"/>
            <w:vAlign w:val="top"/>
          </w:tcPr>
          <w:p>
            <w:pPr>
              <w:pStyle w:val="135"/>
              <w:rPr>
                <w:rFonts w:ascii="宋体" w:hAnsi="宋体"/>
                <w:sz w:val="21"/>
                <w:szCs w:val="21"/>
              </w:rPr>
            </w:pPr>
          </w:p>
        </w:tc>
        <w:tc>
          <w:tcPr>
            <w:tcW w:w="2580" w:type="dxa"/>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30" w:type="dxa"/>
            <w:tcBorders>
              <w:top w:val="nil"/>
            </w:tcBorders>
            <w:vAlign w:val="top"/>
          </w:tcPr>
          <w:p>
            <w:pPr>
              <w:pStyle w:val="135"/>
              <w:rPr>
                <w:rFonts w:ascii="宋体" w:hAnsi="宋体"/>
                <w:sz w:val="21"/>
                <w:szCs w:val="21"/>
              </w:rPr>
            </w:pPr>
          </w:p>
        </w:tc>
        <w:tc>
          <w:tcPr>
            <w:tcW w:w="2150" w:type="dxa"/>
            <w:vAlign w:val="top"/>
          </w:tcPr>
          <w:p>
            <w:pPr>
              <w:pStyle w:val="135"/>
              <w:rPr>
                <w:rFonts w:ascii="宋体" w:hAnsi="宋体"/>
                <w:sz w:val="21"/>
                <w:szCs w:val="21"/>
              </w:rPr>
            </w:pPr>
          </w:p>
        </w:tc>
        <w:tc>
          <w:tcPr>
            <w:tcW w:w="1716" w:type="dxa"/>
            <w:vAlign w:val="top"/>
          </w:tcPr>
          <w:p>
            <w:pPr>
              <w:pStyle w:val="135"/>
              <w:rPr>
                <w:rFonts w:ascii="宋体" w:hAnsi="宋体"/>
                <w:sz w:val="21"/>
                <w:szCs w:val="21"/>
              </w:rPr>
            </w:pPr>
          </w:p>
        </w:tc>
        <w:tc>
          <w:tcPr>
            <w:tcW w:w="2003" w:type="dxa"/>
            <w:vAlign w:val="top"/>
          </w:tcPr>
          <w:p>
            <w:pPr>
              <w:pStyle w:val="135"/>
              <w:rPr>
                <w:rFonts w:ascii="宋体" w:hAnsi="宋体"/>
                <w:sz w:val="21"/>
                <w:szCs w:val="21"/>
              </w:rPr>
            </w:pPr>
          </w:p>
        </w:tc>
        <w:tc>
          <w:tcPr>
            <w:tcW w:w="2580" w:type="dxa"/>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30" w:type="dxa"/>
            <w:vAlign w:val="top"/>
          </w:tcPr>
          <w:p>
            <w:pPr>
              <w:pStyle w:val="135"/>
              <w:rPr>
                <w:rFonts w:ascii="宋体" w:hAnsi="宋体"/>
                <w:sz w:val="21"/>
                <w:szCs w:val="21"/>
              </w:rPr>
            </w:pPr>
          </w:p>
        </w:tc>
        <w:tc>
          <w:tcPr>
            <w:tcW w:w="2150" w:type="dxa"/>
            <w:vAlign w:val="top"/>
          </w:tcPr>
          <w:p>
            <w:pPr>
              <w:pStyle w:val="135"/>
              <w:rPr>
                <w:rFonts w:ascii="宋体" w:hAnsi="宋体"/>
                <w:sz w:val="21"/>
                <w:szCs w:val="21"/>
              </w:rPr>
            </w:pPr>
          </w:p>
        </w:tc>
        <w:tc>
          <w:tcPr>
            <w:tcW w:w="1716" w:type="dxa"/>
            <w:vAlign w:val="top"/>
          </w:tcPr>
          <w:p>
            <w:pPr>
              <w:pStyle w:val="135"/>
              <w:rPr>
                <w:rFonts w:ascii="宋体" w:hAnsi="宋体"/>
                <w:sz w:val="21"/>
                <w:szCs w:val="21"/>
              </w:rPr>
            </w:pPr>
          </w:p>
        </w:tc>
        <w:tc>
          <w:tcPr>
            <w:tcW w:w="2003" w:type="dxa"/>
            <w:vAlign w:val="top"/>
          </w:tcPr>
          <w:p>
            <w:pPr>
              <w:pStyle w:val="135"/>
              <w:rPr>
                <w:rFonts w:ascii="宋体" w:hAnsi="宋体"/>
                <w:sz w:val="21"/>
                <w:szCs w:val="21"/>
              </w:rPr>
            </w:pPr>
          </w:p>
        </w:tc>
        <w:tc>
          <w:tcPr>
            <w:tcW w:w="2580" w:type="dxa"/>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30" w:type="dxa"/>
            <w:vAlign w:val="top"/>
          </w:tcPr>
          <w:p>
            <w:pPr>
              <w:pStyle w:val="135"/>
              <w:rPr>
                <w:rFonts w:ascii="宋体" w:hAnsi="宋体"/>
                <w:sz w:val="21"/>
                <w:szCs w:val="21"/>
              </w:rPr>
            </w:pPr>
          </w:p>
        </w:tc>
        <w:tc>
          <w:tcPr>
            <w:tcW w:w="2150" w:type="dxa"/>
            <w:vAlign w:val="top"/>
          </w:tcPr>
          <w:p>
            <w:pPr>
              <w:pStyle w:val="135"/>
              <w:rPr>
                <w:rFonts w:ascii="宋体" w:hAnsi="宋体"/>
                <w:sz w:val="21"/>
                <w:szCs w:val="21"/>
              </w:rPr>
            </w:pPr>
          </w:p>
        </w:tc>
        <w:tc>
          <w:tcPr>
            <w:tcW w:w="1716" w:type="dxa"/>
            <w:vAlign w:val="top"/>
          </w:tcPr>
          <w:p>
            <w:pPr>
              <w:pStyle w:val="135"/>
              <w:rPr>
                <w:rFonts w:ascii="宋体" w:hAnsi="宋体"/>
                <w:sz w:val="21"/>
                <w:szCs w:val="21"/>
              </w:rPr>
            </w:pPr>
          </w:p>
        </w:tc>
        <w:tc>
          <w:tcPr>
            <w:tcW w:w="2003" w:type="dxa"/>
            <w:vAlign w:val="top"/>
          </w:tcPr>
          <w:p>
            <w:pPr>
              <w:pStyle w:val="135"/>
              <w:rPr>
                <w:rFonts w:ascii="宋体" w:hAnsi="宋体"/>
                <w:sz w:val="21"/>
                <w:szCs w:val="21"/>
              </w:rPr>
            </w:pPr>
          </w:p>
        </w:tc>
        <w:tc>
          <w:tcPr>
            <w:tcW w:w="2580" w:type="dxa"/>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30" w:type="dxa"/>
            <w:vAlign w:val="top"/>
          </w:tcPr>
          <w:p>
            <w:pPr>
              <w:pStyle w:val="135"/>
              <w:rPr>
                <w:rFonts w:ascii="宋体" w:hAnsi="宋体"/>
                <w:sz w:val="21"/>
                <w:szCs w:val="21"/>
              </w:rPr>
            </w:pPr>
          </w:p>
        </w:tc>
        <w:tc>
          <w:tcPr>
            <w:tcW w:w="2150" w:type="dxa"/>
            <w:vAlign w:val="top"/>
          </w:tcPr>
          <w:p>
            <w:pPr>
              <w:pStyle w:val="135"/>
              <w:rPr>
                <w:rFonts w:ascii="宋体" w:hAnsi="宋体"/>
                <w:sz w:val="21"/>
                <w:szCs w:val="21"/>
              </w:rPr>
            </w:pPr>
          </w:p>
        </w:tc>
        <w:tc>
          <w:tcPr>
            <w:tcW w:w="1716" w:type="dxa"/>
            <w:vAlign w:val="top"/>
          </w:tcPr>
          <w:p>
            <w:pPr>
              <w:pStyle w:val="135"/>
              <w:rPr>
                <w:rFonts w:ascii="宋体" w:hAnsi="宋体"/>
                <w:sz w:val="21"/>
                <w:szCs w:val="21"/>
              </w:rPr>
            </w:pPr>
          </w:p>
        </w:tc>
        <w:tc>
          <w:tcPr>
            <w:tcW w:w="2003" w:type="dxa"/>
            <w:vAlign w:val="top"/>
          </w:tcPr>
          <w:p>
            <w:pPr>
              <w:pStyle w:val="135"/>
              <w:rPr>
                <w:rFonts w:ascii="宋体" w:hAnsi="宋体"/>
                <w:sz w:val="21"/>
                <w:szCs w:val="21"/>
              </w:rPr>
            </w:pPr>
          </w:p>
        </w:tc>
        <w:tc>
          <w:tcPr>
            <w:tcW w:w="2580" w:type="dxa"/>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30" w:type="dxa"/>
            <w:vAlign w:val="top"/>
          </w:tcPr>
          <w:p>
            <w:pPr>
              <w:pStyle w:val="135"/>
              <w:rPr>
                <w:rFonts w:ascii="宋体" w:hAnsi="宋体"/>
                <w:sz w:val="21"/>
                <w:szCs w:val="21"/>
              </w:rPr>
            </w:pPr>
          </w:p>
        </w:tc>
        <w:tc>
          <w:tcPr>
            <w:tcW w:w="2150" w:type="dxa"/>
            <w:vAlign w:val="top"/>
          </w:tcPr>
          <w:p>
            <w:pPr>
              <w:pStyle w:val="135"/>
              <w:rPr>
                <w:rFonts w:ascii="宋体" w:hAnsi="宋体"/>
                <w:sz w:val="21"/>
                <w:szCs w:val="21"/>
              </w:rPr>
            </w:pPr>
          </w:p>
        </w:tc>
        <w:tc>
          <w:tcPr>
            <w:tcW w:w="1716" w:type="dxa"/>
            <w:vAlign w:val="top"/>
          </w:tcPr>
          <w:p>
            <w:pPr>
              <w:pStyle w:val="135"/>
              <w:rPr>
                <w:rFonts w:ascii="宋体" w:hAnsi="宋体"/>
                <w:sz w:val="21"/>
                <w:szCs w:val="21"/>
              </w:rPr>
            </w:pPr>
          </w:p>
        </w:tc>
        <w:tc>
          <w:tcPr>
            <w:tcW w:w="2003" w:type="dxa"/>
            <w:vAlign w:val="top"/>
          </w:tcPr>
          <w:p>
            <w:pPr>
              <w:pStyle w:val="135"/>
              <w:rPr>
                <w:rFonts w:ascii="宋体" w:hAnsi="宋体"/>
                <w:sz w:val="21"/>
                <w:szCs w:val="21"/>
              </w:rPr>
            </w:pPr>
          </w:p>
        </w:tc>
        <w:tc>
          <w:tcPr>
            <w:tcW w:w="2580" w:type="dxa"/>
            <w:vAlign w:val="top"/>
          </w:tcPr>
          <w:p>
            <w:pPr>
              <w:pStyle w:val="135"/>
              <w:rPr>
                <w:rFonts w:ascii="宋体" w:hAnsi="宋体"/>
                <w:sz w:val="21"/>
                <w:szCs w:val="21"/>
              </w:rPr>
            </w:pPr>
          </w:p>
        </w:tc>
      </w:tr>
    </w:tbl>
    <w:p>
      <w:pPr>
        <w:spacing w:after="120" w:line="360" w:lineRule="auto"/>
        <w:jc w:val="left"/>
        <w:rPr>
          <w:rFonts w:hint="eastAsia" w:ascii="宋体" w:hAnsi="宋体"/>
          <w:bCs/>
          <w:sz w:val="28"/>
          <w:szCs w:val="28"/>
        </w:rPr>
      </w:pPr>
      <w:r>
        <w:rPr>
          <w:rFonts w:hint="eastAsia" w:asciiTheme="minorEastAsia" w:hAnsiTheme="minorEastAsia" w:eastAsiaTheme="minorEastAsia" w:cstheme="minorEastAsia"/>
          <w:sz w:val="28"/>
          <w:szCs w:val="28"/>
        </w:rPr>
        <w:t>注</w:t>
      </w:r>
      <w:r>
        <w:rPr>
          <w:rFonts w:hint="eastAsia" w:ascii="宋体" w:hAnsi="宋体"/>
          <w:bCs/>
          <w:sz w:val="28"/>
          <w:szCs w:val="28"/>
        </w:rPr>
        <w:t>：1. 供应商必须把招标项目的全部技术参数列入此表。</w:t>
      </w:r>
    </w:p>
    <w:p>
      <w:pPr>
        <w:spacing w:after="120" w:line="360" w:lineRule="auto"/>
        <w:rPr>
          <w:rFonts w:hint="eastAsia" w:ascii="宋体" w:hAnsi="宋体"/>
          <w:bCs/>
          <w:sz w:val="28"/>
          <w:szCs w:val="28"/>
        </w:rPr>
      </w:pPr>
      <w:r>
        <w:rPr>
          <w:rFonts w:hint="eastAsia" w:ascii="宋体" w:hAnsi="宋体"/>
          <w:bCs/>
          <w:sz w:val="28"/>
          <w:szCs w:val="28"/>
        </w:rPr>
        <w:t>2．按照招标项目技术要求的顺序对应填写。</w:t>
      </w:r>
    </w:p>
    <w:p>
      <w:pPr>
        <w:spacing w:after="120" w:line="360" w:lineRule="auto"/>
        <w:rPr>
          <w:rFonts w:hint="eastAsia" w:ascii="宋体" w:hAnsi="宋体"/>
          <w:bCs/>
          <w:sz w:val="28"/>
          <w:szCs w:val="28"/>
        </w:rPr>
      </w:pPr>
      <w:r>
        <w:rPr>
          <w:rFonts w:hint="eastAsia" w:ascii="宋体" w:hAnsi="宋体"/>
          <w:bCs/>
          <w:sz w:val="28"/>
          <w:szCs w:val="28"/>
        </w:rPr>
        <w:t>3．供应商必须据实填写，不得虚假填写，否则将取消其投标或中标资格。</w:t>
      </w:r>
    </w:p>
    <w:p>
      <w:pPr>
        <w:rPr>
          <w:rFonts w:hint="eastAsia" w:asciiTheme="minorEastAsia" w:hAnsiTheme="minorEastAsia" w:eastAsiaTheme="minorEastAsia" w:cstheme="minorEastAsia"/>
          <w:sz w:val="28"/>
          <w:szCs w:val="28"/>
        </w:rPr>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lang w:eastAsia="zh-CN"/>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p>
    <w:p>
      <w:pPr>
        <w:pStyle w:val="2"/>
        <w:rPr>
          <w:rFonts w:hint="eastAsia" w:ascii="宋体" w:hAnsi="宋体"/>
          <w:bCs/>
          <w:sz w:val="28"/>
        </w:rPr>
      </w:pPr>
    </w:p>
    <w:p>
      <w:pPr>
        <w:pStyle w:val="2"/>
        <w:rPr>
          <w:rFonts w:hint="eastAsia" w:ascii="宋体" w:hAnsi="宋体"/>
          <w:bCs/>
          <w:sz w:val="28"/>
        </w:rPr>
      </w:pPr>
    </w:p>
    <w:p>
      <w:pPr>
        <w:keepNext/>
        <w:keepLines/>
        <w:numPr>
          <w:ilvl w:val="2"/>
          <w:numId w:val="3"/>
        </w:numPr>
        <w:spacing w:line="360" w:lineRule="auto"/>
        <w:outlineLvl w:val="2"/>
        <w:rPr>
          <w:rFonts w:hint="eastAsia" w:ascii="宋体" w:hAnsi="宋体"/>
          <w:b/>
          <w:sz w:val="28"/>
          <w:szCs w:val="28"/>
          <w:lang w:val="en-US" w:eastAsia="zh-CN"/>
        </w:rPr>
      </w:pPr>
      <w:r>
        <w:rPr>
          <w:rFonts w:hint="eastAsia" w:ascii="宋体" w:hAnsi="宋体"/>
          <w:b/>
          <w:sz w:val="28"/>
          <w:szCs w:val="28"/>
          <w:lang w:val="en-US" w:eastAsia="zh-CN"/>
        </w:rPr>
        <w:t>投标人本项目管理、技术、服务人员情况表</w:t>
      </w:r>
    </w:p>
    <w:p>
      <w:pPr>
        <w:pStyle w:val="25"/>
        <w:keepNext w:val="0"/>
        <w:keepLines w:val="0"/>
        <w:pageBreakBefore w:val="0"/>
        <w:widowControl w:val="0"/>
        <w:kinsoku/>
        <w:wordWrap/>
        <w:overflowPunct/>
        <w:topLinePunct w:val="0"/>
        <w:autoSpaceDE/>
        <w:autoSpaceDN/>
        <w:bidi w:val="0"/>
        <w:adjustRightInd/>
        <w:snapToGrid/>
        <w:spacing w:before="541" w:beforeLines="150" w:after="361" w:afterLines="100" w:line="360" w:lineRule="auto"/>
        <w:ind w:left="424" w:firstLine="1127" w:firstLineChars="401"/>
        <w:textAlignment w:val="auto"/>
        <w:rPr>
          <w:rFonts w:hint="eastAsia" w:ascii="宋体" w:hAnsi="宋体"/>
          <w:b/>
          <w:bCs w:val="0"/>
          <w:sz w:val="28"/>
          <w:szCs w:val="28"/>
        </w:rPr>
      </w:pPr>
      <w:r>
        <w:rPr>
          <w:rFonts w:hint="eastAsia" w:ascii="宋体" w:hAnsi="宋体"/>
          <w:b/>
          <w:bCs w:val="0"/>
          <w:sz w:val="28"/>
          <w:szCs w:val="28"/>
        </w:rPr>
        <w:t>投标人本项目管理、技术、服务人员情况表</w:t>
      </w:r>
    </w:p>
    <w:p>
      <w:pPr>
        <w:snapToGrid w:val="0"/>
        <w:spacing w:line="360" w:lineRule="auto"/>
        <w:ind w:left="1405" w:hanging="1405" w:hangingChars="500"/>
        <w:rPr>
          <w:rFonts w:hint="eastAsia" w:ascii="宋体" w:hAnsi="宋体" w:eastAsia="宋体"/>
          <w:b/>
          <w:sz w:val="28"/>
          <w:szCs w:val="28"/>
          <w:u w:val="none"/>
          <w:lang w:eastAsia="zh-CN"/>
        </w:rPr>
      </w:pPr>
      <w:r>
        <w:rPr>
          <w:rFonts w:hint="eastAsia" w:ascii="宋体" w:hAnsi="宋体"/>
          <w:b/>
          <w:sz w:val="28"/>
          <w:szCs w:val="28"/>
          <w:u w:val="none"/>
        </w:rPr>
        <w:t>项目名称：</w:t>
      </w:r>
      <w:r>
        <w:rPr>
          <w:rFonts w:hint="eastAsia" w:ascii="宋体" w:hAnsi="宋体"/>
          <w:b/>
          <w:sz w:val="28"/>
          <w:szCs w:val="28"/>
          <w:u w:val="none"/>
          <w:lang w:eastAsia="zh-CN"/>
        </w:rPr>
        <w:t>成都市双流区妇幼保健院二期业务楼第一批办公家具采购项目（第三次）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Arial"/>
          <w:bCs/>
          <w:color w:val="000000"/>
          <w:sz w:val="24"/>
        </w:rPr>
      </w:pPr>
      <w:r>
        <w:rPr>
          <w:rFonts w:hint="eastAsia" w:ascii="宋体" w:hAnsi="宋体"/>
          <w:b/>
          <w:sz w:val="28"/>
          <w:szCs w:val="28"/>
          <w:u w:val="none"/>
        </w:rPr>
        <w:t>项目编号：</w:t>
      </w:r>
      <w:r>
        <w:rPr>
          <w:rFonts w:hint="eastAsia" w:ascii="宋体" w:hAnsi="宋体"/>
          <w:b/>
          <w:sz w:val="28"/>
          <w:szCs w:val="28"/>
          <w:u w:val="none"/>
          <w:lang w:eastAsia="zh-CN"/>
        </w:rPr>
        <w:t>双流政采（2021）A0060号-1</w:t>
      </w:r>
      <w:r>
        <w:rPr>
          <w:rFonts w:hint="eastAsia" w:ascii="宋体" w:hAnsi="宋体"/>
          <w:bCs/>
          <w:sz w:val="28"/>
          <w:szCs w:val="28"/>
          <w:u w:val="none"/>
          <w:lang w:val="en-US" w:eastAsia="zh-CN"/>
        </w:rPr>
        <w:t xml:space="preserve">   </w:t>
      </w:r>
      <w:r>
        <w:rPr>
          <w:rFonts w:hint="eastAsia" w:ascii="宋体" w:hAnsi="宋体"/>
          <w:bCs/>
          <w:sz w:val="28"/>
          <w:szCs w:val="28"/>
          <w:lang w:val="en-US" w:eastAsia="zh-CN"/>
        </w:rPr>
        <w:t xml:space="preserve">               </w:t>
      </w:r>
    </w:p>
    <w:tbl>
      <w:tblPr>
        <w:tblStyle w:val="43"/>
        <w:tblpPr w:leftFromText="180" w:rightFromText="180" w:vertAnchor="text" w:horzAnchor="page" w:tblpX="2016" w:tblpY="582"/>
        <w:tblOverlap w:val="never"/>
        <w:tblW w:w="8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033"/>
        <w:gridCol w:w="901"/>
        <w:gridCol w:w="901"/>
        <w:gridCol w:w="901"/>
        <w:gridCol w:w="1205"/>
        <w:gridCol w:w="817"/>
        <w:gridCol w:w="945"/>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vAlign w:val="center"/>
          </w:tcPr>
          <w:p>
            <w:pPr>
              <w:spacing w:line="400" w:lineRule="exact"/>
              <w:jc w:val="center"/>
              <w:rPr>
                <w:rFonts w:ascii="宋体" w:hAnsi="宋体" w:cs="Arial"/>
                <w:color w:val="000000"/>
              </w:rPr>
            </w:pPr>
            <w:r>
              <w:rPr>
                <w:rFonts w:hint="eastAsia" w:ascii="宋体" w:hAnsi="宋体" w:cs="Arial"/>
                <w:color w:val="000000"/>
              </w:rPr>
              <w:t>类别</w:t>
            </w:r>
          </w:p>
        </w:tc>
        <w:tc>
          <w:tcPr>
            <w:tcW w:w="1033"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职务</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姓名</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职称</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常住地</w:t>
            </w:r>
          </w:p>
        </w:tc>
        <w:tc>
          <w:tcPr>
            <w:tcW w:w="3784" w:type="dxa"/>
            <w:gridSpan w:val="4"/>
            <w:vAlign w:val="center"/>
          </w:tcPr>
          <w:p>
            <w:pPr>
              <w:spacing w:line="400" w:lineRule="exact"/>
              <w:jc w:val="center"/>
              <w:rPr>
                <w:rFonts w:ascii="宋体" w:hAnsi="宋体" w:cs="Arial"/>
                <w:color w:val="000000"/>
              </w:rPr>
            </w:pPr>
            <w:r>
              <w:rPr>
                <w:rFonts w:hint="eastAsia" w:ascii="宋体" w:hAnsi="宋体" w:cs="Arial"/>
                <w:color w:val="000000"/>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vAlign w:val="center"/>
          </w:tcPr>
          <w:p>
            <w:pPr>
              <w:spacing w:line="400" w:lineRule="exact"/>
              <w:jc w:val="center"/>
              <w:rPr>
                <w:rFonts w:ascii="宋体" w:hAnsi="宋体" w:cs="Arial"/>
                <w:color w:val="000000"/>
              </w:rPr>
            </w:pPr>
          </w:p>
        </w:tc>
        <w:tc>
          <w:tcPr>
            <w:tcW w:w="1033"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1205" w:type="dxa"/>
            <w:vAlign w:val="center"/>
          </w:tcPr>
          <w:p>
            <w:pPr>
              <w:spacing w:line="400" w:lineRule="exact"/>
              <w:jc w:val="center"/>
              <w:rPr>
                <w:rFonts w:ascii="宋体" w:hAnsi="宋体" w:cs="Arial"/>
                <w:color w:val="000000"/>
              </w:rPr>
            </w:pPr>
            <w:r>
              <w:rPr>
                <w:rFonts w:hint="eastAsia" w:ascii="宋体" w:hAnsi="宋体" w:cs="Arial"/>
                <w:color w:val="000000"/>
              </w:rPr>
              <w:t>证书名称</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级别</w:t>
            </w:r>
          </w:p>
        </w:tc>
        <w:tc>
          <w:tcPr>
            <w:tcW w:w="945" w:type="dxa"/>
            <w:vAlign w:val="center"/>
          </w:tcPr>
          <w:p>
            <w:pPr>
              <w:spacing w:line="400" w:lineRule="exact"/>
              <w:jc w:val="center"/>
              <w:rPr>
                <w:rFonts w:ascii="宋体" w:hAnsi="宋体" w:cs="Arial"/>
                <w:color w:val="000000"/>
              </w:rPr>
            </w:pPr>
            <w:r>
              <w:rPr>
                <w:rFonts w:hint="eastAsia" w:ascii="宋体" w:hAnsi="宋体" w:cs="Arial"/>
                <w:color w:val="000000"/>
              </w:rPr>
              <w:t>证号</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管</w:t>
            </w:r>
          </w:p>
          <w:p>
            <w:pPr>
              <w:spacing w:line="400" w:lineRule="exact"/>
              <w:jc w:val="center"/>
              <w:rPr>
                <w:rFonts w:ascii="宋体" w:hAnsi="宋体" w:cs="Arial"/>
                <w:color w:val="000000"/>
              </w:rPr>
            </w:pPr>
            <w:r>
              <w:rPr>
                <w:rFonts w:hint="eastAsia" w:ascii="宋体" w:hAnsi="宋体" w:cs="Arial"/>
                <w:color w:val="000000"/>
              </w:rPr>
              <w:t>理</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sz w:val="28"/>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技</w:t>
            </w:r>
          </w:p>
          <w:p>
            <w:pPr>
              <w:spacing w:line="400" w:lineRule="exact"/>
              <w:jc w:val="center"/>
              <w:rPr>
                <w:rFonts w:ascii="宋体" w:hAnsi="宋体" w:cs="Arial"/>
                <w:color w:val="000000"/>
              </w:rPr>
            </w:pPr>
            <w:r>
              <w:rPr>
                <w:rFonts w:hint="eastAsia" w:ascii="宋体" w:hAnsi="宋体" w:cs="Arial"/>
                <w:color w:val="000000"/>
              </w:rPr>
              <w:t>术</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vAlign w:val="center"/>
          </w:tcPr>
          <w:p>
            <w:pPr>
              <w:spacing w:line="400" w:lineRule="exact"/>
              <w:jc w:val="center"/>
              <w:rPr>
                <w:rFonts w:hint="eastAsia" w:ascii="宋体" w:hAnsi="宋体" w:cs="Arial"/>
                <w:color w:val="000000"/>
              </w:rPr>
            </w:pPr>
            <w:r>
              <w:rPr>
                <w:rFonts w:hint="eastAsia" w:ascii="宋体" w:hAnsi="宋体" w:cs="Arial"/>
                <w:color w:val="000000"/>
              </w:rPr>
              <w:t>其</w:t>
            </w:r>
          </w:p>
          <w:p>
            <w:pPr>
              <w:spacing w:line="400" w:lineRule="exact"/>
              <w:jc w:val="center"/>
              <w:rPr>
                <w:rFonts w:ascii="宋体" w:hAnsi="宋体" w:cs="Arial"/>
                <w:color w:val="000000"/>
              </w:rPr>
            </w:pPr>
            <w:r>
              <w:rPr>
                <w:rFonts w:hint="eastAsia" w:ascii="宋体" w:hAnsi="宋体" w:cs="Arial"/>
                <w:color w:val="000000"/>
              </w:rPr>
              <w:t>他</w:t>
            </w:r>
          </w:p>
          <w:p>
            <w:pPr>
              <w:spacing w:line="400" w:lineRule="exact"/>
              <w:jc w:val="center"/>
              <w:rPr>
                <w:rFonts w:hint="eastAsia"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bl>
    <w:p>
      <w:pPr>
        <w:spacing w:after="120" w:line="360" w:lineRule="auto"/>
        <w:ind w:left="420" w:leftChars="200"/>
        <w:rPr>
          <w:rFonts w:hint="eastAsia" w:ascii="宋体" w:hAnsi="宋体"/>
          <w:bCs/>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lang w:eastAsia="zh-CN"/>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hint="eastAsia" w:ascii="宋体" w:hAnsi="宋体"/>
          <w:bCs/>
          <w:sz w:val="28"/>
        </w:rPr>
      </w:pPr>
    </w:p>
    <w:p>
      <w:pPr>
        <w:keepNext/>
        <w:keepLines/>
        <w:numPr>
          <w:ilvl w:val="2"/>
          <w:numId w:val="3"/>
        </w:numPr>
        <w:spacing w:line="360" w:lineRule="auto"/>
        <w:outlineLvl w:val="2"/>
        <w:rPr>
          <w:rFonts w:hint="eastAsia" w:ascii="宋体" w:hAnsi="宋体"/>
          <w:b/>
          <w:sz w:val="28"/>
          <w:szCs w:val="28"/>
          <w:lang w:val="en-US" w:eastAsia="zh-CN"/>
        </w:rPr>
      </w:pPr>
      <w:r>
        <w:rPr>
          <w:rFonts w:hint="eastAsia" w:ascii="宋体" w:hAnsi="宋体"/>
          <w:b/>
          <w:sz w:val="28"/>
          <w:szCs w:val="28"/>
          <w:lang w:val="en-US" w:eastAsia="zh-CN"/>
        </w:rPr>
        <w:t>投标人认为需要提供的其他文件和资料</w:t>
      </w:r>
    </w:p>
    <w:p>
      <w:pPr>
        <w:pStyle w:val="2"/>
        <w:rPr>
          <w:rFonts w:hint="eastAsia" w:ascii="宋体" w:hAnsi="宋体" w:eastAsia="宋体" w:cs="宋体"/>
          <w:b/>
          <w:kern w:val="0"/>
          <w:sz w:val="32"/>
          <w:szCs w:val="28"/>
          <w:lang w:val="en-US" w:eastAsia="zh-CN"/>
        </w:rPr>
      </w:pPr>
    </w:p>
    <w:p>
      <w:pPr>
        <w:rPr>
          <w:rFonts w:ascii="宋体" w:hAnsi="宋体" w:cs="宋体"/>
          <w:b/>
          <w:kern w:val="0"/>
          <w:sz w:val="32"/>
          <w:szCs w:val="28"/>
        </w:rPr>
      </w:pPr>
    </w:p>
    <w:p>
      <w:pPr>
        <w:pStyle w:val="2"/>
        <w:rPr>
          <w:rFonts w:ascii="宋体" w:hAnsi="宋体" w:cs="宋体"/>
          <w:b/>
          <w:kern w:val="0"/>
          <w:sz w:val="32"/>
          <w:szCs w:val="28"/>
        </w:rPr>
      </w:pPr>
    </w:p>
    <w:p/>
    <w:p>
      <w:pPr>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rPr>
        <w:t>关于本项目需要提供的相关</w:t>
      </w:r>
      <w:r>
        <w:rPr>
          <w:rFonts w:hint="eastAsia" w:ascii="宋体" w:hAnsi="宋体" w:eastAsia="宋体" w:cs="宋体"/>
          <w:b/>
          <w:kern w:val="0"/>
          <w:sz w:val="28"/>
          <w:szCs w:val="28"/>
          <w:lang w:val="en-US" w:eastAsia="zh-CN"/>
        </w:rPr>
        <w:t>证明材料</w:t>
      </w:r>
    </w:p>
    <w:p>
      <w:pPr>
        <w:adjustRightInd w:val="0"/>
        <w:spacing w:line="400" w:lineRule="exact"/>
        <w:jc w:val="center"/>
        <w:rPr>
          <w:rFonts w:ascii="宋体" w:hAnsi="宋体"/>
          <w:bCs/>
          <w:sz w:val="28"/>
        </w:rPr>
      </w:pPr>
      <w:r>
        <w:rPr>
          <w:rFonts w:hint="eastAsia" w:ascii="宋体" w:hAnsi="宋体" w:eastAsia="宋体" w:cs="宋体"/>
          <w:b/>
          <w:kern w:val="0"/>
          <w:sz w:val="28"/>
          <w:szCs w:val="28"/>
        </w:rPr>
        <w:t>（具体内容由各投标人自拟）</w:t>
      </w:r>
    </w:p>
    <w:p>
      <w:pPr>
        <w:adjustRightInd w:val="0"/>
        <w:spacing w:line="400" w:lineRule="exact"/>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pPr>
    </w:p>
    <w:p>
      <w:pPr>
        <w:keepNext/>
        <w:keepLines/>
        <w:numPr>
          <w:ilvl w:val="1"/>
          <w:numId w:val="3"/>
        </w:numPr>
        <w:spacing w:line="360" w:lineRule="auto"/>
        <w:jc w:val="left"/>
        <w:outlineLvl w:val="1"/>
        <w:rPr>
          <w:rFonts w:ascii="宋体" w:hAnsi="宋体"/>
          <w:b/>
          <w:bCs/>
          <w:sz w:val="28"/>
          <w:szCs w:val="28"/>
        </w:rPr>
      </w:pPr>
      <w:r>
        <w:rPr>
          <w:rFonts w:hint="eastAsia" w:ascii="宋体" w:hAnsi="宋体"/>
          <w:b/>
          <w:bCs/>
          <w:sz w:val="28"/>
          <w:szCs w:val="28"/>
        </w:rPr>
        <w:t xml:space="preserve"> </w:t>
      </w:r>
      <w:bookmarkStart w:id="151" w:name="_Toc1369"/>
      <w:r>
        <w:rPr>
          <w:rFonts w:hint="eastAsia" w:ascii="宋体" w:hAnsi="宋体"/>
          <w:b/>
          <w:bCs/>
          <w:sz w:val="28"/>
          <w:szCs w:val="28"/>
        </w:rPr>
        <w:t>报价</w:t>
      </w:r>
      <w:r>
        <w:rPr>
          <w:rFonts w:ascii="宋体" w:hAnsi="宋体"/>
          <w:b/>
          <w:bCs/>
          <w:sz w:val="28"/>
          <w:szCs w:val="28"/>
        </w:rPr>
        <w:t>要求响应文件</w:t>
      </w:r>
      <w:bookmarkEnd w:id="151"/>
    </w:p>
    <w:p>
      <w:pPr>
        <w:keepNext/>
        <w:keepLines/>
        <w:numPr>
          <w:ilvl w:val="2"/>
          <w:numId w:val="3"/>
        </w:numPr>
        <w:spacing w:line="360" w:lineRule="auto"/>
        <w:outlineLvl w:val="2"/>
        <w:rPr>
          <w:rFonts w:ascii="宋体" w:hAnsi="宋体"/>
          <w:b/>
          <w:bCs/>
          <w:sz w:val="28"/>
          <w:szCs w:val="28"/>
        </w:rPr>
      </w:pPr>
      <w:r>
        <w:rPr>
          <w:rFonts w:hint="eastAsia" w:ascii="宋体" w:hAnsi="宋体"/>
          <w:b/>
          <w:bCs/>
          <w:sz w:val="28"/>
          <w:szCs w:val="28"/>
        </w:rPr>
        <w:t>开标</w:t>
      </w:r>
      <w:r>
        <w:rPr>
          <w:rFonts w:ascii="宋体" w:hAnsi="宋体"/>
          <w:b/>
          <w:bCs/>
          <w:sz w:val="28"/>
          <w:szCs w:val="28"/>
        </w:rPr>
        <w:t>一览表</w:t>
      </w:r>
    </w:p>
    <w:p>
      <w:pPr>
        <w:tabs>
          <w:tab w:val="left" w:pos="1134"/>
        </w:tabs>
        <w:spacing w:line="560" w:lineRule="exact"/>
        <w:ind w:firstLine="562" w:firstLineChars="200"/>
        <w:rPr>
          <w:rFonts w:hint="eastAsia" w:ascii="宋体" w:hAnsi="宋体"/>
          <w:b/>
          <w:bCs/>
          <w:sz w:val="28"/>
          <w:szCs w:val="28"/>
          <w:lang w:eastAsia="zh-CN"/>
        </w:rPr>
      </w:pPr>
      <w:r>
        <w:rPr>
          <w:rFonts w:hint="eastAsia" w:ascii="宋体" w:hAnsi="宋体"/>
          <w:b/>
          <w:bCs/>
          <w:sz w:val="28"/>
          <w:szCs w:val="28"/>
        </w:rPr>
        <w:t>标项1：</w:t>
      </w:r>
      <w:r>
        <w:rPr>
          <w:rFonts w:hint="eastAsia" w:ascii="宋体" w:hAnsi="宋体"/>
          <w:b/>
          <w:bCs/>
          <w:sz w:val="28"/>
          <w:szCs w:val="28"/>
          <w:lang w:eastAsia="zh-CN"/>
        </w:rPr>
        <w:t>成都市双流区妇幼保健院二期业务楼第一批办公家具采购项目（第三次）</w:t>
      </w:r>
    </w:p>
    <w:p>
      <w:pPr>
        <w:pStyle w:val="2"/>
        <w:rPr>
          <w:rFonts w:hint="eastAsia"/>
          <w:lang w:eastAsia="zh-CN"/>
        </w:rPr>
      </w:pP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jc w:val="center"/>
              <w:rPr>
                <w:rFonts w:ascii="宋体" w:hAnsi="宋体"/>
                <w:sz w:val="28"/>
                <w:szCs w:val="28"/>
              </w:rPr>
            </w:pPr>
            <w:r>
              <w:rPr>
                <w:rFonts w:hint="eastAsia" w:ascii="宋体" w:hAnsi="宋体"/>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rPr>
                <w:rFonts w:ascii="宋体" w:hAnsi="宋体"/>
                <w:sz w:val="28"/>
                <w:szCs w:val="28"/>
              </w:rPr>
            </w:pPr>
          </w:p>
        </w:tc>
      </w:tr>
    </w:tbl>
    <w:p>
      <w:pPr>
        <w:tabs>
          <w:tab w:val="left" w:pos="1134"/>
        </w:tabs>
        <w:spacing w:line="560" w:lineRule="exact"/>
        <w:ind w:firstLine="425" w:firstLineChars="152"/>
        <w:rPr>
          <w:rFonts w:ascii="宋体" w:hAnsi="宋体"/>
          <w:sz w:val="28"/>
          <w:szCs w:val="28"/>
        </w:rPr>
      </w:pPr>
      <w:r>
        <w:rPr>
          <w:rFonts w:hint="eastAsia" w:ascii="宋体" w:hAnsi="宋体"/>
          <w:sz w:val="28"/>
          <w:szCs w:val="28"/>
        </w:rPr>
        <w:t>投标报价（大写人民币）：</w:t>
      </w:r>
      <w:r>
        <w:rPr>
          <w:rFonts w:hint="eastAsia" w:ascii="宋体" w:hAnsi="宋体"/>
          <w:sz w:val="28"/>
          <w:szCs w:val="28"/>
          <w:u w:val="single"/>
        </w:rPr>
        <w:t>XXXX元</w:t>
      </w:r>
    </w:p>
    <w:p>
      <w:pPr>
        <w:pStyle w:val="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报价明细表</w:t>
      </w:r>
    </w:p>
    <w:p>
      <w:pPr>
        <w:snapToGrid w:val="0"/>
        <w:spacing w:line="360" w:lineRule="auto"/>
        <w:ind w:right="-624" w:rightChars="-297"/>
        <w:rPr>
          <w:rFonts w:hint="eastAsia" w:ascii="宋体" w:hAnsi="宋体"/>
          <w:b/>
          <w:sz w:val="28"/>
          <w:szCs w:val="28"/>
          <w:u w:val="none"/>
          <w:lang w:eastAsia="zh-CN"/>
        </w:rPr>
      </w:pPr>
      <w:r>
        <w:rPr>
          <w:rFonts w:hint="eastAsia" w:ascii="宋体" w:hAnsi="宋体"/>
          <w:b/>
          <w:sz w:val="28"/>
          <w:szCs w:val="28"/>
          <w:u w:val="none"/>
        </w:rPr>
        <w:t>项目名称：</w:t>
      </w:r>
      <w:r>
        <w:rPr>
          <w:rFonts w:hint="eastAsia" w:ascii="宋体" w:hAnsi="宋体"/>
          <w:b/>
          <w:sz w:val="28"/>
          <w:szCs w:val="28"/>
          <w:u w:val="none"/>
          <w:lang w:eastAsia="zh-CN"/>
        </w:rPr>
        <w:t>成都市双流区妇幼保健院二期业务楼第一批办公家具</w:t>
      </w:r>
    </w:p>
    <w:p>
      <w:pPr>
        <w:snapToGrid w:val="0"/>
        <w:spacing w:line="360" w:lineRule="auto"/>
        <w:ind w:right="-624" w:rightChars="-297" w:firstLine="1405" w:firstLineChars="500"/>
        <w:rPr>
          <w:rFonts w:hint="eastAsia" w:ascii="宋体" w:hAnsi="宋体" w:eastAsia="宋体"/>
          <w:b/>
          <w:sz w:val="28"/>
          <w:szCs w:val="28"/>
          <w:u w:val="none"/>
          <w:lang w:eastAsia="zh-CN"/>
        </w:rPr>
      </w:pPr>
      <w:r>
        <w:rPr>
          <w:rFonts w:hint="eastAsia" w:ascii="宋体" w:hAnsi="宋体"/>
          <w:b/>
          <w:sz w:val="28"/>
          <w:szCs w:val="28"/>
          <w:u w:val="none"/>
          <w:lang w:eastAsia="zh-CN"/>
        </w:rPr>
        <w:t>采购项目（第</w:t>
      </w:r>
      <w:r>
        <w:rPr>
          <w:rFonts w:hint="eastAsia" w:ascii="宋体" w:hAnsi="宋体"/>
          <w:b/>
          <w:sz w:val="28"/>
          <w:szCs w:val="28"/>
          <w:u w:val="none"/>
          <w:lang w:val="en-US" w:eastAsia="zh-CN"/>
        </w:rPr>
        <w:t>三</w:t>
      </w:r>
      <w:r>
        <w:rPr>
          <w:rFonts w:hint="eastAsia" w:ascii="宋体" w:hAnsi="宋体"/>
          <w:b/>
          <w:sz w:val="28"/>
          <w:szCs w:val="28"/>
          <w:u w:val="none"/>
          <w:lang w:eastAsia="zh-CN"/>
        </w:rPr>
        <w:t>次）</w:t>
      </w:r>
    </w:p>
    <w:p>
      <w:pPr>
        <w:snapToGrid w:val="0"/>
        <w:spacing w:line="360" w:lineRule="auto"/>
        <w:ind w:right="-624" w:rightChars="-297"/>
        <w:rPr>
          <w:rFonts w:hint="eastAsia" w:ascii="宋体" w:hAnsi="宋体" w:eastAsia="宋体"/>
          <w:b/>
          <w:bCs/>
          <w:sz w:val="28"/>
          <w:u w:val="none"/>
          <w:lang w:eastAsia="zh-CN"/>
        </w:rPr>
      </w:pPr>
      <w:r>
        <w:rPr>
          <w:rFonts w:hint="eastAsia" w:ascii="宋体" w:hAnsi="宋体"/>
          <w:b/>
          <w:sz w:val="28"/>
          <w:szCs w:val="28"/>
          <w:u w:val="none"/>
        </w:rPr>
        <w:t>项目编号：</w:t>
      </w:r>
      <w:r>
        <w:rPr>
          <w:rFonts w:hint="eastAsia" w:ascii="宋体" w:hAnsi="宋体"/>
          <w:b/>
          <w:sz w:val="28"/>
          <w:szCs w:val="28"/>
          <w:u w:val="none"/>
          <w:lang w:eastAsia="zh-CN"/>
        </w:rPr>
        <w:t>双流政采（2021）A0060号-1</w:t>
      </w:r>
    </w:p>
    <w:tbl>
      <w:tblPr>
        <w:tblStyle w:val="43"/>
        <w:tblpPr w:leftFromText="180" w:rightFromText="180" w:vertAnchor="text" w:tblpXSpec="center" w:tblpY="1"/>
        <w:tblOverlap w:val="never"/>
        <w:tblW w:w="8968"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808"/>
        <w:gridCol w:w="726"/>
        <w:gridCol w:w="2268"/>
        <w:gridCol w:w="683"/>
        <w:gridCol w:w="776"/>
        <w:gridCol w:w="689"/>
        <w:gridCol w:w="775"/>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b/>
                <w:sz w:val="22"/>
              </w:rPr>
            </w:pPr>
            <w:r>
              <w:rPr>
                <w:rFonts w:hint="eastAsia" w:ascii="宋体" w:hAnsi="宋体" w:cs="宋体"/>
                <w:b/>
                <w:sz w:val="22"/>
              </w:rPr>
              <w:t>序号</w:t>
            </w:r>
          </w:p>
        </w:tc>
        <w:tc>
          <w:tcPr>
            <w:tcW w:w="18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sz w:val="22"/>
              </w:rPr>
            </w:pPr>
            <w:r>
              <w:rPr>
                <w:rFonts w:hint="eastAsia" w:ascii="宋体" w:hAnsi="宋体" w:cs="宋体"/>
                <w:b/>
                <w:sz w:val="22"/>
              </w:rPr>
              <w:t>货物名称（标的名称）</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sz w:val="22"/>
              </w:rPr>
            </w:pPr>
            <w:r>
              <w:rPr>
                <w:rFonts w:hint="eastAsia" w:ascii="宋体" w:hAnsi="宋体" w:cs="宋体"/>
                <w:b/>
                <w:sz w:val="22"/>
              </w:rPr>
              <w:t>品牌</w:t>
            </w:r>
          </w:p>
        </w:tc>
        <w:tc>
          <w:tcPr>
            <w:tcW w:w="22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sz w:val="22"/>
              </w:rPr>
            </w:pPr>
            <w:r>
              <w:rPr>
                <w:rFonts w:hint="eastAsia" w:ascii="宋体" w:hAnsi="宋体" w:cs="宋体"/>
                <w:b/>
                <w:sz w:val="22"/>
              </w:rPr>
              <w:t>规格型号(mm)</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sz w:val="22"/>
              </w:rPr>
            </w:pPr>
            <w:r>
              <w:rPr>
                <w:rFonts w:hint="eastAsia" w:ascii="宋体" w:hAnsi="宋体" w:cs="宋体"/>
                <w:b/>
                <w:sz w:val="22"/>
              </w:rPr>
              <w:t>制造商</w:t>
            </w:r>
          </w:p>
        </w:tc>
        <w:tc>
          <w:tcPr>
            <w:tcW w:w="7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sz w:val="22"/>
              </w:rPr>
            </w:pPr>
            <w:r>
              <w:rPr>
                <w:rFonts w:hint="eastAsia" w:ascii="宋体" w:hAnsi="宋体" w:cs="宋体"/>
                <w:b/>
                <w:sz w:val="22"/>
              </w:rPr>
              <w:t>数量</w:t>
            </w:r>
          </w:p>
        </w:tc>
        <w:tc>
          <w:tcPr>
            <w:tcW w:w="6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sz w:val="22"/>
              </w:rPr>
            </w:pPr>
            <w:r>
              <w:rPr>
                <w:rFonts w:hint="eastAsia" w:ascii="宋体" w:hAnsi="宋体" w:cs="宋体"/>
                <w:b/>
                <w:sz w:val="22"/>
              </w:rPr>
              <w:t>单位</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sz w:val="22"/>
              </w:rPr>
            </w:pPr>
            <w:r>
              <w:rPr>
                <w:rFonts w:hint="eastAsia" w:ascii="宋体" w:hAnsi="宋体" w:cs="宋体"/>
                <w:b/>
                <w:sz w:val="22"/>
              </w:rPr>
              <w:t>单价（元）</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sz w:val="22"/>
              </w:rPr>
            </w:pPr>
            <w:r>
              <w:rPr>
                <w:rFonts w:hint="eastAsia" w:ascii="宋体" w:hAnsi="宋体" w:cs="宋体"/>
                <w:b/>
                <w:sz w:val="22"/>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电脑办公桌</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2"/>
                <w:sz w:val="24"/>
                <w:szCs w:val="24"/>
                <w:lang w:val="en-US" w:eastAsia="zh-CN" w:bidi="ar-SA"/>
              </w:rPr>
            </w:pPr>
            <w:r>
              <w:rPr>
                <w:rFonts w:hint="eastAsia" w:asciiTheme="minorHAnsi"/>
                <w:sz w:val="20"/>
                <w:szCs w:val="20"/>
              </w:rPr>
              <w:t>1400*700*750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105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张</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直型办公桌</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2"/>
                <w:sz w:val="24"/>
                <w:szCs w:val="24"/>
                <w:lang w:val="en-US" w:eastAsia="zh-CN" w:bidi="ar-SA"/>
              </w:rPr>
            </w:pPr>
            <w:r>
              <w:rPr>
                <w:rFonts w:hint="eastAsia" w:asciiTheme="minorHAnsi"/>
                <w:sz w:val="20"/>
                <w:szCs w:val="20"/>
              </w:rPr>
              <w:t>1400*700*1100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48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位</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多功能保险柜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2"/>
                <w:sz w:val="24"/>
                <w:szCs w:val="24"/>
                <w:lang w:val="en-US" w:eastAsia="zh-CN" w:bidi="ar-SA"/>
              </w:rPr>
            </w:pPr>
            <w:r>
              <w:rPr>
                <w:rFonts w:hint="eastAsia" w:asciiTheme="minorHAnsi"/>
                <w:sz w:val="20"/>
                <w:szCs w:val="20"/>
              </w:rPr>
              <w:t>430*380*340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17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个</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病区壁柜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2"/>
                <w:sz w:val="24"/>
                <w:szCs w:val="24"/>
                <w:lang w:val="en-US" w:eastAsia="zh-CN" w:bidi="ar-SA"/>
              </w:rPr>
            </w:pPr>
            <w:r>
              <w:rPr>
                <w:rFonts w:hint="eastAsia" w:asciiTheme="minorHAnsi"/>
                <w:sz w:val="20"/>
                <w:szCs w:val="20"/>
              </w:rPr>
              <w:t>5400*600*420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个</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餐桌</w:t>
            </w:r>
            <w:r>
              <w:rPr>
                <w:rFonts w:hint="eastAsia" w:asciiTheme="minorHAnsi"/>
                <w:sz w:val="20"/>
                <w:szCs w:val="20"/>
              </w:rPr>
              <w:br w:type="textWrapping"/>
            </w:r>
            <w:r>
              <w:rPr>
                <w:rFonts w:hint="eastAsia" w:asciiTheme="minorHAnsi"/>
                <w:sz w:val="20"/>
                <w:szCs w:val="20"/>
              </w:rPr>
              <w:t>生活区（1桌4椅）</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2"/>
                <w:sz w:val="24"/>
                <w:szCs w:val="24"/>
                <w:lang w:val="en-US" w:eastAsia="zh-CN" w:bidi="ar-SA"/>
              </w:rPr>
            </w:pPr>
            <w:r>
              <w:rPr>
                <w:rFonts w:hint="eastAsia" w:asciiTheme="minorHAnsi"/>
                <w:sz w:val="20"/>
                <w:szCs w:val="20"/>
              </w:rPr>
              <w:t>1200*600*750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12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套</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餐桌、配套椅子（配餐间可收放）</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2"/>
                <w:sz w:val="24"/>
                <w:szCs w:val="24"/>
                <w:lang w:val="en-US" w:eastAsia="zh-CN" w:bidi="ar-SA"/>
              </w:rPr>
            </w:pPr>
            <w:r>
              <w:rPr>
                <w:rFonts w:hint="eastAsia" w:asciiTheme="minorHAnsi"/>
                <w:sz w:val="20"/>
                <w:szCs w:val="20"/>
              </w:rPr>
              <w:t>1200*600*750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19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茶几</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2"/>
                <w:sz w:val="24"/>
                <w:szCs w:val="24"/>
                <w:lang w:val="en-US" w:eastAsia="zh-CN" w:bidi="ar-SA"/>
              </w:rPr>
            </w:pPr>
            <w:r>
              <w:rPr>
                <w:rFonts w:hint="eastAsia" w:asciiTheme="minorHAnsi"/>
                <w:sz w:val="20"/>
                <w:szCs w:val="20"/>
              </w:rPr>
              <w:t>1200*600*450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12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张</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各病区储物柜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三人房：2700*3300*600           双人房：3000*2800*600     儿科房：2000*2700*600     产房：3000*3000*600     手术室：3000*3000*600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135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个</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各病区库房储物架</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2000*2000*600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33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高低床</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1000*2000*1800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59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套</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更衣柜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900*550*1950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73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等侯椅（三人位）</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1800*750*890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100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护士站大理石桌子</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（800+5600）*700*1050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50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米</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靠背木椅</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常规</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94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把</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可移动简易书桌</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常规</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32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张</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配奶台</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1200*600*1800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2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张</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L组合型沙发</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3人位+单人位</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16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示教室椅</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常规</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320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把</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示教室桌子</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1400*400*750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155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张</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手术圆凳</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常规</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44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把</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踏脚凳</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常规</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11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把</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躺椅</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常规</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2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把</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调剂台</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1600*1500*1800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4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张</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文件柜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900*400*1800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72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五节档案柜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900*400*2020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物品柜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900*400*1800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4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鞋柜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1200*300*2000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12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鞋架</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1200*400*450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14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办公椅</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680*590*1010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134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把</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药架1（双面）</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920*975*2000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20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药架2（单向）</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920*510*2000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20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圆盘摆药架</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Φ920*2000*8层</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2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不锈钢鞋架</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800*350*1000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10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组</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手动有轨档案密集架</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900*580*2500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asciiTheme="minorHAnsi"/>
                <w:sz w:val="20"/>
                <w:szCs w:val="20"/>
              </w:rPr>
              <w:t>159.7</w:t>
            </w:r>
            <w:r>
              <w:rPr>
                <w:rFonts w:hint="eastAsia" w:asciiTheme="minorHAnsi"/>
                <w:sz w:val="20"/>
                <w:szCs w:val="20"/>
              </w:rPr>
              <w:t xml:space="preserve">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立方米</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长条凳</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1200*400*450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4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张</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独凳</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Φ330*450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 xml:space="preserve">30 </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把</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订制组合沙发</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asciiTheme="minorHAnsi"/>
                <w:sz w:val="20"/>
                <w:szCs w:val="20"/>
              </w:rPr>
              <w:t>1800*1800*460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36</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套</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订制儿童沙发</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hAnsi="宋体" w:asciiTheme="minorHAnsi"/>
                <w:sz w:val="20"/>
                <w:szCs w:val="20"/>
              </w:rPr>
              <w:t>1600*3800*420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1</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套</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订制儿童沙发</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hAnsi="宋体" w:asciiTheme="minorHAnsi"/>
                <w:sz w:val="20"/>
                <w:szCs w:val="20"/>
              </w:rPr>
              <w:t>2000*650*650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2</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套</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订制儿童沙发</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hAnsi="宋体" w:asciiTheme="minorHAnsi"/>
                <w:sz w:val="20"/>
                <w:szCs w:val="20"/>
              </w:rPr>
              <w:t>直径3600由8个拼接，配7人五边形座包</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1</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套</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2"/>
              </w:rPr>
            </w:pPr>
            <w:r>
              <w:rPr>
                <w:rFonts w:hint="eastAsia" w:asciiTheme="minorHAnsi"/>
                <w:sz w:val="20"/>
                <w:szCs w:val="20"/>
              </w:rPr>
              <w:t>订制儿童沙发</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hAnsi="宋体" w:asciiTheme="minorHAnsi"/>
                <w:sz w:val="20"/>
                <w:szCs w:val="20"/>
              </w:rPr>
              <w:t>1200*680*810</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8</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个</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03"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pageBreakBefore w:val="0"/>
              <w:widowControl w:val="0"/>
              <w:numPr>
                <w:ilvl w:val="0"/>
                <w:numId w:val="37"/>
              </w:numPr>
              <w:kinsoku/>
              <w:wordWrap/>
              <w:overflowPunct/>
              <w:topLinePunct w:val="0"/>
              <w:autoSpaceDE/>
              <w:autoSpaceDN/>
              <w:bidi w:val="0"/>
              <w:adjustRightInd/>
              <w:snapToGrid/>
              <w:spacing w:line="240" w:lineRule="auto"/>
              <w:ind w:left="420" w:firstLineChars="0"/>
              <w:jc w:val="center"/>
              <w:textAlignment w:val="auto"/>
              <w:rPr>
                <w:rFonts w:ascii="宋体" w:hAnsi="宋体" w:eastAsia="宋体" w:cs="宋体"/>
                <w:sz w:val="22"/>
              </w:rPr>
            </w:pPr>
          </w:p>
        </w:tc>
        <w:tc>
          <w:tcPr>
            <w:tcW w:w="180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2"/>
              </w:rPr>
            </w:pPr>
            <w:r>
              <w:rPr>
                <w:rFonts w:hint="eastAsia" w:asciiTheme="minorHAnsi"/>
                <w:sz w:val="20"/>
                <w:szCs w:val="20"/>
              </w:rPr>
              <w:t>订制ICU操作台柜</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lang w:val="en-US" w:eastAsia="zh-CN" w:bidi="ar-SA"/>
              </w:rPr>
            </w:pPr>
            <w:r>
              <w:rPr>
                <w:rFonts w:hint="eastAsia" w:hAnsi="宋体" w:asciiTheme="minorHAnsi"/>
                <w:sz w:val="20"/>
                <w:szCs w:val="20"/>
              </w:rPr>
              <w:t>订制（高900/600*厚600*长度订制）</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5</w:t>
            </w:r>
          </w:p>
        </w:tc>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Theme="minorHAnsi"/>
                <w:sz w:val="20"/>
                <w:szCs w:val="20"/>
              </w:rPr>
              <w:t>套</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c>
          <w:tcPr>
            <w:tcW w:w="8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sz w:val="22"/>
              </w:rPr>
            </w:pPr>
          </w:p>
        </w:tc>
      </w:tr>
    </w:tbl>
    <w:p>
      <w:pPr>
        <w:spacing w:line="440" w:lineRule="atLeast"/>
        <w:ind w:firstLine="419" w:firstLineChars="149"/>
        <w:rPr>
          <w:rFonts w:hint="eastAsia" w:ascii="宋体" w:hAnsi="宋体" w:eastAsia="宋体" w:cs="Times New Roman"/>
          <w:b/>
          <w:sz w:val="28"/>
          <w:szCs w:val="28"/>
        </w:rPr>
      </w:pPr>
      <w:r>
        <w:rPr>
          <w:rFonts w:hint="eastAsia" w:ascii="宋体" w:hAnsi="宋体" w:eastAsia="宋体" w:cs="Times New Roman"/>
          <w:b/>
          <w:sz w:val="28"/>
          <w:szCs w:val="28"/>
        </w:rPr>
        <w:t>说明： 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eastAsia="宋体" w:cs="Times New Roman"/>
          <w:b/>
          <w:sz w:val="28"/>
          <w:szCs w:val="28"/>
        </w:rPr>
        <w:t>2、分项报价明细表格式中要求填写品牌、规格型号、制造商、进口或国产的，投标人必须载明其投标产品的品牌、规格型号、制造商、进口或国产。</w:t>
      </w:r>
    </w:p>
    <w:p>
      <w:pPr>
        <w:pStyle w:val="2"/>
        <w:rPr>
          <w:rFonts w:ascii="宋体" w:hAnsi="宋体"/>
          <w:b/>
          <w:sz w:val="28"/>
          <w:szCs w:val="28"/>
        </w:rPr>
      </w:pPr>
    </w:p>
    <w:p>
      <w:pPr>
        <w:rPr>
          <w:rFonts w:ascii="宋体" w:hAnsi="宋体"/>
          <w:b/>
          <w:sz w:val="28"/>
          <w:szCs w:val="28"/>
        </w:rPr>
      </w:pPr>
    </w:p>
    <w:p>
      <w:pPr>
        <w:pStyle w:val="2"/>
        <w:rPr>
          <w:rFonts w:ascii="宋体" w:hAnsi="宋体"/>
          <w:b/>
          <w:sz w:val="28"/>
          <w:szCs w:val="28"/>
        </w:rPr>
      </w:pPr>
    </w:p>
    <w:p>
      <w:pPr>
        <w:rPr>
          <w:rFonts w:ascii="宋体" w:hAnsi="宋体"/>
          <w:b/>
          <w:sz w:val="28"/>
          <w:szCs w:val="28"/>
        </w:rPr>
      </w:pPr>
    </w:p>
    <w:p>
      <w:pPr>
        <w:pStyle w:val="2"/>
        <w:rPr>
          <w:rFonts w:ascii="宋体" w:hAnsi="宋体"/>
          <w:b/>
          <w:sz w:val="28"/>
          <w:szCs w:val="28"/>
        </w:rPr>
      </w:pPr>
    </w:p>
    <w:bookmarkEnd w:id="150"/>
    <w:p>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52" w:name="_Toc1635"/>
      <w:bookmarkStart w:id="153" w:name="_Toc217446093"/>
      <w:bookmarkStart w:id="154" w:name="_Toc321382057"/>
      <w:bookmarkStart w:id="155" w:name="_Toc316292231"/>
      <w:r>
        <w:rPr>
          <w:rFonts w:hint="eastAsia" w:ascii="宋体" w:hAnsi="宋体"/>
          <w:b/>
          <w:bCs/>
          <w:spacing w:val="-20"/>
          <w:kern w:val="44"/>
          <w:sz w:val="32"/>
          <w:szCs w:val="32"/>
        </w:rPr>
        <w:t>招标项目技术、服务、商务及其他要求</w:t>
      </w:r>
      <w:bookmarkEnd w:id="152"/>
      <w:bookmarkEnd w:id="153"/>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6" w:name="_Toc28146"/>
      <w:r>
        <w:rPr>
          <w:rFonts w:hint="eastAsia" w:ascii="宋体" w:hAnsi="宋体"/>
          <w:b/>
          <w:bCs/>
          <w:sz w:val="28"/>
          <w:szCs w:val="28"/>
        </w:rPr>
        <w:t>项目概况</w:t>
      </w:r>
      <w:bookmarkEnd w:id="156"/>
    </w:p>
    <w:p>
      <w:pPr>
        <w:tabs>
          <w:tab w:val="left" w:pos="851"/>
        </w:tabs>
        <w:spacing w:line="360" w:lineRule="auto"/>
        <w:ind w:firstLine="565" w:firstLineChars="202"/>
        <w:rPr>
          <w:rFonts w:ascii="宋体" w:hAnsi="宋体"/>
          <w:sz w:val="28"/>
          <w:szCs w:val="28"/>
        </w:rPr>
      </w:pPr>
      <w:r>
        <w:rPr>
          <w:rFonts w:hint="eastAsia" w:ascii="宋体" w:hAnsi="宋体"/>
          <w:sz w:val="28"/>
          <w:szCs w:val="28"/>
        </w:rPr>
        <w:t>成都市双流区妇幼保健院二期业务楼采购第一批办公家具。</w:t>
      </w:r>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7" w:name="_Toc19437"/>
      <w:r>
        <w:rPr>
          <w:rFonts w:hint="eastAsia" w:ascii="宋体" w:hAnsi="宋体"/>
          <w:b/>
          <w:bCs/>
          <w:sz w:val="28"/>
          <w:szCs w:val="28"/>
        </w:rPr>
        <w:t>采购内容</w:t>
      </w:r>
      <w:bookmarkEnd w:id="157"/>
    </w:p>
    <w:tbl>
      <w:tblPr>
        <w:tblStyle w:val="43"/>
        <w:tblW w:w="9217" w:type="dxa"/>
        <w:jc w:val="center"/>
        <w:tblLayout w:type="fixed"/>
        <w:tblCellMar>
          <w:top w:w="0" w:type="dxa"/>
          <w:left w:w="0" w:type="dxa"/>
          <w:bottom w:w="0" w:type="dxa"/>
          <w:right w:w="0" w:type="dxa"/>
        </w:tblCellMar>
      </w:tblPr>
      <w:tblGrid>
        <w:gridCol w:w="577"/>
        <w:gridCol w:w="2303"/>
        <w:gridCol w:w="2615"/>
        <w:gridCol w:w="749"/>
        <w:gridCol w:w="567"/>
        <w:gridCol w:w="1024"/>
        <w:gridCol w:w="1382"/>
      </w:tblGrid>
      <w:tr>
        <w:tblPrEx>
          <w:tblCellMar>
            <w:top w:w="0" w:type="dxa"/>
            <w:left w:w="0" w:type="dxa"/>
            <w:bottom w:w="0" w:type="dxa"/>
            <w:right w:w="0" w:type="dxa"/>
          </w:tblCellMar>
        </w:tblPrEx>
        <w:trPr>
          <w:trHeight w:val="918"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序号</w:t>
            </w: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货物名称</w:t>
            </w:r>
          </w:p>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（标的名称）</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规格（mm)</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数量</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单位</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所属行业</w:t>
            </w:r>
          </w:p>
        </w:tc>
        <w:tc>
          <w:tcPr>
            <w:tcW w:w="13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单价最高</w:t>
            </w:r>
          </w:p>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限价（元）</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电脑办公桌</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1400*700*750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105</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张</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直型办公桌</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1400*700*1100</w:t>
            </w:r>
          </w:p>
        </w:tc>
        <w:tc>
          <w:tcPr>
            <w:tcW w:w="7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48</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位</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2100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多功能保险柜</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430*380*340</w:t>
            </w:r>
          </w:p>
        </w:tc>
        <w:tc>
          <w:tcPr>
            <w:tcW w:w="7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17</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个</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1800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病区壁柜</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5400*600*420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10</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个</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3650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餐桌</w:t>
            </w:r>
            <w:r>
              <w:rPr>
                <w:rFonts w:hint="eastAsia" w:asciiTheme="minorHAnsi"/>
                <w:sz w:val="20"/>
                <w:szCs w:val="20"/>
              </w:rPr>
              <w:br w:type="textWrapping"/>
            </w:r>
            <w:r>
              <w:rPr>
                <w:rFonts w:hint="eastAsia" w:asciiTheme="minorHAnsi"/>
                <w:sz w:val="20"/>
                <w:szCs w:val="20"/>
              </w:rPr>
              <w:t>生活区（1桌4椅）</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1200*600*750</w:t>
            </w:r>
          </w:p>
        </w:tc>
        <w:tc>
          <w:tcPr>
            <w:tcW w:w="7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12</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套</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1600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餐桌、配套椅子（配餐间可收放）</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1200*600*750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19</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1650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茶几</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1200*600*450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12</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张</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1200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各病区储物柜</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 xml:space="preserve">三人房：2700*3300*600           双人房：3000*2800*600     儿科房：2000*2700*600     产房：3000*3000*600     </w:t>
            </w:r>
            <w:r>
              <w:rPr>
                <w:rFonts w:hint="eastAsia" w:asciiTheme="minorHAnsi"/>
                <w:sz w:val="20"/>
                <w:szCs w:val="20"/>
                <w:lang w:val="en-US" w:eastAsia="zh-CN"/>
              </w:rPr>
              <w:t xml:space="preserve"> </w:t>
            </w:r>
            <w:r>
              <w:rPr>
                <w:rFonts w:hint="eastAsia" w:asciiTheme="minorHAnsi"/>
                <w:sz w:val="20"/>
                <w:szCs w:val="20"/>
              </w:rPr>
              <w:t>手术室：3000*3000*600</w:t>
            </w:r>
          </w:p>
        </w:tc>
        <w:tc>
          <w:tcPr>
            <w:tcW w:w="7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135</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个</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5500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各病区库房储物架</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2000*2000*600</w:t>
            </w:r>
          </w:p>
        </w:tc>
        <w:tc>
          <w:tcPr>
            <w:tcW w:w="7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33</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高低床</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1000*2000*1800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59</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套</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4500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更衣柜</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900*550*1950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73</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等侯椅（三人位）</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1800*750*890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100</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2000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护士站大理石桌子</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（800+5600）*700*1050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50</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米</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1900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靠背木椅</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常规</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94</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把</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155</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可移动简易书桌</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常规</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32</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张</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800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配奶台</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1200*600*1800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2</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张</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2000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L组合型沙发</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3人位+单人位</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16</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4800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示教室椅</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常规</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320</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把</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550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示教室桌子</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1400*400*750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155</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张</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850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手术圆凳</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常规</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44</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把</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290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踏脚凳</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常规</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11</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把</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躺椅</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常规</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2</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把</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600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调剂台</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1600*1500*1800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4</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张</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文件柜</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900*400*1800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72</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1000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五节档案柜</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900*400*2020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10</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1000</w:t>
            </w:r>
          </w:p>
        </w:tc>
      </w:tr>
      <w:tr>
        <w:tblPrEx>
          <w:tblCellMar>
            <w:top w:w="0" w:type="dxa"/>
            <w:left w:w="0" w:type="dxa"/>
            <w:bottom w:w="0" w:type="dxa"/>
            <w:right w:w="0" w:type="dxa"/>
          </w:tblCellMar>
        </w:tblPrEx>
        <w:trPr>
          <w:trHeight w:val="90"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物品柜</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900*400*1800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4</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鞋柜</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1200*300*2000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12</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2000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鞋架</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1200*400*450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14</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800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办公椅</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680*590*1010</w:t>
            </w:r>
          </w:p>
        </w:tc>
        <w:tc>
          <w:tcPr>
            <w:tcW w:w="7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134</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把</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700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药架1（双面）</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920*975*2000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20</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药架2（单向）</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920*510*2000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20</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2200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圆盘摆药架</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Φ920*2000*8层</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2</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3000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不锈钢鞋架</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800*350*1000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10</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组</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600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手动有轨档案密集架</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900*580*2500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asciiTheme="minorHAnsi"/>
                <w:sz w:val="20"/>
                <w:szCs w:val="20"/>
              </w:rPr>
              <w:t>159.7</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立方米</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1850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长条凳</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1200*400*450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4</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张</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880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独凳</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Φ330*450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30</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把</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110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订制组合沙发</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asciiTheme="minorHAnsi"/>
                <w:sz w:val="20"/>
                <w:szCs w:val="20"/>
              </w:rPr>
              <w:t>1800*1800*460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36</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套</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5050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订制儿童沙发</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hAnsi="宋体" w:asciiTheme="minorHAnsi"/>
                <w:sz w:val="20"/>
                <w:szCs w:val="20"/>
              </w:rPr>
              <w:t>1600*3800*420</w:t>
            </w:r>
          </w:p>
        </w:tc>
        <w:tc>
          <w:tcPr>
            <w:tcW w:w="7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套</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8000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订制儿童沙发</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hAnsi="宋体" w:asciiTheme="minorHAnsi"/>
                <w:sz w:val="20"/>
                <w:szCs w:val="20"/>
              </w:rPr>
              <w:t>2000*650*650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2</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套</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2500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订制儿童沙发</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hAnsi="宋体" w:asciiTheme="minorHAnsi"/>
                <w:sz w:val="20"/>
                <w:szCs w:val="20"/>
              </w:rPr>
              <w:t>直径3600由8个拼接，配7人五边形座包</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1</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套</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7605</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订制儿童沙发</w:t>
            </w:r>
          </w:p>
        </w:tc>
        <w:tc>
          <w:tcPr>
            <w:tcW w:w="2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24"/>
                <w:szCs w:val="24"/>
              </w:rPr>
            </w:pPr>
            <w:r>
              <w:rPr>
                <w:rFonts w:hint="eastAsia" w:hAnsi="宋体" w:asciiTheme="minorHAnsi"/>
                <w:sz w:val="20"/>
                <w:szCs w:val="20"/>
              </w:rPr>
              <w:t>1200*680*810</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8</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个</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1500</w:t>
            </w:r>
          </w:p>
        </w:tc>
      </w:tr>
      <w:tr>
        <w:tblPrEx>
          <w:tblCellMar>
            <w:top w:w="0" w:type="dxa"/>
            <w:left w:w="0" w:type="dxa"/>
            <w:bottom w:w="0" w:type="dxa"/>
            <w:right w:w="0" w:type="dxa"/>
          </w:tblCellMar>
        </w:tblPrEx>
        <w:trPr>
          <w:trHeight w:val="23" w:hRule="atLeast"/>
          <w:jc w:val="center"/>
        </w:trPr>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numPr>
                <w:ilvl w:val="0"/>
                <w:numId w:val="38"/>
              </w:numPr>
              <w:kinsoku/>
              <w:wordWrap/>
              <w:overflowPunct/>
              <w:topLinePunct w:val="0"/>
              <w:autoSpaceDE/>
              <w:autoSpaceDN/>
              <w:bidi w:val="0"/>
              <w:adjustRightInd/>
              <w:snapToGrid/>
              <w:jc w:val="center"/>
              <w:rPr>
                <w:rFonts w:ascii="宋体" w:hAnsi="宋体" w:cs="宋体"/>
                <w:sz w:val="24"/>
                <w:szCs w:val="24"/>
              </w:rPr>
            </w:pPr>
          </w:p>
        </w:tc>
        <w:tc>
          <w:tcPr>
            <w:tcW w:w="23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hAnsi="宋体" w:cs="宋体"/>
                <w:sz w:val="24"/>
                <w:szCs w:val="24"/>
              </w:rPr>
            </w:pPr>
            <w:r>
              <w:rPr>
                <w:rFonts w:hint="eastAsia" w:asciiTheme="minorHAnsi"/>
                <w:sz w:val="20"/>
                <w:szCs w:val="20"/>
              </w:rPr>
              <w:t>订制ICU操作台柜</w:t>
            </w:r>
          </w:p>
        </w:tc>
        <w:tc>
          <w:tcPr>
            <w:tcW w:w="2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sz w:val="24"/>
                <w:szCs w:val="24"/>
              </w:rPr>
            </w:pPr>
            <w:r>
              <w:rPr>
                <w:rFonts w:hint="eastAsia" w:hAnsi="宋体" w:asciiTheme="minorHAnsi"/>
                <w:sz w:val="20"/>
                <w:szCs w:val="20"/>
              </w:rPr>
              <w:t>订制（高900/600*厚600*长度订制）</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5</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4"/>
                <w:szCs w:val="24"/>
              </w:rPr>
            </w:pPr>
            <w:r>
              <w:rPr>
                <w:rFonts w:hint="eastAsia" w:asciiTheme="minorHAnsi"/>
                <w:sz w:val="20"/>
                <w:szCs w:val="20"/>
              </w:rPr>
              <w:t>套</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sz w:val="24"/>
                <w:szCs w:val="24"/>
              </w:rPr>
            </w:pPr>
            <w:r>
              <w:rPr>
                <w:rFonts w:hint="eastAsia" w:ascii="宋体" w:hAnsi="宋体" w:cs="宋体"/>
                <w:sz w:val="24"/>
                <w:szCs w:val="24"/>
              </w:rPr>
              <w:t>工业</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4"/>
                <w:szCs w:val="24"/>
              </w:rPr>
            </w:pPr>
            <w:r>
              <w:rPr>
                <w:rFonts w:hint="eastAsia" w:hAnsi="宋体" w:cs="宋体" w:asciiTheme="minorHAnsi"/>
                <w:kern w:val="0"/>
                <w:sz w:val="20"/>
                <w:szCs w:val="20"/>
              </w:rPr>
              <w:t>3000</w:t>
            </w:r>
          </w:p>
        </w:tc>
      </w:tr>
    </w:tbl>
    <w:p>
      <w:pPr>
        <w:keepNext/>
        <w:keepLines/>
        <w:pageBreakBefore w:val="0"/>
        <w:widowControl w:val="0"/>
        <w:numPr>
          <w:ilvl w:val="1"/>
          <w:numId w:val="3"/>
        </w:numPr>
        <w:tabs>
          <w:tab w:val="left" w:pos="0"/>
          <w:tab w:val="left" w:pos="426"/>
          <w:tab w:val="left" w:pos="576"/>
          <w:tab w:val="left" w:pos="786"/>
        </w:tabs>
        <w:kinsoku/>
        <w:wordWrap/>
        <w:overflowPunct/>
        <w:topLinePunct w:val="0"/>
        <w:autoSpaceDE/>
        <w:autoSpaceDN/>
        <w:bidi w:val="0"/>
        <w:adjustRightInd/>
        <w:snapToGrid/>
        <w:spacing w:line="500" w:lineRule="exact"/>
        <w:ind w:left="0" w:firstLine="0"/>
        <w:textAlignment w:val="auto"/>
        <w:outlineLvl w:val="1"/>
        <w:rPr>
          <w:rFonts w:ascii="宋体" w:hAnsi="宋体"/>
          <w:b/>
          <w:bCs/>
          <w:sz w:val="28"/>
          <w:szCs w:val="28"/>
        </w:rPr>
      </w:pPr>
      <w:r>
        <w:rPr>
          <w:rFonts w:hint="eastAsia" w:ascii="宋体" w:hAnsi="宋体"/>
          <w:b/>
          <w:bCs/>
          <w:sz w:val="28"/>
          <w:szCs w:val="28"/>
          <w:lang w:val="en-US" w:eastAsia="zh-CN"/>
        </w:rPr>
        <w:t xml:space="preserve"> </w:t>
      </w:r>
      <w:bookmarkStart w:id="158" w:name="_Toc13815"/>
      <w:r>
        <w:rPr>
          <w:rFonts w:hint="eastAsia" w:ascii="宋体" w:hAnsi="宋体"/>
          <w:b/>
          <w:bCs/>
          <w:sz w:val="28"/>
          <w:szCs w:val="28"/>
        </w:rPr>
        <w:t>技术参数及要求</w:t>
      </w:r>
      <w:bookmarkEnd w:id="158"/>
    </w:p>
    <w:p>
      <w:pPr>
        <w:pStyle w:val="2"/>
        <w:pageBreakBefore w:val="0"/>
        <w:widowControl w:val="0"/>
        <w:numPr>
          <w:ilvl w:val="2"/>
          <w:numId w:val="3"/>
        </w:numPr>
        <w:kinsoku/>
        <w:wordWrap/>
        <w:overflowPunct/>
        <w:topLinePunct w:val="0"/>
        <w:autoSpaceDE/>
        <w:autoSpaceDN/>
        <w:bidi w:val="0"/>
        <w:adjustRightInd/>
        <w:snapToGrid/>
        <w:spacing w:after="0" w:line="500" w:lineRule="exact"/>
        <w:ind w:firstLine="337" w:firstLineChars="120"/>
        <w:textAlignment w:val="auto"/>
        <w:outlineLvl w:val="2"/>
      </w:pPr>
      <w:r>
        <w:rPr>
          <w:rFonts w:hint="eastAsia" w:ascii="宋体" w:hAnsi="宋体"/>
          <w:b/>
          <w:bCs/>
          <w:sz w:val="28"/>
          <w:szCs w:val="28"/>
        </w:rPr>
        <w:t>采购清单</w:t>
      </w:r>
    </w:p>
    <w:tbl>
      <w:tblPr>
        <w:tblStyle w:val="43"/>
        <w:tblW w:w="10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753"/>
        <w:gridCol w:w="1108"/>
        <w:gridCol w:w="3795"/>
        <w:gridCol w:w="695"/>
        <w:gridCol w:w="694"/>
        <w:gridCol w:w="551"/>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blHeader/>
          <w:jc w:val="center"/>
        </w:trPr>
        <w:tc>
          <w:tcPr>
            <w:tcW w:w="634" w:type="dxa"/>
            <w:vAlign w:val="center"/>
          </w:tcPr>
          <w:p>
            <w:pPr>
              <w:jc w:val="center"/>
              <w:rPr>
                <w:rFonts w:hAnsi="宋体"/>
                <w:b/>
                <w:sz w:val="20"/>
                <w:szCs w:val="20"/>
              </w:rPr>
            </w:pPr>
            <w:r>
              <w:rPr>
                <w:rFonts w:hint="eastAsia" w:hAnsi="宋体" w:asciiTheme="minorHAnsi"/>
                <w:b/>
                <w:sz w:val="20"/>
                <w:szCs w:val="20"/>
              </w:rPr>
              <w:t>产品名称</w:t>
            </w:r>
          </w:p>
        </w:tc>
        <w:tc>
          <w:tcPr>
            <w:tcW w:w="1753" w:type="dxa"/>
            <w:vAlign w:val="center"/>
          </w:tcPr>
          <w:p>
            <w:pPr>
              <w:jc w:val="center"/>
              <w:rPr>
                <w:rFonts w:hAnsi="宋体"/>
                <w:b/>
                <w:sz w:val="20"/>
                <w:szCs w:val="20"/>
              </w:rPr>
            </w:pPr>
            <w:r>
              <w:rPr>
                <w:rFonts w:hint="eastAsia" w:hAnsi="宋体" w:asciiTheme="minorHAnsi"/>
                <w:b/>
                <w:sz w:val="20"/>
                <w:szCs w:val="20"/>
              </w:rPr>
              <w:t>图片</w:t>
            </w:r>
          </w:p>
        </w:tc>
        <w:tc>
          <w:tcPr>
            <w:tcW w:w="1108" w:type="dxa"/>
            <w:vAlign w:val="center"/>
          </w:tcPr>
          <w:p>
            <w:pPr>
              <w:jc w:val="center"/>
              <w:rPr>
                <w:rFonts w:hAnsi="宋体"/>
                <w:b/>
                <w:sz w:val="20"/>
                <w:szCs w:val="20"/>
              </w:rPr>
            </w:pPr>
            <w:r>
              <w:rPr>
                <w:rFonts w:hint="eastAsia" w:hAnsi="宋体" w:asciiTheme="minorHAnsi"/>
                <w:b/>
                <w:sz w:val="20"/>
                <w:szCs w:val="20"/>
              </w:rPr>
              <w:t>规格</w:t>
            </w:r>
          </w:p>
        </w:tc>
        <w:tc>
          <w:tcPr>
            <w:tcW w:w="3795" w:type="dxa"/>
            <w:vAlign w:val="center"/>
          </w:tcPr>
          <w:p>
            <w:pPr>
              <w:jc w:val="center"/>
              <w:rPr>
                <w:rFonts w:hAnsi="宋体"/>
                <w:b/>
                <w:sz w:val="20"/>
                <w:szCs w:val="20"/>
              </w:rPr>
            </w:pPr>
            <w:r>
              <w:rPr>
                <w:rFonts w:hint="eastAsia" w:hAnsi="宋体" w:asciiTheme="minorHAnsi"/>
                <w:b/>
                <w:sz w:val="20"/>
                <w:szCs w:val="20"/>
              </w:rPr>
              <w:t>技术参数</w:t>
            </w:r>
          </w:p>
        </w:tc>
        <w:tc>
          <w:tcPr>
            <w:tcW w:w="695" w:type="dxa"/>
            <w:vAlign w:val="center"/>
          </w:tcPr>
          <w:p>
            <w:pPr>
              <w:jc w:val="center"/>
              <w:rPr>
                <w:rFonts w:hAnsi="宋体"/>
                <w:b/>
                <w:sz w:val="20"/>
                <w:szCs w:val="20"/>
              </w:rPr>
            </w:pPr>
            <w:r>
              <w:rPr>
                <w:rFonts w:hint="eastAsia" w:hAnsi="宋体" w:asciiTheme="minorHAnsi"/>
                <w:b/>
                <w:sz w:val="20"/>
                <w:szCs w:val="20"/>
              </w:rPr>
              <w:t>数量</w:t>
            </w:r>
          </w:p>
        </w:tc>
        <w:tc>
          <w:tcPr>
            <w:tcW w:w="694" w:type="dxa"/>
            <w:vAlign w:val="center"/>
          </w:tcPr>
          <w:p>
            <w:pPr>
              <w:jc w:val="center"/>
              <w:rPr>
                <w:rFonts w:hAnsi="宋体"/>
                <w:b/>
                <w:sz w:val="20"/>
                <w:szCs w:val="20"/>
              </w:rPr>
            </w:pPr>
            <w:r>
              <w:rPr>
                <w:rFonts w:hint="eastAsia" w:hAnsi="宋体" w:asciiTheme="minorHAnsi"/>
                <w:b/>
                <w:sz w:val="20"/>
                <w:szCs w:val="20"/>
              </w:rPr>
              <w:t>单价(元)</w:t>
            </w:r>
          </w:p>
        </w:tc>
        <w:tc>
          <w:tcPr>
            <w:tcW w:w="551" w:type="dxa"/>
            <w:vAlign w:val="center"/>
          </w:tcPr>
          <w:p>
            <w:pPr>
              <w:jc w:val="center"/>
              <w:rPr>
                <w:rFonts w:hAnsi="宋体"/>
                <w:b/>
                <w:sz w:val="20"/>
                <w:szCs w:val="20"/>
              </w:rPr>
            </w:pPr>
            <w:r>
              <w:rPr>
                <w:rFonts w:hint="eastAsia" w:hAnsi="宋体" w:asciiTheme="minorHAnsi"/>
                <w:b/>
                <w:sz w:val="20"/>
                <w:szCs w:val="20"/>
              </w:rPr>
              <w:t>单位</w:t>
            </w:r>
          </w:p>
        </w:tc>
        <w:tc>
          <w:tcPr>
            <w:tcW w:w="841" w:type="dxa"/>
            <w:vAlign w:val="center"/>
          </w:tcPr>
          <w:p>
            <w:pPr>
              <w:jc w:val="center"/>
              <w:rPr>
                <w:rFonts w:hAnsi="宋体"/>
                <w:b/>
                <w:sz w:val="20"/>
                <w:szCs w:val="20"/>
              </w:rPr>
            </w:pPr>
            <w:r>
              <w:rPr>
                <w:rFonts w:hAnsi="宋体" w:asciiTheme="minorHAnsi"/>
                <w:b/>
                <w:sz w:val="20"/>
                <w:szCs w:val="20"/>
              </w:rPr>
              <w:t>合价</w:t>
            </w:r>
            <w:r>
              <w:rPr>
                <w:rFonts w:hint="eastAsia" w:hAnsi="宋体" w:asciiTheme="minorHAnsi"/>
                <w:b/>
                <w:sz w:val="20"/>
                <w:szCs w:val="20"/>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Align w:val="center"/>
          </w:tcPr>
          <w:p>
            <w:pPr>
              <w:jc w:val="center"/>
              <w:rPr>
                <w:rFonts w:hAnsi="宋体" w:cs="宋体"/>
                <w:sz w:val="20"/>
                <w:szCs w:val="20"/>
              </w:rPr>
            </w:pPr>
            <w:r>
              <w:rPr>
                <w:rFonts w:hint="eastAsia" w:asciiTheme="minorHAnsi"/>
                <w:sz w:val="20"/>
                <w:szCs w:val="20"/>
              </w:rPr>
              <w:t>电脑办公桌</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897255" cy="810895"/>
                  <wp:effectExtent l="0" t="0" r="7620" b="14605"/>
                  <wp:docPr id="11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6"/>
                          <pic:cNvPicPr>
                            <a:picLocks noChangeAspect="1" noChangeArrowheads="1"/>
                          </pic:cNvPicPr>
                        </pic:nvPicPr>
                        <pic:blipFill>
                          <a:blip r:embed="rId6" cstate="print"/>
                          <a:srcRect/>
                          <a:stretch>
                            <a:fillRect/>
                          </a:stretch>
                        </pic:blipFill>
                        <pic:spPr>
                          <a:xfrm>
                            <a:off x="0" y="0"/>
                            <a:ext cx="897255" cy="81089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1400*700*750</w:t>
            </w:r>
          </w:p>
        </w:tc>
        <w:tc>
          <w:tcPr>
            <w:tcW w:w="3795" w:type="dxa"/>
            <w:vAlign w:val="center"/>
          </w:tcPr>
          <w:p>
            <w:pPr>
              <w:jc w:val="left"/>
              <w:rPr>
                <w:rFonts w:hint="eastAsia" w:hAnsi="宋体" w:asciiTheme="minorHAnsi"/>
                <w:b w:val="0"/>
                <w:bCs w:val="0"/>
                <w:sz w:val="20"/>
                <w:szCs w:val="20"/>
                <w:highlight w:val="none"/>
              </w:rPr>
            </w:pPr>
            <w:r>
              <w:rPr>
                <w:rFonts w:hint="eastAsia" w:ascii="宋体" w:hAnsi="宋体"/>
                <w:b/>
                <w:bCs/>
                <w:sz w:val="22"/>
                <w:highlight w:val="none"/>
              </w:rPr>
              <w:t>*</w:t>
            </w:r>
            <w:r>
              <w:rPr>
                <w:rFonts w:hint="eastAsia" w:ascii="宋体" w:hAnsi="宋体"/>
                <w:b/>
                <w:bCs/>
                <w:sz w:val="20"/>
                <w:szCs w:val="20"/>
                <w:highlight w:val="none"/>
              </w:rPr>
              <w:t>1、</w:t>
            </w:r>
            <w:r>
              <w:rPr>
                <w:rFonts w:hint="eastAsia" w:hAnsi="宋体" w:asciiTheme="minorHAnsi"/>
                <w:b w:val="0"/>
                <w:bCs w:val="0"/>
                <w:sz w:val="20"/>
                <w:szCs w:val="20"/>
                <w:highlight w:val="none"/>
              </w:rPr>
              <w:t>基材：桌面采用中密度纤维板，产品符合木家具有害物质限量标准要求。</w:t>
            </w:r>
          </w:p>
          <w:p>
            <w:pPr>
              <w:jc w:val="left"/>
              <w:rPr>
                <w:rFonts w:hint="default" w:hAnsi="宋体" w:eastAsia="宋体" w:cs="宋体" w:asciiTheme="minorHAnsi"/>
                <w:sz w:val="20"/>
                <w:szCs w:val="20"/>
                <w:highlight w:val="none"/>
                <w:lang w:val="en-US" w:eastAsia="zh-CN"/>
              </w:rPr>
            </w:pPr>
            <w:r>
              <w:rPr>
                <w:rFonts w:hint="eastAsia" w:hAnsi="宋体" w:asciiTheme="minorHAnsi"/>
                <w:b/>
                <w:bCs/>
                <w:sz w:val="20"/>
                <w:szCs w:val="20"/>
                <w:highlight w:val="none"/>
              </w:rPr>
              <w:t>提供</w:t>
            </w:r>
            <w:r>
              <w:rPr>
                <w:rFonts w:hint="eastAsia" w:hAnsi="宋体" w:asciiTheme="minorHAnsi"/>
                <w:b/>
                <w:bCs/>
                <w:sz w:val="20"/>
                <w:szCs w:val="20"/>
                <w:highlight w:val="none"/>
                <w:lang w:val="en-US" w:eastAsia="zh-CN"/>
              </w:rPr>
              <w:t>符合此项标准要求的</w:t>
            </w:r>
            <w:r>
              <w:rPr>
                <w:rFonts w:hint="eastAsia" w:hAnsi="宋体" w:asciiTheme="minorHAnsi"/>
                <w:b/>
                <w:bCs/>
                <w:sz w:val="20"/>
                <w:szCs w:val="20"/>
                <w:highlight w:val="none"/>
              </w:rPr>
              <w:t>中密度纤维板带CMA或CNAS标识的</w:t>
            </w:r>
            <w:r>
              <w:rPr>
                <w:rFonts w:hint="eastAsia" w:hAnsi="宋体" w:asciiTheme="minorHAnsi"/>
                <w:b/>
                <w:bCs/>
                <w:sz w:val="20"/>
                <w:szCs w:val="20"/>
                <w:highlight w:val="none"/>
                <w:lang w:val="en-US" w:eastAsia="zh-CN"/>
              </w:rPr>
              <w:t>二维码</w:t>
            </w:r>
            <w:r>
              <w:rPr>
                <w:rFonts w:hint="eastAsia" w:hAnsi="宋体" w:asciiTheme="minorHAnsi"/>
                <w:b/>
                <w:bCs/>
                <w:sz w:val="20"/>
                <w:szCs w:val="20"/>
                <w:highlight w:val="none"/>
              </w:rPr>
              <w:t>检验检测报告</w:t>
            </w:r>
            <w:r>
              <w:rPr>
                <w:rFonts w:hint="eastAsia" w:hAnsi="宋体" w:asciiTheme="minorHAnsi"/>
                <w:b/>
                <w:bCs/>
                <w:sz w:val="20"/>
                <w:szCs w:val="20"/>
                <w:highlight w:val="none"/>
                <w:lang w:eastAsia="zh-CN"/>
              </w:rPr>
              <w:t>，</w:t>
            </w:r>
            <w:r>
              <w:rPr>
                <w:rFonts w:hint="eastAsia" w:hAnsi="宋体" w:asciiTheme="minorHAnsi"/>
                <w:b/>
                <w:bCs/>
                <w:sz w:val="20"/>
                <w:szCs w:val="20"/>
                <w:highlight w:val="none"/>
                <w:lang w:val="en-US" w:eastAsia="zh-CN"/>
              </w:rPr>
              <w:t>如未提供，视为未实质性响应。</w:t>
            </w:r>
          </w:p>
          <w:p>
            <w:pPr>
              <w:jc w:val="left"/>
              <w:rPr>
                <w:rFonts w:hint="eastAsia" w:ascii="宋体" w:hAnsi="宋体" w:eastAsia="宋体" w:cs="宋体"/>
                <w:sz w:val="20"/>
                <w:szCs w:val="20"/>
              </w:rPr>
            </w:pPr>
            <w:r>
              <w:rPr>
                <w:rFonts w:hint="eastAsia" w:ascii="宋体" w:hAnsi="宋体" w:eastAsia="宋体" w:cs="宋体"/>
                <w:sz w:val="20"/>
                <w:szCs w:val="20"/>
              </w:rPr>
              <w:t>2、贴面材料：三聚氰胺板，产品符合木家具有害物质限量标准要求</w:t>
            </w:r>
            <w:r>
              <w:rPr>
                <w:rFonts w:hint="eastAsia" w:ascii="宋体" w:hAnsi="宋体" w:eastAsia="宋体" w:cs="宋体"/>
                <w:b w:val="0"/>
                <w:bCs w:val="0"/>
                <w:sz w:val="20"/>
                <w:szCs w:val="20"/>
              </w:rPr>
              <w:t>。</w:t>
            </w:r>
          </w:p>
          <w:p>
            <w:pPr>
              <w:jc w:val="left"/>
              <w:rPr>
                <w:rFonts w:hint="eastAsia" w:ascii="宋体" w:hAnsi="宋体" w:eastAsia="宋体" w:cs="宋体"/>
                <w:sz w:val="20"/>
                <w:szCs w:val="20"/>
                <w:lang w:eastAsia="zh-CN"/>
              </w:rPr>
            </w:pPr>
            <w:r>
              <w:rPr>
                <w:rFonts w:hint="eastAsia" w:ascii="宋体" w:hAnsi="宋体" w:eastAsia="宋体" w:cs="宋体"/>
                <w:sz w:val="20"/>
                <w:szCs w:val="20"/>
              </w:rPr>
              <w:t>3、封边条：采用</w:t>
            </w:r>
            <w:bookmarkStart w:id="217" w:name="_GoBack"/>
            <w:bookmarkEnd w:id="217"/>
            <w:r>
              <w:rPr>
                <w:rFonts w:hint="eastAsia" w:ascii="宋体" w:hAnsi="宋体" w:eastAsia="宋体" w:cs="宋体"/>
                <w:sz w:val="20"/>
                <w:szCs w:val="20"/>
              </w:rPr>
              <w:t>2.0mm厚PVC封边</w:t>
            </w:r>
            <w:r>
              <w:rPr>
                <w:rFonts w:hint="eastAsia" w:ascii="宋体" w:hAnsi="宋体" w:eastAsia="宋体" w:cs="宋体"/>
                <w:sz w:val="20"/>
                <w:szCs w:val="20"/>
                <w:lang w:eastAsia="zh-CN"/>
              </w:rPr>
              <w:t>。</w:t>
            </w:r>
          </w:p>
          <w:p>
            <w:pPr>
              <w:jc w:val="left"/>
              <w:rPr>
                <w:rFonts w:hint="eastAsia" w:ascii="宋体" w:hAnsi="宋体" w:eastAsia="宋体" w:cs="宋体"/>
                <w:sz w:val="20"/>
                <w:szCs w:val="20"/>
              </w:rPr>
            </w:pPr>
            <w:r>
              <w:rPr>
                <w:rFonts w:hint="eastAsia" w:ascii="宋体" w:hAnsi="宋体" w:eastAsia="宋体" w:cs="宋体"/>
                <w:sz w:val="20"/>
                <w:szCs w:val="20"/>
              </w:rPr>
              <w:t>4、配件：五金件连接不松动</w:t>
            </w:r>
            <w:r>
              <w:rPr>
                <w:rFonts w:hint="eastAsia" w:ascii="宋体" w:hAnsi="宋体" w:eastAsia="宋体" w:cs="宋体"/>
                <w:sz w:val="20"/>
                <w:szCs w:val="20"/>
                <w:lang w:eastAsia="zh-CN"/>
              </w:rPr>
              <w:t>。</w:t>
            </w:r>
            <w:r>
              <w:rPr>
                <w:rFonts w:hint="eastAsia" w:ascii="宋体" w:hAnsi="宋体" w:eastAsia="宋体" w:cs="宋体"/>
                <w:sz w:val="20"/>
                <w:szCs w:val="20"/>
              </w:rPr>
              <w:t xml:space="preserve"> </w:t>
            </w:r>
          </w:p>
          <w:p>
            <w:pPr>
              <w:jc w:val="left"/>
              <w:rPr>
                <w:rFonts w:hAnsi="宋体" w:cs="宋体"/>
                <w:sz w:val="20"/>
                <w:szCs w:val="20"/>
              </w:rPr>
            </w:pPr>
            <w:r>
              <w:rPr>
                <w:rFonts w:hint="eastAsia" w:ascii="宋体" w:hAnsi="宋体" w:eastAsia="宋体" w:cs="宋体"/>
                <w:sz w:val="20"/>
                <w:szCs w:val="20"/>
              </w:rPr>
              <w:t>5、配置：带钢脚架，带三抽柜一个，主机柜一个。</w:t>
            </w:r>
          </w:p>
        </w:tc>
        <w:tc>
          <w:tcPr>
            <w:tcW w:w="695" w:type="dxa"/>
            <w:vAlign w:val="center"/>
          </w:tcPr>
          <w:p>
            <w:pPr>
              <w:jc w:val="center"/>
              <w:rPr>
                <w:rFonts w:hAnsi="宋体" w:cs="宋体"/>
                <w:sz w:val="20"/>
                <w:szCs w:val="20"/>
              </w:rPr>
            </w:pPr>
            <w:r>
              <w:rPr>
                <w:rFonts w:hint="eastAsia" w:asciiTheme="minorHAnsi"/>
                <w:sz w:val="20"/>
                <w:szCs w:val="20"/>
              </w:rPr>
              <w:t xml:space="preserve">105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1500</w:t>
            </w:r>
          </w:p>
        </w:tc>
        <w:tc>
          <w:tcPr>
            <w:tcW w:w="551" w:type="dxa"/>
            <w:vAlign w:val="center"/>
          </w:tcPr>
          <w:p>
            <w:pPr>
              <w:jc w:val="center"/>
              <w:rPr>
                <w:rFonts w:hAnsi="宋体" w:cs="宋体"/>
                <w:sz w:val="20"/>
                <w:szCs w:val="20"/>
              </w:rPr>
            </w:pPr>
            <w:r>
              <w:rPr>
                <w:rFonts w:hint="eastAsia" w:asciiTheme="minorHAnsi"/>
                <w:sz w:val="20"/>
                <w:szCs w:val="20"/>
              </w:rPr>
              <w:t>张</w:t>
            </w:r>
          </w:p>
        </w:tc>
        <w:tc>
          <w:tcPr>
            <w:tcW w:w="841" w:type="dxa"/>
            <w:vAlign w:val="center"/>
          </w:tcPr>
          <w:p>
            <w:pPr>
              <w:widowControl/>
              <w:jc w:val="center"/>
              <w:textAlignment w:val="center"/>
              <w:rPr>
                <w:rFonts w:hAnsi="宋体" w:cs="宋体"/>
                <w:sz w:val="20"/>
                <w:szCs w:val="20"/>
              </w:rPr>
            </w:pPr>
            <w:r>
              <w:rPr>
                <w:rFonts w:hint="eastAsia" w:hAnsi="宋体" w:cs="宋体" w:asciiTheme="minorHAnsi"/>
                <w:kern w:val="0"/>
                <w:sz w:val="20"/>
                <w:szCs w:val="20"/>
              </w:rPr>
              <w:t>157500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Align w:val="center"/>
          </w:tcPr>
          <w:p>
            <w:pPr>
              <w:jc w:val="center"/>
              <w:rPr>
                <w:rFonts w:hAnsi="宋体" w:cs="宋体"/>
                <w:sz w:val="20"/>
                <w:szCs w:val="20"/>
              </w:rPr>
            </w:pPr>
            <w:r>
              <w:rPr>
                <w:rFonts w:hint="eastAsia" w:asciiTheme="minorHAnsi"/>
                <w:sz w:val="20"/>
                <w:szCs w:val="20"/>
              </w:rPr>
              <w:t>直型办公桌</w:t>
            </w:r>
          </w:p>
        </w:tc>
        <w:tc>
          <w:tcPr>
            <w:tcW w:w="1753" w:type="dxa"/>
            <w:vAlign w:val="center"/>
          </w:tcPr>
          <w:p>
            <w:pPr>
              <w:rPr>
                <w:rFonts w:hAnsi="宋体"/>
                <w:bCs/>
                <w:sz w:val="20"/>
                <w:szCs w:val="20"/>
              </w:rPr>
            </w:pPr>
            <w:r>
              <w:rPr>
                <w:rFonts w:hAnsi="宋体" w:asciiTheme="minorHAnsi"/>
                <w:sz w:val="20"/>
                <w:szCs w:val="20"/>
              </w:rPr>
              <w:drawing>
                <wp:inline distT="0" distB="0" distL="0" distR="0">
                  <wp:extent cx="940435" cy="517525"/>
                  <wp:effectExtent l="0" t="0" r="12065" b="6350"/>
                  <wp:docPr id="11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5"/>
                          <pic:cNvPicPr>
                            <a:picLocks noChangeAspect="1" noChangeArrowheads="1"/>
                          </pic:cNvPicPr>
                        </pic:nvPicPr>
                        <pic:blipFill>
                          <a:blip r:embed="rId7" cstate="print"/>
                          <a:srcRect t="20534"/>
                          <a:stretch>
                            <a:fillRect/>
                          </a:stretch>
                        </pic:blipFill>
                        <pic:spPr>
                          <a:xfrm>
                            <a:off x="0" y="0"/>
                            <a:ext cx="940435" cy="51752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1400*700*1100</w:t>
            </w:r>
          </w:p>
        </w:tc>
        <w:tc>
          <w:tcPr>
            <w:tcW w:w="3795" w:type="dxa"/>
            <w:vAlign w:val="center"/>
          </w:tcPr>
          <w:p>
            <w:pPr>
              <w:numPr>
                <w:ilvl w:val="0"/>
                <w:numId w:val="39"/>
              </w:numPr>
              <w:ind w:left="0" w:firstLine="0"/>
              <w:jc w:val="left"/>
              <w:rPr>
                <w:rFonts w:hint="eastAsia" w:ascii="宋体" w:hAnsi="宋体" w:eastAsia="宋体" w:cs="宋体"/>
                <w:sz w:val="20"/>
                <w:szCs w:val="20"/>
              </w:rPr>
            </w:pPr>
            <w:r>
              <w:rPr>
                <w:rFonts w:hint="eastAsia" w:ascii="宋体" w:hAnsi="宋体" w:eastAsia="宋体" w:cs="宋体"/>
                <w:sz w:val="20"/>
                <w:szCs w:val="20"/>
              </w:rPr>
              <w:t>钢架：采用铝合金，壁厚均在1.8mm以上</w:t>
            </w:r>
            <w:r>
              <w:rPr>
                <w:rFonts w:hint="eastAsia" w:ascii="宋体" w:hAnsi="宋体" w:eastAsia="宋体" w:cs="宋体"/>
                <w:sz w:val="20"/>
                <w:szCs w:val="20"/>
                <w:lang w:eastAsia="zh-CN"/>
              </w:rPr>
              <w:t>。</w:t>
            </w:r>
          </w:p>
          <w:p>
            <w:pPr>
              <w:numPr>
                <w:ilvl w:val="0"/>
                <w:numId w:val="39"/>
              </w:numPr>
              <w:ind w:left="0" w:firstLine="0"/>
              <w:jc w:val="left"/>
              <w:rPr>
                <w:rFonts w:hint="eastAsia" w:ascii="宋体" w:hAnsi="宋体" w:eastAsia="宋体" w:cs="宋体"/>
                <w:sz w:val="20"/>
                <w:szCs w:val="20"/>
              </w:rPr>
            </w:pPr>
            <w:r>
              <w:rPr>
                <w:rFonts w:hint="eastAsia" w:ascii="宋体" w:hAnsi="宋体" w:eastAsia="宋体" w:cs="宋体"/>
                <w:sz w:val="20"/>
                <w:szCs w:val="20"/>
              </w:rPr>
              <w:t>基材：桌面采用中密度纤维板，产品符合木家具有害物质限量标准要求。</w:t>
            </w:r>
          </w:p>
          <w:p>
            <w:pPr>
              <w:numPr>
                <w:ilvl w:val="0"/>
                <w:numId w:val="39"/>
              </w:numPr>
              <w:ind w:left="0" w:firstLine="0"/>
              <w:jc w:val="left"/>
              <w:rPr>
                <w:rFonts w:hint="eastAsia" w:ascii="宋体" w:hAnsi="宋体" w:eastAsia="宋体" w:cs="宋体"/>
                <w:sz w:val="20"/>
                <w:szCs w:val="20"/>
              </w:rPr>
            </w:pPr>
            <w:r>
              <w:rPr>
                <w:rFonts w:hint="eastAsia" w:ascii="宋体" w:hAnsi="宋体" w:eastAsia="宋体" w:cs="宋体"/>
                <w:sz w:val="20"/>
                <w:szCs w:val="20"/>
              </w:rPr>
              <w:t>贴面材料：三聚氰胺板，产品符合木家具有害物质限量标准要求</w:t>
            </w:r>
            <w:r>
              <w:rPr>
                <w:rFonts w:hint="eastAsia" w:ascii="宋体" w:hAnsi="宋体" w:eastAsia="宋体" w:cs="宋体"/>
                <w:b w:val="0"/>
                <w:bCs w:val="0"/>
                <w:sz w:val="20"/>
                <w:szCs w:val="20"/>
              </w:rPr>
              <w:t>。</w:t>
            </w:r>
          </w:p>
          <w:p>
            <w:pPr>
              <w:numPr>
                <w:ilvl w:val="0"/>
                <w:numId w:val="39"/>
              </w:numPr>
              <w:ind w:left="0" w:firstLine="0"/>
              <w:jc w:val="left"/>
              <w:rPr>
                <w:rFonts w:hint="eastAsia" w:ascii="宋体" w:hAnsi="宋体" w:eastAsia="宋体" w:cs="宋体"/>
                <w:sz w:val="20"/>
                <w:szCs w:val="20"/>
              </w:rPr>
            </w:pPr>
            <w:r>
              <w:rPr>
                <w:rFonts w:hint="eastAsia" w:ascii="宋体" w:hAnsi="宋体" w:eastAsia="宋体" w:cs="宋体"/>
                <w:sz w:val="20"/>
                <w:szCs w:val="20"/>
              </w:rPr>
              <w:t>封边条：采用2.0mm厚PVC封边</w:t>
            </w:r>
            <w:r>
              <w:rPr>
                <w:rFonts w:hint="eastAsia" w:ascii="宋体" w:hAnsi="宋体" w:eastAsia="宋体" w:cs="宋体"/>
                <w:sz w:val="20"/>
                <w:szCs w:val="20"/>
                <w:lang w:eastAsia="zh-CN"/>
              </w:rPr>
              <w:t>。</w:t>
            </w:r>
          </w:p>
          <w:p>
            <w:pPr>
              <w:pStyle w:val="228"/>
              <w:numPr>
                <w:ilvl w:val="0"/>
                <w:numId w:val="39"/>
              </w:numPr>
              <w:ind w:firstLineChars="0"/>
              <w:jc w:val="left"/>
              <w:rPr>
                <w:rFonts w:hint="eastAsia" w:ascii="宋体" w:hAnsi="宋体" w:eastAsia="宋体" w:cs="宋体"/>
                <w:sz w:val="20"/>
                <w:szCs w:val="20"/>
              </w:rPr>
            </w:pPr>
            <w:r>
              <w:rPr>
                <w:rFonts w:hint="eastAsia" w:ascii="宋体" w:hAnsi="宋体" w:eastAsia="宋体" w:cs="宋体"/>
                <w:sz w:val="20"/>
                <w:szCs w:val="20"/>
              </w:rPr>
              <w:t>配件：五金件连接不松动</w:t>
            </w:r>
            <w:r>
              <w:rPr>
                <w:rFonts w:hint="eastAsia" w:ascii="宋体" w:hAnsi="宋体" w:eastAsia="宋体" w:cs="宋体"/>
                <w:sz w:val="20"/>
                <w:szCs w:val="20"/>
                <w:lang w:eastAsia="zh-CN"/>
              </w:rPr>
              <w:t>。</w:t>
            </w:r>
          </w:p>
          <w:p>
            <w:pPr>
              <w:jc w:val="left"/>
              <w:rPr>
                <w:rFonts w:hAnsi="宋体"/>
                <w:sz w:val="20"/>
                <w:szCs w:val="20"/>
              </w:rPr>
            </w:pPr>
            <w:r>
              <w:rPr>
                <w:rFonts w:hint="eastAsia" w:ascii="宋体" w:hAnsi="宋体" w:eastAsia="宋体" w:cs="宋体"/>
                <w:sz w:val="20"/>
                <w:szCs w:val="20"/>
              </w:rPr>
              <w:t>6、配置：带木制三抽柜一个，钢制主机托盘一个。</w:t>
            </w:r>
          </w:p>
        </w:tc>
        <w:tc>
          <w:tcPr>
            <w:tcW w:w="695" w:type="dxa"/>
            <w:vAlign w:val="center"/>
          </w:tcPr>
          <w:p>
            <w:pPr>
              <w:jc w:val="center"/>
              <w:rPr>
                <w:rFonts w:hAnsi="宋体" w:cs="宋体"/>
                <w:sz w:val="20"/>
                <w:szCs w:val="20"/>
              </w:rPr>
            </w:pPr>
            <w:r>
              <w:rPr>
                <w:rFonts w:hint="eastAsia" w:asciiTheme="minorHAnsi"/>
                <w:sz w:val="20"/>
                <w:szCs w:val="20"/>
              </w:rPr>
              <w:t xml:space="preserve">48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2100</w:t>
            </w:r>
          </w:p>
        </w:tc>
        <w:tc>
          <w:tcPr>
            <w:tcW w:w="551" w:type="dxa"/>
            <w:vAlign w:val="center"/>
          </w:tcPr>
          <w:p>
            <w:pPr>
              <w:jc w:val="center"/>
              <w:rPr>
                <w:rFonts w:hAnsi="宋体" w:cs="宋体"/>
                <w:sz w:val="20"/>
                <w:szCs w:val="20"/>
              </w:rPr>
            </w:pPr>
            <w:r>
              <w:rPr>
                <w:rFonts w:hint="eastAsia" w:asciiTheme="minorHAnsi"/>
                <w:sz w:val="20"/>
                <w:szCs w:val="20"/>
              </w:rPr>
              <w:t>位</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多功能保险柜</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07390" cy="819785"/>
                  <wp:effectExtent l="0" t="0" r="6985" b="5715"/>
                  <wp:docPr id="11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4"/>
                          <pic:cNvPicPr>
                            <a:picLocks noChangeAspect="1" noChangeArrowheads="1"/>
                          </pic:cNvPicPr>
                        </pic:nvPicPr>
                        <pic:blipFill>
                          <a:blip r:embed="rId8" cstate="print"/>
                          <a:srcRect/>
                          <a:stretch>
                            <a:fillRect/>
                          </a:stretch>
                        </pic:blipFill>
                        <pic:spPr>
                          <a:xfrm>
                            <a:off x="0" y="0"/>
                            <a:ext cx="707390" cy="81978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430*380*340</w:t>
            </w:r>
          </w:p>
        </w:tc>
        <w:tc>
          <w:tcPr>
            <w:tcW w:w="3795" w:type="dxa"/>
            <w:vAlign w:val="center"/>
          </w:tcPr>
          <w:p>
            <w:pPr>
              <w:jc w:val="left"/>
              <w:rPr>
                <w:rFonts w:hint="eastAsia" w:hAnsi="宋体" w:asciiTheme="minorHAnsi"/>
                <w:sz w:val="20"/>
                <w:szCs w:val="20"/>
              </w:rPr>
            </w:pPr>
            <w:r>
              <w:rPr>
                <w:rFonts w:hint="eastAsia" w:ascii="宋体" w:hAnsi="宋体"/>
                <w:sz w:val="20"/>
                <w:szCs w:val="20"/>
              </w:rPr>
              <w:t>1、</w:t>
            </w:r>
            <w:r>
              <w:rPr>
                <w:rFonts w:hint="eastAsia" w:hAnsi="宋体" w:asciiTheme="minorHAnsi"/>
                <w:sz w:val="20"/>
                <w:szCs w:val="20"/>
              </w:rPr>
              <w:t>基材：采用厚≥1.2mm冷轧钢板，冷轧钢板检测合格。</w:t>
            </w:r>
          </w:p>
          <w:p>
            <w:pPr>
              <w:jc w:val="left"/>
              <w:rPr>
                <w:rFonts w:hAnsi="宋体" w:asciiTheme="minorHAnsi"/>
                <w:b w:val="0"/>
                <w:bCs w:val="0"/>
                <w:sz w:val="20"/>
                <w:szCs w:val="20"/>
                <w:highlight w:val="none"/>
              </w:rPr>
            </w:pPr>
            <w:r>
              <w:rPr>
                <w:rFonts w:hint="eastAsia" w:ascii="宋体" w:hAnsi="宋体"/>
                <w:b w:val="0"/>
                <w:bCs w:val="0"/>
                <w:sz w:val="20"/>
                <w:szCs w:val="20"/>
                <w:highlight w:val="none"/>
              </w:rPr>
              <w:t>2、</w:t>
            </w:r>
            <w:r>
              <w:rPr>
                <w:rFonts w:hint="eastAsia" w:hAnsi="宋体" w:asciiTheme="minorHAnsi"/>
                <w:b w:val="0"/>
                <w:bCs w:val="0"/>
                <w:sz w:val="20"/>
                <w:szCs w:val="20"/>
                <w:highlight w:val="none"/>
              </w:rPr>
              <w:t>塑粉：</w:t>
            </w:r>
            <w:r>
              <w:rPr>
                <w:rFonts w:hint="eastAsia" w:hAnsi="宋体" w:asciiTheme="minorHAnsi"/>
                <w:b w:val="0"/>
                <w:bCs w:val="0"/>
                <w:sz w:val="20"/>
                <w:szCs w:val="20"/>
              </w:rPr>
              <w:t>符合国家标准</w:t>
            </w:r>
            <w:r>
              <w:rPr>
                <w:rFonts w:hint="eastAsia" w:hAnsi="宋体" w:asciiTheme="minorHAnsi"/>
                <w:b w:val="0"/>
                <w:bCs w:val="0"/>
                <w:sz w:val="20"/>
                <w:szCs w:val="20"/>
              </w:rPr>
              <w:t>。</w:t>
            </w:r>
          </w:p>
          <w:p>
            <w:pPr>
              <w:jc w:val="left"/>
            </w:pPr>
            <w:r>
              <w:rPr>
                <w:rFonts w:hint="eastAsia" w:hAnsi="宋体" w:asciiTheme="minorHAnsi"/>
                <w:sz w:val="20"/>
                <w:szCs w:val="20"/>
              </w:rPr>
              <w:t>3、采用电子面板，八位密码设置，一亿种密码组合,锁闭装置采用电子锁闭装置，正常使用无明文显示，无需使用隐码功能，管理密码不能开启柜门报警时间不小于60秒</w:t>
            </w:r>
            <w:r>
              <w:rPr>
                <w:rFonts w:hint="eastAsia" w:hAnsi="宋体" w:asciiTheme="minorHAnsi"/>
                <w:sz w:val="20"/>
                <w:szCs w:val="20"/>
                <w:lang w:eastAsia="zh-CN"/>
              </w:rPr>
              <w:t>，</w:t>
            </w:r>
            <w:r>
              <w:rPr>
                <w:rFonts w:hint="eastAsia" w:hAnsi="宋体" w:asciiTheme="minorHAnsi"/>
                <w:sz w:val="20"/>
                <w:szCs w:val="20"/>
              </w:rPr>
              <w:t>0.5M测试声响不小于100分贝，开启记录查询功能，可设置震动报警，三次错码高亮报警，低电量提示功能。内部采用皮革饰面工艺。</w:t>
            </w:r>
          </w:p>
        </w:tc>
        <w:tc>
          <w:tcPr>
            <w:tcW w:w="695" w:type="dxa"/>
            <w:vAlign w:val="center"/>
          </w:tcPr>
          <w:p>
            <w:pPr>
              <w:jc w:val="center"/>
              <w:rPr>
                <w:rFonts w:hAnsi="宋体" w:cs="宋体"/>
                <w:sz w:val="20"/>
                <w:szCs w:val="20"/>
              </w:rPr>
            </w:pPr>
            <w:r>
              <w:rPr>
                <w:rFonts w:hint="eastAsia" w:asciiTheme="minorHAnsi"/>
                <w:sz w:val="20"/>
                <w:szCs w:val="20"/>
              </w:rPr>
              <w:t xml:space="preserve">17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1800</w:t>
            </w:r>
          </w:p>
        </w:tc>
        <w:tc>
          <w:tcPr>
            <w:tcW w:w="551" w:type="dxa"/>
            <w:vAlign w:val="center"/>
          </w:tcPr>
          <w:p>
            <w:pPr>
              <w:jc w:val="center"/>
              <w:rPr>
                <w:rFonts w:hAnsi="宋体" w:cs="宋体"/>
                <w:sz w:val="20"/>
                <w:szCs w:val="20"/>
              </w:rPr>
            </w:pPr>
            <w:r>
              <w:rPr>
                <w:rFonts w:hint="eastAsia" w:asciiTheme="minorHAnsi"/>
                <w:sz w:val="20"/>
                <w:szCs w:val="20"/>
              </w:rPr>
              <w:t>个</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30600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病区壁柜</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58825" cy="810895"/>
                  <wp:effectExtent l="0" t="0" r="3175" b="14605"/>
                  <wp:docPr id="116" name="图片 103" descr="1595231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3" descr="1595231499(1)"/>
                          <pic:cNvPicPr>
                            <a:picLocks noChangeAspect="1" noChangeArrowheads="1"/>
                          </pic:cNvPicPr>
                        </pic:nvPicPr>
                        <pic:blipFill>
                          <a:blip r:embed="rId9" cstate="print"/>
                          <a:srcRect/>
                          <a:stretch>
                            <a:fillRect/>
                          </a:stretch>
                        </pic:blipFill>
                        <pic:spPr>
                          <a:xfrm>
                            <a:off x="0" y="0"/>
                            <a:ext cx="758825" cy="81089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5400*600*420</w:t>
            </w:r>
          </w:p>
        </w:tc>
        <w:tc>
          <w:tcPr>
            <w:tcW w:w="3795" w:type="dxa"/>
            <w:vAlign w:val="top"/>
          </w:tcPr>
          <w:p>
            <w:pPr>
              <w:jc w:val="left"/>
              <w:rPr>
                <w:rFonts w:hAnsi="宋体" w:cs="宋体" w:asciiTheme="minorHAnsi"/>
                <w:sz w:val="20"/>
                <w:szCs w:val="20"/>
              </w:rPr>
            </w:pPr>
            <w:r>
              <w:rPr>
                <w:rFonts w:hint="eastAsia" w:ascii="宋体" w:hAnsi="宋体"/>
                <w:bCs/>
                <w:sz w:val="20"/>
                <w:szCs w:val="20"/>
              </w:rPr>
              <w:t>1、</w:t>
            </w:r>
            <w:r>
              <w:rPr>
                <w:rFonts w:hint="eastAsia" w:hAnsi="宋体" w:asciiTheme="minorHAnsi"/>
                <w:sz w:val="20"/>
                <w:szCs w:val="20"/>
              </w:rPr>
              <w:t>基材：桌面采用中密度纤维板，产品符合木家具有害物质限量标准要求。</w:t>
            </w:r>
          </w:p>
          <w:p>
            <w:pPr>
              <w:jc w:val="left"/>
              <w:rPr>
                <w:rFonts w:hAnsi="宋体" w:cs="宋体" w:asciiTheme="minorHAnsi"/>
                <w:sz w:val="20"/>
                <w:szCs w:val="20"/>
              </w:rPr>
            </w:pPr>
            <w:r>
              <w:rPr>
                <w:rFonts w:hint="eastAsia" w:hAnsi="宋体" w:asciiTheme="minorHAnsi"/>
                <w:sz w:val="20"/>
                <w:szCs w:val="20"/>
              </w:rPr>
              <w:t>2、贴面材料：三聚氰胺板，产品符合木家具有害物质限量标准要求</w:t>
            </w:r>
            <w:r>
              <w:rPr>
                <w:rFonts w:hint="eastAsia" w:hAnsi="宋体" w:asciiTheme="minorHAnsi"/>
                <w:b w:val="0"/>
                <w:bCs w:val="0"/>
                <w:sz w:val="20"/>
                <w:szCs w:val="20"/>
              </w:rPr>
              <w:t>。</w:t>
            </w:r>
          </w:p>
          <w:p>
            <w:pPr>
              <w:jc w:val="left"/>
              <w:rPr>
                <w:rFonts w:hint="eastAsia" w:hAnsi="宋体" w:eastAsia="宋体" w:cs="宋体" w:asciiTheme="minorHAnsi"/>
                <w:sz w:val="20"/>
                <w:szCs w:val="20"/>
                <w:lang w:eastAsia="zh-CN"/>
              </w:rPr>
            </w:pPr>
            <w:r>
              <w:rPr>
                <w:rFonts w:hint="eastAsia" w:hAnsi="宋体" w:asciiTheme="minorHAnsi"/>
                <w:sz w:val="20"/>
                <w:szCs w:val="20"/>
              </w:rPr>
              <w:t>3、封边条：采用2.0mm厚PVC封边</w:t>
            </w:r>
            <w:r>
              <w:rPr>
                <w:rFonts w:hint="eastAsia" w:hAnsi="宋体" w:asciiTheme="minorHAnsi"/>
                <w:sz w:val="20"/>
                <w:szCs w:val="20"/>
                <w:lang w:eastAsia="zh-CN"/>
              </w:rPr>
              <w:t>。</w:t>
            </w:r>
          </w:p>
          <w:p>
            <w:pPr>
              <w:jc w:val="left"/>
              <w:rPr>
                <w:rFonts w:hint="eastAsia" w:hAnsi="宋体" w:eastAsia="宋体" w:cs="宋体"/>
                <w:sz w:val="20"/>
                <w:szCs w:val="20"/>
                <w:lang w:eastAsia="zh-CN"/>
              </w:rPr>
            </w:pPr>
            <w:r>
              <w:rPr>
                <w:rFonts w:hint="eastAsia" w:ascii="宋体" w:hAnsi="宋体"/>
                <w:sz w:val="20"/>
                <w:szCs w:val="20"/>
              </w:rPr>
              <w:t>4、</w:t>
            </w:r>
            <w:r>
              <w:rPr>
                <w:rFonts w:hint="eastAsia" w:hAnsi="宋体" w:asciiTheme="minorHAnsi"/>
                <w:sz w:val="20"/>
                <w:szCs w:val="20"/>
              </w:rPr>
              <w:t>配件：五金件连接不松动</w:t>
            </w:r>
            <w:r>
              <w:rPr>
                <w:rFonts w:hint="eastAsia" w:hAnsi="宋体" w:asciiTheme="minorHAnsi"/>
                <w:sz w:val="20"/>
                <w:szCs w:val="20"/>
                <w:lang w:eastAsia="zh-CN"/>
              </w:rPr>
              <w:t>。</w:t>
            </w:r>
          </w:p>
        </w:tc>
        <w:tc>
          <w:tcPr>
            <w:tcW w:w="695" w:type="dxa"/>
            <w:vAlign w:val="center"/>
          </w:tcPr>
          <w:p>
            <w:pPr>
              <w:jc w:val="center"/>
              <w:rPr>
                <w:rFonts w:hAnsi="宋体" w:cs="宋体"/>
                <w:sz w:val="20"/>
                <w:szCs w:val="20"/>
              </w:rPr>
            </w:pPr>
            <w:r>
              <w:rPr>
                <w:rFonts w:hint="eastAsia" w:asciiTheme="minorHAnsi"/>
                <w:sz w:val="20"/>
                <w:szCs w:val="20"/>
              </w:rPr>
              <w:t xml:space="preserve">10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3650</w:t>
            </w:r>
          </w:p>
        </w:tc>
        <w:tc>
          <w:tcPr>
            <w:tcW w:w="551" w:type="dxa"/>
            <w:vAlign w:val="center"/>
          </w:tcPr>
          <w:p>
            <w:pPr>
              <w:jc w:val="center"/>
              <w:rPr>
                <w:rFonts w:hAnsi="宋体" w:cs="宋体"/>
                <w:sz w:val="20"/>
                <w:szCs w:val="20"/>
              </w:rPr>
            </w:pPr>
            <w:r>
              <w:rPr>
                <w:rFonts w:hint="eastAsia" w:asciiTheme="minorHAnsi"/>
                <w:sz w:val="20"/>
                <w:szCs w:val="20"/>
              </w:rPr>
              <w:t>个</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36500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餐桌</w:t>
            </w:r>
            <w:r>
              <w:rPr>
                <w:rFonts w:hint="eastAsia" w:asciiTheme="minorHAnsi"/>
                <w:sz w:val="20"/>
                <w:szCs w:val="20"/>
              </w:rPr>
              <w:br w:type="textWrapping"/>
            </w:r>
            <w:r>
              <w:rPr>
                <w:rFonts w:hint="eastAsia" w:asciiTheme="minorHAnsi"/>
                <w:sz w:val="20"/>
                <w:szCs w:val="20"/>
              </w:rPr>
              <w:t>生活区（1桌4椅）</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974725" cy="897255"/>
                  <wp:effectExtent l="0" t="0" r="9525" b="7620"/>
                  <wp:docPr id="11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2"/>
                          <pic:cNvPicPr>
                            <a:picLocks noChangeAspect="1" noChangeArrowheads="1"/>
                          </pic:cNvPicPr>
                        </pic:nvPicPr>
                        <pic:blipFill>
                          <a:blip r:embed="rId10" cstate="print"/>
                          <a:srcRect t="28983" b="25096"/>
                          <a:stretch>
                            <a:fillRect/>
                          </a:stretch>
                        </pic:blipFill>
                        <pic:spPr>
                          <a:xfrm>
                            <a:off x="0" y="0"/>
                            <a:ext cx="974725" cy="89725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1200*600*750</w:t>
            </w:r>
          </w:p>
        </w:tc>
        <w:tc>
          <w:tcPr>
            <w:tcW w:w="3795" w:type="dxa"/>
            <w:vAlign w:val="center"/>
          </w:tcPr>
          <w:p>
            <w:pPr>
              <w:jc w:val="left"/>
              <w:rPr>
                <w:rFonts w:hAnsi="宋体" w:cs="宋体" w:asciiTheme="minorHAnsi"/>
                <w:color w:val="auto"/>
                <w:sz w:val="20"/>
                <w:szCs w:val="20"/>
              </w:rPr>
            </w:pPr>
            <w:r>
              <w:rPr>
                <w:rFonts w:hint="eastAsia" w:hAnsi="宋体" w:cs="宋体" w:asciiTheme="minorHAnsi"/>
                <w:color w:val="auto"/>
                <w:sz w:val="20"/>
                <w:szCs w:val="20"/>
              </w:rPr>
              <w:t>桌子：</w:t>
            </w:r>
          </w:p>
          <w:p>
            <w:pPr>
              <w:numPr>
                <w:ilvl w:val="0"/>
                <w:numId w:val="40"/>
              </w:numPr>
              <w:ind w:left="0" w:firstLine="0"/>
              <w:jc w:val="left"/>
              <w:rPr>
                <w:rFonts w:hAnsi="宋体" w:cs="宋体" w:asciiTheme="minorHAnsi"/>
                <w:color w:val="auto"/>
                <w:sz w:val="20"/>
                <w:szCs w:val="20"/>
              </w:rPr>
            </w:pPr>
            <w:r>
              <w:rPr>
                <w:rFonts w:hint="eastAsia" w:hAnsi="宋体" w:asciiTheme="minorHAnsi"/>
                <w:color w:val="auto"/>
                <w:sz w:val="20"/>
                <w:szCs w:val="20"/>
              </w:rPr>
              <w:t>板材：实木颗粒板</w:t>
            </w:r>
            <w:r>
              <w:rPr>
                <w:rFonts w:hint="eastAsia" w:hAnsi="宋体" w:asciiTheme="minorHAnsi"/>
                <w:color w:val="auto"/>
                <w:sz w:val="20"/>
                <w:szCs w:val="20"/>
                <w:lang w:eastAsia="zh-CN"/>
              </w:rPr>
              <w:t>。</w:t>
            </w:r>
          </w:p>
          <w:p>
            <w:pPr>
              <w:numPr>
                <w:ilvl w:val="0"/>
                <w:numId w:val="40"/>
              </w:numPr>
              <w:ind w:left="0" w:firstLine="0"/>
              <w:jc w:val="left"/>
              <w:rPr>
                <w:rFonts w:hAnsi="宋体" w:cs="宋体" w:asciiTheme="minorHAnsi"/>
                <w:color w:val="auto"/>
                <w:sz w:val="20"/>
                <w:szCs w:val="20"/>
              </w:rPr>
            </w:pPr>
            <w:r>
              <w:rPr>
                <w:rFonts w:hint="eastAsia" w:hAnsi="宋体" w:asciiTheme="minorHAnsi"/>
                <w:color w:val="auto"/>
                <w:sz w:val="20"/>
                <w:szCs w:val="20"/>
              </w:rPr>
              <w:t>表面材料：采用0.8mm以上饰面板面，木纹清晰、接口自然平整。</w:t>
            </w:r>
          </w:p>
          <w:p>
            <w:pPr>
              <w:numPr>
                <w:ilvl w:val="0"/>
                <w:numId w:val="40"/>
              </w:numPr>
              <w:ind w:left="0" w:firstLine="0"/>
              <w:jc w:val="left"/>
              <w:rPr>
                <w:rFonts w:hAnsi="宋体" w:cs="宋体" w:asciiTheme="minorHAnsi"/>
                <w:b/>
                <w:bCs/>
                <w:color w:val="auto"/>
                <w:sz w:val="20"/>
                <w:szCs w:val="20"/>
              </w:rPr>
            </w:pPr>
            <w:r>
              <w:rPr>
                <w:rFonts w:hint="eastAsia" w:hAnsi="宋体" w:asciiTheme="minorHAnsi"/>
                <w:color w:val="auto"/>
                <w:sz w:val="20"/>
                <w:szCs w:val="20"/>
              </w:rPr>
              <w:t>封边用材：封边条：采用2.0mm厚PVC封边</w:t>
            </w:r>
            <w:r>
              <w:rPr>
                <w:rFonts w:hint="eastAsia" w:hAnsi="宋体" w:asciiTheme="minorHAnsi"/>
                <w:color w:val="auto"/>
                <w:sz w:val="20"/>
                <w:szCs w:val="20"/>
                <w:lang w:eastAsia="zh-CN"/>
              </w:rPr>
              <w:t>。</w:t>
            </w:r>
          </w:p>
          <w:p>
            <w:pPr>
              <w:numPr>
                <w:ilvl w:val="0"/>
                <w:numId w:val="40"/>
              </w:numPr>
              <w:ind w:left="0" w:firstLine="0"/>
              <w:jc w:val="left"/>
              <w:rPr>
                <w:rFonts w:hAnsi="宋体" w:cs="宋体" w:asciiTheme="minorHAnsi"/>
                <w:color w:val="auto"/>
                <w:sz w:val="20"/>
                <w:szCs w:val="20"/>
              </w:rPr>
            </w:pPr>
            <w:r>
              <w:rPr>
                <w:rFonts w:hint="eastAsia" w:hAnsi="宋体" w:asciiTheme="minorHAnsi"/>
                <w:color w:val="auto"/>
                <w:sz w:val="20"/>
                <w:szCs w:val="20"/>
              </w:rPr>
              <w:t>桌架：采用≥1.2mm静电树脂电喷钢材，喷塑处理。</w:t>
            </w:r>
          </w:p>
          <w:p>
            <w:pPr>
              <w:numPr>
                <w:ilvl w:val="0"/>
                <w:numId w:val="40"/>
              </w:numPr>
              <w:ind w:left="0" w:firstLine="0"/>
              <w:jc w:val="left"/>
              <w:rPr>
                <w:rFonts w:hAnsi="宋体" w:cs="宋体" w:asciiTheme="minorHAnsi"/>
                <w:color w:val="auto"/>
                <w:sz w:val="20"/>
                <w:szCs w:val="20"/>
              </w:rPr>
            </w:pPr>
            <w:r>
              <w:rPr>
                <w:rFonts w:hint="eastAsia" w:hAnsi="宋体" w:asciiTheme="minorHAnsi"/>
                <w:color w:val="auto"/>
                <w:sz w:val="20"/>
                <w:szCs w:val="20"/>
              </w:rPr>
              <w:t>一桌配4把椅子。</w:t>
            </w:r>
          </w:p>
          <w:p>
            <w:pPr>
              <w:jc w:val="left"/>
              <w:rPr>
                <w:rFonts w:hAnsi="宋体" w:cs="宋体" w:asciiTheme="minorHAnsi"/>
                <w:color w:val="auto"/>
                <w:sz w:val="20"/>
                <w:szCs w:val="20"/>
              </w:rPr>
            </w:pPr>
            <w:r>
              <w:rPr>
                <w:rFonts w:hint="eastAsia" w:hAnsi="宋体" w:asciiTheme="minorHAnsi"/>
                <w:color w:val="auto"/>
                <w:sz w:val="20"/>
                <w:szCs w:val="20"/>
              </w:rPr>
              <w:t>椅子：</w:t>
            </w:r>
            <w:r>
              <w:rPr>
                <w:rFonts w:hAnsi="宋体" w:cs="宋体" w:asciiTheme="minorHAnsi"/>
                <w:color w:val="auto"/>
                <w:sz w:val="20"/>
                <w:szCs w:val="20"/>
              </w:rPr>
              <w:t xml:space="preserve"> </w:t>
            </w:r>
          </w:p>
          <w:p>
            <w:pPr>
              <w:numPr>
                <w:ilvl w:val="0"/>
                <w:numId w:val="41"/>
              </w:numPr>
              <w:ind w:left="0" w:firstLine="0"/>
              <w:jc w:val="left"/>
              <w:rPr>
                <w:rFonts w:hAnsi="宋体" w:cs="宋体" w:asciiTheme="minorHAnsi"/>
                <w:color w:val="auto"/>
                <w:sz w:val="20"/>
                <w:szCs w:val="20"/>
              </w:rPr>
            </w:pPr>
            <w:r>
              <w:rPr>
                <w:rFonts w:hint="eastAsia" w:hAnsi="宋体" w:asciiTheme="minorHAnsi"/>
                <w:color w:val="auto"/>
                <w:sz w:val="20"/>
                <w:szCs w:val="20"/>
              </w:rPr>
              <w:t>面料：表面材料采用仿真皮覆面。</w:t>
            </w:r>
          </w:p>
          <w:p>
            <w:pPr>
              <w:numPr>
                <w:ilvl w:val="0"/>
                <w:numId w:val="41"/>
              </w:numPr>
              <w:ind w:left="0" w:firstLine="0"/>
              <w:jc w:val="left"/>
              <w:rPr>
                <w:rFonts w:hAnsi="宋体" w:cs="宋体" w:asciiTheme="minorHAnsi"/>
                <w:b/>
                <w:bCs/>
                <w:color w:val="auto"/>
                <w:sz w:val="20"/>
                <w:szCs w:val="20"/>
              </w:rPr>
            </w:pPr>
            <w:r>
              <w:rPr>
                <w:rFonts w:hint="eastAsia" w:hAnsi="宋体" w:asciiTheme="minorHAnsi"/>
                <w:color w:val="auto"/>
                <w:sz w:val="20"/>
                <w:szCs w:val="20"/>
              </w:rPr>
              <w:t>多层胶合板</w:t>
            </w:r>
            <w:r>
              <w:rPr>
                <w:rFonts w:hint="eastAsia" w:hAnsi="宋体" w:asciiTheme="minorHAnsi"/>
                <w:color w:val="auto"/>
                <w:sz w:val="20"/>
                <w:szCs w:val="20"/>
                <w:lang w:eastAsia="zh-CN"/>
              </w:rPr>
              <w:t>。</w:t>
            </w:r>
          </w:p>
          <w:p>
            <w:pPr>
              <w:jc w:val="left"/>
              <w:rPr>
                <w:rFonts w:hAnsi="宋体" w:cs="宋体" w:asciiTheme="minorHAnsi"/>
                <w:color w:val="auto"/>
                <w:sz w:val="20"/>
                <w:szCs w:val="20"/>
                <w:highlight w:val="none"/>
              </w:rPr>
            </w:pPr>
            <w:r>
              <w:rPr>
                <w:rFonts w:hint="eastAsia" w:ascii="宋体" w:hAnsi="宋体" w:cs="宋体"/>
                <w:b w:val="0"/>
                <w:bCs w:val="0"/>
                <w:color w:val="auto"/>
                <w:sz w:val="22"/>
                <w:highlight w:val="none"/>
                <w:lang w:val="en-US" w:eastAsia="zh-CN"/>
              </w:rPr>
              <w:t>3、</w:t>
            </w:r>
            <w:r>
              <w:rPr>
                <w:rFonts w:hint="eastAsia" w:hAnsi="宋体" w:asciiTheme="minorHAnsi"/>
                <w:color w:val="auto"/>
                <w:sz w:val="20"/>
                <w:szCs w:val="20"/>
                <w:highlight w:val="none"/>
              </w:rPr>
              <w:t>内部填充物：海绵</w:t>
            </w:r>
            <w:r>
              <w:rPr>
                <w:rFonts w:hint="eastAsia" w:hAnsi="宋体" w:asciiTheme="minorHAnsi"/>
                <w:color w:val="auto"/>
                <w:sz w:val="20"/>
                <w:szCs w:val="20"/>
                <w:highlight w:val="none"/>
                <w:lang w:eastAsia="zh-CN"/>
              </w:rPr>
              <w:t>。</w:t>
            </w:r>
          </w:p>
          <w:p>
            <w:pPr>
              <w:jc w:val="left"/>
              <w:rPr>
                <w:rFonts w:hAnsi="宋体" w:cs="宋体" w:asciiTheme="minorHAnsi"/>
                <w:color w:val="auto"/>
                <w:sz w:val="20"/>
                <w:szCs w:val="20"/>
              </w:rPr>
            </w:pPr>
            <w:r>
              <w:rPr>
                <w:rFonts w:hint="eastAsia" w:ascii="宋体" w:hAnsi="宋体" w:cs="宋体"/>
                <w:color w:val="auto"/>
                <w:sz w:val="20"/>
                <w:szCs w:val="20"/>
              </w:rPr>
              <w:t>4、</w:t>
            </w:r>
            <w:r>
              <w:rPr>
                <w:rFonts w:hint="eastAsia" w:hAnsi="宋体" w:asciiTheme="minorHAnsi"/>
                <w:color w:val="auto"/>
                <w:sz w:val="20"/>
                <w:szCs w:val="20"/>
              </w:rPr>
              <w:t>外架：实木架。</w:t>
            </w:r>
          </w:p>
          <w:p>
            <w:pPr>
              <w:jc w:val="left"/>
              <w:rPr>
                <w:rFonts w:hAnsi="宋体" w:cs="宋体"/>
                <w:sz w:val="20"/>
                <w:szCs w:val="20"/>
              </w:rPr>
            </w:pPr>
            <w:r>
              <w:rPr>
                <w:rFonts w:hint="eastAsia" w:ascii="宋体" w:hAnsi="宋体"/>
                <w:color w:val="auto"/>
                <w:sz w:val="20"/>
                <w:szCs w:val="20"/>
              </w:rPr>
              <w:t>5、</w:t>
            </w:r>
            <w:r>
              <w:rPr>
                <w:rFonts w:hint="eastAsia" w:hAnsi="宋体" w:asciiTheme="minorHAnsi"/>
                <w:color w:val="auto"/>
                <w:sz w:val="20"/>
                <w:szCs w:val="20"/>
              </w:rPr>
              <w:t>水性漆：水性油漆，经UV工艺、五底四面涂装而成，涂装时间迅速，漆膜的外观理化性光洁高度，硬度达到2H，指标达到国家标准</w:t>
            </w:r>
            <w:r>
              <w:rPr>
                <w:rFonts w:hint="eastAsia" w:hAnsi="宋体" w:asciiTheme="minorHAnsi"/>
                <w:color w:val="auto"/>
                <w:sz w:val="20"/>
                <w:szCs w:val="20"/>
                <w:lang w:eastAsia="zh-CN"/>
              </w:rPr>
              <w:t>。</w:t>
            </w:r>
          </w:p>
        </w:tc>
        <w:tc>
          <w:tcPr>
            <w:tcW w:w="695" w:type="dxa"/>
            <w:vAlign w:val="center"/>
          </w:tcPr>
          <w:p>
            <w:pPr>
              <w:jc w:val="center"/>
              <w:rPr>
                <w:rFonts w:hAnsi="宋体" w:cs="宋体"/>
                <w:sz w:val="20"/>
                <w:szCs w:val="20"/>
              </w:rPr>
            </w:pPr>
            <w:r>
              <w:rPr>
                <w:rFonts w:hint="eastAsia" w:asciiTheme="minorHAnsi"/>
                <w:sz w:val="20"/>
                <w:szCs w:val="20"/>
              </w:rPr>
              <w:t xml:space="preserve">12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1600</w:t>
            </w:r>
          </w:p>
        </w:tc>
        <w:tc>
          <w:tcPr>
            <w:tcW w:w="551" w:type="dxa"/>
            <w:vAlign w:val="center"/>
          </w:tcPr>
          <w:p>
            <w:pPr>
              <w:jc w:val="center"/>
              <w:rPr>
                <w:rFonts w:hAnsi="宋体" w:cs="宋体"/>
                <w:sz w:val="20"/>
                <w:szCs w:val="20"/>
              </w:rPr>
            </w:pPr>
            <w:r>
              <w:rPr>
                <w:rFonts w:hint="eastAsia" w:asciiTheme="minorHAnsi"/>
                <w:sz w:val="20"/>
                <w:szCs w:val="20"/>
              </w:rPr>
              <w:t>套</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Align w:val="center"/>
          </w:tcPr>
          <w:p>
            <w:pPr>
              <w:jc w:val="center"/>
              <w:rPr>
                <w:rFonts w:hAnsi="宋体" w:cs="宋体"/>
                <w:sz w:val="20"/>
                <w:szCs w:val="20"/>
              </w:rPr>
            </w:pPr>
            <w:r>
              <w:rPr>
                <w:rFonts w:hint="eastAsia" w:asciiTheme="minorHAnsi"/>
                <w:sz w:val="20"/>
                <w:szCs w:val="20"/>
              </w:rPr>
              <w:t>餐桌、配套椅子（配餐间可收放）</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845185" cy="560705"/>
                  <wp:effectExtent l="0" t="0" r="12065" b="10795"/>
                  <wp:docPr id="11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1"/>
                          <pic:cNvPicPr>
                            <a:picLocks noChangeAspect="1" noChangeArrowheads="1"/>
                          </pic:cNvPicPr>
                        </pic:nvPicPr>
                        <pic:blipFill>
                          <a:blip r:embed="rId11" cstate="print"/>
                          <a:srcRect/>
                          <a:stretch>
                            <a:fillRect/>
                          </a:stretch>
                        </pic:blipFill>
                        <pic:spPr>
                          <a:xfrm>
                            <a:off x="0" y="0"/>
                            <a:ext cx="845185" cy="56070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1200*600*750</w:t>
            </w:r>
          </w:p>
        </w:tc>
        <w:tc>
          <w:tcPr>
            <w:tcW w:w="3795" w:type="dxa"/>
            <w:vAlign w:val="center"/>
          </w:tcPr>
          <w:p>
            <w:pPr>
              <w:jc w:val="left"/>
              <w:rPr>
                <w:rFonts w:hAnsi="宋体" w:cs="宋体" w:asciiTheme="minorHAnsi"/>
                <w:sz w:val="20"/>
                <w:szCs w:val="20"/>
              </w:rPr>
            </w:pPr>
            <w:r>
              <w:rPr>
                <w:rFonts w:hint="eastAsia" w:hAnsi="宋体" w:cs="宋体" w:asciiTheme="minorHAnsi"/>
                <w:sz w:val="20"/>
                <w:szCs w:val="20"/>
              </w:rPr>
              <w:t>（不锈钢台面、收折式）</w:t>
            </w:r>
          </w:p>
          <w:p>
            <w:pPr>
              <w:numPr>
                <w:ilvl w:val="0"/>
                <w:numId w:val="42"/>
              </w:numPr>
              <w:ind w:left="0" w:firstLine="0"/>
              <w:jc w:val="left"/>
              <w:rPr>
                <w:rFonts w:hAnsi="宋体" w:cs="宋体" w:asciiTheme="minorHAnsi"/>
                <w:sz w:val="20"/>
                <w:szCs w:val="20"/>
              </w:rPr>
            </w:pPr>
            <w:r>
              <w:rPr>
                <w:rFonts w:hint="eastAsia" w:hAnsi="宋体" w:asciiTheme="minorHAnsi"/>
                <w:sz w:val="20"/>
                <w:szCs w:val="20"/>
              </w:rPr>
              <w:t>桌面采用不锈钢台面(胎板为18mm多层板，面皮为1.0mm不锈钢板)。</w:t>
            </w:r>
          </w:p>
          <w:p>
            <w:pPr>
              <w:numPr>
                <w:ilvl w:val="0"/>
                <w:numId w:val="42"/>
              </w:numPr>
              <w:ind w:left="0" w:firstLine="0"/>
              <w:jc w:val="left"/>
              <w:rPr>
                <w:rFonts w:hAnsi="宋体" w:cs="宋体" w:asciiTheme="minorHAnsi"/>
                <w:sz w:val="20"/>
                <w:szCs w:val="20"/>
              </w:rPr>
            </w:pPr>
            <w:r>
              <w:rPr>
                <w:rFonts w:hint="eastAsia" w:hAnsi="宋体" w:asciiTheme="minorHAnsi"/>
                <w:sz w:val="20"/>
                <w:szCs w:val="20"/>
              </w:rPr>
              <w:t>桌架采用不锈钢方管50*50*1.5mm，角钢40*40*4mm等组焊而成，着地足套橡胶模制套，防磨止蚀止滑。</w:t>
            </w:r>
          </w:p>
          <w:p>
            <w:pPr>
              <w:numPr>
                <w:ilvl w:val="0"/>
                <w:numId w:val="42"/>
              </w:numPr>
              <w:ind w:left="0" w:leftChars="0" w:firstLine="0" w:firstLineChars="0"/>
              <w:jc w:val="left"/>
              <w:rPr>
                <w:rFonts w:hAnsi="宋体" w:cs="宋体"/>
                <w:sz w:val="20"/>
                <w:szCs w:val="20"/>
              </w:rPr>
            </w:pPr>
            <w:r>
              <w:rPr>
                <w:rFonts w:hint="eastAsia" w:hAnsi="宋体" w:asciiTheme="minorHAnsi"/>
                <w:sz w:val="20"/>
                <w:szCs w:val="20"/>
              </w:rPr>
              <w:t>凳面采用工程塑料模制凳面</w:t>
            </w:r>
            <w:r>
              <w:rPr>
                <w:rFonts w:hint="eastAsia" w:hAnsi="宋体" w:asciiTheme="minorHAnsi"/>
                <w:sz w:val="20"/>
                <w:szCs w:val="20"/>
                <w:lang w:eastAsia="zh-CN"/>
              </w:rPr>
              <w:t>。</w:t>
            </w:r>
          </w:p>
        </w:tc>
        <w:tc>
          <w:tcPr>
            <w:tcW w:w="695" w:type="dxa"/>
            <w:vAlign w:val="center"/>
          </w:tcPr>
          <w:p>
            <w:pPr>
              <w:jc w:val="center"/>
              <w:rPr>
                <w:rFonts w:hAnsi="宋体" w:cs="宋体"/>
                <w:sz w:val="20"/>
                <w:szCs w:val="20"/>
              </w:rPr>
            </w:pPr>
            <w:r>
              <w:rPr>
                <w:rFonts w:hint="eastAsia" w:asciiTheme="minorHAnsi"/>
                <w:sz w:val="20"/>
                <w:szCs w:val="20"/>
              </w:rPr>
              <w:t xml:space="preserve">19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1650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31350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茶几</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905510" cy="664210"/>
                  <wp:effectExtent l="0" t="0" r="15240" b="2540"/>
                  <wp:docPr id="11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0"/>
                          <pic:cNvPicPr>
                            <a:picLocks noChangeAspect="1" noChangeArrowheads="1"/>
                          </pic:cNvPicPr>
                        </pic:nvPicPr>
                        <pic:blipFill>
                          <a:blip r:embed="rId12" cstate="print"/>
                          <a:srcRect/>
                          <a:stretch>
                            <a:fillRect/>
                          </a:stretch>
                        </pic:blipFill>
                        <pic:spPr>
                          <a:xfrm>
                            <a:off x="0" y="0"/>
                            <a:ext cx="905510" cy="66421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1200*600*450</w:t>
            </w:r>
          </w:p>
        </w:tc>
        <w:tc>
          <w:tcPr>
            <w:tcW w:w="3795" w:type="dxa"/>
            <w:vAlign w:val="center"/>
          </w:tcPr>
          <w:p>
            <w:pPr>
              <w:numPr>
                <w:ilvl w:val="0"/>
                <w:numId w:val="43"/>
              </w:numPr>
              <w:ind w:left="0" w:firstLine="0"/>
              <w:jc w:val="left"/>
              <w:rPr>
                <w:rFonts w:hAnsi="宋体" w:cs="宋体" w:asciiTheme="minorHAnsi"/>
                <w:sz w:val="20"/>
                <w:szCs w:val="20"/>
              </w:rPr>
            </w:pPr>
            <w:r>
              <w:rPr>
                <w:rFonts w:hint="eastAsia" w:hAnsi="宋体" w:asciiTheme="minorHAnsi"/>
                <w:sz w:val="20"/>
                <w:szCs w:val="20"/>
              </w:rPr>
              <w:t>框架：实木。</w:t>
            </w:r>
          </w:p>
          <w:p>
            <w:pPr>
              <w:numPr>
                <w:ilvl w:val="0"/>
                <w:numId w:val="43"/>
              </w:numPr>
              <w:ind w:left="0" w:firstLine="0"/>
              <w:jc w:val="left"/>
              <w:rPr>
                <w:rFonts w:hAnsi="宋体" w:cs="宋体" w:asciiTheme="minorHAnsi"/>
                <w:sz w:val="20"/>
                <w:szCs w:val="20"/>
              </w:rPr>
            </w:pPr>
            <w:r>
              <w:rPr>
                <w:rFonts w:hint="eastAsia" w:hAnsi="宋体" w:asciiTheme="minorHAnsi"/>
                <w:sz w:val="20"/>
                <w:szCs w:val="20"/>
              </w:rPr>
              <w:t>油漆：哑光清面漆</w:t>
            </w:r>
            <w:r>
              <w:rPr>
                <w:rFonts w:hint="eastAsia" w:hAnsi="宋体" w:asciiTheme="minorHAnsi"/>
                <w:sz w:val="20"/>
                <w:szCs w:val="20"/>
                <w:lang w:eastAsia="zh-CN"/>
              </w:rPr>
              <w:t>。</w:t>
            </w:r>
          </w:p>
          <w:p>
            <w:pPr>
              <w:numPr>
                <w:ilvl w:val="0"/>
                <w:numId w:val="43"/>
              </w:numPr>
              <w:ind w:left="0" w:firstLine="0"/>
              <w:jc w:val="left"/>
              <w:rPr>
                <w:rFonts w:hAnsi="宋体" w:cs="宋体" w:asciiTheme="minorHAnsi"/>
                <w:sz w:val="20"/>
                <w:szCs w:val="20"/>
              </w:rPr>
            </w:pPr>
            <w:r>
              <w:rPr>
                <w:rFonts w:hint="eastAsia" w:hAnsi="宋体" w:asciiTheme="minorHAnsi"/>
                <w:sz w:val="20"/>
                <w:szCs w:val="20"/>
              </w:rPr>
              <w:t>基材：采用中密度纤维板，产品符合木家具有害物质限量标准要求。</w:t>
            </w:r>
          </w:p>
          <w:p>
            <w:pPr>
              <w:numPr>
                <w:ilvl w:val="0"/>
                <w:numId w:val="43"/>
              </w:numPr>
              <w:ind w:left="0" w:leftChars="0" w:firstLine="0" w:firstLineChars="0"/>
              <w:jc w:val="left"/>
              <w:rPr>
                <w:rFonts w:hAnsi="宋体" w:cs="宋体"/>
                <w:sz w:val="20"/>
                <w:szCs w:val="20"/>
              </w:rPr>
            </w:pPr>
            <w:r>
              <w:rPr>
                <w:rFonts w:hint="eastAsia" w:hAnsi="宋体" w:asciiTheme="minorHAnsi"/>
                <w:sz w:val="20"/>
                <w:szCs w:val="20"/>
              </w:rPr>
              <w:t>贴面材料：三聚氰胺板，产品符合木家具有害物质限量标准要求</w:t>
            </w:r>
            <w:r>
              <w:rPr>
                <w:rFonts w:hint="eastAsia" w:hAnsi="宋体" w:asciiTheme="minorHAnsi"/>
                <w:b w:val="0"/>
                <w:bCs w:val="0"/>
                <w:sz w:val="20"/>
                <w:szCs w:val="20"/>
              </w:rPr>
              <w:t>。</w:t>
            </w:r>
          </w:p>
        </w:tc>
        <w:tc>
          <w:tcPr>
            <w:tcW w:w="695" w:type="dxa"/>
            <w:vAlign w:val="center"/>
          </w:tcPr>
          <w:p>
            <w:pPr>
              <w:jc w:val="center"/>
              <w:rPr>
                <w:rFonts w:hAnsi="宋体" w:cs="宋体"/>
                <w:sz w:val="20"/>
                <w:szCs w:val="20"/>
              </w:rPr>
            </w:pPr>
            <w:r>
              <w:rPr>
                <w:rFonts w:hint="eastAsia" w:asciiTheme="minorHAnsi"/>
                <w:sz w:val="20"/>
                <w:szCs w:val="20"/>
              </w:rPr>
              <w:t xml:space="preserve">12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1200</w:t>
            </w:r>
          </w:p>
        </w:tc>
        <w:tc>
          <w:tcPr>
            <w:tcW w:w="551" w:type="dxa"/>
            <w:vAlign w:val="center"/>
          </w:tcPr>
          <w:p>
            <w:pPr>
              <w:jc w:val="center"/>
              <w:rPr>
                <w:rFonts w:hAnsi="宋体" w:cs="宋体"/>
                <w:sz w:val="20"/>
                <w:szCs w:val="20"/>
              </w:rPr>
            </w:pPr>
            <w:r>
              <w:rPr>
                <w:rFonts w:hint="eastAsia" w:asciiTheme="minorHAnsi"/>
                <w:sz w:val="20"/>
                <w:szCs w:val="20"/>
              </w:rPr>
              <w:t>张</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Align w:val="center"/>
          </w:tcPr>
          <w:p>
            <w:pPr>
              <w:jc w:val="center"/>
              <w:rPr>
                <w:rFonts w:hAnsi="宋体" w:cs="宋体"/>
                <w:sz w:val="20"/>
                <w:szCs w:val="20"/>
              </w:rPr>
            </w:pPr>
            <w:r>
              <w:rPr>
                <w:rFonts w:hint="eastAsia" w:asciiTheme="minorHAnsi"/>
                <w:sz w:val="20"/>
                <w:szCs w:val="20"/>
              </w:rPr>
              <w:t>各病区储物柜</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940435" cy="802005"/>
                  <wp:effectExtent l="0" t="0" r="12065" b="7620"/>
                  <wp:docPr id="12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9"/>
                          <pic:cNvPicPr>
                            <a:picLocks noChangeAspect="1" noChangeArrowheads="1"/>
                          </pic:cNvPicPr>
                        </pic:nvPicPr>
                        <pic:blipFill>
                          <a:blip r:embed="rId13" cstate="print"/>
                          <a:srcRect/>
                          <a:stretch>
                            <a:fillRect/>
                          </a:stretch>
                        </pic:blipFill>
                        <pic:spPr>
                          <a:xfrm>
                            <a:off x="0" y="0"/>
                            <a:ext cx="940435" cy="80200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三人房：2700*3300*600           双人房：3000*2800*600     儿科房：2000*2700*600     产房：3000*3000*600     手术室：3000*3000*600</w:t>
            </w:r>
          </w:p>
        </w:tc>
        <w:tc>
          <w:tcPr>
            <w:tcW w:w="3795" w:type="dxa"/>
            <w:vAlign w:val="center"/>
          </w:tcPr>
          <w:p>
            <w:pPr>
              <w:jc w:val="left"/>
              <w:rPr>
                <w:rFonts w:hAnsi="宋体" w:cs="宋体" w:asciiTheme="minorHAnsi"/>
                <w:sz w:val="20"/>
                <w:szCs w:val="20"/>
              </w:rPr>
            </w:pPr>
            <w:r>
              <w:rPr>
                <w:rFonts w:hint="eastAsia" w:ascii="宋体" w:hAnsi="宋体"/>
                <w:bCs/>
                <w:sz w:val="20"/>
                <w:szCs w:val="20"/>
              </w:rPr>
              <w:t>1、</w:t>
            </w:r>
            <w:r>
              <w:rPr>
                <w:rFonts w:hint="eastAsia" w:hAnsi="宋体" w:asciiTheme="minorHAnsi"/>
                <w:sz w:val="20"/>
                <w:szCs w:val="20"/>
              </w:rPr>
              <w:t>基材：桌面采用多层实木板，产品符合木家具有害物质限量标准要求。</w:t>
            </w:r>
          </w:p>
          <w:p>
            <w:pPr>
              <w:jc w:val="left"/>
              <w:rPr>
                <w:rFonts w:hAnsi="宋体" w:cs="宋体" w:asciiTheme="minorHAnsi"/>
                <w:sz w:val="20"/>
                <w:szCs w:val="20"/>
              </w:rPr>
            </w:pPr>
            <w:r>
              <w:rPr>
                <w:rFonts w:hint="eastAsia" w:hAnsi="宋体" w:asciiTheme="minorHAnsi"/>
                <w:sz w:val="20"/>
                <w:szCs w:val="20"/>
              </w:rPr>
              <w:t>2、贴面材料：三聚氰胺板，产品符合木家具有害物质限量标准要求</w:t>
            </w:r>
            <w:r>
              <w:rPr>
                <w:rFonts w:hint="eastAsia" w:hAnsi="宋体" w:asciiTheme="minorHAnsi"/>
                <w:b w:val="0"/>
                <w:bCs w:val="0"/>
                <w:sz w:val="20"/>
                <w:szCs w:val="20"/>
              </w:rPr>
              <w:t>。</w:t>
            </w:r>
          </w:p>
          <w:p>
            <w:pPr>
              <w:jc w:val="left"/>
              <w:rPr>
                <w:rFonts w:hint="eastAsia" w:hAnsi="宋体" w:cs="宋体" w:asciiTheme="minorHAnsi"/>
                <w:sz w:val="20"/>
                <w:szCs w:val="20"/>
                <w:lang w:eastAsia="zh-CN"/>
              </w:rPr>
            </w:pPr>
            <w:r>
              <w:rPr>
                <w:rFonts w:hint="eastAsia" w:hAnsi="宋体" w:asciiTheme="minorHAnsi"/>
                <w:sz w:val="20"/>
                <w:szCs w:val="20"/>
              </w:rPr>
              <w:t>3、封边条：采用2.0mm厚PVC封边</w:t>
            </w:r>
            <w:r>
              <w:rPr>
                <w:rFonts w:hint="eastAsia" w:hAnsi="宋体" w:cs="宋体" w:asciiTheme="minorHAnsi"/>
                <w:sz w:val="20"/>
                <w:szCs w:val="20"/>
                <w:lang w:eastAsia="zh-CN"/>
              </w:rPr>
              <w:t>。</w:t>
            </w:r>
          </w:p>
          <w:p>
            <w:pPr>
              <w:jc w:val="left"/>
              <w:rPr>
                <w:rFonts w:hint="eastAsia" w:hAnsi="宋体" w:eastAsia="宋体"/>
                <w:sz w:val="20"/>
                <w:szCs w:val="20"/>
                <w:lang w:eastAsia="zh-CN"/>
              </w:rPr>
            </w:pPr>
            <w:r>
              <w:rPr>
                <w:rFonts w:hint="eastAsia" w:ascii="宋体" w:hAnsi="宋体"/>
                <w:sz w:val="20"/>
                <w:szCs w:val="20"/>
              </w:rPr>
              <w:t>4、</w:t>
            </w:r>
            <w:r>
              <w:rPr>
                <w:rFonts w:hint="eastAsia" w:hAnsi="宋体" w:asciiTheme="minorHAnsi"/>
                <w:sz w:val="20"/>
                <w:szCs w:val="20"/>
              </w:rPr>
              <w:t>配件：五金件连接不松动</w:t>
            </w:r>
            <w:r>
              <w:rPr>
                <w:rFonts w:hint="eastAsia" w:hAnsi="宋体" w:asciiTheme="minorHAnsi"/>
                <w:sz w:val="20"/>
                <w:szCs w:val="20"/>
                <w:lang w:eastAsia="zh-CN"/>
              </w:rPr>
              <w:t>。</w:t>
            </w:r>
          </w:p>
        </w:tc>
        <w:tc>
          <w:tcPr>
            <w:tcW w:w="695" w:type="dxa"/>
            <w:vAlign w:val="center"/>
          </w:tcPr>
          <w:p>
            <w:pPr>
              <w:jc w:val="center"/>
              <w:rPr>
                <w:rFonts w:hAnsi="宋体" w:cs="宋体"/>
                <w:sz w:val="20"/>
                <w:szCs w:val="20"/>
              </w:rPr>
            </w:pPr>
            <w:r>
              <w:rPr>
                <w:rFonts w:hint="eastAsia" w:asciiTheme="minorHAnsi"/>
                <w:sz w:val="20"/>
                <w:szCs w:val="20"/>
              </w:rPr>
              <w:t xml:space="preserve">135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5500</w:t>
            </w:r>
          </w:p>
        </w:tc>
        <w:tc>
          <w:tcPr>
            <w:tcW w:w="551" w:type="dxa"/>
            <w:vAlign w:val="center"/>
          </w:tcPr>
          <w:p>
            <w:pPr>
              <w:jc w:val="center"/>
              <w:rPr>
                <w:rFonts w:hAnsi="宋体" w:cs="宋体"/>
                <w:sz w:val="20"/>
                <w:szCs w:val="20"/>
              </w:rPr>
            </w:pPr>
            <w:r>
              <w:rPr>
                <w:rFonts w:hint="eastAsia" w:asciiTheme="minorHAnsi"/>
                <w:sz w:val="20"/>
                <w:szCs w:val="20"/>
              </w:rPr>
              <w:t>个</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742500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4" w:type="dxa"/>
            <w:vAlign w:val="center"/>
          </w:tcPr>
          <w:p>
            <w:pPr>
              <w:jc w:val="center"/>
              <w:rPr>
                <w:rFonts w:hAnsi="宋体" w:cs="宋体"/>
                <w:sz w:val="20"/>
                <w:szCs w:val="20"/>
              </w:rPr>
            </w:pPr>
            <w:r>
              <w:rPr>
                <w:rFonts w:hint="eastAsia" w:asciiTheme="minorHAnsi"/>
                <w:sz w:val="20"/>
                <w:szCs w:val="20"/>
              </w:rPr>
              <w:t>各病区库房储物架</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905510" cy="603885"/>
                  <wp:effectExtent l="0" t="0" r="15240" b="15240"/>
                  <wp:docPr id="12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98"/>
                          <pic:cNvPicPr>
                            <a:picLocks noChangeAspect="1" noChangeArrowheads="1"/>
                          </pic:cNvPicPr>
                        </pic:nvPicPr>
                        <pic:blipFill>
                          <a:blip r:embed="rId14" cstate="print"/>
                          <a:srcRect/>
                          <a:stretch>
                            <a:fillRect/>
                          </a:stretch>
                        </pic:blipFill>
                        <pic:spPr>
                          <a:xfrm>
                            <a:off x="0" y="0"/>
                            <a:ext cx="905510" cy="60388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2000*2000*600</w:t>
            </w:r>
          </w:p>
        </w:tc>
        <w:tc>
          <w:tcPr>
            <w:tcW w:w="3795" w:type="dxa"/>
            <w:vAlign w:val="center"/>
          </w:tcPr>
          <w:p>
            <w:pPr>
              <w:numPr>
                <w:ilvl w:val="0"/>
                <w:numId w:val="44"/>
              </w:numPr>
              <w:ind w:left="0" w:firstLine="0"/>
              <w:jc w:val="left"/>
              <w:rPr>
                <w:rFonts w:hAnsi="宋体" w:cs="宋体" w:asciiTheme="minorHAnsi"/>
                <w:sz w:val="20"/>
                <w:szCs w:val="20"/>
              </w:rPr>
            </w:pPr>
            <w:r>
              <w:rPr>
                <w:rFonts w:hint="eastAsia" w:hAnsi="宋体" w:asciiTheme="minorHAnsi"/>
                <w:sz w:val="20"/>
                <w:szCs w:val="20"/>
              </w:rPr>
              <w:t>材质：选用专业型材钢：</w:t>
            </w:r>
            <w:r>
              <w:rPr>
                <w:rFonts w:hint="eastAsia" w:hAnsi="宋体" w:cs="微软雅黑" w:asciiTheme="minorHAnsi"/>
                <w:kern w:val="0"/>
                <w:sz w:val="20"/>
                <w:szCs w:val="20"/>
                <w:shd w:val="clear" w:color="auto" w:fill="FFFFFF"/>
              </w:rPr>
              <w:t>立柱</w:t>
            </w:r>
            <w:r>
              <w:rPr>
                <w:rFonts w:hAnsi="宋体" w:cs="微软雅黑" w:asciiTheme="minorHAnsi"/>
                <w:kern w:val="0"/>
                <w:sz w:val="20"/>
                <w:szCs w:val="20"/>
                <w:shd w:val="clear" w:color="auto" w:fill="FFFFFF"/>
              </w:rPr>
              <w:t xml:space="preserve"> </w:t>
            </w:r>
            <w:r>
              <w:rPr>
                <w:rFonts w:hint="eastAsia" w:hAnsi="宋体" w:cs="微软雅黑" w:asciiTheme="minorHAnsi"/>
                <w:kern w:val="0"/>
                <w:sz w:val="20"/>
                <w:szCs w:val="20"/>
                <w:shd w:val="clear" w:color="auto" w:fill="FFFFFF"/>
              </w:rPr>
              <w:t>4</w:t>
            </w:r>
            <w:r>
              <w:rPr>
                <w:rFonts w:hAnsi="宋体" w:cs="微软雅黑" w:asciiTheme="minorHAnsi"/>
                <w:kern w:val="0"/>
                <w:sz w:val="20"/>
                <w:szCs w:val="20"/>
                <w:shd w:val="clear" w:color="auto" w:fill="FFFFFF"/>
              </w:rPr>
              <w:t>0*</w:t>
            </w:r>
            <w:r>
              <w:rPr>
                <w:rFonts w:hint="eastAsia" w:hAnsi="宋体" w:cs="微软雅黑" w:asciiTheme="minorHAnsi"/>
                <w:kern w:val="0"/>
                <w:sz w:val="20"/>
                <w:szCs w:val="20"/>
                <w:shd w:val="clear" w:color="auto" w:fill="FFFFFF"/>
              </w:rPr>
              <w:t>8</w:t>
            </w:r>
            <w:r>
              <w:rPr>
                <w:rFonts w:hAnsi="宋体" w:cs="微软雅黑" w:asciiTheme="minorHAnsi"/>
                <w:kern w:val="0"/>
                <w:sz w:val="20"/>
                <w:szCs w:val="20"/>
                <w:shd w:val="clear" w:color="auto" w:fill="FFFFFF"/>
              </w:rPr>
              <w:t>0*1.</w:t>
            </w:r>
            <w:r>
              <w:rPr>
                <w:rFonts w:hint="eastAsia" w:hAnsi="宋体" w:cs="微软雅黑" w:asciiTheme="minorHAnsi"/>
                <w:kern w:val="0"/>
                <w:sz w:val="20"/>
                <w:szCs w:val="20"/>
                <w:shd w:val="clear" w:color="auto" w:fill="FFFFFF"/>
              </w:rPr>
              <w:t>5</w:t>
            </w:r>
            <w:r>
              <w:rPr>
                <w:rFonts w:hAnsi="宋体" w:cs="微软雅黑" w:asciiTheme="minorHAnsi"/>
                <w:kern w:val="0"/>
                <w:sz w:val="20"/>
                <w:szCs w:val="20"/>
                <w:shd w:val="clear" w:color="auto" w:fill="FFFFFF"/>
              </w:rPr>
              <w:t>mm</w:t>
            </w:r>
            <w:r>
              <w:rPr>
                <w:rFonts w:hint="eastAsia" w:hAnsi="宋体" w:cs="微软雅黑" w:asciiTheme="minorHAnsi"/>
                <w:kern w:val="0"/>
                <w:sz w:val="20"/>
                <w:szCs w:val="20"/>
                <w:shd w:val="clear" w:color="auto" w:fill="FFFFFF"/>
              </w:rPr>
              <w:t>，横梁4</w:t>
            </w:r>
            <w:r>
              <w:rPr>
                <w:rFonts w:hAnsi="宋体" w:cs="微软雅黑" w:asciiTheme="minorHAnsi"/>
                <w:kern w:val="0"/>
                <w:sz w:val="20"/>
                <w:szCs w:val="20"/>
                <w:shd w:val="clear" w:color="auto" w:fill="FFFFFF"/>
              </w:rPr>
              <w:t>0*</w:t>
            </w:r>
            <w:r>
              <w:rPr>
                <w:rFonts w:hint="eastAsia" w:hAnsi="宋体" w:cs="微软雅黑" w:asciiTheme="minorHAnsi"/>
                <w:kern w:val="0"/>
                <w:sz w:val="20"/>
                <w:szCs w:val="20"/>
                <w:shd w:val="clear" w:color="auto" w:fill="FFFFFF"/>
              </w:rPr>
              <w:t>6</w:t>
            </w:r>
            <w:r>
              <w:rPr>
                <w:rFonts w:hAnsi="宋体" w:cs="微软雅黑" w:asciiTheme="minorHAnsi"/>
                <w:kern w:val="0"/>
                <w:sz w:val="20"/>
                <w:szCs w:val="20"/>
                <w:shd w:val="clear" w:color="auto" w:fill="FFFFFF"/>
              </w:rPr>
              <w:t>0*1.5mm</w:t>
            </w:r>
            <w:r>
              <w:rPr>
                <w:rFonts w:hint="eastAsia" w:hAnsi="宋体" w:cs="微软雅黑" w:asciiTheme="minorHAnsi"/>
                <w:kern w:val="0"/>
                <w:sz w:val="20"/>
                <w:szCs w:val="20"/>
                <w:shd w:val="clear" w:color="auto" w:fill="FFFFFF"/>
              </w:rPr>
              <w:t>，隔板</w:t>
            </w:r>
            <w:r>
              <w:rPr>
                <w:rFonts w:hAnsi="宋体" w:cs="微软雅黑" w:asciiTheme="minorHAnsi"/>
                <w:kern w:val="0"/>
                <w:sz w:val="20"/>
                <w:szCs w:val="20"/>
                <w:shd w:val="clear" w:color="auto" w:fill="FFFFFF"/>
              </w:rPr>
              <w:t>0.</w:t>
            </w:r>
            <w:r>
              <w:rPr>
                <w:rFonts w:hint="eastAsia" w:hAnsi="宋体" w:cs="微软雅黑" w:asciiTheme="minorHAnsi"/>
                <w:kern w:val="0"/>
                <w:sz w:val="20"/>
                <w:szCs w:val="20"/>
                <w:shd w:val="clear" w:color="auto" w:fill="FFFFFF"/>
              </w:rPr>
              <w:t>8</w:t>
            </w:r>
            <w:r>
              <w:rPr>
                <w:rFonts w:hAnsi="宋体" w:cs="微软雅黑" w:asciiTheme="minorHAnsi"/>
                <w:kern w:val="0"/>
                <w:sz w:val="20"/>
                <w:szCs w:val="20"/>
                <w:shd w:val="clear" w:color="auto" w:fill="FFFFFF"/>
              </w:rPr>
              <w:t>mm SPCC钢板。</w:t>
            </w:r>
          </w:p>
          <w:p>
            <w:pPr>
              <w:numPr>
                <w:ilvl w:val="0"/>
                <w:numId w:val="44"/>
              </w:numPr>
              <w:ind w:left="0" w:firstLine="0"/>
              <w:jc w:val="left"/>
              <w:rPr>
                <w:rFonts w:hAnsi="宋体" w:cs="宋体" w:asciiTheme="minorHAnsi"/>
                <w:sz w:val="20"/>
                <w:szCs w:val="20"/>
              </w:rPr>
            </w:pPr>
            <w:r>
              <w:rPr>
                <w:rFonts w:hint="eastAsia" w:hAnsi="宋体" w:asciiTheme="minorHAnsi"/>
                <w:sz w:val="20"/>
                <w:szCs w:val="20"/>
              </w:rPr>
              <w:t>表面十工位处理工序：预脱脂-脱脂-水洗-中和-表调-磷化-水洗-钝化。</w:t>
            </w:r>
          </w:p>
          <w:p>
            <w:pPr>
              <w:numPr>
                <w:ilvl w:val="0"/>
                <w:numId w:val="44"/>
              </w:numPr>
              <w:ind w:left="0" w:firstLine="0"/>
              <w:jc w:val="left"/>
              <w:rPr>
                <w:rFonts w:hAnsi="宋体" w:cs="宋体" w:asciiTheme="minorHAnsi"/>
                <w:sz w:val="20"/>
                <w:szCs w:val="20"/>
              </w:rPr>
            </w:pPr>
            <w:r>
              <w:rPr>
                <w:rFonts w:hint="eastAsia" w:hAnsi="宋体" w:asciiTheme="minorHAnsi"/>
                <w:sz w:val="20"/>
                <w:szCs w:val="20"/>
              </w:rPr>
              <w:t>国环氧聚脂粉末。</w:t>
            </w:r>
          </w:p>
          <w:p>
            <w:pPr>
              <w:numPr>
                <w:ilvl w:val="0"/>
                <w:numId w:val="44"/>
              </w:numPr>
              <w:ind w:left="0" w:firstLine="0"/>
              <w:jc w:val="left"/>
              <w:rPr>
                <w:rFonts w:hAnsi="宋体" w:cs="宋体" w:asciiTheme="minorHAnsi"/>
                <w:sz w:val="20"/>
                <w:szCs w:val="20"/>
              </w:rPr>
            </w:pPr>
            <w:r>
              <w:rPr>
                <w:rFonts w:hint="eastAsia" w:hAnsi="宋体" w:asciiTheme="minorHAnsi"/>
                <w:sz w:val="20"/>
                <w:szCs w:val="20"/>
              </w:rPr>
              <w:t>漆膜附着力、漆膜硬度、漆膜耐用冲击性能符合国家标准。</w:t>
            </w:r>
          </w:p>
          <w:p>
            <w:pPr>
              <w:numPr>
                <w:ilvl w:val="0"/>
                <w:numId w:val="44"/>
              </w:numPr>
              <w:ind w:left="0" w:leftChars="0" w:firstLine="0" w:firstLineChars="0"/>
              <w:jc w:val="left"/>
              <w:rPr>
                <w:rFonts w:hAnsi="宋体" w:cs="宋体"/>
                <w:sz w:val="20"/>
                <w:szCs w:val="20"/>
              </w:rPr>
            </w:pPr>
            <w:r>
              <w:rPr>
                <w:rFonts w:hint="eastAsia" w:hAnsi="宋体" w:asciiTheme="minorHAnsi"/>
                <w:sz w:val="20"/>
                <w:szCs w:val="20"/>
              </w:rPr>
              <w:t>承重：每层承重达500KG。</w:t>
            </w:r>
          </w:p>
        </w:tc>
        <w:tc>
          <w:tcPr>
            <w:tcW w:w="695" w:type="dxa"/>
            <w:vAlign w:val="center"/>
          </w:tcPr>
          <w:p>
            <w:pPr>
              <w:jc w:val="center"/>
              <w:rPr>
                <w:rFonts w:hAnsi="宋体" w:cs="宋体"/>
                <w:sz w:val="20"/>
                <w:szCs w:val="20"/>
              </w:rPr>
            </w:pPr>
            <w:r>
              <w:rPr>
                <w:rFonts w:hint="eastAsia" w:asciiTheme="minorHAnsi"/>
                <w:sz w:val="20"/>
                <w:szCs w:val="20"/>
              </w:rPr>
              <w:t xml:space="preserve">33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2500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82500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34" w:type="dxa"/>
            <w:vAlign w:val="center"/>
          </w:tcPr>
          <w:p>
            <w:pPr>
              <w:jc w:val="center"/>
              <w:rPr>
                <w:rFonts w:hAnsi="宋体" w:cs="宋体"/>
                <w:sz w:val="20"/>
                <w:szCs w:val="20"/>
              </w:rPr>
            </w:pPr>
            <w:r>
              <w:rPr>
                <w:rFonts w:hint="eastAsia" w:asciiTheme="minorHAnsi"/>
                <w:sz w:val="20"/>
                <w:szCs w:val="20"/>
              </w:rPr>
              <w:t>高低床</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940435" cy="560705"/>
                  <wp:effectExtent l="0" t="0" r="12065" b="10795"/>
                  <wp:docPr id="12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7"/>
                          <pic:cNvPicPr>
                            <a:picLocks noChangeAspect="1" noChangeArrowheads="1"/>
                          </pic:cNvPicPr>
                        </pic:nvPicPr>
                        <pic:blipFill>
                          <a:blip r:embed="rId15" cstate="print"/>
                          <a:srcRect/>
                          <a:stretch>
                            <a:fillRect/>
                          </a:stretch>
                        </pic:blipFill>
                        <pic:spPr>
                          <a:xfrm>
                            <a:off x="0" y="0"/>
                            <a:ext cx="940435" cy="56070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1000*2000*1800</w:t>
            </w:r>
          </w:p>
        </w:tc>
        <w:tc>
          <w:tcPr>
            <w:tcW w:w="3795" w:type="dxa"/>
            <w:vAlign w:val="center"/>
          </w:tcPr>
          <w:p>
            <w:pPr>
              <w:jc w:val="left"/>
              <w:rPr>
                <w:rFonts w:hAnsi="宋体" w:asciiTheme="minorHAnsi"/>
                <w:sz w:val="20"/>
                <w:szCs w:val="20"/>
              </w:rPr>
            </w:pPr>
            <w:r>
              <w:rPr>
                <w:rFonts w:hint="eastAsia" w:hAnsi="宋体" w:asciiTheme="minorHAnsi"/>
                <w:sz w:val="20"/>
                <w:szCs w:val="20"/>
              </w:rPr>
              <w:t>采用实木，甲醛释放量符合国际标准。</w:t>
            </w:r>
          </w:p>
          <w:p>
            <w:pPr>
              <w:rPr>
                <w:rFonts w:hAnsi="宋体" w:asciiTheme="minorHAnsi"/>
                <w:sz w:val="20"/>
                <w:szCs w:val="20"/>
              </w:rPr>
            </w:pPr>
            <w:r>
              <w:rPr>
                <w:rFonts w:hint="eastAsia" w:hAnsi="宋体" w:asciiTheme="minorHAnsi"/>
                <w:sz w:val="20"/>
                <w:szCs w:val="20"/>
              </w:rPr>
              <w:t>原木采购：严格控制质量，按等级进行分类，拒收变质材，木材小头径必须大于</w:t>
            </w:r>
            <w:r>
              <w:rPr>
                <w:rFonts w:hAnsi="宋体" w:asciiTheme="minorHAnsi"/>
                <w:sz w:val="20"/>
                <w:szCs w:val="20"/>
              </w:rPr>
              <w:t>20cm。</w:t>
            </w:r>
          </w:p>
          <w:p>
            <w:pPr>
              <w:jc w:val="left"/>
              <w:rPr>
                <w:rFonts w:hAnsi="宋体" w:asciiTheme="minorHAnsi"/>
                <w:sz w:val="20"/>
                <w:szCs w:val="20"/>
              </w:rPr>
            </w:pPr>
            <w:r>
              <w:rPr>
                <w:rFonts w:hint="eastAsia" w:hAnsi="宋体" w:asciiTheme="minorHAnsi"/>
                <w:sz w:val="20"/>
                <w:szCs w:val="20"/>
              </w:rPr>
              <w:t>1</w:t>
            </w:r>
            <w:r>
              <w:rPr>
                <w:rFonts w:hAnsi="宋体" w:asciiTheme="minorHAnsi"/>
                <w:sz w:val="20"/>
                <w:szCs w:val="20"/>
              </w:rPr>
              <w:t>、床立柱采用规格为1800mm*55mm*80mm的</w:t>
            </w:r>
            <w:r>
              <w:rPr>
                <w:rFonts w:hint="eastAsia" w:hAnsi="宋体" w:asciiTheme="minorHAnsi"/>
                <w:sz w:val="20"/>
                <w:szCs w:val="20"/>
              </w:rPr>
              <w:t>实木</w:t>
            </w:r>
            <w:r>
              <w:rPr>
                <w:rFonts w:hAnsi="宋体" w:asciiTheme="minorHAnsi"/>
                <w:sz w:val="20"/>
                <w:szCs w:val="20"/>
              </w:rPr>
              <w:t>。</w:t>
            </w:r>
          </w:p>
          <w:p>
            <w:pPr>
              <w:jc w:val="left"/>
              <w:rPr>
                <w:rFonts w:hAnsi="宋体" w:asciiTheme="minorHAnsi"/>
                <w:sz w:val="20"/>
                <w:szCs w:val="20"/>
              </w:rPr>
            </w:pPr>
            <w:r>
              <w:rPr>
                <w:rFonts w:hint="eastAsia" w:hAnsi="宋体" w:asciiTheme="minorHAnsi"/>
                <w:sz w:val="20"/>
                <w:szCs w:val="20"/>
              </w:rPr>
              <w:t>2</w:t>
            </w:r>
            <w:r>
              <w:rPr>
                <w:rFonts w:hAnsi="宋体" w:asciiTheme="minorHAnsi"/>
                <w:sz w:val="20"/>
                <w:szCs w:val="20"/>
              </w:rPr>
              <w:t>、床边采用规格为1890mm*120mm*27mm的</w:t>
            </w:r>
            <w:r>
              <w:rPr>
                <w:rFonts w:hint="eastAsia" w:hAnsi="宋体" w:asciiTheme="minorHAnsi"/>
                <w:sz w:val="20"/>
                <w:szCs w:val="20"/>
              </w:rPr>
              <w:t>实木</w:t>
            </w:r>
            <w:r>
              <w:rPr>
                <w:rFonts w:hAnsi="宋体" w:asciiTheme="minorHAnsi"/>
                <w:sz w:val="20"/>
                <w:szCs w:val="20"/>
              </w:rPr>
              <w:t>。</w:t>
            </w:r>
          </w:p>
          <w:p>
            <w:pPr>
              <w:jc w:val="left"/>
              <w:rPr>
                <w:rFonts w:hAnsi="宋体" w:asciiTheme="minorHAnsi"/>
                <w:sz w:val="20"/>
                <w:szCs w:val="20"/>
              </w:rPr>
            </w:pPr>
            <w:r>
              <w:rPr>
                <w:rFonts w:hint="eastAsia" w:hAnsi="宋体" w:asciiTheme="minorHAnsi"/>
                <w:sz w:val="20"/>
                <w:szCs w:val="20"/>
              </w:rPr>
              <w:t>3</w:t>
            </w:r>
            <w:r>
              <w:rPr>
                <w:rFonts w:hAnsi="宋体" w:asciiTheme="minorHAnsi"/>
                <w:sz w:val="20"/>
                <w:szCs w:val="20"/>
              </w:rPr>
              <w:t>、 床梯步</w:t>
            </w:r>
            <w:r>
              <w:rPr>
                <w:rFonts w:hint="eastAsia" w:hAnsi="宋体" w:asciiTheme="minorHAnsi"/>
                <w:sz w:val="20"/>
                <w:szCs w:val="20"/>
              </w:rPr>
              <w:t>选用25*25实木</w:t>
            </w:r>
            <w:r>
              <w:rPr>
                <w:rFonts w:hAnsi="宋体" w:asciiTheme="minorHAnsi"/>
                <w:sz w:val="20"/>
                <w:szCs w:val="20"/>
              </w:rPr>
              <w:t xml:space="preserve"> </w:t>
            </w:r>
          </w:p>
          <w:p>
            <w:pPr>
              <w:jc w:val="left"/>
              <w:rPr>
                <w:rFonts w:hAnsi="宋体" w:asciiTheme="minorHAnsi"/>
                <w:sz w:val="20"/>
                <w:szCs w:val="20"/>
              </w:rPr>
            </w:pPr>
            <w:r>
              <w:rPr>
                <w:rFonts w:hint="eastAsia" w:hAnsi="宋体" w:asciiTheme="minorHAnsi"/>
                <w:sz w:val="20"/>
                <w:szCs w:val="20"/>
              </w:rPr>
              <w:t>4</w:t>
            </w:r>
            <w:r>
              <w:rPr>
                <w:rFonts w:hAnsi="宋体" w:asciiTheme="minorHAnsi"/>
                <w:sz w:val="20"/>
                <w:szCs w:val="20"/>
              </w:rPr>
              <w:t>、 床档头立柱采用规格为60mm*27mm*195mm的</w:t>
            </w:r>
            <w:r>
              <w:rPr>
                <w:rFonts w:hint="eastAsia" w:hAnsi="宋体" w:asciiTheme="minorHAnsi"/>
                <w:sz w:val="20"/>
                <w:szCs w:val="20"/>
              </w:rPr>
              <w:t>实木</w:t>
            </w:r>
            <w:r>
              <w:rPr>
                <w:rFonts w:hAnsi="宋体" w:asciiTheme="minorHAnsi"/>
                <w:sz w:val="20"/>
                <w:szCs w:val="20"/>
              </w:rPr>
              <w:t>。</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hAnsi="宋体" w:asciiTheme="minorHAnsi"/>
                <w:sz w:val="20"/>
                <w:szCs w:val="20"/>
              </w:rPr>
            </w:pPr>
            <w:r>
              <w:rPr>
                <w:rFonts w:hint="eastAsia"/>
              </w:rPr>
              <w:t>5、</w:t>
            </w:r>
            <w:r>
              <w:rPr>
                <w:rFonts w:hint="eastAsia" w:hAnsi="宋体" w:asciiTheme="minorHAnsi"/>
                <w:sz w:val="20"/>
                <w:szCs w:val="20"/>
              </w:rPr>
              <w:t>护栏：护栏采用整体式</w:t>
            </w:r>
            <w:r>
              <w:rPr>
                <w:rFonts w:hint="eastAsia" w:hAnsi="宋体" w:asciiTheme="minorHAnsi"/>
                <w:sz w:val="20"/>
                <w:szCs w:val="20"/>
                <w:lang w:eastAsia="zh-CN"/>
              </w:rPr>
              <w:t>，</w:t>
            </w:r>
            <w:r>
              <w:rPr>
                <w:rFonts w:hint="eastAsia" w:hAnsi="宋体" w:asciiTheme="minorHAnsi"/>
                <w:sz w:val="20"/>
                <w:szCs w:val="20"/>
              </w:rPr>
              <w:t>整体外规尺寸为1350 mmX300mmX30mm</w:t>
            </w:r>
            <w:r>
              <w:rPr>
                <w:rFonts w:hint="eastAsia" w:hAnsi="宋体" w:asciiTheme="minorHAnsi"/>
                <w:sz w:val="20"/>
                <w:szCs w:val="20"/>
                <w:lang w:eastAsia="zh-CN"/>
              </w:rPr>
              <w:t>，</w:t>
            </w:r>
            <w:r>
              <w:rPr>
                <w:rFonts w:hint="eastAsia" w:hAnsi="宋体" w:asciiTheme="minorHAnsi"/>
                <w:sz w:val="20"/>
                <w:szCs w:val="20"/>
              </w:rPr>
              <w:t>基材采用中密度板，四周整体一次成型PP塑料注塑嵌边，采用大型注塑设备最新气辅成型技术整体一次成型，确保护栏强度与刚性且四周无任何接缝及刃口。护拦检测依据GB/T 3324-2017木家具通用技术条件、GB/T 32487-2016塑料家具通用技术条件、GB/T 28481-2012塑料家具中有害物质限量标准。护栏外形设计符合人体工程学，下方整体封蔽式设计可保护使用者的隐私，中间区域可设置信息内容。上方采用全PP塑料材质镂空设计，两端设计整体成型的拉手，为达到频繁使用此处的安全防护考虑此拉手部位必须为整体成型，不能做成分体合装或抽槽等对人体有危害的设计方式。</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hAnsi="宋体" w:eastAsia="宋体" w:asciiTheme="minorHAnsi"/>
                <w:sz w:val="20"/>
                <w:szCs w:val="20"/>
                <w:lang w:eastAsia="zh-CN"/>
              </w:rPr>
            </w:pPr>
            <w:r>
              <w:rPr>
                <w:rFonts w:hint="eastAsia" w:hAnsi="宋体" w:asciiTheme="minorHAnsi"/>
                <w:sz w:val="20"/>
                <w:szCs w:val="20"/>
              </w:rPr>
              <w:t>6、12mm厚床铺板</w:t>
            </w:r>
            <w:r>
              <w:rPr>
                <w:rFonts w:hint="eastAsia" w:hAnsi="宋体" w:asciiTheme="minorHAnsi"/>
                <w:sz w:val="20"/>
                <w:szCs w:val="20"/>
                <w:lang w:eastAsia="zh-CN"/>
              </w:rPr>
              <w:t>。</w:t>
            </w:r>
          </w:p>
          <w:p>
            <w:pPr>
              <w:keepNext w:val="0"/>
              <w:keepLines w:val="0"/>
              <w:pageBreakBefore w:val="0"/>
              <w:widowControl w:val="0"/>
              <w:kinsoku/>
              <w:wordWrap/>
              <w:overflowPunct/>
              <w:topLinePunct w:val="0"/>
              <w:autoSpaceDE/>
              <w:autoSpaceDN/>
              <w:bidi w:val="0"/>
              <w:adjustRightInd/>
              <w:snapToGrid/>
              <w:jc w:val="left"/>
              <w:textAlignment w:val="auto"/>
              <w:rPr>
                <w:rFonts w:hAnsi="宋体"/>
                <w:sz w:val="20"/>
                <w:szCs w:val="20"/>
              </w:rPr>
            </w:pPr>
            <w:r>
              <w:rPr>
                <w:rFonts w:hint="eastAsia" w:hAnsi="宋体" w:asciiTheme="minorHAnsi"/>
                <w:sz w:val="20"/>
                <w:szCs w:val="20"/>
              </w:rPr>
              <w:t>7、每套含两张50mm厚双面针织绒棕垫。</w:t>
            </w:r>
          </w:p>
        </w:tc>
        <w:tc>
          <w:tcPr>
            <w:tcW w:w="695" w:type="dxa"/>
            <w:vAlign w:val="center"/>
          </w:tcPr>
          <w:p>
            <w:pPr>
              <w:jc w:val="center"/>
              <w:rPr>
                <w:rFonts w:hAnsi="宋体" w:cs="宋体"/>
                <w:sz w:val="20"/>
                <w:szCs w:val="20"/>
              </w:rPr>
            </w:pPr>
            <w:r>
              <w:rPr>
                <w:rFonts w:hint="eastAsia" w:asciiTheme="minorHAnsi"/>
                <w:sz w:val="20"/>
                <w:szCs w:val="20"/>
              </w:rPr>
              <w:t xml:space="preserve">59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4500</w:t>
            </w:r>
          </w:p>
        </w:tc>
        <w:tc>
          <w:tcPr>
            <w:tcW w:w="551" w:type="dxa"/>
            <w:vAlign w:val="center"/>
          </w:tcPr>
          <w:p>
            <w:pPr>
              <w:jc w:val="center"/>
              <w:rPr>
                <w:rFonts w:hAnsi="宋体" w:cs="宋体"/>
                <w:sz w:val="20"/>
                <w:szCs w:val="20"/>
              </w:rPr>
            </w:pPr>
            <w:r>
              <w:rPr>
                <w:rFonts w:hint="eastAsia" w:asciiTheme="minorHAnsi"/>
                <w:sz w:val="20"/>
                <w:szCs w:val="20"/>
              </w:rPr>
              <w:t>套</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265500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更衣柜</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58825" cy="1268095"/>
                  <wp:effectExtent l="0" t="0" r="3175" b="1905"/>
                  <wp:docPr id="12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6"/>
                          <pic:cNvPicPr>
                            <a:picLocks noChangeAspect="1" noChangeArrowheads="1"/>
                          </pic:cNvPicPr>
                        </pic:nvPicPr>
                        <pic:blipFill>
                          <a:blip r:embed="rId16" cstate="print"/>
                          <a:srcRect/>
                          <a:stretch>
                            <a:fillRect/>
                          </a:stretch>
                        </pic:blipFill>
                        <pic:spPr>
                          <a:xfrm>
                            <a:off x="0" y="0"/>
                            <a:ext cx="758825" cy="126809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900*550*1950</w:t>
            </w:r>
          </w:p>
        </w:tc>
        <w:tc>
          <w:tcPr>
            <w:tcW w:w="3795" w:type="dxa"/>
            <w:vAlign w:val="center"/>
          </w:tcPr>
          <w:p>
            <w:pPr>
              <w:jc w:val="left"/>
              <w:rPr>
                <w:rFonts w:hint="eastAsia" w:hAnsi="宋体" w:eastAsia="宋体" w:cs="仿宋_GB2312" w:asciiTheme="minorHAnsi"/>
                <w:sz w:val="20"/>
                <w:szCs w:val="20"/>
                <w:lang w:eastAsia="zh-CN"/>
              </w:rPr>
            </w:pPr>
            <w:r>
              <w:rPr>
                <w:rFonts w:hint="eastAsia" w:hAnsi="宋体" w:cs="仿宋_GB2312" w:asciiTheme="minorHAnsi"/>
                <w:sz w:val="20"/>
                <w:szCs w:val="20"/>
              </w:rPr>
              <w:t>1、产品采用冷轧钢板；材料厚度：门板0.8mm</w:t>
            </w:r>
            <w:r>
              <w:rPr>
                <w:rFonts w:hint="eastAsia" w:hAnsi="宋体" w:cs="仿宋_GB2312" w:asciiTheme="minorHAnsi"/>
                <w:sz w:val="20"/>
                <w:szCs w:val="20"/>
                <w:lang w:eastAsia="zh-CN"/>
              </w:rPr>
              <w:t>，</w:t>
            </w:r>
            <w:r>
              <w:rPr>
                <w:rFonts w:hint="eastAsia" w:hAnsi="宋体" w:cs="仿宋_GB2312" w:asciiTheme="minorHAnsi"/>
                <w:sz w:val="20"/>
                <w:szCs w:val="20"/>
              </w:rPr>
              <w:t>侧板0.7mm</w:t>
            </w:r>
            <w:r>
              <w:rPr>
                <w:rFonts w:hint="eastAsia" w:hAnsi="宋体" w:cs="仿宋_GB2312" w:asciiTheme="minorHAnsi"/>
                <w:sz w:val="20"/>
                <w:szCs w:val="20"/>
                <w:lang w:eastAsia="zh-CN"/>
              </w:rPr>
              <w:t>，</w:t>
            </w:r>
            <w:r>
              <w:rPr>
                <w:rFonts w:hint="eastAsia" w:hAnsi="宋体" w:cs="仿宋_GB2312" w:asciiTheme="minorHAnsi"/>
                <w:sz w:val="20"/>
                <w:szCs w:val="20"/>
              </w:rPr>
              <w:t>其他0.6mm冷轧钢板</w:t>
            </w:r>
            <w:r>
              <w:rPr>
                <w:rFonts w:hint="eastAsia" w:hAnsi="宋体" w:cs="仿宋_GB2312" w:asciiTheme="minorHAnsi"/>
                <w:sz w:val="20"/>
                <w:szCs w:val="20"/>
                <w:lang w:eastAsia="zh-CN"/>
              </w:rPr>
              <w:t>。</w:t>
            </w:r>
            <w:r>
              <w:rPr>
                <w:rFonts w:hint="eastAsia" w:hAnsi="宋体" w:cs="仿宋_GB2312" w:asciiTheme="minorHAnsi"/>
                <w:sz w:val="20"/>
                <w:szCs w:val="20"/>
              </w:rPr>
              <w:t>钢板经预脱脂-脱脂-水洗-酸洗-水洗-中和-表调-皮膜-水洗-钝化等表面处理工艺</w:t>
            </w:r>
            <w:r>
              <w:rPr>
                <w:rFonts w:hint="eastAsia" w:hAnsi="宋体" w:cs="仿宋_GB2312" w:asciiTheme="minorHAnsi"/>
                <w:sz w:val="20"/>
                <w:szCs w:val="20"/>
                <w:lang w:eastAsia="zh-CN"/>
              </w:rPr>
              <w:t>。</w:t>
            </w:r>
          </w:p>
          <w:p>
            <w:pPr>
              <w:jc w:val="left"/>
              <w:rPr>
                <w:rFonts w:hAnsi="宋体" w:asciiTheme="minorHAnsi"/>
                <w:sz w:val="20"/>
                <w:szCs w:val="20"/>
              </w:rPr>
            </w:pPr>
            <w:r>
              <w:rPr>
                <w:rFonts w:hint="eastAsia" w:hAnsi="宋体" w:cs="仿宋_GB2312" w:asciiTheme="minorHAnsi"/>
                <w:sz w:val="20"/>
                <w:szCs w:val="20"/>
              </w:rPr>
              <w:t>2、选用</w:t>
            </w:r>
            <w:r>
              <w:rPr>
                <w:rFonts w:hint="eastAsia" w:hAnsi="宋体" w:asciiTheme="minorHAnsi"/>
                <w:sz w:val="20"/>
                <w:szCs w:val="20"/>
              </w:rPr>
              <w:t>塑粉：采用符合GB/T3325-2017标准</w:t>
            </w:r>
            <w:r>
              <w:rPr>
                <w:rFonts w:hint="eastAsia" w:hAnsi="宋体" w:asciiTheme="minorHAnsi"/>
                <w:sz w:val="20"/>
                <w:szCs w:val="20"/>
                <w:lang w:eastAsia="zh-CN"/>
              </w:rPr>
              <w:t>。</w:t>
            </w:r>
            <w:r>
              <w:rPr>
                <w:rFonts w:hAnsi="宋体" w:asciiTheme="minorHAnsi"/>
                <w:sz w:val="20"/>
                <w:szCs w:val="20"/>
              </w:rPr>
              <w:t xml:space="preserve"> </w:t>
            </w:r>
          </w:p>
          <w:p>
            <w:pPr>
              <w:jc w:val="left"/>
              <w:rPr>
                <w:rFonts w:hint="eastAsia" w:hAnsi="宋体" w:eastAsia="宋体" w:cs="仿宋_GB2312" w:asciiTheme="minorHAnsi"/>
                <w:sz w:val="20"/>
                <w:szCs w:val="20"/>
                <w:lang w:eastAsia="zh-CN"/>
              </w:rPr>
            </w:pPr>
            <w:r>
              <w:rPr>
                <w:rFonts w:hint="eastAsia" w:hAnsi="宋体" w:cs="仿宋_GB2312" w:asciiTheme="minorHAnsi"/>
                <w:sz w:val="20"/>
                <w:szCs w:val="20"/>
              </w:rPr>
              <w:t>2、表面喷塑处理：静电喷塑</w:t>
            </w:r>
            <w:r>
              <w:rPr>
                <w:rFonts w:hint="eastAsia" w:hAnsi="宋体" w:cs="仿宋_GB2312" w:asciiTheme="minorHAnsi"/>
                <w:sz w:val="20"/>
                <w:szCs w:val="20"/>
                <w:lang w:eastAsia="zh-CN"/>
              </w:rPr>
              <w:t>。</w:t>
            </w:r>
          </w:p>
          <w:p>
            <w:pPr>
              <w:jc w:val="left"/>
              <w:rPr>
                <w:rFonts w:hAnsi="宋体" w:cs="仿宋_GB2312" w:asciiTheme="minorHAnsi"/>
                <w:sz w:val="20"/>
                <w:szCs w:val="20"/>
              </w:rPr>
            </w:pPr>
            <w:r>
              <w:rPr>
                <w:rFonts w:hint="eastAsia" w:hAnsi="宋体" w:cs="仿宋_GB2312" w:asciiTheme="minorHAnsi"/>
                <w:sz w:val="20"/>
                <w:szCs w:val="20"/>
              </w:rPr>
              <w:t>3、隔板具备可上下调节的功能，调节间距≤20mm；隔板底部配置辊压成形加强筋，加强筋底面一条R6半圆通筋，两侧面各配置一条R1.6半圆通筋，与隔板焊接后提升隔板强度；尺寸如图</w:t>
            </w:r>
          </w:p>
          <w:p>
            <w:pPr>
              <w:jc w:val="center"/>
              <w:rPr>
                <w:rFonts w:hAnsi="宋体" w:cs="仿宋_GB2312" w:asciiTheme="minorHAnsi"/>
                <w:sz w:val="20"/>
                <w:szCs w:val="20"/>
              </w:rPr>
            </w:pPr>
            <w:r>
              <w:rPr>
                <w:rFonts w:hAnsi="宋体" w:asciiTheme="minorHAnsi"/>
                <w:sz w:val="20"/>
                <w:szCs w:val="20"/>
              </w:rPr>
              <w:drawing>
                <wp:inline distT="0" distB="0" distL="0" distR="0">
                  <wp:extent cx="1968500" cy="1410335"/>
                  <wp:effectExtent l="0" t="0" r="0" b="2540"/>
                  <wp:docPr id="12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5"/>
                          <pic:cNvPicPr>
                            <a:picLocks noChangeAspect="1" noChangeArrowheads="1"/>
                          </pic:cNvPicPr>
                        </pic:nvPicPr>
                        <pic:blipFill>
                          <a:blip r:embed="rId17" cstate="print"/>
                          <a:srcRect/>
                          <a:stretch>
                            <a:fillRect/>
                          </a:stretch>
                        </pic:blipFill>
                        <pic:spPr>
                          <a:xfrm>
                            <a:off x="0" y="0"/>
                            <a:ext cx="1968500" cy="1410335"/>
                          </a:xfrm>
                          <a:prstGeom prst="rect">
                            <a:avLst/>
                          </a:prstGeom>
                          <a:noFill/>
                          <a:ln w="9525" cmpd="sng">
                            <a:noFill/>
                            <a:miter lim="800000"/>
                            <a:headEnd/>
                            <a:tailEnd/>
                          </a:ln>
                        </pic:spPr>
                      </pic:pic>
                    </a:graphicData>
                  </a:graphic>
                </wp:inline>
              </w:drawing>
            </w:r>
          </w:p>
          <w:p>
            <w:pPr>
              <w:jc w:val="center"/>
              <w:rPr>
                <w:rFonts w:hAnsi="宋体" w:cs="仿宋_GB2312" w:asciiTheme="minorHAnsi"/>
                <w:sz w:val="20"/>
                <w:szCs w:val="20"/>
              </w:rPr>
            </w:pPr>
            <w:r>
              <w:rPr>
                <w:rFonts w:hint="eastAsia" w:hAnsi="宋体" w:cs="仿宋_GB2312" w:asciiTheme="minorHAnsi"/>
                <w:sz w:val="20"/>
                <w:szCs w:val="20"/>
              </w:rPr>
              <w:t>隔板加强筋</w:t>
            </w:r>
          </w:p>
          <w:p>
            <w:pPr>
              <w:jc w:val="left"/>
              <w:rPr>
                <w:rFonts w:hAnsi="宋体" w:cs="仿宋_GB2312" w:asciiTheme="minorHAnsi"/>
                <w:sz w:val="20"/>
                <w:szCs w:val="20"/>
              </w:rPr>
            </w:pPr>
            <w:r>
              <w:rPr>
                <w:rFonts w:hint="eastAsia" w:hAnsi="宋体" w:cs="仿宋_GB2312" w:asciiTheme="minorHAnsi"/>
                <w:sz w:val="20"/>
                <w:szCs w:val="20"/>
              </w:rPr>
              <w:t>4、</w:t>
            </w:r>
            <w:r>
              <w:rPr>
                <w:rFonts w:hint="eastAsia" w:hAnsi="宋体" w:asciiTheme="minorHAnsi"/>
                <w:sz w:val="20"/>
                <w:szCs w:val="20"/>
              </w:rPr>
              <w:t>钣金成型式标签框，成型尺寸30*70</w:t>
            </w:r>
          </w:p>
          <w:p>
            <w:pPr>
              <w:jc w:val="center"/>
              <w:rPr>
                <w:rFonts w:hAnsi="宋体" w:cs="仿宋_GB2312" w:asciiTheme="minorHAnsi"/>
                <w:sz w:val="20"/>
                <w:szCs w:val="20"/>
              </w:rPr>
            </w:pPr>
            <w:r>
              <w:rPr>
                <w:rFonts w:hAnsi="宋体" w:asciiTheme="minorHAnsi"/>
                <w:sz w:val="20"/>
                <w:szCs w:val="20"/>
              </w:rPr>
              <w:drawing>
                <wp:inline distT="0" distB="0" distL="0" distR="0">
                  <wp:extent cx="1919605" cy="1132840"/>
                  <wp:effectExtent l="0" t="0" r="1270" b="10160"/>
                  <wp:docPr id="12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4"/>
                          <pic:cNvPicPr>
                            <a:picLocks noChangeAspect="1" noChangeArrowheads="1"/>
                          </pic:cNvPicPr>
                        </pic:nvPicPr>
                        <pic:blipFill>
                          <a:blip r:embed="rId18" cstate="print"/>
                          <a:srcRect/>
                          <a:stretch>
                            <a:fillRect/>
                          </a:stretch>
                        </pic:blipFill>
                        <pic:spPr>
                          <a:xfrm>
                            <a:off x="0" y="0"/>
                            <a:ext cx="1919605" cy="1132840"/>
                          </a:xfrm>
                          <a:prstGeom prst="rect">
                            <a:avLst/>
                          </a:prstGeom>
                          <a:noFill/>
                          <a:ln w="9525" cmpd="sng">
                            <a:noFill/>
                            <a:miter lim="800000"/>
                            <a:headEnd/>
                            <a:tailEnd/>
                          </a:ln>
                        </pic:spPr>
                      </pic:pic>
                    </a:graphicData>
                  </a:graphic>
                </wp:inline>
              </w:drawing>
            </w:r>
          </w:p>
          <w:p>
            <w:pPr>
              <w:jc w:val="left"/>
              <w:rPr>
                <w:rFonts w:hAnsi="宋体" w:cs="仿宋_GB2312" w:asciiTheme="minorHAnsi"/>
                <w:sz w:val="20"/>
                <w:szCs w:val="20"/>
              </w:rPr>
            </w:pPr>
          </w:p>
          <w:p>
            <w:pPr>
              <w:jc w:val="left"/>
              <w:rPr>
                <w:rFonts w:hint="eastAsia" w:hAnsi="宋体" w:eastAsia="宋体" w:cs="仿宋_GB2312" w:asciiTheme="minorHAnsi"/>
                <w:sz w:val="20"/>
                <w:szCs w:val="20"/>
                <w:lang w:eastAsia="zh-CN"/>
              </w:rPr>
            </w:pPr>
            <w:r>
              <w:rPr>
                <w:rFonts w:hint="eastAsia" w:hAnsi="宋体" w:cs="仿宋_GB2312" w:asciiTheme="minorHAnsi"/>
                <w:sz w:val="20"/>
                <w:szCs w:val="20"/>
              </w:rPr>
              <w:t>5、前挂条采用5</w:t>
            </w:r>
            <w:r>
              <w:rPr>
                <w:rFonts w:hAnsi="宋体" w:cs="仿宋_GB2312" w:asciiTheme="minorHAnsi"/>
                <w:sz w:val="20"/>
                <w:szCs w:val="20"/>
              </w:rPr>
              <w:t>次折弯"柜体隔板调节竖筋"</w:t>
            </w:r>
            <w:r>
              <w:rPr>
                <w:rFonts w:hint="eastAsia" w:hAnsi="宋体" w:cs="仿宋_GB2312" w:asciiTheme="minorHAnsi"/>
                <w:sz w:val="20"/>
                <w:szCs w:val="20"/>
              </w:rPr>
              <w:t>，后/中挂条采用</w:t>
            </w:r>
            <w:r>
              <w:rPr>
                <w:rFonts w:hAnsi="宋体" w:cs="仿宋_GB2312" w:asciiTheme="minorHAnsi"/>
                <w:sz w:val="20"/>
                <w:szCs w:val="20"/>
              </w:rPr>
              <w:t>W型6次折弯"柜体隔板调节竖筋"</w:t>
            </w:r>
            <w:r>
              <w:rPr>
                <w:rFonts w:hint="eastAsia" w:hAnsi="宋体" w:cs="仿宋_GB2312" w:asciiTheme="minorHAnsi"/>
                <w:sz w:val="20"/>
                <w:szCs w:val="20"/>
              </w:rPr>
              <w:t>增强隔板承重能力，详见下图</w:t>
            </w:r>
            <w:r>
              <w:rPr>
                <w:rFonts w:hint="eastAsia" w:hAnsi="宋体" w:cs="仿宋_GB2312" w:asciiTheme="minorHAnsi"/>
                <w:sz w:val="20"/>
                <w:szCs w:val="20"/>
                <w:lang w:eastAsia="zh-CN"/>
              </w:rPr>
              <w:t>：</w:t>
            </w:r>
          </w:p>
          <w:p>
            <w:pPr>
              <w:jc w:val="left"/>
              <w:rPr>
                <w:rFonts w:hAnsi="宋体" w:asciiTheme="minorHAnsi"/>
                <w:sz w:val="20"/>
                <w:szCs w:val="20"/>
              </w:rPr>
            </w:pPr>
            <w:r>
              <w:rPr>
                <w:rFonts w:hint="eastAsia" w:hAnsi="宋体" w:asciiTheme="minorHAnsi"/>
                <w:sz w:val="20"/>
                <w:szCs w:val="20"/>
              </w:rPr>
              <w:t xml:space="preserve">       </w:t>
            </w:r>
          </w:p>
          <w:p>
            <w:pPr>
              <w:jc w:val="center"/>
              <w:rPr>
                <w:rFonts w:hAnsi="宋体" w:asciiTheme="minorHAnsi"/>
                <w:sz w:val="20"/>
                <w:szCs w:val="20"/>
              </w:rPr>
            </w:pPr>
            <w:r>
              <w:rPr>
                <w:rFonts w:hint="eastAsia" w:hAnsi="宋体" w:asciiTheme="minorHAnsi"/>
                <w:sz w:val="20"/>
                <w:szCs w:val="20"/>
              </w:rPr>
              <w:t xml:space="preserve">前挂条     </w:t>
            </w:r>
            <w:r>
              <w:rPr>
                <w:rFonts w:hAnsi="宋体" w:asciiTheme="minorHAnsi"/>
                <w:sz w:val="20"/>
                <w:szCs w:val="20"/>
              </w:rPr>
              <w:drawing>
                <wp:inline distT="0" distB="0" distL="0" distR="0">
                  <wp:extent cx="1405890" cy="1190625"/>
                  <wp:effectExtent l="0" t="0" r="6985" b="0"/>
                  <wp:docPr id="13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3"/>
                          <pic:cNvPicPr>
                            <a:picLocks noChangeAspect="1" noChangeArrowheads="1"/>
                          </pic:cNvPicPr>
                        </pic:nvPicPr>
                        <pic:blipFill>
                          <a:blip r:embed="rId19" cstate="print"/>
                          <a:srcRect l="12592" t="18739" r="14371" b="6953"/>
                          <a:stretch>
                            <a:fillRect/>
                          </a:stretch>
                        </pic:blipFill>
                        <pic:spPr>
                          <a:xfrm>
                            <a:off x="0" y="0"/>
                            <a:ext cx="1405890" cy="1190625"/>
                          </a:xfrm>
                          <a:prstGeom prst="rect">
                            <a:avLst/>
                          </a:prstGeom>
                          <a:noFill/>
                          <a:ln w="9525" cmpd="sng">
                            <a:noFill/>
                            <a:miter lim="800000"/>
                            <a:headEnd/>
                            <a:tailEnd/>
                          </a:ln>
                        </pic:spPr>
                      </pic:pic>
                    </a:graphicData>
                  </a:graphic>
                </wp:inline>
              </w:drawing>
            </w:r>
            <w:r>
              <w:rPr>
                <w:rFonts w:hint="eastAsia" w:hAnsi="宋体" w:asciiTheme="minorHAnsi"/>
                <w:sz w:val="20"/>
                <w:szCs w:val="20"/>
              </w:rPr>
              <w:t xml:space="preserve">                              后/中挂条</w:t>
            </w:r>
            <w:r>
              <w:rPr>
                <w:rFonts w:hAnsi="宋体" w:asciiTheme="minorHAnsi"/>
                <w:sz w:val="20"/>
                <w:szCs w:val="20"/>
              </w:rPr>
              <w:drawing>
                <wp:inline distT="0" distB="0" distL="0" distR="0">
                  <wp:extent cx="2044700" cy="948690"/>
                  <wp:effectExtent l="0" t="0" r="3175" b="3810"/>
                  <wp:docPr id="13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2"/>
                          <pic:cNvPicPr>
                            <a:picLocks noChangeAspect="1" noChangeArrowheads="1"/>
                          </pic:cNvPicPr>
                        </pic:nvPicPr>
                        <pic:blipFill>
                          <a:blip r:embed="rId20" cstate="print"/>
                          <a:srcRect l="55296" t="21489" b="20279"/>
                          <a:stretch>
                            <a:fillRect/>
                          </a:stretch>
                        </pic:blipFill>
                        <pic:spPr>
                          <a:xfrm>
                            <a:off x="0" y="0"/>
                            <a:ext cx="2044700" cy="948690"/>
                          </a:xfrm>
                          <a:prstGeom prst="rect">
                            <a:avLst/>
                          </a:prstGeom>
                          <a:noFill/>
                          <a:ln w="9525" cmpd="sng">
                            <a:noFill/>
                            <a:miter lim="800000"/>
                            <a:headEnd/>
                            <a:tailEnd/>
                          </a:ln>
                        </pic:spPr>
                      </pic:pic>
                    </a:graphicData>
                  </a:graphic>
                </wp:inline>
              </w:drawing>
            </w:r>
          </w:p>
          <w:p>
            <w:pPr>
              <w:jc w:val="left"/>
              <w:rPr>
                <w:rFonts w:hAnsi="宋体" w:cs="仿宋_GB2312" w:asciiTheme="minorHAnsi"/>
                <w:sz w:val="20"/>
                <w:szCs w:val="20"/>
              </w:rPr>
            </w:pPr>
            <w:r>
              <w:rPr>
                <w:rFonts w:hint="eastAsia" w:hAnsi="宋体" w:cs="仿宋_GB2312" w:asciiTheme="minorHAnsi"/>
                <w:sz w:val="20"/>
                <w:szCs w:val="20"/>
              </w:rPr>
              <w:t>6、柜门扣手：采用门板钢板自拉伸一体成型，多段可变半径构成U形全钢拉手，拉伸深度不小于16mm，可用于扣手长度不小于260mm；</w:t>
            </w:r>
            <w:r>
              <w:rPr>
                <w:rFonts w:hAnsi="宋体" w:cs="仿宋_GB2312" w:asciiTheme="minorHAnsi"/>
                <w:sz w:val="20"/>
                <w:szCs w:val="20"/>
              </w:rPr>
              <w:tab/>
            </w:r>
          </w:p>
          <w:p>
            <w:pPr>
              <w:jc w:val="left"/>
              <w:rPr>
                <w:rFonts w:hAnsi="宋体" w:cs="仿宋_GB2312" w:asciiTheme="minorHAnsi"/>
                <w:sz w:val="20"/>
                <w:szCs w:val="20"/>
              </w:rPr>
            </w:pPr>
            <w:r>
              <w:rPr>
                <w:rFonts w:hint="eastAsia" w:hAnsi="宋体" w:cs="仿宋_GB2312" w:asciiTheme="minorHAnsi"/>
                <w:sz w:val="20"/>
                <w:szCs w:val="20"/>
              </w:rPr>
              <w:t>7、门板配置组合式桥型透气孔，单孔尺寸8.3*6mm,成型深度2mm。整体组合尺寸见下图。</w:t>
            </w:r>
          </w:p>
          <w:p>
            <w:pPr>
              <w:jc w:val="center"/>
              <w:rPr>
                <w:rFonts w:asciiTheme="minorHAnsi"/>
                <w:sz w:val="20"/>
                <w:szCs w:val="20"/>
              </w:rPr>
            </w:pPr>
            <w:r>
              <w:rPr>
                <w:rFonts w:asciiTheme="minorHAnsi"/>
                <w:sz w:val="20"/>
                <w:szCs w:val="20"/>
              </w:rPr>
              <w:drawing>
                <wp:inline distT="0" distB="0" distL="0" distR="0">
                  <wp:extent cx="2105025" cy="1682115"/>
                  <wp:effectExtent l="0" t="0" r="6350" b="635"/>
                  <wp:docPr id="13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1"/>
                          <pic:cNvPicPr>
                            <a:picLocks noChangeAspect="1" noChangeArrowheads="1"/>
                          </pic:cNvPicPr>
                        </pic:nvPicPr>
                        <pic:blipFill>
                          <a:blip r:embed="rId21" cstate="print"/>
                          <a:srcRect/>
                          <a:stretch>
                            <a:fillRect/>
                          </a:stretch>
                        </pic:blipFill>
                        <pic:spPr>
                          <a:xfrm>
                            <a:off x="0" y="0"/>
                            <a:ext cx="2105025" cy="1682115"/>
                          </a:xfrm>
                          <a:prstGeom prst="rect">
                            <a:avLst/>
                          </a:prstGeom>
                          <a:noFill/>
                          <a:ln w="9525" cmpd="sng">
                            <a:noFill/>
                            <a:miter lim="800000"/>
                            <a:headEnd/>
                            <a:tailEnd/>
                          </a:ln>
                        </pic:spPr>
                      </pic:pic>
                    </a:graphicData>
                  </a:graphic>
                </wp:inline>
              </w:drawing>
            </w:r>
          </w:p>
          <w:p>
            <w:pPr>
              <w:jc w:val="left"/>
              <w:rPr>
                <w:rFonts w:hAnsi="宋体" w:cs="仿宋_GB2312" w:asciiTheme="minorHAnsi"/>
                <w:sz w:val="20"/>
                <w:szCs w:val="20"/>
              </w:rPr>
            </w:pPr>
            <w:r>
              <w:rPr>
                <w:rFonts w:hint="eastAsia" w:asciiTheme="minorHAnsi"/>
                <w:sz w:val="20"/>
                <w:szCs w:val="20"/>
              </w:rPr>
              <w:t>8、</w:t>
            </w:r>
            <w:r>
              <w:rPr>
                <w:rFonts w:hint="eastAsia" w:hAnsi="宋体" w:cs="仿宋_GB2312" w:asciiTheme="minorHAnsi"/>
                <w:sz w:val="20"/>
                <w:szCs w:val="20"/>
              </w:rPr>
              <w:t>门板配置组合式桥型透气孔，单孔尺寸8.3*6mm,成型深度2mm。整体组合尺寸见下图。</w:t>
            </w:r>
          </w:p>
          <w:p>
            <w:pPr>
              <w:jc w:val="center"/>
              <w:rPr>
                <w:rFonts w:hAnsi="宋体" w:cs="仿宋_GB2312"/>
                <w:sz w:val="20"/>
                <w:szCs w:val="20"/>
              </w:rPr>
            </w:pPr>
            <w:r>
              <w:rPr>
                <w:rFonts w:hAnsi="宋体" w:asciiTheme="minorHAnsi"/>
                <w:sz w:val="20"/>
                <w:szCs w:val="20"/>
              </w:rPr>
              <w:drawing>
                <wp:inline distT="0" distB="0" distL="0" distR="0">
                  <wp:extent cx="1664970" cy="1518285"/>
                  <wp:effectExtent l="0" t="0" r="1905" b="5715"/>
                  <wp:docPr id="13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0"/>
                          <pic:cNvPicPr>
                            <a:picLocks noChangeAspect="1" noChangeArrowheads="1"/>
                          </pic:cNvPicPr>
                        </pic:nvPicPr>
                        <pic:blipFill>
                          <a:blip r:embed="rId22" cstate="print"/>
                          <a:srcRect/>
                          <a:stretch>
                            <a:fillRect/>
                          </a:stretch>
                        </pic:blipFill>
                        <pic:spPr>
                          <a:xfrm>
                            <a:off x="0" y="0"/>
                            <a:ext cx="1664970" cy="1518285"/>
                          </a:xfrm>
                          <a:prstGeom prst="rect">
                            <a:avLst/>
                          </a:prstGeom>
                          <a:noFill/>
                          <a:ln w="9525" cmpd="sng">
                            <a:noFill/>
                            <a:miter lim="800000"/>
                            <a:headEnd/>
                            <a:tailEnd/>
                          </a:ln>
                        </pic:spPr>
                      </pic:pic>
                    </a:graphicData>
                  </a:graphic>
                </wp:inline>
              </w:drawing>
            </w:r>
          </w:p>
        </w:tc>
        <w:tc>
          <w:tcPr>
            <w:tcW w:w="695" w:type="dxa"/>
            <w:vAlign w:val="center"/>
          </w:tcPr>
          <w:p>
            <w:pPr>
              <w:jc w:val="center"/>
              <w:rPr>
                <w:rFonts w:hAnsi="宋体" w:cs="宋体"/>
                <w:sz w:val="20"/>
                <w:szCs w:val="20"/>
              </w:rPr>
            </w:pPr>
            <w:r>
              <w:rPr>
                <w:rFonts w:hint="eastAsia" w:asciiTheme="minorHAnsi"/>
                <w:sz w:val="20"/>
                <w:szCs w:val="20"/>
              </w:rPr>
              <w:t xml:space="preserve">73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1500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109500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等侯椅（三人位）</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845185" cy="733425"/>
                  <wp:effectExtent l="0" t="0" r="12065" b="12700"/>
                  <wp:docPr id="13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9"/>
                          <pic:cNvPicPr>
                            <a:picLocks noChangeAspect="1" noChangeArrowheads="1"/>
                          </pic:cNvPicPr>
                        </pic:nvPicPr>
                        <pic:blipFill>
                          <a:blip r:embed="rId23" cstate="print"/>
                          <a:srcRect/>
                          <a:stretch>
                            <a:fillRect/>
                          </a:stretch>
                        </pic:blipFill>
                        <pic:spPr>
                          <a:xfrm>
                            <a:off x="0" y="0"/>
                            <a:ext cx="845185" cy="73342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1800*750*890</w:t>
            </w:r>
          </w:p>
        </w:tc>
        <w:tc>
          <w:tcPr>
            <w:tcW w:w="3795" w:type="dxa"/>
            <w:vAlign w:val="center"/>
          </w:tcPr>
          <w:p>
            <w:pPr>
              <w:numPr>
                <w:ilvl w:val="0"/>
                <w:numId w:val="45"/>
              </w:numPr>
              <w:ind w:left="0" w:firstLine="0"/>
              <w:rPr>
                <w:rFonts w:hAnsi="宋体" w:cs="宋体" w:asciiTheme="minorHAnsi"/>
                <w:sz w:val="20"/>
                <w:szCs w:val="20"/>
              </w:rPr>
            </w:pPr>
            <w:r>
              <w:rPr>
                <w:rFonts w:hint="eastAsia" w:hAnsi="宋体" w:cs="仿宋_GB2312" w:asciiTheme="minorHAnsi"/>
                <w:sz w:val="20"/>
                <w:szCs w:val="20"/>
              </w:rPr>
              <w:t>椅面</w:t>
            </w:r>
            <w:r>
              <w:rPr>
                <w:rFonts w:hint="eastAsia" w:hAnsi="宋体" w:cs="仿宋_GB2312" w:asciiTheme="minorHAnsi"/>
                <w:sz w:val="20"/>
                <w:szCs w:val="20"/>
              </w:rPr>
              <w:br w:type="textWrapping"/>
            </w:r>
            <w:r>
              <w:rPr>
                <w:rFonts w:hint="eastAsia" w:hAnsi="宋体" w:cs="仿宋_GB2312" w:asciiTheme="minorHAnsi"/>
                <w:sz w:val="20"/>
                <w:szCs w:val="20"/>
              </w:rPr>
              <w:t>采用钢架焊接扁铁（内衬扁铁框架厚度≥6mm，宽度≥40mm）外衬100%聚亚氨脂（PU厚度大于或者等于22mm）。整张椅面采用连体式设计，座椅与承重连接横梁采用卡扣式支撑架连接，横梁整条不开孔位，铝合金支撑架厚度≥3.5mm，安装简单牢固，椅面安装位置可根据具体要求进行调整。PU椅面颜色可换。</w:t>
            </w:r>
          </w:p>
          <w:p>
            <w:pPr>
              <w:numPr>
                <w:ilvl w:val="0"/>
                <w:numId w:val="45"/>
              </w:numPr>
              <w:ind w:left="0" w:firstLine="0"/>
              <w:rPr>
                <w:rFonts w:hAnsi="宋体" w:cs="宋体" w:asciiTheme="minorHAnsi"/>
                <w:sz w:val="20"/>
                <w:szCs w:val="20"/>
              </w:rPr>
            </w:pPr>
            <w:r>
              <w:rPr>
                <w:rFonts w:hint="eastAsia" w:hAnsi="宋体" w:cs="仿宋_GB2312" w:asciiTheme="minorHAnsi"/>
                <w:sz w:val="20"/>
                <w:szCs w:val="20"/>
              </w:rPr>
              <w:t>扶手、站脚。</w:t>
            </w:r>
          </w:p>
          <w:p>
            <w:pPr>
              <w:rPr>
                <w:rFonts w:hAnsi="宋体" w:cs="宋体" w:asciiTheme="minorHAnsi"/>
                <w:sz w:val="20"/>
                <w:szCs w:val="20"/>
              </w:rPr>
            </w:pPr>
            <w:r>
              <w:rPr>
                <w:rFonts w:hint="eastAsia" w:hAnsi="宋体" w:cs="仿宋_GB2312" w:asciiTheme="minorHAnsi"/>
                <w:sz w:val="20"/>
                <w:szCs w:val="20"/>
              </w:rPr>
              <w:t>采用铝合金经模具压铸成型，扶手为封闭式结构，不分左右，无锐角，表面圆滑，外观美丽大方。扶手拆装方便，且扶手不能过小过短，其外延伸长度不能短于座椅面深度的50%。采用 铝合金经模具压铸成型，站脚为“人”字形结构以确保最佳的支撑稳定性，铝合金站脚重量≥2.8KG，站脚配调节脚，可根据地面的高度调节，同时保护地面，防刮花地面。</w:t>
            </w:r>
          </w:p>
          <w:p>
            <w:pPr>
              <w:numPr>
                <w:ilvl w:val="0"/>
                <w:numId w:val="45"/>
              </w:numPr>
              <w:ind w:left="0" w:firstLine="0"/>
              <w:rPr>
                <w:rFonts w:hAnsi="宋体" w:cs="宋体" w:asciiTheme="minorHAnsi"/>
                <w:sz w:val="20"/>
                <w:szCs w:val="20"/>
              </w:rPr>
            </w:pPr>
            <w:r>
              <w:rPr>
                <w:rFonts w:hint="eastAsia" w:hAnsi="宋体" w:cs="仿宋_GB2312" w:asciiTheme="minorHAnsi"/>
                <w:sz w:val="20"/>
                <w:szCs w:val="20"/>
              </w:rPr>
              <w:t>支撑架材质：使用铝合金材质；结构：大于或等于3.5mm铝合金支撑架，支撑架底部卡紧横梁且厚度不低于25mm。</w:t>
            </w:r>
          </w:p>
          <w:p>
            <w:pPr>
              <w:numPr>
                <w:ilvl w:val="0"/>
                <w:numId w:val="45"/>
              </w:numPr>
              <w:ind w:left="0" w:firstLine="0"/>
              <w:rPr>
                <w:rFonts w:hAnsi="宋体" w:cs="宋体" w:asciiTheme="minorHAnsi"/>
                <w:sz w:val="20"/>
                <w:szCs w:val="20"/>
              </w:rPr>
            </w:pPr>
            <w:r>
              <w:rPr>
                <w:rFonts w:hint="eastAsia" w:hAnsi="宋体" w:cs="仿宋_GB2312" w:asciiTheme="minorHAnsi"/>
                <w:sz w:val="20"/>
                <w:szCs w:val="20"/>
              </w:rPr>
              <w:t>承重连接横梁材质：高强度六边十二角 铝合金管（直径≥80mm*80mm），厚度≥3.0mm，横梁周长不低于206mm。横梁两端由ABS工程塑料件作帽盖。所有连接螺母均采用自锁性螺母加弹性垫圈安装后不得外露螺丝。</w:t>
            </w:r>
          </w:p>
          <w:p>
            <w:pPr>
              <w:numPr>
                <w:ilvl w:val="0"/>
                <w:numId w:val="45"/>
              </w:numPr>
              <w:ind w:left="0" w:leftChars="0" w:firstLine="0" w:firstLineChars="0"/>
              <w:rPr>
                <w:rFonts w:hAnsi="宋体" w:cs="宋体"/>
                <w:sz w:val="20"/>
                <w:szCs w:val="20"/>
              </w:rPr>
            </w:pPr>
            <w:r>
              <w:rPr>
                <w:rFonts w:hint="eastAsia" w:hAnsi="宋体" w:cs="仿宋_GB2312" w:asciiTheme="minorHAnsi"/>
                <w:sz w:val="20"/>
                <w:szCs w:val="20"/>
              </w:rPr>
              <w:t>颜色根据不同科室需求订制。</w:t>
            </w:r>
          </w:p>
        </w:tc>
        <w:tc>
          <w:tcPr>
            <w:tcW w:w="695" w:type="dxa"/>
            <w:vAlign w:val="center"/>
          </w:tcPr>
          <w:p>
            <w:pPr>
              <w:jc w:val="center"/>
              <w:rPr>
                <w:rFonts w:hAnsi="宋体" w:cs="宋体"/>
                <w:sz w:val="20"/>
                <w:szCs w:val="20"/>
              </w:rPr>
            </w:pPr>
            <w:r>
              <w:rPr>
                <w:rFonts w:hint="eastAsia" w:asciiTheme="minorHAnsi"/>
                <w:sz w:val="20"/>
                <w:szCs w:val="20"/>
              </w:rPr>
              <w:t xml:space="preserve">100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2000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护士站大理石桌子</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897255" cy="448310"/>
                  <wp:effectExtent l="0" t="0" r="7620" b="12065"/>
                  <wp:docPr id="13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8"/>
                          <pic:cNvPicPr>
                            <a:picLocks noChangeAspect="1" noChangeArrowheads="1"/>
                          </pic:cNvPicPr>
                        </pic:nvPicPr>
                        <pic:blipFill>
                          <a:blip r:embed="rId24" cstate="print"/>
                          <a:srcRect/>
                          <a:stretch>
                            <a:fillRect/>
                          </a:stretch>
                        </pic:blipFill>
                        <pic:spPr>
                          <a:xfrm>
                            <a:off x="0" y="0"/>
                            <a:ext cx="897255" cy="44831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（800+5600）*700*1050</w:t>
            </w:r>
          </w:p>
        </w:tc>
        <w:tc>
          <w:tcPr>
            <w:tcW w:w="3795" w:type="dxa"/>
            <w:vAlign w:val="center"/>
          </w:tcPr>
          <w:p>
            <w:pPr>
              <w:jc w:val="left"/>
              <w:rPr>
                <w:rFonts w:hAnsi="宋体" w:asciiTheme="minorHAnsi"/>
                <w:b/>
                <w:bCs/>
                <w:sz w:val="20"/>
                <w:szCs w:val="20"/>
              </w:rPr>
            </w:pPr>
            <w:r>
              <w:rPr>
                <w:rFonts w:hint="eastAsia" w:ascii="宋体" w:hAnsi="宋体"/>
                <w:b/>
                <w:bCs/>
                <w:sz w:val="20"/>
                <w:szCs w:val="20"/>
              </w:rPr>
              <w:t>1、</w:t>
            </w:r>
            <w:r>
              <w:rPr>
                <w:rFonts w:hint="eastAsia" w:hAnsi="宋体" w:asciiTheme="minorHAnsi"/>
                <w:sz w:val="20"/>
                <w:szCs w:val="20"/>
              </w:rPr>
              <w:t>基材：桌面采用多层实木板，产品符合家具有害物质限量标准要求。</w:t>
            </w:r>
          </w:p>
          <w:p>
            <w:pPr>
              <w:jc w:val="left"/>
              <w:rPr>
                <w:rFonts w:hAnsi="宋体" w:asciiTheme="minorHAnsi"/>
                <w:b/>
                <w:bCs/>
                <w:sz w:val="20"/>
                <w:szCs w:val="20"/>
              </w:rPr>
            </w:pPr>
            <w:r>
              <w:rPr>
                <w:rFonts w:hint="eastAsia" w:hAnsi="宋体" w:asciiTheme="minorHAnsi"/>
                <w:sz w:val="20"/>
                <w:szCs w:val="20"/>
              </w:rPr>
              <w:t>2、贴面材料：三聚氰胺板，产品符合木家具有害物质限量标准要求</w:t>
            </w:r>
            <w:r>
              <w:rPr>
                <w:rFonts w:hint="eastAsia" w:hAnsi="宋体" w:asciiTheme="minorHAnsi"/>
                <w:b/>
                <w:bCs/>
                <w:sz w:val="20"/>
                <w:szCs w:val="20"/>
              </w:rPr>
              <w:t>。</w:t>
            </w:r>
          </w:p>
          <w:p>
            <w:pPr>
              <w:jc w:val="left"/>
              <w:rPr>
                <w:rFonts w:hAnsi="宋体" w:cs="宋体" w:asciiTheme="minorHAnsi"/>
                <w:sz w:val="20"/>
                <w:szCs w:val="20"/>
              </w:rPr>
            </w:pPr>
            <w:r>
              <w:rPr>
                <w:rFonts w:hint="eastAsia" w:hAnsi="宋体" w:asciiTheme="minorHAnsi"/>
                <w:b/>
                <w:bCs/>
                <w:sz w:val="20"/>
                <w:szCs w:val="20"/>
              </w:rPr>
              <w:t>3、</w:t>
            </w:r>
            <w:r>
              <w:rPr>
                <w:rFonts w:hint="eastAsia" w:hAnsi="宋体" w:asciiTheme="minorHAnsi"/>
                <w:sz w:val="20"/>
                <w:szCs w:val="20"/>
              </w:rPr>
              <w:t>封边条：采用2.0mm厚PVC封边</w:t>
            </w:r>
          </w:p>
          <w:p>
            <w:pPr>
              <w:pStyle w:val="228"/>
              <w:numPr>
                <w:ilvl w:val="0"/>
                <w:numId w:val="43"/>
              </w:numPr>
              <w:ind w:firstLineChars="0"/>
              <w:jc w:val="left"/>
              <w:rPr>
                <w:rFonts w:hAnsi="宋体" w:asciiTheme="minorHAnsi"/>
                <w:sz w:val="20"/>
                <w:szCs w:val="20"/>
              </w:rPr>
            </w:pPr>
            <w:r>
              <w:rPr>
                <w:rFonts w:hint="eastAsia" w:hAnsi="宋体" w:asciiTheme="minorHAnsi"/>
                <w:sz w:val="20"/>
                <w:szCs w:val="20"/>
              </w:rPr>
              <w:t>配件：五金件连接不松动；</w:t>
            </w:r>
          </w:p>
          <w:p>
            <w:pPr>
              <w:jc w:val="left"/>
              <w:rPr>
                <w:rFonts w:hAnsi="宋体" w:cs="宋体" w:asciiTheme="minorHAnsi"/>
                <w:sz w:val="20"/>
                <w:szCs w:val="20"/>
              </w:rPr>
            </w:pPr>
            <w:r>
              <w:rPr>
                <w:rFonts w:hint="eastAsia" w:hAnsi="宋体" w:cs="宋体" w:asciiTheme="minorHAnsi"/>
                <w:sz w:val="20"/>
                <w:szCs w:val="20"/>
              </w:rPr>
              <w:t>5、</w:t>
            </w:r>
            <w:r>
              <w:rPr>
                <w:rFonts w:hAnsi="宋体" w:cs="宋体" w:asciiTheme="minorHAnsi"/>
                <w:sz w:val="20"/>
                <w:szCs w:val="20"/>
              </w:rPr>
              <w:t>石英石台面</w:t>
            </w:r>
            <w:r>
              <w:rPr>
                <w:rFonts w:hint="eastAsia" w:hAnsi="宋体" w:asciiTheme="minorHAnsi"/>
                <w:sz w:val="20"/>
                <w:szCs w:val="20"/>
              </w:rPr>
              <w:t>。</w:t>
            </w:r>
          </w:p>
          <w:p>
            <w:pPr>
              <w:jc w:val="left"/>
              <w:rPr>
                <w:rFonts w:hAnsi="宋体" w:cs="宋体"/>
                <w:sz w:val="20"/>
                <w:szCs w:val="20"/>
              </w:rPr>
            </w:pPr>
            <w:r>
              <w:rPr>
                <w:rFonts w:hint="eastAsia" w:hAnsi="宋体" w:asciiTheme="minorHAnsi"/>
                <w:sz w:val="20"/>
                <w:szCs w:val="20"/>
              </w:rPr>
              <w:t>6、踢脚线：采用不锈钢，钢材厚度≥1.2mm</w:t>
            </w:r>
          </w:p>
        </w:tc>
        <w:tc>
          <w:tcPr>
            <w:tcW w:w="695" w:type="dxa"/>
            <w:vAlign w:val="center"/>
          </w:tcPr>
          <w:p>
            <w:pPr>
              <w:jc w:val="center"/>
              <w:rPr>
                <w:rFonts w:hAnsi="宋体" w:cs="宋体"/>
                <w:sz w:val="20"/>
                <w:szCs w:val="20"/>
              </w:rPr>
            </w:pPr>
            <w:r>
              <w:rPr>
                <w:rFonts w:hint="eastAsia" w:asciiTheme="minorHAnsi"/>
                <w:sz w:val="20"/>
                <w:szCs w:val="20"/>
              </w:rPr>
              <w:t xml:space="preserve">50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1900</w:t>
            </w:r>
          </w:p>
        </w:tc>
        <w:tc>
          <w:tcPr>
            <w:tcW w:w="551" w:type="dxa"/>
            <w:vAlign w:val="center"/>
          </w:tcPr>
          <w:p>
            <w:pPr>
              <w:jc w:val="center"/>
              <w:rPr>
                <w:rFonts w:hAnsi="宋体" w:cs="宋体"/>
                <w:sz w:val="20"/>
                <w:szCs w:val="20"/>
              </w:rPr>
            </w:pPr>
            <w:r>
              <w:rPr>
                <w:rFonts w:hint="eastAsia" w:asciiTheme="minorHAnsi"/>
                <w:sz w:val="20"/>
                <w:szCs w:val="20"/>
              </w:rPr>
              <w:t>米</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34" w:type="dxa"/>
            <w:vAlign w:val="center"/>
          </w:tcPr>
          <w:p>
            <w:pPr>
              <w:jc w:val="center"/>
              <w:rPr>
                <w:rFonts w:hAnsi="宋体" w:cs="宋体"/>
                <w:sz w:val="20"/>
                <w:szCs w:val="20"/>
              </w:rPr>
            </w:pPr>
            <w:r>
              <w:rPr>
                <w:rFonts w:hint="eastAsia" w:asciiTheme="minorHAnsi"/>
                <w:sz w:val="20"/>
                <w:szCs w:val="20"/>
              </w:rPr>
              <w:t>靠背木椅</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24535" cy="1087120"/>
                  <wp:effectExtent l="0" t="0" r="5715" b="8255"/>
                  <wp:docPr id="136"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7"/>
                          <pic:cNvPicPr>
                            <a:picLocks noChangeAspect="1" noChangeArrowheads="1"/>
                          </pic:cNvPicPr>
                        </pic:nvPicPr>
                        <pic:blipFill>
                          <a:blip r:embed="rId25" cstate="print"/>
                          <a:srcRect/>
                          <a:stretch>
                            <a:fillRect/>
                          </a:stretch>
                        </pic:blipFill>
                        <pic:spPr>
                          <a:xfrm>
                            <a:off x="0" y="0"/>
                            <a:ext cx="724535" cy="108712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常规</w:t>
            </w:r>
          </w:p>
        </w:tc>
        <w:tc>
          <w:tcPr>
            <w:tcW w:w="3795" w:type="dxa"/>
            <w:vAlign w:val="center"/>
          </w:tcPr>
          <w:p>
            <w:pPr>
              <w:numPr>
                <w:ilvl w:val="0"/>
                <w:numId w:val="46"/>
              </w:numPr>
              <w:ind w:left="0" w:firstLine="0"/>
              <w:jc w:val="left"/>
              <w:rPr>
                <w:rFonts w:hAnsi="宋体" w:cs="宋体" w:asciiTheme="minorHAnsi"/>
                <w:sz w:val="20"/>
                <w:szCs w:val="20"/>
              </w:rPr>
            </w:pPr>
            <w:r>
              <w:rPr>
                <w:rFonts w:hint="eastAsia" w:hAnsi="宋体" w:asciiTheme="minorHAnsi"/>
                <w:sz w:val="20"/>
                <w:szCs w:val="20"/>
              </w:rPr>
              <w:t>外架：选用实木架木材。</w:t>
            </w:r>
          </w:p>
          <w:p>
            <w:pPr>
              <w:numPr>
                <w:ilvl w:val="0"/>
                <w:numId w:val="46"/>
              </w:numPr>
              <w:ind w:left="0" w:firstLine="0"/>
              <w:jc w:val="left"/>
              <w:rPr>
                <w:rFonts w:hAnsi="宋体" w:cs="宋体" w:asciiTheme="minorHAnsi"/>
                <w:sz w:val="20"/>
                <w:szCs w:val="20"/>
              </w:rPr>
            </w:pPr>
            <w:r>
              <w:rPr>
                <w:rFonts w:hint="eastAsia" w:hAnsi="宋体" w:asciiTheme="minorHAnsi"/>
                <w:sz w:val="20"/>
                <w:szCs w:val="20"/>
              </w:rPr>
              <w:t>水性漆：水性油漆，经UV工艺、五底四面涂装而成，涂装时间迅速，漆膜的外观理化性光洁高度，硬度达到2H， 指标达到国家标准</w:t>
            </w:r>
          </w:p>
          <w:p>
            <w:pPr>
              <w:numPr>
                <w:ilvl w:val="0"/>
                <w:numId w:val="46"/>
              </w:numPr>
              <w:ind w:left="0" w:leftChars="0" w:firstLine="0" w:firstLineChars="0"/>
              <w:jc w:val="left"/>
              <w:rPr>
                <w:rFonts w:hAnsi="宋体" w:cs="宋体"/>
                <w:sz w:val="20"/>
                <w:szCs w:val="20"/>
              </w:rPr>
            </w:pPr>
            <w:r>
              <w:rPr>
                <w:rFonts w:hint="eastAsia" w:hAnsi="宋体" w:asciiTheme="minorHAnsi"/>
                <w:sz w:val="20"/>
                <w:szCs w:val="20"/>
              </w:rPr>
              <w:t>碰撞点采用“R”角设计。</w:t>
            </w:r>
          </w:p>
        </w:tc>
        <w:tc>
          <w:tcPr>
            <w:tcW w:w="695" w:type="dxa"/>
            <w:vAlign w:val="center"/>
          </w:tcPr>
          <w:p>
            <w:pPr>
              <w:jc w:val="center"/>
              <w:rPr>
                <w:rFonts w:hAnsi="宋体" w:cs="宋体"/>
                <w:sz w:val="20"/>
                <w:szCs w:val="20"/>
              </w:rPr>
            </w:pPr>
            <w:r>
              <w:rPr>
                <w:rFonts w:hint="eastAsia" w:asciiTheme="minorHAnsi"/>
                <w:sz w:val="20"/>
                <w:szCs w:val="20"/>
              </w:rPr>
              <w:t xml:space="preserve">94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155</w:t>
            </w:r>
          </w:p>
        </w:tc>
        <w:tc>
          <w:tcPr>
            <w:tcW w:w="551" w:type="dxa"/>
            <w:vAlign w:val="center"/>
          </w:tcPr>
          <w:p>
            <w:pPr>
              <w:jc w:val="center"/>
              <w:rPr>
                <w:rFonts w:hAnsi="宋体" w:cs="宋体"/>
                <w:sz w:val="20"/>
                <w:szCs w:val="20"/>
              </w:rPr>
            </w:pPr>
            <w:r>
              <w:rPr>
                <w:rFonts w:hint="eastAsia" w:asciiTheme="minorHAnsi"/>
                <w:sz w:val="20"/>
                <w:szCs w:val="20"/>
              </w:rPr>
              <w:t>把</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14570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4" w:type="dxa"/>
            <w:vAlign w:val="center"/>
          </w:tcPr>
          <w:p>
            <w:pPr>
              <w:jc w:val="center"/>
              <w:rPr>
                <w:rFonts w:hAnsi="宋体" w:cs="宋体"/>
                <w:sz w:val="20"/>
                <w:szCs w:val="20"/>
              </w:rPr>
            </w:pPr>
            <w:r>
              <w:rPr>
                <w:rFonts w:hint="eastAsia" w:asciiTheme="minorHAnsi"/>
                <w:sz w:val="20"/>
                <w:szCs w:val="20"/>
              </w:rPr>
              <w:t>可移动简易书桌</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93750" cy="923290"/>
                  <wp:effectExtent l="0" t="0" r="0" b="13335"/>
                  <wp:docPr id="13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6"/>
                          <pic:cNvPicPr>
                            <a:picLocks noChangeAspect="1" noChangeArrowheads="1"/>
                          </pic:cNvPicPr>
                        </pic:nvPicPr>
                        <pic:blipFill>
                          <a:blip r:embed="rId26" cstate="print"/>
                          <a:srcRect/>
                          <a:stretch>
                            <a:fillRect/>
                          </a:stretch>
                        </pic:blipFill>
                        <pic:spPr>
                          <a:xfrm>
                            <a:off x="0" y="0"/>
                            <a:ext cx="793750" cy="92329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常规</w:t>
            </w:r>
          </w:p>
        </w:tc>
        <w:tc>
          <w:tcPr>
            <w:tcW w:w="3795" w:type="dxa"/>
            <w:vAlign w:val="center"/>
          </w:tcPr>
          <w:p>
            <w:pPr>
              <w:numPr>
                <w:ilvl w:val="1"/>
                <w:numId w:val="40"/>
              </w:numPr>
              <w:ind w:left="0" w:firstLine="0"/>
              <w:jc w:val="left"/>
              <w:rPr>
                <w:rFonts w:hAnsi="宋体" w:asciiTheme="minorHAnsi"/>
                <w:sz w:val="20"/>
                <w:szCs w:val="20"/>
              </w:rPr>
            </w:pPr>
            <w:r>
              <w:rPr>
                <w:rFonts w:hint="eastAsia" w:hAnsi="宋体" w:asciiTheme="minorHAnsi"/>
                <w:sz w:val="20"/>
                <w:szCs w:val="20"/>
              </w:rPr>
              <w:t>基材：桌面采用中密度纤维板，产品符合家具有害物质限量标准要求。</w:t>
            </w:r>
          </w:p>
          <w:p>
            <w:pPr>
              <w:numPr>
                <w:ilvl w:val="1"/>
                <w:numId w:val="40"/>
              </w:numPr>
              <w:ind w:left="0" w:firstLine="0"/>
              <w:jc w:val="left"/>
              <w:rPr>
                <w:rFonts w:hAnsi="宋体" w:asciiTheme="minorHAnsi"/>
                <w:sz w:val="20"/>
                <w:szCs w:val="20"/>
              </w:rPr>
            </w:pPr>
            <w:r>
              <w:rPr>
                <w:rFonts w:hint="eastAsia" w:hAnsi="宋体" w:asciiTheme="minorHAnsi"/>
                <w:sz w:val="20"/>
                <w:szCs w:val="20"/>
              </w:rPr>
              <w:t>贴面材料：三聚氰胺板，产品符合木家具有害物质限量标准要求</w:t>
            </w:r>
            <w:r>
              <w:rPr>
                <w:rFonts w:hint="eastAsia" w:hAnsi="宋体" w:asciiTheme="minorHAnsi"/>
                <w:b/>
                <w:bCs/>
                <w:sz w:val="20"/>
                <w:szCs w:val="20"/>
              </w:rPr>
              <w:t>。</w:t>
            </w:r>
          </w:p>
          <w:p>
            <w:pPr>
              <w:numPr>
                <w:ilvl w:val="1"/>
                <w:numId w:val="40"/>
              </w:numPr>
              <w:ind w:left="0" w:leftChars="0" w:firstLine="0" w:firstLineChars="0"/>
              <w:jc w:val="left"/>
              <w:rPr>
                <w:rFonts w:hAnsi="宋体"/>
                <w:sz w:val="20"/>
                <w:szCs w:val="20"/>
              </w:rPr>
            </w:pPr>
            <w:r>
              <w:rPr>
                <w:rFonts w:hint="eastAsia" w:hAnsi="宋体" w:asciiTheme="minorHAnsi"/>
                <w:sz w:val="20"/>
                <w:szCs w:val="20"/>
              </w:rPr>
              <w:t>钢架（厚度≥1.2mm</w:t>
            </w:r>
            <w:r>
              <w:rPr>
                <w:rFonts w:hAnsi="宋体" w:asciiTheme="minorHAnsi"/>
                <w:sz w:val="20"/>
                <w:szCs w:val="20"/>
              </w:rPr>
              <w:t>）</w:t>
            </w:r>
            <w:r>
              <w:rPr>
                <w:rFonts w:hint="eastAsia" w:hAnsi="宋体" w:asciiTheme="minorHAnsi"/>
                <w:sz w:val="20"/>
                <w:szCs w:val="20"/>
              </w:rPr>
              <w:t>、带液压升降装置，带轮子可推动、台面注塑封边。</w:t>
            </w:r>
          </w:p>
        </w:tc>
        <w:tc>
          <w:tcPr>
            <w:tcW w:w="695" w:type="dxa"/>
            <w:vAlign w:val="center"/>
          </w:tcPr>
          <w:p>
            <w:pPr>
              <w:jc w:val="center"/>
              <w:rPr>
                <w:rFonts w:hAnsi="宋体" w:cs="宋体"/>
                <w:sz w:val="20"/>
                <w:szCs w:val="20"/>
              </w:rPr>
            </w:pPr>
            <w:r>
              <w:rPr>
                <w:rFonts w:hint="eastAsia" w:asciiTheme="minorHAnsi"/>
                <w:sz w:val="20"/>
                <w:szCs w:val="20"/>
              </w:rPr>
              <w:t xml:space="preserve">32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800</w:t>
            </w:r>
          </w:p>
        </w:tc>
        <w:tc>
          <w:tcPr>
            <w:tcW w:w="551" w:type="dxa"/>
            <w:vAlign w:val="center"/>
          </w:tcPr>
          <w:p>
            <w:pPr>
              <w:jc w:val="center"/>
              <w:rPr>
                <w:rFonts w:hAnsi="宋体" w:cs="宋体"/>
                <w:sz w:val="20"/>
                <w:szCs w:val="20"/>
              </w:rPr>
            </w:pPr>
            <w:r>
              <w:rPr>
                <w:rFonts w:hint="eastAsia" w:asciiTheme="minorHAnsi"/>
                <w:sz w:val="20"/>
                <w:szCs w:val="20"/>
              </w:rPr>
              <w:t>张</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25600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34" w:type="dxa"/>
            <w:vAlign w:val="center"/>
          </w:tcPr>
          <w:p>
            <w:pPr>
              <w:jc w:val="center"/>
              <w:rPr>
                <w:rFonts w:hAnsi="宋体" w:cs="宋体"/>
                <w:sz w:val="20"/>
                <w:szCs w:val="20"/>
              </w:rPr>
            </w:pPr>
            <w:r>
              <w:rPr>
                <w:rFonts w:hint="eastAsia" w:asciiTheme="minorHAnsi"/>
                <w:sz w:val="20"/>
                <w:szCs w:val="20"/>
              </w:rPr>
              <w:t>配奶台</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16280" cy="1017905"/>
                  <wp:effectExtent l="0" t="0" r="13970" b="13970"/>
                  <wp:docPr id="13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5"/>
                          <pic:cNvPicPr>
                            <a:picLocks noChangeAspect="1" noChangeArrowheads="1"/>
                          </pic:cNvPicPr>
                        </pic:nvPicPr>
                        <pic:blipFill>
                          <a:blip r:embed="rId27" cstate="print"/>
                          <a:srcRect/>
                          <a:stretch>
                            <a:fillRect/>
                          </a:stretch>
                        </pic:blipFill>
                        <pic:spPr>
                          <a:xfrm>
                            <a:off x="0" y="0"/>
                            <a:ext cx="716280" cy="101790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1200*600*1800</w:t>
            </w:r>
          </w:p>
        </w:tc>
        <w:tc>
          <w:tcPr>
            <w:tcW w:w="3795" w:type="dxa"/>
            <w:vAlign w:val="center"/>
          </w:tcPr>
          <w:p>
            <w:pPr>
              <w:numPr>
                <w:ilvl w:val="0"/>
                <w:numId w:val="47"/>
              </w:numPr>
              <w:ind w:left="0" w:firstLine="0"/>
              <w:jc w:val="left"/>
              <w:rPr>
                <w:rFonts w:hAnsi="宋体" w:cs="宋体" w:asciiTheme="minorHAnsi"/>
                <w:sz w:val="20"/>
                <w:szCs w:val="20"/>
              </w:rPr>
            </w:pPr>
            <w:r>
              <w:rPr>
                <w:rFonts w:hint="eastAsia" w:hAnsi="宋体" w:asciiTheme="minorHAnsi"/>
                <w:sz w:val="20"/>
                <w:szCs w:val="20"/>
              </w:rPr>
              <w:t>材料厚度：主体0.9mm，筋条0.7mm, 不锈钢板。</w:t>
            </w:r>
          </w:p>
          <w:p>
            <w:pPr>
              <w:numPr>
                <w:ilvl w:val="0"/>
                <w:numId w:val="47"/>
              </w:numPr>
              <w:ind w:left="0" w:firstLine="0"/>
              <w:jc w:val="left"/>
              <w:rPr>
                <w:rFonts w:hAnsi="宋体" w:cs="宋体" w:asciiTheme="minorHAnsi"/>
                <w:sz w:val="20"/>
                <w:szCs w:val="20"/>
              </w:rPr>
            </w:pPr>
            <w:r>
              <w:rPr>
                <w:rFonts w:hint="eastAsia" w:hAnsi="宋体" w:asciiTheme="minorHAnsi"/>
                <w:sz w:val="20"/>
                <w:szCs w:val="20"/>
              </w:rPr>
              <w:t>台面：操作台面均采用不锈钢板面</w:t>
            </w:r>
          </w:p>
          <w:p>
            <w:pPr>
              <w:numPr>
                <w:ilvl w:val="0"/>
                <w:numId w:val="47"/>
              </w:numPr>
              <w:ind w:left="0" w:firstLine="0"/>
              <w:jc w:val="left"/>
              <w:rPr>
                <w:rFonts w:hAnsi="宋体" w:cs="宋体" w:asciiTheme="minorHAnsi"/>
                <w:sz w:val="20"/>
                <w:szCs w:val="20"/>
              </w:rPr>
            </w:pPr>
            <w:r>
              <w:rPr>
                <w:rFonts w:hint="eastAsia" w:hAnsi="宋体" w:cs="宋体" w:asciiTheme="minorHAnsi"/>
                <w:sz w:val="20"/>
                <w:szCs w:val="20"/>
              </w:rPr>
              <w:t>配件：</w:t>
            </w:r>
          </w:p>
          <w:p>
            <w:pPr>
              <w:jc w:val="left"/>
              <w:rPr>
                <w:rFonts w:hAnsi="宋体" w:cs="宋体" w:asciiTheme="minorHAnsi"/>
                <w:sz w:val="20"/>
                <w:szCs w:val="20"/>
              </w:rPr>
            </w:pPr>
            <w:r>
              <w:rPr>
                <w:rFonts w:hint="eastAsia" w:hAnsi="宋体" w:asciiTheme="minorHAnsi"/>
                <w:sz w:val="20"/>
                <w:szCs w:val="20"/>
              </w:rPr>
              <w:t>拉手：不锈钢弓形拉手与不锈钢内嵌式拉手</w:t>
            </w:r>
          </w:p>
          <w:p>
            <w:pPr>
              <w:jc w:val="left"/>
              <w:rPr>
                <w:rFonts w:hAnsi="宋体" w:cs="宋体" w:asciiTheme="minorHAnsi"/>
                <w:sz w:val="20"/>
                <w:szCs w:val="20"/>
              </w:rPr>
            </w:pPr>
            <w:r>
              <w:rPr>
                <w:rFonts w:hint="eastAsia" w:hAnsi="宋体" w:asciiTheme="minorHAnsi"/>
                <w:sz w:val="20"/>
                <w:szCs w:val="20"/>
              </w:rPr>
              <w:t xml:space="preserve">铰链：不锈钢款采用与门板等长度“长排合页（不锈钢）”。 </w:t>
            </w:r>
            <w:r>
              <w:rPr>
                <w:rFonts w:hint="eastAsia" w:hAnsi="宋体" w:asciiTheme="minorHAnsi"/>
                <w:sz w:val="20"/>
                <w:szCs w:val="20"/>
              </w:rPr>
              <w:br w:type="textWrapping"/>
            </w:r>
            <w:r>
              <w:rPr>
                <w:rFonts w:hint="eastAsia" w:hAnsi="宋体" w:asciiTheme="minorHAnsi"/>
                <w:sz w:val="20"/>
                <w:szCs w:val="20"/>
              </w:rPr>
              <w:t>锁具：抽屉采用叶片锁具，开关钥匙均可取出。</w:t>
            </w:r>
          </w:p>
          <w:p>
            <w:pPr>
              <w:numPr>
                <w:ilvl w:val="0"/>
                <w:numId w:val="47"/>
              </w:numPr>
              <w:ind w:left="0" w:firstLine="0"/>
              <w:jc w:val="left"/>
              <w:rPr>
                <w:rFonts w:hAnsi="宋体" w:cs="宋体" w:asciiTheme="minorHAnsi"/>
                <w:sz w:val="20"/>
                <w:szCs w:val="20"/>
              </w:rPr>
            </w:pPr>
            <w:r>
              <w:rPr>
                <w:rFonts w:hint="eastAsia" w:hAnsi="宋体" w:asciiTheme="minorHAnsi"/>
                <w:sz w:val="20"/>
                <w:szCs w:val="20"/>
              </w:rPr>
              <w:t>产品经过“激光-冲压-折弯-焊接-前处理-表面处理-装配-入库”的生产工艺流程。</w:t>
            </w:r>
          </w:p>
          <w:p>
            <w:pPr>
              <w:numPr>
                <w:ilvl w:val="0"/>
                <w:numId w:val="47"/>
              </w:numPr>
              <w:ind w:left="0" w:leftChars="0" w:firstLine="0" w:firstLineChars="0"/>
              <w:jc w:val="left"/>
              <w:rPr>
                <w:rFonts w:hAnsi="宋体" w:cs="宋体"/>
                <w:sz w:val="20"/>
                <w:szCs w:val="20"/>
              </w:rPr>
            </w:pPr>
            <w:r>
              <w:rPr>
                <w:rFonts w:hint="eastAsia" w:hAnsi="宋体" w:asciiTheme="minorHAnsi"/>
                <w:sz w:val="20"/>
                <w:szCs w:val="20"/>
              </w:rPr>
              <w:t xml:space="preserve"> 隔板具备可上下调节的功能。</w:t>
            </w:r>
          </w:p>
        </w:tc>
        <w:tc>
          <w:tcPr>
            <w:tcW w:w="695" w:type="dxa"/>
            <w:vAlign w:val="center"/>
          </w:tcPr>
          <w:p>
            <w:pPr>
              <w:jc w:val="center"/>
              <w:rPr>
                <w:rFonts w:hAnsi="宋体" w:cs="宋体"/>
                <w:sz w:val="20"/>
                <w:szCs w:val="20"/>
              </w:rPr>
            </w:pPr>
            <w:r>
              <w:rPr>
                <w:rFonts w:hint="eastAsia" w:asciiTheme="minorHAnsi"/>
                <w:sz w:val="20"/>
                <w:szCs w:val="20"/>
              </w:rPr>
              <w:t xml:space="preserve">2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2000</w:t>
            </w:r>
          </w:p>
        </w:tc>
        <w:tc>
          <w:tcPr>
            <w:tcW w:w="551" w:type="dxa"/>
            <w:vAlign w:val="center"/>
          </w:tcPr>
          <w:p>
            <w:pPr>
              <w:jc w:val="center"/>
              <w:rPr>
                <w:rFonts w:hAnsi="宋体" w:cs="宋体"/>
                <w:sz w:val="20"/>
                <w:szCs w:val="20"/>
              </w:rPr>
            </w:pPr>
            <w:r>
              <w:rPr>
                <w:rFonts w:hint="eastAsia" w:asciiTheme="minorHAnsi"/>
                <w:sz w:val="20"/>
                <w:szCs w:val="20"/>
              </w:rPr>
              <w:t>张</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34" w:type="dxa"/>
            <w:vAlign w:val="center"/>
          </w:tcPr>
          <w:p>
            <w:pPr>
              <w:jc w:val="center"/>
              <w:rPr>
                <w:rFonts w:hAnsi="宋体" w:cs="宋体"/>
                <w:sz w:val="20"/>
                <w:szCs w:val="20"/>
              </w:rPr>
            </w:pPr>
            <w:r>
              <w:rPr>
                <w:rFonts w:hint="eastAsia" w:asciiTheme="minorHAnsi"/>
                <w:sz w:val="20"/>
                <w:szCs w:val="20"/>
              </w:rPr>
              <w:t>L组合型沙发</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991870" cy="621030"/>
                  <wp:effectExtent l="0" t="0" r="8255" b="13970"/>
                  <wp:docPr id="13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4"/>
                          <pic:cNvPicPr>
                            <a:picLocks noChangeAspect="1" noChangeArrowheads="1"/>
                          </pic:cNvPicPr>
                        </pic:nvPicPr>
                        <pic:blipFill>
                          <a:blip r:embed="rId28" cstate="print"/>
                          <a:srcRect/>
                          <a:stretch>
                            <a:fillRect/>
                          </a:stretch>
                        </pic:blipFill>
                        <pic:spPr>
                          <a:xfrm>
                            <a:off x="0" y="0"/>
                            <a:ext cx="991870" cy="62103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3人位+单人位</w:t>
            </w:r>
          </w:p>
        </w:tc>
        <w:tc>
          <w:tcPr>
            <w:tcW w:w="3795" w:type="dxa"/>
            <w:vAlign w:val="center"/>
          </w:tcPr>
          <w:p>
            <w:pPr>
              <w:numPr>
                <w:ilvl w:val="0"/>
                <w:numId w:val="48"/>
              </w:numPr>
              <w:ind w:left="0" w:firstLine="0"/>
              <w:jc w:val="left"/>
              <w:rPr>
                <w:rFonts w:hAnsi="宋体" w:cs="宋体" w:asciiTheme="minorHAnsi"/>
                <w:sz w:val="20"/>
                <w:szCs w:val="20"/>
              </w:rPr>
            </w:pPr>
            <w:r>
              <w:rPr>
                <w:rFonts w:hint="eastAsia" w:hAnsi="宋体" w:asciiTheme="minorHAnsi"/>
                <w:sz w:val="20"/>
                <w:szCs w:val="20"/>
              </w:rPr>
              <w:t>面料：布绒面料。</w:t>
            </w:r>
          </w:p>
          <w:p>
            <w:pPr>
              <w:jc w:val="left"/>
              <w:rPr>
                <w:rFonts w:hint="eastAsia" w:hAnsi="宋体" w:eastAsia="宋体" w:cs="宋体" w:asciiTheme="minorHAnsi"/>
                <w:sz w:val="20"/>
                <w:szCs w:val="20"/>
                <w:lang w:eastAsia="zh-CN"/>
              </w:rPr>
            </w:pPr>
            <w:r>
              <w:rPr>
                <w:rFonts w:hint="eastAsia" w:hAnsi="宋体" w:asciiTheme="minorHAnsi"/>
                <w:sz w:val="20"/>
                <w:szCs w:val="20"/>
              </w:rPr>
              <w:t>2、多层胶合板，甲醛释放量达到国家标准</w:t>
            </w:r>
            <w:r>
              <w:rPr>
                <w:rFonts w:hint="eastAsia" w:hAnsi="宋体" w:asciiTheme="minorHAnsi"/>
                <w:sz w:val="20"/>
                <w:szCs w:val="20"/>
                <w:lang w:eastAsia="zh-CN"/>
              </w:rPr>
              <w:t>。</w:t>
            </w:r>
          </w:p>
          <w:p>
            <w:pPr>
              <w:jc w:val="left"/>
              <w:rPr>
                <w:rFonts w:hAnsi="宋体" w:cs="宋体" w:asciiTheme="minorHAnsi"/>
                <w:sz w:val="20"/>
                <w:szCs w:val="20"/>
              </w:rPr>
            </w:pPr>
            <w:r>
              <w:rPr>
                <w:rFonts w:hint="eastAsia" w:hAnsi="宋体" w:asciiTheme="minorHAnsi"/>
                <w:sz w:val="20"/>
                <w:szCs w:val="20"/>
              </w:rPr>
              <w:t>3、内部填充物：采用阻燃海绵。</w:t>
            </w:r>
          </w:p>
          <w:p>
            <w:pPr>
              <w:jc w:val="left"/>
              <w:rPr>
                <w:rFonts w:hAnsi="宋体" w:cs="宋体" w:asciiTheme="minorHAnsi"/>
                <w:sz w:val="20"/>
                <w:szCs w:val="20"/>
              </w:rPr>
            </w:pPr>
            <w:r>
              <w:rPr>
                <w:rFonts w:hint="eastAsia" w:hAnsi="宋体" w:asciiTheme="minorHAnsi"/>
                <w:sz w:val="20"/>
                <w:szCs w:val="20"/>
              </w:rPr>
              <w:t>4、外架：选用实木架。</w:t>
            </w:r>
          </w:p>
          <w:p>
            <w:pPr>
              <w:jc w:val="left"/>
              <w:rPr>
                <w:rFonts w:hint="eastAsia" w:hAnsi="宋体" w:eastAsia="宋体" w:cs="宋体"/>
                <w:sz w:val="20"/>
                <w:szCs w:val="20"/>
                <w:lang w:eastAsia="zh-CN"/>
              </w:rPr>
            </w:pPr>
            <w:r>
              <w:rPr>
                <w:rFonts w:hint="eastAsia" w:hAnsi="宋体" w:asciiTheme="minorHAnsi"/>
                <w:sz w:val="20"/>
                <w:szCs w:val="20"/>
              </w:rPr>
              <w:t>5、水性漆：水性油漆，经UV工艺、达到国家级标准</w:t>
            </w:r>
            <w:r>
              <w:rPr>
                <w:rFonts w:hint="eastAsia" w:hAnsi="宋体" w:asciiTheme="minorHAnsi"/>
                <w:sz w:val="20"/>
                <w:szCs w:val="20"/>
                <w:lang w:eastAsia="zh-CN"/>
              </w:rPr>
              <w:t>。</w:t>
            </w:r>
          </w:p>
        </w:tc>
        <w:tc>
          <w:tcPr>
            <w:tcW w:w="695" w:type="dxa"/>
            <w:vAlign w:val="center"/>
          </w:tcPr>
          <w:p>
            <w:pPr>
              <w:jc w:val="center"/>
              <w:rPr>
                <w:rFonts w:hAnsi="宋体" w:cs="宋体"/>
                <w:sz w:val="20"/>
                <w:szCs w:val="20"/>
              </w:rPr>
            </w:pPr>
            <w:r>
              <w:rPr>
                <w:rFonts w:hint="eastAsia" w:asciiTheme="minorHAnsi"/>
                <w:sz w:val="20"/>
                <w:szCs w:val="20"/>
              </w:rPr>
              <w:t xml:space="preserve">16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4800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76800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示教室椅</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24535" cy="836930"/>
                  <wp:effectExtent l="0" t="0" r="5715" b="4445"/>
                  <wp:docPr id="140" name="图片 83" descr="https://wx.qq.com/cgi-bin/mmwebwx-bin/webwxgetmsgimg?MsgID=788475455864868027&amp;skey=@crypt_dfb930dc_43fd887268dd45d8271f6c11d367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3" descr="https://wx.qq.com/cgi-bin/mmwebwx-bin/webwxgetmsgimg?MsgID=788475455864868027&amp;skey=@crypt_dfb930dc_43fd887268dd45d8271f6c11d3671279"/>
                          <pic:cNvPicPr>
                            <a:picLocks noChangeAspect="1" noChangeArrowheads="1"/>
                          </pic:cNvPicPr>
                        </pic:nvPicPr>
                        <pic:blipFill>
                          <a:blip r:embed="rId29" cstate="print"/>
                          <a:srcRect/>
                          <a:stretch>
                            <a:fillRect/>
                          </a:stretch>
                        </pic:blipFill>
                        <pic:spPr>
                          <a:xfrm>
                            <a:off x="0" y="0"/>
                            <a:ext cx="724535" cy="83693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常规</w:t>
            </w:r>
          </w:p>
        </w:tc>
        <w:tc>
          <w:tcPr>
            <w:tcW w:w="3795" w:type="dxa"/>
            <w:vAlign w:val="center"/>
          </w:tcPr>
          <w:p>
            <w:pPr>
              <w:jc w:val="left"/>
              <w:rPr>
                <w:rFonts w:hAnsi="宋体" w:asciiTheme="minorHAnsi"/>
                <w:sz w:val="20"/>
                <w:szCs w:val="20"/>
              </w:rPr>
            </w:pPr>
            <w:r>
              <w:rPr>
                <w:rFonts w:hint="eastAsia" w:ascii="宋体" w:hAnsi="宋体"/>
                <w:sz w:val="20"/>
                <w:szCs w:val="20"/>
              </w:rPr>
              <w:t>1、</w:t>
            </w:r>
            <w:r>
              <w:rPr>
                <w:rFonts w:hint="eastAsia" w:hAnsi="宋体" w:asciiTheme="minorHAnsi"/>
                <w:sz w:val="20"/>
                <w:szCs w:val="20"/>
              </w:rPr>
              <w:t>面料：采用网椅阻燃面料</w:t>
            </w:r>
            <w:r>
              <w:rPr>
                <w:rFonts w:hint="eastAsia" w:hAnsi="宋体" w:asciiTheme="minorHAnsi"/>
                <w:b/>
                <w:bCs/>
                <w:sz w:val="20"/>
                <w:szCs w:val="20"/>
              </w:rPr>
              <w:t>。</w:t>
            </w:r>
          </w:p>
          <w:p>
            <w:pPr>
              <w:jc w:val="left"/>
              <w:rPr>
                <w:rFonts w:hAnsi="宋体" w:cs="宋体" w:asciiTheme="minorHAnsi"/>
                <w:sz w:val="20"/>
                <w:szCs w:val="20"/>
              </w:rPr>
            </w:pPr>
            <w:r>
              <w:rPr>
                <w:rFonts w:hint="eastAsia" w:hAnsi="宋体" w:asciiTheme="minorHAnsi"/>
                <w:sz w:val="20"/>
                <w:szCs w:val="20"/>
              </w:rPr>
              <w:t>2、海绵：采用阻燃海绵</w:t>
            </w:r>
            <w:r>
              <w:rPr>
                <w:rFonts w:hint="eastAsia" w:hAnsi="宋体" w:asciiTheme="minorHAnsi"/>
                <w:b/>
                <w:bCs/>
                <w:sz w:val="20"/>
                <w:szCs w:val="20"/>
              </w:rPr>
              <w:t>。</w:t>
            </w:r>
          </w:p>
          <w:p>
            <w:pPr>
              <w:jc w:val="left"/>
              <w:rPr>
                <w:rFonts w:hAnsi="宋体" w:cs="宋体" w:asciiTheme="minorHAnsi"/>
                <w:sz w:val="20"/>
                <w:szCs w:val="20"/>
              </w:rPr>
            </w:pPr>
            <w:r>
              <w:rPr>
                <w:rFonts w:hint="eastAsia" w:hAnsi="宋体" w:asciiTheme="minorHAnsi"/>
                <w:sz w:val="20"/>
                <w:szCs w:val="20"/>
              </w:rPr>
              <w:t>3、钢管脚架：壁厚≥2mm,直径≥28mm。</w:t>
            </w:r>
          </w:p>
          <w:p>
            <w:pPr>
              <w:jc w:val="left"/>
              <w:rPr>
                <w:rFonts w:hAnsi="宋体" w:cs="宋体"/>
                <w:sz w:val="20"/>
                <w:szCs w:val="20"/>
              </w:rPr>
            </w:pPr>
            <w:r>
              <w:rPr>
                <w:rFonts w:hint="eastAsia" w:hAnsi="宋体" w:asciiTheme="minorHAnsi"/>
                <w:sz w:val="20"/>
                <w:szCs w:val="20"/>
              </w:rPr>
              <w:t>4、座板：多层胶合板，产品甲醛释放量达到国家标准。</w:t>
            </w:r>
            <w:r>
              <w:rPr>
                <w:rFonts w:hAnsi="宋体" w:cs="宋体" w:asciiTheme="minorHAnsi"/>
                <w:sz w:val="20"/>
                <w:szCs w:val="20"/>
              </w:rPr>
              <w:t xml:space="preserve"> </w:t>
            </w:r>
          </w:p>
        </w:tc>
        <w:tc>
          <w:tcPr>
            <w:tcW w:w="695" w:type="dxa"/>
            <w:vAlign w:val="center"/>
          </w:tcPr>
          <w:p>
            <w:pPr>
              <w:jc w:val="center"/>
              <w:rPr>
                <w:rFonts w:hAnsi="宋体" w:cs="宋体"/>
                <w:sz w:val="20"/>
                <w:szCs w:val="20"/>
              </w:rPr>
            </w:pPr>
            <w:r>
              <w:rPr>
                <w:rFonts w:hint="eastAsia" w:asciiTheme="minorHAnsi"/>
                <w:sz w:val="20"/>
                <w:szCs w:val="20"/>
              </w:rPr>
              <w:t xml:space="preserve">320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550</w:t>
            </w:r>
          </w:p>
        </w:tc>
        <w:tc>
          <w:tcPr>
            <w:tcW w:w="551" w:type="dxa"/>
            <w:vAlign w:val="center"/>
          </w:tcPr>
          <w:p>
            <w:pPr>
              <w:jc w:val="center"/>
              <w:rPr>
                <w:rFonts w:hAnsi="宋体" w:cs="宋体"/>
                <w:sz w:val="20"/>
                <w:szCs w:val="20"/>
              </w:rPr>
            </w:pPr>
            <w:r>
              <w:rPr>
                <w:rFonts w:hint="eastAsia" w:asciiTheme="minorHAnsi"/>
                <w:sz w:val="20"/>
                <w:szCs w:val="20"/>
              </w:rPr>
              <w:t>把</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176000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4" w:type="dxa"/>
            <w:vAlign w:val="center"/>
          </w:tcPr>
          <w:p>
            <w:pPr>
              <w:jc w:val="center"/>
              <w:rPr>
                <w:rFonts w:hAnsi="宋体" w:cs="宋体"/>
                <w:sz w:val="20"/>
                <w:szCs w:val="20"/>
              </w:rPr>
            </w:pPr>
            <w:r>
              <w:rPr>
                <w:rFonts w:hint="eastAsia" w:asciiTheme="minorHAnsi"/>
                <w:sz w:val="20"/>
                <w:szCs w:val="20"/>
              </w:rPr>
              <w:t>示教室桌子</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58825" cy="517525"/>
                  <wp:effectExtent l="0" t="0" r="3175" b="6350"/>
                  <wp:docPr id="141" name="图片 82" descr="https://wx.qq.com/cgi-bin/mmwebwx-bin/webwxgetmsgimg?&amp;MsgID=2270145576722359908&amp;skey=%40crypt_dfb930dc_43fd887268dd45d8271f6c11d367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2" descr="https://wx.qq.com/cgi-bin/mmwebwx-bin/webwxgetmsgimg?&amp;MsgID=2270145576722359908&amp;skey=%40crypt_dfb930dc_43fd887268dd45d8271f6c11d3671279"/>
                          <pic:cNvPicPr>
                            <a:picLocks noChangeAspect="1" noChangeArrowheads="1"/>
                          </pic:cNvPicPr>
                        </pic:nvPicPr>
                        <pic:blipFill>
                          <a:blip r:embed="rId30" cstate="print"/>
                          <a:srcRect/>
                          <a:stretch>
                            <a:fillRect/>
                          </a:stretch>
                        </pic:blipFill>
                        <pic:spPr>
                          <a:xfrm>
                            <a:off x="0" y="0"/>
                            <a:ext cx="758825" cy="51752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1400*400*750</w:t>
            </w:r>
          </w:p>
        </w:tc>
        <w:tc>
          <w:tcPr>
            <w:tcW w:w="3795" w:type="dxa"/>
            <w:vAlign w:val="center"/>
          </w:tcPr>
          <w:p>
            <w:pPr>
              <w:numPr>
                <w:ilvl w:val="0"/>
                <w:numId w:val="49"/>
              </w:numPr>
              <w:ind w:left="0" w:firstLine="0"/>
              <w:jc w:val="left"/>
              <w:rPr>
                <w:rFonts w:hint="eastAsia" w:ascii="宋体" w:hAnsi="宋体" w:eastAsia="宋体" w:cs="宋体"/>
                <w:b w:val="0"/>
                <w:bCs w:val="0"/>
                <w:sz w:val="20"/>
                <w:szCs w:val="20"/>
              </w:rPr>
            </w:pPr>
            <w:r>
              <w:rPr>
                <w:rFonts w:hint="eastAsia" w:ascii="宋体" w:hAnsi="宋体" w:eastAsia="宋体" w:cs="宋体"/>
                <w:b w:val="0"/>
                <w:bCs w:val="0"/>
                <w:sz w:val="20"/>
                <w:szCs w:val="20"/>
              </w:rPr>
              <w:t>基材：桌面采用中密度纤维板，产品符合木家具有害物质限量标准要求。</w:t>
            </w:r>
          </w:p>
          <w:p>
            <w:pPr>
              <w:numPr>
                <w:ilvl w:val="0"/>
                <w:numId w:val="49"/>
              </w:numPr>
              <w:ind w:left="0" w:firstLine="0"/>
              <w:jc w:val="left"/>
              <w:rPr>
                <w:rFonts w:hint="eastAsia" w:ascii="宋体" w:hAnsi="宋体" w:eastAsia="宋体" w:cs="宋体"/>
                <w:b w:val="0"/>
                <w:bCs w:val="0"/>
                <w:sz w:val="20"/>
                <w:szCs w:val="20"/>
              </w:rPr>
            </w:pPr>
            <w:r>
              <w:rPr>
                <w:rFonts w:hint="eastAsia" w:ascii="宋体" w:hAnsi="宋体" w:eastAsia="宋体" w:cs="宋体"/>
                <w:b w:val="0"/>
                <w:bCs w:val="0"/>
                <w:sz w:val="20"/>
                <w:szCs w:val="20"/>
              </w:rPr>
              <w:t>贴面材料：三聚氰胺板，符合木家具有害物质限量标准要求。</w:t>
            </w:r>
          </w:p>
          <w:p>
            <w:pPr>
              <w:numPr>
                <w:ilvl w:val="0"/>
                <w:numId w:val="49"/>
              </w:numPr>
              <w:ind w:left="0" w:firstLine="0"/>
              <w:jc w:val="left"/>
              <w:rPr>
                <w:rFonts w:hint="eastAsia" w:ascii="宋体" w:hAnsi="宋体" w:eastAsia="宋体" w:cs="宋体"/>
                <w:b w:val="0"/>
                <w:bCs w:val="0"/>
                <w:sz w:val="20"/>
                <w:szCs w:val="20"/>
              </w:rPr>
            </w:pPr>
            <w:r>
              <w:rPr>
                <w:rFonts w:hint="eastAsia" w:ascii="宋体" w:hAnsi="宋体" w:eastAsia="宋体" w:cs="宋体"/>
                <w:b w:val="0"/>
                <w:bCs w:val="0"/>
                <w:sz w:val="20"/>
                <w:szCs w:val="20"/>
              </w:rPr>
              <w:t>封边条：采用2.0mm厚PVC封边。</w:t>
            </w:r>
          </w:p>
          <w:p>
            <w:pPr>
              <w:numPr>
                <w:ilvl w:val="0"/>
                <w:numId w:val="49"/>
              </w:numPr>
              <w:ind w:left="0" w:leftChars="0" w:firstLine="0" w:firstLineChars="0"/>
              <w:jc w:val="left"/>
              <w:rPr>
                <w:rFonts w:hAnsi="宋体"/>
                <w:sz w:val="20"/>
                <w:szCs w:val="20"/>
              </w:rPr>
            </w:pPr>
            <w:r>
              <w:rPr>
                <w:rFonts w:hint="eastAsia" w:ascii="宋体" w:hAnsi="宋体" w:eastAsia="宋体" w:cs="宋体"/>
                <w:b w:val="0"/>
                <w:bCs w:val="0"/>
                <w:sz w:val="20"/>
                <w:szCs w:val="20"/>
              </w:rPr>
              <w:t>配件：五金件连接不松动。</w:t>
            </w:r>
          </w:p>
        </w:tc>
        <w:tc>
          <w:tcPr>
            <w:tcW w:w="695" w:type="dxa"/>
            <w:vAlign w:val="center"/>
          </w:tcPr>
          <w:p>
            <w:pPr>
              <w:jc w:val="center"/>
              <w:rPr>
                <w:rFonts w:hAnsi="宋体" w:cs="宋体"/>
                <w:sz w:val="20"/>
                <w:szCs w:val="20"/>
              </w:rPr>
            </w:pPr>
            <w:r>
              <w:rPr>
                <w:rFonts w:hint="eastAsia" w:asciiTheme="minorHAnsi"/>
                <w:sz w:val="20"/>
                <w:szCs w:val="20"/>
              </w:rPr>
              <w:t xml:space="preserve">155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850</w:t>
            </w:r>
          </w:p>
        </w:tc>
        <w:tc>
          <w:tcPr>
            <w:tcW w:w="551" w:type="dxa"/>
            <w:vAlign w:val="center"/>
          </w:tcPr>
          <w:p>
            <w:pPr>
              <w:jc w:val="center"/>
              <w:rPr>
                <w:rFonts w:hAnsi="宋体" w:cs="宋体"/>
                <w:sz w:val="20"/>
                <w:szCs w:val="20"/>
              </w:rPr>
            </w:pPr>
            <w:r>
              <w:rPr>
                <w:rFonts w:hint="eastAsia" w:asciiTheme="minorHAnsi"/>
                <w:sz w:val="20"/>
                <w:szCs w:val="20"/>
              </w:rPr>
              <w:t>张</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131750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手术圆凳</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699770" cy="945515"/>
                  <wp:effectExtent l="0" t="0" r="14605" b="6985"/>
                  <wp:docPr id="14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1"/>
                          <pic:cNvPicPr>
                            <a:picLocks noChangeAspect="1" noChangeArrowheads="1"/>
                          </pic:cNvPicPr>
                        </pic:nvPicPr>
                        <pic:blipFill>
                          <a:blip r:embed="rId31" cstate="print"/>
                          <a:srcRect/>
                          <a:stretch>
                            <a:fillRect/>
                          </a:stretch>
                        </pic:blipFill>
                        <pic:spPr>
                          <a:xfrm>
                            <a:off x="0" y="0"/>
                            <a:ext cx="699770" cy="94551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常规</w:t>
            </w:r>
          </w:p>
        </w:tc>
        <w:tc>
          <w:tcPr>
            <w:tcW w:w="3795" w:type="dxa"/>
            <w:vAlign w:val="center"/>
          </w:tcPr>
          <w:p>
            <w:pPr>
              <w:numPr>
                <w:ilvl w:val="0"/>
                <w:numId w:val="50"/>
              </w:numPr>
              <w:ind w:left="0" w:firstLine="0"/>
              <w:jc w:val="left"/>
              <w:rPr>
                <w:rFonts w:hAnsi="宋体" w:asciiTheme="minorHAnsi"/>
                <w:sz w:val="20"/>
                <w:szCs w:val="20"/>
              </w:rPr>
            </w:pPr>
            <w:r>
              <w:rPr>
                <w:rFonts w:hint="eastAsia" w:hAnsi="宋体" w:asciiTheme="minorHAnsi"/>
                <w:sz w:val="20"/>
                <w:szCs w:val="20"/>
              </w:rPr>
              <w:t>不锈钢。</w:t>
            </w:r>
          </w:p>
          <w:p>
            <w:pPr>
              <w:numPr>
                <w:ilvl w:val="0"/>
                <w:numId w:val="50"/>
              </w:numPr>
              <w:ind w:left="0" w:leftChars="0" w:firstLine="0" w:firstLineChars="0"/>
              <w:jc w:val="left"/>
              <w:rPr>
                <w:rFonts w:hAnsi="宋体" w:cs="宋体"/>
                <w:sz w:val="20"/>
                <w:szCs w:val="20"/>
              </w:rPr>
            </w:pPr>
            <w:r>
              <w:rPr>
                <w:rFonts w:hint="eastAsia" w:hAnsi="宋体" w:asciiTheme="minorHAnsi"/>
                <w:sz w:val="20"/>
                <w:szCs w:val="20"/>
              </w:rPr>
              <w:t>脚垫：选用尼龙脚垫。</w:t>
            </w:r>
          </w:p>
        </w:tc>
        <w:tc>
          <w:tcPr>
            <w:tcW w:w="695" w:type="dxa"/>
            <w:vAlign w:val="center"/>
          </w:tcPr>
          <w:p>
            <w:pPr>
              <w:jc w:val="center"/>
              <w:rPr>
                <w:rFonts w:hAnsi="宋体" w:cs="宋体"/>
                <w:sz w:val="20"/>
                <w:szCs w:val="20"/>
              </w:rPr>
            </w:pPr>
            <w:r>
              <w:rPr>
                <w:rFonts w:hint="eastAsia" w:asciiTheme="minorHAnsi"/>
                <w:sz w:val="20"/>
                <w:szCs w:val="20"/>
              </w:rPr>
              <w:t xml:space="preserve">44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290</w:t>
            </w:r>
          </w:p>
        </w:tc>
        <w:tc>
          <w:tcPr>
            <w:tcW w:w="551" w:type="dxa"/>
            <w:vAlign w:val="center"/>
          </w:tcPr>
          <w:p>
            <w:pPr>
              <w:jc w:val="center"/>
              <w:rPr>
                <w:rFonts w:hAnsi="宋体" w:cs="宋体"/>
                <w:sz w:val="20"/>
                <w:szCs w:val="20"/>
              </w:rPr>
            </w:pPr>
            <w:r>
              <w:rPr>
                <w:rFonts w:hint="eastAsia" w:asciiTheme="minorHAnsi"/>
                <w:sz w:val="20"/>
                <w:szCs w:val="20"/>
              </w:rPr>
              <w:t>把</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12760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4" w:type="dxa"/>
            <w:vAlign w:val="center"/>
          </w:tcPr>
          <w:p>
            <w:pPr>
              <w:jc w:val="center"/>
              <w:rPr>
                <w:rFonts w:hAnsi="宋体" w:cs="宋体"/>
                <w:sz w:val="20"/>
                <w:szCs w:val="20"/>
              </w:rPr>
            </w:pPr>
            <w:r>
              <w:rPr>
                <w:rFonts w:hint="eastAsia" w:asciiTheme="minorHAnsi"/>
                <w:sz w:val="20"/>
                <w:szCs w:val="20"/>
              </w:rPr>
              <w:t>踏脚凳</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880110" cy="905510"/>
                  <wp:effectExtent l="0" t="0" r="8890" b="15240"/>
                  <wp:docPr id="143" name="图片 80" descr="https://wx.qq.com/cgi-bin/mmwebwx-bin/webwxgetmsgimg?&amp;MsgID=3763938934492405474&amp;skey=%40crypt_dfb930dc_43fd887268dd45d8271f6c11d367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0" descr="https://wx.qq.com/cgi-bin/mmwebwx-bin/webwxgetmsgimg?&amp;MsgID=3763938934492405474&amp;skey=%40crypt_dfb930dc_43fd887268dd45d8271f6c11d3671279"/>
                          <pic:cNvPicPr>
                            <a:picLocks noChangeAspect="1" noChangeArrowheads="1"/>
                          </pic:cNvPicPr>
                        </pic:nvPicPr>
                        <pic:blipFill>
                          <a:blip r:embed="rId32" cstate="print"/>
                          <a:srcRect/>
                          <a:stretch>
                            <a:fillRect/>
                          </a:stretch>
                        </pic:blipFill>
                        <pic:spPr>
                          <a:xfrm>
                            <a:off x="0" y="0"/>
                            <a:ext cx="880110" cy="90551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常规</w:t>
            </w:r>
          </w:p>
        </w:tc>
        <w:tc>
          <w:tcPr>
            <w:tcW w:w="3795" w:type="dxa"/>
            <w:vAlign w:val="center"/>
          </w:tcPr>
          <w:p>
            <w:pPr>
              <w:numPr>
                <w:ilvl w:val="0"/>
                <w:numId w:val="51"/>
              </w:numPr>
              <w:ind w:left="0" w:firstLine="0"/>
              <w:jc w:val="left"/>
              <w:rPr>
                <w:rFonts w:hAnsi="宋体" w:asciiTheme="minorHAnsi"/>
                <w:sz w:val="20"/>
                <w:szCs w:val="20"/>
              </w:rPr>
            </w:pPr>
            <w:r>
              <w:rPr>
                <w:rFonts w:hint="eastAsia" w:hAnsi="宋体" w:asciiTheme="minorHAnsi"/>
                <w:sz w:val="20"/>
                <w:szCs w:val="20"/>
              </w:rPr>
              <w:t xml:space="preserve">钢材选用冷轧钢板，钢板裸厚不低于0.8mm。 </w:t>
            </w:r>
          </w:p>
          <w:p>
            <w:pPr>
              <w:numPr>
                <w:ilvl w:val="0"/>
                <w:numId w:val="51"/>
              </w:numPr>
              <w:ind w:left="0" w:firstLine="0"/>
              <w:jc w:val="left"/>
              <w:rPr>
                <w:rFonts w:hAnsi="宋体" w:asciiTheme="minorHAnsi"/>
                <w:sz w:val="20"/>
                <w:szCs w:val="20"/>
              </w:rPr>
            </w:pPr>
            <w:r>
              <w:rPr>
                <w:rFonts w:hint="eastAsia" w:hAnsi="宋体" w:asciiTheme="minorHAnsi"/>
                <w:sz w:val="20"/>
                <w:szCs w:val="20"/>
              </w:rPr>
              <w:t xml:space="preserve">钢板表面处理工艺：表面处理采用乳化剂和碱性助洗脱脂、磷酸除锈、锌系薄膜型磷化、钝化，最后利用静电科技使粉沫涂料平均喷涂于钢板工件上。 </w:t>
            </w:r>
          </w:p>
          <w:p>
            <w:pPr>
              <w:numPr>
                <w:ilvl w:val="0"/>
                <w:numId w:val="51"/>
              </w:numPr>
              <w:ind w:left="0" w:leftChars="0" w:firstLine="0" w:firstLineChars="0"/>
              <w:jc w:val="left"/>
              <w:rPr>
                <w:rFonts w:hAnsi="宋体" w:cs="宋体"/>
                <w:sz w:val="20"/>
                <w:szCs w:val="20"/>
              </w:rPr>
            </w:pPr>
            <w:r>
              <w:rPr>
                <w:rFonts w:hint="eastAsia" w:hAnsi="宋体" w:asciiTheme="minorHAnsi"/>
                <w:sz w:val="20"/>
                <w:szCs w:val="20"/>
              </w:rPr>
              <w:t>喷涂材料选用粉末涂料。</w:t>
            </w:r>
          </w:p>
        </w:tc>
        <w:tc>
          <w:tcPr>
            <w:tcW w:w="695" w:type="dxa"/>
            <w:vAlign w:val="center"/>
          </w:tcPr>
          <w:p>
            <w:pPr>
              <w:jc w:val="center"/>
              <w:rPr>
                <w:rFonts w:hAnsi="宋体" w:cs="宋体"/>
                <w:sz w:val="20"/>
                <w:szCs w:val="20"/>
              </w:rPr>
            </w:pPr>
            <w:r>
              <w:rPr>
                <w:rFonts w:hint="eastAsia" w:asciiTheme="minorHAnsi"/>
                <w:sz w:val="20"/>
                <w:szCs w:val="20"/>
              </w:rPr>
              <w:t xml:space="preserve">11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500</w:t>
            </w:r>
          </w:p>
        </w:tc>
        <w:tc>
          <w:tcPr>
            <w:tcW w:w="551" w:type="dxa"/>
            <w:vAlign w:val="center"/>
          </w:tcPr>
          <w:p>
            <w:pPr>
              <w:jc w:val="center"/>
              <w:rPr>
                <w:rFonts w:hAnsi="宋体" w:cs="宋体"/>
                <w:sz w:val="20"/>
                <w:szCs w:val="20"/>
              </w:rPr>
            </w:pPr>
            <w:r>
              <w:rPr>
                <w:rFonts w:hint="eastAsia" w:asciiTheme="minorHAnsi"/>
                <w:sz w:val="20"/>
                <w:szCs w:val="20"/>
              </w:rPr>
              <w:t>把</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34" w:type="dxa"/>
            <w:vAlign w:val="center"/>
          </w:tcPr>
          <w:p>
            <w:pPr>
              <w:jc w:val="center"/>
              <w:rPr>
                <w:rFonts w:hAnsi="宋体" w:cs="宋体"/>
                <w:sz w:val="20"/>
                <w:szCs w:val="20"/>
              </w:rPr>
            </w:pPr>
            <w:r>
              <w:rPr>
                <w:rFonts w:hint="eastAsia" w:asciiTheme="minorHAnsi"/>
                <w:sz w:val="20"/>
                <w:szCs w:val="20"/>
              </w:rPr>
              <w:t>躺椅</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888365" cy="897255"/>
                  <wp:effectExtent l="0" t="0" r="635" b="7620"/>
                  <wp:docPr id="14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9"/>
                          <pic:cNvPicPr>
                            <a:picLocks noChangeAspect="1" noChangeArrowheads="1"/>
                          </pic:cNvPicPr>
                        </pic:nvPicPr>
                        <pic:blipFill>
                          <a:blip r:embed="rId33" cstate="print"/>
                          <a:srcRect/>
                          <a:stretch>
                            <a:fillRect/>
                          </a:stretch>
                        </pic:blipFill>
                        <pic:spPr>
                          <a:xfrm>
                            <a:off x="0" y="0"/>
                            <a:ext cx="888365" cy="897255"/>
                          </a:xfrm>
                          <a:prstGeom prst="rect">
                            <a:avLst/>
                          </a:prstGeom>
                          <a:noFill/>
                          <a:ln w="9525" cmpd="sng">
                            <a:noFill/>
                            <a:miter lim="800000"/>
                            <a:headEnd/>
                            <a:tailEnd/>
                          </a:ln>
                        </pic:spPr>
                      </pic:pic>
                    </a:graphicData>
                  </a:graphic>
                </wp:inline>
              </w:drawing>
            </w:r>
          </w:p>
        </w:tc>
        <w:tc>
          <w:tcPr>
            <w:tcW w:w="1108" w:type="dxa"/>
            <w:vAlign w:val="center"/>
          </w:tcPr>
          <w:p>
            <w:pPr>
              <w:jc w:val="center"/>
              <w:rPr>
                <w:rFonts w:hint="eastAsia" w:ascii="宋体" w:hAnsi="宋体" w:eastAsia="宋体" w:cs="宋体"/>
                <w:sz w:val="20"/>
                <w:szCs w:val="20"/>
              </w:rPr>
            </w:pPr>
            <w:r>
              <w:rPr>
                <w:rFonts w:hint="eastAsia" w:ascii="宋体" w:hAnsi="宋体" w:eastAsia="宋体" w:cs="宋体"/>
                <w:sz w:val="20"/>
                <w:szCs w:val="20"/>
              </w:rPr>
              <w:t>常规</w:t>
            </w:r>
          </w:p>
        </w:tc>
        <w:tc>
          <w:tcPr>
            <w:tcW w:w="3795" w:type="dxa"/>
            <w:vAlign w:val="center"/>
          </w:tcPr>
          <w:p>
            <w:pPr>
              <w:numPr>
                <w:ilvl w:val="0"/>
                <w:numId w:val="52"/>
              </w:numPr>
              <w:ind w:left="0" w:firstLine="0"/>
              <w:jc w:val="left"/>
              <w:rPr>
                <w:rFonts w:hint="eastAsia" w:ascii="宋体" w:hAnsi="宋体" w:eastAsia="宋体" w:cs="宋体"/>
                <w:sz w:val="20"/>
                <w:szCs w:val="20"/>
              </w:rPr>
            </w:pPr>
            <w:r>
              <w:rPr>
                <w:rFonts w:hint="eastAsia" w:ascii="宋体" w:hAnsi="宋体" w:eastAsia="宋体" w:cs="宋体"/>
                <w:sz w:val="20"/>
                <w:szCs w:val="20"/>
              </w:rPr>
              <w:t>面料：布绒面料。</w:t>
            </w:r>
          </w:p>
          <w:p>
            <w:pPr>
              <w:numPr>
                <w:ilvl w:val="0"/>
                <w:numId w:val="52"/>
              </w:numPr>
              <w:ind w:left="0" w:firstLine="0"/>
              <w:jc w:val="left"/>
              <w:rPr>
                <w:rFonts w:hint="eastAsia" w:ascii="宋体" w:hAnsi="宋体" w:eastAsia="宋体" w:cs="宋体"/>
                <w:sz w:val="20"/>
                <w:szCs w:val="20"/>
              </w:rPr>
            </w:pPr>
            <w:r>
              <w:rPr>
                <w:rFonts w:hint="eastAsia" w:ascii="宋体" w:hAnsi="宋体" w:eastAsia="宋体" w:cs="宋体"/>
                <w:sz w:val="20"/>
                <w:szCs w:val="20"/>
              </w:rPr>
              <w:t>多层胶合板</w:t>
            </w:r>
            <w:r>
              <w:rPr>
                <w:rFonts w:hint="eastAsia" w:ascii="宋体" w:hAnsi="宋体" w:eastAsia="宋体" w:cs="宋体"/>
                <w:bCs/>
                <w:sz w:val="20"/>
                <w:szCs w:val="20"/>
              </w:rPr>
              <w:t>。</w:t>
            </w:r>
          </w:p>
          <w:p>
            <w:pPr>
              <w:numPr>
                <w:ilvl w:val="0"/>
                <w:numId w:val="52"/>
              </w:numPr>
              <w:ind w:left="0" w:firstLine="0"/>
              <w:jc w:val="left"/>
              <w:rPr>
                <w:rFonts w:hint="eastAsia" w:ascii="宋体" w:hAnsi="宋体" w:eastAsia="宋体" w:cs="宋体"/>
                <w:sz w:val="20"/>
                <w:szCs w:val="20"/>
              </w:rPr>
            </w:pPr>
            <w:r>
              <w:rPr>
                <w:rFonts w:hint="eastAsia" w:ascii="宋体" w:hAnsi="宋体" w:eastAsia="宋体" w:cs="宋体"/>
                <w:sz w:val="20"/>
                <w:szCs w:val="20"/>
              </w:rPr>
              <w:t>内部填充物：海绵：采用阻燃海绵</w:t>
            </w:r>
            <w:r>
              <w:rPr>
                <w:rFonts w:hint="eastAsia" w:ascii="宋体" w:hAnsi="宋体" w:eastAsia="宋体" w:cs="宋体"/>
                <w:b/>
                <w:bCs/>
                <w:sz w:val="20"/>
                <w:szCs w:val="20"/>
              </w:rPr>
              <w:t>。</w:t>
            </w:r>
          </w:p>
          <w:p>
            <w:pPr>
              <w:numPr>
                <w:ilvl w:val="0"/>
                <w:numId w:val="52"/>
              </w:numPr>
              <w:ind w:left="0" w:firstLine="0"/>
              <w:jc w:val="left"/>
              <w:rPr>
                <w:rFonts w:hint="eastAsia" w:ascii="宋体" w:hAnsi="宋体" w:eastAsia="宋体" w:cs="宋体"/>
                <w:sz w:val="20"/>
                <w:szCs w:val="20"/>
              </w:rPr>
            </w:pPr>
            <w:r>
              <w:rPr>
                <w:rFonts w:hint="eastAsia" w:ascii="宋体" w:hAnsi="宋体" w:eastAsia="宋体" w:cs="宋体"/>
                <w:sz w:val="20"/>
                <w:szCs w:val="20"/>
              </w:rPr>
              <w:t>外架：选用实木架。</w:t>
            </w:r>
          </w:p>
          <w:p>
            <w:pPr>
              <w:numPr>
                <w:ilvl w:val="0"/>
                <w:numId w:val="52"/>
              </w:numPr>
              <w:ind w:left="0" w:leftChars="0" w:firstLine="0" w:firstLineChars="0"/>
              <w:jc w:val="left"/>
              <w:rPr>
                <w:rFonts w:hint="eastAsia" w:ascii="宋体" w:hAnsi="宋体" w:eastAsia="宋体" w:cs="宋体"/>
                <w:sz w:val="20"/>
                <w:szCs w:val="20"/>
              </w:rPr>
            </w:pPr>
            <w:r>
              <w:rPr>
                <w:rFonts w:hint="eastAsia" w:ascii="宋体" w:hAnsi="宋体" w:eastAsia="宋体" w:cs="宋体"/>
                <w:sz w:val="20"/>
                <w:szCs w:val="20"/>
              </w:rPr>
              <w:t>水性漆：水性油漆，经UV工艺、五底四面涂装而成，涂装时间迅速，漆膜的外观理化性光洁高度，硬度达到2H，指标达到国家标准</w:t>
            </w:r>
            <w:r>
              <w:rPr>
                <w:rFonts w:hint="eastAsia" w:ascii="宋体" w:hAnsi="宋体" w:eastAsia="宋体" w:cs="宋体"/>
                <w:b w:val="0"/>
                <w:bCs w:val="0"/>
                <w:sz w:val="20"/>
                <w:szCs w:val="20"/>
              </w:rPr>
              <w:t>。</w:t>
            </w:r>
          </w:p>
        </w:tc>
        <w:tc>
          <w:tcPr>
            <w:tcW w:w="695" w:type="dxa"/>
            <w:vAlign w:val="center"/>
          </w:tcPr>
          <w:p>
            <w:pPr>
              <w:jc w:val="center"/>
              <w:rPr>
                <w:rFonts w:hAnsi="宋体" w:cs="宋体"/>
                <w:sz w:val="20"/>
                <w:szCs w:val="20"/>
              </w:rPr>
            </w:pPr>
            <w:r>
              <w:rPr>
                <w:rFonts w:hint="eastAsia" w:asciiTheme="minorHAnsi"/>
                <w:sz w:val="20"/>
                <w:szCs w:val="20"/>
              </w:rPr>
              <w:t xml:space="preserve">2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600</w:t>
            </w:r>
          </w:p>
        </w:tc>
        <w:tc>
          <w:tcPr>
            <w:tcW w:w="551" w:type="dxa"/>
            <w:vAlign w:val="center"/>
          </w:tcPr>
          <w:p>
            <w:pPr>
              <w:jc w:val="center"/>
              <w:rPr>
                <w:rFonts w:hAnsi="宋体" w:cs="宋体"/>
                <w:sz w:val="20"/>
                <w:szCs w:val="20"/>
              </w:rPr>
            </w:pPr>
            <w:r>
              <w:rPr>
                <w:rFonts w:hint="eastAsia" w:asciiTheme="minorHAnsi"/>
                <w:sz w:val="20"/>
                <w:szCs w:val="20"/>
              </w:rPr>
              <w:t>把</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调剂台</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802005" cy="793750"/>
                  <wp:effectExtent l="0" t="0" r="7620" b="0"/>
                  <wp:docPr id="1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8"/>
                          <pic:cNvPicPr>
                            <a:picLocks noChangeAspect="1" noChangeArrowheads="1"/>
                          </pic:cNvPicPr>
                        </pic:nvPicPr>
                        <pic:blipFill>
                          <a:blip r:embed="rId34" cstate="print"/>
                          <a:srcRect/>
                          <a:stretch>
                            <a:fillRect/>
                          </a:stretch>
                        </pic:blipFill>
                        <pic:spPr>
                          <a:xfrm>
                            <a:off x="0" y="0"/>
                            <a:ext cx="802005" cy="79375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1600*1500*1800</w:t>
            </w:r>
          </w:p>
        </w:tc>
        <w:tc>
          <w:tcPr>
            <w:tcW w:w="3795" w:type="dxa"/>
            <w:vAlign w:val="center"/>
          </w:tcPr>
          <w:p>
            <w:pPr>
              <w:jc w:val="left"/>
              <w:rPr>
                <w:rFonts w:hAnsi="宋体" w:cs="宋体" w:asciiTheme="minorHAnsi"/>
                <w:sz w:val="20"/>
                <w:szCs w:val="20"/>
              </w:rPr>
            </w:pPr>
            <w:r>
              <w:rPr>
                <w:rFonts w:hint="eastAsia" w:ascii="宋体" w:hAnsi="宋体"/>
                <w:bCs/>
                <w:sz w:val="20"/>
                <w:szCs w:val="20"/>
              </w:rPr>
              <w:t>1、</w:t>
            </w:r>
            <w:r>
              <w:rPr>
                <w:rFonts w:hint="eastAsia" w:hAnsi="宋体" w:asciiTheme="minorHAnsi"/>
                <w:sz w:val="20"/>
                <w:szCs w:val="20"/>
              </w:rPr>
              <w:t>基材：桌面采用中密度纤维板，产品符合木家具有害物质限量标准要求。</w:t>
            </w:r>
          </w:p>
          <w:p>
            <w:pPr>
              <w:jc w:val="left"/>
              <w:rPr>
                <w:rFonts w:hAnsi="宋体" w:cs="宋体" w:asciiTheme="minorHAnsi"/>
                <w:sz w:val="20"/>
                <w:szCs w:val="20"/>
              </w:rPr>
            </w:pPr>
            <w:r>
              <w:rPr>
                <w:rFonts w:hint="eastAsia" w:hAnsi="宋体" w:asciiTheme="minorHAnsi"/>
                <w:sz w:val="20"/>
                <w:szCs w:val="20"/>
              </w:rPr>
              <w:t>2、贴面材料：三聚氰胺板，产品符合木家具有害物质限量标准要求</w:t>
            </w:r>
            <w:r>
              <w:rPr>
                <w:rFonts w:hint="eastAsia" w:hAnsi="宋体" w:asciiTheme="minorHAnsi"/>
                <w:b w:val="0"/>
                <w:bCs w:val="0"/>
                <w:sz w:val="20"/>
                <w:szCs w:val="20"/>
              </w:rPr>
              <w:t>。</w:t>
            </w:r>
          </w:p>
          <w:p>
            <w:pPr>
              <w:jc w:val="left"/>
              <w:rPr>
                <w:rFonts w:hint="eastAsia" w:hAnsi="宋体" w:eastAsia="宋体" w:cs="宋体" w:asciiTheme="minorHAnsi"/>
                <w:sz w:val="20"/>
                <w:szCs w:val="20"/>
                <w:lang w:eastAsia="zh-CN"/>
              </w:rPr>
            </w:pPr>
            <w:r>
              <w:rPr>
                <w:rFonts w:hint="eastAsia" w:hAnsi="宋体" w:asciiTheme="minorHAnsi"/>
                <w:sz w:val="20"/>
                <w:szCs w:val="20"/>
              </w:rPr>
              <w:t>3、封边条：采用2.0mm厚PVC封边</w:t>
            </w:r>
            <w:r>
              <w:rPr>
                <w:rFonts w:hint="eastAsia" w:hAnsi="宋体" w:asciiTheme="minorHAnsi"/>
                <w:sz w:val="20"/>
                <w:szCs w:val="20"/>
                <w:lang w:eastAsia="zh-CN"/>
              </w:rPr>
              <w:t>。</w:t>
            </w:r>
          </w:p>
          <w:p>
            <w:pPr>
              <w:jc w:val="left"/>
              <w:rPr>
                <w:rFonts w:hAnsi="宋体" w:cs="宋体"/>
                <w:sz w:val="20"/>
                <w:szCs w:val="20"/>
              </w:rPr>
            </w:pPr>
            <w:r>
              <w:rPr>
                <w:rFonts w:hint="eastAsia" w:ascii="宋体" w:hAnsi="宋体"/>
                <w:sz w:val="20"/>
                <w:szCs w:val="20"/>
              </w:rPr>
              <w:t>4、</w:t>
            </w:r>
            <w:r>
              <w:rPr>
                <w:rFonts w:hint="eastAsia" w:hAnsi="宋体" w:asciiTheme="minorHAnsi"/>
                <w:sz w:val="20"/>
                <w:szCs w:val="20"/>
              </w:rPr>
              <w:t>配件：五金件连接不松动。</w:t>
            </w:r>
          </w:p>
        </w:tc>
        <w:tc>
          <w:tcPr>
            <w:tcW w:w="695" w:type="dxa"/>
            <w:vAlign w:val="center"/>
          </w:tcPr>
          <w:p>
            <w:pPr>
              <w:jc w:val="center"/>
              <w:rPr>
                <w:rFonts w:hAnsi="宋体" w:cs="宋体"/>
                <w:sz w:val="20"/>
                <w:szCs w:val="20"/>
              </w:rPr>
            </w:pPr>
            <w:r>
              <w:rPr>
                <w:rFonts w:hint="eastAsia" w:asciiTheme="minorHAnsi"/>
                <w:sz w:val="20"/>
                <w:szCs w:val="20"/>
              </w:rPr>
              <w:t xml:space="preserve">4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1500</w:t>
            </w:r>
          </w:p>
        </w:tc>
        <w:tc>
          <w:tcPr>
            <w:tcW w:w="551" w:type="dxa"/>
            <w:vAlign w:val="center"/>
          </w:tcPr>
          <w:p>
            <w:pPr>
              <w:jc w:val="center"/>
              <w:rPr>
                <w:rFonts w:hAnsi="宋体" w:cs="宋体"/>
                <w:sz w:val="20"/>
                <w:szCs w:val="20"/>
              </w:rPr>
            </w:pPr>
            <w:r>
              <w:rPr>
                <w:rFonts w:hint="eastAsia" w:asciiTheme="minorHAnsi"/>
                <w:sz w:val="20"/>
                <w:szCs w:val="20"/>
              </w:rPr>
              <w:t>张</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Align w:val="center"/>
          </w:tcPr>
          <w:p>
            <w:pPr>
              <w:jc w:val="center"/>
              <w:rPr>
                <w:rFonts w:hAnsi="宋体" w:cs="宋体"/>
                <w:sz w:val="20"/>
                <w:szCs w:val="20"/>
              </w:rPr>
            </w:pPr>
            <w:r>
              <w:rPr>
                <w:rFonts w:hint="eastAsia" w:asciiTheme="minorHAnsi"/>
                <w:sz w:val="20"/>
                <w:szCs w:val="20"/>
              </w:rPr>
              <w:t>文件柜</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93750" cy="1509395"/>
                  <wp:effectExtent l="0" t="0" r="0" b="14605"/>
                  <wp:docPr id="14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7"/>
                          <pic:cNvPicPr>
                            <a:picLocks noChangeAspect="1" noChangeArrowheads="1"/>
                          </pic:cNvPicPr>
                        </pic:nvPicPr>
                        <pic:blipFill>
                          <a:blip r:embed="rId35" cstate="print"/>
                          <a:srcRect/>
                          <a:stretch>
                            <a:fillRect/>
                          </a:stretch>
                        </pic:blipFill>
                        <pic:spPr>
                          <a:xfrm>
                            <a:off x="0" y="0"/>
                            <a:ext cx="793750" cy="150939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900*400*1800</w:t>
            </w:r>
          </w:p>
        </w:tc>
        <w:tc>
          <w:tcPr>
            <w:tcW w:w="3795" w:type="dxa"/>
            <w:vAlign w:val="top"/>
          </w:tcPr>
          <w:p>
            <w:pPr>
              <w:rPr>
                <w:rFonts w:hAnsi="宋体" w:cs="仿宋_GB2312" w:asciiTheme="minorHAnsi"/>
                <w:sz w:val="20"/>
                <w:szCs w:val="20"/>
              </w:rPr>
            </w:pPr>
            <w:r>
              <w:rPr>
                <w:rFonts w:hint="eastAsia" w:hAnsi="宋体" w:cs="仿宋_GB2312" w:asciiTheme="minorHAnsi"/>
                <w:sz w:val="20"/>
                <w:szCs w:val="20"/>
              </w:rPr>
              <w:t>1、产品采用冷轧钢板；材料厚度：门板0.8mm，侧板0.7mm，其他0.6mm冷轧钢板. 钢板经预脱脂-脱脂-水洗-酸洗-水洗-中和-表调-皮膜-水洗-钝化等表面处理工艺。选用塑粉，</w:t>
            </w:r>
            <w:r>
              <w:rPr>
                <w:rFonts w:hint="eastAsia" w:hAnsi="宋体" w:asciiTheme="minorHAnsi"/>
                <w:sz w:val="20"/>
                <w:szCs w:val="20"/>
              </w:rPr>
              <w:t>塑粉：检测合格。</w:t>
            </w:r>
          </w:p>
          <w:p>
            <w:pPr>
              <w:rPr>
                <w:rFonts w:hAnsi="宋体" w:cs="仿宋_GB2312" w:asciiTheme="minorHAnsi"/>
                <w:sz w:val="20"/>
                <w:szCs w:val="20"/>
              </w:rPr>
            </w:pPr>
            <w:r>
              <w:rPr>
                <w:rFonts w:hint="eastAsia" w:hAnsi="宋体" w:cs="仿宋_GB2312" w:asciiTheme="minorHAnsi"/>
                <w:sz w:val="20"/>
                <w:szCs w:val="20"/>
              </w:rPr>
              <w:t>2、表面喷塑处理：静电喷塑；</w:t>
            </w:r>
          </w:p>
          <w:p>
            <w:pPr>
              <w:rPr>
                <w:rFonts w:hint="eastAsia" w:hAnsi="宋体" w:cs="仿宋_GB2312" w:asciiTheme="minorHAnsi"/>
                <w:sz w:val="20"/>
                <w:szCs w:val="20"/>
              </w:rPr>
            </w:pPr>
            <w:r>
              <w:rPr>
                <w:rFonts w:hint="eastAsia" w:hAnsi="宋体" w:cs="仿宋_GB2312" w:asciiTheme="minorHAnsi"/>
                <w:sz w:val="20"/>
                <w:szCs w:val="20"/>
              </w:rPr>
              <w:t>3、玻门内1张隔板，铁门内2张隔板，隔板具备可上下调节的功能，调节间距≤20mm，客户可根据使用情况调整上下距离，隔板配置两条750mm±10mm*15mm双头圆弧过渡条形压型加强，增加承重能力；隔板底部配置辊压成形加强筋，加强筋底面一条R6半圆通筋，两侧面各配置一条R1.6半圆通筋，与隔板焊接后提升隔板强度；尺寸如图，增加承重能力。</w:t>
            </w:r>
          </w:p>
          <w:p>
            <w:pPr>
              <w:pStyle w:val="2"/>
            </w:pPr>
          </w:p>
          <w:p>
            <w:pPr>
              <w:rPr>
                <w:rFonts w:hAnsi="宋体" w:asciiTheme="minorHAnsi"/>
                <w:sz w:val="20"/>
                <w:szCs w:val="20"/>
              </w:rPr>
            </w:pPr>
            <w:r>
              <w:rPr>
                <w:rFonts w:hint="eastAsia" w:hAnsi="宋体" w:asciiTheme="minorHAnsi"/>
                <w:sz w:val="20"/>
                <w:szCs w:val="20"/>
              </w:rPr>
              <w:t>隔板加强筋</w:t>
            </w:r>
          </w:p>
          <w:p>
            <w:r>
              <w:rPr>
                <w:rFonts w:asciiTheme="minorHAnsi"/>
                <w:sz w:val="20"/>
                <w:szCs w:val="20"/>
              </w:rPr>
              <w:drawing>
                <wp:inline distT="0" distB="0" distL="0" distR="0">
                  <wp:extent cx="2393315" cy="1069340"/>
                  <wp:effectExtent l="0" t="0" r="3810" b="10160"/>
                  <wp:docPr id="14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6"/>
                          <pic:cNvPicPr>
                            <a:picLocks noChangeAspect="1" noChangeArrowheads="1"/>
                          </pic:cNvPicPr>
                        </pic:nvPicPr>
                        <pic:blipFill>
                          <a:blip r:embed="rId36" cstate="print"/>
                          <a:srcRect r="7533" b="27907"/>
                          <a:stretch>
                            <a:fillRect/>
                          </a:stretch>
                        </pic:blipFill>
                        <pic:spPr>
                          <a:xfrm>
                            <a:off x="0" y="0"/>
                            <a:ext cx="2393315" cy="1069340"/>
                          </a:xfrm>
                          <a:prstGeom prst="rect">
                            <a:avLst/>
                          </a:prstGeom>
                          <a:noFill/>
                          <a:ln w="9525" cmpd="sng">
                            <a:noFill/>
                            <a:miter lim="800000"/>
                            <a:headEnd/>
                            <a:tailEnd/>
                          </a:ln>
                        </pic:spPr>
                      </pic:pic>
                    </a:graphicData>
                  </a:graphic>
                </wp:inline>
              </w:drawing>
            </w:r>
          </w:p>
          <w:p>
            <w:pPr>
              <w:rPr>
                <w:rFonts w:asciiTheme="minorHAnsi"/>
                <w:sz w:val="20"/>
                <w:szCs w:val="20"/>
              </w:rPr>
            </w:pPr>
          </w:p>
          <w:p>
            <w:pPr>
              <w:rPr>
                <w:rFonts w:asciiTheme="minorHAnsi"/>
                <w:sz w:val="20"/>
                <w:szCs w:val="20"/>
              </w:rPr>
            </w:pPr>
            <w:r>
              <w:rPr>
                <w:rFonts w:asciiTheme="minorHAnsi"/>
                <w:sz w:val="20"/>
                <w:szCs w:val="20"/>
              </w:rPr>
              <w:drawing>
                <wp:inline distT="0" distB="0" distL="0" distR="0">
                  <wp:extent cx="1918335" cy="1119505"/>
                  <wp:effectExtent l="0" t="0" r="2540" b="7620"/>
                  <wp:docPr id="14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5"/>
                          <pic:cNvPicPr>
                            <a:picLocks noChangeAspect="1" noChangeArrowheads="1"/>
                          </pic:cNvPicPr>
                        </pic:nvPicPr>
                        <pic:blipFill>
                          <a:blip r:embed="rId37" cstate="print"/>
                          <a:srcRect/>
                          <a:stretch>
                            <a:fillRect/>
                          </a:stretch>
                        </pic:blipFill>
                        <pic:spPr>
                          <a:xfrm>
                            <a:off x="0" y="0"/>
                            <a:ext cx="1918335" cy="1119505"/>
                          </a:xfrm>
                          <a:prstGeom prst="rect">
                            <a:avLst/>
                          </a:prstGeom>
                          <a:noFill/>
                          <a:ln w="9525" cmpd="sng">
                            <a:noFill/>
                            <a:miter lim="800000"/>
                            <a:headEnd/>
                            <a:tailEnd/>
                          </a:ln>
                        </pic:spPr>
                      </pic:pic>
                    </a:graphicData>
                  </a:graphic>
                </wp:inline>
              </w:drawing>
            </w:r>
          </w:p>
          <w:p/>
          <w:p>
            <w:pPr>
              <w:pStyle w:val="228"/>
              <w:numPr>
                <w:ilvl w:val="0"/>
                <w:numId w:val="51"/>
              </w:numPr>
              <w:ind w:firstLineChars="0"/>
              <w:rPr>
                <w:rFonts w:hAnsi="宋体" w:cs="仿宋_GB2312" w:asciiTheme="minorHAnsi"/>
                <w:sz w:val="20"/>
                <w:szCs w:val="20"/>
              </w:rPr>
            </w:pPr>
            <w:r>
              <w:rPr>
                <w:rFonts w:hint="eastAsia" w:hAnsi="宋体" w:cs="仿宋_GB2312" w:asciiTheme="minorHAnsi"/>
                <w:sz w:val="20"/>
                <w:szCs w:val="20"/>
              </w:rPr>
              <w:t>锁杆采用φ5冷拉丝，配备φ6塑料连杆头.</w:t>
            </w:r>
          </w:p>
          <w:p>
            <w:r>
              <w:rPr>
                <w:rFonts w:hint="eastAsia" w:hAnsi="宋体" w:cs="仿宋_GB2312" w:asciiTheme="minorHAnsi"/>
                <w:sz w:val="20"/>
                <w:szCs w:val="20"/>
              </w:rPr>
              <w:t>5、前挂条采用5</w:t>
            </w:r>
            <w:r>
              <w:rPr>
                <w:rFonts w:hAnsi="宋体" w:cs="仿宋_GB2312" w:asciiTheme="minorHAnsi"/>
                <w:sz w:val="20"/>
                <w:szCs w:val="20"/>
              </w:rPr>
              <w:t>次折弯"柜体隔板调节竖筋"</w:t>
            </w:r>
            <w:r>
              <w:rPr>
                <w:rFonts w:hint="eastAsia" w:hAnsi="宋体" w:cs="仿宋_GB2312" w:asciiTheme="minorHAnsi"/>
                <w:sz w:val="20"/>
                <w:szCs w:val="20"/>
              </w:rPr>
              <w:t>，后挂条采用</w:t>
            </w:r>
            <w:r>
              <w:rPr>
                <w:rFonts w:hAnsi="宋体" w:cs="仿宋_GB2312" w:asciiTheme="minorHAnsi"/>
                <w:sz w:val="20"/>
                <w:szCs w:val="20"/>
              </w:rPr>
              <w:t>W型6次折弯"柜体隔板调节竖筋"</w:t>
            </w:r>
            <w:r>
              <w:rPr>
                <w:rFonts w:hint="eastAsia" w:hAnsi="宋体" w:cs="仿宋_GB2312" w:asciiTheme="minorHAnsi"/>
                <w:sz w:val="20"/>
                <w:szCs w:val="20"/>
              </w:rPr>
              <w:t>增强隔板承重能力和美观度</w:t>
            </w:r>
            <w:r>
              <w:rPr>
                <w:rFonts w:hint="eastAsia" w:hAnsi="宋体" w:cs="仿宋_GB2312" w:asciiTheme="minorHAnsi"/>
                <w:sz w:val="20"/>
                <w:szCs w:val="20"/>
                <w:lang w:eastAsia="zh-CN"/>
              </w:rPr>
              <w:t>。</w:t>
            </w:r>
            <w:r>
              <w:rPr>
                <w:rFonts w:hint="eastAsia" w:hAnsi="宋体" w:cs="仿宋_GB2312" w:asciiTheme="minorHAnsi"/>
                <w:sz w:val="20"/>
                <w:szCs w:val="20"/>
              </w:rPr>
              <w:t>详见下图；</w:t>
            </w:r>
          </w:p>
          <w:p>
            <w:pPr>
              <w:pStyle w:val="2"/>
            </w:pPr>
            <w:r>
              <w:rPr>
                <w:rFonts w:hint="eastAsia"/>
              </w:rPr>
              <w:t>前挂条</w:t>
            </w:r>
          </w:p>
          <w:p>
            <w:pPr>
              <w:rPr>
                <w:rFonts w:hAnsi="宋体" w:asciiTheme="minorHAnsi"/>
                <w:sz w:val="20"/>
                <w:szCs w:val="20"/>
              </w:rPr>
            </w:pPr>
            <w:r>
              <w:rPr>
                <w:rFonts w:hAnsi="宋体" w:asciiTheme="minorHAnsi"/>
                <w:sz w:val="20"/>
                <w:szCs w:val="20"/>
              </w:rPr>
              <w:drawing>
                <wp:inline distT="0" distB="0" distL="0" distR="0">
                  <wp:extent cx="2040890" cy="1444625"/>
                  <wp:effectExtent l="0" t="0" r="6985" b="0"/>
                  <wp:docPr id="14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4"/>
                          <pic:cNvPicPr>
                            <a:picLocks noChangeAspect="1" noChangeArrowheads="1"/>
                          </pic:cNvPicPr>
                        </pic:nvPicPr>
                        <pic:blipFill>
                          <a:blip r:embed="rId19" cstate="print"/>
                          <a:srcRect l="12592" t="18739" r="14371" b="6953"/>
                          <a:stretch>
                            <a:fillRect/>
                          </a:stretch>
                        </pic:blipFill>
                        <pic:spPr>
                          <a:xfrm>
                            <a:off x="0" y="0"/>
                            <a:ext cx="2040890" cy="1444625"/>
                          </a:xfrm>
                          <a:prstGeom prst="rect">
                            <a:avLst/>
                          </a:prstGeom>
                          <a:noFill/>
                          <a:ln w="9525" cmpd="sng">
                            <a:noFill/>
                            <a:miter lim="800000"/>
                            <a:headEnd/>
                            <a:tailEnd/>
                          </a:ln>
                        </pic:spPr>
                      </pic:pic>
                    </a:graphicData>
                  </a:graphic>
                </wp:inline>
              </w:drawing>
            </w:r>
          </w:p>
          <w:p>
            <w:pPr>
              <w:rPr>
                <w:rFonts w:hAnsi="宋体" w:asciiTheme="minorHAnsi"/>
                <w:sz w:val="20"/>
                <w:szCs w:val="20"/>
              </w:rPr>
            </w:pPr>
          </w:p>
          <w:p>
            <w:pPr>
              <w:rPr>
                <w:rFonts w:hAnsi="宋体" w:asciiTheme="minorHAnsi"/>
                <w:sz w:val="20"/>
                <w:szCs w:val="20"/>
              </w:rPr>
            </w:pPr>
            <w:r>
              <w:rPr>
                <w:rFonts w:hint="eastAsia" w:hAnsi="宋体" w:asciiTheme="minorHAnsi"/>
                <w:sz w:val="20"/>
                <w:szCs w:val="20"/>
              </w:rPr>
              <w:t>后挂条</w:t>
            </w:r>
          </w:p>
          <w:p>
            <w:pPr>
              <w:rPr>
                <w:rFonts w:hAnsi="宋体" w:asciiTheme="minorHAnsi"/>
                <w:sz w:val="20"/>
                <w:szCs w:val="20"/>
              </w:rPr>
            </w:pPr>
            <w:r>
              <w:rPr>
                <w:rFonts w:hAnsi="宋体" w:asciiTheme="minorHAnsi"/>
                <w:sz w:val="20"/>
                <w:szCs w:val="20"/>
              </w:rPr>
              <w:drawing>
                <wp:inline distT="0" distB="0" distL="0" distR="0">
                  <wp:extent cx="2233930" cy="1035050"/>
                  <wp:effectExtent l="0" t="0" r="4445" b="12700"/>
                  <wp:docPr id="15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3"/>
                          <pic:cNvPicPr>
                            <a:picLocks noChangeAspect="1" noChangeArrowheads="1"/>
                          </pic:cNvPicPr>
                        </pic:nvPicPr>
                        <pic:blipFill>
                          <a:blip r:embed="rId20" cstate="print"/>
                          <a:srcRect l="55296" t="21489" b="20279"/>
                          <a:stretch>
                            <a:fillRect/>
                          </a:stretch>
                        </pic:blipFill>
                        <pic:spPr>
                          <a:xfrm>
                            <a:off x="0" y="0"/>
                            <a:ext cx="2233930" cy="1035050"/>
                          </a:xfrm>
                          <a:prstGeom prst="rect">
                            <a:avLst/>
                          </a:prstGeom>
                          <a:noFill/>
                          <a:ln w="9525" cmpd="sng">
                            <a:noFill/>
                            <a:miter lim="800000"/>
                            <a:headEnd/>
                            <a:tailEnd/>
                          </a:ln>
                        </pic:spPr>
                      </pic:pic>
                    </a:graphicData>
                  </a:graphic>
                </wp:inline>
              </w:drawing>
            </w:r>
          </w:p>
          <w:p>
            <w:pPr>
              <w:pStyle w:val="2"/>
            </w:pPr>
          </w:p>
          <w:p>
            <w:pPr>
              <w:rPr>
                <w:rFonts w:hAnsi="宋体" w:cs="仿宋_GB2312" w:asciiTheme="minorHAnsi"/>
                <w:sz w:val="20"/>
                <w:szCs w:val="20"/>
              </w:rPr>
            </w:pPr>
            <w:r>
              <w:rPr>
                <w:rFonts w:hint="eastAsia" w:hAnsi="宋体" w:cs="仿宋_GB2312" w:asciiTheme="minorHAnsi"/>
                <w:sz w:val="20"/>
                <w:szCs w:val="20"/>
              </w:rPr>
              <w:t>6、ABS材质椭圆形扣手，扣手外观尺寸：29*120*18.8，尺寸如图:</w:t>
            </w:r>
          </w:p>
          <w:p>
            <w:pPr>
              <w:rPr>
                <w:rFonts w:hAnsi="宋体" w:asciiTheme="minorHAnsi"/>
                <w:sz w:val="20"/>
                <w:szCs w:val="20"/>
              </w:rPr>
            </w:pPr>
            <w:r>
              <w:rPr>
                <w:rFonts w:hAnsi="宋体" w:asciiTheme="minorHAnsi"/>
                <w:sz w:val="20"/>
                <w:szCs w:val="20"/>
              </w:rPr>
              <w:drawing>
                <wp:inline distT="0" distB="0" distL="0" distR="0">
                  <wp:extent cx="2090420" cy="1323975"/>
                  <wp:effectExtent l="0" t="0" r="5080" b="9525"/>
                  <wp:docPr id="15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2"/>
                          <pic:cNvPicPr>
                            <a:picLocks noChangeAspect="1" noChangeArrowheads="1"/>
                          </pic:cNvPicPr>
                        </pic:nvPicPr>
                        <pic:blipFill>
                          <a:blip r:embed="rId38" cstate="print"/>
                          <a:srcRect t="8215"/>
                          <a:stretch>
                            <a:fillRect/>
                          </a:stretch>
                        </pic:blipFill>
                        <pic:spPr>
                          <a:xfrm>
                            <a:off x="0" y="0"/>
                            <a:ext cx="2090420" cy="1323975"/>
                          </a:xfrm>
                          <a:prstGeom prst="rect">
                            <a:avLst/>
                          </a:prstGeom>
                          <a:noFill/>
                          <a:ln w="9525" cmpd="sng">
                            <a:noFill/>
                            <a:miter lim="800000"/>
                            <a:headEnd/>
                            <a:tailEnd/>
                          </a:ln>
                        </pic:spPr>
                      </pic:pic>
                    </a:graphicData>
                  </a:graphic>
                </wp:inline>
              </w:drawing>
            </w:r>
          </w:p>
          <w:p>
            <w:pPr>
              <w:rPr>
                <w:rFonts w:hint="eastAsia" w:hAnsi="宋体" w:eastAsia="宋体"/>
                <w:sz w:val="20"/>
                <w:szCs w:val="20"/>
                <w:lang w:eastAsia="zh-CN"/>
              </w:rPr>
            </w:pPr>
            <w:r>
              <w:rPr>
                <w:rFonts w:hint="eastAsia" w:hAnsi="宋体" w:asciiTheme="minorHAnsi"/>
                <w:sz w:val="20"/>
                <w:szCs w:val="20"/>
              </w:rPr>
              <w:t>7、颜色可根据不同科室订制</w:t>
            </w:r>
            <w:r>
              <w:rPr>
                <w:rFonts w:hint="eastAsia" w:hAnsi="宋体" w:asciiTheme="minorHAnsi"/>
                <w:sz w:val="20"/>
                <w:szCs w:val="20"/>
                <w:lang w:eastAsia="zh-CN"/>
              </w:rPr>
              <w:t>。</w:t>
            </w:r>
          </w:p>
        </w:tc>
        <w:tc>
          <w:tcPr>
            <w:tcW w:w="695" w:type="dxa"/>
            <w:vAlign w:val="center"/>
          </w:tcPr>
          <w:p>
            <w:pPr>
              <w:jc w:val="center"/>
              <w:rPr>
                <w:rFonts w:hAnsi="宋体" w:cs="宋体"/>
                <w:sz w:val="20"/>
                <w:szCs w:val="20"/>
              </w:rPr>
            </w:pPr>
            <w:r>
              <w:rPr>
                <w:rFonts w:hint="eastAsia" w:asciiTheme="minorHAnsi"/>
                <w:sz w:val="20"/>
                <w:szCs w:val="20"/>
              </w:rPr>
              <w:t xml:space="preserve">72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1000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72000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五节档案柜</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1380490" cy="1440815"/>
                  <wp:effectExtent l="0" t="0" r="635" b="3810"/>
                  <wp:docPr id="15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1"/>
                          <pic:cNvPicPr>
                            <a:picLocks noChangeAspect="1" noChangeArrowheads="1"/>
                          </pic:cNvPicPr>
                        </pic:nvPicPr>
                        <pic:blipFill>
                          <a:blip r:embed="rId39" cstate="print"/>
                          <a:srcRect/>
                          <a:stretch>
                            <a:fillRect/>
                          </a:stretch>
                        </pic:blipFill>
                        <pic:spPr>
                          <a:xfrm>
                            <a:off x="0" y="0"/>
                            <a:ext cx="1380490" cy="144081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900*400*2020</w:t>
            </w:r>
          </w:p>
        </w:tc>
        <w:tc>
          <w:tcPr>
            <w:tcW w:w="3795" w:type="dxa"/>
            <w:vAlign w:val="center"/>
          </w:tcPr>
          <w:p>
            <w:pPr>
              <w:numPr>
                <w:ilvl w:val="0"/>
                <w:numId w:val="53"/>
              </w:numPr>
              <w:ind w:left="0" w:firstLine="0"/>
              <w:rPr>
                <w:rFonts w:hAnsi="宋体" w:cs="微软雅黑" w:asciiTheme="minorHAnsi"/>
                <w:sz w:val="20"/>
                <w:szCs w:val="20"/>
              </w:rPr>
            </w:pPr>
            <w:r>
              <w:rPr>
                <w:rFonts w:hint="eastAsia" w:hAnsi="宋体" w:cs="微软雅黑" w:asciiTheme="minorHAnsi"/>
                <w:sz w:val="20"/>
                <w:szCs w:val="20"/>
              </w:rPr>
              <w:t>产品材料厚度：1.0mm，经过“校平-剪板-冲压-折弯-焊接-前处理-表面处理-装配-入库”的生产工艺流程。</w:t>
            </w:r>
          </w:p>
          <w:p>
            <w:pPr>
              <w:numPr>
                <w:ilvl w:val="0"/>
                <w:numId w:val="53"/>
              </w:numPr>
              <w:ind w:left="0" w:firstLine="0"/>
              <w:rPr>
                <w:rFonts w:hAnsi="宋体" w:cs="微软雅黑" w:asciiTheme="minorHAnsi"/>
                <w:sz w:val="20"/>
                <w:szCs w:val="20"/>
              </w:rPr>
            </w:pPr>
            <w:r>
              <w:rPr>
                <w:rFonts w:hint="eastAsia" w:hAnsi="宋体" w:cs="微软雅黑" w:asciiTheme="minorHAnsi"/>
                <w:sz w:val="20"/>
                <w:szCs w:val="20"/>
              </w:rPr>
              <w:t>采用标准十工位前处理：预脱脂-脱脂-水洗-酸洗-水洗-中和-表调-皮膜-水洗-钝化。</w:t>
            </w:r>
          </w:p>
          <w:p>
            <w:pPr>
              <w:numPr>
                <w:ilvl w:val="0"/>
                <w:numId w:val="53"/>
              </w:numPr>
              <w:ind w:left="0" w:firstLine="0"/>
              <w:jc w:val="left"/>
              <w:rPr>
                <w:rFonts w:hAnsi="宋体" w:asciiTheme="minorHAnsi"/>
                <w:sz w:val="20"/>
                <w:szCs w:val="20"/>
              </w:rPr>
            </w:pPr>
            <w:r>
              <w:rPr>
                <w:rFonts w:hint="eastAsia" w:hAnsi="宋体" w:asciiTheme="minorHAnsi"/>
                <w:sz w:val="20"/>
                <w:szCs w:val="20"/>
              </w:rPr>
              <w:t>塑粉：检测合格</w:t>
            </w:r>
            <w:r>
              <w:rPr>
                <w:rFonts w:hint="eastAsia" w:hAnsi="宋体" w:asciiTheme="minorHAnsi"/>
                <w:sz w:val="20"/>
                <w:szCs w:val="20"/>
                <w:lang w:eastAsia="zh-CN"/>
              </w:rPr>
              <w:t>。</w:t>
            </w:r>
          </w:p>
          <w:p>
            <w:pPr>
              <w:numPr>
                <w:ilvl w:val="0"/>
                <w:numId w:val="53"/>
              </w:numPr>
              <w:ind w:left="0" w:firstLine="0"/>
              <w:rPr>
                <w:rFonts w:hAnsi="宋体" w:cs="微软雅黑" w:asciiTheme="minorHAnsi"/>
                <w:sz w:val="20"/>
                <w:szCs w:val="20"/>
              </w:rPr>
            </w:pPr>
            <w:r>
              <w:rPr>
                <w:rFonts w:hint="eastAsia" w:hAnsi="宋体" w:cs="微软雅黑" w:asciiTheme="minorHAnsi"/>
                <w:sz w:val="20"/>
                <w:szCs w:val="20"/>
              </w:rPr>
              <w:t>采用ABS扣手。</w:t>
            </w:r>
          </w:p>
          <w:p>
            <w:pPr>
              <w:numPr>
                <w:ilvl w:val="0"/>
                <w:numId w:val="53"/>
              </w:numPr>
              <w:ind w:left="0" w:firstLine="0"/>
              <w:rPr>
                <w:rFonts w:hAnsi="宋体" w:cs="微软雅黑" w:asciiTheme="minorHAnsi"/>
                <w:sz w:val="20"/>
                <w:szCs w:val="20"/>
              </w:rPr>
            </w:pPr>
            <w:r>
              <w:rPr>
                <w:rFonts w:hint="eastAsia" w:hAnsi="宋体" w:cs="微软雅黑" w:asciiTheme="minorHAnsi"/>
                <w:sz w:val="20"/>
                <w:szCs w:val="20"/>
              </w:rPr>
              <w:t>门板锁具采用具有红绿指示的锁具。</w:t>
            </w:r>
          </w:p>
          <w:p>
            <w:pPr>
              <w:numPr>
                <w:ilvl w:val="0"/>
                <w:numId w:val="53"/>
              </w:numPr>
              <w:ind w:left="0" w:firstLine="0"/>
              <w:rPr>
                <w:rFonts w:hAnsi="宋体" w:cs="微软雅黑" w:asciiTheme="minorHAnsi"/>
                <w:sz w:val="20"/>
                <w:szCs w:val="20"/>
              </w:rPr>
            </w:pPr>
            <w:r>
              <w:rPr>
                <w:rFonts w:hint="eastAsia" w:hAnsi="宋体" w:cs="微软雅黑" w:asciiTheme="minorHAnsi"/>
                <w:sz w:val="20"/>
                <w:szCs w:val="20"/>
              </w:rPr>
              <w:t>钣金成型式标签框，牢固耐用。</w:t>
            </w:r>
          </w:p>
          <w:p>
            <w:pPr>
              <w:numPr>
                <w:ilvl w:val="0"/>
                <w:numId w:val="53"/>
              </w:numPr>
              <w:ind w:left="0" w:firstLine="0"/>
              <w:rPr>
                <w:rFonts w:hAnsi="宋体" w:cs="微软雅黑" w:asciiTheme="minorHAnsi"/>
                <w:sz w:val="20"/>
                <w:szCs w:val="20"/>
              </w:rPr>
            </w:pPr>
            <w:r>
              <w:rPr>
                <w:rFonts w:hint="eastAsia" w:hAnsi="宋体" w:cs="微软雅黑" w:asciiTheme="minorHAnsi"/>
                <w:sz w:val="20"/>
                <w:szCs w:val="20"/>
              </w:rPr>
              <w:t>柜体边框采用22mm成型。</w:t>
            </w:r>
          </w:p>
          <w:p>
            <w:pPr>
              <w:numPr>
                <w:ilvl w:val="0"/>
                <w:numId w:val="53"/>
              </w:numPr>
              <w:ind w:left="0" w:firstLine="0"/>
              <w:rPr>
                <w:rFonts w:hAnsi="宋体" w:cs="微软雅黑" w:asciiTheme="minorHAnsi"/>
                <w:sz w:val="20"/>
                <w:szCs w:val="20"/>
              </w:rPr>
            </w:pPr>
            <w:r>
              <w:rPr>
                <w:rFonts w:hint="eastAsia" w:hAnsi="宋体" w:cs="微软雅黑" w:asciiTheme="minorHAnsi"/>
                <w:sz w:val="20"/>
                <w:szCs w:val="20"/>
              </w:rPr>
              <w:t>节侧板具有4条成型加强筋。</w:t>
            </w:r>
            <w:r>
              <w:rPr>
                <w:rFonts w:hAnsi="宋体" w:cs="微软雅黑" w:asciiTheme="minorHAnsi"/>
                <w:sz w:val="20"/>
                <w:szCs w:val="20"/>
              </w:rPr>
              <w:tab/>
            </w:r>
          </w:p>
          <w:p>
            <w:pPr>
              <w:numPr>
                <w:ilvl w:val="0"/>
                <w:numId w:val="53"/>
              </w:numPr>
              <w:ind w:left="0" w:firstLine="0"/>
              <w:rPr>
                <w:rFonts w:hAnsi="宋体" w:cs="微软雅黑" w:asciiTheme="minorHAnsi"/>
                <w:sz w:val="20"/>
                <w:szCs w:val="20"/>
              </w:rPr>
            </w:pPr>
            <w:r>
              <w:rPr>
                <w:rFonts w:hint="eastAsia" w:hAnsi="宋体" w:cs="微软雅黑" w:asciiTheme="minorHAnsi"/>
                <w:sz w:val="20"/>
                <w:szCs w:val="20"/>
              </w:rPr>
              <w:t>节背板配置一条750mm±10mm*15mm双头圆弧过渡条形压型加强</w:t>
            </w:r>
            <w:r>
              <w:rPr>
                <w:rFonts w:hint="eastAsia" w:hAnsi="宋体" w:cs="微软雅黑" w:asciiTheme="minorHAnsi"/>
                <w:sz w:val="20"/>
                <w:szCs w:val="20"/>
                <w:lang w:eastAsia="zh-CN"/>
              </w:rPr>
              <w:t>。</w:t>
            </w:r>
          </w:p>
          <w:p>
            <w:pPr>
              <w:numPr>
                <w:ilvl w:val="0"/>
                <w:numId w:val="53"/>
              </w:numPr>
              <w:ind w:left="0" w:leftChars="0" w:firstLine="0" w:firstLineChars="0"/>
              <w:rPr>
                <w:rFonts w:hAnsi="宋体" w:cs="微软雅黑"/>
                <w:sz w:val="20"/>
                <w:szCs w:val="20"/>
              </w:rPr>
            </w:pPr>
            <w:r>
              <w:rPr>
                <w:rFonts w:hint="eastAsia" w:hAnsi="宋体" w:cs="微软雅黑" w:asciiTheme="minorHAnsi"/>
                <w:sz w:val="20"/>
                <w:szCs w:val="20"/>
              </w:rPr>
              <w:t>独立分节式，柜体顶部带钣金一次成型限位凹点.方便组合，可随意增加或者减少堆叠数量。</w:t>
            </w:r>
          </w:p>
        </w:tc>
        <w:tc>
          <w:tcPr>
            <w:tcW w:w="695" w:type="dxa"/>
            <w:vAlign w:val="center"/>
          </w:tcPr>
          <w:p>
            <w:pPr>
              <w:jc w:val="center"/>
              <w:rPr>
                <w:rFonts w:hAnsi="宋体" w:cs="宋体"/>
                <w:sz w:val="20"/>
                <w:szCs w:val="20"/>
              </w:rPr>
            </w:pPr>
            <w:r>
              <w:rPr>
                <w:rFonts w:hint="eastAsia" w:asciiTheme="minorHAnsi"/>
                <w:sz w:val="20"/>
                <w:szCs w:val="20"/>
              </w:rPr>
              <w:t xml:space="preserve">10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1000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物品柜</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638175" cy="1164590"/>
                  <wp:effectExtent l="0" t="0" r="12700" b="10160"/>
                  <wp:docPr id="15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0"/>
                          <pic:cNvPicPr>
                            <a:picLocks noChangeAspect="1" noChangeArrowheads="1"/>
                          </pic:cNvPicPr>
                        </pic:nvPicPr>
                        <pic:blipFill>
                          <a:blip r:embed="rId40" cstate="print"/>
                          <a:srcRect/>
                          <a:stretch>
                            <a:fillRect/>
                          </a:stretch>
                        </pic:blipFill>
                        <pic:spPr>
                          <a:xfrm>
                            <a:off x="0" y="0"/>
                            <a:ext cx="638175" cy="116459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900*400*1800</w:t>
            </w:r>
          </w:p>
        </w:tc>
        <w:tc>
          <w:tcPr>
            <w:tcW w:w="3795" w:type="dxa"/>
            <w:vAlign w:val="center"/>
          </w:tcPr>
          <w:p>
            <w:pPr>
              <w:numPr>
                <w:ilvl w:val="0"/>
                <w:numId w:val="54"/>
              </w:numPr>
              <w:ind w:left="0" w:firstLine="0"/>
              <w:rPr>
                <w:rFonts w:hAnsi="宋体" w:cs="仿宋_GB2312" w:asciiTheme="minorHAnsi"/>
                <w:sz w:val="20"/>
                <w:szCs w:val="20"/>
              </w:rPr>
            </w:pPr>
            <w:r>
              <w:rPr>
                <w:rFonts w:hint="eastAsia" w:hAnsi="宋体" w:cs="仿宋_GB2312" w:asciiTheme="minorHAnsi"/>
                <w:sz w:val="20"/>
                <w:szCs w:val="20"/>
              </w:rPr>
              <w:t>产品采用冷轧钢板；材料厚度： 1.0mm</w:t>
            </w:r>
            <w:r>
              <w:rPr>
                <w:rFonts w:hint="eastAsia" w:hAnsi="宋体" w:cs="仿宋_GB2312" w:asciiTheme="minorHAnsi"/>
                <w:sz w:val="20"/>
                <w:szCs w:val="20"/>
                <w:lang w:eastAsia="zh-CN"/>
              </w:rPr>
              <w:t>。</w:t>
            </w:r>
            <w:r>
              <w:rPr>
                <w:rFonts w:hint="eastAsia" w:hAnsi="宋体" w:cs="仿宋_GB2312" w:asciiTheme="minorHAnsi"/>
                <w:sz w:val="20"/>
                <w:szCs w:val="20"/>
              </w:rPr>
              <w:t>钢板经预脱脂-脱脂-水洗-酸洗-水洗-中和-表调-皮膜-水洗-钝化等表面处理工艺。</w:t>
            </w:r>
            <w:r>
              <w:rPr>
                <w:rFonts w:hint="eastAsia" w:hAnsi="宋体" w:asciiTheme="minorHAnsi"/>
                <w:sz w:val="20"/>
                <w:szCs w:val="20"/>
              </w:rPr>
              <w:t>塑粉：检测合格。</w:t>
            </w:r>
          </w:p>
          <w:p>
            <w:pPr>
              <w:numPr>
                <w:ilvl w:val="0"/>
                <w:numId w:val="54"/>
              </w:numPr>
              <w:ind w:left="0" w:firstLine="0"/>
              <w:jc w:val="left"/>
              <w:rPr>
                <w:rFonts w:hAnsi="宋体" w:cs="仿宋_GB2312" w:asciiTheme="minorHAnsi"/>
                <w:sz w:val="20"/>
                <w:szCs w:val="20"/>
              </w:rPr>
            </w:pPr>
            <w:r>
              <w:rPr>
                <w:rFonts w:hint="eastAsia" w:hAnsi="宋体" w:cs="仿宋_GB2312" w:asciiTheme="minorHAnsi"/>
                <w:sz w:val="20"/>
                <w:szCs w:val="20"/>
              </w:rPr>
              <w:t>表面喷塑处理：静电喷塑；</w:t>
            </w:r>
          </w:p>
          <w:p>
            <w:pPr>
              <w:numPr>
                <w:ilvl w:val="0"/>
                <w:numId w:val="54"/>
              </w:numPr>
              <w:ind w:left="0" w:firstLine="0"/>
              <w:jc w:val="left"/>
              <w:rPr>
                <w:rFonts w:hAnsi="宋体" w:cs="仿宋_GB2312" w:asciiTheme="minorHAnsi"/>
                <w:sz w:val="20"/>
                <w:szCs w:val="20"/>
              </w:rPr>
            </w:pPr>
            <w:r>
              <w:rPr>
                <w:rFonts w:hint="eastAsia" w:hAnsi="宋体" w:asciiTheme="minorHAnsi"/>
                <w:sz w:val="20"/>
                <w:szCs w:val="20"/>
              </w:rPr>
              <w:t>钣金成型式标签框，成型尺寸30*70</w:t>
            </w:r>
          </w:p>
          <w:p>
            <w:pPr>
              <w:numPr>
                <w:ilvl w:val="0"/>
                <w:numId w:val="54"/>
              </w:numPr>
              <w:ind w:left="0" w:firstLine="0"/>
              <w:jc w:val="left"/>
              <w:rPr>
                <w:rFonts w:hAnsi="宋体" w:cs="仿宋_GB2312" w:asciiTheme="minorHAnsi"/>
                <w:sz w:val="20"/>
                <w:szCs w:val="20"/>
              </w:rPr>
            </w:pPr>
            <w:r>
              <w:rPr>
                <w:rFonts w:hint="eastAsia" w:hAnsi="宋体" w:cs="仿宋_GB2312" w:asciiTheme="minorHAnsi"/>
                <w:sz w:val="20"/>
                <w:szCs w:val="20"/>
              </w:rPr>
              <w:t>柜门扣手：ABS塑料拉手</w:t>
            </w:r>
            <w:r>
              <w:rPr>
                <w:rFonts w:hint="eastAsia" w:hAnsi="宋体" w:cs="仿宋_GB2312" w:asciiTheme="minorHAnsi"/>
                <w:sz w:val="20"/>
                <w:szCs w:val="20"/>
                <w:lang w:eastAsia="zh-CN"/>
              </w:rPr>
              <w:t>。</w:t>
            </w:r>
            <w:r>
              <w:rPr>
                <w:rFonts w:hAnsi="宋体" w:cs="仿宋_GB2312" w:asciiTheme="minorHAnsi"/>
                <w:sz w:val="20"/>
                <w:szCs w:val="20"/>
              </w:rPr>
              <w:tab/>
            </w:r>
          </w:p>
          <w:p>
            <w:pPr>
              <w:numPr>
                <w:ilvl w:val="0"/>
                <w:numId w:val="54"/>
              </w:numPr>
              <w:ind w:left="0" w:leftChars="0" w:firstLine="0" w:firstLineChars="0"/>
              <w:jc w:val="left"/>
              <w:rPr>
                <w:rFonts w:hAnsi="宋体" w:cs="仿宋_GB2312"/>
                <w:sz w:val="20"/>
                <w:szCs w:val="20"/>
              </w:rPr>
            </w:pPr>
            <w:r>
              <w:rPr>
                <w:rFonts w:hint="eastAsia" w:hAnsi="宋体" w:cs="仿宋_GB2312" w:asciiTheme="minorHAnsi"/>
                <w:sz w:val="20"/>
                <w:szCs w:val="20"/>
              </w:rPr>
              <w:t>门板配置组合式桥型透气孔，单孔尺寸8.3*6mm</w:t>
            </w:r>
            <w:r>
              <w:rPr>
                <w:rFonts w:hint="eastAsia" w:hAnsi="宋体" w:cs="仿宋_GB2312" w:asciiTheme="minorHAnsi"/>
                <w:sz w:val="20"/>
                <w:szCs w:val="20"/>
                <w:lang w:eastAsia="zh-CN"/>
              </w:rPr>
              <w:t>，</w:t>
            </w:r>
            <w:r>
              <w:rPr>
                <w:rFonts w:hint="eastAsia" w:hAnsi="宋体" w:cs="仿宋_GB2312" w:asciiTheme="minorHAnsi"/>
                <w:sz w:val="20"/>
                <w:szCs w:val="20"/>
              </w:rPr>
              <w:t>成型深度2mm。</w:t>
            </w:r>
          </w:p>
        </w:tc>
        <w:tc>
          <w:tcPr>
            <w:tcW w:w="695" w:type="dxa"/>
            <w:vAlign w:val="center"/>
          </w:tcPr>
          <w:p>
            <w:pPr>
              <w:jc w:val="center"/>
              <w:rPr>
                <w:rFonts w:hAnsi="宋体" w:cs="宋体"/>
                <w:sz w:val="20"/>
                <w:szCs w:val="20"/>
              </w:rPr>
            </w:pPr>
            <w:r>
              <w:rPr>
                <w:rFonts w:hint="eastAsia" w:asciiTheme="minorHAnsi"/>
                <w:sz w:val="20"/>
                <w:szCs w:val="20"/>
              </w:rPr>
              <w:t xml:space="preserve">4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1500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鞋柜</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16280" cy="1319530"/>
                  <wp:effectExtent l="0" t="0" r="13970" b="13970"/>
                  <wp:docPr id="15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9"/>
                          <pic:cNvPicPr>
                            <a:picLocks noChangeAspect="1" noChangeArrowheads="1"/>
                          </pic:cNvPicPr>
                        </pic:nvPicPr>
                        <pic:blipFill>
                          <a:blip r:embed="rId41" cstate="print"/>
                          <a:srcRect/>
                          <a:stretch>
                            <a:fillRect/>
                          </a:stretch>
                        </pic:blipFill>
                        <pic:spPr>
                          <a:xfrm>
                            <a:off x="0" y="0"/>
                            <a:ext cx="716280" cy="131953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1200*300*2000</w:t>
            </w:r>
          </w:p>
        </w:tc>
        <w:tc>
          <w:tcPr>
            <w:tcW w:w="3795" w:type="dxa"/>
            <w:vAlign w:val="center"/>
          </w:tcPr>
          <w:p>
            <w:pPr>
              <w:numPr>
                <w:ilvl w:val="0"/>
                <w:numId w:val="55"/>
              </w:numPr>
              <w:ind w:left="0" w:firstLine="0"/>
              <w:rPr>
                <w:rFonts w:hAnsi="宋体" w:cs="仿宋_GB2312" w:asciiTheme="minorHAnsi"/>
                <w:sz w:val="20"/>
                <w:szCs w:val="20"/>
              </w:rPr>
            </w:pPr>
            <w:r>
              <w:rPr>
                <w:rFonts w:hint="eastAsia" w:hAnsi="宋体" w:cs="仿宋_GB2312" w:asciiTheme="minorHAnsi"/>
                <w:sz w:val="20"/>
                <w:szCs w:val="20"/>
              </w:rPr>
              <w:t>产品采用冷轧钢板；材料厚度： 1.0mm. 钢板经预脱脂-脱脂-水洗-酸洗-水洗-中和-表调-皮膜-水洗-钝化等表面处理工艺。</w:t>
            </w:r>
            <w:r>
              <w:rPr>
                <w:rFonts w:hint="eastAsia" w:hAnsi="宋体" w:asciiTheme="minorHAnsi"/>
                <w:sz w:val="20"/>
                <w:szCs w:val="20"/>
              </w:rPr>
              <w:t>塑粉：检测合格。</w:t>
            </w:r>
          </w:p>
          <w:p>
            <w:pPr>
              <w:numPr>
                <w:ilvl w:val="0"/>
                <w:numId w:val="55"/>
              </w:numPr>
              <w:ind w:left="0" w:firstLine="0"/>
              <w:jc w:val="left"/>
              <w:rPr>
                <w:rFonts w:hAnsi="宋体" w:cs="仿宋_GB2312" w:asciiTheme="minorHAnsi"/>
                <w:sz w:val="20"/>
                <w:szCs w:val="20"/>
              </w:rPr>
            </w:pPr>
            <w:r>
              <w:rPr>
                <w:rFonts w:hint="eastAsia" w:hAnsi="宋体" w:cs="仿宋_GB2312" w:asciiTheme="minorHAnsi"/>
                <w:sz w:val="20"/>
                <w:szCs w:val="20"/>
              </w:rPr>
              <w:t>表面喷塑处理：静电喷塑；</w:t>
            </w:r>
          </w:p>
          <w:p>
            <w:pPr>
              <w:numPr>
                <w:ilvl w:val="0"/>
                <w:numId w:val="55"/>
              </w:numPr>
              <w:ind w:left="0" w:firstLine="0"/>
              <w:jc w:val="left"/>
              <w:rPr>
                <w:rFonts w:hAnsi="宋体" w:cs="仿宋_GB2312" w:asciiTheme="minorHAnsi"/>
                <w:sz w:val="20"/>
                <w:szCs w:val="20"/>
              </w:rPr>
            </w:pPr>
            <w:r>
              <w:rPr>
                <w:rFonts w:hint="eastAsia" w:hAnsi="宋体" w:asciiTheme="minorHAnsi"/>
                <w:sz w:val="20"/>
                <w:szCs w:val="20"/>
              </w:rPr>
              <w:t xml:space="preserve">钣金成型式标签框，成型尺寸30*70      </w:t>
            </w:r>
          </w:p>
          <w:p>
            <w:pPr>
              <w:numPr>
                <w:ilvl w:val="0"/>
                <w:numId w:val="55"/>
              </w:numPr>
              <w:ind w:left="0" w:firstLine="0"/>
              <w:jc w:val="left"/>
              <w:rPr>
                <w:rFonts w:hAnsi="宋体" w:cs="仿宋_GB2312" w:asciiTheme="minorHAnsi"/>
                <w:sz w:val="20"/>
                <w:szCs w:val="20"/>
              </w:rPr>
            </w:pPr>
            <w:r>
              <w:rPr>
                <w:rFonts w:hint="eastAsia" w:hAnsi="宋体" w:cs="仿宋_GB2312" w:asciiTheme="minorHAnsi"/>
                <w:sz w:val="20"/>
                <w:szCs w:val="20"/>
              </w:rPr>
              <w:t>柜门扣手：ABS塑料拉手；</w:t>
            </w:r>
            <w:r>
              <w:rPr>
                <w:rFonts w:hAnsi="宋体" w:cs="仿宋_GB2312" w:asciiTheme="minorHAnsi"/>
                <w:sz w:val="20"/>
                <w:szCs w:val="20"/>
              </w:rPr>
              <w:tab/>
            </w:r>
          </w:p>
          <w:p>
            <w:pPr>
              <w:numPr>
                <w:ilvl w:val="0"/>
                <w:numId w:val="55"/>
              </w:numPr>
              <w:ind w:left="0" w:leftChars="0" w:firstLine="0" w:firstLineChars="0"/>
              <w:jc w:val="left"/>
              <w:rPr>
                <w:rFonts w:hAnsi="宋体" w:cs="仿宋_GB2312"/>
                <w:sz w:val="20"/>
                <w:szCs w:val="20"/>
              </w:rPr>
            </w:pPr>
            <w:r>
              <w:rPr>
                <w:rFonts w:hint="eastAsia" w:hAnsi="宋体" w:cs="仿宋_GB2312" w:asciiTheme="minorHAnsi"/>
                <w:sz w:val="20"/>
                <w:szCs w:val="20"/>
              </w:rPr>
              <w:t>门板配置组合式桥型透气孔，单孔尺寸8.3*6mm,成型深度2mm。</w:t>
            </w:r>
          </w:p>
        </w:tc>
        <w:tc>
          <w:tcPr>
            <w:tcW w:w="695" w:type="dxa"/>
            <w:vAlign w:val="center"/>
          </w:tcPr>
          <w:p>
            <w:pPr>
              <w:jc w:val="center"/>
              <w:rPr>
                <w:rFonts w:hAnsi="宋体" w:cs="宋体"/>
                <w:sz w:val="20"/>
                <w:szCs w:val="20"/>
              </w:rPr>
            </w:pPr>
            <w:r>
              <w:rPr>
                <w:rFonts w:hint="eastAsia" w:asciiTheme="minorHAnsi"/>
                <w:sz w:val="20"/>
                <w:szCs w:val="20"/>
              </w:rPr>
              <w:t xml:space="preserve">12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2000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鞋架</w:t>
            </w:r>
          </w:p>
        </w:tc>
        <w:tc>
          <w:tcPr>
            <w:tcW w:w="1753" w:type="dxa"/>
            <w:vAlign w:val="center"/>
          </w:tcPr>
          <w:p>
            <w:pPr>
              <w:jc w:val="center"/>
              <w:rPr>
                <w:rFonts w:hAnsi="宋体"/>
                <w:bCs/>
                <w:sz w:val="20"/>
                <w:szCs w:val="20"/>
              </w:rPr>
            </w:pPr>
            <w:r>
              <w:rPr>
                <w:rFonts w:hAnsi="宋体" w:asciiTheme="minorHAnsi"/>
                <w:sz w:val="20"/>
                <w:szCs w:val="20"/>
              </w:rPr>
              <w:drawing>
                <wp:inline distT="0" distB="0" distL="0" distR="0">
                  <wp:extent cx="819785" cy="301625"/>
                  <wp:effectExtent l="0" t="0" r="5715" b="0"/>
                  <wp:docPr id="155" name="图片 68" descr="C:\Users\yhjj0\AppData\Local\Temp\WeChat Files\613246109239320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8" descr="C:\Users\yhjj0\AppData\Local\Temp\WeChat Files\613246109239320388.png"/>
                          <pic:cNvPicPr>
                            <a:picLocks noChangeAspect="1" noChangeArrowheads="1"/>
                          </pic:cNvPicPr>
                        </pic:nvPicPr>
                        <pic:blipFill>
                          <a:blip r:embed="rId42" cstate="print"/>
                          <a:srcRect/>
                          <a:stretch>
                            <a:fillRect/>
                          </a:stretch>
                        </pic:blipFill>
                        <pic:spPr>
                          <a:xfrm rot="10800000" flipV="1">
                            <a:off x="0" y="0"/>
                            <a:ext cx="819785" cy="30162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1200*400*450</w:t>
            </w:r>
          </w:p>
        </w:tc>
        <w:tc>
          <w:tcPr>
            <w:tcW w:w="3795" w:type="dxa"/>
            <w:vAlign w:val="center"/>
          </w:tcPr>
          <w:p>
            <w:pPr>
              <w:numPr>
                <w:ilvl w:val="0"/>
                <w:numId w:val="56"/>
              </w:numPr>
              <w:ind w:left="0" w:firstLine="0"/>
              <w:jc w:val="left"/>
              <w:rPr>
                <w:rFonts w:hAnsi="宋体" w:cs="宋体" w:asciiTheme="minorHAnsi"/>
                <w:sz w:val="20"/>
                <w:szCs w:val="20"/>
              </w:rPr>
            </w:pPr>
            <w:r>
              <w:rPr>
                <w:rFonts w:hint="eastAsia" w:hAnsi="宋体" w:asciiTheme="minorHAnsi"/>
                <w:sz w:val="20"/>
                <w:szCs w:val="20"/>
              </w:rPr>
              <w:t>基材：采用中密度纤维板，符合木家具有害物质限量标准要求。</w:t>
            </w:r>
          </w:p>
          <w:p>
            <w:pPr>
              <w:numPr>
                <w:ilvl w:val="0"/>
                <w:numId w:val="56"/>
              </w:numPr>
              <w:ind w:left="0" w:leftChars="0" w:firstLine="0" w:firstLineChars="0"/>
              <w:jc w:val="left"/>
              <w:rPr>
                <w:rFonts w:hAnsi="宋体" w:cs="宋体"/>
                <w:sz w:val="20"/>
                <w:szCs w:val="20"/>
              </w:rPr>
            </w:pPr>
            <w:r>
              <w:rPr>
                <w:rFonts w:hint="eastAsia" w:hAnsi="宋体" w:asciiTheme="minorHAnsi"/>
                <w:sz w:val="20"/>
                <w:szCs w:val="20"/>
              </w:rPr>
              <w:t>贴面材料：三聚氰胺板，符合木家具有害物质限量标准要求</w:t>
            </w:r>
            <w:r>
              <w:rPr>
                <w:rFonts w:hint="eastAsia" w:hAnsi="宋体" w:asciiTheme="minorHAnsi"/>
                <w:sz w:val="20"/>
                <w:szCs w:val="20"/>
                <w:lang w:eastAsia="zh-CN"/>
              </w:rPr>
              <w:t>。</w:t>
            </w:r>
          </w:p>
        </w:tc>
        <w:tc>
          <w:tcPr>
            <w:tcW w:w="695" w:type="dxa"/>
            <w:vAlign w:val="center"/>
          </w:tcPr>
          <w:p>
            <w:pPr>
              <w:jc w:val="center"/>
              <w:rPr>
                <w:rFonts w:hAnsi="宋体" w:cs="宋体"/>
                <w:sz w:val="20"/>
                <w:szCs w:val="20"/>
              </w:rPr>
            </w:pPr>
            <w:r>
              <w:rPr>
                <w:rFonts w:hint="eastAsia" w:asciiTheme="minorHAnsi"/>
                <w:sz w:val="20"/>
                <w:szCs w:val="20"/>
              </w:rPr>
              <w:t xml:space="preserve">14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800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34" w:type="dxa"/>
            <w:vAlign w:val="center"/>
          </w:tcPr>
          <w:p>
            <w:pPr>
              <w:jc w:val="center"/>
              <w:rPr>
                <w:rFonts w:hAnsi="宋体" w:cs="宋体"/>
                <w:sz w:val="20"/>
                <w:szCs w:val="20"/>
              </w:rPr>
            </w:pPr>
            <w:r>
              <w:rPr>
                <w:rFonts w:hint="eastAsia" w:asciiTheme="minorHAnsi"/>
                <w:sz w:val="20"/>
                <w:szCs w:val="20"/>
              </w:rPr>
              <w:t>办公椅</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50570" cy="1112520"/>
                  <wp:effectExtent l="0" t="0" r="11430" b="14605"/>
                  <wp:docPr id="1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7"/>
                          <pic:cNvPicPr>
                            <a:picLocks noChangeAspect="1" noChangeArrowheads="1"/>
                          </pic:cNvPicPr>
                        </pic:nvPicPr>
                        <pic:blipFill>
                          <a:blip r:embed="rId43" cstate="print"/>
                          <a:srcRect/>
                          <a:stretch>
                            <a:fillRect/>
                          </a:stretch>
                        </pic:blipFill>
                        <pic:spPr>
                          <a:xfrm>
                            <a:off x="0" y="0"/>
                            <a:ext cx="750570" cy="1112520"/>
                          </a:xfrm>
                          <a:prstGeom prst="rect">
                            <a:avLst/>
                          </a:prstGeom>
                          <a:noFill/>
                          <a:ln w="9525" cmpd="sng">
                            <a:noFill/>
                            <a:miter lim="800000"/>
                            <a:headEnd/>
                            <a:tailEnd/>
                          </a:ln>
                        </pic:spPr>
                      </pic:pic>
                    </a:graphicData>
                  </a:graphic>
                </wp:inline>
              </w:drawing>
            </w:r>
            <w:r>
              <w:rPr>
                <w:rFonts w:asciiTheme="minorHAnsi"/>
                <w:sz w:val="20"/>
                <w:szCs w:val="20"/>
              </w:rPr>
              <w:drawing>
                <wp:inline distT="0" distB="0" distL="0" distR="0">
                  <wp:extent cx="983615" cy="690245"/>
                  <wp:effectExtent l="0" t="0" r="635" b="8255"/>
                  <wp:docPr id="15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6"/>
                          <pic:cNvPicPr>
                            <a:picLocks noChangeAspect="1" noChangeArrowheads="1"/>
                          </pic:cNvPicPr>
                        </pic:nvPicPr>
                        <pic:blipFill>
                          <a:blip r:embed="rId44" cstate="print"/>
                          <a:srcRect/>
                          <a:stretch>
                            <a:fillRect/>
                          </a:stretch>
                        </pic:blipFill>
                        <pic:spPr>
                          <a:xfrm>
                            <a:off x="0" y="0"/>
                            <a:ext cx="983615" cy="69024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680*590*1010</w:t>
            </w:r>
          </w:p>
        </w:tc>
        <w:tc>
          <w:tcPr>
            <w:tcW w:w="3795" w:type="dxa"/>
            <w:vAlign w:val="center"/>
          </w:tcPr>
          <w:p>
            <w:pPr>
              <w:jc w:val="left"/>
              <w:rPr>
                <w:rFonts w:hint="eastAsia" w:ascii="宋体" w:hAnsi="宋体" w:eastAsia="宋体" w:cs="宋体"/>
                <w:sz w:val="20"/>
                <w:szCs w:val="20"/>
              </w:rPr>
            </w:pPr>
            <w:r>
              <w:rPr>
                <w:rFonts w:hint="eastAsia" w:ascii="宋体" w:hAnsi="宋体" w:eastAsia="宋体" w:cs="宋体"/>
                <w:sz w:val="20"/>
                <w:szCs w:val="20"/>
              </w:rPr>
              <w:t>1、腰靠：PU一次发泡定型腰靠(尺寸W369*D110*H40（允许误差±5mm），上下可调节，调节行程达48mm。如图：</w:t>
            </w:r>
          </w:p>
          <w:p>
            <w:pPr>
              <w:jc w:val="left"/>
              <w:rPr>
                <w:rFonts w:hint="eastAsia" w:ascii="宋体" w:hAnsi="宋体" w:eastAsia="宋体" w:cs="宋体"/>
                <w:sz w:val="20"/>
                <w:szCs w:val="20"/>
              </w:rPr>
            </w:pPr>
            <w:r>
              <w:rPr>
                <w:rFonts w:hint="eastAsia" w:ascii="宋体" w:hAnsi="宋体" w:eastAsia="宋体" w:cs="宋体"/>
                <w:sz w:val="20"/>
                <w:szCs w:val="20"/>
              </w:rPr>
              <w:drawing>
                <wp:inline distT="0" distB="0" distL="0" distR="0">
                  <wp:extent cx="1238250" cy="12223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40449" cy="1224614"/>
                          </a:xfrm>
                          <a:prstGeom prst="rect">
                            <a:avLst/>
                          </a:prstGeom>
                          <a:noFill/>
                          <a:ln>
                            <a:noFill/>
                          </a:ln>
                        </pic:spPr>
                      </pic:pic>
                    </a:graphicData>
                  </a:graphic>
                </wp:inline>
              </w:drawing>
            </w:r>
            <w:r>
              <w:rPr>
                <w:rFonts w:hint="eastAsia" w:ascii="宋体" w:hAnsi="宋体" w:eastAsia="宋体" w:cs="宋体"/>
                <w:sz w:val="20"/>
                <w:szCs w:val="20"/>
              </w:rPr>
              <w:t xml:space="preserve">                                                                      2、椅背：外框采用PA+GF（尼龙+玻纤）材质。                                                                                                   3、扶手：采用PA+GF（尼龙+玻纤）材质，一次注塑成型固定扶手。</w:t>
            </w:r>
          </w:p>
          <w:p>
            <w:pPr>
              <w:jc w:val="left"/>
              <w:rPr>
                <w:rFonts w:hint="eastAsia" w:ascii="宋体" w:hAnsi="宋体" w:eastAsia="宋体" w:cs="宋体"/>
                <w:sz w:val="20"/>
                <w:szCs w:val="20"/>
              </w:rPr>
            </w:pPr>
            <w:r>
              <w:rPr>
                <w:rFonts w:hint="eastAsia" w:ascii="宋体" w:hAnsi="宋体" w:eastAsia="宋体" w:cs="宋体"/>
                <w:sz w:val="20"/>
                <w:szCs w:val="20"/>
              </w:rPr>
              <w:t xml:space="preserve">4、脚/脚架：25钢管，2.0厚套管钢架，钢架整体经过耐酸化处理。      </w:t>
            </w:r>
          </w:p>
        </w:tc>
        <w:tc>
          <w:tcPr>
            <w:tcW w:w="695" w:type="dxa"/>
            <w:vAlign w:val="center"/>
          </w:tcPr>
          <w:p>
            <w:pPr>
              <w:jc w:val="center"/>
              <w:rPr>
                <w:rFonts w:hAnsi="宋体" w:cs="宋体"/>
                <w:sz w:val="20"/>
                <w:szCs w:val="20"/>
              </w:rPr>
            </w:pPr>
            <w:r>
              <w:rPr>
                <w:rFonts w:hint="eastAsia" w:asciiTheme="minorHAnsi"/>
                <w:sz w:val="20"/>
                <w:szCs w:val="20"/>
              </w:rPr>
              <w:t xml:space="preserve">134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700</w:t>
            </w:r>
          </w:p>
        </w:tc>
        <w:tc>
          <w:tcPr>
            <w:tcW w:w="551" w:type="dxa"/>
            <w:vAlign w:val="center"/>
          </w:tcPr>
          <w:p>
            <w:pPr>
              <w:jc w:val="center"/>
              <w:rPr>
                <w:rFonts w:hAnsi="宋体" w:cs="宋体"/>
                <w:sz w:val="20"/>
                <w:szCs w:val="20"/>
              </w:rPr>
            </w:pPr>
            <w:r>
              <w:rPr>
                <w:rFonts w:hint="eastAsia" w:asciiTheme="minorHAnsi"/>
                <w:sz w:val="20"/>
                <w:szCs w:val="20"/>
              </w:rPr>
              <w:t>把</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93800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药架1（双面）</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948690" cy="1104265"/>
                  <wp:effectExtent l="0" t="0" r="3810" b="6985"/>
                  <wp:docPr id="15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5"/>
                          <pic:cNvPicPr>
                            <a:picLocks noChangeAspect="1" noChangeArrowheads="1"/>
                          </pic:cNvPicPr>
                        </pic:nvPicPr>
                        <pic:blipFill>
                          <a:blip r:embed="rId46" cstate="print"/>
                          <a:srcRect/>
                          <a:stretch>
                            <a:fillRect/>
                          </a:stretch>
                        </pic:blipFill>
                        <pic:spPr>
                          <a:xfrm>
                            <a:off x="0" y="0"/>
                            <a:ext cx="948690" cy="110426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920*975*2000</w:t>
            </w:r>
          </w:p>
        </w:tc>
        <w:tc>
          <w:tcPr>
            <w:tcW w:w="3795" w:type="dxa"/>
            <w:vAlign w:val="center"/>
          </w:tcPr>
          <w:p>
            <w:pPr>
              <w:widowControl/>
              <w:numPr>
                <w:ilvl w:val="0"/>
                <w:numId w:val="57"/>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材料厚度：立柱采用2.0mm冷轨钢板，横梁采用1.2厚 钢管，其余部分为0.8 冷板。背部网采用40*40网板活动连接，可有效防止药物掉落；</w:t>
            </w:r>
          </w:p>
          <w:p>
            <w:pPr>
              <w:widowControl/>
              <w:numPr>
                <w:ilvl w:val="0"/>
                <w:numId w:val="57"/>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喷塑时经酸洗磷化、恒温静电喷涂处理；</w:t>
            </w:r>
          </w:p>
          <w:p>
            <w:pPr>
              <w:widowControl/>
              <w:numPr>
                <w:ilvl w:val="0"/>
                <w:numId w:val="57"/>
              </w:numPr>
              <w:ind w:left="0" w:firstLine="0"/>
              <w:rPr>
                <w:rFonts w:hint="eastAsia" w:ascii="宋体" w:hAnsi="宋体" w:eastAsia="宋体" w:cs="宋体"/>
                <w:sz w:val="20"/>
                <w:szCs w:val="20"/>
              </w:rPr>
            </w:pPr>
            <w:r>
              <w:rPr>
                <w:rFonts w:hint="eastAsia" w:ascii="宋体" w:hAnsi="宋体" w:eastAsia="宋体" w:cs="宋体"/>
                <w:sz w:val="20"/>
                <w:szCs w:val="20"/>
                <w:shd w:val="clear" w:color="auto" w:fill="FFFFFF"/>
              </w:rPr>
              <w:t>层板：倾斜式挂式层板安装时根据药物高度随意固定层高。后端上药，前端取药，符合药品销存先进先出管理原则；</w:t>
            </w:r>
          </w:p>
          <w:p>
            <w:pPr>
              <w:widowControl/>
              <w:numPr>
                <w:ilvl w:val="0"/>
                <w:numId w:val="57"/>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配件：</w:t>
            </w:r>
          </w:p>
          <w:p>
            <w:pPr>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脚垫：采用ABS工程塑料模具制作而成。</w:t>
            </w:r>
          </w:p>
          <w:p>
            <w:pPr>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标签：粘贴式塑料标签。</w:t>
            </w:r>
          </w:p>
          <w:p>
            <w:pPr>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 xml:space="preserve">分隔板：插装式分隔板，方便药物分类使摆放。                                   </w:t>
            </w:r>
          </w:p>
          <w:p>
            <w:pPr>
              <w:widowControl/>
              <w:numPr>
                <w:ilvl w:val="0"/>
                <w:numId w:val="57"/>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产品经过“激光-冲压-折弯-焊接-前处理-表面处理-装配-入库”的生产工艺流程。</w:t>
            </w:r>
          </w:p>
          <w:p>
            <w:pPr>
              <w:numPr>
                <w:ilvl w:val="0"/>
                <w:numId w:val="57"/>
              </w:numPr>
              <w:ind w:left="0" w:leftChars="0" w:firstLine="0" w:firstLineChars="0"/>
              <w:jc w:val="left"/>
              <w:rPr>
                <w:rFonts w:hint="eastAsia" w:ascii="宋体" w:hAnsi="宋体" w:eastAsia="宋体" w:cs="宋体"/>
                <w:sz w:val="20"/>
                <w:szCs w:val="20"/>
              </w:rPr>
            </w:pPr>
            <w:r>
              <w:rPr>
                <w:rFonts w:hint="eastAsia" w:ascii="宋体" w:hAnsi="宋体" w:eastAsia="宋体" w:cs="宋体"/>
                <w:sz w:val="20"/>
                <w:szCs w:val="20"/>
              </w:rPr>
              <w:t>塑粉：检测合格。</w:t>
            </w:r>
          </w:p>
        </w:tc>
        <w:tc>
          <w:tcPr>
            <w:tcW w:w="695" w:type="dxa"/>
            <w:vAlign w:val="center"/>
          </w:tcPr>
          <w:p>
            <w:pPr>
              <w:jc w:val="center"/>
              <w:rPr>
                <w:rFonts w:hAnsi="宋体" w:cs="宋体"/>
                <w:sz w:val="20"/>
                <w:szCs w:val="20"/>
              </w:rPr>
            </w:pPr>
            <w:r>
              <w:rPr>
                <w:rFonts w:hint="eastAsia" w:asciiTheme="minorHAnsi"/>
                <w:sz w:val="20"/>
                <w:szCs w:val="20"/>
              </w:rPr>
              <w:t xml:space="preserve">20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2500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药架2（单向）</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974725" cy="1198880"/>
                  <wp:effectExtent l="0" t="0" r="9525" b="7620"/>
                  <wp:docPr id="16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4"/>
                          <pic:cNvPicPr>
                            <a:picLocks noChangeAspect="1" noChangeArrowheads="1"/>
                          </pic:cNvPicPr>
                        </pic:nvPicPr>
                        <pic:blipFill>
                          <a:blip r:embed="rId47" cstate="print"/>
                          <a:srcRect/>
                          <a:stretch>
                            <a:fillRect/>
                          </a:stretch>
                        </pic:blipFill>
                        <pic:spPr>
                          <a:xfrm>
                            <a:off x="0" y="0"/>
                            <a:ext cx="974725" cy="119888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920*510*2000</w:t>
            </w:r>
          </w:p>
        </w:tc>
        <w:tc>
          <w:tcPr>
            <w:tcW w:w="3795" w:type="dxa"/>
            <w:vAlign w:val="center"/>
          </w:tcPr>
          <w:p>
            <w:pPr>
              <w:widowControl/>
              <w:numPr>
                <w:ilvl w:val="0"/>
                <w:numId w:val="58"/>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材料厚度：立柱采用2.0mm冷板，横梁采用1.2厚 钢管，其余部分为0.8 冷板。背部网采用40*40网板活动连接，可有效防止药物掉落；</w:t>
            </w:r>
          </w:p>
          <w:p>
            <w:pPr>
              <w:widowControl/>
              <w:numPr>
                <w:ilvl w:val="0"/>
                <w:numId w:val="58"/>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喷塑时经酸洗磷化、恒温静电喷涂处理；</w:t>
            </w:r>
          </w:p>
          <w:p>
            <w:pPr>
              <w:widowControl/>
              <w:numPr>
                <w:ilvl w:val="0"/>
                <w:numId w:val="58"/>
              </w:numPr>
              <w:ind w:left="0" w:firstLine="0"/>
              <w:rPr>
                <w:rFonts w:hint="eastAsia" w:ascii="宋体" w:hAnsi="宋体" w:eastAsia="宋体" w:cs="宋体"/>
                <w:sz w:val="20"/>
                <w:szCs w:val="20"/>
              </w:rPr>
            </w:pPr>
            <w:r>
              <w:rPr>
                <w:rFonts w:hint="eastAsia" w:ascii="宋体" w:hAnsi="宋体" w:eastAsia="宋体" w:cs="宋体"/>
                <w:sz w:val="20"/>
                <w:szCs w:val="20"/>
                <w:shd w:val="clear" w:color="auto" w:fill="FFFFFF"/>
              </w:rPr>
              <w:t>层板：倾斜式挂式层板安装时根据药物高度随意固定层高。后端上药，前端取药；</w:t>
            </w:r>
          </w:p>
          <w:p>
            <w:pPr>
              <w:widowControl/>
              <w:numPr>
                <w:ilvl w:val="0"/>
                <w:numId w:val="58"/>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配件：</w:t>
            </w:r>
          </w:p>
          <w:p>
            <w:pPr>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脚垫：采用ABS工程塑料模具制作而成。</w:t>
            </w:r>
          </w:p>
          <w:p>
            <w:pPr>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标签：粘贴式塑料标签。</w:t>
            </w:r>
          </w:p>
          <w:p>
            <w:pPr>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 xml:space="preserve">分隔板：插装式分隔板。                                   </w:t>
            </w:r>
          </w:p>
          <w:p>
            <w:pPr>
              <w:widowControl/>
              <w:numPr>
                <w:ilvl w:val="0"/>
                <w:numId w:val="58"/>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产品经过“激光-冲压-折弯-焊接-前处理-表面处理-装配-入库”的生产工艺流程。</w:t>
            </w:r>
          </w:p>
          <w:p>
            <w:pPr>
              <w:numPr>
                <w:ilvl w:val="0"/>
                <w:numId w:val="58"/>
              </w:numPr>
              <w:ind w:left="0" w:leftChars="0" w:firstLine="0" w:firstLineChars="0"/>
              <w:jc w:val="left"/>
              <w:rPr>
                <w:rFonts w:hAnsi="宋体"/>
                <w:sz w:val="20"/>
                <w:szCs w:val="20"/>
              </w:rPr>
            </w:pPr>
            <w:r>
              <w:rPr>
                <w:rFonts w:hint="eastAsia" w:ascii="宋体" w:hAnsi="宋体" w:eastAsia="宋体" w:cs="宋体"/>
                <w:sz w:val="20"/>
                <w:szCs w:val="20"/>
              </w:rPr>
              <w:t>塑粉：检测合格。</w:t>
            </w:r>
          </w:p>
        </w:tc>
        <w:tc>
          <w:tcPr>
            <w:tcW w:w="695" w:type="dxa"/>
            <w:vAlign w:val="center"/>
          </w:tcPr>
          <w:p>
            <w:pPr>
              <w:jc w:val="center"/>
              <w:rPr>
                <w:rFonts w:hAnsi="宋体" w:cs="宋体"/>
                <w:sz w:val="20"/>
                <w:szCs w:val="20"/>
              </w:rPr>
            </w:pPr>
            <w:r>
              <w:rPr>
                <w:rFonts w:hint="eastAsia" w:asciiTheme="minorHAnsi"/>
                <w:sz w:val="20"/>
                <w:szCs w:val="20"/>
              </w:rPr>
              <w:t xml:space="preserve">20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2200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圆盘摆药架</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24535" cy="1017905"/>
                  <wp:effectExtent l="0" t="0" r="5715" b="13970"/>
                  <wp:docPr id="16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3"/>
                          <pic:cNvPicPr>
                            <a:picLocks noChangeAspect="1" noChangeArrowheads="1"/>
                          </pic:cNvPicPr>
                        </pic:nvPicPr>
                        <pic:blipFill>
                          <a:blip r:embed="rId48" cstate="print"/>
                          <a:srcRect/>
                          <a:stretch>
                            <a:fillRect/>
                          </a:stretch>
                        </pic:blipFill>
                        <pic:spPr>
                          <a:xfrm>
                            <a:off x="0" y="0"/>
                            <a:ext cx="724535" cy="101790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Φ920*2000*8层</w:t>
            </w:r>
          </w:p>
        </w:tc>
        <w:tc>
          <w:tcPr>
            <w:tcW w:w="3795" w:type="dxa"/>
            <w:vAlign w:val="center"/>
          </w:tcPr>
          <w:p>
            <w:pPr>
              <w:widowControl/>
              <w:numPr>
                <w:ilvl w:val="0"/>
                <w:numId w:val="59"/>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材料厚度：主体采用冷轧板，立柱采用1.2MM，中轴采用轴承式设计，底盘下采用可调节式调节脚。</w:t>
            </w:r>
          </w:p>
          <w:p>
            <w:pPr>
              <w:widowControl/>
              <w:numPr>
                <w:ilvl w:val="0"/>
                <w:numId w:val="59"/>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药盘倾斜角度17度，药品可自由滑落。</w:t>
            </w:r>
          </w:p>
          <w:p>
            <w:pPr>
              <w:widowControl/>
              <w:numPr>
                <w:ilvl w:val="0"/>
                <w:numId w:val="59"/>
              </w:numPr>
              <w:ind w:left="0" w:firstLine="0"/>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喷塑时经酸洗磷化、恒温静电喷涂处理</w:t>
            </w:r>
            <w:r>
              <w:rPr>
                <w:rFonts w:hint="eastAsia" w:ascii="宋体" w:hAnsi="宋体" w:cs="宋体"/>
                <w:sz w:val="20"/>
                <w:szCs w:val="20"/>
                <w:shd w:val="clear" w:color="auto" w:fill="FFFFFF"/>
                <w:lang w:eastAsia="zh-CN"/>
              </w:rPr>
              <w:t>。</w:t>
            </w:r>
          </w:p>
          <w:p>
            <w:pPr>
              <w:numPr>
                <w:ilvl w:val="0"/>
                <w:numId w:val="59"/>
              </w:numPr>
              <w:ind w:left="0" w:leftChars="0" w:firstLine="0" w:firstLineChars="0"/>
              <w:jc w:val="left"/>
              <w:rPr>
                <w:rFonts w:hAnsi="宋体"/>
                <w:sz w:val="20"/>
                <w:szCs w:val="20"/>
              </w:rPr>
            </w:pPr>
            <w:r>
              <w:rPr>
                <w:rFonts w:hint="eastAsia" w:ascii="宋体" w:hAnsi="宋体" w:eastAsia="宋体" w:cs="宋体"/>
                <w:sz w:val="20"/>
                <w:szCs w:val="20"/>
              </w:rPr>
              <w:t>塑粉：检测合格。</w:t>
            </w:r>
          </w:p>
        </w:tc>
        <w:tc>
          <w:tcPr>
            <w:tcW w:w="695" w:type="dxa"/>
            <w:vAlign w:val="center"/>
          </w:tcPr>
          <w:p>
            <w:pPr>
              <w:jc w:val="center"/>
              <w:rPr>
                <w:rFonts w:hAnsi="宋体" w:cs="宋体"/>
                <w:sz w:val="20"/>
                <w:szCs w:val="20"/>
              </w:rPr>
            </w:pPr>
            <w:r>
              <w:rPr>
                <w:rFonts w:hint="eastAsia" w:asciiTheme="minorHAnsi"/>
                <w:sz w:val="20"/>
                <w:szCs w:val="20"/>
              </w:rPr>
              <w:t xml:space="preserve">2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3000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634" w:type="dxa"/>
            <w:vAlign w:val="center"/>
          </w:tcPr>
          <w:p>
            <w:pPr>
              <w:jc w:val="center"/>
              <w:rPr>
                <w:rFonts w:hAnsi="宋体" w:cs="宋体"/>
                <w:sz w:val="20"/>
                <w:szCs w:val="20"/>
              </w:rPr>
            </w:pPr>
            <w:r>
              <w:rPr>
                <w:rFonts w:hint="eastAsia" w:asciiTheme="minorHAnsi"/>
                <w:sz w:val="20"/>
                <w:szCs w:val="20"/>
              </w:rPr>
              <w:t>不锈钢鞋架</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58825" cy="698500"/>
                  <wp:effectExtent l="0" t="0" r="3175" b="0"/>
                  <wp:docPr id="1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2"/>
                          <pic:cNvPicPr>
                            <a:picLocks noChangeAspect="1" noChangeArrowheads="1"/>
                          </pic:cNvPicPr>
                        </pic:nvPicPr>
                        <pic:blipFill>
                          <a:blip r:embed="rId49" cstate="print"/>
                          <a:srcRect/>
                          <a:stretch>
                            <a:fillRect/>
                          </a:stretch>
                        </pic:blipFill>
                        <pic:spPr>
                          <a:xfrm>
                            <a:off x="0" y="0"/>
                            <a:ext cx="758825" cy="69850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800*350*1000</w:t>
            </w:r>
          </w:p>
        </w:tc>
        <w:tc>
          <w:tcPr>
            <w:tcW w:w="3795" w:type="dxa"/>
            <w:vAlign w:val="center"/>
          </w:tcPr>
          <w:p>
            <w:pPr>
              <w:jc w:val="left"/>
              <w:rPr>
                <w:rFonts w:hAnsi="宋体" w:cs="宋体"/>
                <w:sz w:val="20"/>
                <w:szCs w:val="20"/>
              </w:rPr>
            </w:pPr>
            <w:r>
              <w:rPr>
                <w:rFonts w:hint="eastAsia" w:hAnsi="宋体" w:asciiTheme="minorHAnsi"/>
                <w:sz w:val="20"/>
                <w:szCs w:val="20"/>
              </w:rPr>
              <w:t>不锈钢，板材厚度0.8mm。</w:t>
            </w:r>
          </w:p>
        </w:tc>
        <w:tc>
          <w:tcPr>
            <w:tcW w:w="695" w:type="dxa"/>
            <w:vAlign w:val="center"/>
          </w:tcPr>
          <w:p>
            <w:pPr>
              <w:jc w:val="center"/>
              <w:rPr>
                <w:rFonts w:hAnsi="宋体" w:cs="宋体"/>
                <w:sz w:val="20"/>
                <w:szCs w:val="20"/>
              </w:rPr>
            </w:pPr>
            <w:r>
              <w:rPr>
                <w:rFonts w:hint="eastAsia" w:asciiTheme="minorHAnsi"/>
                <w:sz w:val="20"/>
                <w:szCs w:val="20"/>
              </w:rPr>
              <w:t xml:space="preserve">10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600</w:t>
            </w:r>
          </w:p>
        </w:tc>
        <w:tc>
          <w:tcPr>
            <w:tcW w:w="551" w:type="dxa"/>
            <w:vAlign w:val="center"/>
          </w:tcPr>
          <w:p>
            <w:pPr>
              <w:jc w:val="center"/>
              <w:rPr>
                <w:rFonts w:hAnsi="宋体" w:cs="宋体"/>
                <w:sz w:val="20"/>
                <w:szCs w:val="20"/>
              </w:rPr>
            </w:pPr>
            <w:r>
              <w:rPr>
                <w:rFonts w:hint="eastAsia" w:asciiTheme="minorHAnsi"/>
                <w:sz w:val="20"/>
                <w:szCs w:val="20"/>
              </w:rPr>
              <w:t>组</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4" w:type="dxa"/>
            <w:vAlign w:val="center"/>
          </w:tcPr>
          <w:p>
            <w:pPr>
              <w:jc w:val="center"/>
              <w:rPr>
                <w:rFonts w:hAnsi="宋体" w:cs="宋体"/>
                <w:sz w:val="20"/>
                <w:szCs w:val="20"/>
              </w:rPr>
            </w:pPr>
            <w:r>
              <w:rPr>
                <w:rFonts w:hint="eastAsia" w:asciiTheme="minorHAnsi"/>
                <w:sz w:val="20"/>
                <w:szCs w:val="20"/>
              </w:rPr>
              <w:t>手动有轨档案密集架</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862330" cy="629920"/>
                  <wp:effectExtent l="0" t="0" r="10795" b="5080"/>
                  <wp:docPr id="1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1"/>
                          <pic:cNvPicPr>
                            <a:picLocks noChangeAspect="1" noChangeArrowheads="1"/>
                          </pic:cNvPicPr>
                        </pic:nvPicPr>
                        <pic:blipFill>
                          <a:blip r:embed="rId50" cstate="print"/>
                          <a:srcRect/>
                          <a:stretch>
                            <a:fillRect/>
                          </a:stretch>
                        </pic:blipFill>
                        <pic:spPr>
                          <a:xfrm>
                            <a:off x="0" y="0"/>
                            <a:ext cx="862330" cy="62992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900*580*2500</w:t>
            </w:r>
          </w:p>
        </w:tc>
        <w:tc>
          <w:tcPr>
            <w:tcW w:w="3795" w:type="dxa"/>
            <w:vAlign w:val="center"/>
          </w:tcPr>
          <w:p>
            <w:pPr>
              <w:jc w:val="left"/>
              <w:rPr>
                <w:rFonts w:hAnsi="宋体" w:asciiTheme="minorHAnsi"/>
                <w:b/>
                <w:bCs/>
                <w:sz w:val="20"/>
                <w:szCs w:val="20"/>
              </w:rPr>
            </w:pPr>
            <w:r>
              <w:rPr>
                <w:rFonts w:hint="eastAsia" w:hAnsi="宋体" w:asciiTheme="minorHAnsi"/>
                <w:b/>
                <w:bCs/>
                <w:sz w:val="20"/>
                <w:szCs w:val="20"/>
              </w:rPr>
              <w:t>（一）密集架架体要求：</w:t>
            </w:r>
          </w:p>
          <w:p>
            <w:pPr>
              <w:jc w:val="left"/>
              <w:rPr>
                <w:rFonts w:hAnsi="宋体" w:asciiTheme="minorHAnsi"/>
                <w:sz w:val="20"/>
                <w:szCs w:val="20"/>
              </w:rPr>
            </w:pPr>
            <w:r>
              <w:rPr>
                <w:rFonts w:hint="eastAsia" w:hAnsi="宋体" w:asciiTheme="minorHAnsi"/>
                <w:sz w:val="20"/>
                <w:szCs w:val="20"/>
              </w:rPr>
              <w:t>密集架主要由导轨、底盘、传动机构和架体（包括立柱、挂板、搁板、</w:t>
            </w:r>
            <w:r>
              <w:rPr>
                <w:rFonts w:hint="eastAsia" w:hAnsi="宋体" w:asciiTheme="minorHAnsi"/>
                <w:kern w:val="0"/>
                <w:sz w:val="20"/>
                <w:szCs w:val="20"/>
              </w:rPr>
              <w:t>档书条、</w:t>
            </w:r>
            <w:r>
              <w:rPr>
                <w:rFonts w:hint="eastAsia" w:hAnsi="宋体" w:asciiTheme="minorHAnsi"/>
                <w:sz w:val="20"/>
                <w:szCs w:val="20"/>
              </w:rPr>
              <w:t>顶板、门框、门板及侧护板）等零（部）件组成。架顶设有防尘装置，列与列之间装有20mm厚特种抗老化橡塑磁性密封条，门面列和移动列分别装有锁具和制动装置，每组密集架闭合后可用总锁锁住，形成一个封闭的整体，各列移开后可单独制动，确保人员安全，底部设有防倾倒装置，因而整个架体具有良好的防尘、防潮、防火、防盗和保密功能。（双面六层）</w:t>
            </w:r>
          </w:p>
          <w:p>
            <w:pPr>
              <w:jc w:val="left"/>
              <w:rPr>
                <w:rFonts w:hAnsi="宋体" w:asciiTheme="minorHAnsi"/>
                <w:sz w:val="20"/>
                <w:szCs w:val="20"/>
              </w:rPr>
            </w:pPr>
            <w:r>
              <w:rPr>
                <w:rFonts w:hint="eastAsia" w:hAnsi="宋体" w:asciiTheme="minorHAnsi"/>
                <w:sz w:val="20"/>
                <w:szCs w:val="20"/>
              </w:rPr>
              <w:t>（1）立柱:材料厚度δ≥1.2mm，中列立柱正面宽度为≥45mm，正面两条加强筋，侧面各两条加强筋，共六条加强筋，采用全自动滚压一次成型，其目的是增加承载能力。边列立柱与门框合为一体，其侧面的宽度为≥61mm，不压加强筋，确保外观光滑平整。制作如图：</w:t>
            </w:r>
          </w:p>
          <w:p>
            <w:pPr>
              <w:pStyle w:val="2"/>
            </w:pPr>
            <w:r>
              <w:drawing>
                <wp:inline distT="0" distB="0" distL="0" distR="0">
                  <wp:extent cx="1526540" cy="1328420"/>
                  <wp:effectExtent l="0" t="0" r="13335"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526540" cy="1328420"/>
                          </a:xfrm>
                          <a:prstGeom prst="rect">
                            <a:avLst/>
                          </a:prstGeom>
                          <a:noFill/>
                          <a:ln>
                            <a:noFill/>
                          </a:ln>
                        </pic:spPr>
                      </pic:pic>
                    </a:graphicData>
                  </a:graphic>
                </wp:inline>
              </w:drawing>
            </w:r>
            <w:r>
              <w:drawing>
                <wp:inline distT="0" distB="0" distL="0" distR="0">
                  <wp:extent cx="1409700" cy="1054735"/>
                  <wp:effectExtent l="0" t="0" r="3175" b="889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409700" cy="1054735"/>
                          </a:xfrm>
                          <a:prstGeom prst="rect">
                            <a:avLst/>
                          </a:prstGeom>
                          <a:noFill/>
                          <a:ln>
                            <a:noFill/>
                          </a:ln>
                        </pic:spPr>
                      </pic:pic>
                    </a:graphicData>
                  </a:graphic>
                </wp:inline>
              </w:drawing>
            </w:r>
          </w:p>
          <w:p>
            <w:pPr>
              <w:jc w:val="left"/>
              <w:rPr>
                <w:rFonts w:hAnsi="宋体" w:asciiTheme="minorHAnsi"/>
                <w:sz w:val="20"/>
                <w:szCs w:val="20"/>
              </w:rPr>
            </w:pPr>
            <w:r>
              <w:rPr>
                <w:rFonts w:hint="eastAsia" w:hAnsi="宋体" w:asciiTheme="minorHAnsi"/>
                <w:sz w:val="20"/>
                <w:szCs w:val="20"/>
              </w:rPr>
              <w:t>（2）搁板、挂板：材料厚度δ≥</w:t>
            </w:r>
            <w:r>
              <w:rPr>
                <w:rFonts w:hAnsi="宋体" w:asciiTheme="minorHAnsi"/>
                <w:sz w:val="20"/>
                <w:szCs w:val="20"/>
              </w:rPr>
              <w:t>0.9</w:t>
            </w:r>
            <w:r>
              <w:rPr>
                <w:rFonts w:hint="eastAsia" w:hAnsi="宋体" w:asciiTheme="minorHAnsi"/>
                <w:sz w:val="20"/>
                <w:szCs w:val="20"/>
              </w:rPr>
              <w:t>mm，搁板采用六次折弯成型以增强其承载力，上几层搁板采用全自动滚压一次成型；搁板上面压四条加强筋，两侧面各压一条加强筋，底层搁板不压加强筋，并且两张搁板之间缝隙小于2mm，起到防鼠、防尘，底层搁板一边高度为24mm，放在挂板上，另一边高度为36mm，直接放到底盘上，保证每张搁板均匀载重不少于</w:t>
            </w:r>
            <w:r>
              <w:rPr>
                <w:rFonts w:hAnsi="宋体" w:asciiTheme="minorHAnsi"/>
                <w:sz w:val="20"/>
                <w:szCs w:val="20"/>
              </w:rPr>
              <w:t>5</w:t>
            </w:r>
            <w:r>
              <w:rPr>
                <w:rFonts w:hint="eastAsia" w:hAnsi="宋体" w:asciiTheme="minorHAnsi"/>
                <w:sz w:val="20"/>
                <w:szCs w:val="20"/>
              </w:rPr>
              <w:t>0KG（每层两张搁板）；挂板上面压四条加强筋，挂板两端压自锁扣，与搁板孔配合，起到装配自锁，加强架体稳定性。</w:t>
            </w:r>
          </w:p>
          <w:p>
            <w:pPr>
              <w:jc w:val="left"/>
              <w:rPr>
                <w:rFonts w:hint="eastAsia" w:ascii="宋体" w:hAnsi="宋体" w:eastAsia="宋体" w:cs="宋体"/>
                <w:sz w:val="20"/>
                <w:szCs w:val="20"/>
              </w:rPr>
            </w:pPr>
            <w:r>
              <w:rPr>
                <w:rFonts w:hint="eastAsia" w:ascii="宋体" w:hAnsi="宋体" w:eastAsia="宋体" w:cs="宋体"/>
                <w:sz w:val="20"/>
                <w:szCs w:val="20"/>
              </w:rPr>
              <w:t>（3）挡书条：采用冷轧钢板，材料厚度δ≥0.8mm，采用全自动滚压一次成型，四次折弯，并压三条加强筋，与挂板配合处有防脱落倒扣，防止挡条脱落。</w:t>
            </w:r>
          </w:p>
          <w:p>
            <w:pPr>
              <w:jc w:val="left"/>
              <w:rPr>
                <w:rFonts w:hint="eastAsia" w:ascii="宋体" w:hAnsi="宋体" w:eastAsia="宋体" w:cs="宋体"/>
                <w:sz w:val="20"/>
                <w:szCs w:val="20"/>
              </w:rPr>
            </w:pPr>
            <w:r>
              <w:rPr>
                <w:rFonts w:hint="eastAsia" w:ascii="宋体" w:hAnsi="宋体" w:eastAsia="宋体" w:cs="宋体"/>
                <w:sz w:val="20"/>
                <w:szCs w:val="20"/>
              </w:rPr>
              <w:t xml:space="preserve">（4）门框材料厚度δ≥1.1mm，门板、防尘板、顶板、钢制侧板δ≥0.7mm。 </w:t>
            </w:r>
          </w:p>
          <w:p>
            <w:pPr>
              <w:jc w:val="left"/>
              <w:rPr>
                <w:rFonts w:hAnsi="宋体" w:asciiTheme="minorHAnsi"/>
                <w:sz w:val="20"/>
                <w:szCs w:val="20"/>
              </w:rPr>
            </w:pPr>
            <w:r>
              <w:rPr>
                <w:rFonts w:hint="eastAsia" w:ascii="宋体" w:hAnsi="宋体" w:eastAsia="宋体" w:cs="宋体"/>
                <w:sz w:val="20"/>
                <w:szCs w:val="20"/>
              </w:rPr>
              <w:t>（5）</w:t>
            </w:r>
            <w:r>
              <w:rPr>
                <w:rFonts w:hint="eastAsia" w:hAnsi="宋体" w:asciiTheme="minorHAnsi"/>
                <w:sz w:val="20"/>
                <w:szCs w:val="20"/>
              </w:rPr>
              <w:t>底盘厚度（含横、纵梁及轮架组合）采用材料厚度δ≥</w:t>
            </w:r>
            <w:r>
              <w:rPr>
                <w:rFonts w:hAnsi="宋体" w:asciiTheme="minorHAnsi"/>
                <w:sz w:val="20"/>
                <w:szCs w:val="20"/>
              </w:rPr>
              <w:t>2.5</w:t>
            </w:r>
            <w:r>
              <w:rPr>
                <w:rFonts w:hint="eastAsia" w:hAnsi="宋体" w:asciiTheme="minorHAnsi"/>
                <w:sz w:val="20"/>
                <w:szCs w:val="20"/>
              </w:rPr>
              <w:t>mm热轧钢板制作，底盘净高度为140 mm（±2㎜）。采用分段焊接后整体组装式，纵梁上按节距冲有矩形槽，以供立柱插入后用螺栓拧固。底盘两端封头横梁与纵梁牢固焊接，保证底盘架体不扭曲、错位和变形等。</w:t>
            </w:r>
          </w:p>
          <w:p>
            <w:pPr>
              <w:jc w:val="left"/>
              <w:rPr>
                <w:rFonts w:hAnsi="宋体" w:asciiTheme="minorHAnsi"/>
                <w:b/>
                <w:bCs/>
                <w:sz w:val="20"/>
                <w:szCs w:val="20"/>
              </w:rPr>
            </w:pPr>
            <w:r>
              <w:rPr>
                <w:rFonts w:hint="eastAsia" w:hAnsi="宋体" w:asciiTheme="minorHAnsi"/>
                <w:b/>
                <w:bCs/>
                <w:sz w:val="20"/>
                <w:szCs w:val="20"/>
              </w:rPr>
              <w:t>（二）传动机构：</w:t>
            </w:r>
          </w:p>
          <w:p>
            <w:pPr>
              <w:jc w:val="left"/>
              <w:rPr>
                <w:rFonts w:hAnsi="宋体" w:asciiTheme="minorHAnsi"/>
                <w:sz w:val="20"/>
                <w:szCs w:val="20"/>
              </w:rPr>
            </w:pPr>
            <w:r>
              <w:rPr>
                <w:rFonts w:hint="eastAsia" w:hAnsi="宋体" w:asciiTheme="minorHAnsi"/>
                <w:sz w:val="20"/>
                <w:szCs w:val="20"/>
              </w:rPr>
              <w:t>（1）轴承：204＃平面轴承，精度≥P6级（E）。</w:t>
            </w:r>
          </w:p>
          <w:p>
            <w:pPr>
              <w:jc w:val="left"/>
              <w:rPr>
                <w:rFonts w:hAnsi="宋体" w:asciiTheme="minorHAnsi"/>
                <w:sz w:val="20"/>
                <w:szCs w:val="20"/>
              </w:rPr>
            </w:pPr>
            <w:r>
              <w:rPr>
                <w:rFonts w:hint="eastAsia" w:hAnsi="宋体" w:asciiTheme="minorHAnsi"/>
                <w:sz w:val="20"/>
                <w:szCs w:val="20"/>
              </w:rPr>
              <w:t xml:space="preserve">（2）精密链轮：45#。 </w:t>
            </w:r>
          </w:p>
          <w:p>
            <w:pPr>
              <w:jc w:val="left"/>
              <w:rPr>
                <w:rFonts w:hAnsi="宋体" w:asciiTheme="minorHAnsi"/>
                <w:sz w:val="20"/>
                <w:szCs w:val="20"/>
              </w:rPr>
            </w:pPr>
            <w:r>
              <w:rPr>
                <w:rFonts w:hint="eastAsia" w:hAnsi="宋体" w:asciiTheme="minorHAnsi"/>
                <w:sz w:val="20"/>
                <w:szCs w:val="20"/>
              </w:rPr>
              <w:t>（3）链条：型号为428H#（具体参数为Φ8.5，节距12.7）或同等及以上档次。</w:t>
            </w:r>
          </w:p>
          <w:p>
            <w:pPr>
              <w:jc w:val="left"/>
              <w:rPr>
                <w:rFonts w:hAnsi="宋体" w:asciiTheme="minorHAnsi"/>
                <w:sz w:val="20"/>
                <w:szCs w:val="20"/>
              </w:rPr>
            </w:pPr>
            <w:r>
              <w:rPr>
                <w:rFonts w:hint="eastAsia" w:hAnsi="宋体" w:asciiTheme="minorHAnsi"/>
                <w:sz w:val="20"/>
                <w:szCs w:val="20"/>
              </w:rPr>
              <w:t>（4）传动管：要求为≥Φ26mm×壁厚2.5mm的 钢管。</w:t>
            </w:r>
          </w:p>
          <w:p>
            <w:pPr>
              <w:jc w:val="left"/>
              <w:rPr>
                <w:rFonts w:hAnsi="宋体" w:asciiTheme="minorHAnsi"/>
                <w:sz w:val="20"/>
                <w:szCs w:val="20"/>
              </w:rPr>
            </w:pPr>
            <w:r>
              <w:rPr>
                <w:rFonts w:hint="eastAsia" w:hAnsi="宋体" w:asciiTheme="minorHAnsi"/>
                <w:sz w:val="20"/>
                <w:szCs w:val="20"/>
              </w:rPr>
              <w:t>（5）承载轮轴：采用45#号实芯圆钢，经车床精加工后镀锌制作，根据承载轮轴与传动管、轴承、滚轮的连接部位、功能以及承重的不同加工出不同直径的部位：Φ19.5mm（±0.</w:t>
            </w:r>
            <w:r>
              <w:rPr>
                <w:rFonts w:hAnsi="宋体" w:asciiTheme="minorHAnsi"/>
                <w:sz w:val="20"/>
                <w:szCs w:val="20"/>
              </w:rPr>
              <w:t>2</w:t>
            </w:r>
            <w:r>
              <w:rPr>
                <w:rFonts w:hint="eastAsia" w:hAnsi="宋体" w:asciiTheme="minorHAnsi"/>
                <w:sz w:val="20"/>
                <w:szCs w:val="20"/>
              </w:rPr>
              <w:t>mm）的部位与传动管连接；Φ20mm（±0.</w:t>
            </w:r>
            <w:r>
              <w:rPr>
                <w:rFonts w:hAnsi="宋体" w:asciiTheme="minorHAnsi"/>
                <w:sz w:val="20"/>
                <w:szCs w:val="20"/>
              </w:rPr>
              <w:t>2</w:t>
            </w:r>
            <w:r>
              <w:rPr>
                <w:rFonts w:hint="eastAsia" w:hAnsi="宋体" w:asciiTheme="minorHAnsi"/>
                <w:sz w:val="20"/>
                <w:szCs w:val="20"/>
              </w:rPr>
              <w:t>mm）的部位与轴承连接；Φ22mm（±0.</w:t>
            </w:r>
            <w:r>
              <w:rPr>
                <w:rFonts w:hAnsi="宋体" w:asciiTheme="minorHAnsi"/>
                <w:sz w:val="20"/>
                <w:szCs w:val="20"/>
              </w:rPr>
              <w:t>2</w:t>
            </w:r>
            <w:r>
              <w:rPr>
                <w:rFonts w:hint="eastAsia" w:hAnsi="宋体" w:asciiTheme="minorHAnsi"/>
                <w:sz w:val="20"/>
                <w:szCs w:val="20"/>
              </w:rPr>
              <w:t>mm）的部位与滚轮连接；未加工的部分是Φ25mm（±0.</w:t>
            </w:r>
            <w:r>
              <w:rPr>
                <w:rFonts w:hAnsi="宋体" w:asciiTheme="minorHAnsi"/>
                <w:sz w:val="20"/>
                <w:szCs w:val="20"/>
              </w:rPr>
              <w:t>2</w:t>
            </w:r>
            <w:r>
              <w:rPr>
                <w:rFonts w:hint="eastAsia" w:hAnsi="宋体" w:asciiTheme="minorHAnsi"/>
                <w:sz w:val="20"/>
                <w:szCs w:val="20"/>
              </w:rPr>
              <w:t>mm）起到限制滚轮脱轴、脱轨、承重的作用。</w:t>
            </w:r>
          </w:p>
          <w:p>
            <w:pPr>
              <w:jc w:val="left"/>
              <w:rPr>
                <w:rFonts w:hAnsi="宋体" w:asciiTheme="minorHAnsi"/>
                <w:b/>
                <w:bCs/>
                <w:sz w:val="20"/>
                <w:szCs w:val="20"/>
              </w:rPr>
            </w:pPr>
            <w:r>
              <w:rPr>
                <w:rFonts w:hint="eastAsia" w:hAnsi="宋体" w:asciiTheme="minorHAnsi"/>
                <w:b/>
                <w:bCs/>
                <w:sz w:val="20"/>
                <w:szCs w:val="20"/>
              </w:rPr>
              <w:t>（三）导轨：</w:t>
            </w:r>
          </w:p>
          <w:p>
            <w:pPr>
              <w:jc w:val="left"/>
              <w:rPr>
                <w:rFonts w:hint="eastAsia" w:ascii="宋体" w:hAnsi="宋体" w:eastAsia="宋体" w:cs="宋体"/>
                <w:sz w:val="20"/>
                <w:szCs w:val="20"/>
              </w:rPr>
            </w:pPr>
            <w:r>
              <w:rPr>
                <w:rFonts w:hint="eastAsia" w:ascii="宋体" w:hAnsi="宋体" w:eastAsia="宋体" w:cs="宋体"/>
                <w:sz w:val="20"/>
                <w:szCs w:val="20"/>
              </w:rPr>
              <w:t>（1）底座采用材料厚度δ≥2.3mm 热轧钢板，底座轧制成开放矩形结构。</w:t>
            </w:r>
          </w:p>
          <w:p>
            <w:pPr>
              <w:jc w:val="left"/>
              <w:rPr>
                <w:rFonts w:hint="eastAsia" w:ascii="宋体" w:hAnsi="宋体" w:eastAsia="宋体" w:cs="宋体"/>
                <w:sz w:val="20"/>
                <w:szCs w:val="20"/>
              </w:rPr>
            </w:pPr>
            <w:r>
              <w:rPr>
                <w:rFonts w:hint="eastAsia" w:ascii="宋体" w:hAnsi="宋体" w:eastAsia="宋体" w:cs="宋体"/>
                <w:sz w:val="20"/>
                <w:szCs w:val="20"/>
              </w:rPr>
              <w:t>（2）轨芯为高20 mm×宽20 mm的实芯钢制作。</w:t>
            </w:r>
          </w:p>
          <w:p>
            <w:pPr>
              <w:jc w:val="left"/>
              <w:rPr>
                <w:rFonts w:hint="eastAsia" w:ascii="宋体" w:hAnsi="宋体" w:eastAsia="宋体" w:cs="宋体"/>
                <w:sz w:val="20"/>
                <w:szCs w:val="20"/>
              </w:rPr>
            </w:pPr>
            <w:r>
              <w:rPr>
                <w:rFonts w:hint="eastAsia" w:ascii="宋体" w:hAnsi="宋体" w:eastAsia="宋体" w:cs="宋体"/>
                <w:sz w:val="20"/>
                <w:szCs w:val="20"/>
              </w:rPr>
              <w:t>（3）底座宽度为120（±2）mm。</w:t>
            </w:r>
          </w:p>
          <w:p>
            <w:pPr>
              <w:jc w:val="left"/>
              <w:rPr>
                <w:rFonts w:hint="eastAsia" w:ascii="宋体" w:hAnsi="宋体" w:eastAsia="宋体" w:cs="宋体"/>
                <w:sz w:val="20"/>
                <w:szCs w:val="20"/>
              </w:rPr>
            </w:pPr>
            <w:r>
              <w:rPr>
                <w:rFonts w:hint="eastAsia" w:ascii="宋体" w:hAnsi="宋体" w:eastAsia="宋体" w:cs="宋体"/>
                <w:sz w:val="20"/>
                <w:szCs w:val="20"/>
              </w:rPr>
              <w:t>（4）轨芯与底座采用明暗焊接方式进行焊接，以及轨道与轨道相连处采用公母焊接方式。</w:t>
            </w:r>
          </w:p>
          <w:p>
            <w:pPr>
              <w:jc w:val="left"/>
              <w:rPr>
                <w:rFonts w:hAnsi="宋体" w:cs="宋体" w:asciiTheme="minorHAnsi"/>
                <w:b/>
                <w:bCs/>
                <w:spacing w:val="-20"/>
                <w:kern w:val="44"/>
                <w:sz w:val="20"/>
                <w:szCs w:val="20"/>
              </w:rPr>
            </w:pPr>
            <w:r>
              <w:rPr>
                <w:rFonts w:hint="eastAsia" w:hAnsi="宋体" w:asciiTheme="minorHAnsi"/>
                <w:b/>
                <w:bCs/>
                <w:sz w:val="20"/>
                <w:szCs w:val="20"/>
              </w:rPr>
              <w:t>（四）防护装置：</w:t>
            </w:r>
          </w:p>
          <w:p>
            <w:pPr>
              <w:jc w:val="left"/>
              <w:rPr>
                <w:rFonts w:hAnsi="宋体" w:asciiTheme="minorHAnsi"/>
                <w:sz w:val="20"/>
                <w:szCs w:val="20"/>
              </w:rPr>
            </w:pPr>
            <w:r>
              <w:rPr>
                <w:rFonts w:hint="eastAsia" w:hAnsi="宋体" w:asciiTheme="minorHAnsi"/>
                <w:sz w:val="20"/>
                <w:szCs w:val="20"/>
              </w:rPr>
              <w:t>（1）减震及密封装置：采用带磁性橡胶密封条达到密集架的减震及密封功能，为防止密封条脱落，密封条采用卡槽方式固定，卡槽材质为PVC阻燃材料。</w:t>
            </w:r>
          </w:p>
          <w:p>
            <w:pPr>
              <w:jc w:val="left"/>
              <w:rPr>
                <w:rFonts w:hAnsi="宋体" w:asciiTheme="minorHAnsi"/>
                <w:sz w:val="20"/>
                <w:szCs w:val="20"/>
              </w:rPr>
            </w:pPr>
            <w:r>
              <w:rPr>
                <w:rFonts w:hint="eastAsia" w:hAnsi="宋体" w:asciiTheme="minorHAnsi"/>
                <w:sz w:val="20"/>
                <w:szCs w:val="20"/>
              </w:rPr>
              <w:t>（2）防倾倒装置：底盘上安装有防倒勾，与轨道相连，采用材料厚度δ≥3.0 ㎜ 304#不锈钢制作。</w:t>
            </w:r>
          </w:p>
          <w:p>
            <w:pPr>
              <w:jc w:val="left"/>
              <w:rPr>
                <w:rFonts w:hAnsi="宋体" w:asciiTheme="minorHAnsi"/>
                <w:sz w:val="20"/>
                <w:szCs w:val="20"/>
              </w:rPr>
            </w:pPr>
            <w:r>
              <w:rPr>
                <w:rFonts w:hint="eastAsia" w:hAnsi="宋体" w:asciiTheme="minorHAnsi"/>
                <w:sz w:val="20"/>
                <w:szCs w:val="20"/>
              </w:rPr>
              <w:t>（3）防尘：采用材料厚度δ≥</w:t>
            </w:r>
            <w:r>
              <w:rPr>
                <w:rFonts w:hAnsi="宋体" w:asciiTheme="minorHAnsi"/>
                <w:sz w:val="20"/>
                <w:szCs w:val="20"/>
              </w:rPr>
              <w:t>0.7</w:t>
            </w:r>
            <w:r>
              <w:rPr>
                <w:rFonts w:hint="eastAsia" w:hAnsi="宋体" w:asciiTheme="minorHAnsi"/>
                <w:sz w:val="20"/>
                <w:szCs w:val="20"/>
              </w:rPr>
              <w:t xml:space="preserve"> ㎜冷轧钢板制作。在架体顶部装有防尘板，合拢后无空缝，功能达到防火、防尘、防盗、防光要求。</w:t>
            </w:r>
          </w:p>
          <w:p>
            <w:pPr>
              <w:jc w:val="left"/>
              <w:rPr>
                <w:rFonts w:hAnsi="宋体" w:asciiTheme="minorHAnsi"/>
                <w:sz w:val="20"/>
                <w:szCs w:val="20"/>
              </w:rPr>
            </w:pPr>
            <w:r>
              <w:rPr>
                <w:rFonts w:hint="eastAsia" w:hAnsi="宋体" w:asciiTheme="minorHAnsi"/>
                <w:sz w:val="20"/>
                <w:szCs w:val="20"/>
              </w:rPr>
              <w:t>（4）限位装置：轨道两端安装限位块，防止密集书架运行过程中脱轨。</w:t>
            </w:r>
          </w:p>
          <w:p>
            <w:pPr>
              <w:jc w:val="left"/>
              <w:rPr>
                <w:rFonts w:hAnsi="宋体" w:asciiTheme="minorHAnsi"/>
                <w:b/>
                <w:bCs/>
                <w:sz w:val="20"/>
                <w:szCs w:val="20"/>
              </w:rPr>
            </w:pPr>
            <w:r>
              <w:rPr>
                <w:rFonts w:hint="eastAsia" w:hAnsi="宋体" w:asciiTheme="minorHAnsi"/>
                <w:b/>
                <w:bCs/>
                <w:sz w:val="20"/>
                <w:szCs w:val="20"/>
              </w:rPr>
              <w:t>（五）边门和主副侧板设计要求：</w:t>
            </w:r>
          </w:p>
          <w:p>
            <w:pPr>
              <w:jc w:val="left"/>
              <w:rPr>
                <w:rFonts w:hAnsi="宋体" w:asciiTheme="minorHAnsi"/>
                <w:sz w:val="20"/>
                <w:szCs w:val="20"/>
              </w:rPr>
            </w:pPr>
            <w:r>
              <w:rPr>
                <w:rFonts w:hint="eastAsia" w:hAnsi="宋体" w:asciiTheme="minorHAnsi"/>
                <w:sz w:val="20"/>
                <w:szCs w:val="20"/>
              </w:rPr>
              <w:t xml:space="preserve">（1）边门设计：密集架边列均要求配有上下分体的带锁内嵌式对开门，门手柄造型要求美观大方，便于使用。 </w:t>
            </w:r>
          </w:p>
          <w:p>
            <w:pPr>
              <w:jc w:val="left"/>
              <w:rPr>
                <w:rFonts w:hAnsi="宋体" w:asciiTheme="minorHAnsi"/>
                <w:sz w:val="20"/>
                <w:szCs w:val="20"/>
              </w:rPr>
            </w:pPr>
            <w:r>
              <w:rPr>
                <w:rFonts w:hint="eastAsia" w:hAnsi="宋体" w:asciiTheme="minorHAnsi"/>
                <w:sz w:val="20"/>
                <w:szCs w:val="20"/>
              </w:rPr>
              <w:t>（2）侧板标签框：采用一次冲压成型的1个标签框，标签框规格为305㎜×215㎜（±2㎜）。</w:t>
            </w:r>
          </w:p>
          <w:p>
            <w:pPr>
              <w:jc w:val="left"/>
              <w:rPr>
                <w:rFonts w:asciiTheme="minorHAnsi"/>
                <w:sz w:val="20"/>
                <w:szCs w:val="20"/>
              </w:rPr>
            </w:pPr>
            <w:r>
              <w:rPr>
                <w:rFonts w:hint="eastAsia" w:hAnsi="宋体" w:asciiTheme="minorHAnsi"/>
                <w:sz w:val="20"/>
                <w:szCs w:val="20"/>
              </w:rPr>
              <w:t>（3）外观设计：在标签框上方设计棱形装饰孔，单个规格为10㎜×10㎜（±1㎜），采用横8竖8均匀布局。密集架主副侧板均采用双色配色搭配，颜色要求为密集架门板、搁板、挂板、立中板、挡条、以及主副侧板中间部分等喷象牙白桔纹磨砂塑粉，顶板、门框、底座以及主副侧板边装饰条喷桔纹磨砂灰色塑粉。</w:t>
            </w:r>
          </w:p>
          <w:p>
            <w:pPr>
              <w:jc w:val="left"/>
              <w:rPr>
                <w:rFonts w:hint="eastAsia" w:hAnsi="宋体" w:asciiTheme="minorHAnsi"/>
                <w:color w:val="auto"/>
                <w:sz w:val="20"/>
                <w:szCs w:val="20"/>
              </w:rPr>
            </w:pPr>
            <w:r>
              <w:rPr>
                <w:rFonts w:hint="eastAsia" w:ascii="宋体" w:hAnsi="宋体" w:eastAsia="宋体" w:cs="宋体"/>
                <w:sz w:val="20"/>
                <w:szCs w:val="20"/>
              </w:rPr>
              <w:t>（4）边列门锁设计：密集架每个单元首尾列（即边列）均带门，边列均要求配有上下分体的带锁内嵌式对开门，门拉手要求采用帆型镀铬扣手，拉手规格</w:t>
            </w:r>
            <w:r>
              <w:rPr>
                <w:rFonts w:hint="eastAsia" w:hAnsi="宋体" w:asciiTheme="minorHAnsi"/>
                <w:sz w:val="20"/>
                <w:szCs w:val="20"/>
              </w:rPr>
              <w:t>130*65mm（±2.0mm）（该尺寸为整个拉手机构最长和最宽处尺寸），拉手板可以翻动，并在失去外力约束后自动回位。扣手板采用</w:t>
            </w:r>
            <w:r>
              <w:rPr>
                <w:rFonts w:hAnsi="宋体" w:asciiTheme="minorHAnsi"/>
                <w:sz w:val="20"/>
                <w:szCs w:val="20"/>
              </w:rPr>
              <w:t>ABS</w:t>
            </w:r>
            <w:r>
              <w:rPr>
                <w:rFonts w:hint="eastAsia" w:hAnsi="宋体" w:asciiTheme="minorHAnsi"/>
                <w:sz w:val="20"/>
                <w:szCs w:val="20"/>
              </w:rPr>
              <w:t>注塑成型，，扣手下方外带明锁。边列门四角处压有回纹，尺寸大于110*110mm，压筋高度为1.5mm，组合方式采用一个单体方型回纹和两个一笔连环型回纹</w:t>
            </w:r>
            <w:r>
              <w:rPr>
                <w:rFonts w:hint="eastAsia" w:hAnsi="宋体" w:asciiTheme="minorHAnsi"/>
                <w:color w:val="auto"/>
                <w:sz w:val="20"/>
                <w:szCs w:val="20"/>
              </w:rPr>
              <w:t>。</w:t>
            </w:r>
          </w:p>
          <w:p>
            <w:pPr>
              <w:jc w:val="left"/>
              <w:rPr>
                <w:rFonts w:hAnsi="宋体" w:asciiTheme="minorHAnsi"/>
                <w:sz w:val="20"/>
                <w:szCs w:val="20"/>
              </w:rPr>
            </w:pPr>
            <w:r>
              <w:rPr>
                <w:rFonts w:hint="eastAsia" w:hAnsi="宋体" w:asciiTheme="minorHAnsi"/>
                <w:sz w:val="20"/>
                <w:szCs w:val="20"/>
              </w:rPr>
              <w:t>板制作如图：</w:t>
            </w:r>
          </w:p>
          <w:p>
            <w:pPr>
              <w:pStyle w:val="2"/>
            </w:pPr>
            <w:r>
              <w:drawing>
                <wp:inline distT="0" distB="0" distL="0" distR="0">
                  <wp:extent cx="1638935" cy="2185035"/>
                  <wp:effectExtent l="0" t="0" r="12065" b="571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638935" cy="2185035"/>
                          </a:xfrm>
                          <a:prstGeom prst="rect">
                            <a:avLst/>
                          </a:prstGeom>
                          <a:noFill/>
                          <a:ln>
                            <a:noFill/>
                          </a:ln>
                        </pic:spPr>
                      </pic:pic>
                    </a:graphicData>
                  </a:graphic>
                </wp:inline>
              </w:drawing>
            </w:r>
          </w:p>
          <w:p>
            <w:pPr>
              <w:jc w:val="left"/>
              <w:rPr>
                <w:rFonts w:hAnsi="宋体" w:asciiTheme="minorHAnsi"/>
                <w:b/>
                <w:bCs/>
                <w:sz w:val="20"/>
                <w:szCs w:val="20"/>
              </w:rPr>
            </w:pPr>
            <w:r>
              <w:rPr>
                <w:rFonts w:hint="eastAsia" w:hAnsi="宋体" w:asciiTheme="minorHAnsi"/>
                <w:b/>
                <w:bCs/>
                <w:sz w:val="20"/>
                <w:szCs w:val="20"/>
              </w:rPr>
              <w:t>（六）生产工艺要求：</w:t>
            </w:r>
          </w:p>
          <w:p>
            <w:pPr>
              <w:jc w:val="left"/>
              <w:rPr>
                <w:rFonts w:hAnsi="宋体" w:asciiTheme="minorHAnsi"/>
                <w:sz w:val="20"/>
                <w:szCs w:val="20"/>
              </w:rPr>
            </w:pPr>
            <w:r>
              <w:rPr>
                <w:rFonts w:hint="eastAsia" w:hAnsi="宋体" w:asciiTheme="minorHAnsi"/>
                <w:sz w:val="20"/>
                <w:szCs w:val="20"/>
              </w:rPr>
              <w:t>（1）钣金件质量：所有钣金件、机加件加工后应无毛刺、无裂纹；所有板材部件均不可焊拼接，要求一体成型；除底盘结构拼接外，其余部件原材料严禁采用人为拼接方式生产部件。</w:t>
            </w:r>
          </w:p>
          <w:p>
            <w:pPr>
              <w:jc w:val="left"/>
              <w:rPr>
                <w:rFonts w:hAnsi="宋体" w:asciiTheme="minorHAnsi"/>
                <w:sz w:val="20"/>
                <w:szCs w:val="20"/>
              </w:rPr>
            </w:pPr>
            <w:r>
              <w:rPr>
                <w:rFonts w:hint="eastAsia" w:hAnsi="宋体" w:asciiTheme="minorHAnsi"/>
                <w:sz w:val="20"/>
                <w:szCs w:val="20"/>
              </w:rPr>
              <w:t>（2）表面处理：前处理工序：各部零件在涂覆前，必须进行预脱脂-脱脂-水洗-酸洗-水洗-中和-表调-皮膜-水洗-钝化十工位表面前处理工序，所用标准件及紧固件均需氧化或镀锌处理。</w:t>
            </w:r>
          </w:p>
          <w:p>
            <w:pPr>
              <w:jc w:val="left"/>
              <w:rPr>
                <w:rFonts w:hAnsi="宋体" w:asciiTheme="minorHAnsi"/>
                <w:sz w:val="20"/>
                <w:szCs w:val="20"/>
              </w:rPr>
            </w:pPr>
            <w:r>
              <w:rPr>
                <w:rFonts w:hint="eastAsia" w:hAnsi="宋体" w:asciiTheme="minorHAnsi"/>
                <w:sz w:val="20"/>
                <w:szCs w:val="20"/>
              </w:rPr>
              <w:t>（3）喷塑粉料：经过表面酸洗皮膜处理工艺后，采用  粉末进行喷塑</w:t>
            </w:r>
          </w:p>
          <w:p>
            <w:pPr>
              <w:jc w:val="left"/>
              <w:rPr>
                <w:rFonts w:hAnsi="宋体"/>
                <w:sz w:val="20"/>
                <w:szCs w:val="20"/>
              </w:rPr>
            </w:pPr>
            <w:r>
              <w:rPr>
                <w:rFonts w:hint="eastAsia" w:hAnsi="宋体" w:asciiTheme="minorHAnsi"/>
                <w:sz w:val="20"/>
                <w:szCs w:val="20"/>
              </w:rPr>
              <w:t>（4）喷塑要求：涂层表面应光滑平整，色泽均匀一致，不应有流挂、起粒、皱皮、露底、剥落、伤痕等缺陷；密集架各工件弯角、边角折弯处不允许出现漏喷塑粉情况。</w:t>
            </w:r>
          </w:p>
        </w:tc>
        <w:tc>
          <w:tcPr>
            <w:tcW w:w="695" w:type="dxa"/>
            <w:vAlign w:val="center"/>
          </w:tcPr>
          <w:p>
            <w:pPr>
              <w:jc w:val="center"/>
              <w:rPr>
                <w:rFonts w:hAnsi="宋体" w:cs="宋体"/>
                <w:sz w:val="20"/>
                <w:szCs w:val="20"/>
              </w:rPr>
            </w:pPr>
            <w:r>
              <w:rPr>
                <w:rFonts w:asciiTheme="minorHAnsi"/>
                <w:sz w:val="20"/>
                <w:szCs w:val="20"/>
              </w:rPr>
              <w:t>159.7</w:t>
            </w:r>
            <w:r>
              <w:rPr>
                <w:rFonts w:hint="eastAsia" w:asciiTheme="minorHAnsi"/>
                <w:sz w:val="20"/>
                <w:szCs w:val="20"/>
              </w:rPr>
              <w:t xml:space="preserve">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1850</w:t>
            </w:r>
          </w:p>
        </w:tc>
        <w:tc>
          <w:tcPr>
            <w:tcW w:w="551" w:type="dxa"/>
            <w:vAlign w:val="center"/>
          </w:tcPr>
          <w:p>
            <w:pPr>
              <w:jc w:val="center"/>
              <w:rPr>
                <w:rFonts w:hAnsi="宋体" w:cs="宋体"/>
                <w:sz w:val="20"/>
                <w:szCs w:val="20"/>
              </w:rPr>
            </w:pPr>
            <w:r>
              <w:rPr>
                <w:rFonts w:hint="eastAsia" w:asciiTheme="minorHAnsi"/>
                <w:sz w:val="20"/>
                <w:szCs w:val="20"/>
              </w:rPr>
              <w:t>立方米</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295445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长条凳</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784860" cy="621030"/>
                  <wp:effectExtent l="0" t="0" r="8890" b="13970"/>
                  <wp:docPr id="167" name="图片 60" descr="ec29d691aa83e271e6a0d74fa5a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0" descr="ec29d691aa83e271e6a0d74fa5a8790"/>
                          <pic:cNvPicPr>
                            <a:picLocks noChangeAspect="1" noChangeArrowheads="1"/>
                          </pic:cNvPicPr>
                        </pic:nvPicPr>
                        <pic:blipFill>
                          <a:blip r:embed="rId54" cstate="print"/>
                          <a:srcRect/>
                          <a:stretch>
                            <a:fillRect/>
                          </a:stretch>
                        </pic:blipFill>
                        <pic:spPr>
                          <a:xfrm>
                            <a:off x="0" y="0"/>
                            <a:ext cx="784860" cy="62103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1200*400*450</w:t>
            </w:r>
          </w:p>
        </w:tc>
        <w:tc>
          <w:tcPr>
            <w:tcW w:w="3795" w:type="dxa"/>
            <w:vAlign w:val="center"/>
          </w:tcPr>
          <w:p>
            <w:pPr>
              <w:jc w:val="left"/>
              <w:rPr>
                <w:rFonts w:hAnsi="宋体" w:cs="宋体"/>
                <w:sz w:val="20"/>
                <w:szCs w:val="20"/>
              </w:rPr>
            </w:pPr>
            <w:r>
              <w:rPr>
                <w:rFonts w:hint="eastAsia" w:hAnsi="宋体" w:asciiTheme="minorHAnsi"/>
                <w:sz w:val="20"/>
                <w:szCs w:val="20"/>
              </w:rPr>
              <w:t>钢架经喷塑而成，管壁厚度1.2mm,；坐面为25mm厚颗粒板，PVC封边。</w:t>
            </w:r>
          </w:p>
        </w:tc>
        <w:tc>
          <w:tcPr>
            <w:tcW w:w="695" w:type="dxa"/>
            <w:vAlign w:val="center"/>
          </w:tcPr>
          <w:p>
            <w:pPr>
              <w:jc w:val="center"/>
              <w:rPr>
                <w:rFonts w:hAnsi="宋体" w:cs="宋体"/>
                <w:sz w:val="20"/>
                <w:szCs w:val="20"/>
              </w:rPr>
            </w:pPr>
            <w:r>
              <w:rPr>
                <w:rFonts w:hint="eastAsia" w:asciiTheme="minorHAnsi"/>
                <w:sz w:val="20"/>
                <w:szCs w:val="20"/>
              </w:rPr>
              <w:t xml:space="preserve">4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880</w:t>
            </w:r>
          </w:p>
        </w:tc>
        <w:tc>
          <w:tcPr>
            <w:tcW w:w="551" w:type="dxa"/>
            <w:vAlign w:val="center"/>
          </w:tcPr>
          <w:p>
            <w:pPr>
              <w:jc w:val="center"/>
              <w:rPr>
                <w:rFonts w:hAnsi="宋体" w:cs="宋体"/>
                <w:sz w:val="20"/>
                <w:szCs w:val="20"/>
              </w:rPr>
            </w:pPr>
            <w:r>
              <w:rPr>
                <w:rFonts w:hint="eastAsia" w:asciiTheme="minorHAnsi"/>
                <w:sz w:val="20"/>
                <w:szCs w:val="20"/>
              </w:rPr>
              <w:t>张</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34" w:type="dxa"/>
            <w:vAlign w:val="center"/>
          </w:tcPr>
          <w:p>
            <w:pPr>
              <w:jc w:val="center"/>
              <w:rPr>
                <w:rFonts w:hAnsi="宋体" w:cs="宋体"/>
                <w:sz w:val="20"/>
                <w:szCs w:val="20"/>
              </w:rPr>
            </w:pPr>
            <w:r>
              <w:rPr>
                <w:rFonts w:hint="eastAsia" w:asciiTheme="minorHAnsi"/>
                <w:sz w:val="20"/>
                <w:szCs w:val="20"/>
              </w:rPr>
              <w:t>独凳</w:t>
            </w:r>
          </w:p>
        </w:tc>
        <w:tc>
          <w:tcPr>
            <w:tcW w:w="1753" w:type="dxa"/>
            <w:vAlign w:val="center"/>
          </w:tcPr>
          <w:p>
            <w:pPr>
              <w:jc w:val="center"/>
              <w:rPr>
                <w:rFonts w:hAnsi="宋体"/>
                <w:bCs/>
                <w:sz w:val="20"/>
                <w:szCs w:val="20"/>
              </w:rPr>
            </w:pPr>
            <w:r>
              <w:rPr>
                <w:rFonts w:asciiTheme="minorHAnsi"/>
                <w:sz w:val="20"/>
                <w:szCs w:val="20"/>
              </w:rPr>
              <w:drawing>
                <wp:inline distT="0" distB="0" distL="0" distR="0">
                  <wp:extent cx="466725" cy="578485"/>
                  <wp:effectExtent l="0" t="0" r="9525" b="8890"/>
                  <wp:docPr id="16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9"/>
                          <pic:cNvPicPr>
                            <a:picLocks noChangeAspect="1" noChangeArrowheads="1"/>
                          </pic:cNvPicPr>
                        </pic:nvPicPr>
                        <pic:blipFill>
                          <a:blip r:embed="rId55" cstate="print"/>
                          <a:srcRect/>
                          <a:stretch>
                            <a:fillRect/>
                          </a:stretch>
                        </pic:blipFill>
                        <pic:spPr>
                          <a:xfrm>
                            <a:off x="0" y="0"/>
                            <a:ext cx="466090" cy="57785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cs="宋体"/>
                <w:sz w:val="20"/>
                <w:szCs w:val="20"/>
              </w:rPr>
            </w:pPr>
            <w:r>
              <w:rPr>
                <w:rFonts w:hint="eastAsia" w:asciiTheme="minorHAnsi"/>
                <w:sz w:val="20"/>
                <w:szCs w:val="20"/>
              </w:rPr>
              <w:t>Φ330*450</w:t>
            </w:r>
          </w:p>
        </w:tc>
        <w:tc>
          <w:tcPr>
            <w:tcW w:w="3795" w:type="dxa"/>
            <w:vAlign w:val="center"/>
          </w:tcPr>
          <w:p>
            <w:pPr>
              <w:jc w:val="left"/>
              <w:rPr>
                <w:rFonts w:hAnsi="宋体" w:cs="宋体"/>
                <w:sz w:val="20"/>
                <w:szCs w:val="20"/>
              </w:rPr>
            </w:pPr>
            <w:r>
              <w:rPr>
                <w:rFonts w:hint="eastAsia" w:hAnsi="宋体" w:asciiTheme="minorHAnsi"/>
                <w:sz w:val="20"/>
                <w:szCs w:val="20"/>
              </w:rPr>
              <w:t>座板选用一次注塑发泡成型，颜色可选，凳架选用20mm圆管，壁厚1.2mm,经电镀而成，可重叠。</w:t>
            </w:r>
          </w:p>
        </w:tc>
        <w:tc>
          <w:tcPr>
            <w:tcW w:w="695" w:type="dxa"/>
            <w:vAlign w:val="center"/>
          </w:tcPr>
          <w:p>
            <w:pPr>
              <w:jc w:val="center"/>
              <w:rPr>
                <w:rFonts w:hAnsi="宋体" w:cs="宋体"/>
                <w:sz w:val="20"/>
                <w:szCs w:val="20"/>
              </w:rPr>
            </w:pPr>
            <w:r>
              <w:rPr>
                <w:rFonts w:hint="eastAsia" w:asciiTheme="minorHAnsi"/>
                <w:sz w:val="20"/>
                <w:szCs w:val="20"/>
              </w:rPr>
              <w:t xml:space="preserve">30 </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110</w:t>
            </w:r>
          </w:p>
        </w:tc>
        <w:tc>
          <w:tcPr>
            <w:tcW w:w="551" w:type="dxa"/>
            <w:vAlign w:val="center"/>
          </w:tcPr>
          <w:p>
            <w:pPr>
              <w:jc w:val="center"/>
              <w:rPr>
                <w:rFonts w:hAnsi="宋体" w:cs="宋体"/>
                <w:sz w:val="20"/>
                <w:szCs w:val="20"/>
              </w:rPr>
            </w:pPr>
            <w:r>
              <w:rPr>
                <w:rFonts w:hint="eastAsia" w:asciiTheme="minorHAnsi"/>
                <w:sz w:val="20"/>
                <w:szCs w:val="20"/>
              </w:rPr>
              <w:t>把</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634" w:type="dxa"/>
            <w:vAlign w:val="center"/>
          </w:tcPr>
          <w:p>
            <w:pPr>
              <w:jc w:val="center"/>
              <w:rPr>
                <w:sz w:val="20"/>
                <w:szCs w:val="20"/>
              </w:rPr>
            </w:pPr>
            <w:r>
              <w:rPr>
                <w:rFonts w:hint="eastAsia" w:asciiTheme="minorHAnsi"/>
                <w:sz w:val="20"/>
                <w:szCs w:val="20"/>
              </w:rPr>
              <w:t>订制组合沙发</w:t>
            </w:r>
          </w:p>
        </w:tc>
        <w:tc>
          <w:tcPr>
            <w:tcW w:w="1753" w:type="dxa"/>
            <w:vAlign w:val="center"/>
          </w:tcPr>
          <w:p>
            <w:pPr>
              <w:jc w:val="center"/>
              <w:rPr>
                <w:sz w:val="20"/>
                <w:szCs w:val="20"/>
              </w:rPr>
            </w:pPr>
            <w:r>
              <w:rPr>
                <w:rFonts w:asciiTheme="minorHAnsi"/>
                <w:sz w:val="20"/>
                <w:szCs w:val="20"/>
              </w:rPr>
              <w:drawing>
                <wp:inline distT="0" distB="0" distL="0" distR="0">
                  <wp:extent cx="923290" cy="802005"/>
                  <wp:effectExtent l="0" t="0" r="13335" b="7620"/>
                  <wp:docPr id="1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8"/>
                          <pic:cNvPicPr>
                            <a:picLocks noChangeAspect="1" noChangeArrowheads="1"/>
                          </pic:cNvPicPr>
                        </pic:nvPicPr>
                        <pic:blipFill>
                          <a:blip r:embed="rId56" cstate="print"/>
                          <a:srcRect/>
                          <a:stretch>
                            <a:fillRect/>
                          </a:stretch>
                        </pic:blipFill>
                        <pic:spPr>
                          <a:xfrm>
                            <a:off x="0" y="0"/>
                            <a:ext cx="923290" cy="802005"/>
                          </a:xfrm>
                          <a:prstGeom prst="rect">
                            <a:avLst/>
                          </a:prstGeom>
                          <a:noFill/>
                          <a:ln w="9525" cmpd="sng">
                            <a:noFill/>
                            <a:miter lim="800000"/>
                            <a:headEnd/>
                            <a:tailEnd/>
                          </a:ln>
                        </pic:spPr>
                      </pic:pic>
                    </a:graphicData>
                  </a:graphic>
                </wp:inline>
              </w:drawing>
            </w:r>
          </w:p>
        </w:tc>
        <w:tc>
          <w:tcPr>
            <w:tcW w:w="1108" w:type="dxa"/>
            <w:vAlign w:val="center"/>
          </w:tcPr>
          <w:p>
            <w:pPr>
              <w:jc w:val="center"/>
              <w:rPr>
                <w:sz w:val="20"/>
                <w:szCs w:val="20"/>
              </w:rPr>
            </w:pPr>
            <w:r>
              <w:rPr>
                <w:rFonts w:hint="eastAsia" w:asciiTheme="minorHAnsi"/>
                <w:sz w:val="20"/>
                <w:szCs w:val="20"/>
              </w:rPr>
              <w:t>1800*1800*460</w:t>
            </w:r>
          </w:p>
        </w:tc>
        <w:tc>
          <w:tcPr>
            <w:tcW w:w="3795" w:type="dxa"/>
            <w:vAlign w:val="center"/>
          </w:tcPr>
          <w:p>
            <w:pPr>
              <w:jc w:val="left"/>
              <w:rPr>
                <w:rFonts w:hAnsi="宋体" w:asciiTheme="minorHAnsi"/>
                <w:sz w:val="20"/>
                <w:szCs w:val="20"/>
              </w:rPr>
            </w:pPr>
            <w:r>
              <w:rPr>
                <w:rFonts w:hint="eastAsia" w:hAnsi="宋体" w:asciiTheme="minorHAnsi"/>
                <w:sz w:val="20"/>
                <w:szCs w:val="20"/>
              </w:rPr>
              <w:t>面料：选用真皮面料，泡绵：采用成型不助燃海棉，不锈钢架。</w:t>
            </w:r>
          </w:p>
          <w:p>
            <w:pPr>
              <w:jc w:val="left"/>
              <w:rPr>
                <w:rFonts w:hAnsi="宋体"/>
                <w:sz w:val="20"/>
                <w:szCs w:val="20"/>
              </w:rPr>
            </w:pPr>
            <w:r>
              <w:rPr>
                <w:rFonts w:hint="eastAsia" w:hAnsi="宋体" w:asciiTheme="minorHAnsi"/>
                <w:sz w:val="20"/>
                <w:szCs w:val="20"/>
              </w:rPr>
              <w:t>颜色可选。</w:t>
            </w:r>
          </w:p>
        </w:tc>
        <w:tc>
          <w:tcPr>
            <w:tcW w:w="695" w:type="dxa"/>
            <w:vAlign w:val="center"/>
          </w:tcPr>
          <w:p>
            <w:pPr>
              <w:jc w:val="center"/>
              <w:rPr>
                <w:sz w:val="20"/>
                <w:szCs w:val="20"/>
              </w:rPr>
            </w:pPr>
            <w:r>
              <w:rPr>
                <w:rFonts w:hint="eastAsia" w:asciiTheme="minorHAnsi"/>
                <w:sz w:val="20"/>
                <w:szCs w:val="20"/>
              </w:rPr>
              <w:t>36</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5050</w:t>
            </w:r>
          </w:p>
        </w:tc>
        <w:tc>
          <w:tcPr>
            <w:tcW w:w="551" w:type="dxa"/>
            <w:vAlign w:val="center"/>
          </w:tcPr>
          <w:p>
            <w:pPr>
              <w:jc w:val="center"/>
              <w:rPr>
                <w:sz w:val="20"/>
                <w:szCs w:val="20"/>
              </w:rPr>
            </w:pPr>
            <w:r>
              <w:rPr>
                <w:rFonts w:hint="eastAsia" w:asciiTheme="minorHAnsi"/>
                <w:sz w:val="20"/>
                <w:szCs w:val="20"/>
              </w:rPr>
              <w:t>套</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181800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634" w:type="dxa"/>
            <w:vAlign w:val="center"/>
          </w:tcPr>
          <w:p>
            <w:pPr>
              <w:jc w:val="center"/>
              <w:rPr>
                <w:sz w:val="20"/>
                <w:szCs w:val="20"/>
              </w:rPr>
            </w:pPr>
            <w:r>
              <w:rPr>
                <w:rFonts w:hint="eastAsia" w:asciiTheme="minorHAnsi"/>
                <w:sz w:val="20"/>
                <w:szCs w:val="20"/>
              </w:rPr>
              <w:t>订制儿童沙发</w:t>
            </w:r>
          </w:p>
        </w:tc>
        <w:tc>
          <w:tcPr>
            <w:tcW w:w="1753" w:type="dxa"/>
            <w:vAlign w:val="center"/>
          </w:tcPr>
          <w:p>
            <w:pPr>
              <w:jc w:val="center"/>
              <w:rPr>
                <w:sz w:val="20"/>
                <w:szCs w:val="20"/>
              </w:rPr>
            </w:pPr>
            <w:r>
              <w:rPr>
                <w:rFonts w:asciiTheme="minorHAnsi"/>
                <w:sz w:val="20"/>
                <w:szCs w:val="20"/>
              </w:rPr>
              <w:drawing>
                <wp:inline distT="0" distB="0" distL="0" distR="0">
                  <wp:extent cx="655320" cy="707390"/>
                  <wp:effectExtent l="0" t="0" r="11430" b="6985"/>
                  <wp:docPr id="17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57"/>
                          <pic:cNvPicPr>
                            <a:picLocks noChangeAspect="1" noChangeArrowheads="1"/>
                          </pic:cNvPicPr>
                        </pic:nvPicPr>
                        <pic:blipFill>
                          <a:blip r:embed="rId57" cstate="print"/>
                          <a:srcRect/>
                          <a:stretch>
                            <a:fillRect/>
                          </a:stretch>
                        </pic:blipFill>
                        <pic:spPr>
                          <a:xfrm>
                            <a:off x="0" y="0"/>
                            <a:ext cx="655320" cy="70739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sz w:val="20"/>
                <w:szCs w:val="20"/>
              </w:rPr>
            </w:pPr>
            <w:r>
              <w:rPr>
                <w:rFonts w:hint="eastAsia" w:hAnsi="宋体" w:asciiTheme="minorHAnsi"/>
                <w:sz w:val="20"/>
                <w:szCs w:val="20"/>
              </w:rPr>
              <w:t>1600*3800*420</w:t>
            </w:r>
          </w:p>
        </w:tc>
        <w:tc>
          <w:tcPr>
            <w:tcW w:w="3795" w:type="dxa"/>
            <w:vAlign w:val="center"/>
          </w:tcPr>
          <w:p>
            <w:pPr>
              <w:jc w:val="left"/>
              <w:rPr>
                <w:rFonts w:hAnsi="宋体" w:asciiTheme="minorHAnsi"/>
                <w:sz w:val="20"/>
                <w:szCs w:val="20"/>
              </w:rPr>
            </w:pPr>
            <w:r>
              <w:rPr>
                <w:rFonts w:hint="eastAsia" w:hAnsi="宋体" w:asciiTheme="minorHAnsi"/>
                <w:sz w:val="20"/>
                <w:szCs w:val="20"/>
              </w:rPr>
              <w:t>面料：选用真皮面料，泡绵：采用成型不助燃海棉。</w:t>
            </w:r>
          </w:p>
          <w:p>
            <w:pPr>
              <w:jc w:val="left"/>
              <w:rPr>
                <w:rFonts w:hAnsi="宋体"/>
                <w:sz w:val="20"/>
                <w:szCs w:val="20"/>
              </w:rPr>
            </w:pPr>
            <w:r>
              <w:rPr>
                <w:rFonts w:hint="eastAsia" w:hAnsi="宋体" w:asciiTheme="minorHAnsi"/>
                <w:sz w:val="20"/>
                <w:szCs w:val="20"/>
              </w:rPr>
              <w:t>颜色可选。</w:t>
            </w:r>
          </w:p>
        </w:tc>
        <w:tc>
          <w:tcPr>
            <w:tcW w:w="695" w:type="dxa"/>
            <w:vAlign w:val="center"/>
          </w:tcPr>
          <w:p>
            <w:pPr>
              <w:jc w:val="center"/>
              <w:rPr>
                <w:sz w:val="20"/>
                <w:szCs w:val="20"/>
              </w:rPr>
            </w:pPr>
            <w:r>
              <w:rPr>
                <w:rFonts w:hint="eastAsia" w:asciiTheme="minorHAnsi"/>
                <w:sz w:val="20"/>
                <w:szCs w:val="20"/>
              </w:rPr>
              <w:t>1</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8000</w:t>
            </w:r>
          </w:p>
        </w:tc>
        <w:tc>
          <w:tcPr>
            <w:tcW w:w="551" w:type="dxa"/>
            <w:vAlign w:val="center"/>
          </w:tcPr>
          <w:p>
            <w:pPr>
              <w:jc w:val="center"/>
              <w:rPr>
                <w:sz w:val="20"/>
                <w:szCs w:val="20"/>
              </w:rPr>
            </w:pPr>
            <w:r>
              <w:rPr>
                <w:rFonts w:hint="eastAsia" w:asciiTheme="minorHAnsi"/>
                <w:sz w:val="20"/>
                <w:szCs w:val="20"/>
              </w:rPr>
              <w:t>套</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634" w:type="dxa"/>
            <w:vAlign w:val="center"/>
          </w:tcPr>
          <w:p>
            <w:pPr>
              <w:jc w:val="center"/>
              <w:rPr>
                <w:sz w:val="20"/>
                <w:szCs w:val="20"/>
              </w:rPr>
            </w:pPr>
            <w:r>
              <w:rPr>
                <w:rFonts w:hint="eastAsia" w:asciiTheme="minorHAnsi"/>
                <w:sz w:val="20"/>
                <w:szCs w:val="20"/>
              </w:rPr>
              <w:t>订制儿童沙发</w:t>
            </w:r>
          </w:p>
        </w:tc>
        <w:tc>
          <w:tcPr>
            <w:tcW w:w="1753" w:type="dxa"/>
            <w:vAlign w:val="center"/>
          </w:tcPr>
          <w:p>
            <w:pPr>
              <w:jc w:val="center"/>
              <w:rPr>
                <w:sz w:val="20"/>
                <w:szCs w:val="20"/>
              </w:rPr>
            </w:pPr>
            <w:r>
              <w:rPr>
                <w:rFonts w:asciiTheme="minorHAnsi"/>
                <w:sz w:val="20"/>
                <w:szCs w:val="20"/>
              </w:rPr>
              <w:drawing>
                <wp:inline distT="0" distB="0" distL="0" distR="0">
                  <wp:extent cx="758825" cy="707390"/>
                  <wp:effectExtent l="0" t="0" r="3175" b="6985"/>
                  <wp:docPr id="17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6"/>
                          <pic:cNvPicPr>
                            <a:picLocks noChangeAspect="1" noChangeArrowheads="1"/>
                          </pic:cNvPicPr>
                        </pic:nvPicPr>
                        <pic:blipFill>
                          <a:blip r:embed="rId58" cstate="print"/>
                          <a:srcRect/>
                          <a:stretch>
                            <a:fillRect/>
                          </a:stretch>
                        </pic:blipFill>
                        <pic:spPr>
                          <a:xfrm>
                            <a:off x="0" y="0"/>
                            <a:ext cx="758825" cy="70739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sz w:val="20"/>
                <w:szCs w:val="20"/>
              </w:rPr>
            </w:pPr>
            <w:r>
              <w:rPr>
                <w:rFonts w:hint="eastAsia" w:hAnsi="宋体" w:asciiTheme="minorHAnsi"/>
                <w:sz w:val="20"/>
                <w:szCs w:val="20"/>
              </w:rPr>
              <w:t>2000*650*650</w:t>
            </w:r>
          </w:p>
        </w:tc>
        <w:tc>
          <w:tcPr>
            <w:tcW w:w="3795" w:type="dxa"/>
            <w:vAlign w:val="center"/>
          </w:tcPr>
          <w:p>
            <w:pPr>
              <w:jc w:val="left"/>
              <w:rPr>
                <w:rFonts w:hAnsi="宋体" w:asciiTheme="minorHAnsi"/>
                <w:sz w:val="20"/>
                <w:szCs w:val="20"/>
              </w:rPr>
            </w:pPr>
            <w:r>
              <w:rPr>
                <w:rFonts w:hint="eastAsia" w:hAnsi="宋体" w:asciiTheme="minorHAnsi"/>
                <w:sz w:val="20"/>
                <w:szCs w:val="20"/>
              </w:rPr>
              <w:t>面料：选用真皮面料，泡绵：采用成型不助燃海棉。</w:t>
            </w:r>
          </w:p>
          <w:p>
            <w:pPr>
              <w:jc w:val="left"/>
              <w:rPr>
                <w:rFonts w:hAnsi="宋体"/>
                <w:sz w:val="20"/>
                <w:szCs w:val="20"/>
              </w:rPr>
            </w:pPr>
            <w:r>
              <w:rPr>
                <w:rFonts w:hint="eastAsia" w:hAnsi="宋体" w:asciiTheme="minorHAnsi"/>
                <w:sz w:val="20"/>
                <w:szCs w:val="20"/>
              </w:rPr>
              <w:t>颜色可选。</w:t>
            </w:r>
          </w:p>
        </w:tc>
        <w:tc>
          <w:tcPr>
            <w:tcW w:w="695" w:type="dxa"/>
            <w:vAlign w:val="center"/>
          </w:tcPr>
          <w:p>
            <w:pPr>
              <w:jc w:val="center"/>
              <w:rPr>
                <w:sz w:val="20"/>
                <w:szCs w:val="20"/>
              </w:rPr>
            </w:pPr>
            <w:r>
              <w:rPr>
                <w:rFonts w:hint="eastAsia" w:asciiTheme="minorHAnsi"/>
                <w:sz w:val="20"/>
                <w:szCs w:val="20"/>
              </w:rPr>
              <w:t>2</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2500</w:t>
            </w:r>
          </w:p>
        </w:tc>
        <w:tc>
          <w:tcPr>
            <w:tcW w:w="551" w:type="dxa"/>
            <w:vAlign w:val="center"/>
          </w:tcPr>
          <w:p>
            <w:pPr>
              <w:jc w:val="center"/>
              <w:rPr>
                <w:sz w:val="20"/>
                <w:szCs w:val="20"/>
              </w:rPr>
            </w:pPr>
            <w:r>
              <w:rPr>
                <w:rFonts w:hint="eastAsia" w:asciiTheme="minorHAnsi"/>
                <w:sz w:val="20"/>
                <w:szCs w:val="20"/>
              </w:rPr>
              <w:t>套</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34" w:type="dxa"/>
            <w:vAlign w:val="center"/>
          </w:tcPr>
          <w:p>
            <w:pPr>
              <w:jc w:val="center"/>
              <w:rPr>
                <w:sz w:val="20"/>
                <w:szCs w:val="20"/>
              </w:rPr>
            </w:pPr>
            <w:r>
              <w:rPr>
                <w:rFonts w:hint="eastAsia" w:asciiTheme="minorHAnsi"/>
                <w:sz w:val="20"/>
                <w:szCs w:val="20"/>
              </w:rPr>
              <w:t>订制儿童沙发</w:t>
            </w:r>
          </w:p>
        </w:tc>
        <w:tc>
          <w:tcPr>
            <w:tcW w:w="1753" w:type="dxa"/>
            <w:vAlign w:val="center"/>
          </w:tcPr>
          <w:p>
            <w:pPr>
              <w:jc w:val="center"/>
              <w:rPr>
                <w:sz w:val="20"/>
                <w:szCs w:val="20"/>
              </w:rPr>
            </w:pPr>
            <w:r>
              <w:rPr>
                <w:rFonts w:asciiTheme="minorHAnsi"/>
                <w:sz w:val="20"/>
                <w:szCs w:val="20"/>
              </w:rPr>
              <w:drawing>
                <wp:inline distT="0" distB="0" distL="0" distR="0">
                  <wp:extent cx="802005" cy="638175"/>
                  <wp:effectExtent l="0" t="0" r="7620" b="12700"/>
                  <wp:docPr id="1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5"/>
                          <pic:cNvPicPr>
                            <a:picLocks noChangeAspect="1" noChangeArrowheads="1"/>
                          </pic:cNvPicPr>
                        </pic:nvPicPr>
                        <pic:blipFill>
                          <a:blip r:embed="rId59" cstate="print"/>
                          <a:srcRect/>
                          <a:stretch>
                            <a:fillRect/>
                          </a:stretch>
                        </pic:blipFill>
                        <pic:spPr>
                          <a:xfrm>
                            <a:off x="0" y="0"/>
                            <a:ext cx="802005" cy="63817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sz w:val="20"/>
                <w:szCs w:val="20"/>
              </w:rPr>
            </w:pPr>
            <w:r>
              <w:rPr>
                <w:rFonts w:hint="eastAsia" w:hAnsi="宋体" w:asciiTheme="minorHAnsi"/>
                <w:sz w:val="20"/>
                <w:szCs w:val="20"/>
              </w:rPr>
              <w:t>直径3600由8个拼接，配7人五边形座包</w:t>
            </w:r>
          </w:p>
        </w:tc>
        <w:tc>
          <w:tcPr>
            <w:tcW w:w="3795" w:type="dxa"/>
            <w:vAlign w:val="center"/>
          </w:tcPr>
          <w:p>
            <w:pPr>
              <w:jc w:val="left"/>
              <w:rPr>
                <w:rFonts w:hAnsi="宋体" w:asciiTheme="minorHAnsi"/>
                <w:sz w:val="20"/>
                <w:szCs w:val="20"/>
              </w:rPr>
            </w:pPr>
            <w:r>
              <w:rPr>
                <w:rFonts w:hint="eastAsia" w:hAnsi="宋体" w:asciiTheme="minorHAnsi"/>
                <w:sz w:val="20"/>
                <w:szCs w:val="20"/>
              </w:rPr>
              <w:t>面料：选用真皮面料，泡绵：采用成型不助燃海棉。</w:t>
            </w:r>
          </w:p>
          <w:p>
            <w:pPr>
              <w:jc w:val="left"/>
              <w:rPr>
                <w:rFonts w:hAnsi="宋体"/>
                <w:sz w:val="20"/>
                <w:szCs w:val="20"/>
              </w:rPr>
            </w:pPr>
            <w:r>
              <w:rPr>
                <w:rFonts w:hint="eastAsia" w:hAnsi="宋体" w:asciiTheme="minorHAnsi"/>
                <w:sz w:val="20"/>
                <w:szCs w:val="20"/>
              </w:rPr>
              <w:t>颜色可选。</w:t>
            </w:r>
          </w:p>
        </w:tc>
        <w:tc>
          <w:tcPr>
            <w:tcW w:w="695" w:type="dxa"/>
            <w:vAlign w:val="center"/>
          </w:tcPr>
          <w:p>
            <w:pPr>
              <w:jc w:val="center"/>
              <w:rPr>
                <w:sz w:val="20"/>
                <w:szCs w:val="20"/>
              </w:rPr>
            </w:pPr>
            <w:r>
              <w:rPr>
                <w:rFonts w:hint="eastAsia" w:asciiTheme="minorHAnsi"/>
                <w:sz w:val="20"/>
                <w:szCs w:val="20"/>
              </w:rPr>
              <w:t>1</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7605</w:t>
            </w:r>
          </w:p>
        </w:tc>
        <w:tc>
          <w:tcPr>
            <w:tcW w:w="551" w:type="dxa"/>
            <w:vAlign w:val="center"/>
          </w:tcPr>
          <w:p>
            <w:pPr>
              <w:jc w:val="center"/>
              <w:rPr>
                <w:sz w:val="20"/>
                <w:szCs w:val="20"/>
              </w:rPr>
            </w:pPr>
            <w:r>
              <w:rPr>
                <w:rFonts w:hint="eastAsia" w:asciiTheme="minorHAnsi"/>
                <w:sz w:val="20"/>
                <w:szCs w:val="20"/>
              </w:rPr>
              <w:t>套</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7605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634" w:type="dxa"/>
            <w:vAlign w:val="center"/>
          </w:tcPr>
          <w:p>
            <w:pPr>
              <w:jc w:val="center"/>
              <w:rPr>
                <w:sz w:val="20"/>
                <w:szCs w:val="20"/>
              </w:rPr>
            </w:pPr>
            <w:r>
              <w:rPr>
                <w:rFonts w:hint="eastAsia" w:asciiTheme="minorHAnsi"/>
                <w:sz w:val="20"/>
                <w:szCs w:val="20"/>
              </w:rPr>
              <w:t>订制儿童沙发</w:t>
            </w:r>
          </w:p>
        </w:tc>
        <w:tc>
          <w:tcPr>
            <w:tcW w:w="1753" w:type="dxa"/>
            <w:vAlign w:val="center"/>
          </w:tcPr>
          <w:p>
            <w:pPr>
              <w:jc w:val="center"/>
              <w:rPr>
                <w:sz w:val="20"/>
                <w:szCs w:val="20"/>
              </w:rPr>
            </w:pPr>
            <w:r>
              <w:rPr>
                <w:rFonts w:asciiTheme="minorHAnsi"/>
                <w:sz w:val="20"/>
                <w:szCs w:val="20"/>
              </w:rPr>
              <w:drawing>
                <wp:inline distT="0" distB="0" distL="0" distR="0">
                  <wp:extent cx="854075" cy="810895"/>
                  <wp:effectExtent l="0" t="0" r="3175" b="14605"/>
                  <wp:docPr id="17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4"/>
                          <pic:cNvPicPr>
                            <a:picLocks noChangeAspect="1" noChangeArrowheads="1"/>
                          </pic:cNvPicPr>
                        </pic:nvPicPr>
                        <pic:blipFill>
                          <a:blip r:embed="rId60" cstate="print"/>
                          <a:srcRect/>
                          <a:stretch>
                            <a:fillRect/>
                          </a:stretch>
                        </pic:blipFill>
                        <pic:spPr>
                          <a:xfrm>
                            <a:off x="0" y="0"/>
                            <a:ext cx="854075" cy="810895"/>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sz w:val="20"/>
                <w:szCs w:val="20"/>
              </w:rPr>
            </w:pPr>
            <w:r>
              <w:rPr>
                <w:rFonts w:hint="eastAsia" w:hAnsi="宋体" w:asciiTheme="minorHAnsi"/>
                <w:sz w:val="20"/>
                <w:szCs w:val="20"/>
              </w:rPr>
              <w:t>1200*680*810</w:t>
            </w:r>
          </w:p>
        </w:tc>
        <w:tc>
          <w:tcPr>
            <w:tcW w:w="3795" w:type="dxa"/>
            <w:vAlign w:val="center"/>
          </w:tcPr>
          <w:p>
            <w:pPr>
              <w:jc w:val="left"/>
              <w:rPr>
                <w:rFonts w:hAnsi="宋体" w:asciiTheme="minorHAnsi"/>
                <w:sz w:val="20"/>
                <w:szCs w:val="20"/>
              </w:rPr>
            </w:pPr>
            <w:r>
              <w:rPr>
                <w:rFonts w:hint="eastAsia" w:hAnsi="宋体" w:asciiTheme="minorHAnsi"/>
                <w:sz w:val="20"/>
                <w:szCs w:val="20"/>
              </w:rPr>
              <w:t>面料：选用真皮面料，泡绵：采用成型不助燃海棉。</w:t>
            </w:r>
          </w:p>
          <w:p>
            <w:pPr>
              <w:jc w:val="left"/>
              <w:rPr>
                <w:rFonts w:hAnsi="宋体"/>
                <w:sz w:val="20"/>
                <w:szCs w:val="20"/>
              </w:rPr>
            </w:pPr>
            <w:r>
              <w:rPr>
                <w:rFonts w:hint="eastAsia" w:hAnsi="宋体" w:asciiTheme="minorHAnsi"/>
                <w:sz w:val="20"/>
                <w:szCs w:val="20"/>
              </w:rPr>
              <w:t>颜色可选。</w:t>
            </w:r>
          </w:p>
        </w:tc>
        <w:tc>
          <w:tcPr>
            <w:tcW w:w="695" w:type="dxa"/>
            <w:vAlign w:val="center"/>
          </w:tcPr>
          <w:p>
            <w:pPr>
              <w:jc w:val="center"/>
              <w:rPr>
                <w:sz w:val="20"/>
                <w:szCs w:val="20"/>
              </w:rPr>
            </w:pPr>
            <w:r>
              <w:rPr>
                <w:rFonts w:hint="eastAsia" w:asciiTheme="minorHAnsi"/>
                <w:sz w:val="20"/>
                <w:szCs w:val="20"/>
              </w:rPr>
              <w:t>8</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1500</w:t>
            </w:r>
          </w:p>
        </w:tc>
        <w:tc>
          <w:tcPr>
            <w:tcW w:w="551" w:type="dxa"/>
            <w:vAlign w:val="center"/>
          </w:tcPr>
          <w:p>
            <w:pPr>
              <w:jc w:val="center"/>
              <w:rPr>
                <w:sz w:val="20"/>
                <w:szCs w:val="20"/>
              </w:rPr>
            </w:pPr>
            <w:r>
              <w:rPr>
                <w:rFonts w:hint="eastAsia" w:asciiTheme="minorHAnsi"/>
                <w:sz w:val="20"/>
                <w:szCs w:val="20"/>
              </w:rPr>
              <w:t>个</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634" w:type="dxa"/>
            <w:vAlign w:val="center"/>
          </w:tcPr>
          <w:p>
            <w:pPr>
              <w:jc w:val="center"/>
              <w:rPr>
                <w:sz w:val="20"/>
                <w:szCs w:val="20"/>
              </w:rPr>
            </w:pPr>
            <w:r>
              <w:rPr>
                <w:rFonts w:hint="eastAsia" w:asciiTheme="minorHAnsi"/>
                <w:sz w:val="20"/>
                <w:szCs w:val="20"/>
              </w:rPr>
              <w:t>订制ICU操作台柜</w:t>
            </w:r>
          </w:p>
        </w:tc>
        <w:tc>
          <w:tcPr>
            <w:tcW w:w="1753" w:type="dxa"/>
            <w:vAlign w:val="center"/>
          </w:tcPr>
          <w:p>
            <w:pPr>
              <w:jc w:val="center"/>
              <w:rPr>
                <w:sz w:val="20"/>
                <w:szCs w:val="20"/>
              </w:rPr>
            </w:pPr>
            <w:r>
              <w:rPr>
                <w:rFonts w:asciiTheme="minorHAnsi"/>
                <w:sz w:val="20"/>
                <w:szCs w:val="20"/>
              </w:rPr>
              <w:drawing>
                <wp:inline distT="0" distB="0" distL="0" distR="0">
                  <wp:extent cx="888365" cy="664210"/>
                  <wp:effectExtent l="0" t="0" r="635" b="2540"/>
                  <wp:docPr id="174" name="图片 11" descr="C:\Users\yhjj0\AppData\Local\Temp\WeChat Files\8580058251424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1" descr="C:\Users\yhjj0\AppData\Local\Temp\WeChat Files\858005825142419230.jpg"/>
                          <pic:cNvPicPr>
                            <a:picLocks noChangeAspect="1" noChangeArrowheads="1"/>
                          </pic:cNvPicPr>
                        </pic:nvPicPr>
                        <pic:blipFill>
                          <a:blip r:embed="rId61" cstate="print"/>
                          <a:srcRect/>
                          <a:stretch>
                            <a:fillRect/>
                          </a:stretch>
                        </pic:blipFill>
                        <pic:spPr>
                          <a:xfrm>
                            <a:off x="0" y="0"/>
                            <a:ext cx="888365" cy="664210"/>
                          </a:xfrm>
                          <a:prstGeom prst="rect">
                            <a:avLst/>
                          </a:prstGeom>
                          <a:noFill/>
                          <a:ln w="9525" cmpd="sng">
                            <a:noFill/>
                            <a:miter lim="800000"/>
                            <a:headEnd/>
                            <a:tailEnd/>
                          </a:ln>
                        </pic:spPr>
                      </pic:pic>
                    </a:graphicData>
                  </a:graphic>
                </wp:inline>
              </w:drawing>
            </w:r>
          </w:p>
        </w:tc>
        <w:tc>
          <w:tcPr>
            <w:tcW w:w="1108" w:type="dxa"/>
            <w:vAlign w:val="center"/>
          </w:tcPr>
          <w:p>
            <w:pPr>
              <w:jc w:val="center"/>
              <w:rPr>
                <w:rFonts w:hAnsi="宋体"/>
                <w:sz w:val="20"/>
                <w:szCs w:val="20"/>
              </w:rPr>
            </w:pPr>
            <w:r>
              <w:rPr>
                <w:rFonts w:hint="eastAsia" w:hAnsi="宋体" w:asciiTheme="minorHAnsi"/>
                <w:sz w:val="20"/>
                <w:szCs w:val="20"/>
              </w:rPr>
              <w:t>订制（高900/600*厚600*长度订制）</w:t>
            </w:r>
          </w:p>
        </w:tc>
        <w:tc>
          <w:tcPr>
            <w:tcW w:w="3795" w:type="dxa"/>
            <w:vAlign w:val="center"/>
          </w:tcPr>
          <w:p>
            <w:pPr>
              <w:pStyle w:val="2"/>
              <w:widowControl/>
              <w:numPr>
                <w:ilvl w:val="0"/>
                <w:numId w:val="60"/>
              </w:numPr>
              <w:spacing w:after="0"/>
              <w:ind w:left="0" w:firstLine="0"/>
              <w:rPr>
                <w:rFonts w:hAnsi="宋体" w:asciiTheme="minorHAnsi"/>
                <w:sz w:val="20"/>
                <w:szCs w:val="20"/>
              </w:rPr>
            </w:pPr>
            <w:r>
              <w:rPr>
                <w:rFonts w:hint="eastAsia" w:hAnsi="宋体" w:asciiTheme="minorHAnsi"/>
                <w:sz w:val="20"/>
                <w:szCs w:val="20"/>
              </w:rPr>
              <w:t>材料厚度：柜体采用裸板0.9mm镀锌板，  踢脚板1.0mm不锈钢钢板。</w:t>
            </w:r>
          </w:p>
          <w:p>
            <w:pPr>
              <w:pStyle w:val="2"/>
              <w:widowControl/>
              <w:numPr>
                <w:ilvl w:val="0"/>
                <w:numId w:val="60"/>
              </w:numPr>
              <w:spacing w:after="0"/>
              <w:ind w:left="0" w:firstLine="0"/>
              <w:rPr>
                <w:rFonts w:hAnsi="宋体" w:asciiTheme="minorHAnsi"/>
                <w:sz w:val="20"/>
                <w:szCs w:val="20"/>
              </w:rPr>
            </w:pPr>
            <w:r>
              <w:rPr>
                <w:rFonts w:hint="eastAsia" w:hAnsi="宋体" w:asciiTheme="minorHAnsi"/>
                <w:sz w:val="20"/>
                <w:szCs w:val="20"/>
              </w:rPr>
              <w:t>产品符合GB/T 3325-2017金属家具通用技术条件；</w:t>
            </w:r>
          </w:p>
          <w:p>
            <w:pPr>
              <w:pStyle w:val="2"/>
              <w:widowControl/>
              <w:numPr>
                <w:ilvl w:val="0"/>
                <w:numId w:val="60"/>
              </w:numPr>
              <w:spacing w:after="0"/>
              <w:ind w:left="0" w:firstLine="0"/>
              <w:rPr>
                <w:rFonts w:hAnsi="宋体" w:asciiTheme="minorHAnsi"/>
                <w:sz w:val="20"/>
                <w:szCs w:val="20"/>
              </w:rPr>
            </w:pPr>
            <w:r>
              <w:rPr>
                <w:rFonts w:hint="eastAsia" w:hAnsi="宋体" w:asciiTheme="minorHAnsi"/>
                <w:sz w:val="20"/>
                <w:szCs w:val="20"/>
              </w:rPr>
              <w:t>产品经过“校平-开料-折弯-焊接-半成品检验-前处理-表面处理-装配-成品检验-入库”的生产工艺流程；</w:t>
            </w:r>
          </w:p>
          <w:p>
            <w:pPr>
              <w:pStyle w:val="2"/>
              <w:widowControl/>
              <w:numPr>
                <w:ilvl w:val="0"/>
                <w:numId w:val="60"/>
              </w:numPr>
              <w:spacing w:after="0"/>
              <w:ind w:left="0" w:firstLine="0"/>
              <w:rPr>
                <w:rFonts w:hAnsi="宋体" w:asciiTheme="minorHAnsi"/>
                <w:sz w:val="20"/>
                <w:szCs w:val="20"/>
              </w:rPr>
            </w:pPr>
            <w:r>
              <w:rPr>
                <w:rFonts w:hint="eastAsia" w:hAnsi="宋体" w:asciiTheme="minorHAnsi"/>
                <w:sz w:val="20"/>
                <w:szCs w:val="20"/>
              </w:rPr>
              <w:t>抑菌粉末静电喷涂，采用标准表面处理工艺：水洗1-预脱脂-主脱脂-水洗2-水洗3-表调-皮膜-水洗4-水洗5-沥水-烘干-喷粉-粉末固化；</w:t>
            </w:r>
          </w:p>
          <w:p>
            <w:pPr>
              <w:numPr>
                <w:ilvl w:val="0"/>
                <w:numId w:val="60"/>
              </w:numPr>
              <w:ind w:left="0" w:firstLine="0"/>
              <w:jc w:val="left"/>
              <w:rPr>
                <w:rFonts w:hAnsi="宋体" w:asciiTheme="minorHAnsi"/>
                <w:sz w:val="20"/>
                <w:szCs w:val="20"/>
              </w:rPr>
            </w:pPr>
            <w:r>
              <w:rPr>
                <w:rFonts w:hint="eastAsia" w:hAnsi="宋体" w:asciiTheme="minorHAnsi"/>
                <w:sz w:val="20"/>
                <w:szCs w:val="20"/>
              </w:rPr>
              <w:t>塑粉：检测合格。</w:t>
            </w:r>
          </w:p>
          <w:p>
            <w:pPr>
              <w:pStyle w:val="2"/>
              <w:widowControl/>
              <w:numPr>
                <w:ilvl w:val="0"/>
                <w:numId w:val="60"/>
              </w:numPr>
              <w:spacing w:after="0"/>
              <w:ind w:left="0" w:firstLine="0"/>
              <w:rPr>
                <w:rFonts w:hAnsi="宋体" w:asciiTheme="minorHAnsi"/>
                <w:sz w:val="20"/>
                <w:szCs w:val="20"/>
              </w:rPr>
            </w:pPr>
            <w:r>
              <w:rPr>
                <w:rFonts w:hint="eastAsia" w:hAnsi="宋体" w:asciiTheme="minorHAnsi"/>
                <w:sz w:val="20"/>
                <w:szCs w:val="20"/>
              </w:rPr>
              <w:t>台面：实芯理化板，具备耐强酸强碱腐蚀、耐高温等特性</w:t>
            </w:r>
            <w:r>
              <w:rPr>
                <w:rFonts w:hint="eastAsia" w:hAnsi="宋体" w:asciiTheme="minorHAnsi"/>
                <w:sz w:val="20"/>
                <w:szCs w:val="20"/>
                <w:lang w:eastAsia="zh-CN"/>
              </w:rPr>
              <w:t>。</w:t>
            </w:r>
          </w:p>
          <w:p>
            <w:pPr>
              <w:pStyle w:val="2"/>
              <w:widowControl/>
              <w:numPr>
                <w:ilvl w:val="0"/>
                <w:numId w:val="60"/>
              </w:numPr>
              <w:spacing w:after="0"/>
              <w:ind w:left="0" w:firstLine="0"/>
              <w:rPr>
                <w:rFonts w:hAnsi="宋体" w:asciiTheme="minorHAnsi"/>
                <w:sz w:val="20"/>
                <w:szCs w:val="20"/>
              </w:rPr>
            </w:pPr>
            <w:r>
              <w:rPr>
                <w:rFonts w:hint="eastAsia" w:hAnsi="宋体" w:asciiTheme="minorHAnsi"/>
                <w:sz w:val="20"/>
                <w:szCs w:val="20"/>
              </w:rPr>
              <w:t>配件：</w:t>
            </w:r>
          </w:p>
          <w:p>
            <w:pPr>
              <w:pStyle w:val="2"/>
              <w:spacing w:after="0"/>
              <w:rPr>
                <w:rFonts w:hint="eastAsia" w:hAnsi="宋体" w:eastAsia="宋体" w:asciiTheme="minorHAnsi"/>
                <w:sz w:val="20"/>
                <w:szCs w:val="20"/>
                <w:lang w:eastAsia="zh-CN"/>
              </w:rPr>
            </w:pPr>
            <w:r>
              <w:rPr>
                <w:rFonts w:hint="eastAsia" w:hAnsi="宋体" w:asciiTheme="minorHAnsi"/>
                <w:sz w:val="20"/>
                <w:szCs w:val="20"/>
              </w:rPr>
              <w:t>拉手：采用一体折弯成型扣手</w:t>
            </w:r>
            <w:r>
              <w:rPr>
                <w:rFonts w:hint="eastAsia" w:hAnsi="宋体" w:asciiTheme="minorHAnsi"/>
                <w:sz w:val="20"/>
                <w:szCs w:val="20"/>
                <w:lang w:eastAsia="zh-CN"/>
              </w:rPr>
              <w:t>。</w:t>
            </w:r>
          </w:p>
          <w:p>
            <w:pPr>
              <w:pStyle w:val="2"/>
              <w:spacing w:after="0"/>
              <w:rPr>
                <w:rFonts w:hint="eastAsia" w:hAnsi="宋体" w:eastAsia="宋体" w:asciiTheme="minorHAnsi"/>
                <w:sz w:val="20"/>
                <w:szCs w:val="20"/>
                <w:lang w:eastAsia="zh-CN"/>
              </w:rPr>
            </w:pPr>
            <w:r>
              <w:rPr>
                <w:rFonts w:hint="eastAsia" w:hAnsi="宋体" w:asciiTheme="minorHAnsi"/>
                <w:sz w:val="20"/>
                <w:szCs w:val="20"/>
              </w:rPr>
              <w:t>滑轨：抽屉底部采用隐藏式阻尼缓冲托底滑轨</w:t>
            </w:r>
            <w:r>
              <w:rPr>
                <w:rFonts w:hint="eastAsia" w:hAnsi="宋体" w:asciiTheme="minorHAnsi"/>
                <w:sz w:val="20"/>
                <w:szCs w:val="20"/>
                <w:lang w:eastAsia="zh-CN"/>
              </w:rPr>
              <w:t>。</w:t>
            </w:r>
          </w:p>
          <w:p>
            <w:pPr>
              <w:pStyle w:val="2"/>
              <w:spacing w:after="0"/>
              <w:rPr>
                <w:rFonts w:hint="eastAsia" w:hAnsi="宋体" w:eastAsia="宋体" w:asciiTheme="minorHAnsi"/>
                <w:sz w:val="20"/>
                <w:szCs w:val="20"/>
                <w:lang w:eastAsia="zh-CN"/>
              </w:rPr>
            </w:pPr>
            <w:r>
              <w:rPr>
                <w:rFonts w:hint="eastAsia" w:hAnsi="宋体" w:asciiTheme="minorHAnsi"/>
                <w:sz w:val="20"/>
                <w:szCs w:val="20"/>
              </w:rPr>
              <w:t>铰链：门板采用阻尼铰链</w:t>
            </w:r>
            <w:r>
              <w:rPr>
                <w:rFonts w:hint="eastAsia" w:hAnsi="宋体" w:asciiTheme="minorHAnsi"/>
                <w:sz w:val="20"/>
                <w:szCs w:val="20"/>
                <w:lang w:eastAsia="zh-CN"/>
              </w:rPr>
              <w:t>。</w:t>
            </w:r>
          </w:p>
          <w:p>
            <w:pPr>
              <w:pStyle w:val="2"/>
              <w:spacing w:after="0"/>
              <w:rPr>
                <w:rFonts w:hAnsi="宋体" w:asciiTheme="minorHAnsi"/>
                <w:sz w:val="20"/>
                <w:szCs w:val="20"/>
              </w:rPr>
            </w:pPr>
            <w:r>
              <w:rPr>
                <w:rFonts w:hint="eastAsia" w:hAnsi="宋体" w:asciiTheme="minorHAnsi"/>
                <w:sz w:val="20"/>
                <w:szCs w:val="20"/>
              </w:rPr>
              <w:t>脚垫：采用ABS工程塑料模具制作而成。</w:t>
            </w:r>
          </w:p>
          <w:p>
            <w:pPr>
              <w:pStyle w:val="2"/>
              <w:spacing w:after="0"/>
              <w:rPr>
                <w:rFonts w:hAnsi="宋体" w:asciiTheme="minorHAnsi"/>
                <w:sz w:val="20"/>
                <w:szCs w:val="20"/>
              </w:rPr>
            </w:pPr>
            <w:r>
              <w:rPr>
                <w:rFonts w:hint="eastAsia" w:hAnsi="宋体" w:asciiTheme="minorHAnsi"/>
                <w:sz w:val="20"/>
                <w:szCs w:val="20"/>
              </w:rPr>
              <w:t xml:space="preserve">锁具：抽屉采用叶片锁具。                                   </w:t>
            </w:r>
          </w:p>
          <w:p>
            <w:pPr>
              <w:pStyle w:val="2"/>
              <w:spacing w:after="0"/>
              <w:rPr>
                <w:rFonts w:hAnsi="宋体" w:asciiTheme="minorHAnsi"/>
                <w:sz w:val="20"/>
              </w:rPr>
            </w:pPr>
            <w:r>
              <w:rPr>
                <w:rFonts w:hint="eastAsia" w:hAnsi="宋体" w:asciiTheme="minorHAnsi"/>
                <w:sz w:val="20"/>
                <w:szCs w:val="20"/>
              </w:rPr>
              <w:t>装饰盖：柜体顶部及侧面预留连接孔配置塑料装饰帽。</w:t>
            </w:r>
          </w:p>
        </w:tc>
        <w:tc>
          <w:tcPr>
            <w:tcW w:w="695" w:type="dxa"/>
            <w:vAlign w:val="center"/>
          </w:tcPr>
          <w:p>
            <w:pPr>
              <w:jc w:val="center"/>
              <w:rPr>
                <w:sz w:val="20"/>
                <w:szCs w:val="20"/>
              </w:rPr>
            </w:pPr>
            <w:r>
              <w:rPr>
                <w:rFonts w:hint="eastAsia" w:asciiTheme="minorHAnsi"/>
                <w:sz w:val="20"/>
                <w:szCs w:val="20"/>
              </w:rPr>
              <w:t>5</w:t>
            </w:r>
          </w:p>
        </w:tc>
        <w:tc>
          <w:tcPr>
            <w:tcW w:w="694" w:type="dxa"/>
            <w:vAlign w:val="center"/>
          </w:tcPr>
          <w:p>
            <w:pPr>
              <w:widowControl/>
              <w:jc w:val="center"/>
              <w:textAlignment w:val="center"/>
              <w:rPr>
                <w:sz w:val="20"/>
                <w:szCs w:val="20"/>
              </w:rPr>
            </w:pPr>
            <w:r>
              <w:rPr>
                <w:rFonts w:hint="eastAsia" w:hAnsi="宋体" w:cs="宋体" w:asciiTheme="minorHAnsi"/>
                <w:kern w:val="0"/>
                <w:sz w:val="20"/>
                <w:szCs w:val="20"/>
              </w:rPr>
              <w:t>3000</w:t>
            </w:r>
          </w:p>
        </w:tc>
        <w:tc>
          <w:tcPr>
            <w:tcW w:w="551" w:type="dxa"/>
            <w:vAlign w:val="center"/>
          </w:tcPr>
          <w:p>
            <w:pPr>
              <w:jc w:val="center"/>
              <w:rPr>
                <w:sz w:val="20"/>
                <w:szCs w:val="20"/>
              </w:rPr>
            </w:pPr>
            <w:r>
              <w:rPr>
                <w:rFonts w:hint="eastAsia" w:asciiTheme="minorHAnsi"/>
                <w:sz w:val="20"/>
                <w:szCs w:val="20"/>
              </w:rPr>
              <w:t>套</w:t>
            </w:r>
          </w:p>
        </w:tc>
        <w:tc>
          <w:tcPr>
            <w:tcW w:w="841" w:type="dxa"/>
            <w:vAlign w:val="center"/>
          </w:tcPr>
          <w:p>
            <w:pPr>
              <w:widowControl/>
              <w:jc w:val="right"/>
              <w:textAlignment w:val="center"/>
              <w:rPr>
                <w:rFonts w:hAnsi="宋体" w:cs="宋体"/>
                <w:sz w:val="20"/>
                <w:szCs w:val="20"/>
              </w:rPr>
            </w:pPr>
            <w:r>
              <w:rPr>
                <w:rFonts w:hint="eastAsia" w:hAnsi="宋体" w:cs="宋体" w:asciiTheme="minorHAnsi"/>
                <w:kern w:val="0"/>
                <w:sz w:val="20"/>
                <w:szCs w:val="20"/>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387" w:type="dxa"/>
            <w:gridSpan w:val="2"/>
            <w:vAlign w:val="center"/>
          </w:tcPr>
          <w:p>
            <w:pPr>
              <w:jc w:val="center"/>
              <w:rPr>
                <w:sz w:val="20"/>
                <w:szCs w:val="20"/>
              </w:rPr>
            </w:pPr>
            <w:r>
              <w:rPr>
                <w:rFonts w:asciiTheme="minorHAnsi"/>
                <w:sz w:val="20"/>
                <w:szCs w:val="20"/>
              </w:rPr>
              <w:t>合计总额</w:t>
            </w:r>
          </w:p>
        </w:tc>
        <w:tc>
          <w:tcPr>
            <w:tcW w:w="4903" w:type="dxa"/>
            <w:gridSpan w:val="2"/>
            <w:vAlign w:val="center"/>
          </w:tcPr>
          <w:p>
            <w:pPr>
              <w:pStyle w:val="2"/>
              <w:widowControl/>
              <w:spacing w:after="0"/>
              <w:ind w:left="425" w:leftChars="0"/>
              <w:rPr>
                <w:rFonts w:hAnsi="宋体" w:asciiTheme="minorHAnsi"/>
                <w:sz w:val="20"/>
              </w:rPr>
            </w:pPr>
            <w:r>
              <w:rPr>
                <w:rFonts w:hint="eastAsia" w:hAnsi="宋体" w:asciiTheme="minorHAnsi"/>
                <w:sz w:val="20"/>
                <w:szCs w:val="20"/>
              </w:rPr>
              <w:t>大写：叁佰壹拾玖万肆仟贰佰圆整</w:t>
            </w:r>
          </w:p>
        </w:tc>
        <w:tc>
          <w:tcPr>
            <w:tcW w:w="1389" w:type="dxa"/>
            <w:gridSpan w:val="2"/>
            <w:vAlign w:val="center"/>
          </w:tcPr>
          <w:p>
            <w:pPr>
              <w:jc w:val="center"/>
              <w:rPr>
                <w:sz w:val="20"/>
                <w:szCs w:val="20"/>
              </w:rPr>
            </w:pPr>
            <w:r>
              <w:rPr>
                <w:rFonts w:hint="eastAsia" w:asciiTheme="minorHAnsi"/>
                <w:sz w:val="20"/>
                <w:szCs w:val="20"/>
              </w:rPr>
              <w:t>小写</w:t>
            </w:r>
          </w:p>
        </w:tc>
        <w:tc>
          <w:tcPr>
            <w:tcW w:w="1392" w:type="dxa"/>
            <w:gridSpan w:val="2"/>
            <w:vAlign w:val="center"/>
          </w:tcPr>
          <w:p>
            <w:pPr>
              <w:rPr>
                <w:sz w:val="20"/>
                <w:szCs w:val="20"/>
              </w:rPr>
            </w:pPr>
            <w:r>
              <w:rPr>
                <w:rFonts w:hint="eastAsia" w:asciiTheme="minorHAnsi"/>
                <w:sz w:val="20"/>
                <w:szCs w:val="20"/>
              </w:rPr>
              <w:t>3194200.00元</w:t>
            </w:r>
          </w:p>
        </w:tc>
      </w:tr>
    </w:tbl>
    <w:p>
      <w:pPr>
        <w:pStyle w:val="2"/>
        <w:keepNext w:val="0"/>
        <w:keepLines w:val="0"/>
        <w:pageBreakBefore w:val="0"/>
        <w:widowControl w:val="0"/>
        <w:kinsoku/>
        <w:wordWrap/>
        <w:overflowPunct/>
        <w:topLinePunct w:val="0"/>
        <w:autoSpaceDE/>
        <w:autoSpaceDN/>
        <w:bidi w:val="0"/>
        <w:adjustRightInd/>
        <w:snapToGrid/>
        <w:spacing w:after="0" w:line="560" w:lineRule="exact"/>
        <w:ind w:firstLine="337" w:firstLineChars="120"/>
        <w:textAlignment w:val="auto"/>
        <w:outlineLvl w:val="2"/>
      </w:pPr>
      <w:bookmarkStart w:id="159" w:name="_Toc529173741"/>
      <w:bookmarkStart w:id="160" w:name="_Toc533672602"/>
      <w:r>
        <w:rPr>
          <w:rFonts w:hint="eastAsia" w:ascii="宋体" w:hAnsi="宋体"/>
          <w:b/>
          <w:bCs/>
          <w:sz w:val="28"/>
          <w:szCs w:val="28"/>
        </w:rPr>
        <w:t>4.3.2项目技术要求</w:t>
      </w:r>
    </w:p>
    <w:p>
      <w:pPr>
        <w:pStyle w:val="81"/>
        <w:pageBreakBefore w:val="0"/>
        <w:widowControl w:val="0"/>
        <w:numPr>
          <w:ilvl w:val="0"/>
          <w:numId w:val="0"/>
        </w:numPr>
        <w:tabs>
          <w:tab w:val="left" w:pos="1134"/>
        </w:tabs>
        <w:kinsoku/>
        <w:wordWrap/>
        <w:overflowPunct/>
        <w:topLinePunct w:val="0"/>
        <w:autoSpaceDE/>
        <w:autoSpaceDN/>
        <w:bidi w:val="0"/>
        <w:snapToGrid w:val="0"/>
        <w:spacing w:line="560" w:lineRule="exact"/>
        <w:ind w:firstLine="560" w:firstLineChars="200"/>
        <w:textAlignment w:val="auto"/>
        <w:rPr>
          <w:rFonts w:hint="eastAsia" w:ascii="宋体" w:hAnsi="宋体"/>
          <w:sz w:val="28"/>
          <w:szCs w:val="28"/>
        </w:rPr>
      </w:pPr>
      <w:r>
        <w:rPr>
          <w:rFonts w:hint="eastAsia" w:ascii="宋体" w:hAnsi="宋体"/>
          <w:sz w:val="28"/>
          <w:szCs w:val="28"/>
          <w:lang w:val="en-US" w:eastAsia="zh-CN"/>
        </w:rPr>
        <w:t>一、</w:t>
      </w:r>
      <w:r>
        <w:rPr>
          <w:rFonts w:hint="eastAsia" w:ascii="宋体" w:hAnsi="宋体"/>
          <w:sz w:val="28"/>
          <w:szCs w:val="28"/>
        </w:rPr>
        <w:t>本项目涉及金属表面均严格经过除油-酸洗-中和-表调-上膜-结晶-静电喷塑工艺。</w:t>
      </w:r>
    </w:p>
    <w:p>
      <w:pPr>
        <w:pStyle w:val="81"/>
        <w:pageBreakBefore w:val="0"/>
        <w:widowControl w:val="0"/>
        <w:numPr>
          <w:ilvl w:val="0"/>
          <w:numId w:val="26"/>
        </w:numPr>
        <w:tabs>
          <w:tab w:val="left" w:pos="1134"/>
        </w:tabs>
        <w:kinsoku/>
        <w:wordWrap/>
        <w:overflowPunct/>
        <w:topLinePunct w:val="0"/>
        <w:autoSpaceDE/>
        <w:autoSpaceDN/>
        <w:bidi w:val="0"/>
        <w:snapToGrid w:val="0"/>
        <w:spacing w:line="560" w:lineRule="exact"/>
        <w:ind w:left="0" w:leftChars="0" w:firstLine="560" w:firstLineChars="200"/>
        <w:textAlignment w:val="auto"/>
        <w:rPr>
          <w:rFonts w:ascii="宋体" w:hAnsi="宋体"/>
          <w:sz w:val="28"/>
          <w:szCs w:val="28"/>
        </w:rPr>
      </w:pPr>
      <w:r>
        <w:rPr>
          <w:rFonts w:hint="eastAsia" w:ascii="宋体" w:hAnsi="宋体"/>
          <w:sz w:val="28"/>
          <w:szCs w:val="28"/>
        </w:rPr>
        <w:t>所有产品质量要求按照国家相关标准要求（按国标、行标、地标顺序为准）：</w:t>
      </w:r>
    </w:p>
    <w:p>
      <w:pPr>
        <w:pageBreakBefore w:val="0"/>
        <w:widowControl w:val="0"/>
        <w:tabs>
          <w:tab w:val="left" w:pos="851"/>
        </w:tabs>
        <w:kinsoku/>
        <w:wordWrap/>
        <w:overflowPunct/>
        <w:topLinePunct w:val="0"/>
        <w:autoSpaceDE/>
        <w:autoSpaceDN/>
        <w:bidi w:val="0"/>
        <w:spacing w:line="560" w:lineRule="exact"/>
        <w:ind w:firstLine="560" w:firstLineChars="200"/>
        <w:textAlignment w:val="auto"/>
        <w:rPr>
          <w:rFonts w:ascii="宋体" w:hAnsi="宋体"/>
          <w:sz w:val="28"/>
          <w:szCs w:val="28"/>
        </w:rPr>
      </w:pPr>
      <w:r>
        <w:rPr>
          <w:rFonts w:hint="eastAsia" w:ascii="宋体" w:hAnsi="宋体"/>
          <w:sz w:val="28"/>
          <w:szCs w:val="28"/>
        </w:rPr>
        <w:t>1、《木家具通用技术条件》GB/T3324-2017</w:t>
      </w:r>
    </w:p>
    <w:p>
      <w:pPr>
        <w:pageBreakBefore w:val="0"/>
        <w:widowControl w:val="0"/>
        <w:tabs>
          <w:tab w:val="left" w:pos="851"/>
        </w:tabs>
        <w:kinsoku/>
        <w:wordWrap/>
        <w:overflowPunct/>
        <w:topLinePunct w:val="0"/>
        <w:autoSpaceDE/>
        <w:autoSpaceDN/>
        <w:bidi w:val="0"/>
        <w:spacing w:line="560" w:lineRule="exact"/>
        <w:ind w:firstLine="560" w:firstLineChars="200"/>
        <w:textAlignment w:val="auto"/>
        <w:rPr>
          <w:rFonts w:ascii="宋体" w:hAnsi="宋体"/>
          <w:sz w:val="28"/>
          <w:szCs w:val="28"/>
        </w:rPr>
      </w:pPr>
      <w:r>
        <w:rPr>
          <w:rFonts w:hint="eastAsia" w:ascii="宋体" w:hAnsi="宋体"/>
          <w:sz w:val="28"/>
          <w:szCs w:val="28"/>
        </w:rPr>
        <w:t>2、《中密度纤维板》GB/T11718-2009</w:t>
      </w:r>
    </w:p>
    <w:p>
      <w:pPr>
        <w:pageBreakBefore w:val="0"/>
        <w:widowControl w:val="0"/>
        <w:tabs>
          <w:tab w:val="left" w:pos="851"/>
        </w:tabs>
        <w:kinsoku/>
        <w:wordWrap/>
        <w:overflowPunct/>
        <w:topLinePunct w:val="0"/>
        <w:autoSpaceDE/>
        <w:autoSpaceDN/>
        <w:bidi w:val="0"/>
        <w:spacing w:line="560" w:lineRule="exact"/>
        <w:ind w:firstLine="560" w:firstLineChars="200"/>
        <w:textAlignment w:val="auto"/>
        <w:rPr>
          <w:rFonts w:hint="eastAsia" w:ascii="宋体" w:hAnsi="宋体"/>
          <w:sz w:val="28"/>
          <w:szCs w:val="28"/>
        </w:rPr>
      </w:pPr>
      <w:r>
        <w:rPr>
          <w:rFonts w:hint="eastAsia" w:ascii="宋体" w:hAnsi="宋体"/>
          <w:sz w:val="28"/>
          <w:szCs w:val="28"/>
        </w:rPr>
        <w:t>3、《室内装饰装修材料》GB/T18580-2017</w:t>
      </w:r>
    </w:p>
    <w:p>
      <w:pPr>
        <w:pageBreakBefore w:val="0"/>
        <w:widowControl w:val="0"/>
        <w:tabs>
          <w:tab w:val="left" w:pos="851"/>
        </w:tabs>
        <w:kinsoku/>
        <w:wordWrap/>
        <w:overflowPunct/>
        <w:topLinePunct w:val="0"/>
        <w:autoSpaceDE/>
        <w:autoSpaceDN/>
        <w:bidi w:val="0"/>
        <w:spacing w:line="560" w:lineRule="exact"/>
        <w:ind w:firstLine="562" w:firstLineChars="200"/>
        <w:textAlignment w:val="auto"/>
        <w:rPr>
          <w:rFonts w:ascii="宋体" w:hAnsi="宋体"/>
          <w:sz w:val="28"/>
          <w:szCs w:val="28"/>
          <w:highlight w:val="none"/>
        </w:rPr>
      </w:pPr>
      <w:r>
        <w:rPr>
          <w:rFonts w:hint="eastAsia" w:ascii="宋体" w:hAnsi="宋体"/>
          <w:b/>
          <w:bCs/>
          <w:color w:val="auto"/>
          <w:sz w:val="28"/>
          <w:szCs w:val="28"/>
          <w:lang w:val="en-US" w:eastAsia="zh-CN"/>
        </w:rPr>
        <w:t>*三</w:t>
      </w:r>
      <w:r>
        <w:rPr>
          <w:rFonts w:hint="eastAsia" w:ascii="宋体" w:hAnsi="宋体"/>
          <w:b w:val="0"/>
          <w:bCs w:val="0"/>
          <w:sz w:val="28"/>
          <w:szCs w:val="28"/>
          <w:lang w:val="en-US" w:eastAsia="zh-CN"/>
        </w:rPr>
        <w:t>、</w:t>
      </w:r>
      <w:r>
        <w:rPr>
          <w:rFonts w:hint="eastAsia" w:ascii="宋体" w:hAnsi="宋体"/>
          <w:b w:val="0"/>
          <w:bCs w:val="0"/>
          <w:sz w:val="28"/>
          <w:szCs w:val="28"/>
          <w:highlight w:val="none"/>
        </w:rPr>
        <w:t>提供国家确定的认证机构出具的</w:t>
      </w:r>
      <w:r>
        <w:rPr>
          <w:rFonts w:hint="eastAsia" w:ascii="宋体" w:hAnsi="宋体"/>
          <w:b w:val="0"/>
          <w:bCs w:val="0"/>
          <w:sz w:val="28"/>
          <w:szCs w:val="28"/>
          <w:highlight w:val="none"/>
          <w:lang w:eastAsia="zh-CN"/>
        </w:rPr>
        <w:t>、</w:t>
      </w:r>
      <w:r>
        <w:rPr>
          <w:rFonts w:hint="eastAsia" w:ascii="宋体" w:hAnsi="宋体"/>
          <w:b w:val="0"/>
          <w:bCs w:val="0"/>
          <w:sz w:val="28"/>
          <w:szCs w:val="28"/>
          <w:highlight w:val="none"/>
        </w:rPr>
        <w:t>处于有效期之内的环境标志产品认证证书复印件。</w:t>
      </w:r>
      <w:r>
        <w:rPr>
          <w:rFonts w:hint="eastAsia" w:ascii="宋体" w:hAnsi="宋体"/>
          <w:sz w:val="28"/>
          <w:szCs w:val="28"/>
          <w:highlight w:val="none"/>
        </w:rPr>
        <w:t xml:space="preserve"> </w:t>
      </w:r>
    </w:p>
    <w:p>
      <w:pPr>
        <w:keepNext/>
        <w:keepLines/>
        <w:pageBreakBefore w:val="0"/>
        <w:widowControl w:val="0"/>
        <w:numPr>
          <w:ilvl w:val="1"/>
          <w:numId w:val="3"/>
        </w:numPr>
        <w:tabs>
          <w:tab w:val="left" w:pos="0"/>
          <w:tab w:val="left" w:pos="426"/>
          <w:tab w:val="left" w:pos="576"/>
          <w:tab w:val="left" w:pos="786"/>
        </w:tabs>
        <w:kinsoku/>
        <w:wordWrap/>
        <w:overflowPunct/>
        <w:topLinePunct w:val="0"/>
        <w:autoSpaceDE/>
        <w:autoSpaceDN/>
        <w:bidi w:val="0"/>
        <w:spacing w:line="560" w:lineRule="exact"/>
        <w:ind w:left="0" w:firstLine="0"/>
        <w:textAlignment w:val="auto"/>
        <w:outlineLvl w:val="1"/>
        <w:rPr>
          <w:rFonts w:ascii="宋体" w:hAnsi="宋体"/>
          <w:b/>
          <w:bCs/>
          <w:sz w:val="28"/>
          <w:szCs w:val="28"/>
        </w:rPr>
      </w:pPr>
      <w:bookmarkStart w:id="161" w:name="_Toc26142"/>
      <w:r>
        <w:rPr>
          <w:rFonts w:hint="eastAsia" w:ascii="宋体" w:hAnsi="宋体"/>
          <w:b/>
          <w:bCs/>
          <w:sz w:val="28"/>
          <w:szCs w:val="28"/>
        </w:rPr>
        <w:t>核心产品</w:t>
      </w:r>
      <w:bookmarkEnd w:id="16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本项目核心产品为序号2直型办公桌、序号12等候椅（三人位）、序号18示教室椅、序号29办公椅、序号30药架1（双面）、序号31药架2（单向）、序号32圆盘摆药架、序号34手动有轨档案密集架。</w:t>
      </w:r>
    </w:p>
    <w:p>
      <w:pPr>
        <w:keepNext/>
        <w:keepLines/>
        <w:pageBreakBefore w:val="0"/>
        <w:widowControl w:val="0"/>
        <w:numPr>
          <w:ilvl w:val="1"/>
          <w:numId w:val="3"/>
        </w:numPr>
        <w:tabs>
          <w:tab w:val="left" w:pos="0"/>
          <w:tab w:val="left" w:pos="426"/>
          <w:tab w:val="left" w:pos="576"/>
          <w:tab w:val="left" w:pos="786"/>
        </w:tabs>
        <w:kinsoku/>
        <w:wordWrap/>
        <w:overflowPunct/>
        <w:topLinePunct w:val="0"/>
        <w:autoSpaceDE/>
        <w:autoSpaceDN/>
        <w:bidi w:val="0"/>
        <w:spacing w:line="560" w:lineRule="exact"/>
        <w:ind w:left="0" w:firstLine="0"/>
        <w:textAlignment w:val="auto"/>
        <w:outlineLvl w:val="1"/>
        <w:rPr>
          <w:rFonts w:ascii="宋体" w:hAnsi="宋体"/>
          <w:b/>
          <w:bCs/>
          <w:sz w:val="28"/>
          <w:szCs w:val="28"/>
        </w:rPr>
      </w:pPr>
      <w:r>
        <w:rPr>
          <w:rFonts w:hint="eastAsia" w:ascii="宋体" w:hAnsi="宋体"/>
          <w:b/>
          <w:bCs/>
          <w:sz w:val="28"/>
          <w:szCs w:val="28"/>
          <w:lang w:val="en-US" w:eastAsia="zh-CN"/>
        </w:rPr>
        <w:t xml:space="preserve"> </w:t>
      </w:r>
      <w:bookmarkStart w:id="162" w:name="_Toc23624"/>
      <w:r>
        <w:rPr>
          <w:rFonts w:hint="eastAsia" w:ascii="宋体" w:hAnsi="宋体"/>
          <w:b/>
          <w:bCs/>
          <w:sz w:val="28"/>
          <w:szCs w:val="28"/>
          <w:lang w:val="en-US" w:eastAsia="zh-CN"/>
        </w:rPr>
        <w:t>*</w:t>
      </w:r>
      <w:r>
        <w:rPr>
          <w:rFonts w:hint="eastAsia" w:ascii="宋体" w:hAnsi="宋体"/>
          <w:b/>
          <w:bCs/>
          <w:sz w:val="28"/>
          <w:szCs w:val="28"/>
        </w:rPr>
        <w:t>商务</w:t>
      </w:r>
      <w:r>
        <w:rPr>
          <w:rFonts w:ascii="宋体" w:hAnsi="宋体"/>
          <w:b/>
          <w:bCs/>
          <w:sz w:val="28"/>
          <w:szCs w:val="28"/>
        </w:rPr>
        <w:t>要求</w:t>
      </w:r>
      <w:bookmarkEnd w:id="162"/>
    </w:p>
    <w:p>
      <w:pPr>
        <w:pStyle w:val="5"/>
        <w:pageBreakBefore w:val="0"/>
        <w:widowControl w:val="0"/>
        <w:numPr>
          <w:ilvl w:val="2"/>
          <w:numId w:val="3"/>
        </w:numPr>
        <w:tabs>
          <w:tab w:val="left" w:pos="0"/>
          <w:tab w:val="left" w:pos="426"/>
          <w:tab w:val="left" w:pos="576"/>
          <w:tab w:val="left" w:pos="786"/>
        </w:tabs>
        <w:kinsoku/>
        <w:wordWrap/>
        <w:overflowPunct/>
        <w:topLinePunct w:val="0"/>
        <w:autoSpaceDE/>
        <w:autoSpaceDN/>
        <w:bidi w:val="0"/>
        <w:spacing w:line="560" w:lineRule="exact"/>
        <w:textAlignment w:val="auto"/>
        <w:rPr>
          <w:color w:val="auto"/>
        </w:rPr>
      </w:pPr>
      <w:r>
        <w:rPr>
          <w:rFonts w:hint="eastAsia"/>
          <w:color w:val="auto"/>
        </w:rPr>
        <w:t>交货时间、方式</w:t>
      </w:r>
    </w:p>
    <w:p>
      <w:pPr>
        <w:keepNext w:val="0"/>
        <w:keepLines w:val="0"/>
        <w:pageBreakBefore w:val="0"/>
        <w:widowControl w:val="0"/>
        <w:numPr>
          <w:ilvl w:val="0"/>
          <w:numId w:val="61"/>
        </w:numPr>
        <w:tabs>
          <w:tab w:val="left" w:pos="851"/>
        </w:tabs>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交货时间：合同签订之日起35日内按照采购人要求送货至指定地点。</w:t>
      </w:r>
    </w:p>
    <w:p>
      <w:pPr>
        <w:keepNext w:val="0"/>
        <w:keepLines w:val="0"/>
        <w:pageBreakBefore w:val="0"/>
        <w:widowControl w:val="0"/>
        <w:numPr>
          <w:ilvl w:val="0"/>
          <w:numId w:val="61"/>
        </w:numPr>
        <w:tabs>
          <w:tab w:val="left" w:pos="851"/>
        </w:tabs>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交货方式：中标供应商送货上门并卸货至指定地点，并对卸货过程中货物的安全、完好性负责。</w:t>
      </w:r>
    </w:p>
    <w:p>
      <w:pPr>
        <w:pStyle w:val="5"/>
        <w:pageBreakBefore w:val="0"/>
        <w:widowControl w:val="0"/>
        <w:numPr>
          <w:ilvl w:val="2"/>
          <w:numId w:val="3"/>
        </w:numPr>
        <w:tabs>
          <w:tab w:val="left" w:pos="0"/>
          <w:tab w:val="left" w:pos="426"/>
          <w:tab w:val="left" w:pos="576"/>
          <w:tab w:val="left" w:pos="786"/>
        </w:tabs>
        <w:kinsoku/>
        <w:wordWrap/>
        <w:overflowPunct/>
        <w:topLinePunct w:val="0"/>
        <w:autoSpaceDE/>
        <w:autoSpaceDN/>
        <w:bidi w:val="0"/>
        <w:spacing w:line="560" w:lineRule="exact"/>
        <w:textAlignment w:val="auto"/>
        <w:rPr>
          <w:color w:val="auto"/>
        </w:rPr>
      </w:pPr>
      <w:r>
        <w:rPr>
          <w:rFonts w:hint="eastAsia"/>
          <w:color w:val="auto"/>
        </w:rPr>
        <w:t>交货地点</w:t>
      </w:r>
    </w:p>
    <w:p>
      <w:pPr>
        <w:pageBreakBefore w:val="0"/>
        <w:widowControl w:val="0"/>
        <w:tabs>
          <w:tab w:val="left" w:pos="851"/>
        </w:tabs>
        <w:kinsoku/>
        <w:wordWrap/>
        <w:overflowPunct/>
        <w:topLinePunct w:val="0"/>
        <w:autoSpaceDE/>
        <w:autoSpaceDN/>
        <w:bidi w:val="0"/>
        <w:spacing w:line="560" w:lineRule="exact"/>
        <w:ind w:firstLine="560" w:firstLineChars="200"/>
        <w:textAlignment w:val="auto"/>
        <w:rPr>
          <w:rFonts w:ascii="宋体" w:hAnsi="宋体"/>
          <w:sz w:val="28"/>
          <w:szCs w:val="28"/>
        </w:rPr>
      </w:pPr>
      <w:r>
        <w:rPr>
          <w:rFonts w:hint="eastAsia" w:ascii="宋体" w:hAnsi="宋体"/>
          <w:sz w:val="28"/>
          <w:szCs w:val="28"/>
        </w:rPr>
        <w:t>成都市双流区妇幼保健院指定地点。</w:t>
      </w:r>
    </w:p>
    <w:p>
      <w:pPr>
        <w:pStyle w:val="5"/>
        <w:pageBreakBefore w:val="0"/>
        <w:widowControl w:val="0"/>
        <w:numPr>
          <w:ilvl w:val="2"/>
          <w:numId w:val="3"/>
        </w:numPr>
        <w:tabs>
          <w:tab w:val="left" w:pos="0"/>
          <w:tab w:val="left" w:pos="426"/>
          <w:tab w:val="left" w:pos="576"/>
          <w:tab w:val="left" w:pos="786"/>
        </w:tabs>
        <w:kinsoku/>
        <w:wordWrap/>
        <w:overflowPunct/>
        <w:topLinePunct w:val="0"/>
        <w:autoSpaceDE/>
        <w:autoSpaceDN/>
        <w:bidi w:val="0"/>
        <w:spacing w:line="560" w:lineRule="exact"/>
        <w:textAlignment w:val="auto"/>
        <w:rPr>
          <w:color w:val="auto"/>
        </w:rPr>
      </w:pPr>
      <w:r>
        <w:rPr>
          <w:rFonts w:hint="eastAsia"/>
          <w:color w:val="auto"/>
        </w:rPr>
        <w:t>付款方式</w:t>
      </w:r>
    </w:p>
    <w:p>
      <w:pPr>
        <w:pageBreakBefore w:val="0"/>
        <w:widowControl w:val="0"/>
        <w:tabs>
          <w:tab w:val="left" w:pos="851"/>
        </w:tabs>
        <w:kinsoku/>
        <w:wordWrap/>
        <w:overflowPunct/>
        <w:topLinePunct w:val="0"/>
        <w:autoSpaceDE/>
        <w:autoSpaceDN/>
        <w:bidi w:val="0"/>
        <w:spacing w:line="560" w:lineRule="exact"/>
        <w:ind w:firstLine="705" w:firstLineChars="252"/>
        <w:textAlignment w:val="auto"/>
        <w:rPr>
          <w:rFonts w:hint="eastAsia" w:ascii="宋体" w:hAnsi="宋体" w:eastAsia="宋体"/>
          <w:sz w:val="28"/>
          <w:szCs w:val="28"/>
          <w:lang w:eastAsia="zh-CN"/>
        </w:rPr>
      </w:pPr>
      <w:r>
        <w:rPr>
          <w:rFonts w:hint="eastAsia" w:ascii="宋体" w:hAnsi="宋体" w:eastAsia="宋体"/>
          <w:sz w:val="28"/>
          <w:szCs w:val="28"/>
          <w:lang w:eastAsia="zh-CN"/>
        </w:rPr>
        <w:t>一、合同</w:t>
      </w:r>
      <w:r>
        <w:rPr>
          <w:rFonts w:hint="eastAsia" w:ascii="宋体" w:hAnsi="宋体"/>
          <w:sz w:val="28"/>
          <w:szCs w:val="28"/>
        </w:rPr>
        <w:t>签订</w:t>
      </w:r>
      <w:r>
        <w:rPr>
          <w:rFonts w:hint="eastAsia" w:ascii="宋体" w:hAnsi="宋体"/>
          <w:sz w:val="28"/>
          <w:szCs w:val="28"/>
          <w:lang w:eastAsia="zh-CN"/>
        </w:rPr>
        <w:t>之日起</w:t>
      </w:r>
      <w:r>
        <w:rPr>
          <w:rFonts w:hint="eastAsia" w:ascii="宋体" w:hAnsi="宋体" w:eastAsia="宋体"/>
          <w:sz w:val="28"/>
          <w:szCs w:val="28"/>
          <w:lang w:eastAsia="zh-CN"/>
        </w:rPr>
        <w:t>5个工作日内支付中标金额的30%预付款；在设备（货物）安装调试完毕并经最终验收合格三个月后向中标供应商支付合同总价的65%货款，一年期满后，双方无异议，采购人向中标供应商支付合同总价5%尾款。采购人如逾期支付款项的应向中标供应商出具合理说明，采购人未有合理说明的，则按应付而未付的款项为基数，同期银行存款基准利率为标准向中标供应商承担违约责任。</w:t>
      </w:r>
    </w:p>
    <w:p>
      <w:pPr>
        <w:pageBreakBefore w:val="0"/>
        <w:widowControl w:val="0"/>
        <w:numPr>
          <w:ilvl w:val="0"/>
          <w:numId w:val="0"/>
        </w:numPr>
        <w:tabs>
          <w:tab w:val="left" w:pos="851"/>
        </w:tabs>
        <w:kinsoku/>
        <w:wordWrap/>
        <w:overflowPunct/>
        <w:topLinePunct w:val="0"/>
        <w:autoSpaceDE/>
        <w:autoSpaceDN/>
        <w:bidi w:val="0"/>
        <w:spacing w:line="560" w:lineRule="exact"/>
        <w:ind w:firstLine="560" w:firstLineChars="200"/>
        <w:textAlignment w:val="auto"/>
      </w:pPr>
      <w:r>
        <w:rPr>
          <w:rFonts w:hint="eastAsia" w:ascii="宋体" w:hAnsi="宋体" w:cstheme="minorBidi"/>
          <w:sz w:val="28"/>
          <w:szCs w:val="28"/>
          <w:lang w:val="en-US" w:eastAsia="zh-CN"/>
        </w:rPr>
        <w:t>二、</w:t>
      </w:r>
      <w:r>
        <w:rPr>
          <w:rFonts w:hint="eastAsia" w:ascii="宋体" w:hAnsi="宋体" w:cstheme="minorBidi"/>
          <w:sz w:val="28"/>
          <w:szCs w:val="28"/>
        </w:rPr>
        <w:t>中标供应商须向采购人出具合法有效完整的发票及凭证资料后进行支付结算，付款方式均采用公对公的银行转账，供应商接受转账的开户信息以采购合同载明的为准。</w:t>
      </w:r>
    </w:p>
    <w:p>
      <w:pPr>
        <w:pStyle w:val="5"/>
        <w:pageBreakBefore w:val="0"/>
        <w:widowControl w:val="0"/>
        <w:numPr>
          <w:ilvl w:val="2"/>
          <w:numId w:val="3"/>
        </w:numPr>
        <w:tabs>
          <w:tab w:val="left" w:pos="0"/>
          <w:tab w:val="left" w:pos="426"/>
          <w:tab w:val="left" w:pos="576"/>
          <w:tab w:val="left" w:pos="786"/>
        </w:tabs>
        <w:kinsoku/>
        <w:wordWrap/>
        <w:overflowPunct/>
        <w:topLinePunct w:val="0"/>
        <w:autoSpaceDE/>
        <w:autoSpaceDN/>
        <w:bidi w:val="0"/>
        <w:spacing w:line="560" w:lineRule="exact"/>
        <w:textAlignment w:val="auto"/>
        <w:rPr>
          <w:color w:val="auto"/>
        </w:rPr>
      </w:pPr>
      <w:r>
        <w:rPr>
          <w:rFonts w:hint="eastAsia"/>
          <w:color w:val="auto"/>
        </w:rPr>
        <w:t>验收方式</w:t>
      </w:r>
    </w:p>
    <w:p>
      <w:pPr>
        <w:pageBreakBefore w:val="0"/>
        <w:widowControl w:val="0"/>
        <w:numPr>
          <w:ilvl w:val="0"/>
          <w:numId w:val="62"/>
        </w:numPr>
        <w:kinsoku/>
        <w:wordWrap/>
        <w:overflowPunct/>
        <w:topLinePunct w:val="0"/>
        <w:autoSpaceDE/>
        <w:autoSpaceDN/>
        <w:bidi w:val="0"/>
        <w:spacing w:line="560" w:lineRule="exact"/>
        <w:ind w:firstLine="560" w:firstLineChars="200"/>
        <w:textAlignment w:val="auto"/>
        <w:rPr>
          <w:rFonts w:ascii="宋体" w:hAnsi="宋体" w:cs="宋体"/>
          <w:color w:val="000000"/>
          <w:sz w:val="27"/>
          <w:szCs w:val="27"/>
        </w:rPr>
      </w:pPr>
      <w:r>
        <w:rPr>
          <w:rFonts w:hint="eastAsia" w:asciiTheme="minorEastAsia" w:hAnsiTheme="minorEastAsia" w:eastAsiaTheme="minorEastAsia"/>
          <w:sz w:val="28"/>
          <w:szCs w:val="28"/>
        </w:rPr>
        <w:t>采购人将严格按照政府采购相关法律法规以及《财政部关于进一步加强政府采购需求和履约验收管理的指导意见》（财库〔2016〕205号）、招标文件的技术参数</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尺寸允许有±5%的偏差</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及质量要求、中标供应商的投标文件及承诺约定标准的要求进行验收。</w:t>
      </w:r>
    </w:p>
    <w:p>
      <w:pPr>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ascii="宋体" w:hAnsi="宋体"/>
          <w:sz w:val="28"/>
          <w:szCs w:val="28"/>
        </w:rPr>
      </w:pPr>
      <w:r>
        <w:rPr>
          <w:rFonts w:hint="eastAsia" w:ascii="宋体" w:hAnsi="宋体"/>
          <w:sz w:val="28"/>
          <w:szCs w:val="28"/>
        </w:rPr>
        <w:t>二、由采购人组织验收小组，中标供应商配合进行：</w:t>
      </w:r>
    </w:p>
    <w:p>
      <w:pPr>
        <w:pageBreakBefore w:val="0"/>
        <w:widowControl w:val="0"/>
        <w:numPr>
          <w:ilvl w:val="0"/>
          <w:numId w:val="63"/>
        </w:numPr>
        <w:kinsoku/>
        <w:wordWrap/>
        <w:overflowPunct/>
        <w:topLinePunct w:val="0"/>
        <w:autoSpaceDE/>
        <w:autoSpaceDN/>
        <w:bidi w:val="0"/>
        <w:spacing w:line="560" w:lineRule="exact"/>
        <w:textAlignment w:val="auto"/>
        <w:rPr>
          <w:rFonts w:ascii="宋体" w:hAnsi="宋体"/>
          <w:sz w:val="28"/>
          <w:szCs w:val="28"/>
        </w:rPr>
      </w:pPr>
      <w:r>
        <w:rPr>
          <w:rFonts w:hint="eastAsia" w:ascii="宋体" w:hAnsi="宋体"/>
          <w:sz w:val="28"/>
          <w:szCs w:val="28"/>
        </w:rPr>
        <w:t>送货当日组织验收小组进行现场验收。</w:t>
      </w:r>
    </w:p>
    <w:p>
      <w:pPr>
        <w:pageBreakBefore w:val="0"/>
        <w:widowControl w:val="0"/>
        <w:numPr>
          <w:ilvl w:val="0"/>
          <w:numId w:val="63"/>
        </w:numPr>
        <w:kinsoku/>
        <w:wordWrap/>
        <w:overflowPunct/>
        <w:topLinePunct w:val="0"/>
        <w:autoSpaceDE/>
        <w:autoSpaceDN/>
        <w:bidi w:val="0"/>
        <w:spacing w:line="560" w:lineRule="exact"/>
        <w:textAlignment w:val="auto"/>
        <w:rPr>
          <w:rFonts w:ascii="宋体" w:hAnsi="宋体"/>
          <w:sz w:val="28"/>
          <w:szCs w:val="28"/>
        </w:rPr>
      </w:pPr>
      <w:r>
        <w:rPr>
          <w:rFonts w:hint="eastAsia" w:ascii="宋体" w:hAnsi="宋体"/>
          <w:sz w:val="28"/>
          <w:szCs w:val="28"/>
        </w:rPr>
        <w:t>验收标准：按国家有关规定以及采购人招标文件的质量要求和技术指标、中标供应商的投标文件及承诺与本合同约定标准进行验收。</w:t>
      </w:r>
    </w:p>
    <w:p>
      <w:pPr>
        <w:pageBreakBefore w:val="0"/>
        <w:widowControl w:val="0"/>
        <w:numPr>
          <w:ilvl w:val="0"/>
          <w:numId w:val="63"/>
        </w:numPr>
        <w:kinsoku/>
        <w:wordWrap/>
        <w:overflowPunct/>
        <w:topLinePunct w:val="0"/>
        <w:autoSpaceDE/>
        <w:autoSpaceDN/>
        <w:bidi w:val="0"/>
        <w:spacing w:line="560" w:lineRule="exact"/>
        <w:textAlignment w:val="auto"/>
        <w:rPr>
          <w:rFonts w:hint="eastAsia" w:ascii="宋体" w:hAnsi="宋体" w:eastAsia="宋体"/>
          <w:sz w:val="28"/>
          <w:szCs w:val="28"/>
        </w:rPr>
      </w:pPr>
      <w:r>
        <w:rPr>
          <w:rFonts w:hint="eastAsia" w:ascii="宋体" w:hAnsi="宋体" w:eastAsia="宋体"/>
          <w:sz w:val="28"/>
          <w:szCs w:val="28"/>
        </w:rPr>
        <w:t>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中标供应商承担，验收期限相应顺延。</w:t>
      </w:r>
    </w:p>
    <w:p>
      <w:pPr>
        <w:keepNext w:val="0"/>
        <w:keepLines w:val="0"/>
        <w:pageBreakBefore w:val="0"/>
        <w:widowControl w:val="0"/>
        <w:numPr>
          <w:ilvl w:val="0"/>
          <w:numId w:val="63"/>
        </w:numPr>
        <w:kinsoku/>
        <w:wordWrap/>
        <w:overflowPunct/>
        <w:topLinePunct w:val="0"/>
        <w:autoSpaceDE/>
        <w:autoSpaceDN/>
        <w:bidi w:val="0"/>
        <w:adjustRightInd/>
        <w:snapToGrid/>
        <w:spacing w:line="560" w:lineRule="exact"/>
        <w:textAlignment w:val="auto"/>
        <w:rPr>
          <w:rFonts w:hint="eastAsia" w:ascii="宋体" w:hAnsi="宋体" w:eastAsia="宋体"/>
          <w:sz w:val="28"/>
          <w:szCs w:val="28"/>
        </w:rPr>
      </w:pPr>
      <w:r>
        <w:rPr>
          <w:rFonts w:hint="eastAsia" w:ascii="宋体" w:hAnsi="宋体" w:eastAsia="宋体"/>
          <w:sz w:val="28"/>
          <w:szCs w:val="28"/>
        </w:rPr>
        <w:t>交货验收时每台货物上均应有产品质量检验合格标志，且须提供产品质检部门从同类产品中抽样检查合格的检测报告。</w:t>
      </w:r>
    </w:p>
    <w:p>
      <w:pPr>
        <w:keepNext w:val="0"/>
        <w:keepLines w:val="0"/>
        <w:pageBreakBefore w:val="0"/>
        <w:widowControl w:val="0"/>
        <w:numPr>
          <w:ilvl w:val="0"/>
          <w:numId w:val="63"/>
        </w:numPr>
        <w:kinsoku/>
        <w:wordWrap/>
        <w:overflowPunct/>
        <w:topLinePunct w:val="0"/>
        <w:autoSpaceDE/>
        <w:autoSpaceDN/>
        <w:bidi w:val="0"/>
        <w:adjustRightInd/>
        <w:snapToGrid/>
        <w:spacing w:line="560" w:lineRule="exact"/>
        <w:textAlignment w:val="auto"/>
        <w:rPr>
          <w:rFonts w:hint="eastAsia" w:ascii="宋体" w:hAnsi="宋体" w:eastAsia="宋体"/>
          <w:sz w:val="28"/>
          <w:szCs w:val="28"/>
        </w:rPr>
      </w:pPr>
      <w:r>
        <w:rPr>
          <w:rFonts w:hint="eastAsia" w:ascii="宋体" w:hAnsi="宋体"/>
          <w:sz w:val="28"/>
          <w:szCs w:val="28"/>
        </w:rPr>
        <w:t>如质量验收合格，双方签署质量验收报告。</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rPr>
      </w:pPr>
      <w:r>
        <w:rPr>
          <w:rFonts w:hint="eastAsia" w:ascii="宋体" w:hAnsi="宋体"/>
          <w:sz w:val="28"/>
          <w:szCs w:val="28"/>
          <w:lang w:val="en-US" w:eastAsia="zh-CN"/>
        </w:rPr>
        <w:t>三、</w:t>
      </w:r>
      <w:r>
        <w:rPr>
          <w:rFonts w:hint="eastAsia" w:ascii="宋体" w:hAnsi="宋体"/>
          <w:sz w:val="28"/>
          <w:szCs w:val="28"/>
          <w:lang w:eastAsia="zh-CN"/>
        </w:rPr>
        <w:t>中标供应商</w:t>
      </w:r>
      <w:r>
        <w:rPr>
          <w:rFonts w:hint="eastAsia" w:ascii="宋体" w:hAnsi="宋体"/>
          <w:sz w:val="28"/>
          <w:szCs w:val="28"/>
        </w:rPr>
        <w:t>应将所提供货物的装箱清单、配件、随机工具、用户使用手册、原厂保修卡等资料交付给采购人。</w:t>
      </w:r>
      <w:r>
        <w:rPr>
          <w:rFonts w:hint="eastAsia" w:ascii="宋体" w:hAnsi="宋体"/>
          <w:sz w:val="28"/>
          <w:szCs w:val="28"/>
          <w:lang w:eastAsia="zh-CN"/>
        </w:rPr>
        <w:t>中标供应商</w:t>
      </w:r>
      <w:r>
        <w:rPr>
          <w:rFonts w:hint="eastAsia" w:ascii="宋体" w:hAnsi="宋体"/>
          <w:sz w:val="28"/>
          <w:szCs w:val="28"/>
        </w:rPr>
        <w:t>不能完整交付货物及本款规定的单证和工具的，必须负责补齐，否则视为未按合同约定交货。</w:t>
      </w:r>
    </w:p>
    <w:p>
      <w:pPr>
        <w:pStyle w:val="5"/>
        <w:pageBreakBefore w:val="0"/>
        <w:widowControl w:val="0"/>
        <w:numPr>
          <w:ilvl w:val="2"/>
          <w:numId w:val="3"/>
        </w:numPr>
        <w:kinsoku/>
        <w:wordWrap/>
        <w:overflowPunct/>
        <w:topLinePunct w:val="0"/>
        <w:autoSpaceDE/>
        <w:autoSpaceDN/>
        <w:bidi w:val="0"/>
        <w:spacing w:line="560" w:lineRule="exact"/>
        <w:textAlignment w:val="auto"/>
        <w:rPr>
          <w:color w:val="auto"/>
        </w:rPr>
      </w:pPr>
      <w:r>
        <w:rPr>
          <w:rFonts w:hint="eastAsia"/>
          <w:color w:val="auto"/>
        </w:rPr>
        <w:t>质量保证与安装调试</w:t>
      </w:r>
    </w:p>
    <w:p>
      <w:pPr>
        <w:pStyle w:val="81"/>
        <w:pageBreakBefore w:val="0"/>
        <w:widowControl w:val="0"/>
        <w:numPr>
          <w:ilvl w:val="0"/>
          <w:numId w:val="0"/>
        </w:numPr>
        <w:tabs>
          <w:tab w:val="left" w:pos="1134"/>
        </w:tabs>
        <w:kinsoku/>
        <w:wordWrap/>
        <w:overflowPunct/>
        <w:topLinePunct w:val="0"/>
        <w:autoSpaceDE/>
        <w:autoSpaceDN/>
        <w:bidi w:val="0"/>
        <w:snapToGrid w:val="0"/>
        <w:spacing w:line="560" w:lineRule="exact"/>
        <w:ind w:firstLine="562" w:firstLineChars="200"/>
        <w:textAlignment w:val="auto"/>
        <w:rPr>
          <w:rFonts w:hint="eastAsia" w:asciiTheme="minorEastAsia" w:hAnsiTheme="minorEastAsia"/>
          <w:b/>
          <w:sz w:val="28"/>
          <w:szCs w:val="28"/>
        </w:rPr>
      </w:pPr>
      <w:r>
        <w:rPr>
          <w:rFonts w:hint="eastAsia" w:ascii="宋体" w:hAnsi="宋体"/>
          <w:b/>
          <w:bCs/>
          <w:sz w:val="28"/>
          <w:szCs w:val="28"/>
          <w:lang w:val="en-US" w:eastAsia="zh-CN"/>
        </w:rPr>
        <w:t>*</w:t>
      </w:r>
      <w:r>
        <w:rPr>
          <w:rFonts w:hint="eastAsia" w:ascii="宋体" w:hAnsi="宋体"/>
          <w:sz w:val="28"/>
          <w:szCs w:val="28"/>
          <w:lang w:val="en-US" w:eastAsia="zh-CN"/>
        </w:rPr>
        <w:t>一、</w:t>
      </w:r>
      <w:r>
        <w:rPr>
          <w:rFonts w:hint="eastAsia" w:ascii="宋体" w:hAnsi="宋体"/>
          <w:sz w:val="28"/>
          <w:szCs w:val="28"/>
        </w:rPr>
        <w:t>投标人须提供全新的货物(含零部件、配件、使用说明书等)，表面无划伤、无碰撞痕迹，且权属清楚，不得侵害他人的知识产权</w:t>
      </w:r>
      <w:r>
        <w:rPr>
          <w:rFonts w:hint="eastAsia" w:ascii="宋体" w:hAnsi="宋体"/>
          <w:sz w:val="28"/>
          <w:szCs w:val="28"/>
          <w:lang w:eastAsia="zh-CN"/>
        </w:rPr>
        <w:t>，</w:t>
      </w:r>
      <w:r>
        <w:rPr>
          <w:rFonts w:hint="eastAsia" w:ascii="宋体" w:hAnsi="宋体"/>
          <w:sz w:val="28"/>
          <w:szCs w:val="28"/>
        </w:rPr>
        <w:t>货物必须符合或优于国家标准，以及本项目招标文件及技术协议的质量要求和技术指标与出厂标准。</w:t>
      </w:r>
      <w:r>
        <w:rPr>
          <w:rFonts w:hint="eastAsia" w:asciiTheme="minorEastAsia" w:hAnsiTheme="minorEastAsia"/>
          <w:b/>
          <w:sz w:val="28"/>
          <w:szCs w:val="28"/>
        </w:rPr>
        <w:t>（说明：按照招标文件3.3.6承诺函内容进行承诺）</w:t>
      </w:r>
    </w:p>
    <w:p>
      <w:pPr>
        <w:pStyle w:val="81"/>
        <w:pageBreakBefore w:val="0"/>
        <w:widowControl w:val="0"/>
        <w:numPr>
          <w:ilvl w:val="0"/>
          <w:numId w:val="64"/>
        </w:numPr>
        <w:tabs>
          <w:tab w:val="left" w:pos="1134"/>
        </w:tabs>
        <w:kinsoku/>
        <w:wordWrap/>
        <w:overflowPunct/>
        <w:topLinePunct w:val="0"/>
        <w:autoSpaceDE/>
        <w:autoSpaceDN/>
        <w:bidi w:val="0"/>
        <w:snapToGrid w:val="0"/>
        <w:spacing w:line="560" w:lineRule="exact"/>
        <w:ind w:firstLine="562"/>
        <w:textAlignment w:val="auto"/>
        <w:rPr>
          <w:rFonts w:hint="eastAsia" w:ascii="宋体" w:hAnsi="宋体"/>
          <w:sz w:val="28"/>
          <w:szCs w:val="28"/>
        </w:rPr>
      </w:pPr>
      <w:r>
        <w:rPr>
          <w:rFonts w:hint="eastAsia" w:ascii="宋体" w:hAnsi="宋体"/>
          <w:sz w:val="28"/>
          <w:szCs w:val="28"/>
        </w:rPr>
        <w:t>设备安装调试完毕后，供货方应就设备的安装、调试、操作、维修、保养等对采购方维修技术人员及操作人员进行培训，直至采购</w:t>
      </w:r>
      <w:r>
        <w:rPr>
          <w:rFonts w:hint="eastAsia" w:ascii="宋体" w:hAnsi="宋体"/>
          <w:sz w:val="28"/>
          <w:szCs w:val="28"/>
          <w:lang w:eastAsia="zh-CN"/>
        </w:rPr>
        <w:t>人</w:t>
      </w:r>
      <w:r>
        <w:rPr>
          <w:rFonts w:hint="eastAsia" w:ascii="宋体" w:hAnsi="宋体"/>
          <w:sz w:val="28"/>
          <w:szCs w:val="28"/>
        </w:rPr>
        <w:t>的技术人员能独立操作，同时能完成一般常见故障的维修工作。所需费用</w:t>
      </w:r>
      <w:r>
        <w:rPr>
          <w:rFonts w:hint="eastAsia" w:ascii="宋体" w:hAnsi="宋体"/>
          <w:sz w:val="28"/>
          <w:szCs w:val="28"/>
          <w:lang w:eastAsia="zh-CN"/>
        </w:rPr>
        <w:t>应</w:t>
      </w:r>
      <w:r>
        <w:rPr>
          <w:rFonts w:hint="eastAsia" w:ascii="宋体" w:hAnsi="宋体"/>
          <w:sz w:val="28"/>
          <w:szCs w:val="28"/>
        </w:rPr>
        <w:t>包括在投标总价中。</w:t>
      </w:r>
    </w:p>
    <w:p>
      <w:pPr>
        <w:pStyle w:val="5"/>
        <w:pageBreakBefore w:val="0"/>
        <w:widowControl w:val="0"/>
        <w:numPr>
          <w:ilvl w:val="2"/>
          <w:numId w:val="3"/>
        </w:numPr>
        <w:tabs>
          <w:tab w:val="left" w:pos="0"/>
          <w:tab w:val="left" w:pos="426"/>
          <w:tab w:val="left" w:pos="576"/>
          <w:tab w:val="left" w:pos="786"/>
        </w:tabs>
        <w:kinsoku/>
        <w:wordWrap/>
        <w:overflowPunct/>
        <w:topLinePunct w:val="0"/>
        <w:autoSpaceDE/>
        <w:autoSpaceDN/>
        <w:bidi w:val="0"/>
        <w:spacing w:line="560" w:lineRule="exact"/>
        <w:textAlignment w:val="auto"/>
        <w:rPr>
          <w:color w:val="auto"/>
        </w:rPr>
      </w:pPr>
      <w:r>
        <w:rPr>
          <w:rFonts w:hint="eastAsia"/>
          <w:color w:val="auto"/>
        </w:rPr>
        <w:t>售后服务要求</w:t>
      </w:r>
    </w:p>
    <w:p>
      <w:pPr>
        <w:pStyle w:val="81"/>
        <w:pageBreakBefore w:val="0"/>
        <w:widowControl w:val="0"/>
        <w:numPr>
          <w:ilvl w:val="0"/>
          <w:numId w:val="65"/>
        </w:numPr>
        <w:kinsoku/>
        <w:wordWrap/>
        <w:overflowPunct/>
        <w:topLinePunct w:val="0"/>
        <w:autoSpaceDE/>
        <w:autoSpaceDN/>
        <w:bidi w:val="0"/>
        <w:spacing w:line="560" w:lineRule="exact"/>
        <w:ind w:left="0" w:firstLine="560" w:firstLineChars="0"/>
        <w:textAlignment w:val="auto"/>
        <w:rPr>
          <w:rFonts w:ascii="宋体" w:hAnsi="宋体"/>
          <w:color w:val="auto"/>
          <w:sz w:val="28"/>
          <w:szCs w:val="28"/>
        </w:rPr>
      </w:pPr>
      <w:r>
        <w:rPr>
          <w:rFonts w:hint="eastAsia" w:ascii="宋体" w:hAnsi="宋体"/>
          <w:color w:val="auto"/>
          <w:sz w:val="28"/>
          <w:szCs w:val="28"/>
        </w:rPr>
        <w:t>质保期从验收合格之日起开始计算</w:t>
      </w:r>
      <w:r>
        <w:rPr>
          <w:rFonts w:hint="eastAsia" w:ascii="宋体" w:hAnsi="宋体"/>
          <w:color w:val="auto"/>
          <w:sz w:val="28"/>
          <w:szCs w:val="28"/>
          <w:lang w:eastAsia="zh-CN"/>
        </w:rPr>
        <w:t>为</w:t>
      </w:r>
      <w:r>
        <w:rPr>
          <w:rFonts w:hint="eastAsia" w:ascii="宋体" w:hAnsi="宋体"/>
          <w:color w:val="auto"/>
          <w:sz w:val="28"/>
          <w:szCs w:val="28"/>
          <w:lang w:val="en-US" w:eastAsia="zh-CN"/>
        </w:rPr>
        <w:t>5</w:t>
      </w:r>
      <w:r>
        <w:rPr>
          <w:rFonts w:hint="eastAsia" w:ascii="宋体" w:hAnsi="宋体"/>
          <w:color w:val="auto"/>
          <w:sz w:val="28"/>
          <w:szCs w:val="28"/>
        </w:rPr>
        <w:t>年。免费提供上门安装、保修服务，同一产品因同一质量问题</w:t>
      </w:r>
      <w:r>
        <w:rPr>
          <w:rFonts w:hint="eastAsia" w:ascii="宋体" w:hAnsi="宋体"/>
          <w:color w:val="auto"/>
          <w:sz w:val="28"/>
          <w:szCs w:val="28"/>
          <w:lang w:val="en-US" w:eastAsia="zh-CN"/>
        </w:rPr>
        <w:t>3</w:t>
      </w:r>
      <w:r>
        <w:rPr>
          <w:rFonts w:hint="eastAsia" w:ascii="宋体" w:hAnsi="宋体"/>
          <w:color w:val="auto"/>
          <w:sz w:val="28"/>
          <w:szCs w:val="28"/>
        </w:rPr>
        <w:t>次维修仍无法正常使用，</w:t>
      </w:r>
      <w:r>
        <w:rPr>
          <w:rFonts w:hint="eastAsia" w:ascii="宋体" w:hAnsi="宋体"/>
          <w:color w:val="auto"/>
          <w:sz w:val="28"/>
          <w:szCs w:val="28"/>
          <w:lang w:eastAsia="zh-CN"/>
        </w:rPr>
        <w:t>采购人</w:t>
      </w:r>
      <w:r>
        <w:rPr>
          <w:rFonts w:hint="eastAsia" w:ascii="宋体" w:hAnsi="宋体"/>
          <w:color w:val="auto"/>
          <w:sz w:val="28"/>
          <w:szCs w:val="28"/>
        </w:rPr>
        <w:t>有权要求</w:t>
      </w:r>
      <w:r>
        <w:rPr>
          <w:rFonts w:hint="eastAsia" w:ascii="宋体" w:hAnsi="宋体" w:eastAsia="宋体"/>
          <w:sz w:val="28"/>
          <w:szCs w:val="28"/>
          <w:lang w:eastAsia="zh-CN"/>
        </w:rPr>
        <w:t>中标供应商</w:t>
      </w:r>
      <w:r>
        <w:rPr>
          <w:rFonts w:hint="eastAsia" w:ascii="宋体" w:hAnsi="宋体"/>
          <w:color w:val="auto"/>
          <w:sz w:val="28"/>
          <w:szCs w:val="28"/>
        </w:rPr>
        <w:t>于5工作日内免费更换新产品。</w:t>
      </w:r>
    </w:p>
    <w:p>
      <w:pPr>
        <w:pStyle w:val="81"/>
        <w:pageBreakBefore w:val="0"/>
        <w:widowControl w:val="0"/>
        <w:numPr>
          <w:ilvl w:val="0"/>
          <w:numId w:val="65"/>
        </w:numPr>
        <w:kinsoku/>
        <w:wordWrap/>
        <w:overflowPunct/>
        <w:topLinePunct w:val="0"/>
        <w:autoSpaceDE/>
        <w:autoSpaceDN/>
        <w:bidi w:val="0"/>
        <w:spacing w:line="560" w:lineRule="exact"/>
        <w:ind w:left="0" w:firstLine="560" w:firstLineChars="0"/>
        <w:textAlignment w:val="auto"/>
        <w:rPr>
          <w:rFonts w:hint="eastAsia" w:ascii="宋体" w:hAnsi="宋体" w:eastAsia="宋体" w:cs="Times New Roman"/>
          <w:kern w:val="2"/>
          <w:sz w:val="28"/>
          <w:szCs w:val="28"/>
          <w:lang w:val="zh-CN" w:eastAsia="zh-CN" w:bidi="ar-SA"/>
        </w:rPr>
      </w:pPr>
      <w:r>
        <w:rPr>
          <w:rFonts w:hint="eastAsia" w:ascii="宋体" w:hAnsi="宋体"/>
          <w:color w:val="auto"/>
          <w:sz w:val="28"/>
          <w:szCs w:val="28"/>
          <w:lang w:eastAsia="zh-CN"/>
        </w:rPr>
        <w:t>中标供应商</w:t>
      </w:r>
      <w:r>
        <w:rPr>
          <w:rFonts w:hint="eastAsia" w:ascii="宋体" w:hAnsi="宋体"/>
          <w:color w:val="auto"/>
          <w:sz w:val="28"/>
          <w:szCs w:val="28"/>
        </w:rPr>
        <w:t>接到</w:t>
      </w:r>
      <w:r>
        <w:rPr>
          <w:rFonts w:hint="eastAsia" w:ascii="宋体" w:hAnsi="宋体"/>
          <w:color w:val="auto"/>
          <w:sz w:val="28"/>
          <w:szCs w:val="28"/>
          <w:lang w:eastAsia="zh-CN"/>
        </w:rPr>
        <w:t>采购人</w:t>
      </w:r>
      <w:r>
        <w:rPr>
          <w:rFonts w:hint="eastAsia" w:ascii="宋体" w:hAnsi="宋体"/>
          <w:color w:val="auto"/>
          <w:sz w:val="28"/>
          <w:szCs w:val="28"/>
        </w:rPr>
        <w:t>维修通知后，须</w:t>
      </w:r>
      <w:r>
        <w:rPr>
          <w:rFonts w:hint="eastAsia" w:ascii="宋体" w:hAnsi="宋体"/>
          <w:color w:val="auto"/>
          <w:sz w:val="28"/>
          <w:szCs w:val="28"/>
          <w:lang w:eastAsia="zh-CN"/>
        </w:rPr>
        <w:t>半</w:t>
      </w:r>
      <w:r>
        <w:rPr>
          <w:rFonts w:hint="eastAsia" w:ascii="宋体" w:hAnsi="宋体"/>
          <w:color w:val="auto"/>
          <w:sz w:val="28"/>
          <w:szCs w:val="28"/>
        </w:rPr>
        <w:t>小时内响应，在4小时内到现场，对货物进行维修或更换并承担修理调换的费用，且不能以差旅、住宿等理由要求</w:t>
      </w:r>
      <w:r>
        <w:rPr>
          <w:rFonts w:hint="eastAsia" w:ascii="宋体" w:hAnsi="宋体"/>
          <w:color w:val="auto"/>
          <w:sz w:val="28"/>
          <w:szCs w:val="28"/>
          <w:lang w:eastAsia="zh-CN"/>
        </w:rPr>
        <w:t>采购人</w:t>
      </w:r>
      <w:r>
        <w:rPr>
          <w:rFonts w:hint="eastAsia" w:ascii="宋体" w:hAnsi="宋体"/>
          <w:color w:val="auto"/>
          <w:sz w:val="28"/>
          <w:szCs w:val="28"/>
        </w:rPr>
        <w:t>支付其他任何费用。如因特殊原因导致不能现场完成维修或更换的，</w:t>
      </w:r>
      <w:r>
        <w:rPr>
          <w:rFonts w:hint="eastAsia" w:ascii="宋体" w:hAnsi="宋体" w:eastAsia="宋体"/>
          <w:sz w:val="28"/>
          <w:szCs w:val="28"/>
          <w:lang w:eastAsia="zh-CN"/>
        </w:rPr>
        <w:t>中标供应商</w:t>
      </w:r>
      <w:r>
        <w:rPr>
          <w:rFonts w:hint="eastAsia" w:ascii="宋体" w:hAnsi="宋体"/>
          <w:color w:val="auto"/>
          <w:sz w:val="28"/>
          <w:szCs w:val="28"/>
        </w:rPr>
        <w:t>最迟应于1个工作日内完成维修或更换。如</w:t>
      </w:r>
      <w:r>
        <w:rPr>
          <w:rFonts w:hint="eastAsia" w:ascii="宋体" w:hAnsi="宋体" w:eastAsia="宋体"/>
          <w:sz w:val="28"/>
          <w:szCs w:val="28"/>
          <w:lang w:eastAsia="zh-CN"/>
        </w:rPr>
        <w:t>中标供应商</w:t>
      </w:r>
      <w:r>
        <w:rPr>
          <w:rFonts w:hint="eastAsia" w:ascii="宋体" w:hAnsi="宋体"/>
          <w:color w:val="auto"/>
          <w:sz w:val="28"/>
          <w:szCs w:val="28"/>
        </w:rPr>
        <w:t>未在前述期限内到场或未在前述期限内完成维修或更换的，</w:t>
      </w:r>
      <w:r>
        <w:rPr>
          <w:rFonts w:hint="eastAsia" w:ascii="宋体" w:hAnsi="宋体"/>
          <w:color w:val="auto"/>
          <w:sz w:val="28"/>
          <w:szCs w:val="28"/>
          <w:lang w:eastAsia="zh-CN"/>
        </w:rPr>
        <w:t>采购人</w:t>
      </w:r>
      <w:r>
        <w:rPr>
          <w:rFonts w:hint="eastAsia" w:ascii="宋体" w:hAnsi="宋体"/>
          <w:color w:val="auto"/>
          <w:sz w:val="28"/>
          <w:szCs w:val="28"/>
        </w:rPr>
        <w:t>有权另行委托任何第三方进行维修或更换，由此产生的费用均由</w:t>
      </w:r>
      <w:r>
        <w:rPr>
          <w:rFonts w:hint="eastAsia" w:ascii="宋体" w:hAnsi="宋体" w:eastAsia="宋体"/>
          <w:sz w:val="28"/>
          <w:szCs w:val="28"/>
          <w:lang w:eastAsia="zh-CN"/>
        </w:rPr>
        <w:t>中标供应商</w:t>
      </w:r>
      <w:r>
        <w:rPr>
          <w:rFonts w:hint="eastAsia" w:ascii="宋体" w:hAnsi="宋体"/>
          <w:color w:val="auto"/>
          <w:sz w:val="28"/>
          <w:szCs w:val="28"/>
        </w:rPr>
        <w:t>承担，且</w:t>
      </w:r>
      <w:r>
        <w:rPr>
          <w:rFonts w:hint="eastAsia" w:ascii="宋体" w:hAnsi="宋体"/>
          <w:color w:val="auto"/>
          <w:sz w:val="28"/>
          <w:szCs w:val="28"/>
          <w:lang w:eastAsia="zh-CN"/>
        </w:rPr>
        <w:t>采购人</w:t>
      </w:r>
      <w:r>
        <w:rPr>
          <w:rFonts w:hint="eastAsia" w:ascii="宋体" w:hAnsi="宋体"/>
          <w:color w:val="auto"/>
          <w:sz w:val="28"/>
          <w:szCs w:val="28"/>
        </w:rPr>
        <w:t>有权要求</w:t>
      </w:r>
      <w:r>
        <w:rPr>
          <w:rFonts w:hint="eastAsia" w:ascii="宋体" w:hAnsi="宋体" w:eastAsia="宋体"/>
          <w:sz w:val="28"/>
          <w:szCs w:val="28"/>
          <w:lang w:eastAsia="zh-CN"/>
        </w:rPr>
        <w:t>中标供应商</w:t>
      </w:r>
      <w:r>
        <w:rPr>
          <w:rFonts w:hint="eastAsia" w:ascii="宋体" w:hAnsi="宋体"/>
          <w:color w:val="auto"/>
          <w:sz w:val="28"/>
          <w:szCs w:val="28"/>
        </w:rPr>
        <w:t>按照200元</w:t>
      </w:r>
      <w:r>
        <w:rPr>
          <w:rFonts w:hint="eastAsia" w:ascii="宋体" w:hAnsi="宋体"/>
          <w:color w:val="auto"/>
          <w:sz w:val="28"/>
          <w:szCs w:val="28"/>
          <w:lang w:val="en-US" w:eastAsia="zh-CN"/>
        </w:rPr>
        <w:t>/</w:t>
      </w:r>
      <w:r>
        <w:rPr>
          <w:rFonts w:hint="eastAsia" w:ascii="宋体" w:hAnsi="宋体"/>
          <w:color w:val="auto"/>
          <w:sz w:val="28"/>
          <w:szCs w:val="28"/>
        </w:rPr>
        <w:t>次的标准支付违约金。</w:t>
      </w:r>
    </w:p>
    <w:p>
      <w:pPr>
        <w:pStyle w:val="81"/>
        <w:pageBreakBefore w:val="0"/>
        <w:widowControl w:val="0"/>
        <w:numPr>
          <w:ilvl w:val="0"/>
          <w:numId w:val="65"/>
        </w:numPr>
        <w:kinsoku/>
        <w:wordWrap/>
        <w:overflowPunct/>
        <w:topLinePunct w:val="0"/>
        <w:autoSpaceDE/>
        <w:autoSpaceDN/>
        <w:bidi w:val="0"/>
        <w:spacing w:line="560" w:lineRule="exact"/>
        <w:ind w:left="0" w:firstLine="560" w:firstLineChars="0"/>
        <w:textAlignment w:val="auto"/>
        <w:rPr>
          <w:rFonts w:ascii="宋体" w:hAnsi="宋体"/>
          <w:sz w:val="28"/>
          <w:szCs w:val="28"/>
          <w:lang w:val="zh-CN"/>
        </w:rPr>
      </w:pPr>
      <w:r>
        <w:rPr>
          <w:rFonts w:hint="eastAsia" w:ascii="宋体" w:hAnsi="宋体" w:eastAsiaTheme="minorEastAsia" w:cstheme="minorBidi"/>
          <w:color w:val="auto"/>
          <w:kern w:val="2"/>
          <w:sz w:val="28"/>
          <w:szCs w:val="28"/>
          <w:lang w:val="zh-CN" w:eastAsia="zh-CN" w:bidi="ar-SA"/>
        </w:rPr>
        <w:t>质保期外产品的更换、维修只收取成本费，免收人工技术费</w:t>
      </w:r>
      <w:r>
        <w:rPr>
          <w:rFonts w:hint="eastAsia" w:ascii="宋体" w:hAnsi="宋体" w:eastAsia="宋体" w:cs="Times New Roman"/>
          <w:kern w:val="2"/>
          <w:sz w:val="28"/>
          <w:szCs w:val="28"/>
          <w:lang w:val="zh-CN" w:eastAsia="zh-CN" w:bidi="ar-SA"/>
        </w:rPr>
        <w:t>用。</w:t>
      </w:r>
    </w:p>
    <w:p>
      <w:pPr>
        <w:pStyle w:val="81"/>
        <w:pageBreakBefore w:val="0"/>
        <w:widowControl w:val="0"/>
        <w:numPr>
          <w:ilvl w:val="0"/>
          <w:numId w:val="0"/>
        </w:numPr>
        <w:tabs>
          <w:tab w:val="left" w:pos="1134"/>
        </w:tabs>
        <w:kinsoku/>
        <w:wordWrap/>
        <w:overflowPunct/>
        <w:topLinePunct w:val="0"/>
        <w:autoSpaceDE/>
        <w:autoSpaceDN/>
        <w:bidi w:val="0"/>
        <w:snapToGrid w:val="0"/>
        <w:spacing w:line="560" w:lineRule="exact"/>
        <w:ind w:firstLine="562" w:firstLineChars="200"/>
        <w:textAlignment w:val="auto"/>
        <w:rPr>
          <w:rFonts w:ascii="宋体" w:hAnsi="宋体"/>
          <w:sz w:val="28"/>
          <w:szCs w:val="28"/>
          <w:lang w:val="zh-CN"/>
        </w:rPr>
      </w:pPr>
      <w:r>
        <w:rPr>
          <w:rFonts w:hint="eastAsia" w:ascii="宋体" w:hAnsi="宋体"/>
          <w:b/>
          <w:bCs/>
          <w:sz w:val="28"/>
          <w:szCs w:val="28"/>
          <w:lang w:val="en-US" w:eastAsia="zh-CN"/>
        </w:rPr>
        <w:t>*</w:t>
      </w:r>
      <w:r>
        <w:rPr>
          <w:rFonts w:hint="eastAsia" w:ascii="宋体" w:hAnsi="宋体"/>
          <w:sz w:val="28"/>
          <w:szCs w:val="28"/>
          <w:lang w:val="en-US" w:eastAsia="zh-CN"/>
        </w:rPr>
        <w:t>四、</w:t>
      </w:r>
      <w:r>
        <w:rPr>
          <w:rFonts w:hint="eastAsia" w:ascii="宋体" w:hAnsi="宋体"/>
          <w:sz w:val="28"/>
          <w:szCs w:val="28"/>
          <w:lang w:val="zh-CN"/>
        </w:rPr>
        <w:t>供应商须指派专人负责与采购人联系售后服务事宜。如供应商售后联系人或联系方式发生变更，应在变更前3日内书面通知采购人，否则视为未作变更，原约定的联系信息仍为有效的信息，由此产生的不利后果均由供应商承担。</w:t>
      </w:r>
      <w:r>
        <w:rPr>
          <w:rFonts w:hint="eastAsia" w:asciiTheme="minorEastAsia" w:hAnsiTheme="minorEastAsia"/>
          <w:b/>
          <w:sz w:val="28"/>
          <w:szCs w:val="28"/>
        </w:rPr>
        <w:t>（说明：按照招标文件3.3.6承诺函内容进行承诺）</w:t>
      </w:r>
    </w:p>
    <w:p>
      <w:pPr>
        <w:pStyle w:val="81"/>
        <w:pageBreakBefore w:val="0"/>
        <w:widowControl w:val="0"/>
        <w:numPr>
          <w:ilvl w:val="0"/>
          <w:numId w:val="0"/>
        </w:numPr>
        <w:tabs>
          <w:tab w:val="left" w:pos="1134"/>
        </w:tabs>
        <w:kinsoku/>
        <w:wordWrap/>
        <w:overflowPunct/>
        <w:topLinePunct w:val="0"/>
        <w:autoSpaceDE/>
        <w:autoSpaceDN/>
        <w:bidi w:val="0"/>
        <w:snapToGrid w:val="0"/>
        <w:spacing w:line="560" w:lineRule="exact"/>
        <w:ind w:firstLine="560" w:firstLineChars="200"/>
        <w:textAlignment w:val="auto"/>
        <w:rPr>
          <w:rFonts w:ascii="宋体" w:hAnsi="宋体"/>
          <w:sz w:val="28"/>
          <w:szCs w:val="28"/>
          <w:lang w:val="zh-CN"/>
        </w:rPr>
      </w:pPr>
      <w:r>
        <w:rPr>
          <w:rFonts w:hint="eastAsia" w:ascii="宋体" w:hAnsi="宋体"/>
          <w:sz w:val="28"/>
          <w:szCs w:val="28"/>
          <w:lang w:val="en-US" w:eastAsia="zh-CN"/>
        </w:rPr>
        <w:t>五、</w:t>
      </w:r>
      <w:r>
        <w:rPr>
          <w:rFonts w:hint="eastAsia" w:ascii="宋体" w:hAnsi="宋体"/>
          <w:sz w:val="28"/>
          <w:szCs w:val="28"/>
          <w:lang w:val="zh-CN"/>
        </w:rPr>
        <w:t>因质量问题发生争议,由</w:t>
      </w:r>
      <w:r>
        <w:rPr>
          <w:rFonts w:hint="eastAsia" w:ascii="宋体" w:hAnsi="宋体"/>
          <w:sz w:val="28"/>
          <w:szCs w:val="28"/>
        </w:rPr>
        <w:t>采购人</w:t>
      </w:r>
      <w:r>
        <w:rPr>
          <w:rFonts w:hint="eastAsia" w:ascii="宋体" w:hAnsi="宋体"/>
          <w:sz w:val="28"/>
          <w:szCs w:val="28"/>
          <w:lang w:val="zh-CN"/>
        </w:rPr>
        <w:t>或其指定的第三方机构进行质量鉴定。质量符合标准的，鉴定费由</w:t>
      </w:r>
      <w:r>
        <w:rPr>
          <w:rFonts w:hint="eastAsia" w:ascii="宋体" w:hAnsi="宋体"/>
          <w:sz w:val="28"/>
          <w:szCs w:val="28"/>
        </w:rPr>
        <w:t>采购人</w:t>
      </w:r>
      <w:r>
        <w:rPr>
          <w:rFonts w:hint="eastAsia" w:ascii="宋体" w:hAnsi="宋体"/>
          <w:sz w:val="28"/>
          <w:szCs w:val="28"/>
          <w:lang w:val="zh-CN"/>
        </w:rPr>
        <w:t>承担；不符合质量标准的，鉴定费由</w:t>
      </w:r>
      <w:r>
        <w:rPr>
          <w:rFonts w:hint="eastAsia" w:ascii="宋体" w:hAnsi="宋体"/>
          <w:sz w:val="28"/>
          <w:szCs w:val="28"/>
        </w:rPr>
        <w:t>供应商</w:t>
      </w:r>
      <w:r>
        <w:rPr>
          <w:rFonts w:hint="eastAsia" w:ascii="宋体" w:hAnsi="宋体"/>
          <w:sz w:val="28"/>
          <w:szCs w:val="28"/>
          <w:lang w:val="zh-CN"/>
        </w:rPr>
        <w:t>承担。</w:t>
      </w:r>
    </w:p>
    <w:p>
      <w:pPr>
        <w:pStyle w:val="5"/>
        <w:pageBreakBefore w:val="0"/>
        <w:widowControl w:val="0"/>
        <w:numPr>
          <w:ilvl w:val="2"/>
          <w:numId w:val="3"/>
        </w:numPr>
        <w:tabs>
          <w:tab w:val="left" w:pos="0"/>
          <w:tab w:val="left" w:pos="426"/>
          <w:tab w:val="left" w:pos="576"/>
          <w:tab w:val="left" w:pos="786"/>
        </w:tabs>
        <w:kinsoku/>
        <w:wordWrap/>
        <w:overflowPunct/>
        <w:topLinePunct w:val="0"/>
        <w:autoSpaceDE/>
        <w:autoSpaceDN/>
        <w:bidi w:val="0"/>
        <w:spacing w:line="560" w:lineRule="exact"/>
        <w:textAlignment w:val="auto"/>
        <w:rPr>
          <w:color w:val="auto"/>
        </w:rPr>
      </w:pPr>
      <w:r>
        <w:rPr>
          <w:rFonts w:hint="eastAsia"/>
          <w:color w:val="auto"/>
        </w:rPr>
        <w:t>违约责任</w:t>
      </w:r>
    </w:p>
    <w:p>
      <w:pPr>
        <w:pStyle w:val="81"/>
        <w:pageBreakBefore w:val="0"/>
        <w:widowControl w:val="0"/>
        <w:numPr>
          <w:ilvl w:val="0"/>
          <w:numId w:val="66"/>
        </w:numPr>
        <w:kinsoku/>
        <w:wordWrap/>
        <w:overflowPunct/>
        <w:topLinePunct w:val="0"/>
        <w:autoSpaceDE/>
        <w:autoSpaceDN/>
        <w:bidi w:val="0"/>
        <w:spacing w:line="560" w:lineRule="exact"/>
        <w:ind w:firstLineChars="0"/>
        <w:textAlignment w:val="auto"/>
        <w:rPr>
          <w:rFonts w:ascii="宋体" w:hAnsi="宋体"/>
          <w:sz w:val="28"/>
          <w:szCs w:val="28"/>
        </w:rPr>
      </w:pPr>
      <w:r>
        <w:rPr>
          <w:rFonts w:hint="eastAsia" w:ascii="宋体" w:hAnsi="宋体"/>
          <w:sz w:val="28"/>
          <w:szCs w:val="28"/>
        </w:rPr>
        <w:t>如非因供应商原因导致采购人逾期支付货款的，每逾期一日，供应商有权要求采购人以逾期未付款项为基数，按照中国人民银行活期存款利率（单利）的标准支付逾期付款损失。如非因供应商原因导致采购人逾期支付预付款超过90日的，供应商有权解除本合同，并要求采购人按照预付款总额的20%支付违约金。</w:t>
      </w:r>
    </w:p>
    <w:p>
      <w:pPr>
        <w:pStyle w:val="81"/>
        <w:pageBreakBefore w:val="0"/>
        <w:widowControl w:val="0"/>
        <w:numPr>
          <w:ilvl w:val="0"/>
          <w:numId w:val="66"/>
        </w:numPr>
        <w:kinsoku/>
        <w:wordWrap/>
        <w:overflowPunct/>
        <w:topLinePunct w:val="0"/>
        <w:autoSpaceDE/>
        <w:autoSpaceDN/>
        <w:bidi w:val="0"/>
        <w:spacing w:line="560" w:lineRule="exact"/>
        <w:ind w:firstLineChars="0"/>
        <w:textAlignment w:val="auto"/>
        <w:rPr>
          <w:rFonts w:ascii="宋体" w:hAnsi="宋体"/>
          <w:sz w:val="28"/>
          <w:szCs w:val="28"/>
        </w:rPr>
      </w:pPr>
      <w:r>
        <w:rPr>
          <w:rFonts w:hint="eastAsia" w:ascii="宋体" w:hAnsi="宋体"/>
          <w:sz w:val="28"/>
          <w:szCs w:val="28"/>
        </w:rPr>
        <w:t>如非因采购人原因导致供应商逾期交付采购货物或逾期完成验收或逾期未免费更换的，每逾期一日，采购人有权要求供应商以违约采购货物对应的货物金额为基数，按照每日万分之五的标准支付违约金。如逾期超过15日的，采购人有权部分或全部终止合同。如采购人选择部分终止合同，同意接受已按期交付且验收合格的采购货物的，甲乙双方对供应商已验收合格的采购货物据实进行结算，采购人同时有权要求供应商按照合同总价的20%支付违约金。如采购人选择全部终止合同的，供应商应退还全部预付款，采购人有权要求供应商按照合同总价的20%支付违约金。如前述违约金不足以弥补采购人损失的，供应商应当另行赔偿。</w:t>
      </w:r>
    </w:p>
    <w:p>
      <w:pPr>
        <w:pStyle w:val="81"/>
        <w:pageBreakBefore w:val="0"/>
        <w:widowControl w:val="0"/>
        <w:numPr>
          <w:ilvl w:val="0"/>
          <w:numId w:val="66"/>
        </w:numPr>
        <w:kinsoku/>
        <w:wordWrap/>
        <w:overflowPunct/>
        <w:topLinePunct w:val="0"/>
        <w:autoSpaceDE/>
        <w:autoSpaceDN/>
        <w:bidi w:val="0"/>
        <w:spacing w:line="560" w:lineRule="exact"/>
        <w:ind w:firstLineChars="0"/>
        <w:textAlignment w:val="auto"/>
        <w:rPr>
          <w:rFonts w:ascii="宋体" w:hAnsi="宋体"/>
          <w:sz w:val="28"/>
          <w:szCs w:val="28"/>
        </w:rPr>
      </w:pPr>
      <w:r>
        <w:rPr>
          <w:rFonts w:hint="eastAsia" w:ascii="宋体" w:hAnsi="宋体"/>
          <w:sz w:val="28"/>
          <w:szCs w:val="28"/>
        </w:rPr>
        <w:t>本合同履行期间，如供应商出现下列情形之一的，采购人有权提前终止本合同，并要求供应商按照合同总价的20%支付违约金：</w:t>
      </w:r>
    </w:p>
    <w:p>
      <w:pPr>
        <w:pStyle w:val="81"/>
        <w:pageBreakBefore w:val="0"/>
        <w:widowControl w:val="0"/>
        <w:numPr>
          <w:ilvl w:val="0"/>
          <w:numId w:val="67"/>
        </w:numPr>
        <w:kinsoku/>
        <w:wordWrap/>
        <w:overflowPunct/>
        <w:topLinePunct w:val="0"/>
        <w:autoSpaceDE/>
        <w:autoSpaceDN/>
        <w:bidi w:val="0"/>
        <w:spacing w:line="560" w:lineRule="exact"/>
        <w:ind w:firstLine="560"/>
        <w:textAlignment w:val="auto"/>
        <w:rPr>
          <w:rFonts w:ascii="宋体" w:hAnsi="宋体"/>
          <w:sz w:val="28"/>
          <w:szCs w:val="28"/>
        </w:rPr>
      </w:pPr>
      <w:r>
        <w:rPr>
          <w:rFonts w:hint="eastAsia" w:ascii="宋体" w:hAnsi="宋体"/>
          <w:sz w:val="28"/>
          <w:szCs w:val="28"/>
        </w:rPr>
        <w:t>供应本合同项下采购货物所需的其中任一资格、资质（包括但不限于营业执照、经营许可证、代理商资格证等）被吊销或注销或失效的；</w:t>
      </w:r>
    </w:p>
    <w:p>
      <w:pPr>
        <w:pStyle w:val="81"/>
        <w:pageBreakBefore w:val="0"/>
        <w:widowControl w:val="0"/>
        <w:numPr>
          <w:ilvl w:val="0"/>
          <w:numId w:val="67"/>
        </w:numPr>
        <w:kinsoku/>
        <w:wordWrap/>
        <w:overflowPunct/>
        <w:topLinePunct w:val="0"/>
        <w:autoSpaceDE/>
        <w:autoSpaceDN/>
        <w:bidi w:val="0"/>
        <w:spacing w:line="560" w:lineRule="exact"/>
        <w:ind w:firstLine="560"/>
        <w:textAlignment w:val="auto"/>
        <w:rPr>
          <w:rFonts w:ascii="宋体" w:hAnsi="宋体"/>
          <w:sz w:val="28"/>
          <w:szCs w:val="28"/>
        </w:rPr>
      </w:pPr>
      <w:r>
        <w:rPr>
          <w:rFonts w:hint="eastAsia" w:ascii="宋体" w:hAnsi="宋体"/>
          <w:sz w:val="28"/>
          <w:szCs w:val="28"/>
        </w:rPr>
        <w:t>被工商行政管理机关在全国企业信用信息公示系统中列入严重违法失信企业名单；</w:t>
      </w:r>
    </w:p>
    <w:p>
      <w:pPr>
        <w:pStyle w:val="81"/>
        <w:pageBreakBefore w:val="0"/>
        <w:widowControl w:val="0"/>
        <w:numPr>
          <w:ilvl w:val="0"/>
          <w:numId w:val="67"/>
        </w:numPr>
        <w:kinsoku/>
        <w:wordWrap/>
        <w:overflowPunct/>
        <w:topLinePunct w:val="0"/>
        <w:autoSpaceDE/>
        <w:autoSpaceDN/>
        <w:bidi w:val="0"/>
        <w:spacing w:line="560" w:lineRule="exact"/>
        <w:ind w:firstLine="560"/>
        <w:textAlignment w:val="auto"/>
        <w:rPr>
          <w:rFonts w:ascii="宋体" w:hAnsi="宋体"/>
          <w:sz w:val="28"/>
          <w:szCs w:val="28"/>
        </w:rPr>
      </w:pPr>
      <w:r>
        <w:rPr>
          <w:rFonts w:hint="eastAsia" w:ascii="宋体" w:hAnsi="宋体"/>
          <w:sz w:val="28"/>
          <w:szCs w:val="28"/>
        </w:rPr>
        <w:t>被最高人法院在“信用中国”网站（</w:t>
      </w:r>
      <w:r>
        <w:fldChar w:fldCharType="begin"/>
      </w:r>
      <w:r>
        <w:instrText xml:space="preserve"> HYPERLINK "http://www.creditchina.gov.cn）或各级信用信息共享平台中列入失信被执行人名单；" </w:instrText>
      </w:r>
      <w:r>
        <w:fldChar w:fldCharType="separate"/>
      </w:r>
      <w:r>
        <w:rPr>
          <w:rFonts w:hint="eastAsia" w:ascii="宋体" w:hAnsi="宋体"/>
          <w:sz w:val="28"/>
          <w:szCs w:val="28"/>
        </w:rPr>
        <w:t>www.creditchina.gov.cn）或各级信用信息共享平台中列入失信被执行人名单；</w:t>
      </w:r>
      <w:r>
        <w:rPr>
          <w:rFonts w:hint="eastAsia" w:ascii="宋体" w:hAnsi="宋体"/>
          <w:sz w:val="28"/>
          <w:szCs w:val="28"/>
        </w:rPr>
        <w:fldChar w:fldCharType="end"/>
      </w:r>
    </w:p>
    <w:p>
      <w:pPr>
        <w:pStyle w:val="81"/>
        <w:pageBreakBefore w:val="0"/>
        <w:widowControl w:val="0"/>
        <w:numPr>
          <w:ilvl w:val="0"/>
          <w:numId w:val="67"/>
        </w:numPr>
        <w:kinsoku/>
        <w:wordWrap/>
        <w:overflowPunct/>
        <w:topLinePunct w:val="0"/>
        <w:autoSpaceDE/>
        <w:autoSpaceDN/>
        <w:bidi w:val="0"/>
        <w:spacing w:line="560" w:lineRule="exact"/>
        <w:ind w:firstLine="560"/>
        <w:textAlignment w:val="auto"/>
        <w:rPr>
          <w:rFonts w:ascii="宋体" w:hAnsi="宋体"/>
          <w:sz w:val="28"/>
          <w:szCs w:val="28"/>
        </w:rPr>
      </w:pPr>
      <w:r>
        <w:rPr>
          <w:rFonts w:hint="eastAsia" w:ascii="宋体" w:hAnsi="宋体"/>
          <w:sz w:val="28"/>
          <w:szCs w:val="28"/>
        </w:rPr>
        <w:t>被纳入政府采购严重违法失信行为记录名单；</w:t>
      </w:r>
    </w:p>
    <w:p>
      <w:pPr>
        <w:pStyle w:val="81"/>
        <w:pageBreakBefore w:val="0"/>
        <w:widowControl w:val="0"/>
        <w:numPr>
          <w:ilvl w:val="0"/>
          <w:numId w:val="67"/>
        </w:numPr>
        <w:kinsoku/>
        <w:wordWrap/>
        <w:overflowPunct/>
        <w:topLinePunct w:val="0"/>
        <w:autoSpaceDE/>
        <w:autoSpaceDN/>
        <w:bidi w:val="0"/>
        <w:spacing w:line="560" w:lineRule="exact"/>
        <w:ind w:firstLine="560"/>
        <w:textAlignment w:val="auto"/>
        <w:rPr>
          <w:rFonts w:ascii="宋体" w:hAnsi="宋体"/>
          <w:sz w:val="28"/>
          <w:szCs w:val="28"/>
        </w:rPr>
      </w:pPr>
      <w:r>
        <w:rPr>
          <w:rFonts w:hint="eastAsia" w:ascii="宋体" w:hAnsi="宋体"/>
          <w:sz w:val="28"/>
          <w:szCs w:val="28"/>
        </w:rPr>
        <w:t>被应急管理部列入安全生产领域失信行为开展联合惩戒企业名单。</w:t>
      </w:r>
    </w:p>
    <w:p>
      <w:pPr>
        <w:keepNext/>
        <w:keepLines/>
        <w:pageBreakBefore w:val="0"/>
        <w:widowControl w:val="0"/>
        <w:numPr>
          <w:ilvl w:val="1"/>
          <w:numId w:val="3"/>
        </w:numPr>
        <w:tabs>
          <w:tab w:val="left" w:pos="0"/>
          <w:tab w:val="left" w:pos="426"/>
          <w:tab w:val="left" w:pos="576"/>
          <w:tab w:val="left" w:pos="786"/>
        </w:tabs>
        <w:kinsoku/>
        <w:wordWrap/>
        <w:overflowPunct/>
        <w:topLinePunct w:val="0"/>
        <w:autoSpaceDE/>
        <w:autoSpaceDN/>
        <w:bidi w:val="0"/>
        <w:spacing w:line="560" w:lineRule="exact"/>
        <w:ind w:left="0" w:firstLine="0"/>
        <w:textAlignment w:val="auto"/>
        <w:outlineLvl w:val="1"/>
        <w:rPr>
          <w:rFonts w:ascii="宋体" w:hAnsi="宋体" w:cs="宋体"/>
          <w:b/>
          <w:bCs/>
          <w:sz w:val="28"/>
          <w:szCs w:val="28"/>
        </w:rPr>
      </w:pPr>
      <w:r>
        <w:rPr>
          <w:rFonts w:hint="eastAsia" w:ascii="宋体" w:hAnsi="宋体" w:cs="宋体"/>
          <w:b/>
          <w:bCs/>
          <w:sz w:val="28"/>
          <w:szCs w:val="28"/>
          <w:lang w:val="en-US" w:eastAsia="zh-CN"/>
        </w:rPr>
        <w:t xml:space="preserve"> </w:t>
      </w:r>
      <w:bookmarkStart w:id="163" w:name="_Toc12699"/>
      <w:r>
        <w:rPr>
          <w:rFonts w:hint="eastAsia" w:ascii="宋体" w:hAnsi="宋体" w:cs="宋体"/>
          <w:b/>
          <w:bCs/>
          <w:sz w:val="28"/>
          <w:szCs w:val="28"/>
          <w:lang w:val="en-US" w:eastAsia="zh-CN"/>
        </w:rPr>
        <w:t>*</w:t>
      </w:r>
      <w:r>
        <w:rPr>
          <w:rFonts w:hint="eastAsia" w:ascii="宋体" w:hAnsi="宋体" w:cs="宋体"/>
          <w:b/>
          <w:bCs/>
          <w:sz w:val="28"/>
          <w:szCs w:val="28"/>
        </w:rPr>
        <w:t>最高限价</w:t>
      </w:r>
      <w:bookmarkEnd w:id="163"/>
    </w:p>
    <w:p>
      <w:pPr>
        <w:pageBreakBefore w:val="0"/>
        <w:widowControl w:val="0"/>
        <w:kinsoku/>
        <w:wordWrap/>
        <w:overflowPunct/>
        <w:topLinePunct w:val="0"/>
        <w:autoSpaceDE/>
        <w:autoSpaceDN/>
        <w:bidi w:val="0"/>
        <w:spacing w:line="560" w:lineRule="exact"/>
        <w:ind w:firstLine="551" w:firstLineChars="196"/>
        <w:textAlignment w:val="auto"/>
        <w:rPr>
          <w:rFonts w:ascii="宋体" w:hAnsi="宋体" w:cs="宋体"/>
          <w:b/>
          <w:sz w:val="28"/>
          <w:szCs w:val="28"/>
          <w:lang w:val="zh-CN"/>
        </w:rPr>
      </w:pPr>
      <w:r>
        <w:rPr>
          <w:rFonts w:hint="eastAsia" w:ascii="宋体" w:hAnsi="宋体" w:cs="宋体"/>
          <w:b/>
          <w:sz w:val="28"/>
          <w:szCs w:val="28"/>
        </w:rPr>
        <w:t>本项目投标报价最高限价为人民币3194200</w:t>
      </w:r>
      <w:r>
        <w:rPr>
          <w:rFonts w:hint="eastAsia" w:ascii="宋体" w:hAnsi="宋体" w:cs="宋体"/>
          <w:b/>
          <w:sz w:val="28"/>
          <w:szCs w:val="28"/>
          <w:lang w:val="en-US" w:eastAsia="zh-CN"/>
        </w:rPr>
        <w:t>.00</w:t>
      </w:r>
      <w:r>
        <w:rPr>
          <w:rFonts w:hint="eastAsia" w:ascii="宋体" w:hAnsi="宋体" w:cs="宋体"/>
          <w:b/>
          <w:sz w:val="28"/>
          <w:szCs w:val="28"/>
          <w:lang w:val="zh-CN"/>
        </w:rPr>
        <w:t>元。单价最高限价见第4章4.2采购内容。如投标人投标报价高于最高限价或单价报价高于单价最高限价的则其投标文件将按无效投标文件处理。</w:t>
      </w:r>
    </w:p>
    <w:p>
      <w:pPr>
        <w:keepNext/>
        <w:keepLines/>
        <w:pageBreakBefore w:val="0"/>
        <w:widowControl w:val="0"/>
        <w:numPr>
          <w:ilvl w:val="1"/>
          <w:numId w:val="3"/>
        </w:numPr>
        <w:tabs>
          <w:tab w:val="left" w:pos="0"/>
          <w:tab w:val="left" w:pos="426"/>
          <w:tab w:val="left" w:pos="576"/>
          <w:tab w:val="left" w:pos="786"/>
        </w:tabs>
        <w:kinsoku/>
        <w:wordWrap/>
        <w:overflowPunct/>
        <w:topLinePunct w:val="0"/>
        <w:autoSpaceDE/>
        <w:autoSpaceDN/>
        <w:bidi w:val="0"/>
        <w:spacing w:line="560" w:lineRule="exact"/>
        <w:ind w:left="0" w:firstLine="0"/>
        <w:textAlignment w:val="auto"/>
        <w:outlineLvl w:val="1"/>
        <w:rPr>
          <w:rFonts w:ascii="宋体" w:hAnsi="宋体" w:cs="宋体"/>
          <w:b/>
          <w:bCs/>
          <w:sz w:val="28"/>
          <w:szCs w:val="28"/>
        </w:rPr>
      </w:pPr>
      <w:r>
        <w:rPr>
          <w:rFonts w:hint="eastAsia" w:ascii="宋体" w:hAnsi="宋体" w:cs="宋体"/>
          <w:b/>
          <w:bCs/>
          <w:sz w:val="28"/>
          <w:szCs w:val="28"/>
          <w:lang w:val="en-US" w:eastAsia="zh-CN"/>
        </w:rPr>
        <w:t xml:space="preserve"> </w:t>
      </w:r>
      <w:bookmarkStart w:id="164" w:name="_Toc26395"/>
      <w:r>
        <w:rPr>
          <w:rFonts w:hint="eastAsia" w:ascii="宋体" w:hAnsi="宋体" w:cs="宋体"/>
          <w:b/>
          <w:bCs/>
          <w:sz w:val="28"/>
          <w:szCs w:val="28"/>
        </w:rPr>
        <w:t>解决争议的方式</w:t>
      </w:r>
      <w:bookmarkEnd w:id="164"/>
    </w:p>
    <w:p>
      <w:pPr>
        <w:pStyle w:val="229"/>
        <w:pageBreakBefore w:val="0"/>
        <w:widowControl w:val="0"/>
        <w:kinsoku/>
        <w:wordWrap/>
        <w:overflowPunct/>
        <w:topLinePunct w:val="0"/>
        <w:autoSpaceDE/>
        <w:autoSpaceDN/>
        <w:bidi w:val="0"/>
        <w:spacing w:line="560" w:lineRule="exact"/>
        <w:ind w:firstLine="560"/>
        <w:textAlignment w:val="auto"/>
        <w:rPr>
          <w:rFonts w:ascii="宋体" w:hAnsi="宋体" w:eastAsia="宋体" w:cs="宋体"/>
          <w:szCs w:val="28"/>
        </w:rPr>
      </w:pPr>
      <w:r>
        <w:rPr>
          <w:rFonts w:hint="eastAsia" w:ascii="宋体" w:hAnsi="宋体" w:eastAsia="宋体" w:cs="宋体"/>
          <w:szCs w:val="28"/>
        </w:rPr>
        <w:t>合同履行期间，若双方发生争议，可协商或由有关部门调解解决，协商或调解不成的，向采购人所在地人民法院提起诉讼。</w:t>
      </w:r>
    </w:p>
    <w:p>
      <w:pPr>
        <w:keepNext/>
        <w:keepLines/>
        <w:pageBreakBefore w:val="0"/>
        <w:widowControl w:val="0"/>
        <w:numPr>
          <w:ilvl w:val="1"/>
          <w:numId w:val="3"/>
        </w:numPr>
        <w:tabs>
          <w:tab w:val="left" w:pos="0"/>
          <w:tab w:val="left" w:pos="426"/>
          <w:tab w:val="left" w:pos="576"/>
          <w:tab w:val="left" w:pos="786"/>
        </w:tabs>
        <w:kinsoku/>
        <w:wordWrap/>
        <w:overflowPunct/>
        <w:topLinePunct w:val="0"/>
        <w:autoSpaceDE/>
        <w:autoSpaceDN/>
        <w:bidi w:val="0"/>
        <w:spacing w:line="560" w:lineRule="exact"/>
        <w:ind w:left="0" w:firstLine="0"/>
        <w:textAlignment w:val="auto"/>
        <w:outlineLvl w:val="1"/>
        <w:rPr>
          <w:rFonts w:ascii="宋体" w:hAnsi="宋体" w:cs="宋体"/>
          <w:b/>
          <w:sz w:val="28"/>
          <w:szCs w:val="28"/>
        </w:rPr>
      </w:pPr>
      <w:r>
        <w:rPr>
          <w:rFonts w:hint="eastAsia" w:ascii="宋体" w:hAnsi="宋体" w:cs="宋体"/>
          <w:b/>
          <w:sz w:val="28"/>
          <w:szCs w:val="28"/>
          <w:lang w:val="en-US" w:eastAsia="zh-CN"/>
        </w:rPr>
        <w:t xml:space="preserve"> </w:t>
      </w:r>
      <w:bookmarkStart w:id="165" w:name="_Toc20323"/>
      <w:r>
        <w:rPr>
          <w:rFonts w:hint="eastAsia" w:ascii="宋体" w:hAnsi="宋体" w:cs="宋体"/>
          <w:b/>
          <w:sz w:val="28"/>
          <w:szCs w:val="28"/>
          <w:lang w:val="en-US" w:eastAsia="zh-CN"/>
        </w:rPr>
        <w:t>*</w:t>
      </w:r>
      <w:r>
        <w:rPr>
          <w:rFonts w:hint="eastAsia" w:ascii="宋体" w:hAnsi="宋体" w:cs="宋体"/>
          <w:b/>
          <w:sz w:val="28"/>
          <w:szCs w:val="28"/>
        </w:rPr>
        <w:t>其他要求</w:t>
      </w:r>
      <w:bookmarkEnd w:id="165"/>
    </w:p>
    <w:p>
      <w:pPr>
        <w:pStyle w:val="81"/>
        <w:pageBreakBefore w:val="0"/>
        <w:widowControl w:val="0"/>
        <w:tabs>
          <w:tab w:val="left" w:pos="1134"/>
        </w:tabs>
        <w:kinsoku/>
        <w:wordWrap/>
        <w:overflowPunct/>
        <w:topLinePunct w:val="0"/>
        <w:autoSpaceDE/>
        <w:autoSpaceDN/>
        <w:bidi w:val="0"/>
        <w:snapToGrid w:val="0"/>
        <w:spacing w:line="560" w:lineRule="exact"/>
        <w:ind w:firstLine="562"/>
        <w:textAlignment w:val="auto"/>
        <w:rPr>
          <w:rFonts w:hint="eastAsia" w:asciiTheme="minorEastAsia" w:hAnsiTheme="minorEastAsia"/>
          <w:b/>
          <w:sz w:val="28"/>
          <w:szCs w:val="28"/>
        </w:rPr>
      </w:pPr>
      <w:r>
        <w:rPr>
          <w:rFonts w:hint="eastAsia" w:ascii="宋体" w:hAnsi="宋体" w:eastAsia="宋体" w:cs="宋体"/>
          <w:b/>
          <w:sz w:val="28"/>
          <w:szCs w:val="28"/>
        </w:rPr>
        <w:t>*一、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81"/>
        <w:pageBreakBefore w:val="0"/>
        <w:widowControl w:val="0"/>
        <w:tabs>
          <w:tab w:val="left" w:pos="1134"/>
        </w:tabs>
        <w:kinsoku/>
        <w:wordWrap/>
        <w:overflowPunct/>
        <w:topLinePunct w:val="0"/>
        <w:autoSpaceDE/>
        <w:autoSpaceDN/>
        <w:bidi w:val="0"/>
        <w:snapToGrid w:val="0"/>
        <w:spacing w:line="560" w:lineRule="exact"/>
        <w:ind w:firstLine="562"/>
        <w:textAlignment w:val="auto"/>
        <w:rPr>
          <w:rFonts w:ascii="宋体" w:hAnsi="宋体" w:eastAsia="宋体" w:cs="宋体"/>
          <w:b/>
          <w:sz w:val="28"/>
          <w:szCs w:val="28"/>
        </w:rPr>
      </w:pPr>
      <w:r>
        <w:rPr>
          <w:rFonts w:hint="eastAsia" w:eastAsia="宋体" w:asciiTheme="minorEastAsia" w:hAnsiTheme="minorEastAsia"/>
          <w:b/>
          <w:sz w:val="28"/>
          <w:szCs w:val="28"/>
          <w:lang w:val="en-US" w:eastAsia="zh-CN"/>
        </w:rPr>
        <w:t>*</w:t>
      </w:r>
      <w:r>
        <w:rPr>
          <w:rFonts w:hint="eastAsia" w:ascii="宋体" w:hAnsi="宋体" w:eastAsia="宋体" w:cs="宋体"/>
          <w:b/>
          <w:sz w:val="28"/>
          <w:szCs w:val="28"/>
          <w:lang w:val="en-US" w:eastAsia="zh-CN"/>
        </w:rPr>
        <w:t>二、</w:t>
      </w:r>
      <w:r>
        <w:rPr>
          <w:rFonts w:hint="eastAsia" w:ascii="宋体" w:hAnsi="宋体" w:eastAsia="宋体" w:cs="宋体"/>
          <w:b/>
          <w:sz w:val="28"/>
          <w:szCs w:val="28"/>
        </w:rPr>
        <w:t>投标人为本项目提供的所有产品、辅材中属于《国家强制性产品认证目录》范围内产品的，均通过国家强制性产品认证并取得认证证书。（说明：按照招标文件3.3.6承诺函内容进行承诺）</w:t>
      </w:r>
    </w:p>
    <w:p>
      <w:pPr>
        <w:pStyle w:val="81"/>
        <w:pageBreakBefore w:val="0"/>
        <w:widowControl w:val="0"/>
        <w:tabs>
          <w:tab w:val="left" w:pos="1134"/>
        </w:tabs>
        <w:kinsoku/>
        <w:wordWrap/>
        <w:overflowPunct/>
        <w:topLinePunct w:val="0"/>
        <w:autoSpaceDE/>
        <w:autoSpaceDN/>
        <w:bidi w:val="0"/>
        <w:snapToGrid w:val="0"/>
        <w:spacing w:line="560" w:lineRule="exact"/>
        <w:ind w:firstLine="562"/>
        <w:textAlignment w:val="auto"/>
        <w:rPr>
          <w:rFonts w:hint="eastAsia" w:ascii="宋体" w:hAnsi="宋体" w:eastAsia="宋体" w:cs="宋体"/>
          <w:b/>
          <w:sz w:val="28"/>
          <w:szCs w:val="28"/>
        </w:rPr>
      </w:pPr>
      <w:r>
        <w:rPr>
          <w:rFonts w:hint="eastAsia" w:ascii="宋体" w:hAnsi="宋体" w:eastAsia="宋体" w:cs="宋体"/>
          <w:b/>
          <w:sz w:val="28"/>
          <w:szCs w:val="28"/>
        </w:rPr>
        <w:t>*</w:t>
      </w:r>
      <w:r>
        <w:rPr>
          <w:rFonts w:hint="eastAsia" w:ascii="宋体" w:hAnsi="宋体" w:eastAsia="宋体" w:cs="宋体"/>
          <w:b/>
          <w:sz w:val="28"/>
          <w:szCs w:val="28"/>
          <w:lang w:val="en-US" w:eastAsia="zh-CN"/>
        </w:rPr>
        <w:t>三、</w:t>
      </w:r>
      <w:r>
        <w:rPr>
          <w:rFonts w:hint="eastAsia" w:ascii="宋体" w:hAnsi="宋体" w:eastAsia="宋体" w:cs="宋体"/>
          <w:b/>
          <w:sz w:val="28"/>
          <w:szCs w:val="28"/>
        </w:rPr>
        <w:t>投标人为本项目提供的所有产品、辅材符合现行的强制性国家相关标准、行业标准。（说明：按照招标文件3.3.6承诺函内容进行承诺）</w:t>
      </w:r>
    </w:p>
    <w:p>
      <w:pPr>
        <w:pStyle w:val="81"/>
        <w:pageBreakBefore w:val="0"/>
        <w:widowControl w:val="0"/>
        <w:tabs>
          <w:tab w:val="left" w:pos="1134"/>
        </w:tabs>
        <w:kinsoku/>
        <w:wordWrap/>
        <w:overflowPunct/>
        <w:topLinePunct w:val="0"/>
        <w:autoSpaceDE/>
        <w:autoSpaceDN/>
        <w:bidi w:val="0"/>
        <w:snapToGrid w:val="0"/>
        <w:spacing w:line="560" w:lineRule="exact"/>
        <w:ind w:firstLine="562"/>
        <w:textAlignment w:val="auto"/>
        <w:rPr>
          <w:rFonts w:hint="eastAsia" w:ascii="宋体" w:hAnsi="宋体" w:eastAsia="宋体" w:cs="宋体"/>
          <w:b/>
          <w:sz w:val="28"/>
          <w:szCs w:val="28"/>
        </w:rPr>
      </w:pPr>
    </w:p>
    <w:p>
      <w:pPr>
        <w:pStyle w:val="81"/>
        <w:pageBreakBefore w:val="0"/>
        <w:widowControl w:val="0"/>
        <w:tabs>
          <w:tab w:val="left" w:pos="1134"/>
        </w:tabs>
        <w:kinsoku/>
        <w:wordWrap/>
        <w:overflowPunct/>
        <w:topLinePunct w:val="0"/>
        <w:autoSpaceDE/>
        <w:autoSpaceDN/>
        <w:bidi w:val="0"/>
        <w:snapToGrid w:val="0"/>
        <w:spacing w:line="560" w:lineRule="exact"/>
        <w:ind w:firstLine="562"/>
        <w:textAlignment w:val="auto"/>
        <w:rPr>
          <w:rFonts w:hint="eastAsia" w:ascii="宋体" w:hAnsi="宋体" w:eastAsia="宋体" w:cs="宋体"/>
          <w:b/>
          <w:sz w:val="28"/>
          <w:szCs w:val="28"/>
        </w:rPr>
      </w:pPr>
    </w:p>
    <w:p>
      <w:pPr>
        <w:pStyle w:val="81"/>
        <w:pageBreakBefore w:val="0"/>
        <w:widowControl w:val="0"/>
        <w:tabs>
          <w:tab w:val="left" w:pos="1134"/>
        </w:tabs>
        <w:kinsoku/>
        <w:wordWrap/>
        <w:overflowPunct/>
        <w:topLinePunct w:val="0"/>
        <w:autoSpaceDE/>
        <w:autoSpaceDN/>
        <w:bidi w:val="0"/>
        <w:snapToGrid w:val="0"/>
        <w:spacing w:line="560" w:lineRule="exact"/>
        <w:ind w:firstLine="562"/>
        <w:textAlignment w:val="auto"/>
        <w:rPr>
          <w:rFonts w:hint="eastAsia" w:ascii="宋体" w:hAnsi="宋体" w:eastAsia="宋体" w:cs="宋体"/>
          <w:b/>
          <w:sz w:val="28"/>
          <w:szCs w:val="28"/>
        </w:rPr>
      </w:pPr>
    </w:p>
    <w:p>
      <w:pPr>
        <w:pStyle w:val="81"/>
        <w:pageBreakBefore w:val="0"/>
        <w:widowControl w:val="0"/>
        <w:tabs>
          <w:tab w:val="left" w:pos="1134"/>
        </w:tabs>
        <w:kinsoku/>
        <w:wordWrap/>
        <w:overflowPunct/>
        <w:topLinePunct w:val="0"/>
        <w:autoSpaceDE/>
        <w:autoSpaceDN/>
        <w:bidi w:val="0"/>
        <w:snapToGrid w:val="0"/>
        <w:spacing w:line="560" w:lineRule="exact"/>
        <w:ind w:firstLine="562"/>
        <w:textAlignment w:val="auto"/>
        <w:rPr>
          <w:rFonts w:hint="eastAsia" w:ascii="宋体" w:hAnsi="宋体" w:eastAsia="宋体" w:cs="宋体"/>
          <w:b/>
          <w:sz w:val="28"/>
          <w:szCs w:val="28"/>
        </w:rPr>
      </w:pPr>
    </w:p>
    <w:p>
      <w:pPr>
        <w:pStyle w:val="81"/>
        <w:pageBreakBefore w:val="0"/>
        <w:widowControl w:val="0"/>
        <w:tabs>
          <w:tab w:val="left" w:pos="1134"/>
        </w:tabs>
        <w:kinsoku/>
        <w:wordWrap/>
        <w:overflowPunct/>
        <w:topLinePunct w:val="0"/>
        <w:autoSpaceDE/>
        <w:autoSpaceDN/>
        <w:bidi w:val="0"/>
        <w:snapToGrid w:val="0"/>
        <w:spacing w:line="560" w:lineRule="exact"/>
        <w:ind w:left="0" w:leftChars="0" w:firstLine="0" w:firstLineChars="0"/>
        <w:textAlignment w:val="auto"/>
        <w:rPr>
          <w:rFonts w:hint="eastAsia" w:ascii="宋体" w:hAnsi="宋体" w:eastAsia="宋体" w:cs="宋体"/>
          <w:b/>
          <w:sz w:val="28"/>
          <w:szCs w:val="28"/>
        </w:rPr>
      </w:pPr>
      <w:r>
        <w:rPr>
          <w:rFonts w:hint="eastAsia" w:ascii="宋体" w:hAnsi="宋体" w:eastAsia="宋体" w:cs="宋体"/>
          <w:b/>
          <w:sz w:val="28"/>
          <w:szCs w:val="28"/>
        </w:rPr>
        <w:t>注</w:t>
      </w:r>
      <w:r>
        <w:rPr>
          <w:rFonts w:hint="eastAsia" w:ascii="宋体" w:hAnsi="宋体" w:eastAsia="宋体" w:cs="宋体"/>
          <w:b/>
          <w:sz w:val="28"/>
          <w:szCs w:val="28"/>
          <w:lang w:eastAsia="zh-CN"/>
        </w:rPr>
        <w:t>：</w:t>
      </w:r>
      <w:r>
        <w:rPr>
          <w:rFonts w:hint="eastAsia" w:ascii="宋体" w:hAnsi="宋体" w:eastAsia="宋体" w:cs="宋体"/>
          <w:b/>
          <w:sz w:val="28"/>
          <w:szCs w:val="28"/>
          <w:lang w:val="en-US" w:eastAsia="zh-CN"/>
        </w:rPr>
        <w:t>以上</w:t>
      </w:r>
      <w:r>
        <w:rPr>
          <w:rFonts w:hint="eastAsia" w:ascii="宋体" w:hAnsi="宋体" w:eastAsia="宋体" w:cs="宋体"/>
          <w:b/>
          <w:sz w:val="28"/>
          <w:szCs w:val="28"/>
        </w:rPr>
        <w:t>打*号的为本次采购项目的实质性要求，不允许有负偏离。</w:t>
      </w:r>
    </w:p>
    <w:p>
      <w:pPr>
        <w:pStyle w:val="81"/>
        <w:pageBreakBefore w:val="0"/>
        <w:widowControl w:val="0"/>
        <w:tabs>
          <w:tab w:val="left" w:pos="1134"/>
        </w:tabs>
        <w:kinsoku/>
        <w:wordWrap/>
        <w:overflowPunct/>
        <w:topLinePunct w:val="0"/>
        <w:autoSpaceDE/>
        <w:autoSpaceDN/>
        <w:bidi w:val="0"/>
        <w:snapToGrid w:val="0"/>
        <w:spacing w:line="560" w:lineRule="exact"/>
        <w:ind w:left="0" w:leftChars="0" w:firstLine="0" w:firstLineChars="0"/>
        <w:textAlignment w:val="auto"/>
        <w:rPr>
          <w:rFonts w:hint="default" w:ascii="宋体" w:hAnsi="宋体" w:eastAsia="宋体" w:cs="宋体"/>
          <w:b/>
          <w:sz w:val="28"/>
          <w:szCs w:val="28"/>
          <w:lang w:val="en-US" w:eastAsia="zh-CN"/>
        </w:rPr>
      </w:pPr>
    </w:p>
    <w:p>
      <w:pPr>
        <w:pStyle w:val="81"/>
        <w:tabs>
          <w:tab w:val="left" w:pos="1134"/>
        </w:tabs>
        <w:snapToGrid w:val="0"/>
        <w:spacing w:line="360" w:lineRule="auto"/>
        <w:ind w:firstLine="562"/>
        <w:rPr>
          <w:rFonts w:hint="eastAsia" w:ascii="宋体" w:hAnsi="宋体" w:eastAsia="宋体" w:cs="宋体"/>
          <w:b/>
          <w:sz w:val="28"/>
          <w:szCs w:val="28"/>
        </w:rPr>
      </w:pPr>
    </w:p>
    <w:p>
      <w:pPr>
        <w:pStyle w:val="81"/>
        <w:tabs>
          <w:tab w:val="left" w:pos="1134"/>
        </w:tabs>
        <w:snapToGrid w:val="0"/>
        <w:spacing w:line="360" w:lineRule="auto"/>
        <w:ind w:firstLine="562"/>
        <w:rPr>
          <w:rFonts w:hint="eastAsia" w:ascii="宋体" w:hAnsi="宋体" w:eastAsia="宋体" w:cs="宋体"/>
          <w:b/>
          <w:sz w:val="28"/>
          <w:szCs w:val="28"/>
        </w:rPr>
      </w:pPr>
    </w:p>
    <w:p>
      <w:pPr>
        <w:pStyle w:val="81"/>
        <w:tabs>
          <w:tab w:val="left" w:pos="1134"/>
        </w:tabs>
        <w:snapToGrid w:val="0"/>
        <w:spacing w:line="360" w:lineRule="auto"/>
        <w:ind w:firstLine="562"/>
        <w:rPr>
          <w:rFonts w:hint="eastAsia" w:ascii="宋体" w:hAnsi="宋体" w:eastAsia="宋体" w:cs="宋体"/>
          <w:b/>
          <w:sz w:val="28"/>
          <w:szCs w:val="28"/>
        </w:rPr>
      </w:pPr>
    </w:p>
    <w:p>
      <w:pPr>
        <w:pStyle w:val="81"/>
        <w:tabs>
          <w:tab w:val="left" w:pos="1134"/>
        </w:tabs>
        <w:snapToGrid w:val="0"/>
        <w:spacing w:line="360" w:lineRule="auto"/>
        <w:ind w:firstLine="562"/>
        <w:rPr>
          <w:rFonts w:hint="eastAsia" w:ascii="宋体" w:hAnsi="宋体" w:eastAsia="宋体" w:cs="宋体"/>
          <w:b/>
          <w:sz w:val="28"/>
          <w:szCs w:val="28"/>
        </w:rPr>
      </w:pPr>
    </w:p>
    <w:p>
      <w:pPr>
        <w:pStyle w:val="81"/>
        <w:tabs>
          <w:tab w:val="left" w:pos="1134"/>
        </w:tabs>
        <w:snapToGrid w:val="0"/>
        <w:spacing w:line="360" w:lineRule="auto"/>
        <w:ind w:firstLine="562"/>
        <w:rPr>
          <w:rFonts w:hint="eastAsia" w:ascii="宋体" w:hAnsi="宋体" w:eastAsia="宋体" w:cs="宋体"/>
          <w:b/>
          <w:sz w:val="28"/>
          <w:szCs w:val="28"/>
        </w:rPr>
      </w:pPr>
    </w:p>
    <w:p>
      <w:pPr>
        <w:pStyle w:val="2"/>
        <w:rPr>
          <w:rFonts w:ascii="宋体" w:hAnsi="宋体" w:cs="宋体"/>
          <w:b/>
          <w:bCs/>
          <w:sz w:val="24"/>
        </w:rPr>
      </w:pPr>
    </w:p>
    <w:p>
      <w:pPr>
        <w:rPr>
          <w:rFonts w:ascii="宋体" w:hAnsi="宋体" w:cs="宋体"/>
          <w:b/>
          <w:bCs/>
          <w:sz w:val="24"/>
        </w:rPr>
      </w:pPr>
    </w:p>
    <w:p>
      <w:pPr>
        <w:pStyle w:val="2"/>
        <w:rPr>
          <w:rFonts w:ascii="宋体" w:hAnsi="宋体" w:cs="宋体"/>
          <w:b/>
          <w:bCs/>
          <w:sz w:val="24"/>
        </w:rPr>
      </w:pPr>
    </w:p>
    <w:p/>
    <w:p>
      <w:pPr>
        <w:rPr>
          <w:rFonts w:ascii="宋体" w:hAnsi="宋体" w:cs="宋体"/>
          <w:b/>
          <w:bCs/>
          <w:sz w:val="24"/>
        </w:rPr>
      </w:pPr>
    </w:p>
    <w:p>
      <w:pPr>
        <w:pStyle w:val="2"/>
        <w:rPr>
          <w:rFonts w:ascii="宋体" w:hAnsi="宋体" w:cs="宋体"/>
          <w:b/>
          <w:bCs/>
          <w:sz w:val="24"/>
        </w:rPr>
      </w:pPr>
    </w:p>
    <w:p>
      <w:pPr>
        <w:rPr>
          <w:rFonts w:ascii="宋体" w:hAnsi="宋体" w:cs="宋体"/>
          <w:b/>
          <w:bCs/>
          <w:sz w:val="24"/>
        </w:rPr>
      </w:pPr>
    </w:p>
    <w:p>
      <w:pPr>
        <w:pStyle w:val="2"/>
        <w:rPr>
          <w:rFonts w:ascii="宋体" w:hAnsi="宋体" w:cs="宋体"/>
          <w:b/>
          <w:bCs/>
          <w:sz w:val="24"/>
        </w:rPr>
      </w:pPr>
    </w:p>
    <w:p>
      <w:pPr>
        <w:rPr>
          <w:rFonts w:ascii="宋体" w:hAnsi="宋体" w:cs="宋体"/>
          <w:b/>
          <w:bCs/>
          <w:sz w:val="24"/>
        </w:rPr>
      </w:pPr>
    </w:p>
    <w:bookmarkEnd w:id="159"/>
    <w:bookmarkEnd w:id="160"/>
    <w:p>
      <w:pPr>
        <w:keepNext/>
        <w:keepLines/>
        <w:numPr>
          <w:ilvl w:val="0"/>
          <w:numId w:val="3"/>
        </w:numPr>
        <w:spacing w:before="340" w:after="330" w:line="400" w:lineRule="exact"/>
        <w:ind w:left="0" w:firstLine="0"/>
        <w:jc w:val="center"/>
        <w:outlineLvl w:val="0"/>
        <w:rPr>
          <w:rFonts w:ascii="宋体" w:hAnsi="宋体"/>
          <w:b/>
          <w:bCs/>
          <w:spacing w:val="-20"/>
          <w:kern w:val="44"/>
          <w:sz w:val="32"/>
          <w:szCs w:val="32"/>
        </w:rPr>
      </w:pPr>
      <w:bookmarkStart w:id="166" w:name="_Toc16551"/>
      <w:r>
        <w:rPr>
          <w:rFonts w:hint="eastAsia" w:ascii="宋体" w:hAnsi="宋体"/>
          <w:b/>
          <w:bCs/>
          <w:spacing w:val="-20"/>
          <w:kern w:val="44"/>
          <w:sz w:val="32"/>
          <w:szCs w:val="32"/>
        </w:rPr>
        <w:t>资格性审查</w:t>
      </w:r>
      <w:bookmarkEnd w:id="166"/>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资格性审查由采购人组建的资格审查小组依据法律法规和招标文件的规定，对投标保证金(区公资交易中心出具的</w:t>
      </w:r>
      <w:r>
        <w:rPr>
          <w:rFonts w:hint="eastAsia" w:ascii="宋体" w:hAnsi="宋体"/>
          <w:b/>
          <w:sz w:val="28"/>
          <w:szCs w:val="28"/>
        </w:rPr>
        <w:t>《</w:t>
      </w:r>
      <w:r>
        <w:rPr>
          <w:rFonts w:hint="eastAsia" w:ascii="宋体" w:hAnsi="宋体" w:cs="宋体"/>
          <w:b/>
          <w:sz w:val="28"/>
          <w:szCs w:val="28"/>
        </w:rPr>
        <w:t>成都市政府采购项目供应商参与及保证金交纳情况表》</w:t>
      </w:r>
      <w:r>
        <w:rPr>
          <w:rFonts w:hint="eastAsia" w:ascii="宋体" w:hAnsi="宋体"/>
          <w:b/>
          <w:sz w:val="28"/>
          <w:szCs w:val="28"/>
        </w:rPr>
        <w:t>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区公资交易中心将以电子邮件形式通知各投标人。</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资格性审查标准见下表：</w:t>
      </w:r>
    </w:p>
    <w:tbl>
      <w:tblPr>
        <w:tblStyle w:val="43"/>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
        <w:gridCol w:w="446"/>
        <w:gridCol w:w="1682"/>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3" w:type="dxa"/>
            <w:gridSpan w:val="3"/>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0"/>
              </w:rPr>
            </w:pPr>
            <w:r>
              <w:rPr>
                <w:rFonts w:hint="eastAsia" w:ascii="宋体" w:hAnsi="宋体" w:eastAsia="宋体" w:cs="宋体"/>
                <w:b/>
                <w:sz w:val="20"/>
              </w:rPr>
              <w:t>资格性审查项</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rPr>
            </w:pPr>
            <w:r>
              <w:rPr>
                <w:rFonts w:hint="eastAsia" w:ascii="宋体" w:hAnsi="宋体" w:eastAsia="宋体" w:cs="宋体"/>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801"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rPr>
            </w:pPr>
            <w:r>
              <w:rPr>
                <w:rFonts w:hint="eastAsia" w:ascii="宋体" w:hAnsi="宋体" w:eastAsia="宋体" w:cs="宋体"/>
                <w:sz w:val="20"/>
              </w:rPr>
              <w:t>1</w:t>
            </w: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在中华人民共和国境内依法登记注册，并有效存续具有独立法人资格的供应商</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营业执照复印件（正本或副本）或法人证书复印件（正本或副本）。【说明：</w:t>
            </w:r>
            <w:r>
              <w:rPr>
                <w:rFonts w:hint="eastAsia" w:ascii="宋体" w:hAnsi="宋体" w:eastAsia="宋体" w:cs="宋体"/>
                <w:sz w:val="20"/>
                <w:szCs w:val="28"/>
              </w:rPr>
              <w:t>①</w:t>
            </w:r>
            <w:r>
              <w:rPr>
                <w:rFonts w:hint="eastAsia" w:ascii="宋体" w:hAnsi="宋体" w:eastAsia="宋体" w:cs="宋体"/>
                <w:sz w:val="20"/>
              </w:rPr>
              <w:t>营业执照或法人证书载明有期限的，应在有效期限内；</w:t>
            </w:r>
            <w:r>
              <w:rPr>
                <w:rFonts w:hint="eastAsia" w:ascii="宋体" w:hAnsi="宋体" w:eastAsia="宋体" w:cs="宋体"/>
                <w:sz w:val="20"/>
                <w:szCs w:val="28"/>
              </w:rPr>
              <w:t>②</w:t>
            </w:r>
            <w:r>
              <w:rPr>
                <w:rFonts w:hint="eastAsia" w:ascii="宋体" w:hAnsi="宋体" w:eastAsia="宋体" w:cs="宋体"/>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55" w:type="dxa"/>
            <w:vMerge w:val="restart"/>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2</w:t>
            </w:r>
          </w:p>
        </w:tc>
        <w:tc>
          <w:tcPr>
            <w:tcW w:w="446" w:type="dxa"/>
            <w:vMerge w:val="restart"/>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书面声明材料</w:t>
            </w: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具有良好的商业信誉的证明材料</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投标人具有良好的商业信誉的书面声明材料。【说明：</w:t>
            </w:r>
            <w:r>
              <w:rPr>
                <w:rFonts w:hint="eastAsia" w:ascii="宋体" w:hAnsi="宋体" w:eastAsia="宋体" w:cs="宋体"/>
                <w:sz w:val="20"/>
                <w:szCs w:val="28"/>
              </w:rPr>
              <w:t>①</w:t>
            </w:r>
            <w:r>
              <w:rPr>
                <w:rFonts w:hint="eastAsia" w:ascii="宋体" w:hAnsi="宋体" w:eastAsia="宋体" w:cs="宋体"/>
                <w:sz w:val="20"/>
              </w:rPr>
              <w:t>按招标文件3.2.2声明的内容提供书面声明材料</w:t>
            </w:r>
            <w:r>
              <w:rPr>
                <w:rFonts w:hint="eastAsia" w:ascii="宋体" w:hAnsi="宋体" w:eastAsia="宋体" w:cs="宋体"/>
                <w:sz w:val="20"/>
                <w:szCs w:val="28"/>
              </w:rPr>
              <w:t>；②供应商具有良好的商业信誉</w:t>
            </w:r>
            <w:r>
              <w:rPr>
                <w:rFonts w:hint="eastAsia" w:ascii="宋体" w:hAnsi="宋体" w:eastAsia="宋体" w:cs="宋体"/>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参加政府采购活动前三年内，在经营活动中没有重大违法记录</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1.投标人参加政府采购活动前三年内，在经营活动中没有重大违法记录的书面声明材料。【说明：</w:t>
            </w:r>
            <w:r>
              <w:rPr>
                <w:rFonts w:hint="eastAsia" w:ascii="宋体" w:hAnsi="宋体" w:eastAsia="宋体" w:cs="宋体"/>
                <w:sz w:val="20"/>
                <w:szCs w:val="28"/>
              </w:rPr>
              <w:t>①</w:t>
            </w:r>
            <w:r>
              <w:rPr>
                <w:rFonts w:hint="eastAsia" w:ascii="宋体" w:hAnsi="宋体" w:eastAsia="宋体" w:cs="宋体"/>
                <w:sz w:val="20"/>
              </w:rPr>
              <w:t>按招标文件3.2.2声明的内容提供书面声明材料；</w:t>
            </w:r>
            <w:r>
              <w:rPr>
                <w:rFonts w:hint="eastAsia" w:ascii="宋体" w:hAnsi="宋体" w:eastAsia="宋体" w:cs="宋体"/>
                <w:sz w:val="20"/>
                <w:szCs w:val="28"/>
              </w:rPr>
              <w:t>②供应商参加政府采购活动前三年内，在经营活动中没有重大违法记录</w:t>
            </w:r>
            <w:r>
              <w:rPr>
                <w:rFonts w:hint="eastAsia" w:ascii="宋体" w:hAnsi="宋体" w:eastAsia="宋体" w:cs="宋体"/>
                <w:sz w:val="20"/>
              </w:rPr>
              <w:t>。】</w:t>
            </w:r>
          </w:p>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2. 资格审查小组根据“信用中国”和“中国政府采购网”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未被列入失信被执行人、重大税收违法案件当事人名单、政府采购严重违法失信行为记录名单</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1.投标人未列入失信被执行人、重大税收违法案件当事人名单、政府采购严重违法失信行为记录名单的书面声明材料。【说明：</w:t>
            </w:r>
            <w:r>
              <w:rPr>
                <w:rFonts w:hint="eastAsia" w:ascii="宋体" w:hAnsi="宋体" w:eastAsia="宋体" w:cs="宋体"/>
                <w:sz w:val="20"/>
                <w:lang w:eastAsia="ja-JP"/>
              </w:rPr>
              <w:t>①</w:t>
            </w:r>
            <w:r>
              <w:rPr>
                <w:rFonts w:hint="eastAsia" w:ascii="宋体" w:hAnsi="宋体" w:eastAsia="宋体" w:cs="宋体"/>
                <w:sz w:val="20"/>
              </w:rPr>
              <w:t>投标人未列入失信被执行人、重大税收违法案件当事人名单、政府采购严重违法失信行为记录名单；</w:t>
            </w:r>
            <w:r>
              <w:rPr>
                <w:rFonts w:hint="eastAsia" w:ascii="宋体" w:hAnsi="宋体" w:eastAsia="宋体" w:cs="宋体"/>
                <w:sz w:val="20"/>
                <w:szCs w:val="28"/>
              </w:rPr>
              <w:t>②</w:t>
            </w:r>
            <w:r>
              <w:rPr>
                <w:rFonts w:hint="eastAsia" w:ascii="宋体" w:hAnsi="宋体" w:eastAsia="宋体" w:cs="宋体"/>
                <w:sz w:val="20"/>
              </w:rPr>
              <w:t>按招标文件3.2.2声明的内容提供书面声明材料。】</w:t>
            </w:r>
          </w:p>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2. 资格审查小组根据“信用中国”和“中国政府采购网”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未处于被行政部门禁止参与政府采购活动的期限内</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投标人未处于被行政部门禁止参与政府采购活动的期限内。【说明：①按招标文件3.2.2声明的内容提供书面声明材料</w:t>
            </w:r>
            <w:r>
              <w:rPr>
                <w:rFonts w:hint="eastAsia" w:ascii="宋体" w:hAnsi="宋体" w:eastAsia="宋体" w:cs="宋体"/>
                <w:sz w:val="20"/>
                <w:szCs w:val="28"/>
              </w:rPr>
              <w:t>；②供应商未处于被行政部门禁止参与政府采购活动的期限内。</w:t>
            </w:r>
            <w:r>
              <w:rPr>
                <w:rFonts w:hint="eastAsia" w:ascii="宋体" w:hAnsi="宋体" w:eastAsia="宋体" w:cs="宋体"/>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4"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行贿犯罪记录</w:t>
            </w:r>
          </w:p>
        </w:tc>
        <w:tc>
          <w:tcPr>
            <w:tcW w:w="6373" w:type="dxa"/>
            <w:tcBorders>
              <w:top w:val="single" w:color="auto" w:sz="2" w:space="0"/>
              <w:left w:val="single" w:color="auto" w:sz="2" w:space="0"/>
              <w:bottom w:val="single" w:color="auto" w:sz="4"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在行贿犯罪信息查询期限内，投标人及其现任法定代表人、主要负责人没有行贿犯罪记录的书面声明材料。【说明：</w:t>
            </w:r>
            <w:r>
              <w:rPr>
                <w:rFonts w:hint="eastAsia" w:ascii="宋体" w:hAnsi="宋体" w:eastAsia="宋体" w:cs="宋体"/>
                <w:sz w:val="20"/>
                <w:lang w:eastAsia="ja-JP"/>
              </w:rPr>
              <w:t>①</w:t>
            </w:r>
            <w:r>
              <w:rPr>
                <w:rFonts w:hint="eastAsia" w:ascii="宋体" w:hAnsi="宋体" w:eastAsia="宋体" w:cs="宋体"/>
                <w:sz w:val="20"/>
              </w:rPr>
              <w:t>按招标文件3.2.2声明的内容提供书面声明材料，投标文件中不需提供中国裁判文书网（https://wenshu.court.gov.cn）查询结果的证明材料；</w:t>
            </w:r>
            <w:r>
              <w:rPr>
                <w:rFonts w:hint="eastAsia" w:ascii="宋体" w:hAnsi="宋体" w:eastAsia="宋体" w:cs="宋体"/>
                <w:sz w:val="20"/>
                <w:szCs w:val="28"/>
              </w:rPr>
              <w:t>②在行贿犯罪信息查询期限内，供应商及其现任法定代表人、主要负责人没有行贿犯罪记录</w:t>
            </w:r>
            <w:r>
              <w:rPr>
                <w:rFonts w:hint="eastAsia" w:ascii="宋体" w:hAnsi="宋体" w:eastAsia="宋体" w:cs="宋体"/>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55"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4"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单位负责人为同一人或者存在直接控股、管理关系的不同供应商，不得参加同一项目的投标</w:t>
            </w:r>
          </w:p>
        </w:tc>
        <w:tc>
          <w:tcPr>
            <w:tcW w:w="6373" w:type="dxa"/>
            <w:tcBorders>
              <w:top w:val="single" w:color="auto" w:sz="4"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与投标人负责人为同一人或者存在直接控股、管理关系的相关供应商的书面声明材料。【说明：①按招标文件3.2.2声明的内容提供书面声明材料；②参加投标的供应商中无与投标人的负责人为同一人或者存在直接控股、管理关系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restart"/>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3</w:t>
            </w:r>
          </w:p>
        </w:tc>
        <w:tc>
          <w:tcPr>
            <w:tcW w:w="446" w:type="dxa"/>
            <w:vMerge w:val="restart"/>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其他</w:t>
            </w: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不属于其他国家相关法律法规规定的禁止参加投标的供应商</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1、根据招标文件的要求不属于禁止参加投标或投标无效的供应商；</w:t>
            </w:r>
          </w:p>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2、资格审查小组未发现或者未知晓投标人存在属于国家相关法律法规规定的禁止参加投标或投标无效的供应商。</w:t>
            </w:r>
          </w:p>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具有履行合同所必须的设备和专业技术能力</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采购人对投标人履行合同所必须的设备和专业技术能力无其他特殊要求，投标人具有有效的营业执照或法人证书</w:t>
            </w:r>
            <w:r>
              <w:rPr>
                <w:rFonts w:hint="eastAsia" w:ascii="宋体" w:hAnsi="宋体" w:eastAsia="宋体" w:cs="宋体"/>
                <w:sz w:val="20"/>
                <w:szCs w:val="28"/>
              </w:rPr>
              <w:t>即可，可不提供其他证明材料</w:t>
            </w:r>
            <w:r>
              <w:rPr>
                <w:rFonts w:hint="eastAsia" w:ascii="宋体" w:hAnsi="宋体" w:eastAsia="宋体" w:cs="宋体"/>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法律、行政法规规定的其他条件</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采购人对法律、行政法规规定的其他条件无其他特殊要求，投标人具有有效的营业执照或法人证书</w:t>
            </w:r>
            <w:r>
              <w:rPr>
                <w:rFonts w:hint="eastAsia" w:ascii="宋体" w:hAnsi="宋体" w:eastAsia="宋体" w:cs="宋体"/>
                <w:sz w:val="20"/>
                <w:szCs w:val="28"/>
              </w:rPr>
              <w:t>即可，可不提供其他证明材料</w:t>
            </w:r>
            <w:r>
              <w:rPr>
                <w:rFonts w:hint="eastAsia" w:ascii="宋体" w:hAnsi="宋体" w:eastAsia="宋体" w:cs="宋体"/>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联合体投标</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资质要求</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投标保证金</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szCs w:val="28"/>
              </w:rPr>
            </w:pPr>
            <w:r>
              <w:rPr>
                <w:rFonts w:hint="eastAsia" w:ascii="宋体" w:hAnsi="宋体" w:eastAsia="宋体" w:cs="宋体"/>
                <w:sz w:val="20"/>
              </w:rPr>
              <w:t>投标文件解密情况</w:t>
            </w:r>
          </w:p>
        </w:tc>
        <w:tc>
          <w:tcPr>
            <w:tcW w:w="6373" w:type="dxa"/>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szCs w:val="28"/>
              </w:rPr>
            </w:pPr>
            <w:r>
              <w:rPr>
                <w:rFonts w:hint="eastAsia" w:ascii="宋体" w:hAnsi="宋体" w:eastAsia="宋体" w:cs="宋体"/>
                <w:sz w:val="20"/>
                <w:szCs w:val="28"/>
              </w:rPr>
              <w:t>除因断电、断网、系统故障或其他不可抗力等因素，导致系统无法使用外，投标文件已成功解密。</w:t>
            </w:r>
            <w:r>
              <w:rPr>
                <w:rFonts w:hint="eastAsia" w:ascii="宋体" w:hAnsi="宋体" w:eastAsia="宋体" w:cs="宋体"/>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投标文件签章</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446"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投标文件资格性审查部分的语言</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语言符合招标文件的要求。【说明：无须提供证明材料，上传空白页即可，不对本项上传的材料作资格审查</w:t>
            </w:r>
            <w:r>
              <w:rPr>
                <w:rFonts w:hint="eastAsia" w:ascii="宋体" w:hAnsi="宋体" w:eastAsia="宋体" w:cs="宋体"/>
                <w:sz w:val="20"/>
                <w:lang w:eastAsia="zh-CN"/>
              </w:rPr>
              <w:t>。</w:t>
            </w:r>
            <w:r>
              <w:rPr>
                <w:rFonts w:hint="eastAsia" w:ascii="宋体" w:hAnsi="宋体" w:eastAsia="宋体" w:cs="宋体"/>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rPr>
            </w:pPr>
            <w:r>
              <w:rPr>
                <w:rFonts w:hint="eastAsia" w:ascii="宋体" w:hAnsi="宋体" w:eastAsia="宋体" w:cs="宋体"/>
                <w:sz w:val="20"/>
              </w:rPr>
              <w:t>4</w:t>
            </w: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投标文件资格性审查部分组成</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szCs w:val="28"/>
              </w:rPr>
            </w:pPr>
            <w:r>
              <w:rPr>
                <w:rFonts w:hint="eastAsia" w:ascii="宋体" w:hAnsi="宋体" w:eastAsia="宋体" w:cs="宋体"/>
                <w:sz w:val="20"/>
                <w:szCs w:val="28"/>
              </w:rPr>
              <w:t>符合招标文件“2.4.6投标文件的组成”规定要求。【说明：投标人按招标文件3.2.1关于投标人资格申明的</w:t>
            </w:r>
            <w:r>
              <w:rPr>
                <w:rFonts w:hint="eastAsia" w:ascii="宋体" w:hAnsi="宋体" w:eastAsia="宋体" w:cs="宋体"/>
                <w:sz w:val="20"/>
              </w:rPr>
              <w:t>内容</w:t>
            </w:r>
            <w:r>
              <w:rPr>
                <w:rFonts w:hint="eastAsia" w:ascii="宋体" w:hAnsi="宋体" w:eastAsia="宋体" w:cs="宋体"/>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rPr>
            </w:pPr>
            <w:r>
              <w:rPr>
                <w:rFonts w:hint="eastAsia" w:ascii="宋体" w:hAnsi="宋体" w:eastAsia="宋体" w:cs="宋体"/>
                <w:sz w:val="20"/>
              </w:rPr>
              <w:t>5</w:t>
            </w: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缴纳社会保障资金的证明材料</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投标人</w:t>
            </w:r>
            <w:r>
              <w:rPr>
                <w:rFonts w:hint="eastAsia" w:ascii="宋体" w:hAnsi="宋体" w:eastAsia="宋体" w:cs="宋体"/>
                <w:sz w:val="20"/>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ascii="宋体" w:hAnsi="宋体" w:eastAsia="宋体" w:cs="宋体"/>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rPr>
            </w:pPr>
            <w:r>
              <w:rPr>
                <w:rFonts w:hint="eastAsia" w:ascii="宋体" w:hAnsi="宋体" w:eastAsia="宋体" w:cs="宋体"/>
                <w:sz w:val="20"/>
              </w:rPr>
              <w:t>6</w:t>
            </w: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缴纳税收的证明材料</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lang w:eastAsia="zh-CN"/>
              </w:rPr>
              <w:t>投标人缴纳2021年任意时段的税收的银行电子回单或者行政部门出具的纳税证明或完税证明复印件或承诺函（格式自拟）复印件（依法免税的供应商，应提供相应文件证明其依法免税）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rPr>
            </w:pPr>
            <w:r>
              <w:rPr>
                <w:rFonts w:hint="eastAsia" w:ascii="宋体" w:hAnsi="宋体" w:eastAsia="宋体" w:cs="宋体"/>
                <w:sz w:val="20"/>
              </w:rPr>
              <w:t>7</w:t>
            </w: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具有健全的财务会计制度的证明材料</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lang w:eastAsia="zh-CN"/>
              </w:rPr>
            </w:pPr>
            <w:r>
              <w:rPr>
                <w:rFonts w:hint="eastAsia" w:ascii="宋体" w:hAnsi="宋体" w:eastAsia="宋体" w:cs="宋体"/>
                <w:sz w:val="20"/>
                <w:lang w:eastAsia="zh-CN"/>
              </w:rPr>
              <w:t>2020</w:t>
            </w:r>
            <w:r>
              <w:rPr>
                <w:rFonts w:hint="eastAsia" w:ascii="宋体" w:hAnsi="宋体" w:eastAsia="宋体" w:cs="宋体"/>
                <w:sz w:val="20"/>
              </w:rPr>
              <w:t>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rPr>
            </w:pPr>
            <w:r>
              <w:rPr>
                <w:rFonts w:hint="eastAsia" w:ascii="宋体" w:hAnsi="宋体" w:eastAsia="宋体" w:cs="宋体"/>
                <w:sz w:val="20"/>
              </w:rPr>
              <w:t>8</w:t>
            </w:r>
          </w:p>
        </w:tc>
        <w:tc>
          <w:tcPr>
            <w:tcW w:w="16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本项目为专门面向中小企业采购项目，投标人提供的货物全部由符合政策要求的中小企业制造</w:t>
            </w:r>
          </w:p>
        </w:tc>
        <w:tc>
          <w:tcPr>
            <w:tcW w:w="637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240" w:lineRule="auto"/>
              <w:textAlignment w:val="auto"/>
              <w:rPr>
                <w:rFonts w:hint="eastAsia" w:ascii="宋体" w:hAnsi="宋体" w:eastAsia="宋体" w:cs="宋体"/>
                <w:sz w:val="20"/>
              </w:rPr>
            </w:pPr>
            <w:r>
              <w:rPr>
                <w:rFonts w:hint="eastAsia" w:ascii="宋体" w:hAnsi="宋体" w:eastAsia="宋体" w:cs="宋体"/>
                <w:sz w:val="20"/>
              </w:rPr>
              <w:t>中小企业声明函或残疾人福利性单位声明函或投标产品制造商属于监狱企业的证明文件复印件【说明：（1）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2）投标人投标产品全部由采购标的以及其所属行业的中型企业、小型企业、微型企业制造；（3）残疾人福利性单位、监狱企业视同为小型微型企业。】。</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区公资交易中心将通知投标人（以短信、现场公示、电话、“政府采购云平台”等任一方式）。投标人如对资格审查结论有异议的，应及时向区公资交易中心反馈意见。区公资交易中心将及时告知资格审查小组。（说明：无论投标人是否收到通知或提供反馈意见，均不影响资格审查和评标工作，且区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tabs>
          <w:tab w:val="left" w:pos="851"/>
        </w:tabs>
        <w:spacing w:line="360" w:lineRule="auto"/>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67" w:name="_Toc24883"/>
      <w:r>
        <w:rPr>
          <w:rFonts w:hint="eastAsia" w:ascii="宋体" w:hAnsi="宋体"/>
          <w:b/>
          <w:bCs/>
          <w:spacing w:val="-20"/>
          <w:kern w:val="44"/>
          <w:sz w:val="32"/>
          <w:szCs w:val="32"/>
        </w:rPr>
        <w:t>评标办法</w:t>
      </w:r>
      <w:bookmarkEnd w:id="167"/>
    </w:p>
    <w:p>
      <w:pPr>
        <w:keepNext/>
        <w:keepLines/>
        <w:numPr>
          <w:ilvl w:val="1"/>
          <w:numId w:val="3"/>
        </w:numPr>
        <w:spacing w:line="360" w:lineRule="auto"/>
        <w:jc w:val="left"/>
        <w:outlineLvl w:val="1"/>
        <w:rPr>
          <w:rFonts w:ascii="宋体" w:hAnsi="宋体"/>
          <w:b/>
          <w:bCs/>
          <w:sz w:val="28"/>
          <w:szCs w:val="28"/>
        </w:rPr>
      </w:pPr>
      <w:bookmarkStart w:id="168" w:name="_Toc2676"/>
      <w:r>
        <w:rPr>
          <w:rFonts w:hint="eastAsia" w:ascii="宋体" w:hAnsi="宋体"/>
          <w:b/>
          <w:bCs/>
          <w:sz w:val="28"/>
          <w:szCs w:val="28"/>
        </w:rPr>
        <w:t>总则</w:t>
      </w:r>
      <w:bookmarkEnd w:id="168"/>
    </w:p>
    <w:p>
      <w:pPr>
        <w:numPr>
          <w:ilvl w:val="0"/>
          <w:numId w:val="6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6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rPr>
        <w:t>区公资交易中心</w:t>
      </w:r>
      <w:r>
        <w:rPr>
          <w:rFonts w:hint="eastAsia" w:ascii="宋体" w:hAnsi="宋体"/>
          <w:sz w:val="28"/>
          <w:szCs w:val="28"/>
        </w:rPr>
        <w:t>负责组织，具体评标事务由采购人或</w:t>
      </w:r>
      <w:r>
        <w:rPr>
          <w:rFonts w:hint="eastAsia" w:cs="Arial"/>
          <w:sz w:val="28"/>
          <w:szCs w:val="28"/>
        </w:rPr>
        <w:t>区公资交易中心</w:t>
      </w:r>
      <w:r>
        <w:rPr>
          <w:rFonts w:hint="eastAsia" w:ascii="宋体" w:hAnsi="宋体"/>
          <w:sz w:val="28"/>
          <w:szCs w:val="28"/>
        </w:rPr>
        <w:t>依法组建的评标委员会负责。评标委员会由采购人代表和评审专家组成。</w:t>
      </w:r>
    </w:p>
    <w:p>
      <w:pPr>
        <w:numPr>
          <w:ilvl w:val="0"/>
          <w:numId w:val="6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6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69"/>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69"/>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69"/>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69"/>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69"/>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69"/>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69"/>
        </w:numPr>
        <w:spacing w:line="360" w:lineRule="auto"/>
        <w:ind w:left="0" w:firstLine="567"/>
        <w:rPr>
          <w:rFonts w:ascii="宋体" w:hAnsi="宋体"/>
          <w:sz w:val="28"/>
          <w:szCs w:val="28"/>
        </w:rPr>
      </w:pPr>
      <w:r>
        <w:rPr>
          <w:rFonts w:hint="eastAsia" w:ascii="宋体" w:hAnsi="宋体"/>
          <w:sz w:val="28"/>
          <w:szCs w:val="28"/>
        </w:rPr>
        <w:t>向采购人、区公资交易中心或者财政、监察等有关部门报告或举报非法干预评标工作的行为；</w:t>
      </w:r>
    </w:p>
    <w:p>
      <w:pPr>
        <w:numPr>
          <w:ilvl w:val="1"/>
          <w:numId w:val="69"/>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rPr>
        <w:t>区公资交易中心</w:t>
      </w:r>
      <w:r>
        <w:rPr>
          <w:rFonts w:hint="eastAsia" w:ascii="宋体" w:hAnsi="宋体"/>
          <w:sz w:val="28"/>
          <w:szCs w:val="28"/>
        </w:rPr>
        <w:t>或者有关部门报告评标中发现的违法行为。</w:t>
      </w:r>
    </w:p>
    <w:p>
      <w:pPr>
        <w:numPr>
          <w:ilvl w:val="1"/>
          <w:numId w:val="69"/>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6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6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6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评标委员会发现招标文件表述不明确或需要说明的事项，可提请采购人和区公资交易中心书面解释说明。</w:t>
      </w:r>
    </w:p>
    <w:p>
      <w:pPr>
        <w:keepNext/>
        <w:keepLines/>
        <w:numPr>
          <w:ilvl w:val="1"/>
          <w:numId w:val="3"/>
        </w:numPr>
        <w:spacing w:line="360" w:lineRule="auto"/>
        <w:jc w:val="left"/>
        <w:outlineLvl w:val="1"/>
        <w:rPr>
          <w:rFonts w:ascii="宋体" w:hAnsi="宋体"/>
          <w:b/>
          <w:bCs/>
          <w:sz w:val="28"/>
          <w:szCs w:val="28"/>
        </w:rPr>
      </w:pPr>
      <w:bookmarkStart w:id="169" w:name="_Toc30261"/>
      <w:r>
        <w:rPr>
          <w:rFonts w:hint="eastAsia" w:ascii="宋体" w:hAnsi="宋体"/>
          <w:b/>
          <w:bCs/>
          <w:sz w:val="28"/>
          <w:szCs w:val="28"/>
        </w:rPr>
        <w:t>评标方法</w:t>
      </w:r>
      <w:bookmarkEnd w:id="169"/>
    </w:p>
    <w:p>
      <w:pPr>
        <w:spacing w:line="360" w:lineRule="auto"/>
        <w:ind w:firstLine="565" w:firstLineChars="202"/>
        <w:rPr>
          <w:rFonts w:ascii="宋体" w:hAnsi="宋体"/>
          <w:sz w:val="28"/>
          <w:szCs w:val="28"/>
        </w:rPr>
      </w:pPr>
      <w:r>
        <w:rPr>
          <w:rFonts w:hint="eastAsia" w:ascii="宋体" w:hAnsi="宋体"/>
          <w:sz w:val="28"/>
          <w:szCs w:val="28"/>
        </w:rPr>
        <w:t>最低评标价法。</w:t>
      </w:r>
    </w:p>
    <w:p>
      <w:pPr>
        <w:keepNext/>
        <w:keepLines/>
        <w:numPr>
          <w:ilvl w:val="1"/>
          <w:numId w:val="3"/>
        </w:numPr>
        <w:spacing w:line="360" w:lineRule="auto"/>
        <w:jc w:val="left"/>
        <w:outlineLvl w:val="1"/>
        <w:rPr>
          <w:rFonts w:ascii="宋体" w:hAnsi="宋体"/>
          <w:b/>
          <w:bCs/>
          <w:sz w:val="28"/>
          <w:szCs w:val="28"/>
        </w:rPr>
      </w:pPr>
      <w:bookmarkStart w:id="170" w:name="_Toc9175"/>
      <w:r>
        <w:rPr>
          <w:rFonts w:hint="eastAsia" w:ascii="宋体" w:hAnsi="宋体"/>
          <w:b/>
          <w:bCs/>
          <w:sz w:val="28"/>
          <w:szCs w:val="28"/>
        </w:rPr>
        <w:t>评标程序</w:t>
      </w:r>
      <w:bookmarkEnd w:id="170"/>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tbl>
      <w:tblPr>
        <w:tblStyle w:val="43"/>
        <w:tblpPr w:leftFromText="180" w:rightFromText="180" w:vertAnchor="text" w:horzAnchor="page" w:tblpX="1431" w:tblpY="603"/>
        <w:tblOverlap w:val="never"/>
        <w:tblW w:w="9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034"/>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jc w:val="center"/>
              <w:textAlignment w:val="auto"/>
              <w:rPr>
                <w:rFonts w:ascii="宋体" w:hAnsi="宋体"/>
                <w:b/>
                <w:sz w:val="24"/>
                <w:szCs w:val="24"/>
              </w:rPr>
            </w:pPr>
            <w:r>
              <w:rPr>
                <w:rFonts w:hint="eastAsia" w:ascii="宋体" w:hAnsi="宋体"/>
                <w:b/>
                <w:sz w:val="24"/>
                <w:szCs w:val="24"/>
              </w:rPr>
              <w:t>序号</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b/>
                <w:sz w:val="24"/>
                <w:szCs w:val="24"/>
              </w:rPr>
            </w:pPr>
            <w:r>
              <w:rPr>
                <w:rFonts w:hint="eastAsia" w:ascii="宋体" w:hAnsi="宋体"/>
                <w:b/>
                <w:sz w:val="24"/>
                <w:szCs w:val="24"/>
              </w:rPr>
              <w:t>符合性审查项</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ind w:firstLine="487" w:firstLineChars="202"/>
              <w:rPr>
                <w:rFonts w:ascii="宋体" w:hAnsi="宋体"/>
                <w:sz w:val="24"/>
                <w:szCs w:val="24"/>
              </w:rPr>
            </w:pPr>
            <w:r>
              <w:rPr>
                <w:rFonts w:hint="eastAsia" w:ascii="宋体" w:hAnsi="宋体"/>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hint="eastAsia" w:ascii="宋体" w:hAnsi="宋体"/>
                <w:sz w:val="20"/>
                <w:szCs w:val="20"/>
              </w:rPr>
              <w:t>1</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投标文件商务</w:t>
            </w:r>
            <w:r>
              <w:rPr>
                <w:rFonts w:ascii="宋体" w:hAnsi="宋体"/>
                <w:sz w:val="20"/>
                <w:szCs w:val="20"/>
              </w:rPr>
              <w:t>技术响应文件</w:t>
            </w:r>
            <w:r>
              <w:rPr>
                <w:rFonts w:hint="eastAsia" w:ascii="宋体" w:hAnsi="宋体"/>
                <w:sz w:val="20"/>
                <w:szCs w:val="20"/>
              </w:rPr>
              <w:t>、</w:t>
            </w:r>
            <w:r>
              <w:rPr>
                <w:rFonts w:ascii="宋体" w:hAnsi="宋体"/>
                <w:sz w:val="20"/>
                <w:szCs w:val="20"/>
              </w:rPr>
              <w:t>报价要求响应文件</w:t>
            </w:r>
            <w:r>
              <w:rPr>
                <w:rFonts w:hint="eastAsia" w:ascii="宋体" w:hAnsi="宋体"/>
                <w:sz w:val="20"/>
                <w:szCs w:val="20"/>
              </w:rPr>
              <w:t>组成</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ascii="宋体" w:hAnsi="宋体"/>
                <w:sz w:val="20"/>
                <w:szCs w:val="20"/>
              </w:rPr>
              <w:t>2</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投标文件商务</w:t>
            </w:r>
            <w:r>
              <w:rPr>
                <w:rFonts w:ascii="宋体" w:hAnsi="宋体"/>
                <w:sz w:val="20"/>
                <w:szCs w:val="20"/>
              </w:rPr>
              <w:t>技术响应文件</w:t>
            </w:r>
            <w:r>
              <w:rPr>
                <w:rFonts w:hint="eastAsia" w:ascii="宋体" w:hAnsi="宋体"/>
                <w:sz w:val="20"/>
                <w:szCs w:val="20"/>
              </w:rPr>
              <w:t>、</w:t>
            </w:r>
            <w:r>
              <w:rPr>
                <w:rFonts w:ascii="宋体" w:hAnsi="宋体"/>
                <w:sz w:val="20"/>
                <w:szCs w:val="20"/>
              </w:rPr>
              <w:t>报价要求响应文件</w:t>
            </w:r>
            <w:r>
              <w:rPr>
                <w:rFonts w:hint="eastAsia" w:ascii="宋体" w:hAnsi="宋体"/>
                <w:sz w:val="20"/>
                <w:szCs w:val="20"/>
              </w:rPr>
              <w:t>的计量单位、语言、报价货币、投标有效期</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ascii="宋体" w:hAnsi="宋体"/>
                <w:sz w:val="20"/>
                <w:szCs w:val="20"/>
              </w:rPr>
              <w:t>3</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第4章打*号的技术、服务、商务和其他要求</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投标文件均实质性响应招标文件中加*号的技术、服务、商务和其他要求。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ascii="宋体" w:hAnsi="宋体"/>
                <w:sz w:val="20"/>
                <w:szCs w:val="20"/>
              </w:rPr>
              <w:t>4</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0"/>
              </w:rPr>
            </w:pPr>
            <w:r>
              <w:rPr>
                <w:rFonts w:hint="eastAsia" w:ascii="宋体" w:hAnsi="宋体"/>
                <w:sz w:val="20"/>
                <w:szCs w:val="20"/>
              </w:rPr>
              <w:t>投标文件签章</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0"/>
              </w:rPr>
            </w:pPr>
            <w:r>
              <w:rPr>
                <w:rFonts w:hint="eastAsia" w:ascii="宋体" w:hAnsi="宋体"/>
                <w:sz w:val="20"/>
                <w:szCs w:val="20"/>
              </w:rPr>
              <w:t>投标文件加盖有投标人（法定名称）电子签章</w:t>
            </w:r>
            <w:r>
              <w:rPr>
                <w:rFonts w:ascii="宋体" w:hAnsi="宋体"/>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ascii="宋体" w:hAnsi="宋体"/>
                <w:sz w:val="20"/>
                <w:szCs w:val="20"/>
              </w:rPr>
              <w:t>5</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进口产品</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hint="eastAsia" w:ascii="宋体" w:hAnsi="宋体"/>
                <w:sz w:val="20"/>
                <w:szCs w:val="20"/>
              </w:rPr>
              <w:t>6</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不属于禁止参加投标或投标无效的供应商</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（1）根据招标文件的要求不属于禁止参加投标或投标无效的供应商；</w:t>
            </w:r>
          </w:p>
          <w:p>
            <w:pPr>
              <w:tabs>
                <w:tab w:val="left" w:pos="851"/>
              </w:tabs>
              <w:rPr>
                <w:rFonts w:ascii="宋体" w:hAnsi="宋体"/>
                <w:sz w:val="20"/>
                <w:szCs w:val="20"/>
              </w:rPr>
            </w:pPr>
            <w:r>
              <w:rPr>
                <w:rFonts w:hint="eastAsia" w:ascii="宋体" w:hAnsi="宋体"/>
                <w:sz w:val="20"/>
                <w:szCs w:val="20"/>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hint="eastAsia" w:ascii="宋体" w:hAnsi="宋体"/>
                <w:sz w:val="20"/>
                <w:szCs w:val="20"/>
              </w:rPr>
              <w:t>7</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法定代表人身份证复印件或护照复印件</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hint="eastAsia" w:ascii="宋体" w:hAnsi="宋体"/>
                <w:sz w:val="20"/>
                <w:szCs w:val="20"/>
              </w:rPr>
              <w:t>8</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除资格性审查要求的证明材料外，招标文件要求提供的其他证明材料</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rPr>
                <w:rFonts w:hint="default" w:eastAsia="宋体"/>
                <w:sz w:val="20"/>
                <w:szCs w:val="20"/>
                <w:lang w:val="en-US" w:eastAsia="zh-CN"/>
              </w:rPr>
            </w:pPr>
            <w:r>
              <w:rPr>
                <w:rFonts w:hint="eastAsia"/>
                <w:sz w:val="20"/>
                <w:szCs w:val="20"/>
                <w:lang w:val="en-US" w:eastAsia="zh-CN"/>
              </w:rPr>
              <w:t>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2" w:space="0"/>
              <w:left w:val="single" w:color="auto" w:sz="2" w:space="0"/>
              <w:bottom w:val="single" w:color="auto" w:sz="2" w:space="0"/>
              <w:right w:val="single" w:color="auto" w:sz="2" w:space="0"/>
            </w:tcBorders>
            <w:vAlign w:val="center"/>
          </w:tcPr>
          <w:p>
            <w:pPr>
              <w:tabs>
                <w:tab w:val="left" w:pos="851"/>
              </w:tabs>
              <w:jc w:val="center"/>
              <w:rPr>
                <w:rFonts w:ascii="宋体" w:hAnsi="宋体"/>
                <w:sz w:val="20"/>
                <w:szCs w:val="20"/>
              </w:rPr>
            </w:pPr>
            <w:r>
              <w:rPr>
                <w:rFonts w:hint="eastAsia" w:ascii="宋体" w:hAnsi="宋体"/>
                <w:sz w:val="20"/>
                <w:szCs w:val="20"/>
              </w:rPr>
              <w:t>9</w:t>
            </w:r>
          </w:p>
        </w:tc>
        <w:tc>
          <w:tcPr>
            <w:tcW w:w="2034" w:type="dxa"/>
            <w:tcBorders>
              <w:top w:val="single" w:color="auto" w:sz="2" w:space="0"/>
              <w:left w:val="single" w:color="auto" w:sz="2" w:space="0"/>
              <w:bottom w:val="single" w:color="auto" w:sz="2" w:space="0"/>
              <w:right w:val="single" w:color="auto" w:sz="2" w:space="0"/>
            </w:tcBorders>
            <w:vAlign w:val="center"/>
          </w:tcPr>
          <w:p>
            <w:pPr>
              <w:tabs>
                <w:tab w:val="left" w:pos="851"/>
              </w:tabs>
              <w:rPr>
                <w:rFonts w:ascii="宋体" w:hAnsi="宋体"/>
                <w:sz w:val="20"/>
                <w:szCs w:val="20"/>
              </w:rPr>
            </w:pPr>
            <w:r>
              <w:rPr>
                <w:rFonts w:hint="eastAsia" w:ascii="宋体" w:hAnsi="宋体"/>
                <w:sz w:val="20"/>
                <w:szCs w:val="20"/>
              </w:rPr>
              <w:t>投标报价</w:t>
            </w:r>
          </w:p>
        </w:tc>
        <w:tc>
          <w:tcPr>
            <w:tcW w:w="6429" w:type="dxa"/>
            <w:tcBorders>
              <w:top w:val="single" w:color="auto" w:sz="2" w:space="0"/>
              <w:left w:val="single" w:color="auto" w:sz="2" w:space="0"/>
              <w:bottom w:val="single" w:color="auto" w:sz="2" w:space="0"/>
              <w:right w:val="single" w:color="auto" w:sz="2" w:space="0"/>
            </w:tcBorders>
            <w:vAlign w:val="center"/>
          </w:tcPr>
          <w:p>
            <w:pPr>
              <w:tabs>
                <w:tab w:val="left" w:pos="851"/>
              </w:tabs>
              <w:rPr>
                <w:sz w:val="20"/>
                <w:szCs w:val="20"/>
              </w:rPr>
            </w:pPr>
            <w:r>
              <w:rPr>
                <w:rFonts w:hint="eastAsia" w:ascii="宋体" w:hAnsi="宋体"/>
                <w:sz w:val="20"/>
                <w:szCs w:val="20"/>
              </w:rPr>
              <w:t>开标记录、</w:t>
            </w:r>
            <w:r>
              <w:rPr>
                <w:rFonts w:ascii="宋体" w:hAnsi="宋体"/>
                <w:sz w:val="20"/>
                <w:szCs w:val="20"/>
              </w:rPr>
              <w:t>投标文件</w:t>
            </w:r>
            <w:r>
              <w:rPr>
                <w:rFonts w:hint="eastAsia" w:ascii="宋体" w:hAnsi="宋体"/>
                <w:sz w:val="20"/>
                <w:szCs w:val="20"/>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0"/>
                <w:szCs w:val="20"/>
              </w:rPr>
              <w:t>②</w:t>
            </w:r>
            <w:r>
              <w:rPr>
                <w:rFonts w:hint="eastAsia" w:ascii="宋体" w:hAnsi="宋体"/>
                <w:sz w:val="20"/>
                <w:szCs w:val="20"/>
              </w:rPr>
              <w:t>单价金额小数点或者百分比有明显错位的，以总价为准，并修改单价；</w:t>
            </w:r>
            <w:r>
              <w:rPr>
                <w:rFonts w:hint="eastAsia" w:ascii="宋体" w:hAnsi="宋体" w:cs="宋体"/>
                <w:sz w:val="20"/>
                <w:szCs w:val="20"/>
              </w:rPr>
              <w:t>③</w:t>
            </w:r>
            <w:r>
              <w:rPr>
                <w:rFonts w:hint="eastAsia" w:ascii="宋体" w:hAnsi="宋体"/>
                <w:sz w:val="20"/>
                <w:szCs w:val="20"/>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0"/>
                <w:szCs w:val="20"/>
              </w:rPr>
              <w:t>5）如因断电、断网、系统故障或其他不可抗力等因素，导致系统无法使用的，由投标人按评标委员会的要求进行澄清或者说明</w:t>
            </w:r>
            <w:r>
              <w:rPr>
                <w:rFonts w:hint="eastAsia" w:ascii="宋体" w:hAnsi="宋体"/>
                <w:sz w:val="20"/>
                <w:szCs w:val="20"/>
              </w:rPr>
              <w:t>。】</w:t>
            </w:r>
          </w:p>
        </w:tc>
      </w:tr>
    </w:tbl>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p>
      <w:pPr>
        <w:pageBreakBefore w:val="0"/>
        <w:widowControl w:val="0"/>
        <w:tabs>
          <w:tab w:val="left" w:pos="851"/>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pageBreakBefore w:val="0"/>
        <w:widowControl w:val="0"/>
        <w:tabs>
          <w:tab w:val="left" w:pos="851"/>
        </w:tabs>
        <w:kinsoku/>
        <w:wordWrap/>
        <w:overflowPunct/>
        <w:topLinePunct w:val="0"/>
        <w:autoSpaceDE/>
        <w:autoSpaceDN/>
        <w:bidi w:val="0"/>
        <w:adjustRightInd/>
        <w:snapToGrid/>
        <w:spacing w:line="360" w:lineRule="auto"/>
        <w:ind w:firstLine="565" w:firstLineChars="202"/>
        <w:textAlignment w:val="auto"/>
        <w:rPr>
          <w:rFonts w:ascii="宋体" w:hAnsi="宋体"/>
          <w:sz w:val="28"/>
          <w:szCs w:val="28"/>
        </w:rPr>
      </w:pPr>
      <w:r>
        <w:rPr>
          <w:rFonts w:hint="eastAsia" w:ascii="宋体" w:hAnsi="宋体"/>
          <w:sz w:val="28"/>
          <w:szCs w:val="28"/>
        </w:rPr>
        <w:t>二、投标人的投标文件符合性审查时被判定为无效投标文件的，区公资交易中心将通知投标人（以短信、现场公示、电话、“政府采购云平台”等任一方式）。投标人如对评审结论有异议的，应及时向区公资交易中心反馈意见。区公资交易中心在评审结束前将收到的反馈意见及时告知评标委员会。（说明：无论投标人是否收到通知或提供反馈意见，均不影响评标委员会的评标工作，且区公资交易中心对此将不承担任何的责任。投标人对评审结论有异议的，其反馈意见仅限于评标委员会对评审结论的正确性进行复核，避免出现评审错误。）</w:t>
      </w:r>
    </w:p>
    <w:p>
      <w:pPr>
        <w:pageBreakBefore w:val="0"/>
        <w:widowControl w:val="0"/>
        <w:tabs>
          <w:tab w:val="left" w:pos="851"/>
        </w:tabs>
        <w:kinsoku/>
        <w:wordWrap/>
        <w:overflowPunct/>
        <w:topLinePunct w:val="0"/>
        <w:autoSpaceDE/>
        <w:autoSpaceDN/>
        <w:bidi w:val="0"/>
        <w:adjustRightInd/>
        <w:snapToGrid/>
        <w:spacing w:line="360" w:lineRule="auto"/>
        <w:ind w:firstLine="565" w:firstLineChars="202"/>
        <w:textAlignment w:val="auto"/>
        <w:rPr>
          <w:rFonts w:ascii="宋体" w:hAnsi="宋体"/>
          <w:sz w:val="28"/>
          <w:szCs w:val="28"/>
        </w:rPr>
      </w:pPr>
      <w:r>
        <w:rPr>
          <w:rFonts w:hint="eastAsia" w:ascii="宋体" w:hAnsi="宋体"/>
          <w:sz w:val="28"/>
          <w:szCs w:val="28"/>
        </w:rPr>
        <w:t>三、通过符合性审查的供应商＜3名，本项目采购失败。</w:t>
      </w:r>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解释、澄清有关问题</w:t>
      </w:r>
    </w:p>
    <w:p>
      <w:pPr>
        <w:pageBreakBefore w:val="0"/>
        <w:widowControl w:val="0"/>
        <w:numPr>
          <w:ilvl w:val="0"/>
          <w:numId w:val="70"/>
        </w:numPr>
        <w:tabs>
          <w:tab w:val="left" w:pos="1134"/>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评标过程中，评标委员会认为招标文件有关事项表述不明确或需要说明的，可以提请区公资交易中心书面解释。区公资交易中心的解释不得改变招标文件的原义或者影响公平、公正，解释事项如果涉及投标人权益的以有利于投标人的原则进行解释。</w:t>
      </w:r>
    </w:p>
    <w:p>
      <w:pPr>
        <w:pageBreakBefore w:val="0"/>
        <w:widowControl w:val="0"/>
        <w:numPr>
          <w:ilvl w:val="0"/>
          <w:numId w:val="70"/>
        </w:numPr>
        <w:tabs>
          <w:tab w:val="left" w:pos="1134"/>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pageBreakBefore w:val="0"/>
        <w:widowControl w:val="0"/>
        <w:numPr>
          <w:ilvl w:val="0"/>
          <w:numId w:val="70"/>
        </w:numPr>
        <w:tabs>
          <w:tab w:val="left" w:pos="1134"/>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pageBreakBefore w:val="0"/>
        <w:widowControl w:val="0"/>
        <w:numPr>
          <w:ilvl w:val="0"/>
          <w:numId w:val="71"/>
        </w:numPr>
        <w:tabs>
          <w:tab w:val="left" w:pos="1260"/>
          <w:tab w:val="clear" w:pos="846"/>
        </w:tabs>
        <w:kinsoku/>
        <w:wordWrap/>
        <w:overflowPunct/>
        <w:topLinePunct w:val="0"/>
        <w:autoSpaceDE/>
        <w:autoSpaceDN/>
        <w:bidi w:val="0"/>
        <w:adjustRightInd/>
        <w:snapToGrid/>
        <w:spacing w:line="360" w:lineRule="auto"/>
        <w:ind w:left="0" w:firstLine="525"/>
        <w:textAlignment w:val="auto"/>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pageBreakBefore w:val="0"/>
        <w:widowControl w:val="0"/>
        <w:numPr>
          <w:ilvl w:val="0"/>
          <w:numId w:val="71"/>
        </w:numPr>
        <w:tabs>
          <w:tab w:val="left" w:pos="1260"/>
        </w:tabs>
        <w:kinsoku/>
        <w:wordWrap/>
        <w:overflowPunct/>
        <w:topLinePunct w:val="0"/>
        <w:autoSpaceDE/>
        <w:autoSpaceDN/>
        <w:bidi w:val="0"/>
        <w:adjustRightInd/>
        <w:snapToGrid/>
        <w:spacing w:line="360" w:lineRule="auto"/>
        <w:ind w:left="0" w:firstLine="525"/>
        <w:textAlignment w:val="auto"/>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pageBreakBefore w:val="0"/>
        <w:widowControl w:val="0"/>
        <w:numPr>
          <w:ilvl w:val="0"/>
          <w:numId w:val="71"/>
        </w:numPr>
        <w:tabs>
          <w:tab w:val="left" w:pos="993"/>
          <w:tab w:val="left" w:pos="1260"/>
          <w:tab w:val="clear" w:pos="846"/>
        </w:tabs>
        <w:kinsoku/>
        <w:wordWrap/>
        <w:overflowPunct/>
        <w:topLinePunct w:val="0"/>
        <w:autoSpaceDE/>
        <w:autoSpaceDN/>
        <w:bidi w:val="0"/>
        <w:adjustRightInd/>
        <w:snapToGrid/>
        <w:spacing w:line="360" w:lineRule="auto"/>
        <w:ind w:left="0" w:firstLine="525"/>
        <w:textAlignment w:val="auto"/>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pageBreakBefore w:val="0"/>
        <w:widowControl w:val="0"/>
        <w:numPr>
          <w:ilvl w:val="0"/>
          <w:numId w:val="70"/>
        </w:numPr>
        <w:tabs>
          <w:tab w:val="left" w:pos="1134"/>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投标文件报价出现下列情况的，不需要投标人澄清，按以下原则处理：</w:t>
      </w:r>
    </w:p>
    <w:p>
      <w:pPr>
        <w:pageBreakBefore w:val="0"/>
        <w:widowControl w:val="0"/>
        <w:tabs>
          <w:tab w:val="left" w:pos="1134"/>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（二）大写金额和小写金额不一致的，以大写金额为准，但大写金额出现文字错误，导致金额无法判断的除外；</w:t>
      </w:r>
    </w:p>
    <w:p>
      <w:pPr>
        <w:pageBreakBefore w:val="0"/>
        <w:widowControl w:val="0"/>
        <w:tabs>
          <w:tab w:val="left" w:pos="1134"/>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（三）单价金额小数点或者百分比有明显错位的，以总价为准，并修改单价；</w:t>
      </w:r>
    </w:p>
    <w:p>
      <w:pPr>
        <w:pageBreakBefore w:val="0"/>
        <w:widowControl w:val="0"/>
        <w:tabs>
          <w:tab w:val="left" w:pos="1134"/>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（四）总价金额与按单价汇总金额不一致的，以单价金额计算结果为准。</w:t>
      </w:r>
    </w:p>
    <w:p>
      <w:pPr>
        <w:pageBreakBefore w:val="0"/>
        <w:widowControl w:val="0"/>
        <w:kinsoku/>
        <w:wordWrap/>
        <w:overflowPunct/>
        <w:topLinePunct w:val="0"/>
        <w:autoSpaceDE/>
        <w:autoSpaceDN/>
        <w:bidi w:val="0"/>
        <w:adjustRightInd/>
        <w:snapToGrid/>
        <w:spacing w:line="360" w:lineRule="auto"/>
        <w:ind w:firstLine="561"/>
        <w:textAlignment w:val="auto"/>
        <w:rPr>
          <w:sz w:val="28"/>
          <w:szCs w:val="28"/>
        </w:rPr>
      </w:pPr>
      <w:r>
        <w:rPr>
          <w:rFonts w:hint="eastAsia"/>
          <w:sz w:val="28"/>
          <w:szCs w:val="28"/>
        </w:rPr>
        <w:t>同时出现两种以上不一致的，按照前款规定的顺序修正。修正后的报价经投标人确认后产生约束力，投标人不确认的，其投标无效。</w:t>
      </w:r>
    </w:p>
    <w:p>
      <w:pPr>
        <w:pageBreakBefore w:val="0"/>
        <w:widowControl w:val="0"/>
        <w:tabs>
          <w:tab w:val="left" w:pos="720"/>
        </w:tabs>
        <w:kinsoku/>
        <w:wordWrap/>
        <w:overflowPunct/>
        <w:topLinePunct w:val="0"/>
        <w:autoSpaceDE/>
        <w:autoSpaceDN/>
        <w:bidi w:val="0"/>
        <w:adjustRightInd/>
        <w:snapToGrid/>
        <w:spacing w:line="360" w:lineRule="auto"/>
        <w:ind w:firstLine="561"/>
        <w:textAlignment w:val="auto"/>
        <w:rPr>
          <w:sz w:val="28"/>
          <w:szCs w:val="28"/>
        </w:rPr>
      </w:pPr>
      <w:r>
        <w:rPr>
          <w:rFonts w:hint="eastAsia"/>
          <w:sz w:val="28"/>
          <w:szCs w:val="28"/>
        </w:rPr>
        <w:t>五、对不同语言文本投标文件的解释发生异议的，以中文文本为准。</w:t>
      </w:r>
    </w:p>
    <w:p>
      <w:pPr>
        <w:pageBreakBefore w:val="0"/>
        <w:widowControl w:val="0"/>
        <w:tabs>
          <w:tab w:val="left" w:pos="720"/>
        </w:tabs>
        <w:kinsoku/>
        <w:wordWrap/>
        <w:overflowPunct/>
        <w:topLinePunct w:val="0"/>
        <w:autoSpaceDE/>
        <w:autoSpaceDN/>
        <w:bidi w:val="0"/>
        <w:adjustRightInd/>
        <w:snapToGrid/>
        <w:spacing w:line="360" w:lineRule="auto"/>
        <w:ind w:firstLine="560" w:firstLineChars="200"/>
        <w:textAlignment w:val="auto"/>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pageBreakBefore w:val="0"/>
        <w:widowControl w:val="0"/>
        <w:tabs>
          <w:tab w:val="left" w:pos="851"/>
        </w:tabs>
        <w:kinsoku/>
        <w:wordWrap/>
        <w:overflowPunct/>
        <w:topLinePunct w:val="0"/>
        <w:autoSpaceDE/>
        <w:autoSpaceDN/>
        <w:bidi w:val="0"/>
        <w:adjustRightInd/>
        <w:snapToGrid/>
        <w:spacing w:line="360" w:lineRule="auto"/>
        <w:ind w:firstLine="568" w:firstLineChars="202"/>
        <w:textAlignment w:val="auto"/>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比较与评价</w:t>
      </w:r>
    </w:p>
    <w:p>
      <w:pPr>
        <w:pageBreakBefore w:val="0"/>
        <w:widowControl w:val="0"/>
        <w:tabs>
          <w:tab w:val="left" w:pos="851"/>
        </w:tabs>
        <w:kinsoku/>
        <w:wordWrap/>
        <w:overflowPunct/>
        <w:topLinePunct w:val="0"/>
        <w:autoSpaceDE/>
        <w:autoSpaceDN/>
        <w:bidi w:val="0"/>
        <w:adjustRightInd/>
        <w:snapToGrid/>
        <w:spacing w:line="360" w:lineRule="auto"/>
        <w:ind w:firstLine="565" w:firstLineChars="202"/>
        <w:textAlignment w:val="auto"/>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复核</w:t>
      </w:r>
    </w:p>
    <w:p>
      <w:pPr>
        <w:pageBreakBefore w:val="0"/>
        <w:widowControl w:val="0"/>
        <w:tabs>
          <w:tab w:val="left" w:pos="851"/>
        </w:tabs>
        <w:kinsoku/>
        <w:wordWrap/>
        <w:overflowPunct/>
        <w:topLinePunct w:val="0"/>
        <w:autoSpaceDE/>
        <w:autoSpaceDN/>
        <w:bidi w:val="0"/>
        <w:adjustRightInd/>
        <w:snapToGrid/>
        <w:spacing w:line="360" w:lineRule="auto"/>
        <w:ind w:firstLine="565" w:firstLineChars="202"/>
        <w:textAlignment w:val="auto"/>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pageBreakBefore w:val="0"/>
        <w:widowControl w:val="0"/>
        <w:tabs>
          <w:tab w:val="left" w:pos="851"/>
        </w:tabs>
        <w:kinsoku/>
        <w:wordWrap/>
        <w:overflowPunct/>
        <w:topLinePunct w:val="0"/>
        <w:autoSpaceDE/>
        <w:autoSpaceDN/>
        <w:bidi w:val="0"/>
        <w:adjustRightInd/>
        <w:snapToGrid/>
        <w:spacing w:line="360" w:lineRule="auto"/>
        <w:ind w:firstLine="565" w:firstLineChars="202"/>
        <w:textAlignment w:val="auto"/>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rPr>
        <w:t>区公资交易中心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pageBreakBefore w:val="0"/>
        <w:widowControl w:val="0"/>
        <w:tabs>
          <w:tab w:val="left" w:pos="851"/>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评标结果汇总完成后，除下列情形外，任何人不得修改评标结果：</w:t>
      </w:r>
    </w:p>
    <w:p>
      <w:pPr>
        <w:pageBreakBefore w:val="0"/>
        <w:widowControl w:val="0"/>
        <w:numPr>
          <w:ilvl w:val="0"/>
          <w:numId w:val="72"/>
        </w:numPr>
        <w:tabs>
          <w:tab w:val="left" w:pos="851"/>
          <w:tab w:val="left" w:pos="1276"/>
        </w:tabs>
        <w:kinsoku/>
        <w:wordWrap/>
        <w:overflowPunct/>
        <w:topLinePunct w:val="0"/>
        <w:autoSpaceDE/>
        <w:autoSpaceDN/>
        <w:bidi w:val="0"/>
        <w:adjustRightInd/>
        <w:snapToGrid/>
        <w:spacing w:line="360" w:lineRule="auto"/>
        <w:ind w:left="0" w:firstLine="424"/>
        <w:textAlignment w:val="auto"/>
        <w:rPr>
          <w:rFonts w:ascii="宋体" w:hAnsi="宋体" w:cstheme="minorBidi"/>
          <w:sz w:val="28"/>
          <w:szCs w:val="28"/>
        </w:rPr>
      </w:pPr>
      <w:r>
        <w:rPr>
          <w:rFonts w:hint="eastAsia" w:ascii="宋体" w:hAnsi="宋体" w:cstheme="minorBidi"/>
          <w:sz w:val="28"/>
          <w:szCs w:val="28"/>
        </w:rPr>
        <w:t>分值汇总计算错误的；</w:t>
      </w:r>
    </w:p>
    <w:p>
      <w:pPr>
        <w:pageBreakBefore w:val="0"/>
        <w:widowControl w:val="0"/>
        <w:numPr>
          <w:ilvl w:val="0"/>
          <w:numId w:val="72"/>
        </w:numPr>
        <w:tabs>
          <w:tab w:val="left" w:pos="851"/>
          <w:tab w:val="left" w:pos="1276"/>
        </w:tabs>
        <w:kinsoku/>
        <w:wordWrap/>
        <w:overflowPunct/>
        <w:topLinePunct w:val="0"/>
        <w:autoSpaceDE/>
        <w:autoSpaceDN/>
        <w:bidi w:val="0"/>
        <w:adjustRightInd/>
        <w:snapToGrid/>
        <w:spacing w:line="360" w:lineRule="auto"/>
        <w:ind w:left="0" w:firstLine="424"/>
        <w:textAlignment w:val="auto"/>
        <w:rPr>
          <w:rFonts w:ascii="宋体" w:hAnsi="宋体" w:cstheme="minorBidi"/>
          <w:sz w:val="28"/>
          <w:szCs w:val="28"/>
        </w:rPr>
      </w:pPr>
      <w:r>
        <w:rPr>
          <w:rFonts w:hint="eastAsia" w:ascii="宋体" w:hAnsi="宋体" w:cstheme="minorBidi"/>
          <w:sz w:val="28"/>
          <w:szCs w:val="28"/>
        </w:rPr>
        <w:t>分项评分超出评分标准范围的；</w:t>
      </w:r>
    </w:p>
    <w:p>
      <w:pPr>
        <w:pageBreakBefore w:val="0"/>
        <w:widowControl w:val="0"/>
        <w:numPr>
          <w:ilvl w:val="0"/>
          <w:numId w:val="72"/>
        </w:numPr>
        <w:tabs>
          <w:tab w:val="left" w:pos="851"/>
          <w:tab w:val="left" w:pos="1276"/>
          <w:tab w:val="left" w:pos="1560"/>
        </w:tabs>
        <w:kinsoku/>
        <w:wordWrap/>
        <w:overflowPunct/>
        <w:topLinePunct w:val="0"/>
        <w:autoSpaceDE/>
        <w:autoSpaceDN/>
        <w:bidi w:val="0"/>
        <w:adjustRightInd/>
        <w:snapToGrid/>
        <w:spacing w:line="360" w:lineRule="auto"/>
        <w:ind w:left="0" w:firstLine="424"/>
        <w:textAlignment w:val="auto"/>
        <w:rPr>
          <w:rFonts w:ascii="宋体" w:hAnsi="宋体" w:cstheme="minorBidi"/>
          <w:sz w:val="28"/>
          <w:szCs w:val="28"/>
        </w:rPr>
      </w:pPr>
      <w:r>
        <w:rPr>
          <w:rFonts w:hint="eastAsia" w:ascii="宋体" w:hAnsi="宋体" w:cstheme="minorBidi"/>
          <w:sz w:val="28"/>
          <w:szCs w:val="28"/>
        </w:rPr>
        <w:t>评标委员会成员对客观评审因素评分不一致的；</w:t>
      </w:r>
    </w:p>
    <w:p>
      <w:pPr>
        <w:pageBreakBefore w:val="0"/>
        <w:widowControl w:val="0"/>
        <w:numPr>
          <w:ilvl w:val="0"/>
          <w:numId w:val="72"/>
        </w:numPr>
        <w:tabs>
          <w:tab w:val="left" w:pos="851"/>
          <w:tab w:val="left" w:pos="1276"/>
        </w:tabs>
        <w:kinsoku/>
        <w:wordWrap/>
        <w:overflowPunct/>
        <w:topLinePunct w:val="0"/>
        <w:autoSpaceDE/>
        <w:autoSpaceDN/>
        <w:bidi w:val="0"/>
        <w:adjustRightInd/>
        <w:snapToGrid/>
        <w:spacing w:line="360" w:lineRule="auto"/>
        <w:ind w:left="0" w:firstLine="426"/>
        <w:textAlignment w:val="auto"/>
        <w:rPr>
          <w:rFonts w:ascii="宋体" w:hAnsi="宋体" w:cstheme="minorBidi"/>
          <w:sz w:val="28"/>
          <w:szCs w:val="28"/>
        </w:rPr>
      </w:pPr>
      <w:r>
        <w:rPr>
          <w:rFonts w:hint="eastAsia" w:ascii="宋体" w:hAnsi="宋体" w:cstheme="minorBidi"/>
          <w:sz w:val="28"/>
          <w:szCs w:val="28"/>
        </w:rPr>
        <w:t>经评标委员会认定评分畸高、畸低的。</w:t>
      </w:r>
    </w:p>
    <w:p>
      <w:pPr>
        <w:pageBreakBefore w:val="0"/>
        <w:widowControl w:val="0"/>
        <w:tabs>
          <w:tab w:val="left" w:pos="851"/>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确定中标候选人名单</w:t>
      </w:r>
    </w:p>
    <w:p>
      <w:pPr>
        <w:pageBreakBefore w:val="0"/>
        <w:widowControl w:val="0"/>
        <w:tabs>
          <w:tab w:val="left" w:pos="851"/>
        </w:tabs>
        <w:kinsoku/>
        <w:wordWrap/>
        <w:overflowPunct/>
        <w:topLinePunct w:val="0"/>
        <w:autoSpaceDE/>
        <w:autoSpaceDN/>
        <w:bidi w:val="0"/>
        <w:adjustRightInd/>
        <w:snapToGrid/>
        <w:spacing w:line="360" w:lineRule="auto"/>
        <w:ind w:firstLine="565" w:firstLineChars="202"/>
        <w:textAlignment w:val="auto"/>
        <w:rPr>
          <w:rFonts w:ascii="宋体" w:hAnsi="宋体"/>
          <w:sz w:val="28"/>
          <w:szCs w:val="28"/>
        </w:rPr>
      </w:pPr>
      <w:r>
        <w:rPr>
          <w:rFonts w:hint="eastAsia" w:ascii="宋体" w:hAnsi="宋体"/>
          <w:sz w:val="28"/>
          <w:szCs w:val="28"/>
        </w:rPr>
        <w:t>评标委员会应当按投标人投标报价从低到高进行排序，</w:t>
      </w:r>
      <w:r>
        <w:rPr>
          <w:rFonts w:hint="eastAsia" w:ascii="宋体" w:hAnsi="宋体"/>
          <w:sz w:val="28"/>
          <w:szCs w:val="28"/>
          <w:lang w:val="en-US" w:eastAsia="zh-CN"/>
        </w:rPr>
        <w:t>推荐</w:t>
      </w:r>
      <w:r>
        <w:rPr>
          <w:rFonts w:hint="eastAsia" w:ascii="宋体" w:hAnsi="宋体"/>
          <w:sz w:val="28"/>
          <w:szCs w:val="28"/>
        </w:rPr>
        <w:t>1至3名投标人为中标候选人。投标报价相同的并列。</w:t>
      </w:r>
      <w:r>
        <w:rPr>
          <w:rFonts w:hint="eastAsia" w:ascii="Helvetica" w:hAnsi="Helvetica" w:cs="Helvetica"/>
          <w:kern w:val="0"/>
          <w:sz w:val="28"/>
          <w:szCs w:val="28"/>
        </w:rPr>
        <w:t>投标文件满足招标文件全部实质性要求且投标报价最低的投标人为排名第一的中标候选人。</w:t>
      </w:r>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编写评标报告</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pageBreakBefore w:val="0"/>
        <w:widowControl w:val="0"/>
        <w:numPr>
          <w:ilvl w:val="0"/>
          <w:numId w:val="73"/>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招标公告刊登的媒体名称、开标日期和地点；</w:t>
      </w:r>
    </w:p>
    <w:p>
      <w:pPr>
        <w:pageBreakBefore w:val="0"/>
        <w:widowControl w:val="0"/>
        <w:numPr>
          <w:ilvl w:val="0"/>
          <w:numId w:val="73"/>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投标人名单和评标委员会成员名单；</w:t>
      </w:r>
    </w:p>
    <w:p>
      <w:pPr>
        <w:pageBreakBefore w:val="0"/>
        <w:widowControl w:val="0"/>
        <w:numPr>
          <w:ilvl w:val="0"/>
          <w:numId w:val="73"/>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评标方法和标准；</w:t>
      </w:r>
    </w:p>
    <w:p>
      <w:pPr>
        <w:pageBreakBefore w:val="0"/>
        <w:widowControl w:val="0"/>
        <w:numPr>
          <w:ilvl w:val="0"/>
          <w:numId w:val="73"/>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开标记录和评标情况及说明，包括投标无效投标人名单及原因；</w:t>
      </w:r>
    </w:p>
    <w:p>
      <w:pPr>
        <w:pageBreakBefore w:val="0"/>
        <w:widowControl w:val="0"/>
        <w:numPr>
          <w:ilvl w:val="0"/>
          <w:numId w:val="73"/>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评标结果，确定的中标候选人名单或者经采购人委托直接确定的中标人；</w:t>
      </w:r>
    </w:p>
    <w:p>
      <w:pPr>
        <w:pageBreakBefore w:val="0"/>
        <w:widowControl w:val="0"/>
        <w:numPr>
          <w:ilvl w:val="0"/>
          <w:numId w:val="73"/>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pageBreakBefore w:val="0"/>
        <w:widowControl w:val="0"/>
        <w:numPr>
          <w:ilvl w:val="0"/>
          <w:numId w:val="73"/>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pageBreakBefore w:val="0"/>
        <w:widowControl w:val="0"/>
        <w:tabs>
          <w:tab w:val="left" w:pos="1155"/>
        </w:tabs>
        <w:kinsoku/>
        <w:wordWrap/>
        <w:overflowPunct/>
        <w:topLinePunct w:val="0"/>
        <w:autoSpaceDE/>
        <w:autoSpaceDN/>
        <w:bidi w:val="0"/>
        <w:adjustRightInd/>
        <w:snapToGrid/>
        <w:spacing w:line="360" w:lineRule="auto"/>
        <w:ind w:firstLine="523" w:firstLineChars="187"/>
        <w:textAlignment w:val="auto"/>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pageBreakBefore w:val="0"/>
        <w:widowControl w:val="0"/>
        <w:numPr>
          <w:ilvl w:val="1"/>
          <w:numId w:val="3"/>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1" w:name="_Toc4591"/>
      <w:r>
        <w:rPr>
          <w:rFonts w:hint="eastAsia" w:ascii="宋体" w:hAnsi="宋体"/>
          <w:b/>
          <w:bCs/>
          <w:sz w:val="28"/>
          <w:szCs w:val="28"/>
        </w:rPr>
        <w:t>评标争议处理规则</w:t>
      </w:r>
      <w:bookmarkEnd w:id="171"/>
    </w:p>
    <w:p>
      <w:pPr>
        <w:pageBreakBefore w:val="0"/>
        <w:widowControl w:val="0"/>
        <w:tabs>
          <w:tab w:val="left" w:pos="1155"/>
        </w:tabs>
        <w:kinsoku/>
        <w:wordWrap/>
        <w:overflowPunct/>
        <w:topLinePunct w:val="0"/>
        <w:autoSpaceDE/>
        <w:autoSpaceDN/>
        <w:bidi w:val="0"/>
        <w:adjustRightInd/>
        <w:snapToGrid/>
        <w:spacing w:line="360" w:lineRule="auto"/>
        <w:ind w:firstLine="523" w:firstLineChars="187"/>
        <w:textAlignment w:val="auto"/>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rPr>
        <w:t>区公资交易中心</w:t>
      </w:r>
      <w:r>
        <w:rPr>
          <w:rFonts w:hint="eastAsia" w:ascii="宋体" w:hAnsi="宋体"/>
          <w:sz w:val="28"/>
          <w:szCs w:val="28"/>
        </w:rPr>
        <w:t>书面反映。采购人或</w:t>
      </w:r>
      <w:r>
        <w:rPr>
          <w:rFonts w:hint="eastAsia" w:cs="Arial"/>
          <w:sz w:val="28"/>
          <w:szCs w:val="28"/>
        </w:rPr>
        <w:t>区公资交易中心</w:t>
      </w:r>
      <w:r>
        <w:rPr>
          <w:rFonts w:hint="eastAsia" w:ascii="宋体" w:hAnsi="宋体"/>
          <w:sz w:val="28"/>
          <w:szCs w:val="28"/>
        </w:rPr>
        <w:t>收到书面反映后，应当书面报告采购项目同级财政部门依法处理。</w:t>
      </w:r>
    </w:p>
    <w:p>
      <w:pPr>
        <w:keepNext/>
        <w:keepLines/>
        <w:pageBreakBefore w:val="0"/>
        <w:widowControl w:val="0"/>
        <w:numPr>
          <w:ilvl w:val="1"/>
          <w:numId w:val="3"/>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2" w:name="_Toc17826"/>
      <w:r>
        <w:rPr>
          <w:rFonts w:hint="eastAsia" w:ascii="宋体" w:hAnsi="宋体"/>
          <w:b/>
          <w:bCs/>
          <w:sz w:val="28"/>
          <w:szCs w:val="28"/>
        </w:rPr>
        <w:t>评标细则及标准</w:t>
      </w:r>
      <w:bookmarkEnd w:id="172"/>
    </w:p>
    <w:p>
      <w:pPr>
        <w:pageBreakBefore w:val="0"/>
        <w:widowControl w:val="0"/>
        <w:tabs>
          <w:tab w:val="left" w:pos="1155"/>
        </w:tabs>
        <w:kinsoku/>
        <w:wordWrap/>
        <w:overflowPunct/>
        <w:topLinePunct w:val="0"/>
        <w:autoSpaceDE/>
        <w:autoSpaceDN/>
        <w:bidi w:val="0"/>
        <w:adjustRightInd/>
        <w:snapToGrid/>
        <w:spacing w:line="360" w:lineRule="auto"/>
        <w:ind w:firstLine="523" w:firstLineChars="187"/>
        <w:textAlignment w:val="auto"/>
        <w:rPr>
          <w:rFonts w:hint="eastAsia" w:cs="Arial"/>
          <w:sz w:val="28"/>
          <w:szCs w:val="28"/>
        </w:rPr>
      </w:pPr>
      <w:r>
        <w:rPr>
          <w:rFonts w:hint="eastAsia" w:cs="Arial"/>
          <w:sz w:val="28"/>
          <w:szCs w:val="28"/>
          <w:lang w:val="en-US" w:eastAsia="zh-CN"/>
        </w:rPr>
        <w:t>一、</w:t>
      </w:r>
      <w:r>
        <w:rPr>
          <w:rFonts w:hint="eastAsia" w:cs="Arial"/>
          <w:sz w:val="28"/>
          <w:szCs w:val="28"/>
        </w:rPr>
        <w:t>评标委员会只对通过资格和符合性审查的投标文件，根据招标文件的要求采用相同的评标程序、评标办法及标准进行评价和比较。</w:t>
      </w:r>
    </w:p>
    <w:p>
      <w:pPr>
        <w:pageBreakBefore w:val="0"/>
        <w:widowControl w:val="0"/>
        <w:tabs>
          <w:tab w:val="left" w:pos="1155"/>
        </w:tabs>
        <w:kinsoku/>
        <w:wordWrap/>
        <w:overflowPunct/>
        <w:topLinePunct w:val="0"/>
        <w:autoSpaceDE/>
        <w:autoSpaceDN/>
        <w:bidi w:val="0"/>
        <w:adjustRightInd/>
        <w:snapToGrid/>
        <w:spacing w:line="360" w:lineRule="auto"/>
        <w:ind w:firstLine="523" w:firstLineChars="187"/>
        <w:textAlignment w:val="auto"/>
        <w:rPr>
          <w:rFonts w:hint="eastAsia" w:cs="Arial"/>
          <w:sz w:val="28"/>
          <w:szCs w:val="28"/>
        </w:rPr>
      </w:pPr>
      <w:r>
        <w:rPr>
          <w:rFonts w:hint="eastAsia" w:cs="Arial"/>
          <w:sz w:val="28"/>
          <w:szCs w:val="28"/>
          <w:lang w:val="en-US" w:eastAsia="zh-CN"/>
        </w:rPr>
        <w:t>二、</w:t>
      </w:r>
      <w:r>
        <w:rPr>
          <w:rFonts w:hint="eastAsia" w:cs="Arial"/>
          <w:sz w:val="28"/>
          <w:szCs w:val="28"/>
        </w:rPr>
        <w:t>招标文件第4章技术、服务、商务要求及其他要求中加“</w:t>
      </w:r>
      <w:r>
        <w:rPr>
          <w:rFonts w:hint="eastAsia" w:cs="Arial"/>
          <w:sz w:val="28"/>
          <w:szCs w:val="28"/>
          <w:lang w:val="en-US" w:eastAsia="zh-CN"/>
        </w:rPr>
        <w:t>*</w:t>
      </w:r>
      <w:r>
        <w:rPr>
          <w:rFonts w:hint="eastAsia" w:cs="Arial"/>
          <w:sz w:val="28"/>
          <w:szCs w:val="28"/>
        </w:rPr>
        <w:t>”号的条款为招标文件的实质性要求。</w:t>
      </w:r>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评分办法</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rPr>
      </w:pPr>
      <w:r>
        <w:rPr>
          <w:rFonts w:hint="eastAsia" w:ascii="宋体" w:hAnsi="宋体"/>
          <w:sz w:val="28"/>
          <w:szCs w:val="28"/>
        </w:rPr>
        <w:t>本次评标采用</w:t>
      </w:r>
      <w:r>
        <w:rPr>
          <w:rFonts w:hint="eastAsia" w:ascii="宋体" w:hAnsi="宋体"/>
          <w:b/>
          <w:sz w:val="28"/>
          <w:szCs w:val="28"/>
        </w:rPr>
        <w:t>最低评标价法</w:t>
      </w:r>
      <w:r>
        <w:rPr>
          <w:rFonts w:hint="eastAsia" w:ascii="宋体" w:hAnsi="宋体"/>
          <w:sz w:val="28"/>
          <w:szCs w:val="28"/>
        </w:rPr>
        <w:t>。</w:t>
      </w:r>
      <w:r>
        <w:rPr>
          <w:rFonts w:hint="eastAsia" w:ascii="Helvetica" w:hAnsi="Helvetica" w:cs="Helvetica"/>
          <w:kern w:val="0"/>
          <w:sz w:val="28"/>
          <w:szCs w:val="28"/>
        </w:rPr>
        <w:t>投标文件满足招标文件全部实质性要求且投标报价最低的投标人为排名第一的中标候选人。</w:t>
      </w:r>
    </w:p>
    <w:p>
      <w:pPr>
        <w:keepNext/>
        <w:keepLines/>
        <w:pageBreakBefore w:val="0"/>
        <w:widowControl w:val="0"/>
        <w:numPr>
          <w:ilvl w:val="1"/>
          <w:numId w:val="3"/>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3" w:name="_Toc18373"/>
      <w:r>
        <w:rPr>
          <w:rFonts w:hint="eastAsia" w:ascii="宋体" w:hAnsi="宋体"/>
          <w:b/>
          <w:bCs/>
          <w:sz w:val="28"/>
          <w:szCs w:val="28"/>
        </w:rPr>
        <w:t>废标</w:t>
      </w:r>
      <w:bookmarkEnd w:id="173"/>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本次政府采购活动中，出现下列情形之一的，予以废标：</w:t>
      </w:r>
    </w:p>
    <w:p>
      <w:pPr>
        <w:pageBreakBefore w:val="0"/>
        <w:widowControl w:val="0"/>
        <w:numPr>
          <w:ilvl w:val="0"/>
          <w:numId w:val="7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符合专业条件的投标人或者对招标文件作实质响应的投标人不足三家的；</w:t>
      </w:r>
    </w:p>
    <w:p>
      <w:pPr>
        <w:pageBreakBefore w:val="0"/>
        <w:widowControl w:val="0"/>
        <w:numPr>
          <w:ilvl w:val="0"/>
          <w:numId w:val="7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出现影响采购公正的违法、违规行为的；</w:t>
      </w:r>
    </w:p>
    <w:p>
      <w:pPr>
        <w:pageBreakBefore w:val="0"/>
        <w:widowControl w:val="0"/>
        <w:numPr>
          <w:ilvl w:val="0"/>
          <w:numId w:val="7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投标人的报价均超过了采购预算，采购人不能支付的；</w:t>
      </w:r>
    </w:p>
    <w:p>
      <w:pPr>
        <w:pageBreakBefore w:val="0"/>
        <w:widowControl w:val="0"/>
        <w:numPr>
          <w:ilvl w:val="0"/>
          <w:numId w:val="7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因重大变故，采购任务取消的；</w:t>
      </w:r>
    </w:p>
    <w:p>
      <w:pPr>
        <w:pageBreakBefore w:val="0"/>
        <w:widowControl w:val="0"/>
        <w:numPr>
          <w:ilvl w:val="0"/>
          <w:numId w:val="7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废标后，区公资交易中心将在“四川政府采购网”和“成都市公共资源交易服务中心”网站上公告。</w:t>
      </w:r>
    </w:p>
    <w:p>
      <w:pPr>
        <w:keepNext/>
        <w:keepLines/>
        <w:pageBreakBefore w:val="0"/>
        <w:widowControl w:val="0"/>
        <w:numPr>
          <w:ilvl w:val="1"/>
          <w:numId w:val="3"/>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4" w:name="_Toc25625"/>
      <w:r>
        <w:rPr>
          <w:rFonts w:hint="eastAsia" w:ascii="宋体" w:hAnsi="宋体"/>
          <w:b/>
          <w:bCs/>
          <w:sz w:val="28"/>
          <w:szCs w:val="28"/>
        </w:rPr>
        <w:t>定标</w:t>
      </w:r>
      <w:bookmarkEnd w:id="174"/>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定标原则</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w:t>
      </w:r>
      <w:r>
        <w:rPr>
          <w:rFonts w:hint="eastAsia" w:ascii="宋体"/>
          <w:sz w:val="28"/>
          <w:szCs w:val="28"/>
        </w:rPr>
        <w:t>由采购人采取随机抽取的方式确定中标人</w:t>
      </w:r>
      <w:r>
        <w:rPr>
          <w:rFonts w:hint="eastAsia" w:ascii="宋体" w:hAnsi="宋体"/>
          <w:sz w:val="28"/>
          <w:szCs w:val="28"/>
        </w:rPr>
        <w:t>。</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cs="Helvetica" w:asciiTheme="minorEastAsia" w:hAnsiTheme="minorEastAsia" w:eastAsiaTheme="minorEastAsia"/>
          <w:kern w:val="0"/>
          <w:sz w:val="28"/>
          <w:szCs w:val="28"/>
        </w:rPr>
        <w:t>采购人在收到评标报告</w:t>
      </w:r>
      <w:r>
        <w:rPr>
          <w:rFonts w:hint="eastAsia" w:cs="宋体" w:asciiTheme="minorEastAsia" w:hAnsiTheme="minorEastAsia" w:eastAsiaTheme="minorEastAsia"/>
          <w:kern w:val="0"/>
          <w:sz w:val="28"/>
          <w:szCs w:val="28"/>
        </w:rPr>
        <w:t>5</w:t>
      </w:r>
      <w:r>
        <w:rPr>
          <w:rFonts w:hint="eastAsia" w:cs="Helvetica" w:asciiTheme="minorEastAsia" w:hAnsiTheme="minorEastAsia" w:eastAsiaTheme="minorEastAsia"/>
          <w:kern w:val="0"/>
          <w:sz w:val="28"/>
          <w:szCs w:val="28"/>
        </w:rPr>
        <w:t>个工作日内未按评标报告推荐的中标候选人顺序确定中标人，又不能说明合法理由的，视同按评标报告推荐的顺序确定排名第一的中标候选人为中标人。</w:t>
      </w:r>
    </w:p>
    <w:p>
      <w:pPr>
        <w:keepNext/>
        <w:keepLines/>
        <w:pageBreakBefore w:val="0"/>
        <w:widowControl w:val="0"/>
        <w:numPr>
          <w:ilvl w:val="2"/>
          <w:numId w:val="3"/>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定标程序</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一、评审委员会将评审情况写出书面报告。</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二、区公资交易中心在评审结束之日起2个工作日内将评审报告送采购人。</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中标供应商前，应到中国裁判文书网（https://wenshu.court.gov.cn）查询中标候选供应商及其现任法定代表人、主要负责人是否存在行贿犯罪记录。</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四、根据采购人确定的中标（成交）人，区公资交易中心在“四川政府采购网”和“成都市公共资源交易服务中心”网站上发布中标（成交）公告，同时向中标（成交）人发出中标（成交）通知书。</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五、采购人、区公资交易中心不解释中标（成交）或未中标（成交）原因，不退回投标文件和其他投标资料。</w:t>
      </w:r>
    </w:p>
    <w:p>
      <w:pPr>
        <w:keepNext/>
        <w:keepLines/>
        <w:pageBreakBefore w:val="0"/>
        <w:widowControl w:val="0"/>
        <w:numPr>
          <w:ilvl w:val="1"/>
          <w:numId w:val="3"/>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5" w:name="_Toc30615"/>
      <w:r>
        <w:rPr>
          <w:rFonts w:hint="eastAsia" w:ascii="宋体" w:hAnsi="宋体"/>
          <w:b/>
          <w:bCs/>
          <w:sz w:val="28"/>
          <w:szCs w:val="28"/>
        </w:rPr>
        <w:t>评标专家在政府采购活动中承担以下义务</w:t>
      </w:r>
      <w:bookmarkEnd w:id="175"/>
    </w:p>
    <w:p>
      <w:pPr>
        <w:pageBreakBefore w:val="0"/>
        <w:widowControl w:val="0"/>
        <w:numPr>
          <w:ilvl w:val="0"/>
          <w:numId w:val="7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遵纪守法，客观、公正、廉洁地履行职责。</w:t>
      </w:r>
    </w:p>
    <w:p>
      <w:pPr>
        <w:pageBreakBefore w:val="0"/>
        <w:widowControl w:val="0"/>
        <w:numPr>
          <w:ilvl w:val="0"/>
          <w:numId w:val="7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pageBreakBefore w:val="0"/>
        <w:widowControl w:val="0"/>
        <w:numPr>
          <w:ilvl w:val="0"/>
          <w:numId w:val="7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pageBreakBefore w:val="0"/>
        <w:widowControl w:val="0"/>
        <w:numPr>
          <w:ilvl w:val="0"/>
          <w:numId w:val="7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pageBreakBefore w:val="0"/>
        <w:widowControl w:val="0"/>
        <w:numPr>
          <w:ilvl w:val="0"/>
          <w:numId w:val="7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发现采购人、区公资交易中心及其工作人员在政府采购活动中有干预评审、发表倾向性和歧视性言论、受贿或者接受投标人的其他好处及其他违法违规行为，及时向财政部门报告。</w:t>
      </w:r>
    </w:p>
    <w:p>
      <w:pPr>
        <w:pageBreakBefore w:val="0"/>
        <w:widowControl w:val="0"/>
        <w:numPr>
          <w:ilvl w:val="0"/>
          <w:numId w:val="7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解答有关方面对政府采购评审工作中有关问题的询问，配合采购人或者区公资交易中心答复投标人的询问、质疑，配合财政部门的投诉处理工作等事宜。</w:t>
      </w:r>
    </w:p>
    <w:p>
      <w:pPr>
        <w:pageBreakBefore w:val="0"/>
        <w:widowControl w:val="0"/>
        <w:numPr>
          <w:ilvl w:val="0"/>
          <w:numId w:val="7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法律、法规和规章规定的其他义务。</w:t>
      </w:r>
    </w:p>
    <w:p>
      <w:pPr>
        <w:keepNext/>
        <w:keepLines/>
        <w:pageBreakBefore w:val="0"/>
        <w:widowControl w:val="0"/>
        <w:numPr>
          <w:ilvl w:val="1"/>
          <w:numId w:val="3"/>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6" w:name="_Toc20891"/>
      <w:r>
        <w:rPr>
          <w:rFonts w:hint="eastAsia" w:ascii="宋体" w:hAnsi="宋体"/>
          <w:b/>
          <w:bCs/>
          <w:sz w:val="28"/>
          <w:szCs w:val="28"/>
        </w:rPr>
        <w:t>评标委员会及其成员不得有下列行为</w:t>
      </w:r>
      <w:bookmarkEnd w:id="176"/>
    </w:p>
    <w:p>
      <w:pPr>
        <w:pageBreakBefore w:val="0"/>
        <w:widowControl w:val="0"/>
        <w:numPr>
          <w:ilvl w:val="0"/>
          <w:numId w:val="7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确定参与评标至评标结束前私自接触投标人；</w:t>
      </w:r>
    </w:p>
    <w:p>
      <w:pPr>
        <w:pageBreakBefore w:val="0"/>
        <w:widowControl w:val="0"/>
        <w:numPr>
          <w:ilvl w:val="0"/>
          <w:numId w:val="76"/>
        </w:numPr>
        <w:tabs>
          <w:tab w:val="left" w:pos="1155"/>
        </w:tabs>
        <w:kinsoku/>
        <w:wordWrap/>
        <w:overflowPunct/>
        <w:topLinePunct w:val="0"/>
        <w:autoSpaceDE/>
        <w:autoSpaceDN/>
        <w:bidi w:val="0"/>
        <w:adjustRightInd/>
        <w:snapToGrid/>
        <w:spacing w:line="360" w:lineRule="auto"/>
        <w:ind w:left="0" w:firstLine="567"/>
        <w:textAlignment w:val="auto"/>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pageBreakBefore w:val="0"/>
        <w:widowControl w:val="0"/>
        <w:numPr>
          <w:ilvl w:val="0"/>
          <w:numId w:val="76"/>
        </w:numPr>
        <w:tabs>
          <w:tab w:val="left" w:pos="1155"/>
        </w:tabs>
        <w:kinsoku/>
        <w:wordWrap/>
        <w:overflowPunct/>
        <w:topLinePunct w:val="0"/>
        <w:autoSpaceDE/>
        <w:autoSpaceDN/>
        <w:bidi w:val="0"/>
        <w:adjustRightInd/>
        <w:snapToGrid/>
        <w:spacing w:line="360" w:lineRule="auto"/>
        <w:ind w:left="0" w:firstLine="567"/>
        <w:textAlignment w:val="auto"/>
        <w:rPr>
          <w:rFonts w:ascii="宋体" w:hAnsi="宋体"/>
          <w:sz w:val="28"/>
          <w:szCs w:val="28"/>
        </w:rPr>
      </w:pPr>
      <w:r>
        <w:rPr>
          <w:rFonts w:hint="eastAsia" w:ascii="宋体" w:hAnsi="宋体"/>
          <w:sz w:val="28"/>
          <w:szCs w:val="28"/>
        </w:rPr>
        <w:t>违反评标纪律发表倾向性意见或者征询采购人的倾向性意见；</w:t>
      </w:r>
    </w:p>
    <w:p>
      <w:pPr>
        <w:pageBreakBefore w:val="0"/>
        <w:widowControl w:val="0"/>
        <w:numPr>
          <w:ilvl w:val="0"/>
          <w:numId w:val="7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对需要专业判断的主观评审因素协商评分；</w:t>
      </w:r>
    </w:p>
    <w:p>
      <w:pPr>
        <w:pageBreakBefore w:val="0"/>
        <w:widowControl w:val="0"/>
        <w:numPr>
          <w:ilvl w:val="0"/>
          <w:numId w:val="7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在评标过程中擅离职守，影响评标程序正常进行的；</w:t>
      </w:r>
    </w:p>
    <w:p>
      <w:pPr>
        <w:pageBreakBefore w:val="0"/>
        <w:widowControl w:val="0"/>
        <w:numPr>
          <w:ilvl w:val="0"/>
          <w:numId w:val="7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记录、复制或者带走任何评标资料；</w:t>
      </w:r>
    </w:p>
    <w:p>
      <w:pPr>
        <w:pageBreakBefore w:val="0"/>
        <w:widowControl w:val="0"/>
        <w:numPr>
          <w:ilvl w:val="0"/>
          <w:numId w:val="7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其他不遵守评标纪律的行为。</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pageBreakBefore w:val="0"/>
        <w:widowControl w:val="0"/>
        <w:numPr>
          <w:ilvl w:val="1"/>
          <w:numId w:val="3"/>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7" w:name="_Toc23616"/>
      <w:r>
        <w:rPr>
          <w:rFonts w:hint="eastAsia" w:ascii="宋体" w:hAnsi="宋体"/>
          <w:b/>
          <w:bCs/>
          <w:sz w:val="28"/>
          <w:szCs w:val="28"/>
        </w:rPr>
        <w:t>评审专家在政府采购活动中应当遵守以下工作纪律</w:t>
      </w:r>
      <w:bookmarkEnd w:id="177"/>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应邀按时参加评审和咨询活动，遵守评标区管理规定。</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rPr>
        <w:t>区公资交易中心</w:t>
      </w:r>
      <w:r>
        <w:rPr>
          <w:rFonts w:hint="eastAsia" w:ascii="宋体" w:hAnsi="宋体"/>
          <w:sz w:val="28"/>
          <w:szCs w:val="28"/>
        </w:rPr>
        <w:t>，不得私自转托他人。</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rPr>
        <w:t>区公资交易中心</w:t>
      </w:r>
      <w:r>
        <w:rPr>
          <w:rFonts w:hint="eastAsia" w:ascii="宋体" w:hAnsi="宋体"/>
          <w:sz w:val="28"/>
          <w:szCs w:val="28"/>
        </w:rPr>
        <w:t>也可要求该评审专家回避。</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服从评标现场</w:t>
      </w:r>
      <w:r>
        <w:rPr>
          <w:rFonts w:hint="eastAsia" w:cs="Arial"/>
          <w:sz w:val="28"/>
          <w:szCs w:val="28"/>
        </w:rPr>
        <w:t>区公资交易中心</w:t>
      </w:r>
      <w:r>
        <w:rPr>
          <w:rFonts w:hint="eastAsia" w:ascii="宋体" w:hAnsi="宋体"/>
          <w:sz w:val="28"/>
          <w:szCs w:val="28"/>
        </w:rPr>
        <w:t>的现场秩序管理，接受评标现场监督人员的合法监督。</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pageBreakBefore w:val="0"/>
        <w:widowControl w:val="0"/>
        <w:numPr>
          <w:ilvl w:val="0"/>
          <w:numId w:val="7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pageBreakBefore w:val="0"/>
        <w:widowControl w:val="0"/>
        <w:numPr>
          <w:ilvl w:val="0"/>
          <w:numId w:val="77"/>
        </w:numPr>
        <w:tabs>
          <w:tab w:val="left" w:pos="1155"/>
          <w:tab w:val="left" w:pos="1276"/>
          <w:tab w:val="left" w:pos="1418"/>
        </w:tabs>
        <w:kinsoku/>
        <w:wordWrap/>
        <w:overflowPunct/>
        <w:topLinePunct w:val="0"/>
        <w:autoSpaceDE/>
        <w:autoSpaceDN/>
        <w:bidi w:val="0"/>
        <w:adjustRightInd/>
        <w:snapToGrid/>
        <w:spacing w:line="360" w:lineRule="auto"/>
        <w:ind w:left="527" w:firstLine="40"/>
        <w:textAlignment w:val="auto"/>
        <w:rPr>
          <w:rFonts w:ascii="宋体" w:hAnsi="宋体"/>
          <w:sz w:val="28"/>
          <w:szCs w:val="28"/>
        </w:rPr>
      </w:pPr>
      <w:r>
        <w:rPr>
          <w:rFonts w:hint="eastAsia" w:ascii="宋体" w:hAnsi="宋体"/>
          <w:sz w:val="28"/>
          <w:szCs w:val="28"/>
        </w:rPr>
        <w:t>有关部门（机构）制定的其他评审工作纪律。</w:t>
      </w: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bookmarkEnd w:id="154"/>
    <w:bookmarkEnd w:id="155"/>
    <w:p>
      <w:pPr>
        <w:keepNext/>
        <w:keepLines/>
        <w:numPr>
          <w:ilvl w:val="0"/>
          <w:numId w:val="3"/>
        </w:numPr>
        <w:spacing w:afterLines="100" w:line="400" w:lineRule="exact"/>
        <w:ind w:left="0" w:firstLine="0"/>
        <w:jc w:val="center"/>
        <w:outlineLvl w:val="0"/>
        <w:rPr>
          <w:rFonts w:ascii="宋体" w:hAnsi="宋体"/>
          <w:b/>
          <w:bCs/>
          <w:spacing w:val="-20"/>
          <w:kern w:val="44"/>
          <w:szCs w:val="32"/>
        </w:rPr>
      </w:pPr>
      <w:bookmarkStart w:id="178" w:name="_Toc12207"/>
      <w:r>
        <w:rPr>
          <w:rFonts w:hint="eastAsia" w:ascii="宋体" w:hAnsi="宋体"/>
          <w:b/>
          <w:bCs/>
          <w:spacing w:val="-20"/>
          <w:kern w:val="44"/>
          <w:sz w:val="32"/>
          <w:szCs w:val="32"/>
        </w:rPr>
        <w:t>拟签订合同</w:t>
      </w:r>
      <w:bookmarkEnd w:id="0"/>
      <w:bookmarkEnd w:id="1"/>
      <w:bookmarkEnd w:id="2"/>
      <w:bookmarkEnd w:id="3"/>
      <w:bookmarkStart w:id="179" w:name="_Toc316475755"/>
      <w:bookmarkEnd w:id="179"/>
      <w:bookmarkStart w:id="180" w:name="_Toc316475673"/>
      <w:bookmarkEnd w:id="180"/>
      <w:bookmarkStart w:id="181" w:name="_Toc316475670"/>
      <w:bookmarkEnd w:id="181"/>
      <w:bookmarkStart w:id="182" w:name="_Toc316475763"/>
      <w:bookmarkEnd w:id="182"/>
      <w:bookmarkStart w:id="183" w:name="_Toc277152522"/>
      <w:bookmarkEnd w:id="183"/>
      <w:bookmarkStart w:id="184" w:name="_Toc316475665"/>
      <w:bookmarkEnd w:id="184"/>
      <w:bookmarkStart w:id="185" w:name="_Toc316475754"/>
      <w:bookmarkEnd w:id="185"/>
      <w:bookmarkStart w:id="186" w:name="_Toc316475674"/>
      <w:bookmarkEnd w:id="186"/>
      <w:bookmarkStart w:id="187" w:name="_Toc316475759"/>
      <w:bookmarkEnd w:id="187"/>
      <w:bookmarkStart w:id="188" w:name="_Toc316475760"/>
      <w:bookmarkEnd w:id="188"/>
      <w:bookmarkStart w:id="189" w:name="_Toc316475761"/>
      <w:bookmarkEnd w:id="189"/>
      <w:bookmarkStart w:id="190" w:name="_Toc316475668"/>
      <w:bookmarkEnd w:id="190"/>
      <w:bookmarkStart w:id="191" w:name="_Toc316475753"/>
      <w:bookmarkEnd w:id="191"/>
      <w:bookmarkStart w:id="192" w:name="_Toc316475756"/>
      <w:bookmarkEnd w:id="192"/>
      <w:bookmarkStart w:id="193" w:name="_Toc316475764"/>
      <w:bookmarkEnd w:id="193"/>
      <w:bookmarkStart w:id="194" w:name="_Toc316475675"/>
      <w:bookmarkEnd w:id="194"/>
      <w:bookmarkStart w:id="195" w:name="_Toc316475757"/>
      <w:bookmarkEnd w:id="195"/>
      <w:bookmarkStart w:id="196" w:name="_Toc316475666"/>
      <w:bookmarkEnd w:id="196"/>
      <w:bookmarkStart w:id="197" w:name="_Toc316475752"/>
      <w:bookmarkEnd w:id="197"/>
      <w:bookmarkStart w:id="198" w:name="_Toc316475762"/>
      <w:bookmarkEnd w:id="198"/>
      <w:bookmarkStart w:id="199" w:name="_Toc316475669"/>
      <w:bookmarkEnd w:id="199"/>
      <w:bookmarkStart w:id="200" w:name="_Toc277152523"/>
      <w:bookmarkEnd w:id="200"/>
      <w:bookmarkStart w:id="201" w:name="_Toc316475664"/>
      <w:bookmarkEnd w:id="201"/>
      <w:bookmarkStart w:id="202" w:name="_Toc316475758"/>
      <w:bookmarkEnd w:id="202"/>
      <w:bookmarkStart w:id="203" w:name="_Toc316475751"/>
      <w:bookmarkEnd w:id="203"/>
      <w:bookmarkStart w:id="204" w:name="_Toc299975364"/>
      <w:bookmarkEnd w:id="204"/>
      <w:bookmarkStart w:id="205" w:name="_Toc316475676"/>
      <w:bookmarkEnd w:id="205"/>
      <w:bookmarkStart w:id="206" w:name="_Toc214858832"/>
      <w:bookmarkEnd w:id="206"/>
      <w:bookmarkStart w:id="207" w:name="_Toc277152521"/>
      <w:bookmarkEnd w:id="207"/>
      <w:bookmarkStart w:id="208" w:name="_Toc299975392"/>
      <w:bookmarkEnd w:id="208"/>
      <w:bookmarkStart w:id="209" w:name="_Toc316475667"/>
      <w:bookmarkEnd w:id="209"/>
      <w:bookmarkStart w:id="210" w:name="_Toc277152520"/>
      <w:bookmarkEnd w:id="210"/>
      <w:bookmarkStart w:id="211" w:name="_Toc316475677"/>
      <w:bookmarkEnd w:id="211"/>
      <w:bookmarkStart w:id="212" w:name="_Toc316475671"/>
      <w:bookmarkEnd w:id="212"/>
      <w:bookmarkStart w:id="213" w:name="_Toc316475672"/>
      <w:bookmarkEnd w:id="213"/>
      <w:bookmarkStart w:id="214" w:name="_Toc217446108"/>
      <w:bookmarkStart w:id="215" w:name="_Toc8573798"/>
      <w:bookmarkStart w:id="216" w:name="_Toc34729074"/>
      <w:r>
        <w:rPr>
          <w:rFonts w:hint="eastAsia" w:ascii="宋体" w:hAnsi="宋体"/>
          <w:b/>
          <w:bCs/>
          <w:spacing w:val="-20"/>
          <w:kern w:val="44"/>
          <w:sz w:val="32"/>
          <w:szCs w:val="32"/>
        </w:rPr>
        <w:t>文本</w:t>
      </w:r>
      <w:bookmarkEnd w:id="178"/>
    </w:p>
    <w:p>
      <w:pPr>
        <w:spacing w:afterLines="50" w:line="460" w:lineRule="exact"/>
        <w:jc w:val="center"/>
        <w:rPr>
          <w:rFonts w:ascii="宋体" w:hAnsi="宋体"/>
          <w:b/>
          <w:bCs/>
          <w:sz w:val="36"/>
          <w:szCs w:val="36"/>
        </w:rPr>
      </w:pPr>
      <w:r>
        <w:fldChar w:fldCharType="begin"/>
      </w:r>
      <w:r>
        <w:instrText xml:space="preserve"> HYPERLINK "https://www.zcygov.cn/proj-procurement/project-result-detail/5ec40d6c8d95f154" \t "https://www.zcygov.cn/project-center/self-project/_blank" </w:instrText>
      </w:r>
      <w:r>
        <w:fldChar w:fldCharType="separate"/>
      </w:r>
      <w:r>
        <w:rPr>
          <w:rFonts w:hint="eastAsia" w:ascii="宋体" w:hAnsi="宋体" w:cs="宋体"/>
          <w:b/>
          <w:bCs/>
          <w:sz w:val="26"/>
          <w:szCs w:val="26"/>
          <w:lang w:eastAsia="zh-CN"/>
        </w:rPr>
        <w:t>成都市双流区妇幼保健院二期业务楼第一批办公家具采购项目（第三次）</w:t>
      </w:r>
      <w:r>
        <w:rPr>
          <w:rFonts w:hint="eastAsia" w:ascii="宋体" w:hAnsi="宋体" w:cs="宋体"/>
          <w:b/>
          <w:bCs/>
          <w:sz w:val="26"/>
          <w:szCs w:val="26"/>
        </w:rPr>
        <w:fldChar w:fldCharType="end"/>
      </w:r>
      <w:r>
        <w:rPr>
          <w:rFonts w:hint="eastAsia" w:ascii="宋体" w:hAnsi="宋体" w:cs="宋体"/>
          <w:b/>
          <w:bCs/>
          <w:sz w:val="26"/>
          <w:szCs w:val="26"/>
        </w:rPr>
        <w:t>采购合同</w:t>
      </w:r>
    </w:p>
    <w:bookmarkEnd w:id="214"/>
    <w:bookmarkEnd w:id="215"/>
    <w:bookmarkEnd w:id="216"/>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合同编号：XXXX。</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签订地点：XXXX。</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签订时间：XXXX年XX月XX日</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 xml:space="preserve">采购人（甲方）：                              </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供应商（乙方）：</w:t>
      </w:r>
    </w:p>
    <w:p>
      <w:pPr>
        <w:pStyle w:val="2"/>
      </w:pP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560" w:firstLineChars="200"/>
        <w:textAlignment w:val="auto"/>
        <w:rPr>
          <w:rFonts w:ascii="仿宋" w:hAnsi="仿宋" w:eastAsia="仿宋" w:cs="仿宋"/>
          <w:color w:val="auto"/>
          <w:kern w:val="2"/>
          <w:sz w:val="28"/>
          <w:szCs w:val="28"/>
        </w:rPr>
      </w:pPr>
      <w:r>
        <w:rPr>
          <w:rFonts w:hint="eastAsia" w:ascii="仿宋" w:hAnsi="仿宋" w:eastAsia="仿宋" w:cs="仿宋"/>
          <w:color w:val="auto"/>
          <w:kern w:val="2"/>
          <w:sz w:val="28"/>
          <w:szCs w:val="28"/>
        </w:rPr>
        <w:t>根据《中华人民共和国政府采购法》、《中华人民共和国民法典》及</w:t>
      </w:r>
      <w:r>
        <w:rPr>
          <w:rFonts w:hint="eastAsia" w:ascii="仿宋" w:hAnsi="仿宋" w:eastAsia="仿宋" w:cs="仿宋"/>
          <w:color w:val="auto"/>
          <w:kern w:val="2"/>
          <w:sz w:val="28"/>
          <w:szCs w:val="28"/>
          <w:lang w:eastAsia="zh-CN"/>
        </w:rPr>
        <w:t>成都市双流区妇幼保健院二期业务楼第一批办公家具采购项目（第三次）</w:t>
      </w:r>
      <w:r>
        <w:rPr>
          <w:rFonts w:hint="eastAsia" w:ascii="仿宋" w:hAnsi="仿宋" w:eastAsia="仿宋" w:cs="仿宋"/>
          <w:color w:val="auto"/>
          <w:kern w:val="2"/>
          <w:sz w:val="28"/>
          <w:szCs w:val="28"/>
        </w:rPr>
        <w:t>（招标编号：</w:t>
      </w:r>
      <w:r>
        <w:rPr>
          <w:rFonts w:hint="eastAsia" w:ascii="仿宋" w:hAnsi="仿宋" w:eastAsia="仿宋" w:cs="仿宋"/>
          <w:color w:val="auto"/>
          <w:kern w:val="2"/>
          <w:sz w:val="28"/>
          <w:szCs w:val="28"/>
          <w:lang w:eastAsia="zh-CN"/>
        </w:rPr>
        <w:t>双流政采（2021）A0060号-1</w:t>
      </w:r>
      <w:r>
        <w:rPr>
          <w:rFonts w:hint="eastAsia" w:ascii="仿宋" w:hAnsi="仿宋" w:eastAsia="仿宋" w:cs="仿宋"/>
          <w:color w:val="auto"/>
          <w:kern w:val="2"/>
          <w:sz w:val="28"/>
          <w:szCs w:val="28"/>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一、合同货物</w:t>
      </w:r>
    </w:p>
    <w:tbl>
      <w:tblPr>
        <w:tblStyle w:val="43"/>
        <w:tblW w:w="9153" w:type="dxa"/>
        <w:tblInd w:w="-42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8"/>
        <w:gridCol w:w="1691"/>
        <w:gridCol w:w="626"/>
        <w:gridCol w:w="801"/>
        <w:gridCol w:w="1002"/>
        <w:gridCol w:w="1165"/>
        <w:gridCol w:w="1126"/>
        <w:gridCol w:w="9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1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货物品名</w:t>
            </w:r>
          </w:p>
        </w:tc>
        <w:tc>
          <w:tcPr>
            <w:tcW w:w="1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规格型号</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单位</w:t>
            </w:r>
          </w:p>
        </w:tc>
        <w:tc>
          <w:tcPr>
            <w:tcW w:w="8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数量</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单价</w:t>
            </w:r>
          </w:p>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（万元）</w:t>
            </w: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总价</w:t>
            </w:r>
          </w:p>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（万元）</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随机配件</w:t>
            </w: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r>
              <w:rPr>
                <w:rFonts w:hint="eastAsia" w:ascii="仿宋" w:hAnsi="仿宋" w:eastAsia="仿宋" w:cs="仿宋"/>
                <w:sz w:val="20"/>
                <w:szCs w:val="20"/>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电脑办公桌</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1400*700*750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张</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105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直型办公桌</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1400*700*1100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位</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48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多功能保险柜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430*380*340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个</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17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病区壁柜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5400*600*420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个</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餐桌</w:t>
            </w:r>
            <w:r>
              <w:rPr>
                <w:rFonts w:hint="eastAsia" w:ascii="仿宋" w:hAnsi="仿宋" w:eastAsia="仿宋" w:cs="仿宋"/>
                <w:sz w:val="20"/>
                <w:szCs w:val="20"/>
              </w:rPr>
              <w:br w:type="textWrapping"/>
            </w:r>
            <w:r>
              <w:rPr>
                <w:rFonts w:hint="eastAsia" w:ascii="仿宋" w:hAnsi="仿宋" w:eastAsia="仿宋" w:cs="仿宋"/>
                <w:sz w:val="20"/>
                <w:szCs w:val="20"/>
              </w:rPr>
              <w:t>生活区（1桌4椅）</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1200*600*750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套</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12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餐桌、配套椅子（配餐间可收放）</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1200*600*750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19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茶几</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1200*600*450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张</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12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各病区储物柜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FF0000"/>
                <w:kern w:val="2"/>
                <w:sz w:val="20"/>
                <w:szCs w:val="20"/>
                <w:lang w:val="en-US" w:eastAsia="zh-CN" w:bidi="ar-SA"/>
              </w:rPr>
            </w:pPr>
            <w:r>
              <w:rPr>
                <w:rFonts w:hint="eastAsia" w:ascii="仿宋" w:hAnsi="仿宋" w:eastAsia="仿宋" w:cs="仿宋"/>
                <w:sz w:val="20"/>
                <w:szCs w:val="20"/>
              </w:rPr>
              <w:t xml:space="preserve">三人房：2700*3300*600           双人房：3000*2800*600     儿科房：2000*2700*600     产房：3000*3000*600     手术室：3000*3000*600 </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个</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135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各病区库房储物架</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2000*2000*600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33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高低床</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1000*2000*1800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套</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59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更衣柜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900*550*1950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73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等侯椅（三人位）</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1800*750*890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100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护士站大理石桌子</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FF0000"/>
                <w:kern w:val="2"/>
                <w:sz w:val="20"/>
                <w:szCs w:val="20"/>
                <w:lang w:val="en-US" w:eastAsia="zh-CN" w:bidi="ar-SA"/>
              </w:rPr>
            </w:pPr>
            <w:r>
              <w:rPr>
                <w:rFonts w:hint="eastAsia" w:ascii="仿宋" w:hAnsi="仿宋" w:eastAsia="仿宋" w:cs="仿宋"/>
                <w:sz w:val="20"/>
                <w:szCs w:val="20"/>
              </w:rPr>
              <w:t>（800+5600）*700*1050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米</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50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靠背木椅</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常规</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把</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94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可移动简易书桌</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常规</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张</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32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配奶台</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1200*600*1800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张</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2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L组合型沙发</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3人位+单人位</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16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示教室椅</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常规</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把</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320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示教室桌子</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1400*400*750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张</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155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手术圆凳</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常规</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把</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44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踏脚凳</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常规</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把</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11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躺椅</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常规</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把</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2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调剂台</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1600*1500*1800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张</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4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文件柜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900*400*1800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72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五节档案柜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900*400*2020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物品柜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900*400*1800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4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鞋柜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1200*300*2000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12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鞋架</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1200*400*450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14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办公椅</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680*590*1010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把</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134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药架1（双面）</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920*975*2000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20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药架2（单向）</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920*510*2000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20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圆盘摆药架</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Φ920*2000*8层</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2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不锈钢鞋架</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800*350*1000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组</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手动有轨档案密集架</w:t>
            </w:r>
          </w:p>
        </w:tc>
        <w:tc>
          <w:tcPr>
            <w:tcW w:w="169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kern w:val="2"/>
                <w:sz w:val="20"/>
                <w:szCs w:val="20"/>
                <w:lang w:val="en-US" w:eastAsia="zh-CN" w:bidi="ar-SA"/>
              </w:rPr>
            </w:pPr>
            <w:r>
              <w:rPr>
                <w:rFonts w:hint="eastAsia" w:ascii="仿宋" w:hAnsi="仿宋" w:eastAsia="仿宋" w:cs="仿宋"/>
                <w:sz w:val="20"/>
                <w:szCs w:val="20"/>
              </w:rPr>
              <w:t>900*580*2500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立方米</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159.7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长条凳</w:t>
            </w:r>
          </w:p>
        </w:tc>
        <w:tc>
          <w:tcPr>
            <w:tcW w:w="169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1200*400*450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张</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4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独凳</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Φ330*450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sz w:val="20"/>
                <w:szCs w:val="20"/>
              </w:rPr>
              <w:t>把</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30 </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订制组合沙发</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1800*1800*460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36</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订制儿童沙发</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1600*3800*420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订制儿童沙发</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2000*650*650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2</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订制儿童沙发</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直径3600由8个拼接，配7人五边形座包</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订制儿童沙发</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1200*680*810</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个</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8</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828"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订制ICU操作台柜</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订制（高900/600*厚600*长度订制）</w:t>
            </w:r>
          </w:p>
        </w:tc>
        <w:tc>
          <w:tcPr>
            <w:tcW w:w="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5</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c>
          <w:tcPr>
            <w:tcW w:w="9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sz w:val="20"/>
                <w:szCs w:val="20"/>
              </w:rPr>
            </w:pP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二、合同总价</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合同总价为人民币大写：</w:t>
      </w:r>
      <w:r>
        <w:rPr>
          <w:rFonts w:hint="eastAsia" w:ascii="仿宋" w:hAnsi="仿宋" w:eastAsia="仿宋" w:cs="仿宋"/>
          <w:sz w:val="28"/>
          <w:szCs w:val="28"/>
          <w:u w:val="single"/>
        </w:rPr>
        <w:t xml:space="preserve">                </w:t>
      </w:r>
      <w:r>
        <w:rPr>
          <w:rFonts w:hint="eastAsia" w:ascii="仿宋" w:hAnsi="仿宋" w:eastAsia="仿宋" w:cs="仿宋"/>
          <w:sz w:val="28"/>
          <w:szCs w:val="28"/>
        </w:rPr>
        <w:t>元，即RMB￥</w:t>
      </w:r>
      <w:r>
        <w:rPr>
          <w:rFonts w:hint="eastAsia" w:ascii="仿宋" w:hAnsi="仿宋" w:eastAsia="仿宋" w:cs="仿宋"/>
          <w:sz w:val="28"/>
          <w:szCs w:val="28"/>
          <w:u w:val="single"/>
        </w:rPr>
        <w:t xml:space="preserve">        </w:t>
      </w:r>
      <w:r>
        <w:rPr>
          <w:rFonts w:hint="eastAsia" w:ascii="仿宋" w:hAnsi="仿宋" w:eastAsia="仿宋" w:cs="仿宋"/>
          <w:sz w:val="28"/>
          <w:szCs w:val="28"/>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keepNext w:val="0"/>
        <w:keepLines w:val="0"/>
        <w:pageBreakBefore w:val="0"/>
        <w:widowControl w:val="0"/>
        <w:kinsoku/>
        <w:wordWrap/>
        <w:overflowPunct/>
        <w:topLinePunct w:val="0"/>
        <w:autoSpaceDE/>
        <w:autoSpaceDN/>
        <w:bidi w:val="0"/>
        <w:adjustRightInd w:val="0"/>
        <w:snapToGrid w:val="0"/>
        <w:spacing w:line="440" w:lineRule="exac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三、质量</w:t>
      </w:r>
      <w:r>
        <w:rPr>
          <w:rFonts w:hint="eastAsia" w:ascii="仿宋" w:hAnsi="仿宋" w:eastAsia="仿宋" w:cs="仿宋"/>
          <w:b/>
          <w:bCs/>
          <w:sz w:val="28"/>
          <w:szCs w:val="28"/>
          <w:lang w:eastAsia="zh-CN"/>
        </w:rPr>
        <w:t>保证与安装调试</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一、</w:t>
      </w:r>
      <w:r>
        <w:rPr>
          <w:rFonts w:hint="eastAsia" w:ascii="仿宋" w:hAnsi="仿宋" w:eastAsia="仿宋" w:cs="仿宋"/>
          <w:sz w:val="28"/>
          <w:szCs w:val="28"/>
        </w:rPr>
        <w:t>投标人须提供全新的货物(含零部件、配件、使用说明书等)，表面无划伤、无碰撞痕迹，且权属清楚，不得侵害他人的知识产权。</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二、</w:t>
      </w:r>
      <w:r>
        <w:rPr>
          <w:rFonts w:hint="eastAsia" w:ascii="仿宋" w:hAnsi="仿宋" w:eastAsia="仿宋" w:cs="仿宋"/>
          <w:sz w:val="28"/>
          <w:szCs w:val="28"/>
        </w:rPr>
        <w:t>货物必须符合或优于国家标准，以及本项目招标文件及技术协议的质量要求和技术指标与出厂标准。</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三、</w:t>
      </w:r>
      <w:r>
        <w:rPr>
          <w:rFonts w:hint="eastAsia" w:ascii="仿宋" w:hAnsi="仿宋" w:eastAsia="仿宋" w:cs="仿宋"/>
          <w:sz w:val="28"/>
          <w:szCs w:val="28"/>
        </w:rPr>
        <w:t>设备安装调试完毕后，供货方应就设备的安装、调试、操作、维修、保养等对采购方维修技术人员及操作人员进行培训，直至采购</w:t>
      </w:r>
      <w:r>
        <w:rPr>
          <w:rFonts w:hint="eastAsia" w:ascii="仿宋" w:hAnsi="仿宋" w:eastAsia="仿宋" w:cs="仿宋"/>
          <w:sz w:val="28"/>
          <w:szCs w:val="28"/>
          <w:lang w:eastAsia="zh-CN"/>
        </w:rPr>
        <w:t>人</w:t>
      </w:r>
      <w:r>
        <w:rPr>
          <w:rFonts w:hint="eastAsia" w:ascii="仿宋" w:hAnsi="仿宋" w:eastAsia="仿宋" w:cs="仿宋"/>
          <w:sz w:val="28"/>
          <w:szCs w:val="28"/>
        </w:rPr>
        <w:t>的技术人员能独立操作，同时能完成一般常见故障的维修工作。所需费用</w:t>
      </w:r>
      <w:r>
        <w:rPr>
          <w:rFonts w:hint="eastAsia" w:ascii="仿宋" w:hAnsi="仿宋" w:eastAsia="仿宋" w:cs="仿宋"/>
          <w:sz w:val="28"/>
          <w:szCs w:val="28"/>
          <w:lang w:eastAsia="zh-CN"/>
        </w:rPr>
        <w:t>应</w:t>
      </w:r>
      <w:r>
        <w:rPr>
          <w:rFonts w:hint="eastAsia" w:ascii="仿宋" w:hAnsi="仿宋" w:eastAsia="仿宋" w:cs="仿宋"/>
          <w:sz w:val="28"/>
          <w:szCs w:val="28"/>
        </w:rPr>
        <w:t>包括在投标总价中。</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562" w:firstLineChars="20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四、售后服务要求</w:t>
      </w:r>
    </w:p>
    <w:p>
      <w:pPr>
        <w:keepNext w:val="0"/>
        <w:keepLines w:val="0"/>
        <w:pageBreakBefore w:val="0"/>
        <w:widowControl w:val="0"/>
        <w:numPr>
          <w:ilvl w:val="0"/>
          <w:numId w:val="78"/>
        </w:numPr>
        <w:kinsoku/>
        <w:wordWrap/>
        <w:overflowPunct/>
        <w:topLinePunct w:val="0"/>
        <w:autoSpaceDE/>
        <w:autoSpaceDN/>
        <w:bidi w:val="0"/>
        <w:adjustRightInd w:val="0"/>
        <w:snapToGrid w:val="0"/>
        <w:spacing w:line="44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质保期从验收合格之日起开始计算</w:t>
      </w:r>
      <w:r>
        <w:rPr>
          <w:rFonts w:hint="eastAsia" w:ascii="仿宋" w:hAnsi="仿宋" w:eastAsia="仿宋" w:cs="仿宋"/>
          <w:sz w:val="28"/>
          <w:szCs w:val="28"/>
          <w:lang w:eastAsia="zh-CN"/>
        </w:rPr>
        <w:t>为</w:t>
      </w:r>
      <w:r>
        <w:rPr>
          <w:rFonts w:hint="eastAsia" w:ascii="仿宋" w:hAnsi="仿宋" w:eastAsia="仿宋" w:cs="仿宋"/>
          <w:sz w:val="28"/>
          <w:szCs w:val="28"/>
          <w:lang w:val="en-US" w:eastAsia="zh-CN"/>
        </w:rPr>
        <w:t>5</w:t>
      </w:r>
      <w:r>
        <w:rPr>
          <w:rFonts w:hint="eastAsia" w:ascii="仿宋" w:hAnsi="仿宋" w:eastAsia="仿宋" w:cs="仿宋"/>
          <w:sz w:val="28"/>
          <w:szCs w:val="28"/>
        </w:rPr>
        <w:t>年。免费提供上门安装、保修服务，同一产品因同一质量问题</w:t>
      </w:r>
      <w:r>
        <w:rPr>
          <w:rFonts w:hint="eastAsia" w:ascii="仿宋" w:hAnsi="仿宋" w:eastAsia="仿宋" w:cs="仿宋"/>
          <w:sz w:val="28"/>
          <w:szCs w:val="28"/>
          <w:lang w:val="en-US" w:eastAsia="zh-CN"/>
        </w:rPr>
        <w:t>3</w:t>
      </w:r>
      <w:r>
        <w:rPr>
          <w:rFonts w:hint="eastAsia" w:ascii="仿宋" w:hAnsi="仿宋" w:eastAsia="仿宋" w:cs="仿宋"/>
          <w:sz w:val="28"/>
          <w:szCs w:val="28"/>
        </w:rPr>
        <w:t>次维修仍无法正常使用，</w:t>
      </w:r>
      <w:r>
        <w:rPr>
          <w:rFonts w:hint="eastAsia" w:ascii="仿宋" w:hAnsi="仿宋" w:eastAsia="仿宋" w:cs="仿宋"/>
          <w:sz w:val="28"/>
          <w:szCs w:val="28"/>
          <w:lang w:eastAsia="zh-CN"/>
        </w:rPr>
        <w:t>采购人</w:t>
      </w:r>
      <w:r>
        <w:rPr>
          <w:rFonts w:hint="eastAsia" w:ascii="仿宋" w:hAnsi="仿宋" w:eastAsia="仿宋" w:cs="仿宋"/>
          <w:sz w:val="28"/>
          <w:szCs w:val="28"/>
        </w:rPr>
        <w:t>有权要求</w:t>
      </w:r>
      <w:r>
        <w:rPr>
          <w:rFonts w:hint="eastAsia" w:ascii="仿宋" w:hAnsi="仿宋" w:eastAsia="仿宋" w:cs="仿宋"/>
          <w:sz w:val="28"/>
          <w:szCs w:val="28"/>
          <w:lang w:eastAsia="zh-CN"/>
        </w:rPr>
        <w:t>中标供应商</w:t>
      </w:r>
      <w:r>
        <w:rPr>
          <w:rFonts w:hint="eastAsia" w:ascii="仿宋" w:hAnsi="仿宋" w:eastAsia="仿宋" w:cs="仿宋"/>
          <w:sz w:val="28"/>
          <w:szCs w:val="28"/>
        </w:rPr>
        <w:t>于5工作日内免费更换新产品。</w:t>
      </w:r>
    </w:p>
    <w:p>
      <w:pPr>
        <w:keepNext w:val="0"/>
        <w:keepLines w:val="0"/>
        <w:pageBreakBefore w:val="0"/>
        <w:widowControl w:val="0"/>
        <w:numPr>
          <w:ilvl w:val="0"/>
          <w:numId w:val="78"/>
        </w:numPr>
        <w:kinsoku/>
        <w:wordWrap/>
        <w:overflowPunct/>
        <w:topLinePunct w:val="0"/>
        <w:autoSpaceDE/>
        <w:autoSpaceDN/>
        <w:bidi w:val="0"/>
        <w:adjustRightInd w:val="0"/>
        <w:snapToGrid w:val="0"/>
        <w:spacing w:line="44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中标供应商</w:t>
      </w:r>
      <w:r>
        <w:rPr>
          <w:rFonts w:hint="eastAsia" w:ascii="仿宋" w:hAnsi="仿宋" w:eastAsia="仿宋" w:cs="仿宋"/>
          <w:sz w:val="28"/>
          <w:szCs w:val="28"/>
        </w:rPr>
        <w:t>接到</w:t>
      </w:r>
      <w:r>
        <w:rPr>
          <w:rFonts w:hint="eastAsia" w:ascii="仿宋" w:hAnsi="仿宋" w:eastAsia="仿宋" w:cs="仿宋"/>
          <w:sz w:val="28"/>
          <w:szCs w:val="28"/>
          <w:lang w:eastAsia="zh-CN"/>
        </w:rPr>
        <w:t>采购人</w:t>
      </w:r>
      <w:r>
        <w:rPr>
          <w:rFonts w:hint="eastAsia" w:ascii="仿宋" w:hAnsi="仿宋" w:eastAsia="仿宋" w:cs="仿宋"/>
          <w:sz w:val="28"/>
          <w:szCs w:val="28"/>
        </w:rPr>
        <w:t>维修通知后，须</w:t>
      </w:r>
      <w:r>
        <w:rPr>
          <w:rFonts w:hint="eastAsia" w:ascii="仿宋" w:hAnsi="仿宋" w:eastAsia="仿宋" w:cs="仿宋"/>
          <w:sz w:val="28"/>
          <w:szCs w:val="28"/>
          <w:lang w:eastAsia="zh-CN"/>
        </w:rPr>
        <w:t>半</w:t>
      </w:r>
      <w:r>
        <w:rPr>
          <w:rFonts w:hint="eastAsia" w:ascii="仿宋" w:hAnsi="仿宋" w:eastAsia="仿宋" w:cs="仿宋"/>
          <w:sz w:val="28"/>
          <w:szCs w:val="28"/>
        </w:rPr>
        <w:t>小时内响应，在4小时内到现场，对货物进行维修或更换并承担修理调换的费用，且不能以差旅、住宿等理由要求</w:t>
      </w:r>
      <w:r>
        <w:rPr>
          <w:rFonts w:hint="eastAsia" w:ascii="仿宋" w:hAnsi="仿宋" w:eastAsia="仿宋" w:cs="仿宋"/>
          <w:sz w:val="28"/>
          <w:szCs w:val="28"/>
          <w:lang w:eastAsia="zh-CN"/>
        </w:rPr>
        <w:t>采购人</w:t>
      </w:r>
      <w:r>
        <w:rPr>
          <w:rFonts w:hint="eastAsia" w:ascii="仿宋" w:hAnsi="仿宋" w:eastAsia="仿宋" w:cs="仿宋"/>
          <w:sz w:val="28"/>
          <w:szCs w:val="28"/>
        </w:rPr>
        <w:t>支付其他任何费用。如因特殊原因导致不能现场完成维修或更换的，</w:t>
      </w:r>
      <w:r>
        <w:rPr>
          <w:rFonts w:hint="eastAsia" w:ascii="仿宋" w:hAnsi="仿宋" w:eastAsia="仿宋" w:cs="仿宋"/>
          <w:sz w:val="28"/>
          <w:szCs w:val="28"/>
          <w:lang w:eastAsia="zh-CN"/>
        </w:rPr>
        <w:t>中标供应商</w:t>
      </w:r>
      <w:r>
        <w:rPr>
          <w:rFonts w:hint="eastAsia" w:ascii="仿宋" w:hAnsi="仿宋" w:eastAsia="仿宋" w:cs="仿宋"/>
          <w:sz w:val="28"/>
          <w:szCs w:val="28"/>
        </w:rPr>
        <w:t>最迟应于1个工作日内完成维修或更换。如</w:t>
      </w:r>
      <w:r>
        <w:rPr>
          <w:rFonts w:hint="eastAsia" w:ascii="仿宋" w:hAnsi="仿宋" w:eastAsia="仿宋" w:cs="仿宋"/>
          <w:sz w:val="28"/>
          <w:szCs w:val="28"/>
          <w:lang w:eastAsia="zh-CN"/>
        </w:rPr>
        <w:t>中标供应商</w:t>
      </w:r>
      <w:r>
        <w:rPr>
          <w:rFonts w:hint="eastAsia" w:ascii="仿宋" w:hAnsi="仿宋" w:eastAsia="仿宋" w:cs="仿宋"/>
          <w:sz w:val="28"/>
          <w:szCs w:val="28"/>
        </w:rPr>
        <w:t>未在前述期限内到场或未在前述期限内完成维修或更换的，</w:t>
      </w:r>
      <w:r>
        <w:rPr>
          <w:rFonts w:hint="eastAsia" w:ascii="仿宋" w:hAnsi="仿宋" w:eastAsia="仿宋" w:cs="仿宋"/>
          <w:sz w:val="28"/>
          <w:szCs w:val="28"/>
          <w:lang w:eastAsia="zh-CN"/>
        </w:rPr>
        <w:t>采购人</w:t>
      </w:r>
      <w:r>
        <w:rPr>
          <w:rFonts w:hint="eastAsia" w:ascii="仿宋" w:hAnsi="仿宋" w:eastAsia="仿宋" w:cs="仿宋"/>
          <w:sz w:val="28"/>
          <w:szCs w:val="28"/>
        </w:rPr>
        <w:t>有权另行委托任何第三方进行维修或更换，由此产生的费用均由</w:t>
      </w:r>
      <w:r>
        <w:rPr>
          <w:rFonts w:hint="eastAsia" w:ascii="仿宋" w:hAnsi="仿宋" w:eastAsia="仿宋" w:cs="仿宋"/>
          <w:sz w:val="28"/>
          <w:szCs w:val="28"/>
          <w:lang w:eastAsia="zh-CN"/>
        </w:rPr>
        <w:t>中标供应商</w:t>
      </w:r>
      <w:r>
        <w:rPr>
          <w:rFonts w:hint="eastAsia" w:ascii="仿宋" w:hAnsi="仿宋" w:eastAsia="仿宋" w:cs="仿宋"/>
          <w:sz w:val="28"/>
          <w:szCs w:val="28"/>
        </w:rPr>
        <w:t>承担，且</w:t>
      </w:r>
      <w:r>
        <w:rPr>
          <w:rFonts w:hint="eastAsia" w:ascii="仿宋" w:hAnsi="仿宋" w:eastAsia="仿宋" w:cs="仿宋"/>
          <w:sz w:val="28"/>
          <w:szCs w:val="28"/>
          <w:lang w:eastAsia="zh-CN"/>
        </w:rPr>
        <w:t>采购人</w:t>
      </w:r>
      <w:r>
        <w:rPr>
          <w:rFonts w:hint="eastAsia" w:ascii="仿宋" w:hAnsi="仿宋" w:eastAsia="仿宋" w:cs="仿宋"/>
          <w:sz w:val="28"/>
          <w:szCs w:val="28"/>
        </w:rPr>
        <w:t>有权要求</w:t>
      </w:r>
      <w:r>
        <w:rPr>
          <w:rFonts w:hint="eastAsia" w:ascii="仿宋" w:hAnsi="仿宋" w:eastAsia="仿宋" w:cs="仿宋"/>
          <w:sz w:val="28"/>
          <w:szCs w:val="28"/>
          <w:lang w:eastAsia="zh-CN"/>
        </w:rPr>
        <w:t>中标供应商</w:t>
      </w:r>
      <w:r>
        <w:rPr>
          <w:rFonts w:hint="eastAsia" w:ascii="仿宋" w:hAnsi="仿宋" w:eastAsia="仿宋" w:cs="仿宋"/>
          <w:sz w:val="28"/>
          <w:szCs w:val="28"/>
        </w:rPr>
        <w:t>按照200元</w:t>
      </w:r>
      <w:r>
        <w:rPr>
          <w:rFonts w:hint="eastAsia" w:ascii="仿宋" w:hAnsi="仿宋" w:eastAsia="仿宋" w:cs="仿宋"/>
          <w:sz w:val="28"/>
          <w:szCs w:val="28"/>
          <w:lang w:val="en-US" w:eastAsia="zh-CN"/>
        </w:rPr>
        <w:t>/</w:t>
      </w:r>
      <w:r>
        <w:rPr>
          <w:rFonts w:hint="eastAsia" w:ascii="仿宋" w:hAnsi="仿宋" w:eastAsia="仿宋" w:cs="仿宋"/>
          <w:sz w:val="28"/>
          <w:szCs w:val="28"/>
        </w:rPr>
        <w:t>次的标准支付违约金。</w:t>
      </w:r>
    </w:p>
    <w:p>
      <w:pPr>
        <w:keepNext w:val="0"/>
        <w:keepLines w:val="0"/>
        <w:pageBreakBefore w:val="0"/>
        <w:widowControl w:val="0"/>
        <w:numPr>
          <w:ilvl w:val="0"/>
          <w:numId w:val="78"/>
        </w:numPr>
        <w:kinsoku/>
        <w:wordWrap/>
        <w:overflowPunct/>
        <w:topLinePunct w:val="0"/>
        <w:autoSpaceDE/>
        <w:autoSpaceDN/>
        <w:bidi w:val="0"/>
        <w:adjustRightInd w:val="0"/>
        <w:snapToGrid w:val="0"/>
        <w:spacing w:line="440" w:lineRule="exact"/>
        <w:ind w:left="0" w:leftChars="0" w:firstLine="560" w:firstLineChars="200"/>
        <w:textAlignment w:val="auto"/>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质保期外产品的更换、维修只收取成本费，免收人工技术费用。</w:t>
      </w:r>
    </w:p>
    <w:p>
      <w:pPr>
        <w:keepNext w:val="0"/>
        <w:keepLines w:val="0"/>
        <w:pageBreakBefore w:val="0"/>
        <w:widowControl w:val="0"/>
        <w:numPr>
          <w:ilvl w:val="0"/>
          <w:numId w:val="78"/>
        </w:numPr>
        <w:kinsoku/>
        <w:wordWrap/>
        <w:overflowPunct/>
        <w:topLinePunct w:val="0"/>
        <w:autoSpaceDE/>
        <w:autoSpaceDN/>
        <w:bidi w:val="0"/>
        <w:adjustRightInd w:val="0"/>
        <w:snapToGrid w:val="0"/>
        <w:spacing w:line="440" w:lineRule="exact"/>
        <w:ind w:left="0" w:leftChars="0" w:firstLine="560" w:firstLineChars="20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供应商须指派专人负责与采购人联系售后服务事宜</w:t>
      </w:r>
      <w:r>
        <w:rPr>
          <w:rFonts w:hint="eastAsia" w:ascii="仿宋" w:hAnsi="仿宋" w:eastAsia="仿宋" w:cs="仿宋"/>
          <w:sz w:val="28"/>
          <w:szCs w:val="28"/>
          <w:lang w:val="en-US" w:eastAsia="zh-CN"/>
        </w:rPr>
        <w:t>（提供承诺函，格式自拟）</w:t>
      </w:r>
      <w:r>
        <w:rPr>
          <w:rFonts w:hint="eastAsia" w:ascii="仿宋" w:hAnsi="仿宋" w:eastAsia="仿宋" w:cs="仿宋"/>
          <w:sz w:val="28"/>
          <w:szCs w:val="28"/>
          <w:lang w:val="zh-CN"/>
        </w:rPr>
        <w:t>。如供应商售后联系人或联系方式发生变更，应在变更前3日内书面通知采购人，否则视为未作变更，原约定的联系信息仍为有效的信息，由此产生的不利后果均由供应商承担。</w:t>
      </w:r>
    </w:p>
    <w:p>
      <w:pPr>
        <w:keepNext w:val="0"/>
        <w:keepLines w:val="0"/>
        <w:pageBreakBefore w:val="0"/>
        <w:widowControl w:val="0"/>
        <w:numPr>
          <w:ilvl w:val="0"/>
          <w:numId w:val="78"/>
        </w:numPr>
        <w:kinsoku/>
        <w:wordWrap/>
        <w:overflowPunct/>
        <w:topLinePunct w:val="0"/>
        <w:autoSpaceDE/>
        <w:autoSpaceDN/>
        <w:bidi w:val="0"/>
        <w:adjustRightInd w:val="0"/>
        <w:snapToGrid w:val="0"/>
        <w:spacing w:line="440" w:lineRule="exact"/>
        <w:ind w:left="0"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因质量问题发生争议,由</w:t>
      </w:r>
      <w:r>
        <w:rPr>
          <w:rFonts w:hint="eastAsia" w:ascii="仿宋" w:hAnsi="仿宋" w:eastAsia="仿宋" w:cs="仿宋"/>
          <w:sz w:val="28"/>
          <w:szCs w:val="28"/>
          <w:lang w:val="en-US" w:eastAsia="zh-CN"/>
        </w:rPr>
        <w:t>采购人</w:t>
      </w:r>
      <w:r>
        <w:rPr>
          <w:rFonts w:hint="eastAsia" w:ascii="仿宋" w:hAnsi="仿宋" w:eastAsia="仿宋" w:cs="仿宋"/>
          <w:sz w:val="28"/>
          <w:szCs w:val="28"/>
          <w:lang w:val="zh-CN" w:eastAsia="zh-CN"/>
        </w:rPr>
        <w:t>或其指定的第三方机构进行质量鉴定。质量符合标准的，鉴定费由</w:t>
      </w:r>
      <w:r>
        <w:rPr>
          <w:rFonts w:hint="eastAsia" w:ascii="仿宋" w:hAnsi="仿宋" w:eastAsia="仿宋" w:cs="仿宋"/>
          <w:sz w:val="28"/>
          <w:szCs w:val="28"/>
          <w:lang w:val="en-US" w:eastAsia="zh-CN"/>
        </w:rPr>
        <w:t>采购人</w:t>
      </w:r>
      <w:r>
        <w:rPr>
          <w:rFonts w:hint="eastAsia" w:ascii="仿宋" w:hAnsi="仿宋" w:eastAsia="仿宋" w:cs="仿宋"/>
          <w:sz w:val="28"/>
          <w:szCs w:val="28"/>
          <w:lang w:val="zh-CN" w:eastAsia="zh-CN"/>
        </w:rPr>
        <w:t>承担；不符合质量标准的，鉴定费由</w:t>
      </w:r>
      <w:r>
        <w:rPr>
          <w:rFonts w:hint="eastAsia" w:ascii="仿宋" w:hAnsi="仿宋" w:eastAsia="仿宋" w:cs="仿宋"/>
          <w:sz w:val="28"/>
          <w:szCs w:val="28"/>
          <w:lang w:val="en-US" w:eastAsia="zh-CN"/>
        </w:rPr>
        <w:t>供应商</w:t>
      </w:r>
      <w:r>
        <w:rPr>
          <w:rFonts w:hint="eastAsia" w:ascii="仿宋" w:hAnsi="仿宋" w:eastAsia="仿宋" w:cs="仿宋"/>
          <w:sz w:val="28"/>
          <w:szCs w:val="28"/>
          <w:lang w:val="zh-CN" w:eastAsia="zh-CN"/>
        </w:rPr>
        <w:t>承担。</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562" w:firstLineChars="20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五、交货及验收</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0"/>
        <w:textAlignment w:val="auto"/>
        <w:rPr>
          <w:rFonts w:ascii="仿宋" w:hAnsi="仿宋" w:eastAsia="仿宋" w:cs="仿宋"/>
          <w:sz w:val="28"/>
          <w:szCs w:val="28"/>
        </w:rPr>
      </w:pPr>
      <w:r>
        <w:rPr>
          <w:rFonts w:hint="eastAsia" w:ascii="仿宋" w:hAnsi="仿宋" w:eastAsia="仿宋" w:cs="仿宋"/>
          <w:sz w:val="28"/>
          <w:szCs w:val="28"/>
        </w:rPr>
        <w:t>1.交货时间：合同签订之日起35日内按照采购人要求送货至指定地点。</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0"/>
        <w:textAlignment w:val="auto"/>
        <w:rPr>
          <w:rFonts w:ascii="仿宋" w:hAnsi="仿宋" w:eastAsia="仿宋" w:cs="仿宋"/>
          <w:sz w:val="28"/>
          <w:szCs w:val="28"/>
        </w:rPr>
      </w:pPr>
      <w:r>
        <w:rPr>
          <w:rFonts w:hint="eastAsia" w:ascii="仿宋" w:hAnsi="仿宋" w:eastAsia="仿宋" w:cs="仿宋"/>
          <w:sz w:val="28"/>
          <w:szCs w:val="28"/>
        </w:rPr>
        <w:t>2.交货地点：成都市双流区妇幼保健院指定地点。</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0"/>
        <w:textAlignment w:val="auto"/>
        <w:rPr>
          <w:rFonts w:hint="eastAsia" w:ascii="仿宋" w:hAnsi="仿宋" w:eastAsia="仿宋" w:cs="仿宋"/>
          <w:sz w:val="28"/>
          <w:szCs w:val="28"/>
        </w:rPr>
      </w:pPr>
      <w:r>
        <w:rPr>
          <w:rFonts w:hint="eastAsia" w:ascii="仿宋" w:hAnsi="仿宋" w:eastAsia="仿宋" w:cs="仿宋"/>
          <w:sz w:val="28"/>
          <w:szCs w:val="28"/>
        </w:rPr>
        <w:t>3.交货方式：中标供应商送货上门并卸货至指定地点，并对卸货过程中货物的安全、完好性负责。</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采购人将严格按照政府采购相关法律法规以及《财政部关于进一步加强政府采购需求和履约验收管理的指导意见》（财库〔2016〕205号）、招标文件的技术参数</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尺寸允许有±5%的偏差</w:t>
      </w:r>
      <w:r>
        <w:rPr>
          <w:rFonts w:hint="eastAsia" w:ascii="仿宋" w:hAnsi="仿宋" w:eastAsia="仿宋" w:cs="仿宋"/>
          <w:sz w:val="28"/>
          <w:szCs w:val="28"/>
          <w:lang w:eastAsia="zh-CN"/>
        </w:rPr>
        <w:t>）</w:t>
      </w:r>
      <w:r>
        <w:rPr>
          <w:rFonts w:hint="eastAsia" w:ascii="仿宋" w:hAnsi="仿宋" w:eastAsia="仿宋" w:cs="仿宋"/>
          <w:sz w:val="28"/>
          <w:szCs w:val="28"/>
        </w:rPr>
        <w:t>及质量要求、中标供应商的投标文件及承诺约定标准的要求进行验收。</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由采购人组织验收小组，中标供应商配合进行：</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（1）送</w:t>
      </w:r>
      <w:r>
        <w:rPr>
          <w:rFonts w:hint="eastAsia" w:ascii="仿宋" w:hAnsi="仿宋" w:eastAsia="仿宋" w:cs="仿宋"/>
          <w:sz w:val="28"/>
          <w:szCs w:val="28"/>
        </w:rPr>
        <w:t>货当日组织验收小组进行现场验收。</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（2）验收标准：按国家有关规定以及采购人招标文件的质量要求和技术指标、中标供应商的投标文件及承诺与本合同约定标准进行验收。</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中标供应商承担，验收期限相应顺延。</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交货验收时每台货物上均应有产品质量检验合格标志，且须提供产品质检部门从同类产品中抽样检查合格的检测报告。</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如质量验收合格，双方签署质量验收报告。</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中标供应商</w:t>
      </w:r>
      <w:r>
        <w:rPr>
          <w:rFonts w:hint="eastAsia" w:ascii="仿宋" w:hAnsi="仿宋" w:eastAsia="仿宋" w:cs="仿宋"/>
          <w:sz w:val="28"/>
          <w:szCs w:val="28"/>
        </w:rPr>
        <w:t>应将所提供货物的装箱清单、配件、随机工具、用户使用手册、原厂保修卡等资料交付给采购人。</w:t>
      </w:r>
      <w:r>
        <w:rPr>
          <w:rFonts w:hint="eastAsia" w:ascii="仿宋" w:hAnsi="仿宋" w:eastAsia="仿宋" w:cs="仿宋"/>
          <w:sz w:val="28"/>
          <w:szCs w:val="28"/>
          <w:lang w:eastAsia="zh-CN"/>
        </w:rPr>
        <w:t>中标供应商</w:t>
      </w:r>
      <w:r>
        <w:rPr>
          <w:rFonts w:hint="eastAsia" w:ascii="仿宋" w:hAnsi="仿宋" w:eastAsia="仿宋" w:cs="仿宋"/>
          <w:sz w:val="28"/>
          <w:szCs w:val="28"/>
        </w:rPr>
        <w:t>不能完整交付货物及本款规定的单证和工具的，必须负责补齐，否则视为未按合同约定交货。</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562" w:firstLineChars="20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六、付款方式</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一、合同</w:t>
      </w:r>
      <w:r>
        <w:rPr>
          <w:rFonts w:hint="eastAsia" w:ascii="仿宋" w:hAnsi="仿宋" w:eastAsia="仿宋" w:cs="仿宋"/>
          <w:sz w:val="28"/>
          <w:szCs w:val="28"/>
        </w:rPr>
        <w:t>签订</w:t>
      </w:r>
      <w:r>
        <w:rPr>
          <w:rFonts w:hint="eastAsia" w:ascii="仿宋" w:hAnsi="仿宋" w:eastAsia="仿宋" w:cs="仿宋"/>
          <w:sz w:val="28"/>
          <w:szCs w:val="28"/>
          <w:lang w:eastAsia="zh-CN"/>
        </w:rPr>
        <w:t>之日起5个工作日内支付中标金额的30%预付款；在设备（货物）安装调试完毕并经最终验收合格三个月后向中标供应商支付合同总价的65%货款，一年期满后，双方无异议，采购人向中标供应商支付合同总价5%尾款。采购人如逾期支付款项的应向中标供应商出具合理说明，采购人未有合理说明的，则按应付而未付的款项为基数，同期银行存款基准利率为标准向中标供应商承担违约责任。</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二、</w:t>
      </w:r>
      <w:r>
        <w:rPr>
          <w:rFonts w:hint="eastAsia" w:ascii="仿宋" w:hAnsi="仿宋" w:eastAsia="仿宋" w:cs="仿宋"/>
          <w:sz w:val="28"/>
          <w:szCs w:val="28"/>
        </w:rPr>
        <w:t>中标供应商须向采购人出具合法有效完整的发票及凭证资料后进行支付结算，付款方式均采用公对公的银行转账，供应商接受转账的开户信息以采购合同载明的为准。</w:t>
      </w:r>
    </w:p>
    <w:p>
      <w:pPr>
        <w:pStyle w:val="13"/>
        <w:keepNext w:val="0"/>
        <w:keepLines w:val="0"/>
        <w:pageBreakBefore w:val="0"/>
        <w:widowControl w:val="0"/>
        <w:kinsoku/>
        <w:wordWrap/>
        <w:overflowPunct/>
        <w:topLinePunct w:val="0"/>
        <w:autoSpaceDE/>
        <w:autoSpaceDN/>
        <w:bidi w:val="0"/>
        <w:spacing w:after="0" w:line="440" w:lineRule="exact"/>
        <w:ind w:firstLine="480"/>
        <w:textAlignment w:val="auto"/>
        <w:rPr>
          <w:rFonts w:ascii="仿宋" w:hAnsi="仿宋" w:eastAsia="仿宋" w:cs="仿宋"/>
          <w:b/>
          <w:bCs/>
          <w:sz w:val="28"/>
          <w:szCs w:val="28"/>
        </w:rPr>
      </w:pPr>
      <w:r>
        <w:rPr>
          <w:rFonts w:hint="eastAsia" w:ascii="仿宋" w:hAnsi="仿宋" w:eastAsia="仿宋" w:cs="仿宋"/>
          <w:b/>
          <w:bCs/>
          <w:sz w:val="28"/>
          <w:szCs w:val="28"/>
          <w:lang w:val="en-US" w:eastAsia="zh-CN"/>
        </w:rPr>
        <w:t>七</w:t>
      </w:r>
      <w:r>
        <w:rPr>
          <w:rFonts w:hint="eastAsia" w:ascii="仿宋" w:hAnsi="仿宋" w:eastAsia="仿宋" w:cs="仿宋"/>
          <w:b/>
          <w:bCs/>
          <w:sz w:val="28"/>
          <w:szCs w:val="28"/>
        </w:rPr>
        <w:t>、违约责任</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如非因供应商原因导致采购人逾期支付货款的，每逾期一日，供应商有权要求采购人以逾期未付款项为基数，按照中国人民银行活期存款利率（单利）的标准支付逾期付款损失。如非因供应商原因导致采购人逾期支付预付款超过90日的，供应商有权解除本合同，并要求采购人按照预付款总额的20%支付违约金。</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如非因采购人原因导致供应商逾期交付采购货物或逾期完成验收或逾期未免费更换的，每逾期一日，采购人有权要求供应商以违约采购货物对应的货物金额为基数，按照每日万分之五的标准支付违约金。如逾期超过15日的，采购人有权部分或全部终止合同。如采购人选择部分终止合同，同意接受已按期交付且验收合格的采购货物的，甲乙双方对供应商已验收合格的采购货物据实进行结算，采购人同时有权要求供应商按照合同总价的20%支付违约金。如采购人选择全部终止合同的，供应商应退还全部预付款，采购人有权要求供应商按照合同总价的20%支付违约金。如前述违约金不足以弥补采购人损失的，供应商应当另行赔偿。</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本合同履行期间，如供应商出现下列情形之一的，采购人有权提前终止本合同，并要求供应商按照合同总价的20%支付违约金：</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供应本合同项下采购货物所需的其中任一资格、资质（包括但不限于营业执照、经营许可证、代理商资格证等）被吊销或注销或失效的；</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被工商行政管理机关在全国企业信用信息公示系统中列入严重违法失信企业名单；</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被最高人法院在“信用中国”网站（</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"http://www.creditchina.gov.cn）或各级信用信息共享平台中列入失信被执行人名单；" </w:instrText>
      </w:r>
      <w:r>
        <w:rPr>
          <w:rFonts w:hint="eastAsia" w:ascii="仿宋" w:hAnsi="仿宋" w:eastAsia="仿宋" w:cs="仿宋"/>
          <w:sz w:val="28"/>
          <w:szCs w:val="28"/>
        </w:rPr>
        <w:fldChar w:fldCharType="separate"/>
      </w:r>
      <w:r>
        <w:rPr>
          <w:rFonts w:hint="eastAsia" w:ascii="仿宋" w:hAnsi="仿宋" w:eastAsia="仿宋" w:cs="仿宋"/>
          <w:sz w:val="28"/>
          <w:szCs w:val="28"/>
        </w:rPr>
        <w:t>www.creditchina.gov.cn）或各级信用信息共享平台中列入失信被执行人名单；</w:t>
      </w:r>
      <w:r>
        <w:rPr>
          <w:rFonts w:hint="eastAsia" w:ascii="仿宋" w:hAnsi="仿宋" w:eastAsia="仿宋" w:cs="仿宋"/>
          <w:sz w:val="28"/>
          <w:szCs w:val="28"/>
        </w:rPr>
        <w:fldChar w:fldCharType="end"/>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被纳入政府采购严重违法失信行为记录名单；</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被应急管理部列入安全生产领域失信行为开展联合惩戒企业名单。</w:t>
      </w:r>
    </w:p>
    <w:p>
      <w:pPr>
        <w:pStyle w:val="13"/>
        <w:keepNext w:val="0"/>
        <w:keepLines w:val="0"/>
        <w:pageBreakBefore w:val="0"/>
        <w:widowControl w:val="0"/>
        <w:kinsoku/>
        <w:wordWrap/>
        <w:overflowPunct/>
        <w:topLinePunct w:val="0"/>
        <w:autoSpaceDE/>
        <w:autoSpaceDN/>
        <w:bidi w:val="0"/>
        <w:spacing w:after="0" w:line="440" w:lineRule="exact"/>
        <w:ind w:firstLine="480"/>
        <w:textAlignment w:val="auto"/>
        <w:rPr>
          <w:rFonts w:ascii="仿宋" w:hAnsi="仿宋" w:eastAsia="仿宋" w:cs="仿宋"/>
          <w:b/>
          <w:bCs/>
          <w:sz w:val="28"/>
          <w:szCs w:val="28"/>
        </w:rPr>
      </w:pPr>
      <w:r>
        <w:rPr>
          <w:rFonts w:hint="eastAsia" w:ascii="仿宋" w:hAnsi="仿宋" w:eastAsia="仿宋" w:cs="仿宋"/>
          <w:b/>
          <w:bCs/>
          <w:sz w:val="28"/>
          <w:szCs w:val="28"/>
          <w:lang w:val="en-US" w:eastAsia="zh-CN"/>
        </w:rPr>
        <w:t>八、</w:t>
      </w:r>
      <w:r>
        <w:rPr>
          <w:rFonts w:hint="eastAsia" w:ascii="仿宋" w:hAnsi="仿宋" w:eastAsia="仿宋" w:cs="仿宋"/>
          <w:b/>
          <w:bCs/>
          <w:sz w:val="28"/>
          <w:szCs w:val="28"/>
        </w:rPr>
        <w:t>不可抗力</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1.如果任何一方当事人受到不能预见、不能避免且不能克服的不可抗力事件的影响，例如战争、严重的火灾、台风、地震、洪水和合同条款约定的其他情形，而无法履行合同项下的任何义务，则受影响的一方当事人应立即将此类事件的发生通知另一方当事人，并应在不可抗力事件发生后14日内将有关当局或机构出具的证明文件提交给另一方当事人。</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2.受不可抗力事件影响的一方当事人对于不可抗力事件导致的任何合同义务的迟延履行或不能履行不承担违约责任。但该方当事人应尽快将不可抗力事件结束或消除的情况通知另一方当事人。</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3.双方当事人应在不可抗力事件结束或其影响消除后立即继续履行其合同义务，合同期限也应相应顺延。如果不可抗力事件的影响持续超过90日，则任何一方当事人均有权以书面通知解除合同。</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4.不可抗力的处理：（1）合同双方中的任何一方，由于不可抗力事件而影响合同的执行时，可相应延迟合同中受影响部分的履行时间，其延迟的时间相当于不可抗力事件影响的时间。（2）受到不可抗力事件影响的一方应在不可抗力事件发生后，尽快将发生的不可抗力事件的情况书面通知对方，并在7天内将有关当局出具的证明文件提交给对方审查确认，受影响的一方同时应尽量设法减少这种影响和由此而引起的延误，一旦不可抗力的影响消除后，应将此情况立即书面通知对方。（3）合同双方中的任何一方，由于不可抗力事件而影响合同的履行时，双方对由此产生的经济损失均不得向对方提出索赔要求。乙方也不得因不可抗力事件的影响而要求调整合同总价。（4）若因不可抗力事件的影响致使合同全部或部分无法如约履行时，应由双方协商变更或解除合同。（5）若因合同一方延迟履行合同后发生不可抗力事件的，不能免除延迟履行合同方的相应责任。</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hint="eastAsia" w:ascii="仿宋" w:hAnsi="仿宋" w:eastAsia="仿宋" w:cs="仿宋"/>
          <w:sz w:val="28"/>
          <w:szCs w:val="28"/>
        </w:rPr>
      </w:pPr>
      <w:r>
        <w:rPr>
          <w:rFonts w:hint="eastAsia" w:ascii="仿宋" w:hAnsi="仿宋" w:eastAsia="仿宋" w:cs="仿宋"/>
          <w:sz w:val="28"/>
          <w:szCs w:val="28"/>
        </w:rPr>
        <w:t>5.乙方确认新冠肺炎疫情属于不可抗力事件，乙方在签订合同时对新冠肺炎疫情可能影响合同的履行（包括但不限于可能导致成本增加、迟延交货等）已作出全面的风险评估，乙方同意不得以新冠肺炎疫情抗辩合同的履行，否则视为未按本合同约定履行相应的义务，乙方应当承担本合同约定的相应责任。</w:t>
      </w:r>
    </w:p>
    <w:p>
      <w:pPr>
        <w:pStyle w:val="13"/>
        <w:keepNext w:val="0"/>
        <w:keepLines w:val="0"/>
        <w:pageBreakBefore w:val="0"/>
        <w:widowControl w:val="0"/>
        <w:kinsoku/>
        <w:wordWrap/>
        <w:overflowPunct/>
        <w:topLinePunct w:val="0"/>
        <w:autoSpaceDE/>
        <w:autoSpaceDN/>
        <w:bidi w:val="0"/>
        <w:spacing w:after="0" w:line="440" w:lineRule="exact"/>
        <w:ind w:firstLine="48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九、争议解决办法</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因货物的质量问题发生争议，由质量技术监督部门或其指定的质量鉴定机构进行质量鉴定。货物符合标准的，鉴定费由甲方承担；货物不符合质量标准的，鉴定费由乙方承担。</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合同履行期间,若双方发生争议，可协商或由有关部门调解解决，协商或调解不成的，由当事人依法向甲方住所地有管辖权的人民法院提起诉讼，维护其合法权益。</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b/>
          <w:bCs/>
          <w:sz w:val="28"/>
          <w:szCs w:val="28"/>
        </w:rPr>
      </w:pPr>
      <w:r>
        <w:rPr>
          <w:rFonts w:hint="eastAsia" w:ascii="仿宋" w:hAnsi="仿宋" w:eastAsia="仿宋" w:cs="仿宋"/>
          <w:b/>
          <w:bCs/>
          <w:sz w:val="28"/>
          <w:szCs w:val="28"/>
        </w:rPr>
        <w:t>十、通知与送达</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1.甲乙双方一致确认本合同签字盖章处填写的联系地址分别为各方送达地址，该送达地址适用范围包括各类通知、协议等文件以及就合同发生纠纷时相关文件法律文书的送达，同时包括争议进入仲裁、民事诉讼程序后的一审、二审、再审和执行程序。</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2.一旦发生诉讼纠纷，各方确认的送达地址将默认为当事人的司法文书的送达地址，即司法文书一旦寄出，当事人将自动承担有效送达的法律后果。如因提供或确认的送达地址不真实、不准确，或指定联系人拒绝签收等导致法律文书未能被当事人实际接收的：邮寄送达的，以文书退回之日视为送达之日；直接送达的，送达人当场在送达回证上记明情况之日视为送达之日。</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3.甲乙双方一致确认的送达地址一旦发生变动，应于发生变动之日起五个工作日内以书面形式进行通知，该书面通知中确认的新通知地址将默认为新的通知及司法文书的送达地址。如未书面通知则向原送达地址送达的通知或文件或司法文书均视为有效送达，即使通知或文书被退回，也视为送达。</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4.甲乙双方一致确认本合同签字盖章处指定的联系人有权分别代表各方履行本合同（包括但不限于接受各类通知、函件、参与验收、提出异议等），如指定联系人发生变更的，变更方应于变更前2个工作日内书面通知另一方，如未按前述约定通知的，视为未作变更，原指定的联系人仍为有效的联系人，相应的法律责任及后果由变更方自行承担。</w:t>
      </w:r>
    </w:p>
    <w:p>
      <w:pPr>
        <w:pStyle w:val="13"/>
        <w:keepNext w:val="0"/>
        <w:keepLines w:val="0"/>
        <w:pageBreakBefore w:val="0"/>
        <w:widowControl w:val="0"/>
        <w:kinsoku/>
        <w:wordWrap/>
        <w:overflowPunct/>
        <w:topLinePunct w:val="0"/>
        <w:autoSpaceDE/>
        <w:autoSpaceDN/>
        <w:bidi w:val="0"/>
        <w:spacing w:after="0" w:line="440" w:lineRule="exact"/>
        <w:ind w:firstLine="480"/>
        <w:textAlignment w:val="auto"/>
        <w:rPr>
          <w:rFonts w:ascii="仿宋" w:hAnsi="仿宋" w:eastAsia="仿宋" w:cs="仿宋"/>
          <w:b/>
          <w:bCs/>
          <w:sz w:val="28"/>
          <w:szCs w:val="28"/>
        </w:rPr>
      </w:pPr>
      <w:r>
        <w:rPr>
          <w:rFonts w:hint="eastAsia" w:ascii="仿宋" w:hAnsi="仿宋" w:eastAsia="仿宋" w:cs="仿宋"/>
          <w:b/>
          <w:bCs/>
          <w:sz w:val="28"/>
          <w:szCs w:val="28"/>
        </w:rPr>
        <w:t>十</w:t>
      </w:r>
      <w:r>
        <w:rPr>
          <w:rFonts w:hint="eastAsia" w:ascii="仿宋" w:hAnsi="仿宋" w:eastAsia="仿宋" w:cs="仿宋"/>
          <w:b/>
          <w:bCs/>
          <w:sz w:val="28"/>
          <w:szCs w:val="28"/>
          <w:lang w:val="en-US" w:eastAsia="zh-CN"/>
        </w:rPr>
        <w:t>一</w:t>
      </w:r>
      <w:r>
        <w:rPr>
          <w:rFonts w:hint="eastAsia" w:ascii="仿宋" w:hAnsi="仿宋" w:eastAsia="仿宋" w:cs="仿宋"/>
          <w:b/>
          <w:bCs/>
          <w:sz w:val="28"/>
          <w:szCs w:val="28"/>
        </w:rPr>
        <w:t>、附则</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1.本合同未尽事宜，由甲乙双方另行签订书面补充协议约定，如有冲突，以补充协议为准。</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仿宋" w:hAnsi="仿宋" w:eastAsia="仿宋" w:cs="仿宋"/>
          <w:sz w:val="28"/>
          <w:szCs w:val="28"/>
        </w:rPr>
      </w:pPr>
      <w:r>
        <w:rPr>
          <w:rFonts w:hint="eastAsia" w:ascii="仿宋" w:hAnsi="仿宋" w:eastAsia="仿宋" w:cs="仿宋"/>
          <w:sz w:val="28"/>
          <w:szCs w:val="28"/>
        </w:rPr>
        <w:t>2.如本合同的某条款或某条款的部分内容在现在或将来成为无效，该无效条款或该无效部分并不影响本合同及本合同其他条款或该条款其他内容的有效性。</w:t>
      </w:r>
    </w:p>
    <w:p>
      <w:pPr>
        <w:pStyle w:val="13"/>
        <w:keepNext w:val="0"/>
        <w:keepLines w:val="0"/>
        <w:pageBreakBefore w:val="0"/>
        <w:widowControl w:val="0"/>
        <w:kinsoku/>
        <w:wordWrap/>
        <w:overflowPunct/>
        <w:topLinePunct w:val="0"/>
        <w:autoSpaceDE/>
        <w:autoSpaceDN/>
        <w:bidi w:val="0"/>
        <w:adjustRightInd/>
        <w:snapToGrid/>
        <w:spacing w:after="0" w:line="440" w:lineRule="exact"/>
        <w:ind w:firstLine="482"/>
        <w:textAlignment w:val="auto"/>
        <w:rPr>
          <w:rFonts w:ascii="宋体" w:hAnsi="宋体"/>
        </w:rPr>
      </w:pPr>
      <w:r>
        <w:rPr>
          <w:rFonts w:hint="eastAsia" w:ascii="仿宋" w:hAnsi="仿宋" w:eastAsia="仿宋" w:cs="仿宋"/>
          <w:sz w:val="28"/>
          <w:szCs w:val="28"/>
        </w:rPr>
        <w:t>3.本合同经甲乙双方签字或盖章后生效。本合同一式陆份，甲方执肆份、乙方、招采代理机构各执壹份，每份均具有同等法律效力。</w:t>
      </w:r>
    </w:p>
    <w:p>
      <w:pPr>
        <w:pStyle w:val="13"/>
        <w:keepNext w:val="0"/>
        <w:keepLines w:val="0"/>
        <w:pageBreakBefore w:val="0"/>
        <w:widowControl w:val="0"/>
        <w:kinsoku/>
        <w:wordWrap/>
        <w:overflowPunct/>
        <w:topLinePunct w:val="0"/>
        <w:autoSpaceDE/>
        <w:autoSpaceDN/>
        <w:bidi w:val="0"/>
        <w:spacing w:after="0" w:line="440" w:lineRule="exact"/>
        <w:ind w:firstLine="480"/>
        <w:jc w:val="center"/>
        <w:textAlignment w:val="auto"/>
        <w:rPr>
          <w:rFonts w:ascii="仿宋" w:hAnsi="仿宋" w:eastAsia="仿宋" w:cs="仿宋"/>
          <w:sz w:val="28"/>
          <w:szCs w:val="28"/>
          <w:u w:val="single"/>
        </w:rPr>
      </w:pPr>
      <w:r>
        <w:rPr>
          <w:rFonts w:hint="eastAsia" w:ascii="仿宋" w:hAnsi="仿宋" w:eastAsia="仿宋" w:cs="仿宋"/>
          <w:sz w:val="28"/>
          <w:szCs w:val="28"/>
          <w:u w:val="single"/>
        </w:rPr>
        <w:t>（以下为签字盖章处，无正文）</w:t>
      </w:r>
    </w:p>
    <w:p>
      <w:pPr>
        <w:spacing w:line="440" w:lineRule="exact"/>
      </w:pP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甲方：   （盖章）   </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 xml:space="preserve">           乙方：   （盖章）</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法定代表人（授权代表）：                法定代表人（授权代表）：</w:t>
      </w:r>
    </w:p>
    <w:p>
      <w:pPr>
        <w:pStyle w:val="121"/>
        <w:spacing w:line="40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 xml:space="preserve">地    址：                              地    址：                    </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开户银行：                              开户银行：                      </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账号：                                  账号：</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电    话：                              电    话：</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传    真：                              传    真：</w:t>
      </w:r>
    </w:p>
    <w:p>
      <w:pPr>
        <w:wordWrap w:val="0"/>
        <w:spacing w:line="360" w:lineRule="auto"/>
        <w:rPr>
          <w:rFonts w:eastAsia="黑体"/>
          <w:sz w:val="30"/>
          <w:szCs w:val="30"/>
        </w:rPr>
      </w:pPr>
      <w:r>
        <w:rPr>
          <w:rFonts w:hint="eastAsia" w:ascii="仿宋" w:hAnsi="仿宋" w:eastAsia="仿宋" w:cs="仿宋"/>
          <w:sz w:val="28"/>
          <w:szCs w:val="28"/>
        </w:rPr>
        <w:t xml:space="preserve">签约日期：  年  月  日 </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 xml:space="preserve">     签约日期：  年  月   日</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
    <w:p>
      <w:pPr>
        <w:rPr>
          <w:rFonts w:ascii="宋体" w:hAnsi="宋体" w:cs="宋体"/>
          <w:sz w:val="28"/>
          <w:szCs w:val="28"/>
        </w:rPr>
      </w:pPr>
      <w:r>
        <w:rPr>
          <w:rFonts w:hint="eastAsia" w:ascii="宋体" w:hAnsi="宋体" w:cs="宋体"/>
          <w:sz w:val="28"/>
          <w:szCs w:val="28"/>
        </w:rPr>
        <w:t>附件1：</w:t>
      </w:r>
    </w:p>
    <w:p>
      <w:r>
        <w:drawing>
          <wp:inline distT="0" distB="0" distL="0" distR="0">
            <wp:extent cx="5276850" cy="7458075"/>
            <wp:effectExtent l="0" t="0" r="9525"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9525"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13970"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6" cstate="print"/>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9525"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7" cstate="print"/>
                    <a:stretch>
                      <a:fillRect/>
                    </a:stretch>
                  </pic:blipFill>
                  <pic:spPr>
                    <a:xfrm>
                      <a:off x="0" y="0"/>
                      <a:ext cx="4991533" cy="6675698"/>
                    </a:xfrm>
                    <a:prstGeom prst="rect">
                      <a:avLst/>
                    </a:prstGeom>
                  </pic:spPr>
                </pic:pic>
              </a:graphicData>
            </a:graphic>
          </wp:inline>
        </w:drawing>
      </w:r>
    </w:p>
    <w:p/>
    <w:p/>
    <w:p>
      <w:pPr>
        <w:jc w:val="center"/>
        <w:sectPr>
          <w:footerReference r:id="rId3" w:type="default"/>
          <w:pgSz w:w="11906" w:h="16838"/>
          <w:pgMar w:top="1440" w:right="1800" w:bottom="1440" w:left="1800" w:header="851" w:footer="992" w:gutter="0"/>
          <w:cols w:space="425" w:num="1"/>
          <w:docGrid w:type="lines" w:linePitch="312" w:charSpace="0"/>
        </w:sectPr>
      </w:pPr>
    </w:p>
    <w:p>
      <w:pPr>
        <w:jc w:val="center"/>
        <w:sectPr>
          <w:pgSz w:w="11906" w:h="16838"/>
          <w:pgMar w:top="1440" w:right="1800" w:bottom="1440" w:left="1800" w:header="851" w:footer="992" w:gutter="0"/>
          <w:cols w:space="425" w:num="1"/>
          <w:docGrid w:type="lines" w:linePitch="312" w:charSpace="0"/>
        </w:sectPr>
      </w:pPr>
      <w:r>
        <w:drawing>
          <wp:inline distT="0" distB="0" distL="0" distR="0">
            <wp:extent cx="5892165" cy="3801745"/>
            <wp:effectExtent l="0" t="0" r="13335"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8" cstate="print"/>
                    <a:stretch>
                      <a:fillRect/>
                    </a:stretch>
                  </pic:blipFill>
                  <pic:spPr>
                    <a:xfrm>
                      <a:off x="0" y="0"/>
                      <a:ext cx="5892165" cy="3801745"/>
                    </a:xfrm>
                    <a:prstGeom prst="rect">
                      <a:avLst/>
                    </a:prstGeom>
                  </pic:spPr>
                </pic:pic>
              </a:graphicData>
            </a:graphic>
          </wp:inline>
        </w:drawing>
      </w:r>
    </w:p>
    <w:p>
      <w:r>
        <w:drawing>
          <wp:inline distT="0" distB="0" distL="0" distR="0">
            <wp:extent cx="5105400" cy="6530340"/>
            <wp:effectExtent l="0" t="0" r="6350" b="1016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9" cstate="print"/>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13335" b="13970"/>
            <wp:docPr id="83" name="图片 83"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QQ截图20200424174415"/>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13335" b="8255"/>
            <wp:docPr id="84" name="图片 84"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截图20200424174424"/>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13335" b="635"/>
            <wp:docPr id="85" name="图片 85"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QQ截图2020042417443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13335" b="3810"/>
            <wp:docPr id="86" name="图片 86"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截图20200424174438"/>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tbl>
      <w:tblPr>
        <w:tblStyle w:val="43"/>
        <w:tblpPr w:leftFromText="180" w:rightFromText="180" w:vertAnchor="text" w:horzAnchor="page" w:tblpX="1786" w:tblpY="302"/>
        <w:tblOverlap w:val="never"/>
        <w:tblW w:w="8352" w:type="dxa"/>
        <w:tblInd w:w="0" w:type="dxa"/>
        <w:tblLayout w:type="fixed"/>
        <w:tblCellMar>
          <w:top w:w="0" w:type="dxa"/>
          <w:left w:w="0" w:type="dxa"/>
          <w:bottom w:w="0" w:type="dxa"/>
          <w:right w:w="0" w:type="dxa"/>
        </w:tblCellMar>
      </w:tblPr>
      <w:tblGrid>
        <w:gridCol w:w="652"/>
        <w:gridCol w:w="2992"/>
        <w:gridCol w:w="1440"/>
        <w:gridCol w:w="3268"/>
      </w:tblGrid>
      <w:tr>
        <w:tblPrEx>
          <w:tblCellMar>
            <w:top w:w="0" w:type="dxa"/>
            <w:left w:w="0" w:type="dxa"/>
            <w:bottom w:w="0" w:type="dxa"/>
            <w:right w:w="0" w:type="dxa"/>
          </w:tblCellMar>
        </w:tblPrEx>
        <w:trPr>
          <w:trHeight w:val="615" w:hRule="atLeast"/>
        </w:trPr>
        <w:tc>
          <w:tcPr>
            <w:tcW w:w="835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color w:val="000000"/>
                <w:sz w:val="36"/>
                <w:szCs w:val="36"/>
              </w:rPr>
            </w:pPr>
            <w:r>
              <w:rPr>
                <w:rFonts w:hint="eastAsia" w:ascii="宋体" w:hAnsi="宋体" w:cs="宋体"/>
                <w:b/>
                <w:color w:val="000000"/>
                <w:kern w:val="0"/>
                <w:sz w:val="28"/>
                <w:szCs w:val="28"/>
              </w:rPr>
              <w:t>成都市双流区首批开展政府采购信用融资业务银行联系方式</w:t>
            </w:r>
          </w:p>
        </w:tc>
      </w:tr>
      <w:tr>
        <w:tblPrEx>
          <w:tblCellMar>
            <w:top w:w="0" w:type="dxa"/>
            <w:left w:w="0" w:type="dxa"/>
            <w:bottom w:w="0" w:type="dxa"/>
            <w:right w:w="0" w:type="dxa"/>
          </w:tblCellMar>
        </w:tblPrEx>
        <w:trPr>
          <w:trHeight w:val="491" w:hRule="atLeast"/>
        </w:trPr>
        <w:tc>
          <w:tcPr>
            <w:tcW w:w="65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序号</w:t>
            </w:r>
          </w:p>
        </w:tc>
        <w:tc>
          <w:tcPr>
            <w:tcW w:w="29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银行名称</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联系人</w:t>
            </w:r>
          </w:p>
        </w:tc>
        <w:tc>
          <w:tcPr>
            <w:tcW w:w="326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联系电话</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成都银行双流支行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周慧</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18108267808</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胡恒彬</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18190896900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中国建设银行双流分行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袁俊辉</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13688076753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交通银行双流分行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吴旭睿</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18980585584</w:t>
            </w:r>
          </w:p>
        </w:tc>
      </w:tr>
      <w:tr>
        <w:tblPrEx>
          <w:tblCellMar>
            <w:top w:w="0" w:type="dxa"/>
            <w:left w:w="0" w:type="dxa"/>
            <w:bottom w:w="0" w:type="dxa"/>
            <w:right w:w="0" w:type="dxa"/>
          </w:tblCellMar>
        </w:tblPrEx>
        <w:trPr>
          <w:trHeight w:val="542"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席梦娇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18284529669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中国农业银行双流支行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徐丽</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13981781800</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成都农商银行双流支行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谢薇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18581896869</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方讼之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18684003573</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彭洋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13540664856</w:t>
            </w:r>
          </w:p>
        </w:tc>
      </w:tr>
      <w:tr>
        <w:tblPrEx>
          <w:tblCellMar>
            <w:top w:w="0" w:type="dxa"/>
            <w:left w:w="0" w:type="dxa"/>
            <w:bottom w:w="0" w:type="dxa"/>
            <w:right w:w="0" w:type="dxa"/>
          </w:tblCellMar>
        </w:tblPrEx>
        <w:trPr>
          <w:trHeight w:val="549" w:hRule="atLeast"/>
        </w:trPr>
        <w:tc>
          <w:tcPr>
            <w:tcW w:w="65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w:t>
            </w:r>
          </w:p>
        </w:tc>
        <w:tc>
          <w:tcPr>
            <w:tcW w:w="299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上海银行成都双流支行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马欢</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028-67087516  17761260901</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浙商银行成都双流支行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唐城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13540090509</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艾燕</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13308183763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中国工商银行成都双流支行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邓经理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028-62580231</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肖经理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028-85895995</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中国邮政储蓄银行成都双流支行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杨建华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13981895940</w:t>
            </w:r>
          </w:p>
        </w:tc>
      </w:tr>
      <w:tr>
        <w:tblPrEx>
          <w:tblCellMar>
            <w:top w:w="0" w:type="dxa"/>
            <w:left w:w="0" w:type="dxa"/>
            <w:bottom w:w="0" w:type="dxa"/>
            <w:right w:w="0" w:type="dxa"/>
          </w:tblCellMar>
        </w:tblPrEx>
        <w:trPr>
          <w:trHeight w:val="568"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王宇飞</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13540385980</w:t>
            </w:r>
          </w:p>
        </w:tc>
      </w:tr>
    </w:tbl>
    <w:p/>
    <w:sectPr>
      <w:footerReference r:id="rId4" w:type="default"/>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640"/>
      <w:jc w:val="center"/>
    </w:pPr>
    <w:r>
      <w:fldChar w:fldCharType="begin"/>
    </w:r>
    <w:r>
      <w:instrText xml:space="preserve">PAGE   \* MERGEFORMAT</w:instrText>
    </w:r>
    <w:r>
      <w:fldChar w:fldCharType="separate"/>
    </w:r>
    <w:r>
      <w:rPr>
        <w:lang w:val="zh-CN"/>
      </w:rPr>
      <w:t>78</w:t>
    </w:r>
    <w:r>
      <w:rPr>
        <w:lang w:val="zh-CN"/>
      </w:rPr>
      <w:fldChar w:fldCharType="end"/>
    </w:r>
  </w:p>
  <w:p>
    <w:pPr>
      <w:pStyle w:val="27"/>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514241"/>
    </w:sdtPr>
    <w:sdtContent>
      <w:p>
        <w:pPr>
          <w:pStyle w:val="27"/>
          <w:ind w:firstLine="480"/>
          <w:jc w:val="center"/>
        </w:pPr>
        <w:r>
          <w:fldChar w:fldCharType="begin"/>
        </w:r>
        <w:r>
          <w:instrText xml:space="preserve">PAGE   \* MERGEFORMAT</w:instrText>
        </w:r>
        <w:r>
          <w:fldChar w:fldCharType="separate"/>
        </w:r>
        <w:r>
          <w:rPr>
            <w:lang w:val="zh-CN"/>
          </w:rPr>
          <w:t>134</w:t>
        </w:r>
        <w:r>
          <w:rPr>
            <w:lang w:val="zh-CN"/>
          </w:rP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E5BA21"/>
    <w:multiLevelType w:val="singleLevel"/>
    <w:tmpl w:val="89E5BA21"/>
    <w:lvl w:ilvl="0" w:tentative="0">
      <w:start w:val="1"/>
      <w:numFmt w:val="chineseCounting"/>
      <w:suff w:val="nothing"/>
      <w:lvlText w:val="%1、"/>
      <w:lvlJc w:val="left"/>
      <w:rPr>
        <w:rFonts w:hint="eastAsia"/>
      </w:rPr>
    </w:lvl>
  </w:abstractNum>
  <w:abstractNum w:abstractNumId="1">
    <w:nsid w:val="A3A358C3"/>
    <w:multiLevelType w:val="singleLevel"/>
    <w:tmpl w:val="A3A358C3"/>
    <w:lvl w:ilvl="0" w:tentative="0">
      <w:start w:val="1"/>
      <w:numFmt w:val="chineseCounting"/>
      <w:suff w:val="nothing"/>
      <w:lvlText w:val="%1、"/>
      <w:lvlJc w:val="left"/>
      <w:pPr>
        <w:ind w:left="0" w:firstLine="420"/>
      </w:pPr>
      <w:rPr>
        <w:rFonts w:hint="eastAsia"/>
      </w:rPr>
    </w:lvl>
  </w:abstractNum>
  <w:abstractNum w:abstractNumId="2">
    <w:nsid w:val="D65E66F8"/>
    <w:multiLevelType w:val="singleLevel"/>
    <w:tmpl w:val="D65E66F8"/>
    <w:lvl w:ilvl="0" w:tentative="0">
      <w:start w:val="1"/>
      <w:numFmt w:val="chineseCounting"/>
      <w:suff w:val="nothing"/>
      <w:lvlText w:val="（%1）"/>
      <w:lvlJc w:val="left"/>
      <w:rPr>
        <w:rFonts w:hint="eastAsia"/>
      </w:rPr>
    </w:lvl>
  </w:abstractNum>
  <w:abstractNum w:abstractNumId="3">
    <w:nsid w:val="DE31897F"/>
    <w:multiLevelType w:val="singleLevel"/>
    <w:tmpl w:val="DE31897F"/>
    <w:lvl w:ilvl="0" w:tentative="0">
      <w:start w:val="1"/>
      <w:numFmt w:val="decimal"/>
      <w:suff w:val="nothing"/>
      <w:lvlText w:val="%1．"/>
      <w:lvlJc w:val="left"/>
      <w:pPr>
        <w:ind w:left="0" w:firstLine="400"/>
      </w:pPr>
      <w:rPr>
        <w:rFonts w:hint="default"/>
      </w:rPr>
    </w:lvl>
  </w:abstractNum>
  <w:abstractNum w:abstractNumId="4">
    <w:nsid w:val="E20E24EE"/>
    <w:multiLevelType w:val="singleLevel"/>
    <w:tmpl w:val="E20E24EE"/>
    <w:lvl w:ilvl="0" w:tentative="0">
      <w:start w:val="1"/>
      <w:numFmt w:val="decimal"/>
      <w:suff w:val="space"/>
      <w:lvlText w:val="%1."/>
      <w:lvlJc w:val="left"/>
    </w:lvl>
  </w:abstractNum>
  <w:abstractNum w:abstractNumId="5">
    <w:nsid w:val="EAB0EF0E"/>
    <w:multiLevelType w:val="singleLevel"/>
    <w:tmpl w:val="EAB0EF0E"/>
    <w:lvl w:ilvl="0" w:tentative="0">
      <w:start w:val="1"/>
      <w:numFmt w:val="chineseCounting"/>
      <w:suff w:val="nothing"/>
      <w:lvlText w:val="%1、"/>
      <w:lvlJc w:val="left"/>
      <w:rPr>
        <w:rFonts w:hint="eastAsia"/>
      </w:rPr>
    </w:lvl>
  </w:abstractNum>
  <w:abstractNum w:abstractNumId="6">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7">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9">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2">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3">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6">
    <w:nsid w:val="0000002E"/>
    <w:multiLevelType w:val="multilevel"/>
    <w:tmpl w:val="0000002E"/>
    <w:lvl w:ilvl="0" w:tentative="0">
      <w:start w:val="1"/>
      <w:numFmt w:val="decimal"/>
      <w:pStyle w:val="3"/>
      <w:lvlText w:val="第%1章"/>
      <w:lvlJc w:val="left"/>
      <w:pPr>
        <w:ind w:left="3118"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7">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9">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3E"/>
    <w:multiLevelType w:val="multilevel"/>
    <w:tmpl w:val="0000003E"/>
    <w:lvl w:ilvl="0" w:tentative="0">
      <w:start w:val="1"/>
      <w:numFmt w:val="chineseCountingThousand"/>
      <w:suff w:val="nothing"/>
      <w:lvlText w:val="%1、"/>
      <w:lvlJc w:val="left"/>
      <w:pPr>
        <w:ind w:left="2126" w:hanging="420"/>
      </w:pPr>
      <w:rPr>
        <w:b/>
        <w:i w:val="0"/>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21">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3">
    <w:nsid w:val="045E34F4"/>
    <w:multiLevelType w:val="multilevel"/>
    <w:tmpl w:val="045E34F4"/>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4">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6">
    <w:nsid w:val="0FA016B2"/>
    <w:multiLevelType w:val="multilevel"/>
    <w:tmpl w:val="0FA016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27C525E"/>
    <w:multiLevelType w:val="multilevel"/>
    <w:tmpl w:val="127C52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4B34543"/>
    <w:multiLevelType w:val="multilevel"/>
    <w:tmpl w:val="14B3454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30">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1">
    <w:nsid w:val="20812707"/>
    <w:multiLevelType w:val="multilevel"/>
    <w:tmpl w:val="20812707"/>
    <w:lvl w:ilvl="0" w:tentative="0">
      <w:start w:val="1"/>
      <w:numFmt w:val="decimal"/>
      <w:lvlText w:val="%1、"/>
      <w:lvlJc w:val="left"/>
      <w:pPr>
        <w:ind w:left="420" w:hanging="420"/>
      </w:pPr>
      <w:rPr>
        <w:rFonts w:hint="default" w:ascii="宋体" w:hAnsi="宋体" w:eastAsia="宋体" w:cs="宋体"/>
        <w:b w:val="0"/>
        <w:bCs w:val="0"/>
      </w:rPr>
    </w:lvl>
    <w:lvl w:ilvl="1" w:tentative="0">
      <w:start w:val="1"/>
      <w:numFmt w:val="decimal"/>
      <w:lvlText w:val="%2、"/>
      <w:lvlJc w:val="left"/>
      <w:pPr>
        <w:ind w:left="780" w:hanging="360"/>
      </w:pPr>
      <w:rPr>
        <w:rFonts w:hint="default" w:cs="Times New Roman"/>
        <w:sz w:val="21"/>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34F80F7"/>
    <w:multiLevelType w:val="singleLevel"/>
    <w:tmpl w:val="234F80F7"/>
    <w:lvl w:ilvl="0" w:tentative="0">
      <w:start w:val="1"/>
      <w:numFmt w:val="decimal"/>
      <w:lvlText w:val="%1."/>
      <w:lvlJc w:val="left"/>
      <w:pPr>
        <w:ind w:left="425" w:hanging="425"/>
      </w:pPr>
      <w:rPr>
        <w:rFonts w:hint="default"/>
      </w:rPr>
    </w:lvl>
  </w:abstractNum>
  <w:abstractNum w:abstractNumId="33">
    <w:nsid w:val="253B02A5"/>
    <w:multiLevelType w:val="multilevel"/>
    <w:tmpl w:val="253B02A5"/>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56B381B"/>
    <w:multiLevelType w:val="multilevel"/>
    <w:tmpl w:val="256B381B"/>
    <w:lvl w:ilvl="0" w:tentative="0">
      <w:start w:val="1"/>
      <w:numFmt w:val="decimal"/>
      <w:lvlText w:val="%1、"/>
      <w:lvlJc w:val="left"/>
      <w:pPr>
        <w:ind w:left="780" w:hanging="4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28503DBD"/>
    <w:multiLevelType w:val="multilevel"/>
    <w:tmpl w:val="28503DBD"/>
    <w:lvl w:ilvl="0" w:tentative="0">
      <w:start w:val="1"/>
      <w:numFmt w:val="decimal"/>
      <w:lvlText w:val="%1、"/>
      <w:lvlJc w:val="left"/>
      <w:pPr>
        <w:ind w:left="420" w:hanging="420"/>
      </w:pPr>
      <w:rPr>
        <w:rFonts w:hint="default"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2B883668"/>
    <w:multiLevelType w:val="multilevel"/>
    <w:tmpl w:val="2B883668"/>
    <w:lvl w:ilvl="0" w:tentative="0">
      <w:start w:val="1"/>
      <w:numFmt w:val="chineseCountingThousand"/>
      <w:lvlText w:val="(%1)"/>
      <w:lvlJc w:val="left"/>
      <w:pPr>
        <w:ind w:left="297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BBF080E"/>
    <w:multiLevelType w:val="multilevel"/>
    <w:tmpl w:val="2BBF080E"/>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41">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383D3666"/>
    <w:multiLevelType w:val="multilevel"/>
    <w:tmpl w:val="383D36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B1B3EB7"/>
    <w:multiLevelType w:val="multilevel"/>
    <w:tmpl w:val="3B1B3EB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3FE45259"/>
    <w:multiLevelType w:val="singleLevel"/>
    <w:tmpl w:val="3FE45259"/>
    <w:lvl w:ilvl="0" w:tentative="0">
      <w:start w:val="1"/>
      <w:numFmt w:val="chineseCounting"/>
      <w:suff w:val="nothing"/>
      <w:lvlText w:val="%1、"/>
      <w:lvlJc w:val="left"/>
      <w:rPr>
        <w:rFonts w:hint="eastAsia"/>
      </w:rPr>
    </w:lvl>
  </w:abstractNum>
  <w:abstractNum w:abstractNumId="45">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6">
    <w:nsid w:val="4ACE7CA3"/>
    <w:multiLevelType w:val="multilevel"/>
    <w:tmpl w:val="4ACE7CA3"/>
    <w:lvl w:ilvl="0" w:tentative="0">
      <w:start w:val="1"/>
      <w:numFmt w:val="decimal"/>
      <w:lvlText w:val="%1."/>
      <w:lvlJc w:val="left"/>
      <w:pPr>
        <w:ind w:left="700" w:hanging="420"/>
      </w:p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47">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4C72071B"/>
    <w:multiLevelType w:val="multilevel"/>
    <w:tmpl w:val="4C72071B"/>
    <w:lvl w:ilvl="0" w:tentative="0">
      <w:start w:val="1"/>
      <w:numFmt w:val="chineseCountingThousand"/>
      <w:lvlText w:val="%1、"/>
      <w:lvlJc w:val="left"/>
      <w:pPr>
        <w:ind w:left="420"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0">
    <w:nsid w:val="4DE57F4E"/>
    <w:multiLevelType w:val="multilevel"/>
    <w:tmpl w:val="4DE57F4E"/>
    <w:lvl w:ilvl="0" w:tentative="0">
      <w:start w:val="1"/>
      <w:numFmt w:val="decimal"/>
      <w:lvlText w:val="%1、"/>
      <w:lvlJc w:val="left"/>
      <w:pPr>
        <w:ind w:left="360" w:hanging="360"/>
      </w:pPr>
      <w:rPr>
        <w:rFonts w:hint="default" w:ascii="宋体" w:hAnsi="宋体" w:eastAsia="宋体" w:cs="宋体"/>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4E1C7CE1"/>
    <w:multiLevelType w:val="singleLevel"/>
    <w:tmpl w:val="4E1C7CE1"/>
    <w:lvl w:ilvl="0" w:tentative="0">
      <w:start w:val="1"/>
      <w:numFmt w:val="chineseCounting"/>
      <w:suff w:val="nothing"/>
      <w:lvlText w:val="%1、"/>
      <w:lvlJc w:val="left"/>
      <w:pPr>
        <w:ind w:left="0" w:firstLine="420"/>
      </w:pPr>
      <w:rPr>
        <w:rFonts w:hint="eastAsia"/>
      </w:rPr>
    </w:lvl>
  </w:abstractNum>
  <w:abstractNum w:abstractNumId="52">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574D74CA"/>
    <w:multiLevelType w:val="multilevel"/>
    <w:tmpl w:val="574D74CA"/>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57BB7786"/>
    <w:multiLevelType w:val="multilevel"/>
    <w:tmpl w:val="57BB7786"/>
    <w:lvl w:ilvl="0" w:tentative="0">
      <w:start w:val="1"/>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5BFB67F0"/>
    <w:multiLevelType w:val="multilevel"/>
    <w:tmpl w:val="5BFB67F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5C9D4CB5"/>
    <w:multiLevelType w:val="multilevel"/>
    <w:tmpl w:val="5C9D4CB5"/>
    <w:lvl w:ilvl="0" w:tentative="0">
      <w:start w:val="1"/>
      <w:numFmt w:val="decimal"/>
      <w:lvlText w:val="%1."/>
      <w:lvlJc w:val="left"/>
      <w:pPr>
        <w:ind w:left="7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9">
    <w:nsid w:val="60EBFE00"/>
    <w:multiLevelType w:val="singleLevel"/>
    <w:tmpl w:val="60EBFE00"/>
    <w:lvl w:ilvl="0" w:tentative="0">
      <w:start w:val="1"/>
      <w:numFmt w:val="decimal"/>
      <w:lvlText w:val="%1."/>
      <w:lvlJc w:val="left"/>
      <w:pPr>
        <w:ind w:left="425" w:hanging="425"/>
      </w:pPr>
      <w:rPr>
        <w:rFonts w:hint="default"/>
      </w:rPr>
    </w:lvl>
  </w:abstractNum>
  <w:abstractNum w:abstractNumId="60">
    <w:nsid w:val="617229B6"/>
    <w:multiLevelType w:val="multilevel"/>
    <w:tmpl w:val="617229B6"/>
    <w:lvl w:ilvl="0" w:tentative="0">
      <w:start w:val="1"/>
      <w:numFmt w:val="chineseCountingThousand"/>
      <w:lvlText w:val="%1、"/>
      <w:lvlJc w:val="left"/>
      <w:pPr>
        <w:ind w:left="96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61">
    <w:nsid w:val="635D2D8D"/>
    <w:multiLevelType w:val="multilevel"/>
    <w:tmpl w:val="635D2D8D"/>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2">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3">
    <w:nsid w:val="63D12240"/>
    <w:multiLevelType w:val="multilevel"/>
    <w:tmpl w:val="63D12240"/>
    <w:lvl w:ilvl="0" w:tentative="0">
      <w:start w:val="1"/>
      <w:numFmt w:val="japaneseCounting"/>
      <w:lvlText w:val="%1、"/>
      <w:lvlJc w:val="left"/>
      <w:pPr>
        <w:ind w:left="3394" w:hanging="1125"/>
      </w:pPr>
      <w:rPr>
        <w:rFonts w:hint="eastAsia" w:ascii="宋体" w:hAnsi="宋体" w:eastAsia="宋体" w:cs="宋体"/>
        <w:b w:val="0"/>
        <w:bCs/>
        <w:sz w:val="28"/>
      </w:rPr>
    </w:lvl>
    <w:lvl w:ilvl="1" w:tentative="0">
      <w:start w:val="1"/>
      <w:numFmt w:val="lowerLetter"/>
      <w:lvlText w:val="%2)"/>
      <w:lvlJc w:val="left"/>
      <w:pPr>
        <w:ind w:left="2242" w:hanging="420"/>
      </w:pPr>
    </w:lvl>
    <w:lvl w:ilvl="2" w:tentative="0">
      <w:start w:val="1"/>
      <w:numFmt w:val="lowerRoman"/>
      <w:lvlText w:val="%3."/>
      <w:lvlJc w:val="right"/>
      <w:pPr>
        <w:ind w:left="2662" w:hanging="420"/>
      </w:pPr>
    </w:lvl>
    <w:lvl w:ilvl="3" w:tentative="0">
      <w:start w:val="1"/>
      <w:numFmt w:val="decimal"/>
      <w:lvlText w:val="%4."/>
      <w:lvlJc w:val="left"/>
      <w:pPr>
        <w:ind w:left="3082" w:hanging="420"/>
      </w:pPr>
    </w:lvl>
    <w:lvl w:ilvl="4" w:tentative="0">
      <w:start w:val="1"/>
      <w:numFmt w:val="lowerLetter"/>
      <w:lvlText w:val="%5)"/>
      <w:lvlJc w:val="left"/>
      <w:pPr>
        <w:ind w:left="3502" w:hanging="420"/>
      </w:pPr>
    </w:lvl>
    <w:lvl w:ilvl="5" w:tentative="0">
      <w:start w:val="1"/>
      <w:numFmt w:val="lowerRoman"/>
      <w:lvlText w:val="%6."/>
      <w:lvlJc w:val="right"/>
      <w:pPr>
        <w:ind w:left="3922" w:hanging="420"/>
      </w:pPr>
    </w:lvl>
    <w:lvl w:ilvl="6" w:tentative="0">
      <w:start w:val="1"/>
      <w:numFmt w:val="decimal"/>
      <w:lvlText w:val="%7."/>
      <w:lvlJc w:val="left"/>
      <w:pPr>
        <w:ind w:left="4342" w:hanging="420"/>
      </w:pPr>
    </w:lvl>
    <w:lvl w:ilvl="7" w:tentative="0">
      <w:start w:val="1"/>
      <w:numFmt w:val="lowerLetter"/>
      <w:lvlText w:val="%8)"/>
      <w:lvlJc w:val="left"/>
      <w:pPr>
        <w:ind w:left="4762" w:hanging="420"/>
      </w:pPr>
    </w:lvl>
    <w:lvl w:ilvl="8" w:tentative="0">
      <w:start w:val="1"/>
      <w:numFmt w:val="lowerRoman"/>
      <w:lvlText w:val="%9."/>
      <w:lvlJc w:val="right"/>
      <w:pPr>
        <w:ind w:left="5182" w:hanging="420"/>
      </w:pPr>
    </w:lvl>
  </w:abstractNum>
  <w:abstractNum w:abstractNumId="64">
    <w:nsid w:val="64CA5317"/>
    <w:multiLevelType w:val="multilevel"/>
    <w:tmpl w:val="64CA531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64D762C6"/>
    <w:multiLevelType w:val="singleLevel"/>
    <w:tmpl w:val="64D762C6"/>
    <w:lvl w:ilvl="0" w:tentative="0">
      <w:start w:val="1"/>
      <w:numFmt w:val="chineseCounting"/>
      <w:suff w:val="nothing"/>
      <w:lvlText w:val="（%1）"/>
      <w:lvlJc w:val="left"/>
      <w:pPr>
        <w:ind w:left="0" w:firstLine="420"/>
      </w:pPr>
      <w:rPr>
        <w:rFonts w:hint="eastAsia"/>
      </w:rPr>
    </w:lvl>
  </w:abstractNum>
  <w:abstractNum w:abstractNumId="66">
    <w:nsid w:val="65EA1929"/>
    <w:multiLevelType w:val="multilevel"/>
    <w:tmpl w:val="65EA19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6F515362"/>
    <w:multiLevelType w:val="multilevel"/>
    <w:tmpl w:val="6F5153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69">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7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1">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72">
    <w:nsid w:val="757F5E3C"/>
    <w:multiLevelType w:val="multilevel"/>
    <w:tmpl w:val="757F5E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77F678BD"/>
    <w:multiLevelType w:val="multilevel"/>
    <w:tmpl w:val="77F678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787B57E9"/>
    <w:multiLevelType w:val="multilevel"/>
    <w:tmpl w:val="787B57E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76">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6"/>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60"/>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num>
  <w:num w:numId="37">
    <w:abstractNumId w:val="57"/>
  </w:num>
  <w:num w:numId="38">
    <w:abstractNumId w:val="59"/>
  </w:num>
  <w:num w:numId="39">
    <w:abstractNumId w:val="74"/>
  </w:num>
  <w:num w:numId="40">
    <w:abstractNumId w:val="31"/>
  </w:num>
  <w:num w:numId="41">
    <w:abstractNumId w:val="50"/>
  </w:num>
  <w:num w:numId="42">
    <w:abstractNumId w:val="38"/>
  </w:num>
  <w:num w:numId="43">
    <w:abstractNumId w:val="64"/>
  </w:num>
  <w:num w:numId="44">
    <w:abstractNumId w:val="55"/>
  </w:num>
  <w:num w:numId="45">
    <w:abstractNumId w:val="34"/>
  </w:num>
  <w:num w:numId="46">
    <w:abstractNumId w:val="33"/>
  </w:num>
  <w:num w:numId="47">
    <w:abstractNumId w:val="43"/>
  </w:num>
  <w:num w:numId="48">
    <w:abstractNumId w:val="23"/>
  </w:num>
  <w:num w:numId="49">
    <w:abstractNumId w:val="36"/>
  </w:num>
  <w:num w:numId="50">
    <w:abstractNumId w:val="28"/>
  </w:num>
  <w:num w:numId="51">
    <w:abstractNumId w:val="66"/>
  </w:num>
  <w:num w:numId="52">
    <w:abstractNumId w:val="61"/>
  </w:num>
  <w:num w:numId="53">
    <w:abstractNumId w:val="27"/>
  </w:num>
  <w:num w:numId="54">
    <w:abstractNumId w:val="73"/>
  </w:num>
  <w:num w:numId="55">
    <w:abstractNumId w:val="26"/>
  </w:num>
  <w:num w:numId="56">
    <w:abstractNumId w:val="72"/>
  </w:num>
  <w:num w:numId="57">
    <w:abstractNumId w:val="67"/>
  </w:num>
  <w:num w:numId="58">
    <w:abstractNumId w:val="42"/>
  </w:num>
  <w:num w:numId="59">
    <w:abstractNumId w:val="56"/>
  </w:num>
  <w:num w:numId="60">
    <w:abstractNumId w:val="32"/>
  </w:num>
  <w:num w:numId="61">
    <w:abstractNumId w:val="44"/>
  </w:num>
  <w:num w:numId="62">
    <w:abstractNumId w:val="51"/>
  </w:num>
  <w:num w:numId="63">
    <w:abstractNumId w:val="65"/>
  </w:num>
  <w:num w:numId="64">
    <w:abstractNumId w:val="0"/>
  </w:num>
  <w:num w:numId="65">
    <w:abstractNumId w:val="54"/>
  </w:num>
  <w:num w:numId="66">
    <w:abstractNumId w:val="1"/>
  </w:num>
  <w:num w:numId="67">
    <w:abstractNumId w:val="2"/>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12151"/>
    <w:rsid w:val="00012626"/>
    <w:rsid w:val="000141F6"/>
    <w:rsid w:val="00014A41"/>
    <w:rsid w:val="000175B6"/>
    <w:rsid w:val="000243B4"/>
    <w:rsid w:val="00027377"/>
    <w:rsid w:val="00030E31"/>
    <w:rsid w:val="00034235"/>
    <w:rsid w:val="0003441E"/>
    <w:rsid w:val="000352C7"/>
    <w:rsid w:val="00036D45"/>
    <w:rsid w:val="00037CCE"/>
    <w:rsid w:val="000403DE"/>
    <w:rsid w:val="000514D3"/>
    <w:rsid w:val="000518B7"/>
    <w:rsid w:val="00051C10"/>
    <w:rsid w:val="000556AE"/>
    <w:rsid w:val="00056BC2"/>
    <w:rsid w:val="00060F5A"/>
    <w:rsid w:val="00061B1F"/>
    <w:rsid w:val="00062ED3"/>
    <w:rsid w:val="00064BE4"/>
    <w:rsid w:val="00064CC8"/>
    <w:rsid w:val="00071C77"/>
    <w:rsid w:val="00072223"/>
    <w:rsid w:val="0007245D"/>
    <w:rsid w:val="00072790"/>
    <w:rsid w:val="000736B8"/>
    <w:rsid w:val="000740B8"/>
    <w:rsid w:val="00075226"/>
    <w:rsid w:val="0008183B"/>
    <w:rsid w:val="0008351A"/>
    <w:rsid w:val="0008396B"/>
    <w:rsid w:val="00090CEC"/>
    <w:rsid w:val="00094004"/>
    <w:rsid w:val="00094BF4"/>
    <w:rsid w:val="00096E03"/>
    <w:rsid w:val="00097F27"/>
    <w:rsid w:val="000A04C0"/>
    <w:rsid w:val="000A0A88"/>
    <w:rsid w:val="000A1D1F"/>
    <w:rsid w:val="000A2F7D"/>
    <w:rsid w:val="000A6A86"/>
    <w:rsid w:val="000B0566"/>
    <w:rsid w:val="000B0BDD"/>
    <w:rsid w:val="000B6BFA"/>
    <w:rsid w:val="000C156C"/>
    <w:rsid w:val="000C4591"/>
    <w:rsid w:val="000C52E5"/>
    <w:rsid w:val="000D18C0"/>
    <w:rsid w:val="000D261C"/>
    <w:rsid w:val="000D28CC"/>
    <w:rsid w:val="000D4993"/>
    <w:rsid w:val="000E7E9D"/>
    <w:rsid w:val="000F0E67"/>
    <w:rsid w:val="000F60AD"/>
    <w:rsid w:val="001032A8"/>
    <w:rsid w:val="001050C6"/>
    <w:rsid w:val="0010588D"/>
    <w:rsid w:val="00105E67"/>
    <w:rsid w:val="001073E5"/>
    <w:rsid w:val="00107411"/>
    <w:rsid w:val="00111D9C"/>
    <w:rsid w:val="0011368F"/>
    <w:rsid w:val="00117416"/>
    <w:rsid w:val="001178B2"/>
    <w:rsid w:val="00120CE7"/>
    <w:rsid w:val="00121DB8"/>
    <w:rsid w:val="00122BD7"/>
    <w:rsid w:val="00122D97"/>
    <w:rsid w:val="001237A6"/>
    <w:rsid w:val="00123A95"/>
    <w:rsid w:val="001262A7"/>
    <w:rsid w:val="00127207"/>
    <w:rsid w:val="00132C64"/>
    <w:rsid w:val="00134BA8"/>
    <w:rsid w:val="001408B7"/>
    <w:rsid w:val="00140D68"/>
    <w:rsid w:val="00144FDB"/>
    <w:rsid w:val="00145269"/>
    <w:rsid w:val="001471FF"/>
    <w:rsid w:val="00153AED"/>
    <w:rsid w:val="00153CE6"/>
    <w:rsid w:val="00155145"/>
    <w:rsid w:val="00167216"/>
    <w:rsid w:val="001761E6"/>
    <w:rsid w:val="00182644"/>
    <w:rsid w:val="00183A95"/>
    <w:rsid w:val="001861B9"/>
    <w:rsid w:val="001902FC"/>
    <w:rsid w:val="00192DEE"/>
    <w:rsid w:val="001A11CD"/>
    <w:rsid w:val="001A16D4"/>
    <w:rsid w:val="001A268E"/>
    <w:rsid w:val="001A7C04"/>
    <w:rsid w:val="001B0B26"/>
    <w:rsid w:val="001B33BD"/>
    <w:rsid w:val="001B63D8"/>
    <w:rsid w:val="001B6694"/>
    <w:rsid w:val="001C04F2"/>
    <w:rsid w:val="001C6504"/>
    <w:rsid w:val="001C7B91"/>
    <w:rsid w:val="001D0739"/>
    <w:rsid w:val="001D38C2"/>
    <w:rsid w:val="001D57E6"/>
    <w:rsid w:val="001E2114"/>
    <w:rsid w:val="001E369C"/>
    <w:rsid w:val="001E3E2B"/>
    <w:rsid w:val="001E567F"/>
    <w:rsid w:val="001F412D"/>
    <w:rsid w:val="00201F03"/>
    <w:rsid w:val="0020244C"/>
    <w:rsid w:val="0020352C"/>
    <w:rsid w:val="00234BAB"/>
    <w:rsid w:val="0023546D"/>
    <w:rsid w:val="002359E9"/>
    <w:rsid w:val="0024454D"/>
    <w:rsid w:val="00250119"/>
    <w:rsid w:val="002527EB"/>
    <w:rsid w:val="00252920"/>
    <w:rsid w:val="0025426D"/>
    <w:rsid w:val="002572A3"/>
    <w:rsid w:val="0026057E"/>
    <w:rsid w:val="00266214"/>
    <w:rsid w:val="002712E5"/>
    <w:rsid w:val="00277630"/>
    <w:rsid w:val="00281AF2"/>
    <w:rsid w:val="0028299F"/>
    <w:rsid w:val="00284814"/>
    <w:rsid w:val="00290A5C"/>
    <w:rsid w:val="00290E1D"/>
    <w:rsid w:val="00291F58"/>
    <w:rsid w:val="002923EA"/>
    <w:rsid w:val="0029432D"/>
    <w:rsid w:val="002A0908"/>
    <w:rsid w:val="002A21E7"/>
    <w:rsid w:val="002A4E91"/>
    <w:rsid w:val="002A6C35"/>
    <w:rsid w:val="002A6CBC"/>
    <w:rsid w:val="002A734D"/>
    <w:rsid w:val="002A7579"/>
    <w:rsid w:val="002B1ABE"/>
    <w:rsid w:val="002B2470"/>
    <w:rsid w:val="002B30CF"/>
    <w:rsid w:val="002B46A8"/>
    <w:rsid w:val="002B5F08"/>
    <w:rsid w:val="002B6C18"/>
    <w:rsid w:val="002B729A"/>
    <w:rsid w:val="002B7FDA"/>
    <w:rsid w:val="002C022D"/>
    <w:rsid w:val="002C0CB9"/>
    <w:rsid w:val="002C184B"/>
    <w:rsid w:val="002C758B"/>
    <w:rsid w:val="002D1454"/>
    <w:rsid w:val="002D219C"/>
    <w:rsid w:val="002D23E6"/>
    <w:rsid w:val="002D37C4"/>
    <w:rsid w:val="002E18B1"/>
    <w:rsid w:val="002E7F85"/>
    <w:rsid w:val="002F2C78"/>
    <w:rsid w:val="002F4288"/>
    <w:rsid w:val="003048DB"/>
    <w:rsid w:val="00305022"/>
    <w:rsid w:val="00305EB7"/>
    <w:rsid w:val="00306F8F"/>
    <w:rsid w:val="00310E45"/>
    <w:rsid w:val="00311377"/>
    <w:rsid w:val="00312404"/>
    <w:rsid w:val="003136FF"/>
    <w:rsid w:val="00315FD1"/>
    <w:rsid w:val="003160DE"/>
    <w:rsid w:val="00317FDF"/>
    <w:rsid w:val="00321B72"/>
    <w:rsid w:val="003259DB"/>
    <w:rsid w:val="00325D4A"/>
    <w:rsid w:val="003313FF"/>
    <w:rsid w:val="00345ACC"/>
    <w:rsid w:val="003466A1"/>
    <w:rsid w:val="0035095F"/>
    <w:rsid w:val="00351C5C"/>
    <w:rsid w:val="00352CC6"/>
    <w:rsid w:val="00356EA8"/>
    <w:rsid w:val="00361FE0"/>
    <w:rsid w:val="00363C38"/>
    <w:rsid w:val="0036589D"/>
    <w:rsid w:val="003671A2"/>
    <w:rsid w:val="00367A2C"/>
    <w:rsid w:val="00370BBF"/>
    <w:rsid w:val="003713D7"/>
    <w:rsid w:val="00376071"/>
    <w:rsid w:val="003772F0"/>
    <w:rsid w:val="0037775B"/>
    <w:rsid w:val="00377878"/>
    <w:rsid w:val="00380680"/>
    <w:rsid w:val="0038110B"/>
    <w:rsid w:val="003826D1"/>
    <w:rsid w:val="00384BF6"/>
    <w:rsid w:val="003854BD"/>
    <w:rsid w:val="00385B50"/>
    <w:rsid w:val="003872B9"/>
    <w:rsid w:val="0039004F"/>
    <w:rsid w:val="00392220"/>
    <w:rsid w:val="003973AA"/>
    <w:rsid w:val="003A464B"/>
    <w:rsid w:val="003B254C"/>
    <w:rsid w:val="003B3D08"/>
    <w:rsid w:val="003B4E95"/>
    <w:rsid w:val="003C1755"/>
    <w:rsid w:val="003C22B2"/>
    <w:rsid w:val="003C2DEB"/>
    <w:rsid w:val="003C7DC4"/>
    <w:rsid w:val="003D3695"/>
    <w:rsid w:val="003D5D1A"/>
    <w:rsid w:val="003E0EC4"/>
    <w:rsid w:val="003E352F"/>
    <w:rsid w:val="003E6168"/>
    <w:rsid w:val="003F19C0"/>
    <w:rsid w:val="003F231B"/>
    <w:rsid w:val="003F2B24"/>
    <w:rsid w:val="003F449C"/>
    <w:rsid w:val="004023F4"/>
    <w:rsid w:val="004030C8"/>
    <w:rsid w:val="004044F7"/>
    <w:rsid w:val="0040550B"/>
    <w:rsid w:val="004110CF"/>
    <w:rsid w:val="004132E6"/>
    <w:rsid w:val="00414D00"/>
    <w:rsid w:val="00414E09"/>
    <w:rsid w:val="0041672F"/>
    <w:rsid w:val="004216B6"/>
    <w:rsid w:val="00421A24"/>
    <w:rsid w:val="004266BA"/>
    <w:rsid w:val="004417D5"/>
    <w:rsid w:val="004428D7"/>
    <w:rsid w:val="00444A4E"/>
    <w:rsid w:val="00450758"/>
    <w:rsid w:val="00453E3D"/>
    <w:rsid w:val="00454540"/>
    <w:rsid w:val="00454B38"/>
    <w:rsid w:val="00455E6A"/>
    <w:rsid w:val="00461D47"/>
    <w:rsid w:val="0046315B"/>
    <w:rsid w:val="004642AB"/>
    <w:rsid w:val="00465C24"/>
    <w:rsid w:val="00473B52"/>
    <w:rsid w:val="00490EB1"/>
    <w:rsid w:val="00492416"/>
    <w:rsid w:val="004937FB"/>
    <w:rsid w:val="00496BF2"/>
    <w:rsid w:val="00497D96"/>
    <w:rsid w:val="004A33F2"/>
    <w:rsid w:val="004A46B7"/>
    <w:rsid w:val="004A7164"/>
    <w:rsid w:val="004B5BC1"/>
    <w:rsid w:val="004C0629"/>
    <w:rsid w:val="004C21C1"/>
    <w:rsid w:val="004C2617"/>
    <w:rsid w:val="004C749A"/>
    <w:rsid w:val="004D1459"/>
    <w:rsid w:val="004D4127"/>
    <w:rsid w:val="004D4BD8"/>
    <w:rsid w:val="004D5161"/>
    <w:rsid w:val="004D51B2"/>
    <w:rsid w:val="004D57C1"/>
    <w:rsid w:val="004E6249"/>
    <w:rsid w:val="004E629C"/>
    <w:rsid w:val="004E69F1"/>
    <w:rsid w:val="004F5AA1"/>
    <w:rsid w:val="004F5C26"/>
    <w:rsid w:val="004F5F12"/>
    <w:rsid w:val="004F77EB"/>
    <w:rsid w:val="00501B1F"/>
    <w:rsid w:val="00503FAD"/>
    <w:rsid w:val="00512A0A"/>
    <w:rsid w:val="00516E36"/>
    <w:rsid w:val="00516FA0"/>
    <w:rsid w:val="00520369"/>
    <w:rsid w:val="005211D0"/>
    <w:rsid w:val="00521CCA"/>
    <w:rsid w:val="005240BA"/>
    <w:rsid w:val="00525240"/>
    <w:rsid w:val="005267BB"/>
    <w:rsid w:val="0053002C"/>
    <w:rsid w:val="005357F0"/>
    <w:rsid w:val="00540B6F"/>
    <w:rsid w:val="0054101C"/>
    <w:rsid w:val="005416D4"/>
    <w:rsid w:val="005416FA"/>
    <w:rsid w:val="00543F8F"/>
    <w:rsid w:val="0054431E"/>
    <w:rsid w:val="005503FB"/>
    <w:rsid w:val="00550F4A"/>
    <w:rsid w:val="00552345"/>
    <w:rsid w:val="0055261B"/>
    <w:rsid w:val="00553FA1"/>
    <w:rsid w:val="005551E8"/>
    <w:rsid w:val="0056629C"/>
    <w:rsid w:val="00570B90"/>
    <w:rsid w:val="00570C5A"/>
    <w:rsid w:val="005814A1"/>
    <w:rsid w:val="00591B1A"/>
    <w:rsid w:val="0059252D"/>
    <w:rsid w:val="005A0A72"/>
    <w:rsid w:val="005A0D32"/>
    <w:rsid w:val="005A4C6D"/>
    <w:rsid w:val="005A635F"/>
    <w:rsid w:val="005A70E8"/>
    <w:rsid w:val="005B4FC8"/>
    <w:rsid w:val="005C0053"/>
    <w:rsid w:val="005C0702"/>
    <w:rsid w:val="005C0EE2"/>
    <w:rsid w:val="005C2371"/>
    <w:rsid w:val="005C6364"/>
    <w:rsid w:val="005D2B6B"/>
    <w:rsid w:val="005E19F0"/>
    <w:rsid w:val="005E295C"/>
    <w:rsid w:val="005E5BCB"/>
    <w:rsid w:val="005F120B"/>
    <w:rsid w:val="005F43EC"/>
    <w:rsid w:val="005F6D42"/>
    <w:rsid w:val="00602082"/>
    <w:rsid w:val="006026DE"/>
    <w:rsid w:val="006065F6"/>
    <w:rsid w:val="00612ABE"/>
    <w:rsid w:val="00627080"/>
    <w:rsid w:val="006308A5"/>
    <w:rsid w:val="00631D06"/>
    <w:rsid w:val="006320B8"/>
    <w:rsid w:val="006378C1"/>
    <w:rsid w:val="00642C40"/>
    <w:rsid w:val="0064767E"/>
    <w:rsid w:val="00647A70"/>
    <w:rsid w:val="00647AC9"/>
    <w:rsid w:val="0065074A"/>
    <w:rsid w:val="00653F0D"/>
    <w:rsid w:val="006548AC"/>
    <w:rsid w:val="00654DD5"/>
    <w:rsid w:val="006557AD"/>
    <w:rsid w:val="00656604"/>
    <w:rsid w:val="0066243E"/>
    <w:rsid w:val="00662E72"/>
    <w:rsid w:val="00666707"/>
    <w:rsid w:val="006670AD"/>
    <w:rsid w:val="00671E18"/>
    <w:rsid w:val="00673782"/>
    <w:rsid w:val="00675258"/>
    <w:rsid w:val="0067612D"/>
    <w:rsid w:val="00676662"/>
    <w:rsid w:val="00677BEE"/>
    <w:rsid w:val="00680AEF"/>
    <w:rsid w:val="0068137A"/>
    <w:rsid w:val="0068568B"/>
    <w:rsid w:val="00685F5A"/>
    <w:rsid w:val="006872FD"/>
    <w:rsid w:val="0068756E"/>
    <w:rsid w:val="0069089A"/>
    <w:rsid w:val="006909B9"/>
    <w:rsid w:val="00696759"/>
    <w:rsid w:val="006A39DB"/>
    <w:rsid w:val="006A601C"/>
    <w:rsid w:val="006A764C"/>
    <w:rsid w:val="006A767F"/>
    <w:rsid w:val="006B5446"/>
    <w:rsid w:val="006B7235"/>
    <w:rsid w:val="006C0C79"/>
    <w:rsid w:val="006C352A"/>
    <w:rsid w:val="006C5F89"/>
    <w:rsid w:val="006D0175"/>
    <w:rsid w:val="006D0667"/>
    <w:rsid w:val="006D3D22"/>
    <w:rsid w:val="006E3106"/>
    <w:rsid w:val="006E3F62"/>
    <w:rsid w:val="006E4F22"/>
    <w:rsid w:val="006E6955"/>
    <w:rsid w:val="006E7141"/>
    <w:rsid w:val="006F02B4"/>
    <w:rsid w:val="006F0597"/>
    <w:rsid w:val="006F6EA6"/>
    <w:rsid w:val="006F7414"/>
    <w:rsid w:val="00700B80"/>
    <w:rsid w:val="00702EB9"/>
    <w:rsid w:val="00705675"/>
    <w:rsid w:val="00705EED"/>
    <w:rsid w:val="00706809"/>
    <w:rsid w:val="007101E0"/>
    <w:rsid w:val="00712A0B"/>
    <w:rsid w:val="00715456"/>
    <w:rsid w:val="0071625D"/>
    <w:rsid w:val="00717BA9"/>
    <w:rsid w:val="00717DA5"/>
    <w:rsid w:val="00721223"/>
    <w:rsid w:val="00724792"/>
    <w:rsid w:val="00726D1D"/>
    <w:rsid w:val="00730EE6"/>
    <w:rsid w:val="00735501"/>
    <w:rsid w:val="00740A2F"/>
    <w:rsid w:val="007513A7"/>
    <w:rsid w:val="00751480"/>
    <w:rsid w:val="0075340E"/>
    <w:rsid w:val="007540E4"/>
    <w:rsid w:val="007560BF"/>
    <w:rsid w:val="007571C9"/>
    <w:rsid w:val="00757DEB"/>
    <w:rsid w:val="007639DD"/>
    <w:rsid w:val="00764320"/>
    <w:rsid w:val="0076642E"/>
    <w:rsid w:val="00767EFE"/>
    <w:rsid w:val="00770A0A"/>
    <w:rsid w:val="007712B8"/>
    <w:rsid w:val="007715F6"/>
    <w:rsid w:val="007719E0"/>
    <w:rsid w:val="00773D82"/>
    <w:rsid w:val="0077555F"/>
    <w:rsid w:val="00776951"/>
    <w:rsid w:val="00780C5B"/>
    <w:rsid w:val="00783451"/>
    <w:rsid w:val="00783E48"/>
    <w:rsid w:val="00786497"/>
    <w:rsid w:val="00791666"/>
    <w:rsid w:val="00793530"/>
    <w:rsid w:val="00795F4E"/>
    <w:rsid w:val="007A0A96"/>
    <w:rsid w:val="007A2038"/>
    <w:rsid w:val="007A4A3A"/>
    <w:rsid w:val="007A52F1"/>
    <w:rsid w:val="007A6EF2"/>
    <w:rsid w:val="007B038E"/>
    <w:rsid w:val="007B0CFC"/>
    <w:rsid w:val="007B1777"/>
    <w:rsid w:val="007B4D7C"/>
    <w:rsid w:val="007B560F"/>
    <w:rsid w:val="007B5FB7"/>
    <w:rsid w:val="007B69EA"/>
    <w:rsid w:val="007B6E0E"/>
    <w:rsid w:val="007C7BFC"/>
    <w:rsid w:val="007C7CBC"/>
    <w:rsid w:val="007D2E1D"/>
    <w:rsid w:val="007D4EB4"/>
    <w:rsid w:val="007D5868"/>
    <w:rsid w:val="007D5C21"/>
    <w:rsid w:val="007D610F"/>
    <w:rsid w:val="007D64B2"/>
    <w:rsid w:val="007D6D58"/>
    <w:rsid w:val="007D7265"/>
    <w:rsid w:val="007D7BDB"/>
    <w:rsid w:val="007E2A9E"/>
    <w:rsid w:val="007E45B9"/>
    <w:rsid w:val="007E5548"/>
    <w:rsid w:val="007F07FA"/>
    <w:rsid w:val="007F77C7"/>
    <w:rsid w:val="00802C18"/>
    <w:rsid w:val="00806E5E"/>
    <w:rsid w:val="008079EB"/>
    <w:rsid w:val="00807CC4"/>
    <w:rsid w:val="00815525"/>
    <w:rsid w:val="00815E39"/>
    <w:rsid w:val="00816B68"/>
    <w:rsid w:val="00821EFD"/>
    <w:rsid w:val="00822E8B"/>
    <w:rsid w:val="00827831"/>
    <w:rsid w:val="00827890"/>
    <w:rsid w:val="0083164D"/>
    <w:rsid w:val="008318C0"/>
    <w:rsid w:val="00832F16"/>
    <w:rsid w:val="008344E1"/>
    <w:rsid w:val="00836B86"/>
    <w:rsid w:val="008409EE"/>
    <w:rsid w:val="0084516F"/>
    <w:rsid w:val="008465E3"/>
    <w:rsid w:val="00846A31"/>
    <w:rsid w:val="00846BBB"/>
    <w:rsid w:val="00851A19"/>
    <w:rsid w:val="0085377B"/>
    <w:rsid w:val="00855DF8"/>
    <w:rsid w:val="008602E5"/>
    <w:rsid w:val="0086235F"/>
    <w:rsid w:val="00863FFA"/>
    <w:rsid w:val="00865690"/>
    <w:rsid w:val="0086607D"/>
    <w:rsid w:val="0087013A"/>
    <w:rsid w:val="00872610"/>
    <w:rsid w:val="0087328A"/>
    <w:rsid w:val="00880B9B"/>
    <w:rsid w:val="008854E1"/>
    <w:rsid w:val="00886532"/>
    <w:rsid w:val="00887597"/>
    <w:rsid w:val="00890872"/>
    <w:rsid w:val="00894014"/>
    <w:rsid w:val="00894C03"/>
    <w:rsid w:val="00894FD9"/>
    <w:rsid w:val="00895FBF"/>
    <w:rsid w:val="008A0693"/>
    <w:rsid w:val="008A31B9"/>
    <w:rsid w:val="008A50AC"/>
    <w:rsid w:val="008B6096"/>
    <w:rsid w:val="008B6379"/>
    <w:rsid w:val="008C269A"/>
    <w:rsid w:val="008C2BE7"/>
    <w:rsid w:val="008C411C"/>
    <w:rsid w:val="008C6003"/>
    <w:rsid w:val="008D0437"/>
    <w:rsid w:val="008D1E2A"/>
    <w:rsid w:val="008D2A3B"/>
    <w:rsid w:val="008D3722"/>
    <w:rsid w:val="008D3F9F"/>
    <w:rsid w:val="008D41D3"/>
    <w:rsid w:val="008E1246"/>
    <w:rsid w:val="008E258A"/>
    <w:rsid w:val="008E53F9"/>
    <w:rsid w:val="008E7EAE"/>
    <w:rsid w:val="008F254C"/>
    <w:rsid w:val="008F2A0D"/>
    <w:rsid w:val="008F3853"/>
    <w:rsid w:val="008F38AF"/>
    <w:rsid w:val="008F5E19"/>
    <w:rsid w:val="008F6FA3"/>
    <w:rsid w:val="009018B3"/>
    <w:rsid w:val="009035B3"/>
    <w:rsid w:val="00905839"/>
    <w:rsid w:val="00907431"/>
    <w:rsid w:val="0091012C"/>
    <w:rsid w:val="009147A4"/>
    <w:rsid w:val="00915485"/>
    <w:rsid w:val="00917355"/>
    <w:rsid w:val="009248FC"/>
    <w:rsid w:val="00925230"/>
    <w:rsid w:val="0092585C"/>
    <w:rsid w:val="00926676"/>
    <w:rsid w:val="0093403E"/>
    <w:rsid w:val="009364CF"/>
    <w:rsid w:val="009379FF"/>
    <w:rsid w:val="0094201C"/>
    <w:rsid w:val="009443DF"/>
    <w:rsid w:val="00946CAF"/>
    <w:rsid w:val="009511AB"/>
    <w:rsid w:val="00951219"/>
    <w:rsid w:val="0095172F"/>
    <w:rsid w:val="00952677"/>
    <w:rsid w:val="00953D90"/>
    <w:rsid w:val="0096104E"/>
    <w:rsid w:val="009613B3"/>
    <w:rsid w:val="009618DB"/>
    <w:rsid w:val="00962C7D"/>
    <w:rsid w:val="00963F27"/>
    <w:rsid w:val="00964DFB"/>
    <w:rsid w:val="00965E96"/>
    <w:rsid w:val="00966327"/>
    <w:rsid w:val="00970DEA"/>
    <w:rsid w:val="00971325"/>
    <w:rsid w:val="009725D8"/>
    <w:rsid w:val="00977951"/>
    <w:rsid w:val="00982626"/>
    <w:rsid w:val="009872DB"/>
    <w:rsid w:val="009903DE"/>
    <w:rsid w:val="00992D05"/>
    <w:rsid w:val="00995C7B"/>
    <w:rsid w:val="009971B8"/>
    <w:rsid w:val="009A248F"/>
    <w:rsid w:val="009A501D"/>
    <w:rsid w:val="009A5678"/>
    <w:rsid w:val="009A68F5"/>
    <w:rsid w:val="009B3F23"/>
    <w:rsid w:val="009B58AF"/>
    <w:rsid w:val="009C1154"/>
    <w:rsid w:val="009C28E8"/>
    <w:rsid w:val="009C37CA"/>
    <w:rsid w:val="009C3BA2"/>
    <w:rsid w:val="009C63C3"/>
    <w:rsid w:val="009C746B"/>
    <w:rsid w:val="009D10AD"/>
    <w:rsid w:val="009D697E"/>
    <w:rsid w:val="009D6AF5"/>
    <w:rsid w:val="009D6D5B"/>
    <w:rsid w:val="009E01C8"/>
    <w:rsid w:val="009E0372"/>
    <w:rsid w:val="009E19A0"/>
    <w:rsid w:val="009E6146"/>
    <w:rsid w:val="009E63B9"/>
    <w:rsid w:val="009F496E"/>
    <w:rsid w:val="009F6780"/>
    <w:rsid w:val="00A0119E"/>
    <w:rsid w:val="00A022D3"/>
    <w:rsid w:val="00A06B09"/>
    <w:rsid w:val="00A06D8A"/>
    <w:rsid w:val="00A10B6D"/>
    <w:rsid w:val="00A1129D"/>
    <w:rsid w:val="00A1335D"/>
    <w:rsid w:val="00A1339A"/>
    <w:rsid w:val="00A1574E"/>
    <w:rsid w:val="00A16AA7"/>
    <w:rsid w:val="00A17799"/>
    <w:rsid w:val="00A2013E"/>
    <w:rsid w:val="00A23726"/>
    <w:rsid w:val="00A25B6F"/>
    <w:rsid w:val="00A2615C"/>
    <w:rsid w:val="00A301C6"/>
    <w:rsid w:val="00A31667"/>
    <w:rsid w:val="00A3316D"/>
    <w:rsid w:val="00A34BB1"/>
    <w:rsid w:val="00A35765"/>
    <w:rsid w:val="00A36E25"/>
    <w:rsid w:val="00A37352"/>
    <w:rsid w:val="00A37E17"/>
    <w:rsid w:val="00A420B4"/>
    <w:rsid w:val="00A44395"/>
    <w:rsid w:val="00A4562E"/>
    <w:rsid w:val="00A5327E"/>
    <w:rsid w:val="00A56FA5"/>
    <w:rsid w:val="00A60A57"/>
    <w:rsid w:val="00A61713"/>
    <w:rsid w:val="00A6408C"/>
    <w:rsid w:val="00A7094C"/>
    <w:rsid w:val="00A70B4C"/>
    <w:rsid w:val="00A71E38"/>
    <w:rsid w:val="00A72ADA"/>
    <w:rsid w:val="00A861B6"/>
    <w:rsid w:val="00A86A02"/>
    <w:rsid w:val="00A906C8"/>
    <w:rsid w:val="00A93303"/>
    <w:rsid w:val="00A96C4B"/>
    <w:rsid w:val="00AA09CA"/>
    <w:rsid w:val="00AA408C"/>
    <w:rsid w:val="00AA5D51"/>
    <w:rsid w:val="00AA660C"/>
    <w:rsid w:val="00AA75E6"/>
    <w:rsid w:val="00AB1127"/>
    <w:rsid w:val="00AB2105"/>
    <w:rsid w:val="00AC5310"/>
    <w:rsid w:val="00AC5977"/>
    <w:rsid w:val="00AD00F2"/>
    <w:rsid w:val="00AD2E49"/>
    <w:rsid w:val="00AD2FF1"/>
    <w:rsid w:val="00AD6BF9"/>
    <w:rsid w:val="00AE18E6"/>
    <w:rsid w:val="00AE1F28"/>
    <w:rsid w:val="00AE5199"/>
    <w:rsid w:val="00AE5F10"/>
    <w:rsid w:val="00AF54C6"/>
    <w:rsid w:val="00B0162A"/>
    <w:rsid w:val="00B02E10"/>
    <w:rsid w:val="00B04827"/>
    <w:rsid w:val="00B0526D"/>
    <w:rsid w:val="00B06C4F"/>
    <w:rsid w:val="00B0755F"/>
    <w:rsid w:val="00B13683"/>
    <w:rsid w:val="00B14099"/>
    <w:rsid w:val="00B204D2"/>
    <w:rsid w:val="00B22954"/>
    <w:rsid w:val="00B25536"/>
    <w:rsid w:val="00B25CE7"/>
    <w:rsid w:val="00B302DC"/>
    <w:rsid w:val="00B30EB5"/>
    <w:rsid w:val="00B32191"/>
    <w:rsid w:val="00B33E98"/>
    <w:rsid w:val="00B348EB"/>
    <w:rsid w:val="00B37BCF"/>
    <w:rsid w:val="00B41925"/>
    <w:rsid w:val="00B41E9C"/>
    <w:rsid w:val="00B42AB8"/>
    <w:rsid w:val="00B5326F"/>
    <w:rsid w:val="00B543A5"/>
    <w:rsid w:val="00B560A1"/>
    <w:rsid w:val="00B563AD"/>
    <w:rsid w:val="00B572D0"/>
    <w:rsid w:val="00B6069C"/>
    <w:rsid w:val="00B6125A"/>
    <w:rsid w:val="00B65B90"/>
    <w:rsid w:val="00B673F4"/>
    <w:rsid w:val="00B71718"/>
    <w:rsid w:val="00B722EA"/>
    <w:rsid w:val="00B74038"/>
    <w:rsid w:val="00B74D61"/>
    <w:rsid w:val="00B76E20"/>
    <w:rsid w:val="00B777DE"/>
    <w:rsid w:val="00B8140B"/>
    <w:rsid w:val="00B82721"/>
    <w:rsid w:val="00B82C8D"/>
    <w:rsid w:val="00B85368"/>
    <w:rsid w:val="00B93DEB"/>
    <w:rsid w:val="00B950DF"/>
    <w:rsid w:val="00B958F4"/>
    <w:rsid w:val="00B95A28"/>
    <w:rsid w:val="00BB0E10"/>
    <w:rsid w:val="00BB2867"/>
    <w:rsid w:val="00BB6E19"/>
    <w:rsid w:val="00BC0A36"/>
    <w:rsid w:val="00BC541F"/>
    <w:rsid w:val="00BC6085"/>
    <w:rsid w:val="00BD2D6B"/>
    <w:rsid w:val="00BD3681"/>
    <w:rsid w:val="00BD3F1F"/>
    <w:rsid w:val="00BD454B"/>
    <w:rsid w:val="00BE69B4"/>
    <w:rsid w:val="00BE6BF6"/>
    <w:rsid w:val="00BE6E81"/>
    <w:rsid w:val="00BE74CE"/>
    <w:rsid w:val="00BF4B00"/>
    <w:rsid w:val="00BF6056"/>
    <w:rsid w:val="00C0374B"/>
    <w:rsid w:val="00C03BB4"/>
    <w:rsid w:val="00C04B7B"/>
    <w:rsid w:val="00C056BB"/>
    <w:rsid w:val="00C07C25"/>
    <w:rsid w:val="00C11711"/>
    <w:rsid w:val="00C25C2B"/>
    <w:rsid w:val="00C276A7"/>
    <w:rsid w:val="00C30B81"/>
    <w:rsid w:val="00C30FA1"/>
    <w:rsid w:val="00C34EB0"/>
    <w:rsid w:val="00C36B4E"/>
    <w:rsid w:val="00C4016E"/>
    <w:rsid w:val="00C51A6C"/>
    <w:rsid w:val="00C51F0B"/>
    <w:rsid w:val="00C53770"/>
    <w:rsid w:val="00C53932"/>
    <w:rsid w:val="00C54448"/>
    <w:rsid w:val="00C63AC3"/>
    <w:rsid w:val="00C640C6"/>
    <w:rsid w:val="00C6592B"/>
    <w:rsid w:val="00C6699D"/>
    <w:rsid w:val="00C6761E"/>
    <w:rsid w:val="00C70E74"/>
    <w:rsid w:val="00C737F6"/>
    <w:rsid w:val="00C75E07"/>
    <w:rsid w:val="00C76A2E"/>
    <w:rsid w:val="00C77B1C"/>
    <w:rsid w:val="00C80668"/>
    <w:rsid w:val="00C839FA"/>
    <w:rsid w:val="00C905A4"/>
    <w:rsid w:val="00C91820"/>
    <w:rsid w:val="00C9549E"/>
    <w:rsid w:val="00C956B1"/>
    <w:rsid w:val="00C9618B"/>
    <w:rsid w:val="00CA06D6"/>
    <w:rsid w:val="00CA07B5"/>
    <w:rsid w:val="00CA51D8"/>
    <w:rsid w:val="00CA7F71"/>
    <w:rsid w:val="00CB1CD9"/>
    <w:rsid w:val="00CB466B"/>
    <w:rsid w:val="00CB4B67"/>
    <w:rsid w:val="00CB5AF7"/>
    <w:rsid w:val="00CB66A1"/>
    <w:rsid w:val="00CC0110"/>
    <w:rsid w:val="00CC0457"/>
    <w:rsid w:val="00CC18DF"/>
    <w:rsid w:val="00CD3CBF"/>
    <w:rsid w:val="00CD7AFB"/>
    <w:rsid w:val="00CE0807"/>
    <w:rsid w:val="00CE448D"/>
    <w:rsid w:val="00CE7A61"/>
    <w:rsid w:val="00CF0E3B"/>
    <w:rsid w:val="00CF77E0"/>
    <w:rsid w:val="00D0518C"/>
    <w:rsid w:val="00D06718"/>
    <w:rsid w:val="00D1056A"/>
    <w:rsid w:val="00D10FD7"/>
    <w:rsid w:val="00D174F9"/>
    <w:rsid w:val="00D2197A"/>
    <w:rsid w:val="00D222B2"/>
    <w:rsid w:val="00D23120"/>
    <w:rsid w:val="00D238EE"/>
    <w:rsid w:val="00D26E08"/>
    <w:rsid w:val="00D27B26"/>
    <w:rsid w:val="00D30A36"/>
    <w:rsid w:val="00D312B2"/>
    <w:rsid w:val="00D344B3"/>
    <w:rsid w:val="00D3706A"/>
    <w:rsid w:val="00D37995"/>
    <w:rsid w:val="00D4311A"/>
    <w:rsid w:val="00D43DE9"/>
    <w:rsid w:val="00D547DC"/>
    <w:rsid w:val="00D55190"/>
    <w:rsid w:val="00D56AEA"/>
    <w:rsid w:val="00D62941"/>
    <w:rsid w:val="00D6306E"/>
    <w:rsid w:val="00D65C74"/>
    <w:rsid w:val="00D65DE5"/>
    <w:rsid w:val="00D67E2D"/>
    <w:rsid w:val="00D73F77"/>
    <w:rsid w:val="00D7670A"/>
    <w:rsid w:val="00D813E5"/>
    <w:rsid w:val="00D82056"/>
    <w:rsid w:val="00D90D1E"/>
    <w:rsid w:val="00D9637F"/>
    <w:rsid w:val="00D966C9"/>
    <w:rsid w:val="00D96BE0"/>
    <w:rsid w:val="00DA0594"/>
    <w:rsid w:val="00DA15E2"/>
    <w:rsid w:val="00DA21FB"/>
    <w:rsid w:val="00DA31EC"/>
    <w:rsid w:val="00DA5A85"/>
    <w:rsid w:val="00DA6808"/>
    <w:rsid w:val="00DB01BF"/>
    <w:rsid w:val="00DB04A7"/>
    <w:rsid w:val="00DB0F4C"/>
    <w:rsid w:val="00DB23B4"/>
    <w:rsid w:val="00DB2A92"/>
    <w:rsid w:val="00DB3CB7"/>
    <w:rsid w:val="00DB7E76"/>
    <w:rsid w:val="00DC2865"/>
    <w:rsid w:val="00DC6537"/>
    <w:rsid w:val="00DD0BC6"/>
    <w:rsid w:val="00DD164F"/>
    <w:rsid w:val="00DD433A"/>
    <w:rsid w:val="00DD517A"/>
    <w:rsid w:val="00DD56D5"/>
    <w:rsid w:val="00DD5D55"/>
    <w:rsid w:val="00DD7A21"/>
    <w:rsid w:val="00DD7C85"/>
    <w:rsid w:val="00DE02EF"/>
    <w:rsid w:val="00DE15D1"/>
    <w:rsid w:val="00DE1E00"/>
    <w:rsid w:val="00DE2A7B"/>
    <w:rsid w:val="00DE5380"/>
    <w:rsid w:val="00DE56DF"/>
    <w:rsid w:val="00DF186F"/>
    <w:rsid w:val="00DF1C26"/>
    <w:rsid w:val="00E075CA"/>
    <w:rsid w:val="00E12BCD"/>
    <w:rsid w:val="00E20E5A"/>
    <w:rsid w:val="00E21A0D"/>
    <w:rsid w:val="00E22362"/>
    <w:rsid w:val="00E223ED"/>
    <w:rsid w:val="00E26769"/>
    <w:rsid w:val="00E30E70"/>
    <w:rsid w:val="00E32899"/>
    <w:rsid w:val="00E403D2"/>
    <w:rsid w:val="00E41B13"/>
    <w:rsid w:val="00E4348E"/>
    <w:rsid w:val="00E4569B"/>
    <w:rsid w:val="00E46B93"/>
    <w:rsid w:val="00E47528"/>
    <w:rsid w:val="00E47DFE"/>
    <w:rsid w:val="00E507A9"/>
    <w:rsid w:val="00E52228"/>
    <w:rsid w:val="00E537F6"/>
    <w:rsid w:val="00E55917"/>
    <w:rsid w:val="00E56964"/>
    <w:rsid w:val="00E57FF3"/>
    <w:rsid w:val="00E659CF"/>
    <w:rsid w:val="00E66D58"/>
    <w:rsid w:val="00E731B9"/>
    <w:rsid w:val="00E76DB4"/>
    <w:rsid w:val="00E803F1"/>
    <w:rsid w:val="00E8051E"/>
    <w:rsid w:val="00E80555"/>
    <w:rsid w:val="00E80DD4"/>
    <w:rsid w:val="00E83BF7"/>
    <w:rsid w:val="00E879F0"/>
    <w:rsid w:val="00E9016E"/>
    <w:rsid w:val="00E9065E"/>
    <w:rsid w:val="00E91619"/>
    <w:rsid w:val="00E9213F"/>
    <w:rsid w:val="00E967CD"/>
    <w:rsid w:val="00E96C70"/>
    <w:rsid w:val="00EA21BC"/>
    <w:rsid w:val="00EA35CE"/>
    <w:rsid w:val="00EA3CAF"/>
    <w:rsid w:val="00EA55D7"/>
    <w:rsid w:val="00EA67F1"/>
    <w:rsid w:val="00EB043D"/>
    <w:rsid w:val="00EB5195"/>
    <w:rsid w:val="00EB5D94"/>
    <w:rsid w:val="00EC0B24"/>
    <w:rsid w:val="00EC2852"/>
    <w:rsid w:val="00EC2D59"/>
    <w:rsid w:val="00EC398D"/>
    <w:rsid w:val="00EC66DD"/>
    <w:rsid w:val="00EC6CA9"/>
    <w:rsid w:val="00EC7450"/>
    <w:rsid w:val="00ED2F68"/>
    <w:rsid w:val="00ED3BC1"/>
    <w:rsid w:val="00ED3E86"/>
    <w:rsid w:val="00EE04B8"/>
    <w:rsid w:val="00EE42A3"/>
    <w:rsid w:val="00EE48F4"/>
    <w:rsid w:val="00EF0045"/>
    <w:rsid w:val="00EF130A"/>
    <w:rsid w:val="00EF17B6"/>
    <w:rsid w:val="00EF22E3"/>
    <w:rsid w:val="00EF495D"/>
    <w:rsid w:val="00EF4C3C"/>
    <w:rsid w:val="00EF6688"/>
    <w:rsid w:val="00F03058"/>
    <w:rsid w:val="00F03927"/>
    <w:rsid w:val="00F04D6C"/>
    <w:rsid w:val="00F053E6"/>
    <w:rsid w:val="00F1072E"/>
    <w:rsid w:val="00F23178"/>
    <w:rsid w:val="00F23671"/>
    <w:rsid w:val="00F240BF"/>
    <w:rsid w:val="00F244AE"/>
    <w:rsid w:val="00F25130"/>
    <w:rsid w:val="00F33FA4"/>
    <w:rsid w:val="00F400F6"/>
    <w:rsid w:val="00F41AEA"/>
    <w:rsid w:val="00F42C83"/>
    <w:rsid w:val="00F47CDF"/>
    <w:rsid w:val="00F50729"/>
    <w:rsid w:val="00F67ACB"/>
    <w:rsid w:val="00F81C60"/>
    <w:rsid w:val="00F8328F"/>
    <w:rsid w:val="00F90655"/>
    <w:rsid w:val="00FA03F9"/>
    <w:rsid w:val="00FA0C5C"/>
    <w:rsid w:val="00FA20B7"/>
    <w:rsid w:val="00FA2CAE"/>
    <w:rsid w:val="00FA6039"/>
    <w:rsid w:val="00FA639C"/>
    <w:rsid w:val="00FA7276"/>
    <w:rsid w:val="00FB2B3C"/>
    <w:rsid w:val="00FB2C5D"/>
    <w:rsid w:val="00FB3DE3"/>
    <w:rsid w:val="00FB63F2"/>
    <w:rsid w:val="00FB6571"/>
    <w:rsid w:val="00FC27FC"/>
    <w:rsid w:val="00FC3E65"/>
    <w:rsid w:val="00FC554B"/>
    <w:rsid w:val="00FC6936"/>
    <w:rsid w:val="00FC6C3D"/>
    <w:rsid w:val="00FD0DF8"/>
    <w:rsid w:val="00FD4714"/>
    <w:rsid w:val="00FD5FB7"/>
    <w:rsid w:val="00FD6888"/>
    <w:rsid w:val="00FE02F4"/>
    <w:rsid w:val="00FE47B2"/>
    <w:rsid w:val="00FF4125"/>
    <w:rsid w:val="00FF4864"/>
    <w:rsid w:val="00FF7167"/>
    <w:rsid w:val="00FF75D6"/>
    <w:rsid w:val="017917A6"/>
    <w:rsid w:val="01BC2C0A"/>
    <w:rsid w:val="02683D9C"/>
    <w:rsid w:val="02B0060C"/>
    <w:rsid w:val="02BD11F6"/>
    <w:rsid w:val="031D1421"/>
    <w:rsid w:val="032A06F4"/>
    <w:rsid w:val="034B7B61"/>
    <w:rsid w:val="035D252A"/>
    <w:rsid w:val="039D2599"/>
    <w:rsid w:val="03C72279"/>
    <w:rsid w:val="03F74CED"/>
    <w:rsid w:val="04202641"/>
    <w:rsid w:val="04480F26"/>
    <w:rsid w:val="04E15630"/>
    <w:rsid w:val="05017EF1"/>
    <w:rsid w:val="0646036E"/>
    <w:rsid w:val="07342BE0"/>
    <w:rsid w:val="080E7A1D"/>
    <w:rsid w:val="08124EA9"/>
    <w:rsid w:val="08290CCA"/>
    <w:rsid w:val="09100240"/>
    <w:rsid w:val="092437D7"/>
    <w:rsid w:val="095C5509"/>
    <w:rsid w:val="098C63A4"/>
    <w:rsid w:val="09BA095A"/>
    <w:rsid w:val="0A8E2FCB"/>
    <w:rsid w:val="0B666900"/>
    <w:rsid w:val="0B7628AA"/>
    <w:rsid w:val="0C357B4C"/>
    <w:rsid w:val="0C8A4FE3"/>
    <w:rsid w:val="0E140692"/>
    <w:rsid w:val="0E4C14D0"/>
    <w:rsid w:val="0F0E4109"/>
    <w:rsid w:val="0F4E49C0"/>
    <w:rsid w:val="0FA742A6"/>
    <w:rsid w:val="10A07CC3"/>
    <w:rsid w:val="10B574BD"/>
    <w:rsid w:val="115269C3"/>
    <w:rsid w:val="11F53BB7"/>
    <w:rsid w:val="12174494"/>
    <w:rsid w:val="13894BD4"/>
    <w:rsid w:val="146D6616"/>
    <w:rsid w:val="146E3886"/>
    <w:rsid w:val="14CE3DD0"/>
    <w:rsid w:val="153379D9"/>
    <w:rsid w:val="158D2F8A"/>
    <w:rsid w:val="16DA1353"/>
    <w:rsid w:val="16F0399A"/>
    <w:rsid w:val="16FC375B"/>
    <w:rsid w:val="18314D03"/>
    <w:rsid w:val="186535A7"/>
    <w:rsid w:val="188405F7"/>
    <w:rsid w:val="18A36D31"/>
    <w:rsid w:val="19291332"/>
    <w:rsid w:val="192F0CEF"/>
    <w:rsid w:val="19A42785"/>
    <w:rsid w:val="1A095B1C"/>
    <w:rsid w:val="1B6571B6"/>
    <w:rsid w:val="1B794701"/>
    <w:rsid w:val="1BFD34DD"/>
    <w:rsid w:val="1C346E41"/>
    <w:rsid w:val="1C4158E2"/>
    <w:rsid w:val="1C4429FD"/>
    <w:rsid w:val="1C5A0B54"/>
    <w:rsid w:val="1D1D1F2A"/>
    <w:rsid w:val="1DF84CCB"/>
    <w:rsid w:val="1E2F7930"/>
    <w:rsid w:val="1ECA38A6"/>
    <w:rsid w:val="1EF80249"/>
    <w:rsid w:val="1F777B6F"/>
    <w:rsid w:val="1FEE71BB"/>
    <w:rsid w:val="20666924"/>
    <w:rsid w:val="2075141D"/>
    <w:rsid w:val="2083319D"/>
    <w:rsid w:val="208C6038"/>
    <w:rsid w:val="20C34B14"/>
    <w:rsid w:val="21005652"/>
    <w:rsid w:val="21942A8E"/>
    <w:rsid w:val="21C434CD"/>
    <w:rsid w:val="21F93C06"/>
    <w:rsid w:val="22907E60"/>
    <w:rsid w:val="22C0005B"/>
    <w:rsid w:val="237A6EA7"/>
    <w:rsid w:val="23CD4385"/>
    <w:rsid w:val="244A6119"/>
    <w:rsid w:val="24730BB5"/>
    <w:rsid w:val="24754002"/>
    <w:rsid w:val="24EB0EF7"/>
    <w:rsid w:val="251346D3"/>
    <w:rsid w:val="25302F95"/>
    <w:rsid w:val="25D763D6"/>
    <w:rsid w:val="26E91770"/>
    <w:rsid w:val="273D671A"/>
    <w:rsid w:val="27972F17"/>
    <w:rsid w:val="27A854CF"/>
    <w:rsid w:val="27D43149"/>
    <w:rsid w:val="283A1E88"/>
    <w:rsid w:val="28A36F3A"/>
    <w:rsid w:val="28D316E5"/>
    <w:rsid w:val="29B72004"/>
    <w:rsid w:val="29C92619"/>
    <w:rsid w:val="2A340F29"/>
    <w:rsid w:val="2A3734B0"/>
    <w:rsid w:val="2AC24997"/>
    <w:rsid w:val="2B3325CF"/>
    <w:rsid w:val="2BE257B8"/>
    <w:rsid w:val="2CD64363"/>
    <w:rsid w:val="2D3400AB"/>
    <w:rsid w:val="2D652BC5"/>
    <w:rsid w:val="2D6A6CF6"/>
    <w:rsid w:val="2DBF7EF3"/>
    <w:rsid w:val="2DCF502E"/>
    <w:rsid w:val="2DED5C8D"/>
    <w:rsid w:val="2E03776D"/>
    <w:rsid w:val="2E28403B"/>
    <w:rsid w:val="2F203538"/>
    <w:rsid w:val="2F555DEF"/>
    <w:rsid w:val="2FB6058C"/>
    <w:rsid w:val="2FC97C24"/>
    <w:rsid w:val="2FF8693D"/>
    <w:rsid w:val="302D4BF4"/>
    <w:rsid w:val="30CA6A32"/>
    <w:rsid w:val="30E47348"/>
    <w:rsid w:val="31EB6C2E"/>
    <w:rsid w:val="335623F0"/>
    <w:rsid w:val="33BB695A"/>
    <w:rsid w:val="33D808B9"/>
    <w:rsid w:val="340003E3"/>
    <w:rsid w:val="345C4C66"/>
    <w:rsid w:val="34DF70B3"/>
    <w:rsid w:val="350F06B7"/>
    <w:rsid w:val="354818EE"/>
    <w:rsid w:val="35FC35D5"/>
    <w:rsid w:val="369536B6"/>
    <w:rsid w:val="36EF4B71"/>
    <w:rsid w:val="37635878"/>
    <w:rsid w:val="37EC4E3D"/>
    <w:rsid w:val="38292B16"/>
    <w:rsid w:val="38CA1738"/>
    <w:rsid w:val="38DD44FA"/>
    <w:rsid w:val="39184385"/>
    <w:rsid w:val="392044B2"/>
    <w:rsid w:val="39C3414B"/>
    <w:rsid w:val="3A466C9F"/>
    <w:rsid w:val="3AFD3AA5"/>
    <w:rsid w:val="3B42422F"/>
    <w:rsid w:val="3C2E5D95"/>
    <w:rsid w:val="3C8D05D5"/>
    <w:rsid w:val="3CB30134"/>
    <w:rsid w:val="3CF01B42"/>
    <w:rsid w:val="3D317FC2"/>
    <w:rsid w:val="3D577AFF"/>
    <w:rsid w:val="3E2008F8"/>
    <w:rsid w:val="3E2B375C"/>
    <w:rsid w:val="3FC45AED"/>
    <w:rsid w:val="40865D05"/>
    <w:rsid w:val="415A6A9F"/>
    <w:rsid w:val="421742FB"/>
    <w:rsid w:val="42CE6C10"/>
    <w:rsid w:val="42EB4B2B"/>
    <w:rsid w:val="438E473F"/>
    <w:rsid w:val="43C61D36"/>
    <w:rsid w:val="44AF662F"/>
    <w:rsid w:val="44EA120E"/>
    <w:rsid w:val="45374C4F"/>
    <w:rsid w:val="45F73797"/>
    <w:rsid w:val="46A00103"/>
    <w:rsid w:val="46CE4F61"/>
    <w:rsid w:val="46E2327F"/>
    <w:rsid w:val="47B632C1"/>
    <w:rsid w:val="48642373"/>
    <w:rsid w:val="4942642D"/>
    <w:rsid w:val="49A77C0B"/>
    <w:rsid w:val="49D874A8"/>
    <w:rsid w:val="49EF0FA8"/>
    <w:rsid w:val="4A7F62D0"/>
    <w:rsid w:val="4A9378A7"/>
    <w:rsid w:val="4AFC43AE"/>
    <w:rsid w:val="4B641E54"/>
    <w:rsid w:val="4C296650"/>
    <w:rsid w:val="4CC95EFD"/>
    <w:rsid w:val="4CE15FB0"/>
    <w:rsid w:val="4CF544B8"/>
    <w:rsid w:val="4D1C08C8"/>
    <w:rsid w:val="4D2D2C30"/>
    <w:rsid w:val="4D6857C1"/>
    <w:rsid w:val="4DB159B8"/>
    <w:rsid w:val="4E690D59"/>
    <w:rsid w:val="4E721B0B"/>
    <w:rsid w:val="4E7959EA"/>
    <w:rsid w:val="4E925073"/>
    <w:rsid w:val="4EE52128"/>
    <w:rsid w:val="4EF9750A"/>
    <w:rsid w:val="4FFB12C4"/>
    <w:rsid w:val="50303919"/>
    <w:rsid w:val="50A33AA1"/>
    <w:rsid w:val="51074610"/>
    <w:rsid w:val="516E5677"/>
    <w:rsid w:val="51CE134F"/>
    <w:rsid w:val="55C66B4D"/>
    <w:rsid w:val="55D84C7E"/>
    <w:rsid w:val="561400F5"/>
    <w:rsid w:val="56596FF9"/>
    <w:rsid w:val="56734FA3"/>
    <w:rsid w:val="56E846A5"/>
    <w:rsid w:val="57F11AAD"/>
    <w:rsid w:val="58384A4B"/>
    <w:rsid w:val="585D5900"/>
    <w:rsid w:val="5881638E"/>
    <w:rsid w:val="58B72676"/>
    <w:rsid w:val="59165918"/>
    <w:rsid w:val="59417C88"/>
    <w:rsid w:val="595960EF"/>
    <w:rsid w:val="597146D4"/>
    <w:rsid w:val="59A3471F"/>
    <w:rsid w:val="5AA24E73"/>
    <w:rsid w:val="5BD94495"/>
    <w:rsid w:val="5CDC447F"/>
    <w:rsid w:val="5CE1105E"/>
    <w:rsid w:val="5D184481"/>
    <w:rsid w:val="5EBD1A66"/>
    <w:rsid w:val="5ECC4E13"/>
    <w:rsid w:val="5FB7318F"/>
    <w:rsid w:val="60B413B8"/>
    <w:rsid w:val="61AE68E0"/>
    <w:rsid w:val="628C357A"/>
    <w:rsid w:val="62B90137"/>
    <w:rsid w:val="63094B6C"/>
    <w:rsid w:val="631F3777"/>
    <w:rsid w:val="633E555A"/>
    <w:rsid w:val="63C26304"/>
    <w:rsid w:val="64F1149D"/>
    <w:rsid w:val="65FD7DB3"/>
    <w:rsid w:val="66031198"/>
    <w:rsid w:val="660D5B00"/>
    <w:rsid w:val="66A12657"/>
    <w:rsid w:val="66CA1A11"/>
    <w:rsid w:val="66F25668"/>
    <w:rsid w:val="68AE164B"/>
    <w:rsid w:val="68B21DFE"/>
    <w:rsid w:val="68D371A8"/>
    <w:rsid w:val="695D7681"/>
    <w:rsid w:val="69887ACA"/>
    <w:rsid w:val="69CF4B2E"/>
    <w:rsid w:val="6A2A3E32"/>
    <w:rsid w:val="6B9D55A5"/>
    <w:rsid w:val="6C28108A"/>
    <w:rsid w:val="6CDC5CB0"/>
    <w:rsid w:val="6D38732F"/>
    <w:rsid w:val="6D5F4057"/>
    <w:rsid w:val="6E846131"/>
    <w:rsid w:val="6E9B3CDE"/>
    <w:rsid w:val="6F491505"/>
    <w:rsid w:val="6FEF212E"/>
    <w:rsid w:val="70254BDF"/>
    <w:rsid w:val="703C4C10"/>
    <w:rsid w:val="712415A2"/>
    <w:rsid w:val="718C304D"/>
    <w:rsid w:val="71903AD3"/>
    <w:rsid w:val="72705A48"/>
    <w:rsid w:val="737E05E4"/>
    <w:rsid w:val="73877BA0"/>
    <w:rsid w:val="73D23A69"/>
    <w:rsid w:val="73F70EE8"/>
    <w:rsid w:val="74245A33"/>
    <w:rsid w:val="743F27B4"/>
    <w:rsid w:val="74D00607"/>
    <w:rsid w:val="74E55253"/>
    <w:rsid w:val="76641396"/>
    <w:rsid w:val="76960D42"/>
    <w:rsid w:val="76E03CE6"/>
    <w:rsid w:val="77312270"/>
    <w:rsid w:val="77DB5D61"/>
    <w:rsid w:val="78E63056"/>
    <w:rsid w:val="791630D0"/>
    <w:rsid w:val="796201EC"/>
    <w:rsid w:val="79696CDA"/>
    <w:rsid w:val="79844210"/>
    <w:rsid w:val="79867B84"/>
    <w:rsid w:val="7A1E03FA"/>
    <w:rsid w:val="7A5E1D77"/>
    <w:rsid w:val="7ACE47DA"/>
    <w:rsid w:val="7B71300D"/>
    <w:rsid w:val="7BF340B4"/>
    <w:rsid w:val="7C1E40C6"/>
    <w:rsid w:val="7CB30C26"/>
    <w:rsid w:val="7CB55B63"/>
    <w:rsid w:val="7CCC52F5"/>
    <w:rsid w:val="7D2457E9"/>
    <w:rsid w:val="7D8B1ADC"/>
    <w:rsid w:val="7DA84959"/>
    <w:rsid w:val="7DDA550E"/>
    <w:rsid w:val="7F21563B"/>
    <w:rsid w:val="7F317990"/>
    <w:rsid w:val="7F5E0205"/>
    <w:rsid w:val="7F7B092C"/>
    <w:rsid w:val="7FB61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4"/>
    <w:unhideWhenUsed/>
    <w:qFormat/>
    <w:uiPriority w:val="0"/>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4"/>
    <w:unhideWhenUsed/>
    <w:qFormat/>
    <w:uiPriority w:val="0"/>
    <w:pPr>
      <w:shd w:val="clear" w:color="auto" w:fill="000080"/>
    </w:pPr>
    <w:rPr>
      <w:rFonts w:ascii="Times New Roman" w:hAnsi="Times New Roman"/>
      <w:kern w:val="0"/>
      <w:sz w:val="18"/>
      <w:szCs w:val="18"/>
    </w:rPr>
  </w:style>
  <w:style w:type="paragraph" w:styleId="16">
    <w:name w:val="annotation text"/>
    <w:basedOn w:val="1"/>
    <w:link w:val="61"/>
    <w:unhideWhenUsed/>
    <w:qFormat/>
    <w:uiPriority w:val="0"/>
    <w:pPr>
      <w:jc w:val="left"/>
    </w:pPr>
    <w:rPr>
      <w:rFonts w:ascii="Times New Roman" w:hAnsi="Times New Roman"/>
      <w:kern w:val="0"/>
      <w:sz w:val="18"/>
      <w:szCs w:val="18"/>
    </w:rPr>
  </w:style>
  <w:style w:type="paragraph" w:styleId="17">
    <w:name w:val="Body Text 3"/>
    <w:basedOn w:val="1"/>
    <w:link w:val="71"/>
    <w:unhideWhenUsed/>
    <w:qFormat/>
    <w:uiPriority w:val="0"/>
    <w:pPr>
      <w:jc w:val="center"/>
    </w:pPr>
    <w:rPr>
      <w:rFonts w:ascii="Times New Roman" w:hAnsi="Times New Roman" w:eastAsia="黑体"/>
      <w:sz w:val="44"/>
      <w:szCs w:val="24"/>
    </w:rPr>
  </w:style>
  <w:style w:type="paragraph" w:styleId="18">
    <w:name w:val="Body Text Indent"/>
    <w:basedOn w:val="1"/>
    <w:link w:val="66"/>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75"/>
    <w:unhideWhenUsed/>
    <w:qFormat/>
    <w:uiPriority w:val="0"/>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0"/>
    <w:pPr>
      <w:ind w:left="100" w:leftChars="2500"/>
    </w:pPr>
    <w:rPr>
      <w:rFonts w:ascii="Times New Roman" w:hAnsi="Times New Roman"/>
      <w:kern w:val="0"/>
      <w:sz w:val="24"/>
      <w:szCs w:val="24"/>
    </w:rPr>
  </w:style>
  <w:style w:type="paragraph" w:styleId="25">
    <w:name w:val="Body Text Indent 2"/>
    <w:basedOn w:val="1"/>
    <w:link w:val="72"/>
    <w:unhideWhenUsed/>
    <w:qFormat/>
    <w:uiPriority w:val="0"/>
    <w:pPr>
      <w:spacing w:after="120" w:line="480" w:lineRule="auto"/>
      <w:ind w:left="420" w:leftChars="200"/>
    </w:pPr>
  </w:style>
  <w:style w:type="paragraph" w:styleId="26">
    <w:name w:val="Balloon Text"/>
    <w:basedOn w:val="1"/>
    <w:link w:val="78"/>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3"/>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70"/>
    <w:unhideWhenUsed/>
    <w:qFormat/>
    <w:uiPriority w:val="0"/>
    <w:pPr>
      <w:spacing w:after="120" w:line="480" w:lineRule="auto"/>
    </w:pPr>
    <w:rPr>
      <w:rFonts w:ascii="Times New Roman" w:hAnsi="Times New Roman"/>
      <w:kern w:val="0"/>
      <w:sz w:val="18"/>
      <w:szCs w:val="18"/>
    </w:rPr>
  </w:style>
  <w:style w:type="paragraph" w:styleId="38">
    <w:name w:val="Message Header"/>
    <w:next w:val="39"/>
    <w:unhideWhenUsed/>
    <w:qFormat/>
    <w:uiPriority w:val="99"/>
    <w:pPr>
      <w:shd w:val="pct20" w:color="auto" w:fill="auto"/>
      <w:ind w:left="500" w:leftChars="500" w:hanging="1080" w:hangingChars="500"/>
    </w:pPr>
    <w:rPr>
      <w:rFonts w:ascii="Arial" w:hAnsi="Arial" w:eastAsia="宋体" w:cs="Arial"/>
      <w:kern w:val="2"/>
      <w:sz w:val="24"/>
      <w:szCs w:val="24"/>
      <w:lang w:val="en-US" w:eastAsia="zh-CN" w:bidi="ar-SA"/>
    </w:rPr>
  </w:style>
  <w:style w:type="paragraph" w:customStyle="1" w:styleId="39">
    <w:name w:val="Bullet 2"/>
    <w:qFormat/>
    <w:uiPriority w:val="0"/>
    <w:pPr>
      <w:tabs>
        <w:tab w:val="left" w:pos="360"/>
      </w:tabs>
      <w:spacing w:after="120"/>
      <w:ind w:left="360" w:hanging="360"/>
      <w:jc w:val="both"/>
    </w:pPr>
    <w:rPr>
      <w:rFonts w:ascii="Times New Roman" w:hAnsi="Times New Roman" w:eastAsia="宋体" w:cs="Times New Roman"/>
      <w:color w:val="000000"/>
      <w:sz w:val="24"/>
      <w:lang w:val="en-US" w:eastAsia="en-US" w:bidi="ar-SA"/>
    </w:rPr>
  </w:style>
  <w:style w:type="paragraph" w:styleId="40">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1">
    <w:name w:val="annotation subject"/>
    <w:basedOn w:val="16"/>
    <w:next w:val="16"/>
    <w:link w:val="77"/>
    <w:unhideWhenUsed/>
    <w:qFormat/>
    <w:uiPriority w:val="99"/>
    <w:rPr>
      <w:rFonts w:ascii="Calibri" w:hAnsi="Calibri"/>
      <w:b/>
      <w:bCs/>
      <w:kern w:val="2"/>
      <w:sz w:val="21"/>
      <w:szCs w:val="22"/>
    </w:rPr>
  </w:style>
  <w:style w:type="paragraph" w:styleId="42">
    <w:name w:val="Body Text First Indent"/>
    <w:basedOn w:val="2"/>
    <w:link w:val="69"/>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0"/>
    <w:rPr>
      <w:sz w:val="21"/>
      <w:szCs w:val="21"/>
    </w:rPr>
  </w:style>
  <w:style w:type="character" w:styleId="49">
    <w:name w:val="footnote reference"/>
    <w:unhideWhenUsed/>
    <w:qFormat/>
    <w:uiPriority w:val="0"/>
    <w:rPr>
      <w:vertAlign w:val="superscript"/>
    </w:rPr>
  </w:style>
  <w:style w:type="character" w:customStyle="1" w:styleId="50">
    <w:name w:val="标题 1 Char"/>
    <w:basedOn w:val="45"/>
    <w:link w:val="3"/>
    <w:qFormat/>
    <w:uiPriority w:val="99"/>
    <w:rPr>
      <w:rFonts w:ascii="宋体" w:hAnsi="宋体" w:eastAsia="宋体" w:cs="宋体"/>
      <w:b/>
      <w:bCs/>
      <w:spacing w:val="-20"/>
      <w:kern w:val="44"/>
      <w:sz w:val="32"/>
      <w:szCs w:val="32"/>
    </w:rPr>
  </w:style>
  <w:style w:type="character" w:customStyle="1" w:styleId="51">
    <w:name w:val="标题 2 Char"/>
    <w:basedOn w:val="45"/>
    <w:link w:val="4"/>
    <w:qFormat/>
    <w:uiPriority w:val="99"/>
    <w:rPr>
      <w:rFonts w:ascii="宋体" w:hAnsi="宋体" w:eastAsia="宋体" w:cs="宋体"/>
      <w:b/>
      <w:bCs/>
      <w:sz w:val="28"/>
      <w:szCs w:val="28"/>
    </w:rPr>
  </w:style>
  <w:style w:type="character" w:customStyle="1" w:styleId="52">
    <w:name w:val="标题 3 Char"/>
    <w:basedOn w:val="45"/>
    <w:link w:val="5"/>
    <w:qFormat/>
    <w:uiPriority w:val="99"/>
    <w:rPr>
      <w:rFonts w:ascii="宋体" w:hAnsi="宋体" w:eastAsia="宋体" w:cs="宋体"/>
      <w:b/>
      <w:bCs/>
      <w:color w:val="000000"/>
      <w:kern w:val="0"/>
      <w:sz w:val="28"/>
      <w:szCs w:val="28"/>
    </w:rPr>
  </w:style>
  <w:style w:type="character" w:customStyle="1" w:styleId="53">
    <w:name w:val="标题 4 Char"/>
    <w:basedOn w:val="45"/>
    <w:link w:val="6"/>
    <w:qFormat/>
    <w:uiPriority w:val="9"/>
    <w:rPr>
      <w:rFonts w:ascii="Arial" w:hAnsi="Arial" w:eastAsia="宋体" w:cs="Times New Roman"/>
      <w:b/>
      <w:bCs/>
      <w:kern w:val="0"/>
      <w:sz w:val="28"/>
      <w:szCs w:val="28"/>
    </w:rPr>
  </w:style>
  <w:style w:type="character" w:customStyle="1" w:styleId="54">
    <w:name w:val="标题 5 Char"/>
    <w:basedOn w:val="45"/>
    <w:link w:val="7"/>
    <w:qFormat/>
    <w:uiPriority w:val="0"/>
    <w:rPr>
      <w:rFonts w:ascii="Calibri" w:hAnsi="Calibri" w:eastAsia="宋体" w:cs="宋体"/>
      <w:b/>
      <w:bCs/>
      <w:kern w:val="0"/>
      <w:sz w:val="28"/>
      <w:szCs w:val="28"/>
    </w:rPr>
  </w:style>
  <w:style w:type="character" w:customStyle="1" w:styleId="55">
    <w:name w:val="标题 6 Char"/>
    <w:basedOn w:val="45"/>
    <w:link w:val="8"/>
    <w:qFormat/>
    <w:uiPriority w:val="0"/>
    <w:rPr>
      <w:rFonts w:ascii="Arial" w:hAnsi="Arial" w:eastAsia="宋体" w:cs="Times New Roman"/>
      <w:b/>
      <w:bCs/>
      <w:kern w:val="0"/>
      <w:sz w:val="28"/>
      <w:szCs w:val="18"/>
    </w:rPr>
  </w:style>
  <w:style w:type="character" w:customStyle="1" w:styleId="56">
    <w:name w:val="标题 7 Char"/>
    <w:basedOn w:val="45"/>
    <w:link w:val="9"/>
    <w:semiHidden/>
    <w:qFormat/>
    <w:uiPriority w:val="0"/>
    <w:rPr>
      <w:rFonts w:ascii="Arial Narrow" w:hAnsi="Arial Narrow" w:eastAsia="宋体" w:cs="Times New Roman"/>
      <w:b/>
      <w:bCs/>
      <w:iCs/>
      <w:kern w:val="0"/>
      <w:sz w:val="20"/>
      <w:szCs w:val="24"/>
      <w:lang w:eastAsia="en-US"/>
    </w:rPr>
  </w:style>
  <w:style w:type="character" w:customStyle="1" w:styleId="57">
    <w:name w:val="标题 8 Char"/>
    <w:basedOn w:val="45"/>
    <w:link w:val="10"/>
    <w:semiHidden/>
    <w:qFormat/>
    <w:uiPriority w:val="0"/>
    <w:rPr>
      <w:rFonts w:ascii="Arial" w:hAnsi="Arial" w:eastAsia="黑体" w:cs="Times New Roman"/>
      <w:kern w:val="0"/>
      <w:sz w:val="24"/>
      <w:szCs w:val="24"/>
    </w:rPr>
  </w:style>
  <w:style w:type="character" w:customStyle="1" w:styleId="58">
    <w:name w:val="标题 9 Char"/>
    <w:basedOn w:val="45"/>
    <w:link w:val="11"/>
    <w:semiHidden/>
    <w:qFormat/>
    <w:uiPriority w:val="0"/>
    <w:rPr>
      <w:rFonts w:ascii="Arial" w:hAnsi="Arial" w:eastAsia="黑体" w:cs="Times New Roman"/>
      <w:kern w:val="0"/>
      <w:sz w:val="20"/>
      <w:szCs w:val="21"/>
    </w:rPr>
  </w:style>
  <w:style w:type="character" w:customStyle="1" w:styleId="59">
    <w:name w:val="正文缩进 Char1"/>
    <w:link w:val="13"/>
    <w:qFormat/>
    <w:locked/>
    <w:uiPriority w:val="0"/>
  </w:style>
  <w:style w:type="character" w:customStyle="1" w:styleId="60">
    <w:name w:val="脚注文本 Char"/>
    <w:basedOn w:val="45"/>
    <w:link w:val="32"/>
    <w:qFormat/>
    <w:uiPriority w:val="0"/>
    <w:rPr>
      <w:rFonts w:ascii="Calibri" w:hAnsi="Calibri" w:eastAsia="宋体" w:cs="Times New Roman"/>
      <w:sz w:val="18"/>
      <w:szCs w:val="18"/>
    </w:rPr>
  </w:style>
  <w:style w:type="character" w:customStyle="1" w:styleId="61">
    <w:name w:val="批注文字 Char"/>
    <w:basedOn w:val="45"/>
    <w:link w:val="16"/>
    <w:qFormat/>
    <w:uiPriority w:val="99"/>
    <w:rPr>
      <w:rFonts w:ascii="Times New Roman" w:hAnsi="Times New Roman" w:eastAsia="宋体" w:cs="Times New Roman"/>
      <w:kern w:val="0"/>
      <w:sz w:val="18"/>
      <w:szCs w:val="18"/>
    </w:rPr>
  </w:style>
  <w:style w:type="character" w:customStyle="1" w:styleId="62">
    <w:name w:val="页眉 Char"/>
    <w:basedOn w:val="45"/>
    <w:link w:val="28"/>
    <w:qFormat/>
    <w:uiPriority w:val="99"/>
    <w:rPr>
      <w:rFonts w:ascii="Calibri" w:hAnsi="Calibri" w:eastAsia="宋体" w:cs="Times New Roman"/>
      <w:kern w:val="0"/>
      <w:sz w:val="18"/>
      <w:szCs w:val="18"/>
    </w:rPr>
  </w:style>
  <w:style w:type="character" w:customStyle="1" w:styleId="63">
    <w:name w:val="页脚 Char"/>
    <w:basedOn w:val="45"/>
    <w:link w:val="27"/>
    <w:qFormat/>
    <w:uiPriority w:val="99"/>
    <w:rPr>
      <w:rFonts w:ascii="Calibri" w:hAnsi="Calibri" w:eastAsia="宋体" w:cs="Times New Roman"/>
      <w:kern w:val="0"/>
      <w:sz w:val="18"/>
      <w:szCs w:val="18"/>
    </w:rPr>
  </w:style>
  <w:style w:type="character" w:customStyle="1" w:styleId="64">
    <w:name w:val="正文文本 Char2"/>
    <w:basedOn w:val="45"/>
    <w:link w:val="2"/>
    <w:qFormat/>
    <w:locked/>
    <w:uiPriority w:val="0"/>
    <w:rPr>
      <w:rFonts w:ascii="Calibri" w:hAnsi="Calibri" w:eastAsia="宋体" w:cs="Times New Roman"/>
    </w:rPr>
  </w:style>
  <w:style w:type="character" w:customStyle="1" w:styleId="65">
    <w:name w:val="正文文本 Char"/>
    <w:basedOn w:val="45"/>
    <w:qFormat/>
    <w:uiPriority w:val="0"/>
    <w:rPr>
      <w:rFonts w:ascii="Calibri" w:hAnsi="Calibri" w:eastAsia="宋体" w:cs="Times New Roman"/>
    </w:rPr>
  </w:style>
  <w:style w:type="character" w:customStyle="1" w:styleId="66">
    <w:name w:val="正文文本缩进 Char"/>
    <w:basedOn w:val="45"/>
    <w:link w:val="18"/>
    <w:qFormat/>
    <w:uiPriority w:val="0"/>
    <w:rPr>
      <w:rFonts w:ascii="Times New Roman" w:hAnsi="Times New Roman" w:eastAsia="宋体" w:cs="Times New Roman"/>
      <w:kern w:val="0"/>
      <w:sz w:val="20"/>
      <w:szCs w:val="24"/>
    </w:rPr>
  </w:style>
  <w:style w:type="character" w:customStyle="1" w:styleId="67">
    <w:name w:val="副标题 Char"/>
    <w:basedOn w:val="45"/>
    <w:link w:val="31"/>
    <w:qFormat/>
    <w:uiPriority w:val="0"/>
    <w:rPr>
      <w:rFonts w:ascii="Cambria" w:hAnsi="Cambria" w:eastAsia="宋体" w:cs="Times New Roman"/>
      <w:b/>
      <w:bCs/>
      <w:kern w:val="28"/>
      <w:sz w:val="32"/>
      <w:szCs w:val="32"/>
    </w:rPr>
  </w:style>
  <w:style w:type="character" w:customStyle="1" w:styleId="68">
    <w:name w:val="日期 Char"/>
    <w:basedOn w:val="45"/>
    <w:link w:val="24"/>
    <w:qFormat/>
    <w:uiPriority w:val="0"/>
    <w:rPr>
      <w:rFonts w:ascii="Times New Roman" w:hAnsi="Times New Roman" w:eastAsia="宋体" w:cs="Times New Roman"/>
      <w:kern w:val="0"/>
      <w:sz w:val="24"/>
      <w:szCs w:val="24"/>
    </w:rPr>
  </w:style>
  <w:style w:type="character" w:customStyle="1" w:styleId="69">
    <w:name w:val="正文首行缩进 Char"/>
    <w:basedOn w:val="65"/>
    <w:link w:val="42"/>
    <w:qFormat/>
    <w:uiPriority w:val="0"/>
    <w:rPr>
      <w:rFonts w:ascii="Times New Roman" w:hAnsi="Times New Roman" w:eastAsia="宋体" w:cs="Times New Roman"/>
      <w:kern w:val="0"/>
      <w:sz w:val="18"/>
      <w:szCs w:val="18"/>
    </w:rPr>
  </w:style>
  <w:style w:type="character" w:customStyle="1" w:styleId="70">
    <w:name w:val="正文文本 2 Char"/>
    <w:basedOn w:val="45"/>
    <w:link w:val="37"/>
    <w:qFormat/>
    <w:uiPriority w:val="0"/>
    <w:rPr>
      <w:rFonts w:ascii="Times New Roman" w:hAnsi="Times New Roman" w:eastAsia="宋体" w:cs="Times New Roman"/>
      <w:kern w:val="0"/>
      <w:sz w:val="18"/>
      <w:szCs w:val="18"/>
    </w:rPr>
  </w:style>
  <w:style w:type="character" w:customStyle="1" w:styleId="71">
    <w:name w:val="正文文本 3 Char"/>
    <w:basedOn w:val="45"/>
    <w:link w:val="17"/>
    <w:qFormat/>
    <w:uiPriority w:val="0"/>
    <w:rPr>
      <w:rFonts w:ascii="Times New Roman" w:hAnsi="Times New Roman" w:eastAsia="黑体" w:cs="Times New Roman"/>
      <w:sz w:val="44"/>
      <w:szCs w:val="24"/>
    </w:rPr>
  </w:style>
  <w:style w:type="character" w:customStyle="1" w:styleId="72">
    <w:name w:val="正文文本缩进 2 Char"/>
    <w:basedOn w:val="45"/>
    <w:link w:val="25"/>
    <w:qFormat/>
    <w:uiPriority w:val="0"/>
    <w:rPr>
      <w:rFonts w:ascii="Calibri" w:hAnsi="Calibri" w:eastAsia="宋体" w:cs="Times New Roman"/>
    </w:rPr>
  </w:style>
  <w:style w:type="character" w:customStyle="1" w:styleId="73">
    <w:name w:val="正文文本缩进 3 Char"/>
    <w:basedOn w:val="45"/>
    <w:link w:val="34"/>
    <w:qFormat/>
    <w:uiPriority w:val="0"/>
    <w:rPr>
      <w:rFonts w:ascii="宋体" w:hAnsi="宋体" w:eastAsia="宋体" w:cs="Times New Roman"/>
      <w:kern w:val="0"/>
      <w:sz w:val="28"/>
      <w:szCs w:val="28"/>
    </w:rPr>
  </w:style>
  <w:style w:type="character" w:customStyle="1" w:styleId="74">
    <w:name w:val="文档结构图 Char"/>
    <w:basedOn w:val="45"/>
    <w:link w:val="15"/>
    <w:qFormat/>
    <w:uiPriority w:val="0"/>
    <w:rPr>
      <w:rFonts w:ascii="Times New Roman" w:hAnsi="Times New Roman" w:eastAsia="宋体" w:cs="Times New Roman"/>
      <w:kern w:val="0"/>
      <w:sz w:val="18"/>
      <w:szCs w:val="18"/>
      <w:shd w:val="clear" w:color="auto" w:fill="000080"/>
    </w:rPr>
  </w:style>
  <w:style w:type="character" w:customStyle="1" w:styleId="75">
    <w:name w:val="纯文本 Char1"/>
    <w:link w:val="22"/>
    <w:qFormat/>
    <w:locked/>
    <w:uiPriority w:val="0"/>
    <w:rPr>
      <w:rFonts w:ascii="宋体" w:hAnsi="Courier New" w:eastAsia="宋体" w:cs="Times New Roman"/>
      <w:kern w:val="0"/>
      <w:sz w:val="20"/>
      <w:szCs w:val="18"/>
    </w:rPr>
  </w:style>
  <w:style w:type="character" w:customStyle="1" w:styleId="76">
    <w:name w:val="纯文本 Char"/>
    <w:basedOn w:val="45"/>
    <w:qFormat/>
    <w:uiPriority w:val="0"/>
    <w:rPr>
      <w:rFonts w:ascii="宋体" w:hAnsi="Courier New" w:eastAsia="宋体" w:cs="Courier New"/>
      <w:szCs w:val="21"/>
    </w:rPr>
  </w:style>
  <w:style w:type="character" w:customStyle="1" w:styleId="77">
    <w:name w:val="批注主题 Char"/>
    <w:basedOn w:val="61"/>
    <w:link w:val="41"/>
    <w:qFormat/>
    <w:uiPriority w:val="99"/>
    <w:rPr>
      <w:rFonts w:ascii="Calibri" w:hAnsi="Calibri" w:eastAsia="宋体" w:cs="Times New Roman"/>
      <w:b/>
      <w:bCs/>
      <w:kern w:val="0"/>
      <w:sz w:val="18"/>
      <w:szCs w:val="18"/>
    </w:rPr>
  </w:style>
  <w:style w:type="character" w:customStyle="1" w:styleId="78">
    <w:name w:val="批注框文本 Char"/>
    <w:basedOn w:val="45"/>
    <w:link w:val="26"/>
    <w:qFormat/>
    <w:uiPriority w:val="99"/>
    <w:rPr>
      <w:rFonts w:ascii="Times New Roman" w:hAnsi="Times New Roman" w:eastAsia="宋体" w:cs="Times New Roman"/>
      <w:kern w:val="0"/>
      <w:sz w:val="18"/>
      <w:szCs w:val="18"/>
    </w:rPr>
  </w:style>
  <w:style w:type="paragraph" w:customStyle="1" w:styleId="79">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0">
    <w:name w:val="列出段落 字符"/>
    <w:link w:val="81"/>
    <w:qFormat/>
    <w:locked/>
    <w:uiPriority w:val="34"/>
    <w:rPr>
      <w:rFonts w:ascii="Calibri" w:hAnsi="Calibri"/>
    </w:rPr>
  </w:style>
  <w:style w:type="paragraph" w:customStyle="1" w:styleId="81">
    <w:name w:val="列出段落1"/>
    <w:basedOn w:val="1"/>
    <w:link w:val="80"/>
    <w:qFormat/>
    <w:uiPriority w:val="34"/>
    <w:pPr>
      <w:ind w:firstLine="420" w:firstLineChars="200"/>
    </w:pPr>
    <w:rPr>
      <w:rFonts w:eastAsiaTheme="minorEastAsia" w:cstheme="minorBidi"/>
    </w:rPr>
  </w:style>
  <w:style w:type="character" w:customStyle="1" w:styleId="82">
    <w:name w:val="彩色列表 - 强调文字颜色 1 Char"/>
    <w:link w:val="83"/>
    <w:qFormat/>
    <w:locked/>
    <w:uiPriority w:val="0"/>
    <w:rPr>
      <w:rFonts w:ascii="Calibri" w:hAnsi="Calibri"/>
    </w:rPr>
  </w:style>
  <w:style w:type="paragraph" w:customStyle="1" w:styleId="83">
    <w:name w:val="彩色列表 - 强调文字颜色 11"/>
    <w:basedOn w:val="1"/>
    <w:link w:val="82"/>
    <w:qFormat/>
    <w:uiPriority w:val="0"/>
    <w:pPr>
      <w:ind w:firstLine="420" w:firstLineChars="200"/>
    </w:pPr>
    <w:rPr>
      <w:rFonts w:eastAsiaTheme="minorEastAsia" w:cstheme="minorBidi"/>
    </w:rPr>
  </w:style>
  <w:style w:type="paragraph" w:customStyle="1" w:styleId="84">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5">
    <w:name w:val="MM Title"/>
    <w:basedOn w:val="1"/>
    <w:qFormat/>
    <w:uiPriority w:val="0"/>
    <w:pPr>
      <w:spacing w:before="240" w:after="60"/>
      <w:jc w:val="center"/>
      <w:outlineLvl w:val="0"/>
    </w:pPr>
    <w:rPr>
      <w:rFonts w:ascii="Arial" w:hAnsi="Arial" w:cs="Arial"/>
      <w:b/>
      <w:bCs/>
      <w:sz w:val="32"/>
      <w:szCs w:val="32"/>
    </w:rPr>
  </w:style>
  <w:style w:type="paragraph" w:customStyle="1" w:styleId="8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文章正文"/>
    <w:basedOn w:val="1"/>
    <w:qFormat/>
    <w:uiPriority w:val="0"/>
    <w:pPr>
      <w:spacing w:line="360" w:lineRule="auto"/>
      <w:ind w:firstLine="420"/>
    </w:pPr>
    <w:rPr>
      <w:rFonts w:ascii="Times New Roman" w:hAnsi="Times New Roman"/>
      <w:sz w:val="24"/>
      <w:szCs w:val="24"/>
    </w:rPr>
  </w:style>
  <w:style w:type="paragraph" w:customStyle="1" w:styleId="100">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1">
    <w:name w:val="默认段落字体 Para Char Char"/>
    <w:basedOn w:val="1"/>
    <w:qFormat/>
    <w:uiPriority w:val="0"/>
    <w:rPr>
      <w:rFonts w:ascii="Times New Roman" w:hAnsi="Times New Roman"/>
      <w:szCs w:val="24"/>
    </w:rPr>
  </w:style>
  <w:style w:type="paragraph" w:customStyle="1" w:styleId="102">
    <w:name w:val="MM Topic 6"/>
    <w:basedOn w:val="8"/>
    <w:qFormat/>
    <w:uiPriority w:val="0"/>
    <w:pPr>
      <w:tabs>
        <w:tab w:val="left" w:pos="3260"/>
        <w:tab w:val="clear" w:pos="1702"/>
      </w:tabs>
      <w:ind w:left="0" w:firstLine="0"/>
    </w:pPr>
    <w:rPr>
      <w:rFonts w:eastAsia="黑体"/>
    </w:rPr>
  </w:style>
  <w:style w:type="paragraph" w:customStyle="1" w:styleId="103">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5">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标题 5 + 首行缩进:  2 字符"/>
    <w:basedOn w:val="7"/>
    <w:next w:val="18"/>
    <w:qFormat/>
    <w:uiPriority w:val="0"/>
    <w:pPr>
      <w:tabs>
        <w:tab w:val="left" w:pos="992"/>
        <w:tab w:val="clear" w:pos="1134"/>
      </w:tabs>
      <w:snapToGrid w:val="0"/>
      <w:spacing w:beforeLines="50" w:afterLines="50"/>
      <w:ind w:left="3570" w:firstLine="482" w:firstLineChars="200"/>
    </w:pPr>
    <w:rPr>
      <w:rFonts w:cs="Times New Roman"/>
      <w:color w:val="000000"/>
      <w:szCs w:val="20"/>
    </w:rPr>
  </w:style>
  <w:style w:type="paragraph" w:customStyle="1" w:styleId="107">
    <w:name w:val="Char2 Char Char Char Char Char Char"/>
    <w:basedOn w:val="1"/>
    <w:qFormat/>
    <w:uiPriority w:val="0"/>
    <w:rPr>
      <w:rFonts w:ascii="仿宋_GB2312" w:hAnsi="Times New Roman"/>
      <w:b/>
      <w:sz w:val="30"/>
      <w:szCs w:val="32"/>
    </w:rPr>
  </w:style>
  <w:style w:type="paragraph" w:customStyle="1" w:styleId="108">
    <w:name w:val="MM Topic 2"/>
    <w:basedOn w:val="4"/>
    <w:qFormat/>
    <w:uiPriority w:val="0"/>
    <w:pPr>
      <w:numPr>
        <w:ilvl w:val="0"/>
        <w:numId w:val="0"/>
      </w:numPr>
      <w:tabs>
        <w:tab w:val="left" w:pos="992"/>
      </w:tabs>
    </w:pPr>
    <w:rPr>
      <w:rFonts w:cs="Times New Roman"/>
    </w:rPr>
  </w:style>
  <w:style w:type="paragraph" w:customStyle="1" w:styleId="109">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0">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1">
    <w:name w:val="MM Topic 8"/>
    <w:basedOn w:val="10"/>
    <w:qFormat/>
    <w:uiPriority w:val="0"/>
    <w:pPr>
      <w:tabs>
        <w:tab w:val="left" w:pos="4394"/>
      </w:tabs>
    </w:pPr>
  </w:style>
  <w:style w:type="paragraph" w:customStyle="1" w:styleId="112">
    <w:name w:val="Char1 Char Char Char Char Char Char"/>
    <w:basedOn w:val="1"/>
    <w:qFormat/>
    <w:uiPriority w:val="0"/>
    <w:rPr>
      <w:rFonts w:ascii="Tahoma" w:hAnsi="Tahoma"/>
      <w:sz w:val="24"/>
      <w:szCs w:val="20"/>
    </w:rPr>
  </w:style>
  <w:style w:type="paragraph" w:customStyle="1" w:styleId="113">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4">
    <w:name w:val="样式 小四2"/>
    <w:basedOn w:val="1"/>
    <w:qFormat/>
    <w:uiPriority w:val="0"/>
    <w:rPr>
      <w:rFonts w:ascii="宋体" w:hAnsi="宋体"/>
      <w:sz w:val="24"/>
      <w:szCs w:val="24"/>
    </w:rPr>
  </w:style>
  <w:style w:type="paragraph" w:customStyle="1" w:styleId="11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7">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122"/>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22">
    <w:name w:val="样式 Char Char"/>
    <w:link w:val="121"/>
    <w:qFormat/>
    <w:locked/>
    <w:uiPriority w:val="0"/>
    <w:rPr>
      <w:rFonts w:ascii="宋体" w:hAnsi="宋体" w:eastAsia="宋体" w:cs="宋体"/>
      <w:kern w:val="0"/>
      <w:sz w:val="24"/>
      <w:szCs w:val="24"/>
    </w:rPr>
  </w:style>
  <w:style w:type="paragraph" w:customStyle="1" w:styleId="123">
    <w:name w:val="图"/>
    <w:basedOn w:val="1"/>
    <w:qFormat/>
    <w:uiPriority w:val="0"/>
    <w:pPr>
      <w:widowControl/>
      <w:adjustRightInd w:val="0"/>
      <w:snapToGrid w:val="0"/>
      <w:jc w:val="center"/>
    </w:pPr>
    <w:rPr>
      <w:rFonts w:ascii="宋体" w:hAnsi="宋体"/>
      <w:bCs/>
      <w:szCs w:val="24"/>
    </w:rPr>
  </w:style>
  <w:style w:type="paragraph" w:customStyle="1" w:styleId="124">
    <w:name w:val="Char1 Char Char Char Char Char Char1"/>
    <w:basedOn w:val="1"/>
    <w:qFormat/>
    <w:uiPriority w:val="0"/>
    <w:rPr>
      <w:rFonts w:ascii="Tahoma" w:hAnsi="Tahoma"/>
      <w:sz w:val="24"/>
      <w:szCs w:val="20"/>
    </w:rPr>
  </w:style>
  <w:style w:type="paragraph" w:customStyle="1" w:styleId="125">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6">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7">
    <w:name w:val="MM Topic 1"/>
    <w:basedOn w:val="3"/>
    <w:qFormat/>
    <w:uiPriority w:val="0"/>
    <w:pPr>
      <w:tabs>
        <w:tab w:val="left" w:pos="425"/>
      </w:tabs>
    </w:pPr>
    <w:rPr>
      <w:rFonts w:cs="Times New Roman"/>
      <w:sz w:val="44"/>
    </w:rPr>
  </w:style>
  <w:style w:type="paragraph" w:customStyle="1" w:styleId="128">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9">
    <w:name w:val="我的正文"/>
    <w:basedOn w:val="1"/>
    <w:qFormat/>
    <w:uiPriority w:val="0"/>
    <w:pPr>
      <w:spacing w:line="360" w:lineRule="auto"/>
      <w:ind w:firstLine="420" w:firstLineChars="200"/>
    </w:pPr>
    <w:rPr>
      <w:rFonts w:ascii="宋体" w:hAnsi="宋体"/>
      <w:szCs w:val="24"/>
    </w:rPr>
  </w:style>
  <w:style w:type="paragraph" w:customStyle="1" w:styleId="130">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1">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2">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3">
    <w:name w:val="论文正文"/>
    <w:basedOn w:val="1"/>
    <w:qFormat/>
    <w:uiPriority w:val="0"/>
    <w:pPr>
      <w:spacing w:line="360" w:lineRule="auto"/>
      <w:ind w:firstLine="700" w:firstLineChars="250"/>
    </w:pPr>
    <w:rPr>
      <w:rFonts w:ascii="宋体" w:hAnsi="宋体"/>
      <w:bCs/>
      <w:sz w:val="28"/>
      <w:szCs w:val="28"/>
    </w:rPr>
  </w:style>
  <w:style w:type="paragraph" w:customStyle="1" w:styleId="134">
    <w:name w:val="样式1"/>
    <w:basedOn w:val="1"/>
    <w:qFormat/>
    <w:uiPriority w:val="0"/>
    <w:rPr>
      <w:rFonts w:ascii="Times New Roman" w:hAnsi="Times New Roman" w:eastAsia="隶书"/>
      <w:i/>
      <w:dstrike/>
      <w:sz w:val="28"/>
      <w:szCs w:val="18"/>
    </w:rPr>
  </w:style>
  <w:style w:type="paragraph" w:customStyle="1" w:styleId="135">
    <w:name w:val="表格"/>
    <w:basedOn w:val="1"/>
    <w:qFormat/>
    <w:uiPriority w:val="0"/>
    <w:pPr>
      <w:spacing w:line="400" w:lineRule="exact"/>
    </w:pPr>
    <w:rPr>
      <w:rFonts w:ascii="Times New Roman" w:hAnsi="Times New Roman"/>
      <w:sz w:val="24"/>
      <w:szCs w:val="24"/>
    </w:rPr>
  </w:style>
  <w:style w:type="paragraph" w:customStyle="1" w:styleId="136">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7">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8">
    <w:name w:val="Char Char Char Char Char Char Char Char Char Char Char Char Char"/>
    <w:basedOn w:val="15"/>
    <w:qFormat/>
    <w:uiPriority w:val="0"/>
    <w:rPr>
      <w:rFonts w:ascii="Tahoma" w:hAnsi="Tahoma"/>
      <w:sz w:val="24"/>
      <w:szCs w:val="24"/>
    </w:rPr>
  </w:style>
  <w:style w:type="paragraph" w:customStyle="1" w:styleId="139">
    <w:name w:val="MM Topic 3"/>
    <w:basedOn w:val="5"/>
    <w:qFormat/>
    <w:uiPriority w:val="0"/>
    <w:pPr>
      <w:numPr>
        <w:ilvl w:val="0"/>
        <w:numId w:val="0"/>
      </w:numPr>
      <w:tabs>
        <w:tab w:val="left" w:pos="1418"/>
      </w:tabs>
    </w:pPr>
    <w:rPr>
      <w:rFonts w:cs="Times New Roman"/>
    </w:rPr>
  </w:style>
  <w:style w:type="paragraph" w:customStyle="1" w:styleId="140">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1">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2">
    <w:name w:val="Char Char Char Char"/>
    <w:basedOn w:val="1"/>
    <w:qFormat/>
    <w:uiPriority w:val="0"/>
    <w:rPr>
      <w:rFonts w:ascii="Tahoma" w:hAnsi="Tahoma"/>
      <w:sz w:val="24"/>
      <w:szCs w:val="20"/>
    </w:rPr>
  </w:style>
  <w:style w:type="paragraph" w:customStyle="1" w:styleId="143">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4">
    <w:name w:val="MM Topic 9"/>
    <w:basedOn w:val="11"/>
    <w:qFormat/>
    <w:uiPriority w:val="0"/>
    <w:pPr>
      <w:tabs>
        <w:tab w:val="left" w:pos="5102"/>
      </w:tabs>
    </w:pPr>
  </w:style>
  <w:style w:type="paragraph" w:customStyle="1" w:styleId="145">
    <w:name w:val="MM Topic 5"/>
    <w:basedOn w:val="7"/>
    <w:qFormat/>
    <w:uiPriority w:val="0"/>
    <w:pPr>
      <w:tabs>
        <w:tab w:val="left" w:pos="2551"/>
        <w:tab w:val="clear" w:pos="1134"/>
        <w:tab w:val="clear" w:pos="1560"/>
      </w:tabs>
      <w:ind w:left="0" w:firstLine="0"/>
    </w:pPr>
    <w:rPr>
      <w:rFonts w:cs="Times New Roman"/>
    </w:rPr>
  </w:style>
  <w:style w:type="paragraph" w:customStyle="1" w:styleId="146">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7">
    <w:name w:val="MM Topic 4"/>
    <w:basedOn w:val="6"/>
    <w:qFormat/>
    <w:uiPriority w:val="0"/>
    <w:pPr>
      <w:tabs>
        <w:tab w:val="left" w:pos="1984"/>
      </w:tabs>
      <w:ind w:left="0" w:firstLine="0"/>
    </w:pPr>
  </w:style>
  <w:style w:type="paragraph" w:customStyle="1" w:styleId="14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9">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0">
    <w:name w:val="样式 标题 2H2第一章 标题 2Heading 2 HiddenHeading 2 CCBSheading 2h2..."/>
    <w:basedOn w:val="4"/>
    <w:qFormat/>
    <w:uiPriority w:val="0"/>
    <w:pPr>
      <w:tabs>
        <w:tab w:val="left" w:pos="-2493"/>
      </w:tabs>
    </w:pPr>
    <w:rPr>
      <w:rFonts w:cs="Times New Roman"/>
      <w:szCs w:val="20"/>
    </w:rPr>
  </w:style>
  <w:style w:type="paragraph" w:customStyle="1" w:styleId="151">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2">
    <w:name w:val="列出段落2"/>
    <w:basedOn w:val="1"/>
    <w:qFormat/>
    <w:uiPriority w:val="0"/>
    <w:pPr>
      <w:ind w:firstLine="420" w:firstLineChars="200"/>
    </w:pPr>
  </w:style>
  <w:style w:type="paragraph" w:customStyle="1" w:styleId="153">
    <w:name w:val="列出段落4"/>
    <w:basedOn w:val="1"/>
    <w:qFormat/>
    <w:uiPriority w:val="34"/>
    <w:pPr>
      <w:ind w:firstLine="420" w:firstLineChars="200"/>
    </w:pPr>
    <w:rPr>
      <w:rFonts w:ascii="Times New Roman" w:hAnsi="Times New Roman"/>
      <w:szCs w:val="24"/>
    </w:rPr>
  </w:style>
  <w:style w:type="paragraph" w:customStyle="1" w:styleId="154">
    <w:name w:val="列出段落11"/>
    <w:basedOn w:val="1"/>
    <w:qFormat/>
    <w:uiPriority w:val="0"/>
    <w:pPr>
      <w:ind w:firstLine="420" w:firstLineChars="200"/>
    </w:pPr>
  </w:style>
  <w:style w:type="paragraph" w:customStyle="1" w:styleId="155">
    <w:name w:val="修订1"/>
    <w:qFormat/>
    <w:uiPriority w:val="99"/>
    <w:rPr>
      <w:rFonts w:ascii="Calibri" w:hAnsi="Calibri" w:eastAsia="宋体" w:cs="Times New Roman"/>
      <w:kern w:val="2"/>
      <w:sz w:val="21"/>
      <w:szCs w:val="22"/>
      <w:lang w:val="en-US" w:eastAsia="zh-CN" w:bidi="ar-SA"/>
    </w:rPr>
  </w:style>
  <w:style w:type="paragraph" w:customStyle="1" w:styleId="156">
    <w:name w:val="彩色列表 - 强调文字颜色 12"/>
    <w:basedOn w:val="1"/>
    <w:qFormat/>
    <w:uiPriority w:val="0"/>
    <w:pPr>
      <w:ind w:firstLine="420" w:firstLineChars="200"/>
    </w:pPr>
  </w:style>
  <w:style w:type="paragraph" w:customStyle="1" w:styleId="157">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8">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9">
    <w:name w:val="列项——（一级）"/>
    <w:qFormat/>
    <w:uiPriority w:val="0"/>
    <w:pPr>
      <w:widowControl w:val="0"/>
      <w:ind w:left="833" w:hanging="408"/>
      <w:jc w:val="both"/>
    </w:pPr>
    <w:rPr>
      <w:rFonts w:ascii="宋体" w:hAnsi="Times New Roman" w:eastAsia="宋体" w:cs="Times New Roman"/>
      <w:sz w:val="21"/>
      <w:lang w:val="en-US" w:eastAsia="zh-CN" w:bidi="ar-SA"/>
    </w:rPr>
  </w:style>
  <w:style w:type="character" w:customStyle="1" w:styleId="160">
    <w:name w:val="0-CD Char"/>
    <w:link w:val="161"/>
    <w:qFormat/>
    <w:locked/>
    <w:uiPriority w:val="0"/>
    <w:rPr>
      <w:rFonts w:ascii="宋体" w:hAnsi="宋体" w:eastAsia="宋体"/>
      <w:sz w:val="28"/>
      <w:szCs w:val="24"/>
    </w:rPr>
  </w:style>
  <w:style w:type="paragraph" w:customStyle="1" w:styleId="161">
    <w:name w:val="0-CD"/>
    <w:basedOn w:val="1"/>
    <w:link w:val="160"/>
    <w:qFormat/>
    <w:uiPriority w:val="0"/>
    <w:pPr>
      <w:spacing w:line="360" w:lineRule="auto"/>
      <w:ind w:firstLine="708" w:firstLineChars="253"/>
      <w:jc w:val="left"/>
    </w:pPr>
    <w:rPr>
      <w:rFonts w:ascii="宋体" w:hAnsi="宋体" w:cstheme="minorBidi"/>
      <w:sz w:val="28"/>
      <w:szCs w:val="24"/>
    </w:rPr>
  </w:style>
  <w:style w:type="character" w:customStyle="1" w:styleId="162">
    <w:name w:val="Char Char8"/>
    <w:qFormat/>
    <w:uiPriority w:val="0"/>
    <w:rPr>
      <w:rFonts w:hint="eastAsia" w:ascii="宋体" w:hAnsi="宋体" w:eastAsia="宋体"/>
      <w:kern w:val="2"/>
      <w:sz w:val="28"/>
      <w:szCs w:val="28"/>
    </w:rPr>
  </w:style>
  <w:style w:type="character" w:customStyle="1" w:styleId="163">
    <w:name w:val="Char Char5"/>
    <w:qFormat/>
    <w:uiPriority w:val="0"/>
    <w:rPr>
      <w:kern w:val="2"/>
      <w:sz w:val="21"/>
      <w:szCs w:val="24"/>
    </w:rPr>
  </w:style>
  <w:style w:type="character" w:customStyle="1" w:styleId="164">
    <w:name w:val="列出段落 Char Char"/>
    <w:qFormat/>
    <w:uiPriority w:val="0"/>
    <w:rPr>
      <w:rFonts w:hint="default" w:ascii="Calibri" w:hAnsi="Calibri" w:cs="Calibri"/>
      <w:kern w:val="2"/>
      <w:sz w:val="21"/>
      <w:szCs w:val="22"/>
    </w:rPr>
  </w:style>
  <w:style w:type="character" w:customStyle="1" w:styleId="165">
    <w:name w:val="正文文本 Char Char"/>
    <w:qFormat/>
    <w:uiPriority w:val="0"/>
    <w:rPr>
      <w:kern w:val="2"/>
      <w:sz w:val="21"/>
      <w:szCs w:val="24"/>
    </w:rPr>
  </w:style>
  <w:style w:type="character" w:customStyle="1" w:styleId="166">
    <w:name w:val="Char Char11"/>
    <w:qFormat/>
    <w:uiPriority w:val="0"/>
    <w:rPr>
      <w:rFonts w:hint="default" w:ascii="Arial Narrow" w:hAnsi="Arial Narrow"/>
      <w:b/>
      <w:bCs/>
      <w:iCs/>
      <w:szCs w:val="24"/>
      <w:lang w:eastAsia="en-US"/>
    </w:rPr>
  </w:style>
  <w:style w:type="character" w:customStyle="1" w:styleId="167">
    <w:name w:val="标书（正文） Char Char"/>
    <w:qFormat/>
    <w:uiPriority w:val="0"/>
    <w:rPr>
      <w:rFonts w:hint="eastAsia" w:ascii="宋体" w:hAnsi="宋体" w:eastAsia="宋体"/>
      <w:b/>
      <w:kern w:val="10"/>
      <w:sz w:val="21"/>
      <w:szCs w:val="21"/>
      <w:lang w:val="en-US" w:eastAsia="zh-CN" w:bidi="ar-SA"/>
    </w:rPr>
  </w:style>
  <w:style w:type="character" w:customStyle="1" w:styleId="168">
    <w:name w:val="line2"/>
    <w:basedOn w:val="45"/>
    <w:qFormat/>
    <w:uiPriority w:val="0"/>
  </w:style>
  <w:style w:type="character" w:customStyle="1" w:styleId="169">
    <w:name w:val="Char Char10"/>
    <w:qFormat/>
    <w:uiPriority w:val="0"/>
    <w:rPr>
      <w:kern w:val="2"/>
      <w:sz w:val="24"/>
      <w:szCs w:val="24"/>
    </w:rPr>
  </w:style>
  <w:style w:type="character" w:customStyle="1" w:styleId="170">
    <w:name w:val="MM Topic 4 Char Char"/>
    <w:qFormat/>
    <w:uiPriority w:val="0"/>
    <w:rPr>
      <w:rFonts w:hint="default" w:ascii="Arial" w:hAnsi="Arial" w:cs="Arial"/>
      <w:b/>
      <w:bCs/>
      <w:kern w:val="2"/>
      <w:sz w:val="28"/>
      <w:szCs w:val="28"/>
    </w:rPr>
  </w:style>
  <w:style w:type="character" w:customStyle="1" w:styleId="171">
    <w:name w:val="标书正文:  0.74 厘米 Char Char"/>
    <w:qFormat/>
    <w:uiPriority w:val="0"/>
    <w:rPr>
      <w:kern w:val="2"/>
      <w:sz w:val="24"/>
    </w:rPr>
  </w:style>
  <w:style w:type="character" w:customStyle="1" w:styleId="172">
    <w:name w:val="访问过的超链接1"/>
    <w:qFormat/>
    <w:uiPriority w:val="99"/>
    <w:rPr>
      <w:color w:val="800080"/>
      <w:u w:val="single"/>
    </w:rPr>
  </w:style>
  <w:style w:type="character" w:customStyle="1" w:styleId="173">
    <w:name w:val="标题 3 Char Char Char"/>
    <w:qFormat/>
    <w:uiPriority w:val="0"/>
    <w:rPr>
      <w:rFonts w:hint="eastAsia" w:ascii="宋体" w:hAnsi="宋体" w:eastAsia="宋体"/>
      <w:b/>
      <w:kern w:val="2"/>
      <w:sz w:val="32"/>
      <w:lang w:val="en-US" w:eastAsia="zh-CN" w:bidi="ar-SA"/>
    </w:rPr>
  </w:style>
  <w:style w:type="character" w:customStyle="1" w:styleId="174">
    <w:name w:val="（符号）邀请函中一、"/>
    <w:qFormat/>
    <w:uiPriority w:val="0"/>
    <w:rPr>
      <w:rFonts w:hint="eastAsia" w:ascii="黑体" w:hAnsi="黑体" w:eastAsia="黑体"/>
      <w:b/>
      <w:bCs/>
      <w:sz w:val="24"/>
    </w:rPr>
  </w:style>
  <w:style w:type="character" w:customStyle="1" w:styleId="175">
    <w:name w:val="tt Char"/>
    <w:qFormat/>
    <w:uiPriority w:val="0"/>
    <w:rPr>
      <w:rFonts w:hint="default" w:ascii="Arial" w:hAnsi="Arial" w:eastAsia="黑体" w:cs="Arial"/>
      <w:kern w:val="2"/>
      <w:sz w:val="21"/>
      <w:szCs w:val="21"/>
    </w:rPr>
  </w:style>
  <w:style w:type="character" w:customStyle="1" w:styleId="176">
    <w:name w:val="Char Char9"/>
    <w:qFormat/>
    <w:uiPriority w:val="0"/>
    <w:rPr>
      <w:kern w:val="2"/>
      <w:sz w:val="18"/>
      <w:szCs w:val="18"/>
    </w:rPr>
  </w:style>
  <w:style w:type="character" w:customStyle="1" w:styleId="177">
    <w:name w:val="MM Topic 3 Char Char"/>
    <w:qFormat/>
    <w:uiPriority w:val="0"/>
    <w:rPr>
      <w:rFonts w:hint="eastAsia" w:ascii="宋体" w:hAnsi="宋体" w:eastAsia="宋体"/>
      <w:b/>
      <w:bCs/>
      <w:color w:val="000000"/>
      <w:kern w:val="2"/>
      <w:sz w:val="28"/>
      <w:szCs w:val="28"/>
    </w:rPr>
  </w:style>
  <w:style w:type="character" w:customStyle="1" w:styleId="178">
    <w:name w:val="样式 小四2 Char Char"/>
    <w:qFormat/>
    <w:uiPriority w:val="0"/>
    <w:rPr>
      <w:rFonts w:hint="eastAsia" w:ascii="宋体" w:hAnsi="宋体" w:eastAsia="宋体"/>
      <w:kern w:val="2"/>
      <w:sz w:val="24"/>
      <w:szCs w:val="24"/>
    </w:rPr>
  </w:style>
  <w:style w:type="character" w:customStyle="1" w:styleId="179">
    <w:name w:val="Char Char7"/>
    <w:qFormat/>
    <w:uiPriority w:val="0"/>
    <w:rPr>
      <w:kern w:val="2"/>
      <w:sz w:val="18"/>
      <w:szCs w:val="18"/>
    </w:rPr>
  </w:style>
  <w:style w:type="character" w:customStyle="1" w:styleId="180">
    <w:name w:val="Char Char3"/>
    <w:qFormat/>
    <w:uiPriority w:val="0"/>
    <w:rPr>
      <w:b/>
      <w:bCs/>
      <w:kern w:val="2"/>
      <w:sz w:val="18"/>
      <w:szCs w:val="18"/>
    </w:rPr>
  </w:style>
  <w:style w:type="character" w:customStyle="1" w:styleId="181">
    <w:name w:val="apple-style-span"/>
    <w:basedOn w:val="45"/>
    <w:qFormat/>
    <w:uiPriority w:val="0"/>
  </w:style>
  <w:style w:type="character" w:customStyle="1" w:styleId="182">
    <w:name w:val="Char Char4"/>
    <w:qFormat/>
    <w:uiPriority w:val="0"/>
    <w:rPr>
      <w:kern w:val="2"/>
      <w:sz w:val="18"/>
      <w:szCs w:val="18"/>
    </w:rPr>
  </w:style>
  <w:style w:type="character" w:customStyle="1" w:styleId="183">
    <w:name w:val="副标题 Char1"/>
    <w:qFormat/>
    <w:uiPriority w:val="11"/>
    <w:rPr>
      <w:rFonts w:hint="default" w:ascii="Cambria" w:hAnsi="Cambria" w:cs="Times New Roman"/>
      <w:b/>
      <w:bCs/>
      <w:kern w:val="28"/>
      <w:sz w:val="32"/>
      <w:szCs w:val="32"/>
    </w:rPr>
  </w:style>
  <w:style w:type="character" w:customStyle="1" w:styleId="184">
    <w:name w:val="small"/>
    <w:basedOn w:val="45"/>
    <w:qFormat/>
    <w:uiPriority w:val="0"/>
  </w:style>
  <w:style w:type="character" w:customStyle="1" w:styleId="185">
    <w:name w:val="Legal Level 1.1.1. Char"/>
    <w:qFormat/>
    <w:uiPriority w:val="0"/>
    <w:rPr>
      <w:rFonts w:hint="default" w:ascii="Arial" w:hAnsi="Arial" w:eastAsia="黑体" w:cs="Arial"/>
      <w:kern w:val="2"/>
      <w:sz w:val="24"/>
      <w:szCs w:val="24"/>
    </w:rPr>
  </w:style>
  <w:style w:type="character" w:customStyle="1" w:styleId="186">
    <w:name w:val="文章正文 Char Char"/>
    <w:qFormat/>
    <w:uiPriority w:val="0"/>
    <w:rPr>
      <w:rFonts w:hint="eastAsia" w:ascii="宋体" w:hAnsi="宋体" w:eastAsia="宋体"/>
      <w:kern w:val="2"/>
      <w:sz w:val="24"/>
      <w:szCs w:val="24"/>
      <w:lang w:val="en-US" w:eastAsia="zh-CN" w:bidi="ar-SA"/>
    </w:rPr>
  </w:style>
  <w:style w:type="character" w:customStyle="1" w:styleId="187">
    <w:name w:val="正文文本 Char1"/>
    <w:qFormat/>
    <w:uiPriority w:val="0"/>
    <w:rPr>
      <w:rFonts w:hint="default" w:ascii="Times New Roman" w:hAnsi="Times New Roman" w:eastAsia="宋体" w:cs="Times New Roman"/>
      <w:kern w:val="0"/>
      <w:sz w:val="18"/>
      <w:szCs w:val="18"/>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5"/>
    <w:qFormat/>
    <w:uiPriority w:val="0"/>
    <w:rPr>
      <w:rFonts w:hint="eastAsia" w:ascii="宋体" w:hAnsi="宋体" w:eastAsia="宋体" w:cs="宋体"/>
      <w:b/>
      <w:color w:val="000000"/>
      <w:sz w:val="22"/>
      <w:szCs w:val="22"/>
      <w:u w:val="none"/>
    </w:rPr>
  </w:style>
  <w:style w:type="character" w:customStyle="1" w:styleId="196">
    <w:name w:val="font01"/>
    <w:basedOn w:val="45"/>
    <w:qFormat/>
    <w:uiPriority w:val="0"/>
    <w:rPr>
      <w:rFonts w:hint="eastAsia" w:ascii="宋体" w:hAnsi="宋体" w:eastAsia="宋体" w:cs="宋体"/>
      <w:color w:val="000000"/>
      <w:sz w:val="22"/>
      <w:szCs w:val="22"/>
      <w:u w:val="none"/>
    </w:rPr>
  </w:style>
  <w:style w:type="character" w:customStyle="1" w:styleId="197">
    <w:name w:val="页脚 Char1"/>
    <w:basedOn w:val="45"/>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34"/>
    <w:rPr>
      <w:rFonts w:hint="default" w:ascii="Calibri" w:hAnsi="Calibri"/>
      <w:kern w:val="2"/>
      <w:sz w:val="21"/>
      <w:szCs w:val="22"/>
    </w:rPr>
  </w:style>
  <w:style w:type="paragraph" w:customStyle="1" w:styleId="200">
    <w:name w:val="CD正文"/>
    <w:basedOn w:val="99"/>
    <w:qFormat/>
    <w:uiPriority w:val="0"/>
  </w:style>
  <w:style w:type="paragraph" w:customStyle="1" w:styleId="201">
    <w:name w:val="项目符号：一级"/>
    <w:basedOn w:val="86"/>
    <w:next w:val="86"/>
    <w:qFormat/>
    <w:uiPriority w:val="0"/>
  </w:style>
  <w:style w:type="paragraph" w:customStyle="1" w:styleId="202">
    <w:name w:val="修订2"/>
    <w:semiHidden/>
    <w:qFormat/>
    <w:uiPriority w:val="99"/>
    <w:rPr>
      <w:rFonts w:ascii="Calibri" w:hAnsi="Calibri" w:eastAsia="宋体" w:cs="Times New Roman"/>
      <w:kern w:val="2"/>
      <w:sz w:val="21"/>
      <w:szCs w:val="22"/>
      <w:lang w:val="en-US" w:eastAsia="zh-CN" w:bidi="ar-SA"/>
    </w:rPr>
  </w:style>
  <w:style w:type="paragraph" w:customStyle="1" w:styleId="203">
    <w:name w:val="修订21"/>
    <w:semiHidden/>
    <w:qFormat/>
    <w:uiPriority w:val="99"/>
    <w:rPr>
      <w:rFonts w:ascii="Calibri" w:hAnsi="Calibri" w:eastAsia="宋体" w:cs="Times New Roman"/>
      <w:kern w:val="2"/>
      <w:sz w:val="21"/>
      <w:szCs w:val="22"/>
      <w:lang w:val="en-US" w:eastAsia="zh-CN" w:bidi="ar-SA"/>
    </w:rPr>
  </w:style>
  <w:style w:type="paragraph" w:customStyle="1" w:styleId="204">
    <w:name w:val="List Paragraph1"/>
    <w:basedOn w:val="1"/>
    <w:semiHidden/>
    <w:qFormat/>
    <w:uiPriority w:val="0"/>
    <w:pPr>
      <w:ind w:firstLine="420" w:firstLineChars="200"/>
    </w:pPr>
    <w:rPr>
      <w:rFonts w:ascii="Times New Roman" w:hAnsi="Times New Roman"/>
      <w:szCs w:val="24"/>
    </w:rPr>
  </w:style>
  <w:style w:type="paragraph" w:customStyle="1" w:styleId="205">
    <w:name w:val="修订3"/>
    <w:semiHidden/>
    <w:qFormat/>
    <w:uiPriority w:val="99"/>
    <w:rPr>
      <w:rFonts w:ascii="Calibri" w:hAnsi="Calibri" w:eastAsia="宋体" w:cs="Times New Roman"/>
      <w:kern w:val="2"/>
      <w:sz w:val="21"/>
      <w:szCs w:val="22"/>
      <w:lang w:val="en-US" w:eastAsia="zh-CN" w:bidi="ar-SA"/>
    </w:rPr>
  </w:style>
  <w:style w:type="paragraph" w:customStyle="1" w:styleId="206">
    <w:name w:val="Normal Indent1"/>
    <w:basedOn w:val="1"/>
    <w:semiHidden/>
    <w:qFormat/>
    <w:uiPriority w:val="99"/>
    <w:pPr>
      <w:spacing w:line="360" w:lineRule="auto"/>
      <w:ind w:firstLine="200" w:firstLineChars="200"/>
    </w:pPr>
    <w:rPr>
      <w:sz w:val="24"/>
      <w:szCs w:val="24"/>
    </w:rPr>
  </w:style>
  <w:style w:type="character" w:customStyle="1" w:styleId="207">
    <w:name w:val="占位符文本1"/>
    <w:basedOn w:val="45"/>
    <w:semiHidden/>
    <w:qFormat/>
    <w:uiPriority w:val="99"/>
    <w:rPr>
      <w:color w:val="808080"/>
    </w:rPr>
  </w:style>
  <w:style w:type="character" w:customStyle="1" w:styleId="208">
    <w:name w:val="font61"/>
    <w:qFormat/>
    <w:uiPriority w:val="0"/>
    <w:rPr>
      <w:rFonts w:hint="eastAsia" w:ascii="仿宋_GB2312" w:eastAsia="仿宋_GB2312" w:cs="仿宋_GB2312"/>
      <w:color w:val="000000"/>
      <w:sz w:val="24"/>
      <w:szCs w:val="24"/>
      <w:u w:val="none"/>
    </w:rPr>
  </w:style>
  <w:style w:type="character" w:customStyle="1" w:styleId="209">
    <w:name w:val="日期 Char1"/>
    <w:basedOn w:val="45"/>
    <w:semiHidden/>
    <w:qFormat/>
    <w:uiPriority w:val="99"/>
    <w:rPr>
      <w:rFonts w:hint="default" w:ascii="Calibri" w:hAnsi="Calibri" w:eastAsia="宋体" w:cs="Times New Roman"/>
    </w:rPr>
  </w:style>
  <w:style w:type="character" w:customStyle="1" w:styleId="210">
    <w:name w:val="副标题 Char2"/>
    <w:basedOn w:val="45"/>
    <w:qFormat/>
    <w:uiPriority w:val="11"/>
    <w:rPr>
      <w:rFonts w:hint="default" w:eastAsia="宋体" w:asciiTheme="majorHAnsi" w:hAnsiTheme="majorHAnsi" w:cstheme="majorBidi"/>
      <w:b/>
      <w:bCs/>
      <w:kern w:val="28"/>
      <w:sz w:val="32"/>
      <w:szCs w:val="32"/>
    </w:rPr>
  </w:style>
  <w:style w:type="character" w:customStyle="1" w:styleId="211">
    <w:name w:val="正文文本缩进 3 Char1"/>
    <w:basedOn w:val="45"/>
    <w:semiHidden/>
    <w:qFormat/>
    <w:uiPriority w:val="99"/>
    <w:rPr>
      <w:rFonts w:hint="default" w:ascii="Calibri" w:hAnsi="Calibri" w:eastAsia="宋体" w:cs="Times New Roman"/>
      <w:sz w:val="16"/>
      <w:szCs w:val="16"/>
    </w:rPr>
  </w:style>
  <w:style w:type="character" w:customStyle="1" w:styleId="212">
    <w:name w:val="批注框文本 Char1"/>
    <w:basedOn w:val="45"/>
    <w:semiHidden/>
    <w:qFormat/>
    <w:uiPriority w:val="99"/>
    <w:rPr>
      <w:rFonts w:hint="default" w:ascii="Calibri" w:hAnsi="Calibri" w:eastAsia="宋体" w:cs="Times New Roman"/>
      <w:sz w:val="18"/>
      <w:szCs w:val="18"/>
    </w:rPr>
  </w:style>
  <w:style w:type="character" w:customStyle="1" w:styleId="213">
    <w:name w:val="纯文本 Char2"/>
    <w:basedOn w:val="45"/>
    <w:qFormat/>
    <w:uiPriority w:val="99"/>
    <w:rPr>
      <w:rFonts w:hint="eastAsia" w:ascii="宋体" w:hAnsi="Courier New" w:eastAsia="宋体" w:cs="Courier New"/>
      <w:szCs w:val="21"/>
    </w:rPr>
  </w:style>
  <w:style w:type="character" w:customStyle="1" w:styleId="214">
    <w:name w:val="正文文本缩进 2 Char1"/>
    <w:basedOn w:val="45"/>
    <w:semiHidden/>
    <w:qFormat/>
    <w:uiPriority w:val="99"/>
    <w:rPr>
      <w:rFonts w:hint="default" w:ascii="Calibri" w:hAnsi="Calibri" w:eastAsia="宋体" w:cs="Times New Roman"/>
    </w:rPr>
  </w:style>
  <w:style w:type="character" w:customStyle="1" w:styleId="215">
    <w:name w:val="正文文本缩进 Char1"/>
    <w:basedOn w:val="45"/>
    <w:semiHidden/>
    <w:qFormat/>
    <w:uiPriority w:val="99"/>
    <w:rPr>
      <w:rFonts w:hint="default" w:ascii="Calibri" w:hAnsi="Calibri" w:eastAsia="宋体" w:cs="Times New Roman"/>
    </w:rPr>
  </w:style>
  <w:style w:type="character" w:customStyle="1" w:styleId="216">
    <w:name w:val="正文文本 2 Char1"/>
    <w:basedOn w:val="45"/>
    <w:semiHidden/>
    <w:qFormat/>
    <w:uiPriority w:val="99"/>
    <w:rPr>
      <w:rFonts w:hint="default" w:ascii="Calibri" w:hAnsi="Calibri" w:eastAsia="宋体" w:cs="Times New Roman"/>
    </w:rPr>
  </w:style>
  <w:style w:type="character" w:customStyle="1" w:styleId="217">
    <w:name w:val="正文文本 Char3"/>
    <w:basedOn w:val="45"/>
    <w:qFormat/>
    <w:locked/>
    <w:uiPriority w:val="0"/>
    <w:rPr>
      <w:rFonts w:ascii="Calibri" w:hAnsi="Calibri" w:eastAsia="宋体"/>
      <w:kern w:val="2"/>
      <w:sz w:val="21"/>
      <w:szCs w:val="22"/>
    </w:rPr>
  </w:style>
  <w:style w:type="character" w:customStyle="1" w:styleId="218">
    <w:name w:val="正文首行缩进 Char1"/>
    <w:basedOn w:val="217"/>
    <w:semiHidden/>
    <w:qFormat/>
    <w:uiPriority w:val="99"/>
    <w:rPr>
      <w:rFonts w:ascii="Calibri" w:hAnsi="Calibri" w:eastAsia="宋体"/>
      <w:kern w:val="2"/>
      <w:sz w:val="21"/>
      <w:szCs w:val="22"/>
    </w:rPr>
  </w:style>
  <w:style w:type="character" w:customStyle="1" w:styleId="219">
    <w:name w:val="批注文字 Char1"/>
    <w:basedOn w:val="45"/>
    <w:semiHidden/>
    <w:qFormat/>
    <w:uiPriority w:val="0"/>
    <w:rPr>
      <w:rFonts w:hint="default" w:ascii="Calibri" w:hAnsi="Calibri" w:eastAsia="宋体" w:cs="Times New Roman"/>
    </w:rPr>
  </w:style>
  <w:style w:type="character" w:customStyle="1" w:styleId="220">
    <w:name w:val="正文文本 3 Char1"/>
    <w:basedOn w:val="45"/>
    <w:semiHidden/>
    <w:qFormat/>
    <w:uiPriority w:val="99"/>
    <w:rPr>
      <w:rFonts w:hint="default" w:ascii="Calibri" w:hAnsi="Calibri" w:eastAsia="宋体" w:cs="Times New Roman"/>
      <w:sz w:val="16"/>
      <w:szCs w:val="16"/>
    </w:rPr>
  </w:style>
  <w:style w:type="character" w:customStyle="1" w:styleId="221">
    <w:name w:val="文档结构图 Char1"/>
    <w:basedOn w:val="45"/>
    <w:semiHidden/>
    <w:qFormat/>
    <w:uiPriority w:val="99"/>
    <w:rPr>
      <w:rFonts w:hint="eastAsia" w:ascii="宋体" w:hAnsi="Calibri" w:eastAsia="宋体" w:cs="Times New Roman"/>
      <w:sz w:val="18"/>
      <w:szCs w:val="18"/>
    </w:rPr>
  </w:style>
  <w:style w:type="character" w:customStyle="1" w:styleId="222">
    <w:name w:val="font21"/>
    <w:qFormat/>
    <w:uiPriority w:val="0"/>
    <w:rPr>
      <w:rFonts w:hint="eastAsia" w:ascii="仿宋_GB2312" w:eastAsia="仿宋_GB2312" w:cs="仿宋_GB2312"/>
      <w:color w:val="000000"/>
      <w:sz w:val="24"/>
      <w:szCs w:val="24"/>
      <w:u w:val="none"/>
    </w:rPr>
  </w:style>
  <w:style w:type="paragraph" w:customStyle="1" w:styleId="223">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4">
    <w:name w:val="Table Paragraph"/>
    <w:basedOn w:val="1"/>
    <w:qFormat/>
    <w:uiPriority w:val="1"/>
    <w:rPr>
      <w:rFonts w:ascii="宋体" w:hAnsi="宋体" w:cs="宋体"/>
      <w:lang w:eastAsia="en-US" w:bidi="en-US"/>
    </w:rPr>
  </w:style>
  <w:style w:type="character" w:customStyle="1" w:styleId="225">
    <w:name w:val="font41"/>
    <w:qFormat/>
    <w:uiPriority w:val="0"/>
    <w:rPr>
      <w:rFonts w:hint="default" w:ascii="Calibri" w:hAnsi="Calibri" w:cs="Calibri"/>
      <w:color w:val="000000"/>
      <w:sz w:val="20"/>
      <w:szCs w:val="20"/>
      <w:u w:val="none"/>
    </w:rPr>
  </w:style>
  <w:style w:type="character" w:customStyle="1" w:styleId="226">
    <w:name w:val="NormalCharacter"/>
    <w:qFormat/>
    <w:uiPriority w:val="0"/>
  </w:style>
  <w:style w:type="character" w:customStyle="1" w:styleId="227">
    <w:name w:val="sugg-loading"/>
    <w:basedOn w:val="45"/>
    <w:qFormat/>
    <w:uiPriority w:val="0"/>
  </w:style>
  <w:style w:type="paragraph" w:styleId="228">
    <w:name w:val="List Paragraph"/>
    <w:basedOn w:val="1"/>
    <w:qFormat/>
    <w:uiPriority w:val="0"/>
    <w:pPr>
      <w:ind w:firstLine="420" w:firstLineChars="200"/>
    </w:pPr>
    <w:rPr>
      <w:rFonts w:ascii="Times New Roman" w:hAnsi="Times New Roman"/>
    </w:rPr>
  </w:style>
  <w:style w:type="paragraph" w:customStyle="1" w:styleId="229">
    <w:name w:val="方案正文"/>
    <w:basedOn w:val="1"/>
    <w:qFormat/>
    <w:uiPriority w:val="0"/>
    <w:pPr>
      <w:spacing w:line="360" w:lineRule="auto"/>
      <w:ind w:firstLine="200" w:firstLineChars="200"/>
    </w:pPr>
    <w:rPr>
      <w:rFonts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CAE1F-FD01-4AC4-A4D0-53AD8058808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9544</Words>
  <Characters>54401</Characters>
  <Lines>453</Lines>
  <Paragraphs>127</Paragraphs>
  <TotalTime>5</TotalTime>
  <ScaleCrop>false</ScaleCrop>
  <LinksUpToDate>false</LinksUpToDate>
  <CharactersWithSpaces>63818</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2021-05-27T01:53:00Z</dcterms:created>
  <dc:creator>高文豪</dc:creator>
  <cp:lastModifiedBy>廖婷</cp:lastModifiedBy>
  <cp:lastPrinted>2021-10-28T05:38:00Z</cp:lastPrinted>
  <dcterms:modified xsi:type="dcterms:W3CDTF">2021-10-28T07:35:43Z</dcterms:modified>
  <cp:revision>211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E506C3F54FC0456E872853BA93EB7350</vt:lpwstr>
  </property>
</Properties>
</file>